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CG2024-WT-GK-HW-122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中国海关科学技术研究中心2024年动植专项全自动建库仪等设备采购项目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中国海关科学技术研究中心2024年动植专项全自动建库仪等设备采购项目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CG2024-WT-GK-HW-122</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中国海关科学技术研究中心2024年动植专项全自动建库仪等设备采购项目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本项目预算金额合计总金额人民币2,940,000.00元，其中包1人民币2,940,000.00元。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Normal"/>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jc w:val="center"/>
          <w:tblLayout w:type="fixed"/>
          <w:tblCellMar>
            <w:top w:w="0" w:type="dxa"/>
            <w:left w:w="108" w:type="dxa"/>
            <w:bottom w:w="0" w:type="dxa"/>
            <w:right w:w="108" w:type="dxa"/>
          </w:tblCellMar>
        </w:tblPrEx>
        <w:trPr>
          <w:jc w:val="center"/>
        </w:trPr>
        <w:tc>
          <w:tcPr>
            <w:tcW w:w="816" w:type="dxa"/>
            <w:vMerge w:val="restart"/>
            <w:tcBorders>
              <w:top w:val="single" w:sz="4" w:space="0" w:color="auto"/>
              <w:left w:val="single" w:sz="4" w:space="0" w:color="auto"/>
              <w:right w:val="single" w:sz="4" w:space="0" w:color="auto"/>
            </w:tcBorders>
            <w:vAlign w:val="center"/>
          </w:tcPr>
          <w:p>
            <w:pPr>
              <w:spacing w:after="120" w:line="240" w:lineRule="auto"/>
              <w:rPr>
                <w:rFonts w:ascii="宋体"/>
                <w:b/>
                <w:color w:val="0000FF"/>
                <w:sz w:val="24"/>
                <w:highlight w:val="white"/>
              </w:rPr>
            </w:pPr>
            <w:r>
              <w:t>包件1</w:t>
            </w:r>
          </w:p>
        </w:tc>
        <w:tc>
          <w:tcPr>
            <w:tcW w:w="620"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009"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全自动建库仪</w:t>
            </w:r>
          </w:p>
        </w:tc>
        <w:tc>
          <w:tcPr>
            <w:tcW w:w="652"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271"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1,150,000.00</w:t>
            </w:r>
          </w:p>
        </w:tc>
        <w:tc>
          <w:tcPr>
            <w:tcW w:w="1271" w:type="dxa"/>
            <w:vMerge w:val="restart"/>
            <w:tcBorders>
              <w:top w:val="single" w:sz="4" w:space="0" w:color="auto"/>
              <w:left w:val="single" w:sz="4" w:space="0" w:color="auto"/>
              <w:right w:val="single" w:sz="4" w:space="0" w:color="auto"/>
            </w:tcBorders>
            <w:vAlign w:val="center"/>
          </w:tcPr>
          <w:p>
            <w:pPr>
              <w:spacing w:after="120" w:line="240" w:lineRule="auto"/>
              <w:rPr>
                <w:rFonts w:ascii="宋体"/>
                <w:b/>
                <w:color w:val="0000FF"/>
                <w:sz w:val="24"/>
                <w:highlight w:val="white"/>
              </w:rPr>
            </w:pPr>
            <w:r>
              <w:t>合同签订后90日内交货。</w:t>
            </w:r>
          </w:p>
        </w:tc>
        <w:tc>
          <w:tcPr>
            <w:tcW w:w="1073" w:type="dxa"/>
            <w:vMerge w:val="restart"/>
            <w:tcBorders>
              <w:top w:val="single" w:sz="4" w:space="0" w:color="auto"/>
              <w:left w:val="single" w:sz="4" w:space="0" w:color="auto"/>
              <w:right w:val="single" w:sz="4" w:space="0" w:color="auto"/>
            </w:tcBorders>
            <w:vAlign w:val="center"/>
          </w:tcPr>
          <w:p>
            <w:pPr>
              <w:spacing w:after="120" w:line="240" w:lineRule="auto"/>
              <w:rPr>
                <w:rFonts w:ascii="宋体"/>
                <w:b/>
                <w:color w:val="0000FF"/>
                <w:sz w:val="24"/>
                <w:highlight w:val="white"/>
              </w:rPr>
            </w:pPr>
            <w:r>
              <w:t>按合同约定地点进行交货，交货地点为北京市内。</w:t>
            </w:r>
          </w:p>
        </w:tc>
        <w:tc>
          <w:tcPr>
            <w:tcW w:w="1037" w:type="dxa"/>
            <w:vMerge w:val="restart"/>
            <w:tcBorders>
              <w:top w:val="single" w:sz="4" w:space="0" w:color="auto"/>
              <w:left w:val="single" w:sz="4" w:space="0" w:color="auto"/>
              <w:right w:val="single" w:sz="4" w:space="0" w:color="auto"/>
            </w:tcBorders>
            <w:vAlign w:val="center"/>
          </w:tcPr>
          <w:p>
            <w:pPr>
              <w:spacing w:after="120" w:line="240" w:lineRule="auto"/>
              <w:rPr>
                <w:rFonts w:ascii="宋体" w:hint="eastAsia"/>
                <w:b/>
                <w:color w:val="0000FF"/>
                <w:sz w:val="24"/>
                <w:highlight w:val="white"/>
              </w:rPr>
            </w:pPr>
            <w:r>
              <w:t>项目内所有产品安装调试经用户验收合格当天起，质保一年。</w:t>
            </w:r>
          </w:p>
        </w:tc>
      </w:tr>
      <w:tr>
        <w:tblPrEx>
          <w:jc w:val="center"/>
          <w:tblLayout w:type="fixed"/>
          <w:tblCellMar>
            <w:top w:w="0" w:type="dxa"/>
            <w:left w:w="108" w:type="dxa"/>
            <w:bottom w:w="0" w:type="dxa"/>
            <w:right w:w="108" w:type="dxa"/>
          </w:tblCellMar>
        </w:tblPrEx>
        <w:trPr>
          <w:jc w:val="center"/>
        </w:trPr>
        <w:tc>
          <w:tcPr>
            <w:tcW w:w="0" w:type="dxa"/>
            <w:vMerge/>
            <w:tcBorders>
              <w:top w:val="single" w:sz="4" w:space="0" w:color="auto"/>
              <w:left w:val="single" w:sz="4" w:space="0" w:color="auto"/>
              <w:right w:val="single" w:sz="4" w:space="0" w:color="auto"/>
            </w:tcBorders>
            <w:vAlign w:val="center"/>
          </w:tcPr>
          <w:p/>
        </w:tc>
        <w:tc>
          <w:tcPr>
            <w:tcW w:w="620"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2</w:t>
            </w:r>
          </w:p>
        </w:tc>
        <w:tc>
          <w:tcPr>
            <w:tcW w:w="1009"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全自动核酸电泳片段回收仪</w:t>
            </w:r>
          </w:p>
        </w:tc>
        <w:tc>
          <w:tcPr>
            <w:tcW w:w="652"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271"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750,000.00</w:t>
            </w: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r>
      <w:tr>
        <w:tblPrEx>
          <w:jc w:val="center"/>
          <w:tblLayout w:type="fixed"/>
          <w:tblCellMar>
            <w:top w:w="0" w:type="dxa"/>
            <w:left w:w="108" w:type="dxa"/>
            <w:bottom w:w="0" w:type="dxa"/>
            <w:right w:w="108" w:type="dxa"/>
          </w:tblCellMar>
        </w:tblPrEx>
        <w:trPr>
          <w:jc w:val="center"/>
        </w:trPr>
        <w:tc>
          <w:tcPr>
            <w:tcW w:w="0" w:type="dxa"/>
            <w:vMerge/>
            <w:tcBorders>
              <w:top w:val="single" w:sz="4" w:space="0" w:color="auto"/>
              <w:left w:val="single" w:sz="4" w:space="0" w:color="auto"/>
              <w:right w:val="single" w:sz="4" w:space="0" w:color="auto"/>
            </w:tcBorders>
            <w:vAlign w:val="center"/>
          </w:tcPr>
          <w:p/>
        </w:tc>
        <w:tc>
          <w:tcPr>
            <w:tcW w:w="620"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3</w:t>
            </w:r>
          </w:p>
        </w:tc>
        <w:tc>
          <w:tcPr>
            <w:tcW w:w="1009"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无损蛋白定量成像系统</w:t>
            </w:r>
          </w:p>
        </w:tc>
        <w:tc>
          <w:tcPr>
            <w:tcW w:w="652"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271"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300,000.00</w:t>
            </w: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r>
      <w:tr>
        <w:tblPrEx>
          <w:jc w:val="center"/>
          <w:tblLayout w:type="fixed"/>
          <w:tblCellMar>
            <w:top w:w="0" w:type="dxa"/>
            <w:left w:w="108" w:type="dxa"/>
            <w:bottom w:w="0" w:type="dxa"/>
            <w:right w:w="108" w:type="dxa"/>
          </w:tblCellMar>
        </w:tblPrEx>
        <w:trPr>
          <w:jc w:val="center"/>
        </w:trPr>
        <w:tc>
          <w:tcPr>
            <w:tcW w:w="0" w:type="dxa"/>
            <w:vMerge/>
            <w:tcBorders>
              <w:top w:val="single" w:sz="4" w:space="0" w:color="auto"/>
              <w:left w:val="single" w:sz="4" w:space="0" w:color="auto"/>
              <w:right w:val="single" w:sz="4" w:space="0" w:color="auto"/>
            </w:tcBorders>
            <w:vAlign w:val="center"/>
          </w:tcPr>
          <w:p/>
        </w:tc>
        <w:tc>
          <w:tcPr>
            <w:tcW w:w="620"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4</w:t>
            </w:r>
          </w:p>
        </w:tc>
        <w:tc>
          <w:tcPr>
            <w:tcW w:w="1009"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凝胶成像系统</w:t>
            </w:r>
          </w:p>
        </w:tc>
        <w:tc>
          <w:tcPr>
            <w:tcW w:w="652"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271"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250,000.00</w:t>
            </w: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r>
      <w:tr>
        <w:tblPrEx>
          <w:jc w:val="center"/>
          <w:tblLayout w:type="fixed"/>
          <w:tblCellMar>
            <w:top w:w="0" w:type="dxa"/>
            <w:left w:w="108" w:type="dxa"/>
            <w:bottom w:w="0" w:type="dxa"/>
            <w:right w:w="108" w:type="dxa"/>
          </w:tblCellMar>
        </w:tblPrEx>
        <w:trPr>
          <w:jc w:val="center"/>
        </w:trPr>
        <w:tc>
          <w:tcPr>
            <w:tcW w:w="0" w:type="dxa"/>
            <w:vMerge/>
            <w:tcBorders>
              <w:top w:val="single" w:sz="4" w:space="0" w:color="auto"/>
              <w:left w:val="single" w:sz="4" w:space="0" w:color="auto"/>
              <w:right w:val="single" w:sz="4" w:space="0" w:color="auto"/>
            </w:tcBorders>
            <w:vAlign w:val="center"/>
          </w:tcPr>
          <w:p/>
        </w:tc>
        <w:tc>
          <w:tcPr>
            <w:tcW w:w="620"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5</w:t>
            </w:r>
          </w:p>
        </w:tc>
        <w:tc>
          <w:tcPr>
            <w:tcW w:w="1009"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液氮冻干珠点液系统</w:t>
            </w:r>
          </w:p>
        </w:tc>
        <w:tc>
          <w:tcPr>
            <w:tcW w:w="652"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1</w:t>
            </w:r>
          </w:p>
        </w:tc>
        <w:tc>
          <w:tcPr>
            <w:tcW w:w="1271" w:type="dxa"/>
            <w:tcBorders>
              <w:top w:val="single" w:sz="4" w:space="0" w:color="auto"/>
              <w:left w:val="single" w:sz="4" w:space="0" w:color="auto"/>
              <w:right w:val="single" w:sz="4" w:space="0" w:color="auto"/>
            </w:tcBorders>
          </w:tcPr>
          <w:p>
            <w:pPr>
              <w:spacing w:after="120" w:line="240" w:lineRule="auto"/>
              <w:rPr>
                <w:rFonts w:ascii="宋体"/>
                <w:b/>
                <w:color w:val="0000FF"/>
                <w:sz w:val="24"/>
                <w:highlight w:val="white"/>
              </w:rPr>
            </w:pPr>
            <w:r>
              <w:t>490,000.00</w:t>
            </w: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c>
          <w:tcPr>
            <w:tcW w:w="0" w:type="dxa"/>
            <w:vMerge/>
            <w:tcBorders>
              <w:top w:val="single" w:sz="4" w:space="0" w:color="auto"/>
              <w:left w:val="single" w:sz="4" w:space="0" w:color="auto"/>
              <w:right w:val="single" w:sz="4" w:space="0" w:color="auto"/>
            </w:tcBorders>
            <w:vAlign w:val="center"/>
          </w:tcP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ind w:left="0" w:firstLine="600" w:firstLineChars="250"/>
        <w:rPr>
          <w:rFonts w:ascii="宋体" w:hint="eastAsia"/>
          <w:b/>
          <w:bCs/>
          <w:color w:val="0000FF"/>
          <w:sz w:val="24"/>
        </w:rPr>
      </w:pPr>
      <w:r>
        <w:rPr>
          <w:rFonts w:ascii="宋体" w:hint="eastAsia"/>
          <w:b/>
          <w:bCs/>
          <w:color w:val="0000FF"/>
          <w:sz w:val="24"/>
        </w:rPr>
        <w:t>4.本项目专门面向中小企业采购。</w:t>
      </w:r>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2024-12-06 00:00:00</w:t>
      </w:r>
      <w:bookmarkEnd w:id="20"/>
      <w:r>
        <w:rPr>
          <w:rFonts w:ascii="宋体" w:hint="eastAsia"/>
          <w:sz w:val="24"/>
        </w:rPr>
        <w:t>至</w:t>
      </w:r>
      <w:bookmarkStart w:id="21" w:name="公告_signUpLastTime"/>
      <w:r>
        <w:rPr>
          <w:rFonts w:ascii="宋体" w:hint="eastAsia"/>
          <w:sz w:val="24"/>
        </w:rPr>
        <w:t>2024-12-13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2024-12-27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2024-12-27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010-65195929（业务咨询）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于2024-07-29</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中国海关科学技术研究中心</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本项目预算金额合计总金额人民币2,940,000.00元，其中包1人民币2,940,000.00元。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2,940,000.00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本项目（品目1  全自动建库仪）产品为核心产品。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b/>
                <w:bCs/>
                <w:sz w:val="24"/>
                <w:lang w:bidi="ar-SA"/>
              </w:rPr>
              <w:t>注：本项目不适用</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中国海关科学技术研究中心</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left="361" w:firstLine="551"/>
        <w:rPr>
          <w:rFonts w:ascii="方正楷体_GBK" w:eastAsia="方正楷体_GBK" w:cs="Arial" w:hint="eastAsia"/>
          <w:b/>
          <w:bCs/>
          <w:sz w:val="28"/>
          <w:szCs w:val="28"/>
        </w:rPr>
      </w:pPr>
      <w:bookmarkStart w:id="42" w:name="插入_采购需求书"/>
      <w:r>
        <w:rPr>
          <w:rFonts w:ascii="方正楷体_GBK" w:eastAsia="方正楷体_GBK" w:cs="Arial" w:hint="eastAsia"/>
          <w:b/>
          <w:bCs/>
          <w:sz w:val="28"/>
          <w:szCs w:val="28"/>
          <w:lang w:bidi="ar-SA"/>
        </w:rPr>
        <w:t>重要提示：本项目需求书属内部资料，供应商负有保密义务，未经采购人或采购机构同意，不得向任何与此项目无关的第三方透露。</w:t>
      </w:r>
    </w:p>
    <w:p>
      <w:pPr>
        <w:pStyle w:val="18210"/>
        <w:spacing w:line="400" w:lineRule="exact"/>
        <w:rPr>
          <w:rFonts w:ascii="方正楷体_GBK" w:eastAsia="方正楷体_GBK" w:cs="Arial" w:hint="eastAsia"/>
          <w:b/>
          <w:bCs/>
          <w:sz w:val="28"/>
          <w:szCs w:val="28"/>
        </w:rPr>
      </w:pPr>
      <w:r>
        <w:rPr>
          <w:rFonts w:ascii="方正楷体_GBK" w:eastAsia="方正楷体_GBK" w:cs="Arial" w:hint="eastAsia"/>
          <w:b/>
          <w:bCs/>
          <w:sz w:val="28"/>
          <w:szCs w:val="28"/>
          <w:lang w:bidi="ar-SA"/>
        </w:rPr>
        <w:t xml:space="preserve">       带“★”的为必须满足内容，否则作为无效投标处理，不予接受；带“</w:t>
      </w:r>
      <w:r>
        <w:rPr>
          <w:rFonts w:cs="宋体" w:hint="eastAsia"/>
          <w:sz w:val="28"/>
          <w:szCs w:val="28"/>
          <w:lang w:bidi="ar-SA"/>
        </w:rPr>
        <w:t>▲</w:t>
      </w:r>
      <w:r>
        <w:rPr>
          <w:rFonts w:ascii="方正楷体_GBK" w:eastAsia="方正楷体_GBK" w:cs="Arial" w:hint="eastAsia"/>
          <w:b/>
          <w:bCs/>
          <w:sz w:val="28"/>
          <w:szCs w:val="28"/>
          <w:lang w:bidi="ar-SA"/>
        </w:rPr>
        <w:t>”的为重要内容，不满足将严重影响评分；其他技术或服务内容不满足的将影响一般评分。</w:t>
      </w:r>
    </w:p>
    <w:p>
      <w:pPr>
        <w:pStyle w:val="18210"/>
        <w:spacing w:line="400" w:lineRule="exact"/>
        <w:ind w:firstLine="420" w:firstLineChars="200"/>
        <w:rPr>
          <w:rFonts w:ascii="Times New Roman" w:eastAsia="方正仿宋_GBK" w:hAnsi="Times New Roman"/>
          <w:color w:val="FF0000"/>
          <w:szCs w:val="21"/>
        </w:rPr>
      </w:pPr>
    </w:p>
    <w:p>
      <w:pPr>
        <w:pStyle w:val="18210"/>
        <w:spacing w:line="400" w:lineRule="exact"/>
        <w:rPr>
          <w:rFonts w:ascii="方正黑体_GBK" w:eastAsia="方正黑体_GBK" w:hint="eastAsia"/>
          <w:b/>
          <w:sz w:val="28"/>
          <w:szCs w:val="28"/>
        </w:rPr>
      </w:pPr>
      <w:r>
        <w:rPr>
          <w:rFonts w:ascii="方正黑体_GBK" w:eastAsia="方正黑体_GBK" w:hint="eastAsia"/>
          <w:b/>
          <w:sz w:val="28"/>
          <w:szCs w:val="28"/>
        </w:rPr>
        <w:t>一、项目背景介绍</w:t>
      </w:r>
    </w:p>
    <w:p>
      <w:pPr>
        <w:autoSpaceDN w:val="0"/>
        <w:spacing w:line="400" w:lineRule="exact"/>
        <w:ind w:firstLine="560" w:firstLineChars="200"/>
        <w:rPr>
          <w:rFonts w:ascii="方正仿宋_GBK" w:eastAsia="方正仿宋_GBK" w:hint="eastAsia"/>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1.1项目名称和预算金额</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项目名称：</w:t>
      </w:r>
      <w:r>
        <w:rPr>
          <w:rFonts w:ascii="Times New Roman" w:eastAsia="方正仿宋_GBK" w:hAnsi="Times New Roman"/>
          <w:sz w:val="28"/>
          <w:szCs w:val="28"/>
        </w:rPr>
        <w:t>中国海关科学技术研究中心2024年动植专项全自动建库仪等设备采购项目</w:t>
      </w:r>
      <w:r>
        <w:rPr>
          <w:rFonts w:ascii="Times New Roman" w:eastAsia="方正仿宋_GBK" w:hAnsi="Times New Roman" w:hint="eastAsia"/>
          <w:sz w:val="28"/>
          <w:szCs w:val="28"/>
        </w:rPr>
        <w:t>，预算金额：294万元。</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1.2采购项目的功能和目标</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为提高专业仪器的准确性和稳定性，解决精密仪器本身的技术壁垒，拟购置影像学实验结果以及分子生物等相关学科的专业仪器设备，旨在于提高动植专业领域科研实验精度，提升我中心动植专业科研创新能力和服务科技支撑能力。</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1.3采购项目需实现的政府采购政策目标</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cs="Arial"/>
          <w:bCs/>
          <w:sz w:val="28"/>
          <w:szCs w:val="28"/>
          <w:lang w:bidi="ar-SA"/>
        </w:rPr>
        <w:t>本项目专门面向中小企业</w:t>
      </w:r>
      <w:r>
        <w:rPr>
          <w:rFonts w:ascii="Times New Roman" w:eastAsia="方正仿宋_GBK" w:hAnsi="Times New Roman" w:hint="eastAsia"/>
          <w:sz w:val="28"/>
          <w:szCs w:val="28"/>
          <w:lang w:bidi="ar-SA"/>
        </w:rPr>
        <w:t>。</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1.4预算绩效目标等内容</w:t>
      </w:r>
    </w:p>
    <w:p>
      <w:pPr>
        <w:pStyle w:val="6310"/>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拟采购5台/套，采购预算共294万元（具体需求详见分配表），合同期限内安装到位。通过加强口岸鉴定设施建设，进一步筑牢口岸检疫防线，保证国门生物安全。</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2.需求调查情况</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是否进行需求调查：否</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3.公开征求意见情况</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是否公开征求意见：否</w:t>
      </w:r>
    </w:p>
    <w:p>
      <w:pPr>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hint="eastAsia"/>
          <w:sz w:val="28"/>
          <w:szCs w:val="28"/>
        </w:rPr>
        <w:t>4.需求审查情况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 xml:space="preserve">是否对采购需求进行审查：是 </w:t>
      </w:r>
    </w:p>
    <w:p>
      <w:pPr>
        <w:autoSpaceDN w:val="0"/>
        <w:spacing w:line="400" w:lineRule="exact"/>
        <w:ind w:firstLine="560" w:firstLineChars="200"/>
        <w:rPr>
          <w:rFonts w:ascii="Times New Roman" w:eastAsia="方正仿宋_GBK" w:hAnsi="Times New Roman" w:hint="eastAsia"/>
          <w:sz w:val="28"/>
          <w:szCs w:val="28"/>
        </w:rPr>
      </w:pPr>
    </w:p>
    <w:p>
      <w:pPr>
        <w:autoSpaceDN w:val="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w:t>
      </w:r>
      <w:r>
        <w:rPr>
          <w:rFonts w:ascii="方正黑体_GBK" w:eastAsia="方正黑体_GBK" w:hint="eastAsia"/>
          <w:b/>
          <w:sz w:val="28"/>
          <w:szCs w:val="28"/>
        </w:rPr>
        <w:t>二、核心产品</w:t>
      </w:r>
    </w:p>
    <w:p>
      <w:pPr>
        <w:spacing w:line="400" w:lineRule="exact"/>
        <w:ind w:firstLine="420" w:firstLineChars="150"/>
        <w:jc w:val="left"/>
        <w:rPr>
          <w:rFonts w:ascii="Times New Roman" w:eastAsia="方正仿宋_GBK" w:hAnsi="Times New Roman"/>
          <w:sz w:val="28"/>
          <w:szCs w:val="28"/>
        </w:rPr>
      </w:pPr>
      <w:r>
        <w:rPr>
          <w:rFonts w:ascii="Times New Roman" w:eastAsia="方正仿宋_GBK" w:hAnsi="Times New Roman" w:hint="eastAsia"/>
          <w:sz w:val="28"/>
          <w:szCs w:val="28"/>
        </w:rPr>
        <w:t>核心产品:（一）品目1全自动建库仪。</w:t>
      </w:r>
    </w:p>
    <w:p>
      <w:pPr>
        <w:spacing w:line="400" w:lineRule="exact"/>
        <w:ind w:firstLine="420" w:firstLineChars="150"/>
        <w:jc w:val="left"/>
        <w:rPr>
          <w:rFonts w:ascii="Times New Roman" w:eastAsia="方正仿宋_GBK" w:hAnsi="Times New Roman" w:hint="eastAsia"/>
          <w:sz w:val="28"/>
          <w:szCs w:val="28"/>
        </w:rPr>
      </w:pP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w:t>
      </w:r>
      <w:r>
        <w:rPr>
          <w:rFonts w:ascii="方正黑体_GBK" w:eastAsia="方正黑体_GBK" w:hint="eastAsia"/>
          <w:b/>
          <w:sz w:val="28"/>
          <w:szCs w:val="28"/>
        </w:rPr>
        <w:t>三、采购需求</w:t>
      </w:r>
    </w:p>
    <w:p>
      <w:pPr>
        <w:spacing w:before="120" w:beforeLines="50" w:after="120" w:afterLines="50"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（一）品目1（全自动建库仪）</w:t>
      </w:r>
    </w:p>
    <w:p>
      <w:pPr>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1.主要用途</w:t>
      </w:r>
    </w:p>
    <w:p>
      <w:pPr>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完成核酸样本的二代测序和三代测序的文库构建。</w:t>
      </w:r>
    </w:p>
    <w:p>
      <w:pPr>
        <w:spacing w:line="400" w:lineRule="exac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2.特殊资质要求</w:t>
      </w:r>
    </w:p>
    <w:p>
      <w:pPr>
        <w:pStyle w:val="18610"/>
        <w:autoSpaceDN w:val="0"/>
        <w:spacing w:line="400" w:lineRule="exact"/>
        <w:ind w:firstLine="560" w:firstLineChars="200"/>
        <w:rPr>
          <w:rFonts w:ascii="Times New Roman" w:eastAsia="方正仿宋_GBK" w:hAnsi="Times New Roman" w:hint="eastAsia"/>
          <w:sz w:val="28"/>
          <w:szCs w:val="28"/>
        </w:rPr>
      </w:pPr>
      <w:r>
        <w:rPr>
          <w:rFonts w:ascii="Times New Roman" w:eastAsia="方正仿宋_GBK" w:hAnsi="Times New Roman" w:cs="Arial"/>
          <w:bCs/>
          <w:sz w:val="28"/>
          <w:szCs w:val="28"/>
          <w:lang w:bidi="ar-SA"/>
        </w:rPr>
        <w:t>本项目专门面向中小企业</w:t>
      </w:r>
      <w:r>
        <w:rPr>
          <w:rFonts w:ascii="Times New Roman" w:eastAsia="方正仿宋_GBK" w:hAnsi="Times New Roman" w:hint="eastAsia"/>
          <w:sz w:val="28"/>
          <w:szCs w:val="28"/>
          <w:lang w:bidi="ar-SA"/>
        </w:rPr>
        <w:t>。</w:t>
      </w:r>
    </w:p>
    <w:p>
      <w:pPr>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3.主要技术参数</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 建库操作覆盖文库制备全流程，一键实现“核酸定量-修复-标签连接-核酸定量-pooling-接头连接-文库输出”全流程操作；</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 搭载双转盘核酸定量单元，机械臂程序化控制点样，样本位≧32×2个，可对核酸样本批量进行定量；</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▲3.3 </w:t>
      </w:r>
      <w:r>
        <w:rPr>
          <w:rFonts w:ascii="Times New Roman" w:eastAsia="方正仿宋_GBK" w:hAnsi="Times New Roman"/>
          <w:sz w:val="28"/>
          <w:szCs w:val="28"/>
        </w:rPr>
        <w:t xml:space="preserve"> </w:t>
      </w:r>
      <w:r>
        <w:rPr>
          <w:rFonts w:ascii="Times New Roman" w:eastAsia="方正仿宋_GBK" w:hAnsi="Times New Roman" w:hint="eastAsia"/>
          <w:sz w:val="28"/>
          <w:szCs w:val="28"/>
        </w:rPr>
        <w:t>0.5～120ng/μL浓度范围自动测定，无需人工操作；</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▲3.4 拥有自动升降式超强磁吸功能，根据样本体积自动调节吸附位置；</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▲3.5 搭载8通道或12通道移液器，移液范围：2μL～1000μL；</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3.6 搭载成熟二代、三代建库程序，自动化完成1～24个任意数量样本建库；</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3.7 连接法测序，在使用不低于1500孔芯片时，测序数据量产出，不低于400Mb/小时；</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3.8 支持多样本核酸自动pooling，可自动完成基于染料法核酸浓度定量和移液混样；</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3.9 温控模块一体化设计（非多温区拼凑），具备低温制冷功能，确保酶活力高效稳定，实现仪器试剂长时间作业。温度范围：0～105℃</w:t>
      </w:r>
      <w:r>
        <w:rPr>
          <w:rFonts w:ascii="Times New Roman" w:eastAsia="方正仿宋_GBK" w:hAnsi="Times New Roman"/>
          <w:sz w:val="28"/>
          <w:szCs w:val="28"/>
        </w:rPr>
        <w:t>。</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3.10 温度控制准确度：±1℃，温度控制一致性：±1℃；</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3.11 具备25～80℃加热震荡功能；</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3.12 配备UV紫外灯，实验结束自动开启，无需手动灭菌；</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3.13 配备过滤系统，实验开始自动开启，确保操作过程中空气洁净度达到</w:t>
      </w:r>
      <w:r>
        <w:rPr>
          <w:rFonts w:ascii="Times New Roman" w:eastAsia="方正仿宋_GBK" w:hAnsi="Times New Roman"/>
          <w:sz w:val="28"/>
          <w:szCs w:val="28"/>
        </w:rPr>
        <w:t>至少</w:t>
      </w:r>
      <w:r>
        <w:rPr>
          <w:rFonts w:ascii="Times New Roman" w:eastAsia="方正仿宋_GBK" w:hAnsi="Times New Roman" w:hint="eastAsia"/>
          <w:sz w:val="28"/>
          <w:szCs w:val="28"/>
        </w:rPr>
        <w:t>ISO5级别；</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3.14 引导式操作界面，自带扫码功能，防止试剂耗材位置装配错误；</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搭载智能互联系统，平板电脑和手机通过wifi远程连接建库仪，可实现远程操作和监控；</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3.15电机：自动报错、反馈并暂停，防止试剂和样本的损失；</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3.16柔性处理核酸样本，最大程度降低核酸样本片段化，满足三代测序文库对长片段的需求；</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3.17采用大体系磁珠纯化，结合自动升降式超强磁吸，可最大化回收高质量核酸片段；</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3.18自动识别过滤不合格样本；</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3.19建库仪内置多种建库程序；</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3.20全自动分子生物学常规试剂配液、分液功能；</w:t>
      </w:r>
    </w:p>
    <w:p>
      <w:pPr>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3.21具备样品扫描功能，自动提示试剂耗材工作位置。</w:t>
      </w:r>
    </w:p>
    <w:p>
      <w:pPr>
        <w:spacing w:line="400" w:lineRule="exact"/>
        <w:rPr>
          <w:rFonts w:ascii="Times New Roman" w:eastAsia="方正仿宋_GBK" w:hAnsi="Times New Roman" w:hint="eastAsia"/>
          <w:sz w:val="28"/>
          <w:szCs w:val="28"/>
        </w:rPr>
      </w:pPr>
      <w:r>
        <w:rPr>
          <w:rFonts w:ascii="方正小标宋_GBK" w:eastAsia="方正小标宋_GBK" w:cs="Arial" w:hint="eastAsia"/>
          <w:bCs/>
          <w:sz w:val="28"/>
          <w:szCs w:val="28"/>
          <w:lang w:bidi="ar-SA"/>
        </w:rPr>
        <w:t>★</w:t>
      </w:r>
      <w:r>
        <w:rPr>
          <w:rFonts w:ascii="Times New Roman" w:eastAsia="方正仿宋_GBK" w:hAnsi="Times New Roman" w:hint="eastAsia"/>
          <w:sz w:val="28"/>
          <w:szCs w:val="28"/>
        </w:rPr>
        <w:t>4.主要配置</w:t>
      </w:r>
    </w:p>
    <w:p>
      <w:pPr>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 主机 1台</w:t>
      </w:r>
      <w:r>
        <w:rPr>
          <w:rFonts w:ascii="Times New Roman" w:eastAsia="方正仿宋_GBK" w:hAnsi="Times New Roman" w:cs="Arial"/>
          <w:bCs/>
          <w:sz w:val="28"/>
          <w:szCs w:val="28"/>
          <w:lang w:bidi="ar-SA"/>
        </w:rPr>
        <w:t>；</w:t>
      </w:r>
    </w:p>
    <w:p>
      <w:pPr>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4.2 内置染料法核酸全自动定量模块 2台</w:t>
      </w:r>
      <w:r>
        <w:rPr>
          <w:rFonts w:ascii="Times New Roman" w:eastAsia="方正仿宋_GBK" w:hAnsi="Times New Roman" w:cs="Arial"/>
          <w:bCs/>
          <w:sz w:val="28"/>
          <w:szCs w:val="28"/>
          <w:lang w:bidi="ar-SA"/>
        </w:rPr>
        <w:t>；</w:t>
      </w:r>
    </w:p>
    <w:p>
      <w:pPr>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4.3 操作平板电脑 1台</w:t>
      </w:r>
      <w:r>
        <w:rPr>
          <w:rFonts w:ascii="Times New Roman" w:eastAsia="方正仿宋_GBK" w:hAnsi="Times New Roman" w:cs="Arial"/>
          <w:bCs/>
          <w:sz w:val="28"/>
          <w:szCs w:val="28"/>
          <w:lang w:bidi="ar-SA"/>
        </w:rPr>
        <w:t>；</w:t>
      </w:r>
    </w:p>
    <w:p>
      <w:pPr>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4.4 设备正常运转必需的标准配件/消耗品/部件。</w:t>
      </w:r>
    </w:p>
    <w:p>
      <w:pPr>
        <w:spacing w:line="400" w:lineRule="exact"/>
        <w:jc w:val="left"/>
        <w:rPr>
          <w:rFonts w:ascii="Times New Roman" w:eastAsia="方正仿宋_GBK" w:hAnsi="Times New Roman" w:cs="Arial" w:hint="eastAsia"/>
          <w:bCs/>
          <w:sz w:val="28"/>
          <w:szCs w:val="28"/>
        </w:rPr>
      </w:pPr>
    </w:p>
    <w:p>
      <w:pPr>
        <w:spacing w:before="120" w:beforeLines="50" w:after="120" w:afterLines="50"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（二）品目2（全自动核酸电泳片段回收仪）</w:t>
      </w:r>
    </w:p>
    <w:p>
      <w:pPr>
        <w:pStyle w:val="9101"/>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1.主要用途</w:t>
      </w:r>
    </w:p>
    <w:p>
      <w:pPr>
        <w:pStyle w:val="41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用于电泳图谱分析、片段选择回收、核酸浓度测定等。</w:t>
      </w:r>
    </w:p>
    <w:p>
      <w:pPr>
        <w:pStyle w:val="4010"/>
        <w:spacing w:line="400" w:lineRule="exac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2.特殊资质要求</w:t>
      </w:r>
    </w:p>
    <w:p>
      <w:pPr>
        <w:pStyle w:val="40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w:t>
      </w:r>
      <w:r>
        <w:rPr>
          <w:rFonts w:ascii="Times New Roman" w:eastAsia="方正仿宋_GBK" w:hAnsi="Times New Roman" w:cs="Arial"/>
          <w:bCs/>
          <w:sz w:val="28"/>
          <w:szCs w:val="28"/>
          <w:lang w:bidi="ar-SA"/>
        </w:rPr>
        <w:t>本项目专门面向中小企业</w:t>
      </w:r>
      <w:r>
        <w:rPr>
          <w:rFonts w:ascii="Times New Roman" w:eastAsia="方正仿宋_GBK" w:hAnsi="Times New Roman" w:hint="eastAsia"/>
          <w:sz w:val="28"/>
          <w:szCs w:val="28"/>
          <w:lang w:bidi="ar-SA"/>
        </w:rPr>
        <w:t>。</w:t>
      </w:r>
    </w:p>
    <w:p>
      <w:pPr>
        <w:pStyle w:val="9101"/>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3.主要技术参数</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3.1 基本功能：可完成核酸片段的回收以及核酸片段大小检测和核酸浓度测定；</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3.2 泳道分布：不低于12个泳道，可同时跑多个样本，也可单独跑单个泳道不浪费试剂；</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3.3 电泳检测速度：最快20分钟完成96个样本的片段分布分析；</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3.4 最小核酸片段大小回收范围：10bp-基因组DNA；</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▲3.5 仪操作方式：软件中设置回收片段起始bp和结束 bp，区间片段自动回收到回收室中；</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▲3.6 自动化：通过可插入式回收装置可在回收孔中直接得到目标核酸；可兼容自动化，一次完成至少96个样品的回收和检测；</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▲3.7 最大上样量：≥5μg DNA1；</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▲3.8 浓度检测：检测灵敏度不低于0.2ng/μL；</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3.9 防交叉污染：泳道之间完全独立，拒绝交叉污染；</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3.10 可进行狭窄范围的高精度片段回收；</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3.11 宽范围回收：单个样本在泳道内可长时间宽范围洗脱回收；</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3.12 对低含量样本回收：可对低浓度的cfDNA（游离DNA）进行回收；</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3.13 支持三代测序文库制备，可以在一个泳道中连续回收10～50kb DNA大片段；</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3.14 独立性：各泳道可独立回收不同大小范围片段，还可单独暂停、再启动；</w:t>
      </w:r>
    </w:p>
    <w:p>
      <w:pPr>
        <w:pStyle w:val="9101"/>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3.15 应用：支持一代测序、二代测序、三代测序各种文库制备，也可回收酶切用于克隆等传统分子生物学实验。</w:t>
      </w:r>
    </w:p>
    <w:p>
      <w:pPr>
        <w:pStyle w:val="20310"/>
        <w:rPr>
          <w:rFonts w:hint="eastAsia"/>
        </w:rPr>
      </w:pPr>
      <w:r>
        <w:rPr>
          <w:rFonts w:ascii="方正小标宋_GBK" w:eastAsia="方正小标宋_GBK" w:cs="Arial" w:hint="eastAsia"/>
          <w:bCs/>
          <w:sz w:val="28"/>
          <w:szCs w:val="28"/>
          <w:lang w:bidi="ar-SA"/>
        </w:rPr>
        <w:t>★</w:t>
      </w:r>
      <w:r>
        <w:rPr>
          <w:rFonts w:ascii="Times New Roman" w:eastAsia="方正仿宋_GBK" w:hAnsi="Times New Roman" w:hint="eastAsia"/>
          <w:sz w:val="28"/>
          <w:szCs w:val="28"/>
        </w:rPr>
        <w:t>4.主要配置</w:t>
      </w:r>
    </w:p>
    <w:p>
      <w:pPr>
        <w:pStyle w:val="9101"/>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全自动核酸电泳片段回收仪主机1台</w:t>
      </w:r>
      <w:r>
        <w:rPr>
          <w:rFonts w:ascii="Times New Roman" w:eastAsia="方正仿宋_GBK" w:hAnsi="Times New Roman" w:cs="Arial"/>
          <w:bCs/>
          <w:sz w:val="28"/>
          <w:szCs w:val="28"/>
          <w:lang w:bidi="ar-SA"/>
        </w:rPr>
        <w:t>；</w:t>
      </w:r>
    </w:p>
    <w:p>
      <w:pPr>
        <w:pStyle w:val="9101"/>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4.2</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操作工作站1台</w:t>
      </w:r>
      <w:r>
        <w:rPr>
          <w:rFonts w:ascii="Times New Roman" w:eastAsia="方正仿宋_GBK" w:hAnsi="Times New Roman" w:cs="Arial"/>
          <w:bCs/>
          <w:sz w:val="28"/>
          <w:szCs w:val="28"/>
          <w:lang w:bidi="ar-SA"/>
        </w:rPr>
        <w:t>；</w:t>
      </w:r>
    </w:p>
    <w:p>
      <w:pPr>
        <w:pStyle w:val="9101"/>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4.3 预制胶片耗材1套</w:t>
      </w:r>
      <w:r>
        <w:rPr>
          <w:rFonts w:ascii="Times New Roman" w:eastAsia="方正仿宋_GBK" w:hAnsi="Times New Roman" w:cs="Arial"/>
          <w:bCs/>
          <w:sz w:val="28"/>
          <w:szCs w:val="28"/>
          <w:lang w:bidi="ar-SA"/>
        </w:rPr>
        <w:t>。</w:t>
      </w:r>
    </w:p>
    <w:p>
      <w:pPr>
        <w:pStyle w:val="9101"/>
        <w:spacing w:line="400" w:lineRule="exact"/>
        <w:jc w:val="left"/>
        <w:rPr>
          <w:rFonts w:ascii="Times New Roman" w:eastAsia="方正仿宋_GBK" w:hAnsi="Times New Roman" w:hint="eastAsia"/>
          <w:sz w:val="28"/>
          <w:szCs w:val="28"/>
        </w:rPr>
      </w:pPr>
    </w:p>
    <w:p>
      <w:pPr>
        <w:spacing w:before="120" w:beforeLines="50" w:after="120" w:afterLines="50"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（三）品目3（无损蛋白定量成像系统）</w:t>
      </w:r>
    </w:p>
    <w:p>
      <w:pPr>
        <w:pStyle w:val="65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1.主要用途</w:t>
      </w:r>
    </w:p>
    <w:p>
      <w:pPr>
        <w:pStyle w:val="66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用于蛋白western定量研究；用于压片式接触原理的化学发光检测。</w:t>
      </w:r>
    </w:p>
    <w:p>
      <w:pPr>
        <w:pStyle w:val="6710"/>
        <w:spacing w:line="400" w:lineRule="exac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2.特殊资质要求</w:t>
      </w:r>
    </w:p>
    <w:p>
      <w:pPr>
        <w:pStyle w:val="67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w:t>
      </w:r>
      <w:r>
        <w:rPr>
          <w:rFonts w:ascii="Times New Roman" w:eastAsia="方正仿宋_GBK" w:hAnsi="Times New Roman" w:cs="Arial"/>
          <w:bCs/>
          <w:sz w:val="28"/>
          <w:szCs w:val="28"/>
          <w:lang w:bidi="ar-SA"/>
        </w:rPr>
        <w:t>本项目专门面向中小企业</w:t>
      </w:r>
      <w:r>
        <w:rPr>
          <w:rFonts w:ascii="Times New Roman" w:eastAsia="方正仿宋_GBK" w:hAnsi="Times New Roman" w:hint="eastAsia"/>
          <w:sz w:val="28"/>
          <w:szCs w:val="28"/>
          <w:lang w:bidi="ar-SA"/>
        </w:rPr>
        <w:t>。</w:t>
      </w:r>
    </w:p>
    <w:p>
      <w:pPr>
        <w:pStyle w:val="65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3.主要技术参数</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3.1主机需原始像素（非合并）尺寸：≥100μm×100μm；</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3.2主机需满阱电子容量：≥250万e-，提供极高的定量范围，强信号不过曝，确保高丰度蛋白和低丰度蛋白都可以准确高清成像和精确定量。在低敏模式下，满井电子数可达至少600万e-；</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3.3主机需接触式成像，western膜直接贴合在感光芯片上，信号采集距离（光程）为0mm，光损失为0；</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3.4主机需信号传输：Ethernetcable，连接稳定，使用超七类（Cat7e）增强连接线，最大传输速率不低于1000Mbps，支持高清图像快速传输；</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▲3.5主机需成像芯片长度≥14cm，有效成像面积：≥150cm2；</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▲3.6软件需多图同时分析，支持不低于40张结果图片同时分析，分析结果统一输出到一个excel表格中，也可以指定图片结果输出，同时支持分析结果已不同的组合多次输出；</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3.7 主机需图像分辨率≥300dpi，可直接用于文章发表。指定分辨率输出，600dpi，1200dpi；</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3.8 主机需量子效率：≥85%；</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3.9 主机无需镜头，消除镜头透镜带来的光损失：直接成像，无需经过镜头转换，光电转换效率更高；</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3.10 主机开机即用，无需等待时间；</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3.11 主机≥95%的样品成像时间仅需≤1秒；</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3.12 主机成像夹角：≥180°，样品信号光子完全接收，加快成像速度，提高图像质量；</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3.13 仪器自带实体一键操作按钮，可实现一键采集，无需软件操作即可实现自动采集；</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3.14 应用方向涵盖，Westernblot化学发光成像，Southernblot化学发光成像、Northernblot化学发光成像、蛋白凝胶成像等；</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3.15 支持同位素成像；</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3.16 图像采集模式：自动和手动采集图像模式；</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3.17 一键成像：自动模式一键自动采集至少8张不同时间图像，可以获得客户最佳条件和效果的实验效果（提供相应的证明材料，如产品检测报告或产品说明书或最新公开的产品宣传彩页等复印件）；</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3.18 支持多用户管理，每个操作人员可以单独建立自己的账户，并设置单独的默认图像保存路径；</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3.19 结果图片自动保存到每个账户单独设置的文件夹中，方便结果查找；</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3.20 软件同时包含采集模块和分析模块；</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3.21 支持原图导出，用于定量分析；22图像采集时间：0.1秒～10分钟；</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3.22 支持3D查看功能，直观查看蛋白表达量；</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3.23 三种成像模式：标准模式、极限高清模式和低敏模式，分别适用于不同的成像场景（提供相应的证明材料，如产品检测报告或产品说明书或最新公开的产品宣传彩页等复印件）；</w:t>
      </w:r>
    </w:p>
    <w:p>
      <w:pPr>
        <w:pStyle w:val="6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3.24 自定义成像模式，可以选择不同时间间隔，一次性成像至少30张；软件支持无限免费安装。</w:t>
      </w:r>
    </w:p>
    <w:p>
      <w:pPr>
        <w:pStyle w:val="6510"/>
        <w:spacing w:line="400" w:lineRule="exact"/>
        <w:rPr>
          <w:rFonts w:ascii="Times New Roman" w:eastAsia="方正仿宋_GBK" w:hAnsi="Times New Roman" w:hint="eastAsia"/>
          <w:sz w:val="28"/>
          <w:szCs w:val="28"/>
        </w:rPr>
      </w:pPr>
      <w:r>
        <w:rPr>
          <w:rFonts w:ascii="方正小标宋_GBK" w:eastAsia="方正小标宋_GBK" w:cs="Arial" w:hint="eastAsia"/>
          <w:bCs/>
          <w:sz w:val="28"/>
          <w:szCs w:val="28"/>
          <w:lang w:bidi="ar-SA"/>
        </w:rPr>
        <w:t>★</w:t>
      </w:r>
      <w:r>
        <w:rPr>
          <w:rFonts w:ascii="Times New Roman" w:eastAsia="方正仿宋_GBK" w:hAnsi="Times New Roman" w:hint="eastAsia"/>
          <w:sz w:val="28"/>
          <w:szCs w:val="28"/>
        </w:rPr>
        <w:t>4.主要配置</w:t>
      </w:r>
    </w:p>
    <w:p>
      <w:pPr>
        <w:pStyle w:val="65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主机 1台</w:t>
      </w:r>
      <w:r>
        <w:rPr>
          <w:rFonts w:ascii="Times New Roman" w:eastAsia="方正仿宋_GBK" w:hAnsi="Times New Roman" w:cs="Arial"/>
          <w:bCs/>
          <w:sz w:val="28"/>
          <w:szCs w:val="28"/>
          <w:lang w:bidi="ar-SA"/>
        </w:rPr>
        <w:t>；</w:t>
      </w:r>
    </w:p>
    <w:p>
      <w:pPr>
        <w:pStyle w:val="65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4.2</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电源适配器 1个</w:t>
      </w:r>
      <w:r>
        <w:rPr>
          <w:rFonts w:ascii="Times New Roman" w:eastAsia="方正仿宋_GBK" w:hAnsi="Times New Roman" w:cs="Arial"/>
          <w:bCs/>
          <w:sz w:val="28"/>
          <w:szCs w:val="28"/>
          <w:lang w:bidi="ar-SA"/>
        </w:rPr>
        <w:t>；</w:t>
      </w:r>
    </w:p>
    <w:p>
      <w:pPr>
        <w:pStyle w:val="65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4.3</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数据传输线 1根</w:t>
      </w:r>
      <w:r>
        <w:rPr>
          <w:rFonts w:ascii="Times New Roman" w:eastAsia="方正仿宋_GBK" w:hAnsi="Times New Roman" w:cs="Arial"/>
          <w:bCs/>
          <w:sz w:val="28"/>
          <w:szCs w:val="28"/>
          <w:lang w:bidi="ar-SA"/>
        </w:rPr>
        <w:t>；</w:t>
      </w:r>
    </w:p>
    <w:p>
      <w:pPr>
        <w:pStyle w:val="65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4.4</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防静电Western专用样品镊子 10把</w:t>
      </w:r>
      <w:r>
        <w:rPr>
          <w:rFonts w:ascii="Times New Roman" w:eastAsia="方正仿宋_GBK" w:hAnsi="Times New Roman" w:cs="Arial"/>
          <w:bCs/>
          <w:sz w:val="28"/>
          <w:szCs w:val="28"/>
          <w:lang w:bidi="ar-SA"/>
        </w:rPr>
        <w:t>；</w:t>
      </w:r>
    </w:p>
    <w:p>
      <w:pPr>
        <w:pStyle w:val="65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4.5</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防膜夹伤硅胶镊子 1把</w:t>
      </w:r>
      <w:r>
        <w:rPr>
          <w:rFonts w:ascii="Times New Roman" w:eastAsia="方正仿宋_GBK" w:hAnsi="Times New Roman" w:cs="Arial"/>
          <w:bCs/>
          <w:sz w:val="28"/>
          <w:szCs w:val="28"/>
          <w:lang w:bidi="ar-SA"/>
        </w:rPr>
        <w:t>；</w:t>
      </w:r>
    </w:p>
    <w:p>
      <w:pPr>
        <w:pStyle w:val="65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4.6</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说明书 1份</w:t>
      </w:r>
      <w:r>
        <w:rPr>
          <w:rFonts w:ascii="Times New Roman" w:eastAsia="方正仿宋_GBK" w:hAnsi="Times New Roman" w:cs="Arial"/>
          <w:bCs/>
          <w:sz w:val="28"/>
          <w:szCs w:val="28"/>
          <w:lang w:bidi="ar-SA"/>
        </w:rPr>
        <w:t>。</w:t>
      </w:r>
    </w:p>
    <w:p>
      <w:pPr>
        <w:pStyle w:val="6510"/>
        <w:spacing w:line="400" w:lineRule="exact"/>
        <w:jc w:val="left"/>
        <w:rPr>
          <w:rFonts w:ascii="Times New Roman" w:eastAsia="方正仿宋_GBK" w:hAnsi="Times New Roman" w:hint="eastAsia"/>
          <w:sz w:val="28"/>
          <w:szCs w:val="28"/>
        </w:rPr>
      </w:pPr>
    </w:p>
    <w:p>
      <w:pPr>
        <w:pStyle w:val="6810"/>
        <w:spacing w:before="120" w:beforeLines="50" w:after="120" w:afterLines="50"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（四）品目4（凝胶成像系统）</w:t>
      </w:r>
    </w:p>
    <w:p>
      <w:pPr>
        <w:pStyle w:val="69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1.主要用途</w:t>
      </w:r>
    </w:p>
    <w:p>
      <w:pPr>
        <w:pStyle w:val="70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ECL、ECL PLUS、Western、Northern、Southern等发光样品的成像和分析，并可用于生物芯片发光检测、植物活体发光成像、菌落活体发光成像等检测。</w:t>
      </w:r>
    </w:p>
    <w:p>
      <w:pPr>
        <w:pStyle w:val="71100"/>
        <w:spacing w:line="400" w:lineRule="exac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2.特殊资质要求</w:t>
      </w:r>
    </w:p>
    <w:p>
      <w:pPr>
        <w:pStyle w:val="7110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w:t>
      </w:r>
      <w:r>
        <w:rPr>
          <w:rFonts w:ascii="Times New Roman" w:eastAsia="方正仿宋_GBK" w:hAnsi="Times New Roman" w:cs="Arial"/>
          <w:bCs/>
          <w:sz w:val="28"/>
          <w:szCs w:val="28"/>
          <w:lang w:bidi="ar-SA"/>
        </w:rPr>
        <w:t>本项目专门面向中小企业</w:t>
      </w:r>
      <w:r>
        <w:rPr>
          <w:rFonts w:ascii="Times New Roman" w:eastAsia="方正仿宋_GBK" w:hAnsi="Times New Roman" w:hint="eastAsia"/>
          <w:sz w:val="28"/>
          <w:szCs w:val="28"/>
          <w:lang w:bidi="ar-SA"/>
        </w:rPr>
        <w:t>。</w:t>
      </w:r>
    </w:p>
    <w:p>
      <w:pPr>
        <w:pStyle w:val="69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3.主要技术参数</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3.1 电动镜头：标配F0.80镜头；</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3.2 滤光片尺寸：直径≥62mm；</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3.3 区域自动曝光: 可自由选择曝光识别区域，实现精确自动曝光；</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3.4 摄像头：高分辨低照度数码制冷CCD摄像头；</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3.5 冷却温度：≤-60℃；</w:t>
      </w:r>
    </w:p>
    <w:p>
      <w:pPr>
        <w:pStyle w:val="21210"/>
        <w:rPr>
          <w:rFonts w:ascii="方正小标宋_GBK" w:eastAsia="方正小标宋_GBK" w:hint="eastAsia"/>
        </w:rPr>
      </w:pPr>
      <w:r>
        <w:rPr>
          <w:rFonts w:ascii="Times New Roman" w:eastAsia="方正仿宋_GBK" w:hAnsi="Times New Roman" w:hint="eastAsia"/>
          <w:sz w:val="28"/>
          <w:szCs w:val="28"/>
        </w:rPr>
        <w:t>3.6 分辨率：≥600万像素；</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3.7 量子效率：CCD芯片光电转换效率≥75%；</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3.8 像素合并：1×1，2×2，3×3，4×4，5×5；</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3.9 电动调焦：可通过软件进行镜头的电动聚焦调整；</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3.10 样品台：上下双层样品台，可兼容拍摄样品厚度0.01mm～10cm；</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3.11 滤光片轮：电脑控制自动滤光片轮，标配535nm、590nm、605nm、699nm滤光片；</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3.12 反射紫外：254nm、365nm；</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3.13 透射紫外：302nm；</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3.14 多色荧光：具有R、G、B荧光激发光源；</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3.15 全中文拍摄分析软件，自动识别8bit、16bit的图像以及序列图像；</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3.16 单张自动曝光: 无需手动设置曝光时间，系统自动识别样品强度并自动设置最佳单张曝光时间，获得单张图像；</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3.17 序列自动曝光: 无需手动设置曝光时间，系统自动识别样品强度，并自动设置最佳序列曝光时间，一次自动曝光即可获得至少5 张图像；</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3.18 序列保存: 具有序列图像保存功能，无需单张图片分别存储；</w:t>
      </w:r>
    </w:p>
    <w:p>
      <w:pPr>
        <w:pStyle w:val="69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3.19 溢出提示: 在拍摄中可显示过饱和像素，保证精确定量。</w:t>
      </w:r>
    </w:p>
    <w:p>
      <w:pPr>
        <w:pStyle w:val="69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4.主要配置</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高分辨率低照度数码制冷CCD</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4.2</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专业级大口径高通透镜头</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4.3</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暗箱装置（预装LED反射白光灯；预装双侧反射：254nm，365nm；预装高亮度LED 红、绿、蓝反射激发光源）</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4.4</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电动滤光片轮</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4.5</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535/590/605/699nm滤光片</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4.6</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紫外透射灯箱</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4.7</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8w紫外灯管（302nm）</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4.8</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紫外白光转换板</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4.9</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机箱顶盖</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4.10 软件加密狗</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 xml:space="preserve">4.11 </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USB连接线</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4.12 电源线</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4.13 拍摄分析软件</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4.14 插座</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cs="Arial" w:hint="eastAsia"/>
          <w:bCs/>
          <w:sz w:val="28"/>
          <w:szCs w:val="28"/>
        </w:rPr>
      </w:pPr>
      <w:r>
        <w:rPr>
          <w:rFonts w:ascii="Times New Roman" w:eastAsia="方正楷体_GBK" w:hAnsi="Times New Roman" w:cs="Arial" w:hint="eastAsia"/>
          <w:b/>
          <w:bCs/>
          <w:sz w:val="28"/>
          <w:szCs w:val="28"/>
          <w:lang w:bidi="ar-SA"/>
        </w:rPr>
        <w:t>★</w:t>
      </w:r>
      <w:r>
        <w:rPr>
          <w:rFonts w:ascii="Times New Roman" w:eastAsia="方正仿宋_GBK" w:hAnsi="Times New Roman" w:cs="Arial" w:hint="eastAsia"/>
          <w:bCs/>
          <w:sz w:val="28"/>
          <w:szCs w:val="28"/>
          <w:lang w:bidi="ar-SA"/>
        </w:rPr>
        <w:t>4.15 国产电脑。</w:t>
      </w:r>
      <w:r>
        <w:rPr>
          <w:rFonts w:ascii="Times New Roman" w:eastAsia="方正仿宋_GBK" w:hAnsi="Times New Roman" w:hint="eastAsia"/>
          <w:sz w:val="28"/>
          <w:szCs w:val="28"/>
        </w:rPr>
        <w:t>投标人需提供</w:t>
      </w:r>
      <w:r>
        <w:rPr>
          <w:rFonts w:ascii="Times New Roman" w:eastAsia="方正仿宋_GBK" w:hAnsi="Times New Roman" w:cs="Arial" w:hint="eastAsia"/>
          <w:bCs/>
          <w:sz w:val="28"/>
          <w:szCs w:val="28"/>
          <w:lang w:bidi="ar-SA"/>
        </w:rPr>
        <w:t>产品技术指标需满足财库《</w:t>
      </w:r>
      <w:r>
        <w:rPr>
          <w:rFonts w:ascii="Times New Roman" w:eastAsia="方正仿宋_GBK" w:hAnsi="Times New Roman" w:cs="Arial"/>
          <w:bCs/>
          <w:sz w:val="28"/>
          <w:szCs w:val="28"/>
          <w:lang w:bidi="ar-SA"/>
        </w:rPr>
        <w:t>台式计算机</w:t>
      </w:r>
      <w:r>
        <w:rPr>
          <w:rFonts w:ascii="Times New Roman" w:eastAsia="方正仿宋_GBK" w:hAnsi="Times New Roman" w:cs="Arial" w:hint="eastAsia"/>
          <w:bCs/>
          <w:sz w:val="28"/>
          <w:szCs w:val="28"/>
          <w:lang w:bidi="ar-SA"/>
        </w:rPr>
        <w:t>政府采购需求标准（2023年版）》中的星标项‘*’指标的承诺函，格式自拟</w:t>
      </w:r>
      <w:r>
        <w:rPr>
          <w:rFonts w:ascii="Times New Roman" w:eastAsia="方正仿宋_GBK" w:hAnsi="Times New Roman" w:cs="Arial"/>
          <w:bCs/>
          <w:sz w:val="28"/>
          <w:szCs w:val="28"/>
          <w:lang w:bidi="ar-SA"/>
        </w:rPr>
        <w:t>。</w:t>
      </w:r>
    </w:p>
    <w:p>
      <w:pPr>
        <w:pStyle w:val="6910"/>
        <w:spacing w:line="400" w:lineRule="exact"/>
        <w:jc w:val="left"/>
        <w:rPr>
          <w:rFonts w:ascii="Times New Roman" w:eastAsia="方正仿宋_GBK" w:hAnsi="Times New Roman" w:hint="eastAsia"/>
          <w:sz w:val="28"/>
          <w:szCs w:val="28"/>
        </w:rPr>
      </w:pPr>
    </w:p>
    <w:p>
      <w:pPr>
        <w:pStyle w:val="7210"/>
        <w:spacing w:before="120" w:beforeLines="50" w:after="120" w:afterLines="50"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（五）品目5（液氮冻干珠点液系统）</w:t>
      </w:r>
    </w:p>
    <w:p>
      <w:pPr>
        <w:pStyle w:val="73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1.主要用途</w:t>
      </w:r>
    </w:p>
    <w:p>
      <w:pPr>
        <w:pStyle w:val="74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自动将试剂精准点到液氮中，进行冻干珠的连续生产。</w:t>
      </w:r>
    </w:p>
    <w:p>
      <w:pPr>
        <w:pStyle w:val="7510"/>
        <w:spacing w:line="400" w:lineRule="exac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2.特殊资质要求</w:t>
      </w:r>
    </w:p>
    <w:p>
      <w:pPr>
        <w:pStyle w:val="198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 xml:space="preserve">    </w:t>
      </w:r>
      <w:r>
        <w:rPr>
          <w:rFonts w:ascii="Times New Roman" w:eastAsia="方正仿宋_GBK" w:hAnsi="Times New Roman" w:cs="Arial"/>
          <w:bCs/>
          <w:sz w:val="28"/>
          <w:szCs w:val="28"/>
          <w:lang w:bidi="ar-SA"/>
        </w:rPr>
        <w:t>本项目专门面向中小企业</w:t>
      </w:r>
      <w:r>
        <w:rPr>
          <w:rFonts w:ascii="Times New Roman" w:eastAsia="方正仿宋_GBK" w:hAnsi="Times New Roman" w:hint="eastAsia"/>
          <w:sz w:val="28"/>
          <w:szCs w:val="28"/>
          <w:lang w:bidi="ar-SA"/>
        </w:rPr>
        <w:t>。</w:t>
      </w:r>
    </w:p>
    <w:p>
      <w:pPr>
        <w:pStyle w:val="75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3.主要技术参数</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3.1冻干微球体积：3~50μ</w:t>
      </w:r>
      <w:r>
        <w:rPr>
          <w:rFonts w:ascii="Times New Roman" w:eastAsia="方正仿宋_GBK" w:hAnsi="Times New Roman"/>
          <w:sz w:val="28"/>
          <w:szCs w:val="28"/>
        </w:rPr>
        <w:t>L</w:t>
      </w:r>
      <w:r>
        <w:rPr>
          <w:rFonts w:ascii="Times New Roman" w:eastAsia="方正仿宋_GBK" w:hAnsi="Times New Roman" w:hint="eastAsia"/>
          <w:sz w:val="28"/>
          <w:szCs w:val="28"/>
        </w:rPr>
        <w:t>；</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3.2气泡影响成球一致性，自带气泡报警功能；</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cs="Arial" w:hint="eastAsia"/>
          <w:bCs/>
          <w:sz w:val="28"/>
          <w:szCs w:val="28"/>
          <w:lang w:bidi="ar-SA"/>
        </w:rPr>
        <w:t>★</w:t>
      </w:r>
      <w:r>
        <w:rPr>
          <w:rFonts w:ascii="Times New Roman" w:eastAsia="方正仿宋_GBK" w:hAnsi="Times New Roman" w:hint="eastAsia"/>
          <w:sz w:val="28"/>
          <w:szCs w:val="28"/>
        </w:rPr>
        <w:t>3.3液氮损耗＜0.5L/h</w:t>
      </w:r>
      <w:r>
        <w:rPr>
          <w:rFonts w:ascii="Times New Roman" w:eastAsia="方正仿宋_GBK" w:hAnsi="Times New Roman"/>
          <w:sz w:val="28"/>
          <w:szCs w:val="28"/>
        </w:rPr>
        <w:t>；</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3.4产量：不低于6000珠/小时；</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3.5点液精度：≤1%；</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3.6电压/功率：AC220V±10%，1000W；</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3.7智能调节冻干微球大小，便于切换小球品类</w:t>
      </w:r>
      <w:r>
        <w:rPr>
          <w:rFonts w:ascii="Times New Roman" w:eastAsia="方正仿宋_GBK" w:hAnsi="Times New Roman"/>
          <w:sz w:val="28"/>
          <w:szCs w:val="28"/>
        </w:rPr>
        <w:t>；</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3.8精密微量陶瓷泵，无磨损，更长寿命；</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3.9无须气源</w:t>
      </w:r>
      <w:r>
        <w:rPr>
          <w:rFonts w:ascii="Times New Roman" w:eastAsia="方正仿宋_GBK" w:hAnsi="Times New Roman"/>
          <w:sz w:val="28"/>
          <w:szCs w:val="28"/>
        </w:rPr>
        <w:t>；</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3.10一体式液氮存储装置；</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3.11独立收集小球区域更多，更大限度的提升设备产能</w:t>
      </w:r>
      <w:r>
        <w:rPr>
          <w:rFonts w:ascii="Times New Roman" w:eastAsia="方正仿宋_GBK" w:hAnsi="Times New Roman"/>
          <w:sz w:val="28"/>
          <w:szCs w:val="28"/>
        </w:rPr>
        <w:t>；</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3.12一键式切换点液/清洗/回抽模式；</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3.13支持人工控机和电脑控制，便于生产数据、批次、配方等参数存储</w:t>
      </w:r>
      <w:r>
        <w:rPr>
          <w:rFonts w:ascii="Times New Roman" w:eastAsia="方正仿宋_GBK" w:hAnsi="Times New Roman"/>
          <w:sz w:val="28"/>
          <w:szCs w:val="28"/>
        </w:rPr>
        <w:t>和</w:t>
      </w:r>
      <w:r>
        <w:rPr>
          <w:rFonts w:ascii="Times New Roman" w:eastAsia="方正仿宋_GBK" w:hAnsi="Times New Roman" w:hint="eastAsia"/>
          <w:sz w:val="28"/>
          <w:szCs w:val="28"/>
        </w:rPr>
        <w:t>导出；</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3.14中英文操作界面切换，界面简洁明了，操作简单；</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3.15一键启动/停止/复位功能；</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3.16单步点液功能；</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3.17点液位置灵活调节设置；</w:t>
      </w:r>
    </w:p>
    <w:p>
      <w:pPr>
        <w:pStyle w:val="73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3.18针头抖动频率灵活设置。</w:t>
      </w:r>
    </w:p>
    <w:p>
      <w:pPr>
        <w:pStyle w:val="7310"/>
        <w:spacing w:line="400" w:lineRule="exact"/>
        <w:rPr>
          <w:rFonts w:ascii="Times New Roman" w:eastAsia="方正仿宋_GBK" w:hAnsi="Times New Roman" w:hint="eastAsia"/>
          <w:sz w:val="28"/>
          <w:szCs w:val="28"/>
        </w:rPr>
      </w:pPr>
      <w:r>
        <w:rPr>
          <w:rFonts w:ascii="Times New Roman" w:eastAsia="方正仿宋_GBK" w:hAnsi="Times New Roman" w:hint="eastAsia"/>
          <w:sz w:val="28"/>
          <w:szCs w:val="28"/>
        </w:rPr>
        <w:t>4.主要配置</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操作显示器；</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4.2</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抖动模块；</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4.3</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针头支架；</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4.4</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液氮盆；</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4.5</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小球收集装置；</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4.6</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小球隔离装置；</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4.7</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排液槽；</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4.8</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智能微量陶瓷泵；</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4.9</w:t>
      </w:r>
      <w:r>
        <w:rPr>
          <w:rFonts w:ascii="Times New Roman" w:eastAsia="方正仿宋_GBK" w:hAnsi="Times New Roman" w:cs="Arial"/>
          <w:bCs/>
          <w:sz w:val="28"/>
          <w:szCs w:val="28"/>
          <w:lang w:bidi="ar-SA"/>
        </w:rPr>
        <w:t xml:space="preserve">  </w:t>
      </w:r>
      <w:r>
        <w:rPr>
          <w:rFonts w:ascii="Times New Roman" w:eastAsia="方正仿宋_GBK" w:hAnsi="Times New Roman" w:cs="Arial" w:hint="eastAsia"/>
          <w:bCs/>
          <w:sz w:val="28"/>
          <w:szCs w:val="28"/>
          <w:lang w:bidi="ar-SA"/>
        </w:rPr>
        <w:t>气泡检测装置；</w:t>
      </w:r>
    </w:p>
    <w:p>
      <w:pPr>
        <w:pStyle w:val="7310"/>
        <w:spacing w:line="400" w:lineRule="exact"/>
        <w:jc w:val="left"/>
        <w:rPr>
          <w:rFonts w:ascii="Times New Roman" w:eastAsia="方正仿宋_GBK" w:hAnsi="Times New Roman" w:cs="Arial" w:hint="eastAsia"/>
          <w:bCs/>
          <w:sz w:val="28"/>
          <w:szCs w:val="28"/>
        </w:rPr>
      </w:pPr>
      <w:r>
        <w:rPr>
          <w:rFonts w:ascii="Times New Roman" w:eastAsia="方正仿宋_GBK" w:hAnsi="Times New Roman" w:cs="Arial" w:hint="eastAsia"/>
          <w:bCs/>
          <w:sz w:val="28"/>
          <w:szCs w:val="28"/>
          <w:lang w:bidi="ar-SA"/>
        </w:rPr>
        <w:t>4.10 设备支架；</w:t>
      </w:r>
    </w:p>
    <w:p>
      <w:pPr>
        <w:pStyle w:val="7310"/>
        <w:spacing w:line="400" w:lineRule="exact"/>
        <w:jc w:val="left"/>
        <w:rPr>
          <w:rFonts w:ascii="Times New Roman" w:eastAsia="方正仿宋_GBK" w:hAnsi="Times New Roman" w:cs="Arial" w:hint="eastAsia"/>
          <w:bCs/>
          <w:sz w:val="28"/>
          <w:szCs w:val="28"/>
        </w:rPr>
      </w:pPr>
      <w:r>
        <w:rPr>
          <w:rFonts w:ascii="Times New Roman" w:eastAsia="方正楷体_GBK" w:hAnsi="Times New Roman" w:cs="Arial" w:hint="eastAsia"/>
          <w:b/>
          <w:bCs/>
          <w:sz w:val="28"/>
          <w:szCs w:val="28"/>
          <w:lang w:bidi="ar-SA"/>
        </w:rPr>
        <w:t>★</w:t>
      </w:r>
      <w:r>
        <w:rPr>
          <w:rFonts w:ascii="Times New Roman" w:eastAsia="方正仿宋_GBK" w:hAnsi="Times New Roman" w:cs="Arial" w:hint="eastAsia"/>
          <w:bCs/>
          <w:sz w:val="28"/>
          <w:szCs w:val="28"/>
          <w:lang w:bidi="ar-SA"/>
        </w:rPr>
        <w:t>4.11 鼠标、国产电脑；</w:t>
      </w:r>
      <w:r>
        <w:rPr>
          <w:rFonts w:ascii="Times New Roman" w:eastAsia="方正仿宋_GBK" w:hAnsi="Times New Roman" w:hint="eastAsia"/>
          <w:sz w:val="28"/>
          <w:szCs w:val="28"/>
        </w:rPr>
        <w:t>投标人需提供</w:t>
      </w:r>
      <w:r>
        <w:rPr>
          <w:rFonts w:ascii="Times New Roman" w:eastAsia="方正仿宋_GBK" w:hAnsi="Times New Roman" w:cs="Arial" w:hint="eastAsia"/>
          <w:bCs/>
          <w:sz w:val="28"/>
          <w:szCs w:val="28"/>
          <w:lang w:bidi="ar-SA"/>
        </w:rPr>
        <w:t>产品技术指标需满足财库《</w:t>
      </w:r>
      <w:r>
        <w:rPr>
          <w:rFonts w:ascii="Times New Roman" w:eastAsia="方正仿宋_GBK" w:hAnsi="Times New Roman" w:cs="Arial"/>
          <w:bCs/>
          <w:sz w:val="28"/>
          <w:szCs w:val="28"/>
          <w:lang w:bidi="ar-SA"/>
        </w:rPr>
        <w:t>台式计算机</w:t>
      </w:r>
      <w:r>
        <w:rPr>
          <w:rFonts w:ascii="Times New Roman" w:eastAsia="方正仿宋_GBK" w:hAnsi="Times New Roman" w:cs="Arial" w:hint="eastAsia"/>
          <w:bCs/>
          <w:sz w:val="28"/>
          <w:szCs w:val="28"/>
          <w:lang w:bidi="ar-SA"/>
        </w:rPr>
        <w:t>政府采购需求标准（2023年版）》中的星标项‘*’指标的承诺函，格式自拟</w:t>
      </w:r>
    </w:p>
    <w:p>
      <w:pPr>
        <w:pStyle w:val="7310"/>
        <w:spacing w:line="400" w:lineRule="exact"/>
        <w:jc w:val="left"/>
        <w:rPr>
          <w:rFonts w:ascii="Times New Roman" w:eastAsia="方正仿宋_GBK" w:hAnsi="Times New Roman" w:cs="Arial"/>
          <w:bCs/>
          <w:sz w:val="28"/>
          <w:szCs w:val="28"/>
        </w:rPr>
      </w:pPr>
      <w:r>
        <w:rPr>
          <w:rFonts w:ascii="Times New Roman" w:eastAsia="方正仿宋_GBK" w:hAnsi="Times New Roman" w:cs="Arial" w:hint="eastAsia"/>
          <w:bCs/>
          <w:sz w:val="28"/>
          <w:szCs w:val="28"/>
          <w:lang w:bidi="ar-SA"/>
        </w:rPr>
        <w:t>4.12 管路、接头、针头等。</w:t>
      </w:r>
    </w:p>
    <w:p>
      <w:pPr>
        <w:pStyle w:val="7310"/>
        <w:spacing w:line="400" w:lineRule="exact"/>
        <w:jc w:val="left"/>
        <w:rPr>
          <w:rFonts w:ascii="Times New Roman" w:eastAsia="方正仿宋_GBK" w:hAnsi="Times New Roman" w:hint="eastAsia"/>
          <w:sz w:val="28"/>
          <w:szCs w:val="28"/>
        </w:rPr>
      </w:pPr>
    </w:p>
    <w:p>
      <w:pPr>
        <w:widowControl/>
        <w:spacing w:line="400" w:lineRule="exact"/>
        <w:jc w:val="left"/>
        <w:rPr>
          <w:rFonts w:ascii="方正黑体_GBK" w:eastAsia="方正黑体_GBK" w:hint="eastAsia"/>
          <w:b/>
          <w:sz w:val="28"/>
          <w:szCs w:val="28"/>
        </w:rPr>
      </w:pPr>
      <w:r>
        <w:rPr>
          <w:rFonts w:ascii="方正黑体_GBK" w:eastAsia="方正黑体_GBK" w:cs="Arial" w:hint="eastAsia"/>
          <w:b/>
          <w:bCs/>
          <w:sz w:val="28"/>
          <w:szCs w:val="28"/>
          <w:lang w:bidi="ar-SA"/>
        </w:rPr>
        <w:t>★</w:t>
      </w:r>
      <w:r>
        <w:rPr>
          <w:rFonts w:ascii="方正黑体_GBK" w:eastAsia="方正黑体_GBK" w:hint="eastAsia"/>
          <w:b/>
          <w:sz w:val="28"/>
          <w:szCs w:val="28"/>
        </w:rPr>
        <w:t>四、 交货期</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合同签订后90日内交货。</w:t>
      </w:r>
    </w:p>
    <w:p>
      <w:pPr>
        <w:spacing w:line="400" w:lineRule="exact"/>
        <w:jc w:val="left"/>
        <w:rPr>
          <w:rFonts w:ascii="Times New Roman" w:eastAsia="方正仿宋_GBK" w:hAnsi="Times New Roman"/>
          <w:sz w:val="28"/>
          <w:szCs w:val="28"/>
        </w:rPr>
      </w:pPr>
    </w:p>
    <w:p>
      <w:pPr>
        <w:pStyle w:val="61100"/>
        <w:spacing w:line="400" w:lineRule="exact"/>
        <w:jc w:val="left"/>
        <w:rPr>
          <w:rFonts w:ascii="方正黑体_GBK" w:eastAsia="方正黑体_GBK" w:hint="eastAsia"/>
          <w:b/>
          <w:sz w:val="28"/>
          <w:szCs w:val="28"/>
        </w:rPr>
      </w:pPr>
      <w:r>
        <w:rPr>
          <w:rFonts w:ascii="方正仿宋_GBK" w:eastAsia="方正仿宋_GBK" w:cs="Arial" w:hint="eastAsia"/>
          <w:b/>
          <w:bCs/>
          <w:sz w:val="28"/>
          <w:szCs w:val="28"/>
          <w:lang w:bidi="ar-SA"/>
        </w:rPr>
        <w:t>★</w:t>
      </w:r>
      <w:r>
        <w:rPr>
          <w:rFonts w:ascii="方正黑体_GBK" w:eastAsia="方正黑体_GBK" w:hint="eastAsia"/>
          <w:b/>
          <w:sz w:val="28"/>
          <w:szCs w:val="28"/>
        </w:rPr>
        <w:t>五、交货地点</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按合同约定地点进行交货，交货地点为北京市内。</w:t>
      </w:r>
    </w:p>
    <w:p>
      <w:pPr>
        <w:spacing w:line="400" w:lineRule="exact"/>
        <w:jc w:val="left"/>
        <w:rPr>
          <w:rFonts w:ascii="Times New Roman" w:eastAsia="方正仿宋_GBK" w:hAnsi="Times New Roman" w:hint="eastAsia"/>
          <w:sz w:val="28"/>
          <w:szCs w:val="28"/>
        </w:rPr>
      </w:pPr>
    </w:p>
    <w:p>
      <w:pPr>
        <w:pStyle w:val="18910"/>
        <w:spacing w:line="400" w:lineRule="exact"/>
        <w:jc w:val="left"/>
        <w:rPr>
          <w:rFonts w:ascii="方正黑体_GBK" w:eastAsia="方正黑体_GBK" w:hint="eastAsia"/>
          <w:b/>
          <w:sz w:val="28"/>
          <w:szCs w:val="28"/>
        </w:rPr>
      </w:pPr>
      <w:r>
        <w:rPr>
          <w:rFonts w:ascii="方正仿宋_GBK" w:eastAsia="方正仿宋_GBK" w:cs="Arial" w:hint="eastAsia"/>
          <w:b/>
          <w:bCs/>
          <w:sz w:val="28"/>
          <w:szCs w:val="28"/>
          <w:lang w:bidi="ar-SA"/>
        </w:rPr>
        <w:t>★</w:t>
      </w:r>
      <w:r>
        <w:rPr>
          <w:rFonts w:ascii="方正黑体_GBK" w:eastAsia="方正黑体_GBK" w:hint="eastAsia"/>
          <w:b/>
          <w:sz w:val="28"/>
          <w:szCs w:val="28"/>
        </w:rPr>
        <w:t>六、质保期</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项目内所有产品安装调试经用户验收合格当天起，质保一年。</w:t>
      </w:r>
    </w:p>
    <w:p>
      <w:pPr>
        <w:spacing w:line="400" w:lineRule="exact"/>
        <w:jc w:val="left"/>
        <w:rPr>
          <w:rFonts w:ascii="Times New Roman" w:eastAsia="方正仿宋_GBK" w:hAnsi="Times New Roman" w:hint="eastAsia"/>
          <w:sz w:val="28"/>
          <w:szCs w:val="28"/>
        </w:rPr>
      </w:pP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七、售后服务要求</w:t>
      </w:r>
    </w:p>
    <w:p>
      <w:pPr>
        <w:pStyle w:val="154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定期维护、终身维修服务；售后服务应在3个工作日内到达现场；</w:t>
      </w:r>
    </w:p>
    <w:p>
      <w:pPr>
        <w:spacing w:line="400" w:lineRule="exact"/>
        <w:jc w:val="left"/>
        <w:rPr>
          <w:rFonts w:ascii="Times New Roman" w:eastAsia="方正仿宋_GBK" w:hAnsi="Times New Roman" w:hint="eastAsia"/>
          <w:sz w:val="28"/>
          <w:szCs w:val="28"/>
        </w:rPr>
      </w:pPr>
    </w:p>
    <w:p>
      <w:pPr>
        <w:widowControl/>
        <w:spacing w:line="400" w:lineRule="exact"/>
        <w:jc w:val="left"/>
        <w:rPr>
          <w:rFonts w:ascii="Times New Roman" w:eastAsia="方正仿宋_GBK" w:hAnsi="Times New Roman" w:hint="eastAsia"/>
          <w:sz w:val="28"/>
          <w:szCs w:val="28"/>
        </w:rPr>
      </w:pPr>
      <w:r>
        <w:rPr>
          <w:rFonts w:ascii="方正黑体_GBK" w:eastAsia="方正黑体_GBK" w:hint="eastAsia"/>
          <w:b/>
          <w:sz w:val="28"/>
          <w:szCs w:val="28"/>
        </w:rPr>
        <w:t>八、培训要求</w:t>
      </w:r>
    </w:p>
    <w:p>
      <w:p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仪器到达最终用户现场并且实验室条件合格后，在接到用户通知后3日内，安排有经验的工程技术人员到用户现场安装、调试仪器，培训。</w:t>
      </w:r>
    </w:p>
    <w:p>
      <w:pPr>
        <w:spacing w:line="400" w:lineRule="exact"/>
        <w:jc w:val="left"/>
        <w:rPr>
          <w:rFonts w:ascii="Times New Roman" w:eastAsia="方正仿宋_GBK" w:hAnsi="Times New Roman" w:hint="eastAsia"/>
          <w:sz w:val="28"/>
          <w:szCs w:val="28"/>
        </w:rPr>
      </w:pP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九、分配表</w:t>
      </w:r>
    </w:p>
    <w:p>
      <w:pPr>
        <w:tabs>
          <w:tab w:val="left" w:pos="2160"/>
          <w:tab w:val="center" w:pos="4450"/>
        </w:tabs>
        <w:spacing w:line="400" w:lineRule="exact"/>
        <w:jc w:val="left"/>
        <w:rPr>
          <w:rFonts w:ascii="Times New Roman" w:eastAsia="方正仿宋_GBK" w:hAnsi="Times New Roman"/>
          <w:b/>
          <w:bCs/>
          <w:sz w:val="28"/>
          <w:szCs w:val="28"/>
        </w:rPr>
      </w:pPr>
      <w:r>
        <w:rPr>
          <w:rFonts w:ascii="宋体" w:hint="eastAsia"/>
          <w:b/>
          <w:bCs/>
          <w:sz w:val="28"/>
          <w:szCs w:val="28"/>
        </w:rPr>
        <w:tab/>
        <w:tab/>
      </w:r>
      <w:r>
        <w:rPr>
          <w:rFonts w:ascii="Times New Roman" w:eastAsia="方正仿宋_GBK" w:hAnsi="Times New Roman"/>
          <w:b/>
          <w:bCs/>
          <w:sz w:val="28"/>
          <w:szCs w:val="28"/>
        </w:rPr>
        <w:t>产品分配表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型号</w:t>
            </w:r>
          </w:p>
        </w:tc>
        <w:tc>
          <w:tcPr>
            <w:tcW w:w="1827" w:type="dxa"/>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vAlign w:val="center"/>
          </w:tcPr>
          <w:p>
            <w:pPr>
              <w:jc w:val="center"/>
              <w:rPr>
                <w:rFonts w:ascii="Times New Roman" w:eastAsia="方正仿宋_GBK" w:hAnsi="Times New Roman"/>
                <w:sz w:val="28"/>
                <w:szCs w:val="28"/>
              </w:rPr>
            </w:pPr>
            <w:r>
              <w:rPr>
                <w:rFonts w:ascii="Times New Roman" w:eastAsia="方正仿宋_GBK" w:hAnsi="Times New Roman"/>
                <w:sz w:val="28"/>
                <w:szCs w:val="28"/>
              </w:rPr>
              <w:t>动检所</w:t>
            </w:r>
          </w:p>
        </w:tc>
        <w:tc>
          <w:tcPr>
            <w:tcW w:w="2749" w:type="dxa"/>
            <w:tcBorders>
              <w:left w:val="single" w:sz="4" w:space="0" w:color="auto"/>
              <w:right w:val="single" w:sz="4" w:space="0" w:color="auto"/>
            </w:tcBorders>
            <w:vAlign w:val="center"/>
          </w:tcPr>
          <w:p>
            <w:pPr>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全自动建库仪</w:t>
            </w:r>
          </w:p>
        </w:tc>
        <w:tc>
          <w:tcPr>
            <w:tcW w:w="1827" w:type="dxa"/>
            <w:tcBorders>
              <w:left w:val="single" w:sz="4" w:space="0" w:color="auto"/>
              <w:right w:val="single" w:sz="4" w:space="0" w:color="auto"/>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lang w:bidi="ar-SA"/>
              </w:rPr>
              <w:t>115</w:t>
            </w:r>
          </w:p>
        </w:tc>
      </w:tr>
      <w:tr>
        <w:tblPrEx>
          <w:jc w:val="center"/>
          <w:tblLayout w:type="fixed"/>
          <w:tblCellMar>
            <w:top w:w="0" w:type="dxa"/>
            <w:left w:w="108" w:type="dxa"/>
            <w:bottom w:w="0" w:type="dxa"/>
            <w:right w:w="108" w:type="dxa"/>
          </w:tblCellMar>
        </w:tblPrEx>
        <w:trPr>
          <w:jc w:val="center"/>
        </w:trPr>
        <w:tc>
          <w:tcPr>
            <w:tcW w:w="2177" w:type="dxa"/>
            <w:vAlign w:val="center"/>
          </w:tcPr>
          <w:p>
            <w:pPr>
              <w:jc w:val="center"/>
            </w:pPr>
            <w:r>
              <w:rPr>
                <w:rFonts w:ascii="Times New Roman" w:eastAsia="方正仿宋_GBK" w:hAnsi="Times New Roman"/>
                <w:sz w:val="28"/>
                <w:szCs w:val="28"/>
              </w:rPr>
              <w:t>动检所</w:t>
            </w:r>
          </w:p>
        </w:tc>
        <w:tc>
          <w:tcPr>
            <w:tcW w:w="2749" w:type="dxa"/>
            <w:tcBorders>
              <w:left w:val="single" w:sz="4" w:space="0" w:color="auto"/>
              <w:right w:val="single" w:sz="4" w:space="0" w:color="auto"/>
            </w:tcBorders>
            <w:vAlign w:val="center"/>
          </w:tcPr>
          <w:p>
            <w:pPr>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全自动核酸电泳片段回收仪</w:t>
            </w:r>
          </w:p>
        </w:tc>
        <w:tc>
          <w:tcPr>
            <w:tcW w:w="1827" w:type="dxa"/>
            <w:tcBorders>
              <w:left w:val="single" w:sz="4" w:space="0" w:color="auto"/>
              <w:right w:val="single" w:sz="4" w:space="0" w:color="auto"/>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lang w:bidi="ar-SA"/>
              </w:rPr>
              <w:t>75</w:t>
            </w:r>
          </w:p>
        </w:tc>
      </w:tr>
      <w:tr>
        <w:tblPrEx>
          <w:jc w:val="center"/>
          <w:tblLayout w:type="fixed"/>
          <w:tblCellMar>
            <w:top w:w="0" w:type="dxa"/>
            <w:left w:w="108" w:type="dxa"/>
            <w:bottom w:w="0" w:type="dxa"/>
            <w:right w:w="108" w:type="dxa"/>
          </w:tblCellMar>
        </w:tblPrEx>
        <w:trPr>
          <w:jc w:val="center"/>
        </w:trPr>
        <w:tc>
          <w:tcPr>
            <w:tcW w:w="2177" w:type="dxa"/>
            <w:vAlign w:val="center"/>
          </w:tcPr>
          <w:p>
            <w:pPr>
              <w:jc w:val="center"/>
            </w:pPr>
            <w:r>
              <w:rPr>
                <w:rFonts w:ascii="Times New Roman" w:eastAsia="方正仿宋_GBK" w:hAnsi="Times New Roman"/>
                <w:sz w:val="28"/>
                <w:szCs w:val="28"/>
              </w:rPr>
              <w:t>动检所</w:t>
            </w:r>
          </w:p>
        </w:tc>
        <w:tc>
          <w:tcPr>
            <w:tcW w:w="2749" w:type="dxa"/>
            <w:tcBorders>
              <w:left w:val="single" w:sz="4" w:space="0" w:color="auto"/>
              <w:right w:val="single" w:sz="4" w:space="0" w:color="auto"/>
            </w:tcBorders>
            <w:vAlign w:val="center"/>
          </w:tcPr>
          <w:p>
            <w:pPr>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无损蛋白定量成像系统</w:t>
            </w:r>
          </w:p>
        </w:tc>
        <w:tc>
          <w:tcPr>
            <w:tcW w:w="1827" w:type="dxa"/>
            <w:tcBorders>
              <w:left w:val="single" w:sz="4" w:space="0" w:color="auto"/>
              <w:right w:val="single" w:sz="4" w:space="0" w:color="auto"/>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lang w:bidi="ar-SA"/>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jc w:val="center"/>
            </w:pPr>
            <w:r>
              <w:rPr>
                <w:rFonts w:ascii="Times New Roman" w:eastAsia="方正仿宋_GBK" w:hAnsi="Times New Roman"/>
                <w:sz w:val="28"/>
                <w:szCs w:val="28"/>
              </w:rPr>
              <w:t>动检所</w:t>
            </w:r>
          </w:p>
        </w:tc>
        <w:tc>
          <w:tcPr>
            <w:tcW w:w="2749" w:type="dxa"/>
            <w:tcBorders>
              <w:left w:val="single" w:sz="4" w:space="0" w:color="auto"/>
              <w:right w:val="single" w:sz="4" w:space="0" w:color="auto"/>
            </w:tcBorders>
            <w:vAlign w:val="center"/>
          </w:tcPr>
          <w:p>
            <w:pPr>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凝胶成像系统</w:t>
            </w:r>
          </w:p>
        </w:tc>
        <w:tc>
          <w:tcPr>
            <w:tcW w:w="1827" w:type="dxa"/>
            <w:tcBorders>
              <w:left w:val="single" w:sz="4" w:space="0" w:color="auto"/>
              <w:right w:val="single" w:sz="4" w:space="0" w:color="auto"/>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lang w:bidi="ar-SA"/>
              </w:rPr>
              <w:t>25</w:t>
            </w:r>
          </w:p>
        </w:tc>
      </w:tr>
      <w:tr>
        <w:tblPrEx>
          <w:jc w:val="center"/>
          <w:tblLayout w:type="fixed"/>
          <w:tblCellMar>
            <w:top w:w="0" w:type="dxa"/>
            <w:left w:w="108" w:type="dxa"/>
            <w:bottom w:w="0" w:type="dxa"/>
            <w:right w:w="108" w:type="dxa"/>
          </w:tblCellMar>
        </w:tblPrEx>
        <w:trPr>
          <w:jc w:val="center"/>
        </w:trPr>
        <w:tc>
          <w:tcPr>
            <w:tcW w:w="2177" w:type="dxa"/>
            <w:vAlign w:val="center"/>
          </w:tcPr>
          <w:p>
            <w:pPr>
              <w:jc w:val="center"/>
            </w:pPr>
            <w:r>
              <w:rPr>
                <w:rFonts w:ascii="Times New Roman" w:eastAsia="方正仿宋_GBK" w:hAnsi="Times New Roman"/>
                <w:sz w:val="28"/>
                <w:szCs w:val="28"/>
              </w:rPr>
              <w:t>动检所</w:t>
            </w:r>
          </w:p>
        </w:tc>
        <w:tc>
          <w:tcPr>
            <w:tcW w:w="2749" w:type="dxa"/>
            <w:tcBorders>
              <w:left w:val="single" w:sz="4" w:space="0" w:color="auto"/>
              <w:right w:val="single" w:sz="4" w:space="0" w:color="auto"/>
            </w:tcBorders>
            <w:vAlign w:val="center"/>
          </w:tcPr>
          <w:p>
            <w:pPr>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液氮冻干珠点液系统</w:t>
            </w:r>
          </w:p>
        </w:tc>
        <w:tc>
          <w:tcPr>
            <w:tcW w:w="1827" w:type="dxa"/>
            <w:tcBorders>
              <w:left w:val="single" w:sz="4" w:space="0" w:color="auto"/>
              <w:right w:val="single" w:sz="4" w:space="0" w:color="auto"/>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lang w:bidi="ar-SA"/>
              </w:rPr>
              <w:t>49</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400" w:lineRule="exact"/>
              <w:jc w:val="center"/>
              <w:textAlignment w:val="center"/>
              <w:rPr>
                <w:rFonts w:ascii="Times New Roman" w:eastAsia="方正仿宋_GBK" w:hAnsi="Times New Roman"/>
                <w:color w:val="000000"/>
                <w:kern w:val="0"/>
                <w:sz w:val="28"/>
                <w:szCs w:val="28"/>
              </w:rPr>
            </w:pPr>
          </w:p>
        </w:tc>
        <w:tc>
          <w:tcPr>
            <w:tcW w:w="2749" w:type="dxa"/>
            <w:tcBorders>
              <w:left w:val="single" w:sz="4" w:space="0" w:color="auto"/>
              <w:right w:val="single" w:sz="4" w:space="0" w:color="auto"/>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tcBorders>
              <w:left w:val="single" w:sz="4" w:space="0" w:color="auto"/>
              <w:right w:val="single" w:sz="4" w:space="0" w:color="auto"/>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5</w:t>
            </w:r>
          </w:p>
        </w:tc>
        <w:tc>
          <w:tcPr>
            <w:tcW w:w="1769" w:type="dxa"/>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294</w:t>
            </w:r>
          </w:p>
        </w:tc>
      </w:tr>
    </w:tbl>
    <w:p>
      <w:pPr>
        <w:spacing w:line="400" w:lineRule="exact"/>
        <w:rPr>
          <w:rFonts w:ascii="Times New Roman" w:eastAsia="方正仿宋_GBK" w:hAnsi="Times New Roman"/>
          <w:sz w:val="28"/>
          <w:szCs w:val="28"/>
        </w:rPr>
      </w:pPr>
    </w:p>
    <w:p>
      <w:pPr>
        <w:pStyle w:val="1510"/>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十、主要技术参数及配置条目数量统计</w:t>
      </w:r>
    </w:p>
    <w:tbl>
      <w:tblPr>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15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包号</w:t>
            </w:r>
          </w:p>
        </w:tc>
        <w:tc>
          <w:tcPr>
            <w:tcW w:w="2880" w:type="dxa"/>
            <w:vAlign w:val="center"/>
          </w:tcPr>
          <w:p>
            <w:pPr>
              <w:pStyle w:val="15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指标类型</w:t>
            </w:r>
          </w:p>
        </w:tc>
        <w:tc>
          <w:tcPr>
            <w:tcW w:w="4072" w:type="dxa"/>
            <w:vAlign w:val="center"/>
          </w:tcPr>
          <w:p>
            <w:pPr>
              <w:pStyle w:val="15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条目数量（个）</w:t>
            </w:r>
          </w:p>
        </w:tc>
      </w:tr>
      <w:tr>
        <w:tblPrEx>
          <w:tblW w:w="8572" w:type="dxa"/>
          <w:jc w:val="left"/>
          <w:tblInd w:w="-93" w:type="dxa"/>
          <w:tblCellMar>
            <w:top w:w="0" w:type="dxa"/>
            <w:left w:w="108" w:type="dxa"/>
            <w:bottom w:w="0" w:type="dxa"/>
            <w:right w:w="108" w:type="dxa"/>
          </w:tblCellMar>
        </w:tblPrEx>
        <w:trPr>
          <w:trHeight w:val="454"/>
          <w:jc w:val="left"/>
        </w:trPr>
        <w:tc>
          <w:tcPr>
            <w:tcW w:w="1620" w:type="dxa"/>
            <w:vMerge w:val="restart"/>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01包</w:t>
            </w:r>
          </w:p>
        </w:tc>
        <w:tc>
          <w:tcPr>
            <w:tcW w:w="2880" w:type="dxa"/>
            <w:tcBorders>
              <w:left w:val="single" w:sz="4" w:space="0" w:color="auto"/>
              <w:right w:val="single" w:sz="4" w:space="0" w:color="auto"/>
            </w:tcBorders>
            <w:vAlign w:val="center"/>
          </w:tcPr>
          <w:p>
            <w:pPr>
              <w:pStyle w:val="1510"/>
              <w:widowControl/>
              <w:spacing w:line="400" w:lineRule="exact"/>
              <w:jc w:val="center"/>
              <w:rPr>
                <w:rFonts w:ascii="方正黑体_GBK" w:eastAsia="方正黑体_GBK" w:hint="eastAsia"/>
                <w:b/>
                <w:sz w:val="28"/>
                <w:szCs w:val="28"/>
              </w:rPr>
            </w:pPr>
            <w:r>
              <w:rPr>
                <w:rFonts w:ascii="方正仿宋_GBK" w:eastAsia="方正仿宋_GBK" w:cs="Arial" w:hint="eastAsia"/>
                <w:b/>
                <w:bCs/>
                <w:sz w:val="28"/>
                <w:szCs w:val="28"/>
                <w:lang w:bidi="ar-SA"/>
              </w:rPr>
              <w:t>★指标</w:t>
            </w:r>
          </w:p>
        </w:tc>
        <w:tc>
          <w:tcPr>
            <w:tcW w:w="4072" w:type="dxa"/>
            <w:vAlign w:val="center"/>
          </w:tcPr>
          <w:p>
            <w:pPr>
              <w:pStyle w:val="15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29</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left w:val="single" w:sz="4" w:space="0" w:color="auto"/>
              <w:right w:val="single" w:sz="4" w:space="0" w:color="auto"/>
            </w:tcBorders>
            <w:vAlign w:val="center"/>
          </w:tcPr>
          <w:p>
            <w:pPr>
              <w:pStyle w:val="1510"/>
              <w:widowControl/>
              <w:spacing w:line="400" w:lineRule="exact"/>
              <w:jc w:val="center"/>
              <w:rPr>
                <w:rFonts w:ascii="方正黑体_GBK" w:eastAsia="方正黑体_GBK" w:hint="eastAsia"/>
                <w:b/>
                <w:sz w:val="28"/>
                <w:szCs w:val="28"/>
              </w:rPr>
            </w:pPr>
            <w:r>
              <w:rPr>
                <w:rFonts w:ascii="方正仿宋_GBK" w:eastAsia="方正仿宋_GBK" w:hint="eastAsia"/>
                <w:sz w:val="28"/>
                <w:szCs w:val="28"/>
              </w:rPr>
              <w:t>▲指标</w:t>
            </w:r>
          </w:p>
        </w:tc>
        <w:tc>
          <w:tcPr>
            <w:tcW w:w="4072" w:type="dxa"/>
            <w:vAlign w:val="center"/>
          </w:tcPr>
          <w:p>
            <w:pPr>
              <w:pStyle w:val="15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11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left w:val="single" w:sz="4" w:space="0" w:color="auto"/>
              <w:right w:val="single" w:sz="4" w:space="0" w:color="auto"/>
            </w:tcBorders>
            <w:vAlign w:val="center"/>
          </w:tcPr>
          <w:p>
            <w:pPr>
              <w:pStyle w:val="1510"/>
              <w:widowControl/>
              <w:spacing w:line="400" w:lineRule="exact"/>
              <w:jc w:val="center"/>
              <w:rPr>
                <w:rFonts w:ascii="方正黑体_GBK" w:eastAsia="方正黑体_GBK" w:hint="eastAsia"/>
                <w:b/>
                <w:sz w:val="28"/>
                <w:szCs w:val="28"/>
              </w:rPr>
            </w:pPr>
            <w:r>
              <w:rPr>
                <w:rFonts w:ascii="方正仿宋_GBK" w:eastAsia="方正仿宋_GBK" w:hint="eastAsia"/>
                <w:sz w:val="28"/>
                <w:szCs w:val="28"/>
              </w:rPr>
              <w:t>一般指标</w:t>
            </w:r>
          </w:p>
        </w:tc>
        <w:tc>
          <w:tcPr>
            <w:tcW w:w="4072" w:type="dxa"/>
            <w:vAlign w:val="center"/>
          </w:tcPr>
          <w:p>
            <w:pPr>
              <w:pStyle w:val="1510"/>
              <w:widowControl/>
              <w:spacing w:line="400" w:lineRule="exact"/>
              <w:jc w:val="center"/>
              <w:rPr>
                <w:rFonts w:ascii="方正黑体_GBK" w:eastAsia="方正黑体_GBK" w:hint="eastAsia"/>
                <w:b/>
                <w:sz w:val="28"/>
                <w:szCs w:val="28"/>
              </w:rPr>
            </w:pPr>
            <w:r>
              <w:rPr>
                <w:rFonts w:ascii="方正黑体_GBK" w:eastAsia="方正黑体_GBK" w:hint="eastAsia"/>
                <w:b/>
                <w:sz w:val="28"/>
                <w:szCs w:val="28"/>
              </w:rPr>
              <w:t>97</w:t>
            </w:r>
          </w:p>
        </w:tc>
      </w:tr>
    </w:tbl>
    <w:p>
      <w:pPr>
        <w:pStyle w:val="1510"/>
        <w:widowControl/>
        <w:spacing w:line="400" w:lineRule="exact"/>
        <w:jc w:val="left"/>
        <w:rPr>
          <w:rFonts w:ascii="方正黑体_GBK" w:eastAsia="方正黑体_GBK" w:hint="eastAsia"/>
          <w:b/>
          <w:sz w:val="28"/>
          <w:szCs w:val="28"/>
        </w:rPr>
      </w:pP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十一、付款办法</w:t>
      </w: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 xml:space="preserve">                           </w:t>
      </w:r>
    </w:p>
    <w:p>
      <w:pPr>
        <w:pStyle w:val="160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1.乙方（指供应商，下同）向甲方（指采购人，下同）提交下列单据之日起10个工作日内，甲方向乙方支付合同总价</w:t>
      </w:r>
      <w:r>
        <w:rPr>
          <w:rFonts w:ascii="Times New Roman" w:eastAsia="方正仿宋_GBK" w:hAnsi="Times New Roman"/>
          <w:sz w:val="28"/>
          <w:szCs w:val="28"/>
          <w:u w:val="single"/>
        </w:rPr>
        <w:t xml:space="preserve"> 30 </w:t>
      </w:r>
      <w:r>
        <w:rPr>
          <w:rFonts w:ascii="Times New Roman" w:eastAsia="方正仿宋_GBK" w:hAnsi="Times New Roman" w:hint="eastAsia"/>
          <w:sz w:val="28"/>
          <w:szCs w:val="28"/>
        </w:rPr>
        <w:t>%合同款。</w:t>
      </w:r>
    </w:p>
    <w:p>
      <w:pPr>
        <w:pStyle w:val="160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乙方提交单据：合同（正文部分复印件）、中标通知书、发票。</w:t>
      </w:r>
      <w:r>
        <w:rPr>
          <w:rFonts w:ascii="Times New Roman" w:eastAsia="方正仿宋_GBK" w:hAnsi="Times New Roman"/>
          <w:sz w:val="28"/>
          <w:szCs w:val="28"/>
        </w:rPr>
        <w:t>（本项目甲方不收取乙方履约保证金）</w:t>
      </w:r>
    </w:p>
    <w:p>
      <w:pPr>
        <w:pStyle w:val="160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2.设备全部到货并经甲方签收</w:t>
      </w:r>
      <w:r>
        <w:rPr>
          <w:rFonts w:ascii="Times New Roman" w:eastAsia="方正仿宋_GBK" w:hAnsi="Times New Roman"/>
          <w:sz w:val="28"/>
          <w:szCs w:val="28"/>
        </w:rPr>
        <w:t>合格</w:t>
      </w:r>
      <w:r>
        <w:rPr>
          <w:rFonts w:ascii="Times New Roman" w:eastAsia="方正仿宋_GBK" w:hAnsi="Times New Roman" w:hint="eastAsia"/>
          <w:sz w:val="28"/>
          <w:szCs w:val="28"/>
        </w:rPr>
        <w:t>后，乙方向甲方提交下列单据之日起10个工作日内，甲方向乙方支付合同总价</w:t>
      </w:r>
      <w:r>
        <w:rPr>
          <w:rFonts w:ascii="Times New Roman" w:eastAsia="方正仿宋_GBK" w:hAnsi="Times New Roman"/>
          <w:sz w:val="28"/>
          <w:szCs w:val="28"/>
          <w:u w:val="single"/>
        </w:rPr>
        <w:t xml:space="preserve"> 60 </w:t>
      </w:r>
      <w:r>
        <w:rPr>
          <w:rFonts w:ascii="Times New Roman" w:eastAsia="方正仿宋_GBK" w:hAnsi="Times New Roman" w:hint="eastAsia"/>
          <w:sz w:val="28"/>
          <w:szCs w:val="28"/>
        </w:rPr>
        <w:t>%合同款。</w:t>
      </w:r>
    </w:p>
    <w:p>
      <w:pPr>
        <w:pStyle w:val="160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乙方提交单据：发票、设备到货签收单。</w:t>
      </w:r>
    </w:p>
    <w:p>
      <w:pPr>
        <w:pStyle w:val="160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3.设备全部安装调试，并经甲方验收合格后，乙方向甲方提交下列单据之日起10个工作日内，甲方向乙方支付合同总价</w:t>
      </w:r>
      <w:r>
        <w:rPr>
          <w:rFonts w:ascii="Times New Roman" w:eastAsia="方正仿宋_GBK" w:hAnsi="Times New Roman"/>
          <w:sz w:val="28"/>
          <w:szCs w:val="28"/>
          <w:u w:val="single"/>
        </w:rPr>
        <w:t xml:space="preserve"> 10 </w:t>
      </w:r>
      <w:r>
        <w:rPr>
          <w:rFonts w:ascii="Times New Roman" w:eastAsia="方正仿宋_GBK" w:hAnsi="Times New Roman" w:hint="eastAsia"/>
          <w:sz w:val="28"/>
          <w:szCs w:val="28"/>
        </w:rPr>
        <w:t>%合同款。</w:t>
      </w:r>
    </w:p>
    <w:p>
      <w:pPr>
        <w:pStyle w:val="160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乙方提交单据：发票、安装调试验收合格报告。</w:t>
      </w:r>
    </w:p>
    <w:p>
      <w:pPr>
        <w:pStyle w:val="160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4.因财政集中支付延误时间不计算在内，乙方提交付款单据延迟、缺失及账户信息错误的，甲方有权相应顺延付款期限，且甲方不承担延误付款责任。</w:t>
      </w:r>
    </w:p>
    <w:p>
      <w:pPr>
        <w:spacing w:line="400" w:lineRule="exact"/>
        <w:jc w:val="left"/>
        <w:rPr>
          <w:rFonts w:ascii="Times New Roman" w:eastAsia="方正仿宋_GBK" w:hAnsi="Times New Roman"/>
          <w:sz w:val="28"/>
          <w:szCs w:val="28"/>
        </w:rPr>
      </w:pPr>
    </w:p>
    <w:p>
      <w:pPr>
        <w:widowControl/>
        <w:spacing w:line="400" w:lineRule="exact"/>
        <w:jc w:val="left"/>
        <w:rPr>
          <w:rFonts w:ascii="方正黑体_GBK" w:eastAsia="方正黑体_GBK" w:hint="eastAsia"/>
          <w:b/>
          <w:sz w:val="28"/>
          <w:szCs w:val="28"/>
        </w:rPr>
      </w:pPr>
      <w:r>
        <w:rPr>
          <w:rFonts w:ascii="方正黑体_GBK" w:eastAsia="方正黑体_GBK" w:hint="eastAsia"/>
          <w:b/>
          <w:sz w:val="28"/>
          <w:szCs w:val="28"/>
        </w:rPr>
        <w:t>十二、其他</w:t>
      </w:r>
    </w:p>
    <w:p>
      <w:pPr>
        <w:spacing w:line="400" w:lineRule="exact"/>
      </w:pPr>
      <w:r>
        <w:rPr>
          <w:rFonts w:ascii="Times New Roman" w:eastAsia="方正仿宋_GBK" w:hAnsi="Times New Roman"/>
          <w:sz w:val="28"/>
          <w:szCs w:val="28"/>
        </w:rPr>
        <w:t>无。</w:t>
      </w:r>
    </w:p>
    <w:p>
      <w:pPr>
        <w:rPr>
          <w:rFonts w:eastAsia="宋体"/>
          <w:color w:val="0000FF"/>
          <w:sz w:val="28"/>
          <w:szCs w:val="36"/>
          <w:highlight w:val="white"/>
          <w:lang w:val="en-US" w:eastAsia="zh-CN"/>
        </w:rPr>
      </w:pPr>
      <w:bookmarkEnd w:id="42"/>
    </w:p>
    <w:p>
      <w:pPr>
        <w:pStyle w:val="Heading1"/>
      </w:pPr>
      <w:r>
        <w:rPr>
          <w:highlight w:val="white"/>
        </w:rPr>
        <w:br w:type="page"/>
      </w:r>
      <w:bookmarkStart w:id="43"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3"/>
    </w:p>
    <w:p>
      <w:bookmarkStart w:id="44"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4"/>
        <w:gridCol w:w="719"/>
        <w:gridCol w:w="7170"/>
        <w:gridCol w:w="3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4" w:type="dxa"/>
          </w:tcPr>
          <w:p>
            <w:r>
              <w:t>主客观项</w:t>
            </w:r>
          </w:p>
        </w:tc>
        <w:tc>
          <w:tcPr>
            <w:tcW w:w="719" w:type="dxa"/>
          </w:tcPr>
          <w:p>
            <w:r>
              <w:t>评审因素</w:t>
            </w:r>
          </w:p>
        </w:tc>
        <w:tc>
          <w:tcPr>
            <w:tcW w:w="7170" w:type="dxa"/>
          </w:tcPr>
          <w:p>
            <w:r>
              <w:t>评分标准说明</w:t>
            </w:r>
          </w:p>
        </w:tc>
        <w:tc>
          <w:tcPr>
            <w:tcW w:w="396"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4" w:type="dxa"/>
          </w:tcPr>
          <w:p>
            <w:r>
              <w:t>价格分</w:t>
            </w:r>
          </w:p>
        </w:tc>
        <w:tc>
          <w:tcPr>
            <w:tcW w:w="719" w:type="dxa"/>
            <w:tcBorders>
              <w:left w:val="single" w:sz="4" w:space="0" w:color="auto"/>
              <w:right w:val="single" w:sz="4" w:space="0" w:color="auto"/>
            </w:tcBorders>
          </w:tcPr>
          <w:p>
            <w:r>
              <w:t>价格评审</w:t>
            </w:r>
          </w:p>
        </w:tc>
        <w:tc>
          <w:tcPr>
            <w:tcW w:w="7170" w:type="dxa"/>
            <w:tcBorders>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96"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商务部分</w:t>
            </w:r>
          </w:p>
        </w:tc>
        <w:tc>
          <w:tcPr>
            <w:tcW w:w="719" w:type="dxa"/>
            <w:tcBorders>
              <w:left w:val="single" w:sz="4" w:space="0" w:color="auto"/>
              <w:right w:val="single" w:sz="4" w:space="0" w:color="auto"/>
            </w:tcBorders>
          </w:tcPr>
          <w:p>
            <w:r>
              <w:t>制造商综合实力</w:t>
            </w:r>
          </w:p>
        </w:tc>
        <w:tc>
          <w:tcPr>
            <w:tcW w:w="7170" w:type="dxa"/>
            <w:tcBorders>
              <w:left w:val="single" w:sz="4" w:space="0" w:color="auto"/>
              <w:right w:val="single" w:sz="4" w:space="0" w:color="auto"/>
            </w:tcBorders>
          </w:tcPr>
          <w:p>
            <w:r>
              <w:t>1.提供所有投标产品制造商的质量管理体系认证证书的得0.5分，否则得0分； 2.提供所有投标产品制造商的健康管理体系认证证书的得0.5分，否则得0分； 3.提供所有投标产品制造商的环境管理体系认证证书的得0.5分，否则得0分。</w:t>
            </w:r>
          </w:p>
        </w:tc>
        <w:tc>
          <w:tcPr>
            <w:tcW w:w="396"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投标产品的销售业绩</w:t>
            </w:r>
          </w:p>
        </w:tc>
        <w:tc>
          <w:tcPr>
            <w:tcW w:w="7170" w:type="dxa"/>
            <w:tcBorders>
              <w:left w:val="single" w:sz="4" w:space="0" w:color="auto"/>
              <w:right w:val="single" w:sz="4" w:space="0" w:color="auto"/>
            </w:tcBorders>
          </w:tcPr>
          <w:p>
            <w:r>
              <w:t>须提供投标产品的销售业绩，每提供一份有效合同得1分，每种投标产品最多得1分，本项总分最多得5分。 注1.上述销售业绩指与本项目投标货物同品牌同类型产品的销售业绩。 注2.合同签订时间须为2021年12月1日起至本项目招标公告发布之日止。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96" w:type="dxa"/>
          </w:tcPr>
          <w:p>
            <w:r>
              <w:t>勾选打分(0;1;2;3;4;5)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质量保证书</w:t>
            </w:r>
          </w:p>
        </w:tc>
        <w:tc>
          <w:tcPr>
            <w:tcW w:w="7170" w:type="dxa"/>
            <w:tcBorders>
              <w:left w:val="single" w:sz="4" w:space="0" w:color="auto"/>
              <w:right w:val="single" w:sz="4" w:space="0" w:color="auto"/>
            </w:tcBorders>
          </w:tcPr>
          <w:p>
            <w:r>
              <w:t>提供所有投标产品制造商出具的质量保证书（须保证所提供所有产品为制造商原产正品并对产品品质做出承诺和保证，加盖所有投标产品制造商公章）的得1分，否则得0分。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技术指标及配置要求响应承诺函</w:t>
            </w:r>
          </w:p>
        </w:tc>
        <w:tc>
          <w:tcPr>
            <w:tcW w:w="7170" w:type="dxa"/>
            <w:tcBorders>
              <w:left w:val="single" w:sz="4" w:space="0" w:color="auto"/>
              <w:right w:val="single" w:sz="4" w:space="0" w:color="auto"/>
            </w:tcBorders>
          </w:tcPr>
          <w:p>
            <w:r>
              <w:t>投标人按照投标文件格式要求，提供完整版《技术指标及配置要求响应承诺函》的得0.5分；未提供承诺函或未按照格式提供完整版承诺函的得0分。</w:t>
            </w:r>
          </w:p>
        </w:tc>
        <w:tc>
          <w:tcPr>
            <w:tcW w:w="396" w:type="dxa"/>
          </w:tcPr>
          <w:p>
            <w:r>
              <w:t>勾选打分(0;0.5)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投标文件制作质量</w:t>
            </w:r>
          </w:p>
        </w:tc>
        <w:tc>
          <w:tcPr>
            <w:tcW w:w="7170" w:type="dxa"/>
            <w:tcBorders>
              <w:left w:val="single" w:sz="4" w:space="0" w:color="auto"/>
              <w:right w:val="single" w:sz="4" w:space="0" w:color="auto"/>
            </w:tcBorders>
          </w:tcPr>
          <w:p>
            <w:r>
              <w:t>1.投标人标书按照招标文件要求编写，有目录索引，页码无错乱，标题、编号、正文、表格等排版规范的得1分，否则得0分。 2.投标文件内容详实，应答明确，对招标文件响应程度完整的得1分；内容较完整，编写质量一般的得0.5分；否则得0分。</w:t>
            </w:r>
          </w:p>
        </w:tc>
        <w:tc>
          <w:tcPr>
            <w:tcW w:w="396"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技术部分</w:t>
            </w:r>
          </w:p>
        </w:tc>
        <w:tc>
          <w:tcPr>
            <w:tcW w:w="719" w:type="dxa"/>
            <w:tcBorders>
              <w:left w:val="single" w:sz="4" w:space="0" w:color="auto"/>
              <w:right w:val="single" w:sz="4" w:space="0" w:color="auto"/>
            </w:tcBorders>
          </w:tcPr>
          <w:p>
            <w:r>
              <w:t>一般技术指标及配置响应情况</w:t>
            </w:r>
          </w:p>
        </w:tc>
        <w:tc>
          <w:tcPr>
            <w:tcW w:w="7170" w:type="dxa"/>
            <w:tcBorders>
              <w:left w:val="single" w:sz="4" w:space="0" w:color="auto"/>
              <w:right w:val="single" w:sz="4" w:space="0" w:color="auto"/>
            </w:tcBorders>
          </w:tcPr>
          <w:p>
            <w:r>
              <w:t>投标人的一般主要技术指标及配置响应完全满足招标文件技术要求，应答无负偏离的得9.7分，每有一项不满足的扣0.1分。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396" w:type="dxa"/>
          </w:tcPr>
          <w:p>
            <w:r>
              <w:t>区间打分(0-9.7)</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▲技术指标及配置响应情况和功能视频展示</w:t>
            </w:r>
          </w:p>
        </w:tc>
        <w:tc>
          <w:tcPr>
            <w:tcW w:w="7170" w:type="dxa"/>
            <w:tcBorders>
              <w:left w:val="single" w:sz="4" w:space="0" w:color="auto"/>
              <w:right w:val="single" w:sz="4" w:space="0" w:color="auto"/>
            </w:tcBorders>
          </w:tcPr>
          <w:p>
            <w:r>
              <w:t>投标人的▲号“主要技术指标及配置”响应完全满足招标文件技术要求，应答无负偏离的得33分的基础分，每有一项不满足的扣3分基础分。      注1：对于投标人响应满足投标文件中规定的▲号“主要技术指标” 的，其中项目需求书中有明确要求的按要求提供证明材料；没有明确要求的，必须提供制造商公开发布的资料或第三方检测报告作为证明材料，公开发布资料和检测报告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注2：投标人需上传视频对投标产品的全部▲号主要技术指标及配置进行真机视频功能展示，每个包限时8分钟，采用MP4格式。▲号指标有具体演示要求的，必须按照演示要求进行详细演示；▲号指标没有具体演示要求的，须进行真实性、功能性演示。（展示机型必须与投标产品型号一致，如相关指标未进行演示或演示结果不符合技术指标要求或视频中只进行语音、字幕解说，未进行实质性功能演示的，评审委员会将对其▲号响应不予认可）。</w:t>
            </w:r>
          </w:p>
        </w:tc>
        <w:tc>
          <w:tcPr>
            <w:tcW w:w="396" w:type="dxa"/>
          </w:tcPr>
          <w:p>
            <w:r>
              <w:t>区间打分(0-33)</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产品功能和配置的先进性</w:t>
            </w:r>
          </w:p>
        </w:tc>
        <w:tc>
          <w:tcPr>
            <w:tcW w:w="7170" w:type="dxa"/>
            <w:tcBorders>
              <w:left w:val="single" w:sz="4" w:space="0" w:color="auto"/>
              <w:right w:val="single" w:sz="4" w:space="0" w:color="auto"/>
            </w:tcBorders>
          </w:tcPr>
          <w:p>
            <w:r>
              <w:t>投标人的▲号“主要技术指标及配置”响应优于招标文件技术要求，每有一项实质性正偏离的，在基础分之上再加1分，最多加3分。 注1.投标人响应的优于投标文件中规定的▲号“主要技术指标” 的，必须提供制造商公开发布的资料或第三方检测报告作为证明材料，公开发布资料和检测报告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注2.评标委员会将对投标人响应的“正偏离”进行有效性判定，如经判定不属于实质性“正偏离”，评标委员会将不予以认可并不给予相应加分。</w:t>
            </w:r>
          </w:p>
        </w:tc>
        <w:tc>
          <w:tcPr>
            <w:tcW w:w="396"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服务部分</w:t>
            </w:r>
          </w:p>
        </w:tc>
        <w:tc>
          <w:tcPr>
            <w:tcW w:w="719" w:type="dxa"/>
            <w:tcBorders>
              <w:left w:val="single" w:sz="4" w:space="0" w:color="auto"/>
              <w:right w:val="single" w:sz="4" w:space="0" w:color="auto"/>
            </w:tcBorders>
          </w:tcPr>
          <w:p>
            <w:r>
              <w:t>项目整体实施方案</w:t>
            </w:r>
          </w:p>
        </w:tc>
        <w:tc>
          <w:tcPr>
            <w:tcW w:w="7170" w:type="dxa"/>
            <w:tcBorders>
              <w:left w:val="single" w:sz="4" w:space="0" w:color="auto"/>
              <w:right w:val="single" w:sz="4" w:space="0" w:color="auto"/>
            </w:tcBorders>
          </w:tcPr>
          <w:p>
            <w:r>
              <w:t>实施方案包括但不限于：实施计划，交货安排，组织结构，质量保证，风险控制、技术支持服务流程和规范等内容。 实施方案措施具体详细，完善，合理，思路清晰优于采购需求，得3.8分； 实施方案思路清晰，措施较详细，完善，合理，满足采购需求，得1.5分； 实施方案思路清晰，措施欠合理，基本满足采购需求，得0.5分； 未提供或完全不满足采购需求，得0分。</w:t>
            </w:r>
          </w:p>
        </w:tc>
        <w:tc>
          <w:tcPr>
            <w:tcW w:w="396" w:type="dxa"/>
          </w:tcPr>
          <w:p>
            <w:r>
              <w:t>勾选打分(0;0.5;1.5;3.8)</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技术培训方案及培训服务承诺函</w:t>
            </w:r>
          </w:p>
        </w:tc>
        <w:tc>
          <w:tcPr>
            <w:tcW w:w="7170" w:type="dxa"/>
            <w:tcBorders>
              <w:left w:val="single" w:sz="4" w:space="0" w:color="auto"/>
              <w:right w:val="single" w:sz="4" w:space="0" w:color="auto"/>
            </w:tcBorders>
          </w:tcPr>
          <w:p>
            <w:r>
              <w:t>对于承诺的技术培训服务，应提供相应的技术培训服务承诺函。根据培训方式、内容、培训水平及人数，以及项目实施中的技术交流等制定有针对性的技术培训方案。 培训方案详实合理，内容全面，方式灵活，层次分明，能切实保障培训效率和效果得4分； 方案内容合理性，可操作性一般，培训方式比较单一得1.5分； 其余得0.5分； 此项缺失得0分。</w:t>
            </w:r>
          </w:p>
        </w:tc>
        <w:tc>
          <w:tcPr>
            <w:tcW w:w="396" w:type="dxa"/>
          </w:tcPr>
          <w:p>
            <w:r>
              <w:t>勾选打分(0;0.5;1.5;4)</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售后服务方案</w:t>
            </w:r>
          </w:p>
        </w:tc>
        <w:tc>
          <w:tcPr>
            <w:tcW w:w="7170" w:type="dxa"/>
            <w:tcBorders>
              <w:left w:val="single" w:sz="4" w:space="0" w:color="auto"/>
              <w:right w:val="single" w:sz="4" w:space="0" w:color="auto"/>
            </w:tcBorders>
          </w:tcPr>
          <w:p>
            <w:r>
              <w:t>根据售后服务体系、安装调试及免费保修服务承诺、应用技术支持，以及质保期外服务人员、备品备件、易损配件及主要消耗品的备件情况等方面制定有针对性的售后服务方案。        1.售后服务方案和承诺优于项目需求，技术支持及售后服务内容全面，可行性强，针对性强，得3分；售后服务方案和承诺基本满足项目需求，技术支持及售后服务内容完整，有一定的可行性和针对性，得2分；有方案但内容缺失多、可行性差的得1分；未提供方案的得0分。        2.提供质保期外产品主要零、部、配件及易损件、消耗品价格清单，配件齐全、价格合理得2分；其余得1分；未提供得0分。</w:t>
            </w:r>
          </w:p>
        </w:tc>
        <w:tc>
          <w:tcPr>
            <w:tcW w:w="396" w:type="dxa"/>
          </w:tcPr>
          <w:p>
            <w:r>
              <w:t>勾选打分(0;1;2;3;4;5)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售后服务承诺函</w:t>
            </w:r>
          </w:p>
        </w:tc>
        <w:tc>
          <w:tcPr>
            <w:tcW w:w="7170" w:type="dxa"/>
            <w:tcBorders>
              <w:left w:val="single" w:sz="4" w:space="0" w:color="auto"/>
              <w:right w:val="single" w:sz="4" w:space="0" w:color="auto"/>
            </w:tcBorders>
          </w:tcPr>
          <w:p>
            <w:r>
              <w:t>提供所有投标产品制造商针对本项目的售后服务承诺函（函中内容包括但不限于项目名称、项目编号、承诺内容等要素，加盖所有投标产品制造商公章、投标人公章），且承诺完全满足招标文件规定的售后服务要求的，得0.5分。承诺函要素不全或承诺内容不完全覆盖招标文件要求的，得0分。</w:t>
            </w:r>
          </w:p>
        </w:tc>
        <w:tc>
          <w:tcPr>
            <w:tcW w:w="396" w:type="dxa"/>
          </w:tcPr>
          <w:p>
            <w:r>
              <w:t>勾选打分(0;0.5)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质保增值服务</w:t>
            </w:r>
          </w:p>
        </w:tc>
        <w:tc>
          <w:tcPr>
            <w:tcW w:w="7170" w:type="dxa"/>
            <w:tcBorders>
              <w:left w:val="single" w:sz="4" w:space="0" w:color="auto"/>
              <w:right w:val="single" w:sz="4" w:space="0" w:color="auto"/>
            </w:tcBorders>
          </w:tcPr>
          <w:p>
            <w:r>
              <w:t>在满足招标文件要求的基础上，质保期每增加1个月得0.1分，最多得0.5分（投标人提供承诺函，函中内容包括但不限于项目名称、项目编号、承诺内容等要素并与开标一览表中质保期响应一致，加盖投标人公章）承诺函要素不全或与开标一览表中响应不一致的不予加分。</w:t>
            </w:r>
          </w:p>
        </w:tc>
        <w:tc>
          <w:tcPr>
            <w:tcW w:w="396" w:type="dxa"/>
          </w:tcPr>
          <w:p>
            <w:r>
              <w:t>区间打分(0-0.5)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维修响应承诺函</w:t>
            </w:r>
          </w:p>
        </w:tc>
        <w:tc>
          <w:tcPr>
            <w:tcW w:w="7170" w:type="dxa"/>
            <w:tcBorders>
              <w:left w:val="single" w:sz="4" w:space="0" w:color="auto"/>
              <w:right w:val="single" w:sz="4" w:space="0" w:color="auto"/>
            </w:tcBorders>
          </w:tcPr>
          <w:p>
            <w:r>
              <w:t>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0.5分。承诺函要素不全或承诺内容不完全覆盖招标文件要求的，得0分。</w:t>
            </w:r>
          </w:p>
        </w:tc>
        <w:tc>
          <w:tcPr>
            <w:tcW w:w="396" w:type="dxa"/>
          </w:tcPr>
          <w:p>
            <w:r>
              <w:t>勾选打分(0;0.5)</w:t>
            </w:r>
          </w:p>
        </w:tc>
      </w:tr>
    </w:tbl>
    <w:p>
      <w:pPr>
        <w:pStyle w:val="49100"/>
        <w:rPr>
          <w:rFonts w:ascii="Times New Roman" w:eastAsia="宋体" w:hAnsi="Times New Roman"/>
          <w:color w:val="0000FF"/>
          <w:sz w:val="28"/>
          <w:szCs w:val="32"/>
          <w:lang w:val="en-US" w:eastAsia="zh-CN"/>
        </w:rPr>
      </w:pPr>
      <w:bookmarkEnd w:id="44"/>
      <w:r>
        <w:rPr>
          <w:rFonts w:ascii="Times New Roman" w:eastAsia="宋体" w:hAnsi="Times New Roman"/>
        </w:rPr>
        <w:t>注：</w:t>
      </w:r>
      <w:bookmarkStart w:id="45" w:name="_GoBack"/>
      <w:bookmarkEnd w:id="45"/>
      <w:r>
        <w:rPr>
          <w:rFonts w:ascii="Times New Roman" w:eastAsia="宋体" w:hAnsi="Times New Roman"/>
        </w:rPr>
        <w:t>评分分值精确到小数点后一位，第二位四舍五入。计算结果精确到小数点后二位，第三位四舍五入。</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海科中心货物类采购项目合同书（范本）</w:t>
      </w:r>
    </w:p>
    <w:p>
      <w:pPr>
        <w:jc w:val="center"/>
        <w:rPr>
          <w:rFonts w:eastAsia="方正小标宋_GBK"/>
          <w:color w:val="000000"/>
          <w:szCs w:val="21"/>
        </w:rPr>
      </w:pPr>
    </w:p>
    <w:p>
      <w:pPr>
        <w:jc w:val="center"/>
        <w:rPr>
          <w:rFonts w:ascii="宋体" w:hint="eastAsia"/>
          <w:color w:val="000000"/>
          <w:szCs w:val="21"/>
        </w:rPr>
      </w:pPr>
      <w:r>
        <w:rPr>
          <w:rFonts w:ascii="宋体" w:eastAsia="宋体" w:hint="eastAsia"/>
          <w:color w:val="000000"/>
          <w:szCs w:val="21"/>
        </w:rPr>
        <w:t xml:space="preserve">                                    海科中心合同编号：</w:t>
      </w:r>
    </w:p>
    <w:p>
      <w:pPr>
        <w:rPr>
          <w:color w:val="000000"/>
        </w:rPr>
      </w:pPr>
    </w:p>
    <w:p>
      <w:pPr>
        <w:rPr>
          <w:rFonts w:ascii="宋体" w:hint="eastAsia"/>
          <w:color w:val="000000"/>
          <w:szCs w:val="21"/>
        </w:rPr>
      </w:pPr>
      <w:r>
        <w:rPr>
          <w:rFonts w:ascii="宋体" w:eastAsia="宋体" w:hint="eastAsia"/>
          <w:color w:val="000000"/>
          <w:szCs w:val="21"/>
        </w:rPr>
        <w:t>甲方（采购人）:中国海关科学技术研究中心</w:t>
      </w:r>
    </w:p>
    <w:p>
      <w:pPr>
        <w:rPr>
          <w:rFonts w:ascii="宋体" w:hint="eastAsia"/>
          <w:color w:val="000000"/>
          <w:szCs w:val="21"/>
        </w:rPr>
      </w:pPr>
      <w:r>
        <w:rPr>
          <w:rFonts w:ascii="宋体" w:eastAsia="宋体" w:hint="eastAsia"/>
          <w:color w:val="000000"/>
          <w:szCs w:val="21"/>
        </w:rPr>
        <w:t xml:space="preserve">乙方（供应商）:                                  </w:t>
      </w:r>
    </w:p>
    <w:p>
      <w:pPr>
        <w:ind w:firstLine="420" w:firstLineChars="200"/>
        <w:rPr>
          <w:rFonts w:ascii="宋体" w:hint="eastAsia"/>
          <w:color w:val="000000"/>
          <w:szCs w:val="21"/>
        </w:rPr>
      </w:pPr>
      <w:r>
        <w:rPr>
          <w:rFonts w:ascii="宋体" w:eastAsia="宋体" w:hint="eastAsia"/>
          <w:color w:val="000000"/>
          <w:szCs w:val="21"/>
        </w:rPr>
        <w:t>根据</w:t>
      </w:r>
      <w:r>
        <w:rPr>
          <w:rFonts w:ascii="宋体" w:eastAsia="宋体" w:hint="eastAsia"/>
          <w:snapToGrid w:val="0"/>
          <w:color w:val="000000"/>
          <w:kern w:val="0"/>
          <w:szCs w:val="21"/>
        </w:rPr>
        <w:t>《中华人民共和国民法典（合同编）》、</w:t>
      </w:r>
      <w:r>
        <w:rPr>
          <w:rFonts w:ascii="宋体" w:eastAsia="宋体" w:hint="eastAsia"/>
          <w:color w:val="000000"/>
          <w:szCs w:val="21"/>
        </w:rPr>
        <w:t>《中华人民共和国政府采购法》等相关法律规定，甲方对</w:t>
      </w:r>
      <w:r>
        <w:rPr>
          <w:rFonts w:ascii="宋体" w:hint="eastAsia"/>
          <w:color w:val="000000"/>
          <w:szCs w:val="21"/>
        </w:rPr>
        <w:t>____________</w:t>
      </w:r>
      <w:r>
        <w:rPr>
          <w:rFonts w:ascii="宋体" w:eastAsia="宋体" w:hint="eastAsia"/>
          <w:color w:val="000000"/>
          <w:szCs w:val="21"/>
        </w:rPr>
        <w:t>采购项目以</w:t>
      </w:r>
      <w:r>
        <w:rPr>
          <w:rFonts w:ascii="宋体" w:eastAsia="宋体" w:hint="eastAsia"/>
          <w:color w:val="000000"/>
          <w:szCs w:val="21"/>
          <w:u w:val="single"/>
        </w:rPr>
        <w:t>公开招标</w:t>
      </w:r>
      <w:r>
        <w:rPr>
          <w:rFonts w:ascii="宋体" w:eastAsia="宋体" w:hint="eastAsia"/>
          <w:color w:val="000000"/>
          <w:szCs w:val="21"/>
        </w:rPr>
        <w:t>方式进行采购（采购项目编号：________ ），确定乙方为中标人（成交商），现依照招标文件（谈判文件、询价通知书、磋商文件、单一来源）、投标文件（响应文件）等相关文件的内容，双方达成如下协议：</w:t>
      </w:r>
    </w:p>
    <w:p>
      <w:pPr>
        <w:spacing w:before="120" w:beforeLines="50" w:after="120" w:afterLines="50"/>
        <w:ind w:firstLine="420" w:firstLineChars="200"/>
        <w:rPr>
          <w:rFonts w:ascii="宋体" w:hint="eastAsia"/>
          <w:b/>
          <w:bCs/>
          <w:color w:val="000000"/>
          <w:szCs w:val="21"/>
        </w:rPr>
      </w:pPr>
      <w:r>
        <w:rPr>
          <w:rFonts w:ascii="宋体" w:eastAsia="宋体" w:hint="eastAsia"/>
          <w:b/>
          <w:bCs/>
          <w:color w:val="000000"/>
          <w:szCs w:val="21"/>
        </w:rPr>
        <w:t>第一条 采购货物清单</w:t>
      </w:r>
    </w:p>
    <w:p>
      <w:pPr>
        <w:pStyle w:val="PlainText"/>
        <w:ind w:firstLine="420" w:firstLineChars="200"/>
        <w:rPr>
          <w:rFonts w:cs="Times New Roman" w:hint="eastAsia"/>
          <w:bCs/>
          <w:color w:val="000000"/>
          <w:kern w:val="0"/>
        </w:rPr>
      </w:pPr>
      <w:r>
        <w:rPr>
          <w:rFonts w:ascii="宋体" w:eastAsia="宋体" w:cs="Times New Roman" w:hint="eastAsia"/>
          <w:bCs/>
          <w:color w:val="000000"/>
          <w:kern w:val="0"/>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jc w:val="center"/>
              <w:rPr>
                <w:rFonts w:hint="eastAsia"/>
                <w:b/>
                <w:bCs/>
                <w:color w:val="000000"/>
              </w:rPr>
            </w:pPr>
            <w:r>
              <w:rPr>
                <w:rFonts w:ascii="宋体" w:eastAsia="宋体" w:hint="eastAsia"/>
                <w:b/>
                <w:bCs/>
                <w:color w:val="000000"/>
              </w:rPr>
              <w:t>货物名称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jc w:val="center"/>
              <w:rPr>
                <w:rFonts w:hint="eastAsia"/>
                <w:b/>
                <w:bCs/>
                <w:color w:val="000000"/>
              </w:rPr>
            </w:pPr>
            <w:r>
              <w:rPr>
                <w:rFonts w:ascii="宋体" w:eastAsia="宋体" w:hint="eastAsia"/>
                <w:b/>
                <w:bCs/>
                <w:color w:val="000000"/>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jc w:val="center"/>
              <w:rPr>
                <w:rFonts w:ascii="宋体" w:hint="eastAsia"/>
                <w:b/>
                <w:bCs/>
                <w:color w:val="000000"/>
                <w:szCs w:val="21"/>
              </w:rPr>
            </w:pPr>
            <w:r>
              <w:rPr>
                <w:rFonts w:ascii="宋体" w:eastAsia="宋体" w:hint="eastAsia"/>
                <w:b/>
                <w:bCs/>
                <w:color w:val="000000"/>
                <w:szCs w:val="21"/>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jc w:val="center"/>
              <w:rPr>
                <w:rFonts w:hint="eastAsia"/>
                <w:b/>
                <w:bCs/>
                <w:color w:val="000000"/>
              </w:rPr>
            </w:pPr>
            <w:r>
              <w:rPr>
                <w:rFonts w:ascii="宋体" w:eastAsia="宋体" w:hint="eastAsia"/>
                <w:b/>
                <w:bCs/>
                <w:color w:val="000000"/>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jc w:val="center"/>
              <w:rPr>
                <w:rFonts w:hint="eastAsia"/>
                <w:b/>
                <w:bCs/>
                <w:color w:val="000000"/>
              </w:rPr>
            </w:pPr>
            <w:r>
              <w:rPr>
                <w:rFonts w:ascii="宋体" w:eastAsia="宋体" w:hint="eastAsia"/>
                <w:b/>
                <w:bCs/>
                <w:color w:val="000000"/>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jc w:val="center"/>
              <w:rPr>
                <w:rFonts w:hint="eastAsia"/>
                <w:b/>
                <w:bCs/>
                <w:color w:val="000000"/>
              </w:rPr>
            </w:pPr>
            <w:r>
              <w:rPr>
                <w:rFonts w:ascii="宋体" w:eastAsia="宋体" w:hint="eastAsia"/>
                <w:b/>
                <w:bCs/>
                <w:color w:val="000000"/>
              </w:rPr>
              <w:t>单价（元）</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jc w:val="center"/>
              <w:rPr>
                <w:rFonts w:hint="eastAsia"/>
                <w:b/>
                <w:bCs/>
                <w:color w:val="000000"/>
              </w:rPr>
            </w:pPr>
            <w:r>
              <w:rPr>
                <w:rFonts w:ascii="宋体" w:eastAsia="宋体" w:hint="eastAsia"/>
                <w:b/>
                <w:bCs/>
                <w:color w:val="000000"/>
              </w:rPr>
              <w:t>合计（元）</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jc w:val="center"/>
              <w:rPr>
                <w:rFonts w:hint="eastAsia"/>
                <w:b/>
                <w:bCs/>
                <w:color w:val="000000"/>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jc w:val="center"/>
              <w:rPr>
                <w:rFonts w:hint="eastAsia"/>
                <w:b/>
                <w:bCs/>
                <w:color w:val="000000"/>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jc w:val="center"/>
              <w:rPr>
                <w:rFonts w:hint="eastAsia"/>
                <w:b/>
                <w:bCs/>
                <w:color w:val="000000"/>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jc w:val="center"/>
              <w:rPr>
                <w:rFonts w:hint="eastAsia"/>
                <w:b/>
                <w:bCs/>
                <w:color w:val="000000"/>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jc w:val="center"/>
              <w:rPr>
                <w:rFonts w:hint="eastAsia"/>
                <w:b/>
                <w:bCs/>
                <w:color w:val="000000"/>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jc w:val="center"/>
              <w:rPr>
                <w:rFonts w:hint="eastAsia"/>
                <w:b/>
                <w:bCs/>
                <w:color w:val="000000"/>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jc w:val="center"/>
              <w:rPr>
                <w:rFonts w:hint="eastAsia"/>
                <w:b/>
                <w:bCs/>
                <w:color w:val="000000"/>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jc w:val="center"/>
              <w:rPr>
                <w:rFonts w:hint="eastAsia"/>
                <w:b/>
                <w:bCs/>
                <w:color w:val="000000"/>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jc w:val="center"/>
              <w:rPr>
                <w:rFonts w:hint="eastAsia"/>
                <w:b/>
                <w:bCs/>
                <w:color w:val="000000"/>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jc w:val="center"/>
              <w:rPr>
                <w:rFonts w:hint="eastAsia"/>
                <w:b/>
                <w:bCs/>
                <w:color w:val="000000"/>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jc w:val="center"/>
              <w:rPr>
                <w:rFonts w:hint="eastAsia"/>
                <w:b/>
                <w:bCs/>
                <w:color w:val="000000"/>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jc w:val="center"/>
              <w:rPr>
                <w:rFonts w:hint="eastAsia"/>
                <w:b/>
                <w:bCs/>
                <w:color w:val="000000"/>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jc w:val="center"/>
              <w:rPr>
                <w:rFonts w:hint="eastAsia"/>
                <w:b/>
                <w:bCs/>
                <w:color w:val="000000"/>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jc w:val="center"/>
              <w:rPr>
                <w:rFonts w:hint="eastAsia"/>
                <w:b/>
                <w:bCs/>
                <w:color w:val="000000"/>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jc w:val="center"/>
              <w:rPr>
                <w:rFonts w:hint="eastAsia"/>
                <w:b/>
                <w:bCs/>
                <w:color w:val="000000"/>
              </w:rPr>
            </w:pPr>
            <w:r>
              <w:rPr>
                <w:rFonts w:ascii="宋体" w:eastAsia="宋体" w:hint="eastAsia"/>
                <w:b/>
                <w:bCs/>
                <w:color w:val="000000"/>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jc w:val="center"/>
              <w:rPr>
                <w:rFonts w:hint="eastAsia"/>
                <w:b/>
                <w:bCs/>
                <w:color w:val="000000"/>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jc w:val="center"/>
              <w:rPr>
                <w:rFonts w:hint="eastAsia"/>
                <w:b/>
                <w:bCs/>
                <w:color w:val="000000"/>
              </w:rPr>
            </w:pPr>
            <w:r>
              <w:rPr>
                <w:rFonts w:ascii="宋体" w:eastAsia="宋体" w:hint="eastAsia"/>
                <w:b/>
                <w:bCs/>
                <w:color w:val="000000"/>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jc w:val="center"/>
              <w:rPr>
                <w:rFonts w:hint="eastAsia"/>
                <w:b/>
                <w:bCs/>
                <w:color w:val="000000"/>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jc w:val="center"/>
              <w:rPr>
                <w:rFonts w:hint="eastAsia"/>
                <w:b/>
                <w:bCs/>
                <w:color w:val="000000"/>
              </w:rPr>
            </w:pPr>
            <w:r>
              <w:rPr>
                <w:rFonts w:ascii="宋体" w:eastAsia="宋体" w:hint="eastAsia"/>
                <w:b/>
                <w:bCs/>
                <w:color w:val="000000"/>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jc w:val="center"/>
              <w:rPr>
                <w:rFonts w:hint="eastAsia"/>
                <w:b/>
                <w:bCs/>
                <w:color w:val="000000"/>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jc w:val="center"/>
              <w:rPr>
                <w:rFonts w:hint="eastAsia"/>
                <w:b/>
                <w:bCs/>
                <w:color w:val="000000"/>
                <w:u w:val="single"/>
              </w:rPr>
            </w:pPr>
            <w:r>
              <w:rPr>
                <w:rFonts w:ascii="宋体" w:eastAsia="宋体" w:hint="eastAsia"/>
                <w:b/>
                <w:bCs/>
                <w:color w:val="000000"/>
              </w:rPr>
              <w:t xml:space="preserve">                                制造商维保服务费（</w:t>
            </w:r>
            <w:r>
              <w:rPr>
                <w:rFonts w:ascii="宋体" w:eastAsia="宋体" w:hint="eastAsia"/>
                <w:b/>
                <w:bCs/>
                <w:color w:val="000000"/>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jc w:val="center"/>
              <w:rPr>
                <w:rFonts w:hint="eastAsia"/>
                <w:b/>
                <w:bCs/>
                <w:color w:val="000000"/>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jc w:val="center"/>
              <w:rPr>
                <w:rFonts w:hint="eastAsia"/>
                <w:b/>
                <w:bCs/>
                <w:color w:val="000000"/>
              </w:rPr>
            </w:pPr>
            <w:r>
              <w:rPr>
                <w:rFonts w:ascii="宋体" w:eastAsia="宋体" w:hint="eastAsia"/>
                <w:b/>
                <w:bCs/>
                <w:color w:val="000000"/>
              </w:rPr>
              <w:t xml:space="preserve">                                                       合同总价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jc w:val="center"/>
              <w:rPr>
                <w:rFonts w:hint="eastAsia"/>
                <w:b/>
                <w:bCs/>
                <w:color w:val="000000"/>
              </w:rPr>
            </w:pPr>
          </w:p>
        </w:tc>
      </w:tr>
    </w:tbl>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第二条 合同总价款</w:t>
      </w:r>
    </w:p>
    <w:p>
      <w:pPr>
        <w:pStyle w:val="10311"/>
        <w:ind w:firstLine="420" w:firstLineChars="200"/>
        <w:rPr>
          <w:rFonts w:ascii="宋体" w:eastAsia="宋体" w:hint="eastAsia"/>
          <w:color w:val="000000"/>
          <w:sz w:val="21"/>
          <w:szCs w:val="21"/>
        </w:rPr>
      </w:pPr>
      <w:r>
        <w:rPr>
          <w:rFonts w:ascii="宋体" w:eastAsia="宋体" w:hint="eastAsia"/>
          <w:color w:val="000000"/>
          <w:sz w:val="21"/>
          <w:szCs w:val="21"/>
        </w:rPr>
        <w:t>甲方以支付总价款（人民币大写） __________元，接受乙方对上述货物的供货和伴随服务。包括乙方提供货物、包装、运输、货物的保险和储存、检测、验收、安装调试、保修服务、培训、资料及提供的伴随服务等所有成本、费用及税费，甲方（用户）无需再向乙方支付其他任何费用。详见附件分项报价表、设备配置清单和技术偏离表。</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第三条 付款条件</w:t>
      </w:r>
    </w:p>
    <w:p>
      <w:pPr>
        <w:ind w:firstLine="420" w:firstLineChars="200"/>
        <w:rPr>
          <w:rFonts w:ascii="宋体" w:hint="eastAsia"/>
          <w:color w:val="000000"/>
          <w:szCs w:val="21"/>
        </w:rPr>
      </w:pPr>
      <w:r>
        <w:rPr>
          <w:rFonts w:ascii="宋体" w:eastAsia="宋体" w:hint="eastAsia"/>
          <w:color w:val="000000"/>
          <w:szCs w:val="21"/>
        </w:rPr>
        <w:t>（一）本合同以人民币付款。</w:t>
      </w:r>
    </w:p>
    <w:p>
      <w:pPr>
        <w:ind w:firstLine="420" w:firstLineChars="200"/>
        <w:rPr>
          <w:rFonts w:ascii="宋体" w:hint="eastAsia"/>
          <w:color w:val="000000"/>
          <w:szCs w:val="21"/>
        </w:rPr>
      </w:pPr>
      <w:r>
        <w:rPr>
          <w:rFonts w:ascii="宋体" w:eastAsia="宋体" w:hint="eastAsia"/>
          <w:color w:val="000000"/>
          <w:szCs w:val="21"/>
        </w:rPr>
        <w:t>（二）付款办法：</w:t>
      </w:r>
    </w:p>
    <w:p>
      <w:pPr>
        <w:ind w:firstLine="420" w:firstLineChars="200"/>
        <w:rPr>
          <w:rFonts w:ascii="宋体" w:hint="eastAsia"/>
          <w:color w:val="000000"/>
          <w:szCs w:val="21"/>
        </w:rPr>
      </w:pPr>
      <w:r>
        <w:rPr>
          <w:rFonts w:ascii="宋体" w:eastAsia="宋体" w:hint="eastAsia"/>
          <w:color w:val="000000"/>
          <w:szCs w:val="21"/>
        </w:rPr>
        <w:t>1.乙方向甲方交付履约保证金或符合甲方要求的银行履约保函（金额为合同总价</w:t>
      </w:r>
      <w:r>
        <w:rPr>
          <w:rFonts w:ascii="宋体" w:eastAsia="宋体" w:hint="eastAsia"/>
          <w:color w:val="000000"/>
          <w:szCs w:val="21"/>
          <w:u w:val="single"/>
        </w:rPr>
        <w:t xml:space="preserve">  %</w:t>
      </w:r>
      <w:r>
        <w:rPr>
          <w:rFonts w:ascii="宋体" w:eastAsia="宋体" w:hint="eastAsia"/>
          <w:color w:val="000000"/>
          <w:szCs w:val="21"/>
        </w:rPr>
        <w:t>），并提交下列单据之日起10个工作日内，甲方向乙方支付合同总价_100__%合同款（金额：</w:t>
      </w:r>
      <w:r>
        <w:rPr>
          <w:rFonts w:ascii="宋体" w:eastAsia="宋体" w:hint="eastAsia"/>
          <w:color w:val="000000"/>
          <w:szCs w:val="21"/>
          <w:u w:val="single" w:color="auto"/>
        </w:rPr>
        <w:t xml:space="preserve">          </w:t>
      </w:r>
      <w:r>
        <w:rPr>
          <w:rFonts w:ascii="宋体" w:eastAsia="宋体" w:hint="eastAsia"/>
          <w:color w:val="000000"/>
          <w:szCs w:val="21"/>
          <w:u w:color="auto"/>
        </w:rPr>
        <w:t>元，大写金额：</w:t>
      </w:r>
      <w:r>
        <w:rPr>
          <w:rFonts w:ascii="宋体" w:eastAsia="宋体" w:hint="eastAsia"/>
          <w:color w:val="000000"/>
          <w:szCs w:val="21"/>
          <w:u w:val="single" w:color="auto"/>
        </w:rPr>
        <w:t xml:space="preserve">               </w:t>
      </w:r>
      <w:r>
        <w:rPr>
          <w:rFonts w:ascii="宋体" w:eastAsia="宋体" w:hint="eastAsia"/>
          <w:color w:val="000000"/>
          <w:szCs w:val="21"/>
          <w:u w:color="auto"/>
        </w:rPr>
        <w:t>元</w:t>
      </w:r>
      <w:r>
        <w:rPr>
          <w:rFonts w:ascii="宋体" w:eastAsia="宋体" w:hint="eastAsia"/>
          <w:color w:val="000000"/>
          <w:szCs w:val="21"/>
        </w:rPr>
        <w:t>）。</w:t>
      </w:r>
    </w:p>
    <w:p>
      <w:pPr>
        <w:ind w:firstLine="420" w:firstLineChars="200"/>
        <w:rPr>
          <w:rFonts w:ascii="宋体" w:hint="eastAsia"/>
          <w:color w:val="000000"/>
          <w:szCs w:val="21"/>
        </w:rPr>
      </w:pPr>
      <w:r>
        <w:rPr>
          <w:rFonts w:ascii="宋体" w:eastAsia="宋体" w:hint="eastAsia"/>
          <w:color w:val="000000"/>
          <w:szCs w:val="21"/>
        </w:rPr>
        <w:t>乙方提交单据：合同（正文部分复印件）、中标通知书（或成交通知书）、发票（原件）、履约保证金或正式银行履约保函单据。</w:t>
      </w:r>
    </w:p>
    <w:p>
      <w:pPr>
        <w:ind w:firstLine="420" w:firstLineChars="200"/>
        <w:rPr>
          <w:rFonts w:ascii="宋体" w:hint="eastAsia"/>
          <w:color w:val="000000"/>
          <w:szCs w:val="21"/>
        </w:rPr>
      </w:pPr>
      <w:r>
        <w:rPr>
          <w:rFonts w:ascii="宋体" w:eastAsia="宋体" w:hint="eastAsia"/>
          <w:color w:val="000000"/>
          <w:szCs w:val="21"/>
        </w:rPr>
        <w:t>2.设备全部到货并经甲方（用户）签收后，乙方向甲方提交下列单据之日起10个工作日内，甲方向乙方支付合同总价</w:t>
      </w:r>
      <w:r>
        <w:rPr>
          <w:rFonts w:ascii="宋体" w:eastAsia="宋体" w:hint="eastAsia"/>
          <w:color w:val="000000"/>
          <w:szCs w:val="21"/>
          <w:u w:val="single" w:color="auto"/>
        </w:rPr>
        <w:t>/</w:t>
      </w:r>
      <w:r>
        <w:rPr>
          <w:rFonts w:ascii="宋体" w:eastAsia="宋体" w:hint="eastAsia"/>
          <w:color w:val="000000"/>
          <w:szCs w:val="21"/>
        </w:rPr>
        <w:t xml:space="preserve"> %合同款（金额）。</w:t>
      </w:r>
    </w:p>
    <w:p>
      <w:pPr>
        <w:ind w:firstLine="420" w:firstLineChars="200"/>
        <w:rPr>
          <w:rFonts w:ascii="宋体" w:hint="eastAsia"/>
          <w:color w:val="000000"/>
          <w:szCs w:val="21"/>
        </w:rPr>
      </w:pPr>
      <w:r>
        <w:rPr>
          <w:rFonts w:ascii="宋体" w:eastAsia="宋体" w:hint="eastAsia"/>
          <w:color w:val="000000"/>
          <w:szCs w:val="21"/>
        </w:rPr>
        <w:t>乙方提交单据：发票（原件）、设备到货验收合格签收单（须装订成册）（复印件）。</w:t>
      </w:r>
    </w:p>
    <w:p>
      <w:pPr>
        <w:ind w:firstLine="420" w:firstLineChars="200"/>
        <w:rPr>
          <w:rFonts w:ascii="宋体" w:hint="eastAsia"/>
          <w:color w:val="000000"/>
          <w:szCs w:val="21"/>
        </w:rPr>
      </w:pPr>
      <w:r>
        <w:rPr>
          <w:rFonts w:ascii="宋体" w:eastAsia="宋体" w:hint="eastAsia"/>
          <w:color w:val="000000"/>
          <w:szCs w:val="21"/>
        </w:rPr>
        <w:t>3.设备全部安装调试，并经甲方（用户）验收合格后，乙方向甲方提交下列单据之日起10个工作日内，甲方向乙方退回保证金，即合同总价_ _%合同款（金额：</w:t>
      </w:r>
      <w:r>
        <w:rPr>
          <w:rFonts w:ascii="宋体" w:eastAsia="宋体" w:hint="eastAsia"/>
          <w:color w:val="000000"/>
          <w:szCs w:val="21"/>
          <w:u w:val="single" w:color="auto"/>
        </w:rPr>
        <w:t xml:space="preserve">          </w:t>
      </w:r>
      <w:r>
        <w:rPr>
          <w:rFonts w:ascii="宋体" w:eastAsia="宋体" w:hint="eastAsia"/>
          <w:color w:val="000000"/>
          <w:szCs w:val="21"/>
          <w:u w:color="auto"/>
        </w:rPr>
        <w:t>元，大写金额：</w:t>
      </w:r>
      <w:r>
        <w:rPr>
          <w:rFonts w:ascii="宋体" w:eastAsia="宋体" w:hint="eastAsia"/>
          <w:color w:val="000000"/>
          <w:szCs w:val="21"/>
          <w:u w:val="single" w:color="auto"/>
        </w:rPr>
        <w:t xml:space="preserve">               </w:t>
      </w:r>
      <w:r>
        <w:rPr>
          <w:rFonts w:ascii="宋体" w:eastAsia="宋体" w:hint="eastAsia"/>
          <w:color w:val="000000"/>
          <w:szCs w:val="21"/>
          <w:u w:color="auto"/>
        </w:rPr>
        <w:t>元</w:t>
      </w:r>
      <w:r>
        <w:rPr>
          <w:rFonts w:ascii="宋体" w:eastAsia="宋体" w:hint="eastAsia"/>
          <w:color w:val="000000"/>
          <w:szCs w:val="21"/>
        </w:rPr>
        <w:t>）。</w:t>
      </w:r>
    </w:p>
    <w:p>
      <w:pPr>
        <w:ind w:firstLine="420" w:firstLineChars="200"/>
        <w:rPr>
          <w:rFonts w:ascii="宋体" w:hint="eastAsia"/>
          <w:color w:val="000000"/>
          <w:szCs w:val="21"/>
        </w:rPr>
      </w:pPr>
      <w:r>
        <w:rPr>
          <w:rFonts w:ascii="宋体" w:eastAsia="宋体" w:hint="eastAsia"/>
          <w:color w:val="000000"/>
          <w:szCs w:val="21"/>
        </w:rPr>
        <w:t>乙方提交单据：发票（原件）、安装调试验收合格报告（须装订成册）（复印件）。</w:t>
      </w:r>
    </w:p>
    <w:p>
      <w:pPr>
        <w:ind w:firstLine="420" w:firstLineChars="200"/>
        <w:rPr>
          <w:rFonts w:ascii="宋体" w:hint="eastAsia"/>
          <w:color w:val="000000"/>
          <w:szCs w:val="21"/>
        </w:rPr>
      </w:pPr>
      <w:r>
        <w:rPr>
          <w:rFonts w:ascii="宋体" w:eastAsia="宋体" w:hint="eastAsia"/>
          <w:color w:val="000000"/>
          <w:szCs w:val="21"/>
        </w:rPr>
        <w:t>4.因财政集中支付延误时间不计算在内，乙方提交付款单据延迟、缺失及账户信息错误的，甲方有权相应顺延付款期限，且甲方不承担延误付款责任。</w:t>
      </w:r>
    </w:p>
    <w:p>
      <w:pPr>
        <w:pStyle w:val="4710"/>
        <w:autoSpaceDN w:val="0"/>
        <w:ind w:firstLine="420" w:firstLineChars="200"/>
        <w:jc w:val="left"/>
        <w:rPr>
          <w:rFonts w:ascii="宋体" w:cs="微软雅黑" w:hint="eastAsia"/>
          <w:snapToGrid w:val="0"/>
          <w:kern w:val="0"/>
          <w:szCs w:val="21"/>
        </w:rPr>
      </w:pPr>
      <w:r>
        <w:rPr>
          <w:rFonts w:ascii="宋体" w:eastAsia="宋体" w:cs="微软雅黑" w:hint="eastAsia"/>
          <w:snapToGrid w:val="0"/>
          <w:kern w:val="0"/>
          <w:szCs w:val="21"/>
          <w:lang w:bidi="ar-SA"/>
        </w:rPr>
        <w:t>乙方收取货款账户为：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6100"/>
              <w:autoSpaceDN w:val="0"/>
              <w:jc w:val="left"/>
              <w:rPr>
                <w:rFonts w:ascii="宋体" w:cs="微软雅黑" w:hint="eastAsia"/>
                <w:snapToGrid w:val="0"/>
                <w:kern w:val="0"/>
                <w:szCs w:val="21"/>
              </w:rPr>
            </w:pPr>
            <w:r>
              <w:rPr>
                <w:rFonts w:ascii="宋体" w:eastAsia="宋体" w:cs="微软雅黑" w:hint="eastAsia"/>
                <w:snapToGrid w:val="0"/>
                <w:kern w:val="0"/>
                <w:szCs w:val="21"/>
                <w:lang w:bidi="ar-SA"/>
              </w:rPr>
              <w:t>乙方全称</w:t>
            </w:r>
          </w:p>
        </w:tc>
        <w:tc>
          <w:tcPr>
            <w:tcW w:w="6051" w:type="dxa"/>
            <w:vAlign w:val="center"/>
          </w:tcPr>
          <w:p>
            <w:pPr>
              <w:pStyle w:val="5100"/>
              <w:autoSpaceDN w:val="0"/>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101"/>
              <w:autoSpaceDN w:val="0"/>
              <w:jc w:val="left"/>
              <w:rPr>
                <w:rFonts w:ascii="宋体" w:cs="微软雅黑" w:hint="eastAsia"/>
                <w:snapToGrid w:val="0"/>
                <w:kern w:val="0"/>
                <w:szCs w:val="21"/>
              </w:rPr>
            </w:pPr>
            <w:r>
              <w:rPr>
                <w:rFonts w:ascii="宋体" w:eastAsia="宋体" w:cs="微软雅黑" w:hint="eastAsia"/>
                <w:snapToGrid w:val="0"/>
                <w:kern w:val="0"/>
                <w:szCs w:val="21"/>
                <w:lang w:bidi="ar-SA"/>
              </w:rPr>
              <w:t>开户银行</w:t>
            </w:r>
          </w:p>
        </w:tc>
        <w:tc>
          <w:tcPr>
            <w:tcW w:w="6051" w:type="dxa"/>
            <w:vAlign w:val="center"/>
          </w:tcPr>
          <w:p>
            <w:pPr>
              <w:pStyle w:val="3100"/>
              <w:autoSpaceDN w:val="0"/>
              <w:ind w:firstLine="420" w:firstLineChars="200"/>
              <w:jc w:val="left"/>
              <w:rPr>
                <w:rFonts w:ascii="宋体" w:hAns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2103"/>
              <w:autoSpaceDN w:val="0"/>
              <w:jc w:val="left"/>
              <w:rPr>
                <w:rFonts w:ascii="宋体" w:cs="微软雅黑" w:hint="eastAsia"/>
                <w:snapToGrid w:val="0"/>
                <w:kern w:val="0"/>
                <w:szCs w:val="21"/>
              </w:rPr>
            </w:pPr>
            <w:r>
              <w:rPr>
                <w:rFonts w:ascii="宋体" w:eastAsia="宋体" w:cs="微软雅黑" w:hint="eastAsia"/>
                <w:snapToGrid w:val="0"/>
                <w:kern w:val="0"/>
                <w:szCs w:val="21"/>
                <w:lang w:bidi="ar-SA"/>
              </w:rPr>
              <w:t>账号</w:t>
            </w:r>
          </w:p>
        </w:tc>
        <w:tc>
          <w:tcPr>
            <w:tcW w:w="6051" w:type="dxa"/>
            <w:vAlign w:val="center"/>
          </w:tcPr>
          <w:p>
            <w:pPr>
              <w:pStyle w:val="110"/>
              <w:autoSpaceDN w:val="0"/>
              <w:ind w:firstLine="420" w:firstLineChars="200"/>
              <w:jc w:val="left"/>
              <w:rPr>
                <w:rFonts w:ascii="宋体" w:cs="微软雅黑" w:hint="eastAsia"/>
                <w:snapToGrid w:val="0"/>
                <w:kern w:val="0"/>
                <w:szCs w:val="21"/>
              </w:rPr>
            </w:pPr>
          </w:p>
        </w:tc>
      </w:tr>
    </w:tbl>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第四条 履约保证金及银行履约保函</w:t>
      </w:r>
    </w:p>
    <w:p>
      <w:pPr>
        <w:pStyle w:val="2311"/>
        <w:ind w:firstLine="420" w:firstLineChars="200"/>
        <w:rPr>
          <w:rFonts w:ascii="宋体" w:eastAsia="宋体" w:hint="eastAsia"/>
          <w:color w:val="000000"/>
          <w:sz w:val="21"/>
          <w:szCs w:val="21"/>
        </w:rPr>
      </w:pPr>
      <w:r>
        <w:rPr>
          <w:rFonts w:ascii="宋体" w:eastAsia="宋体" w:hint="eastAsia"/>
          <w:color w:val="000000"/>
          <w:sz w:val="21"/>
          <w:szCs w:val="21"/>
        </w:rPr>
        <w:t>（一）合同签订之日起</w:t>
      </w:r>
      <w:r>
        <w:rPr>
          <w:rFonts w:ascii="宋体" w:eastAsia="宋体" w:hint="eastAsia"/>
          <w:color w:val="000000"/>
          <w:sz w:val="21"/>
          <w:szCs w:val="21"/>
          <w:u w:val="single"/>
        </w:rPr>
        <w:t>10</w:t>
      </w:r>
      <w:r>
        <w:rPr>
          <w:rFonts w:ascii="宋体" w:eastAsia="宋体" w:hint="eastAsia"/>
          <w:color w:val="000000"/>
          <w:sz w:val="21"/>
          <w:szCs w:val="21"/>
        </w:rPr>
        <w:t>个工作日内，乙方须按合同金额的</w:t>
      </w:r>
      <w:r>
        <w:rPr>
          <w:rFonts w:ascii="宋体" w:eastAsia="宋体" w:hint="eastAsia"/>
          <w:color w:val="000000"/>
          <w:sz w:val="21"/>
          <w:szCs w:val="21"/>
          <w:u w:val="single"/>
        </w:rPr>
        <w:t xml:space="preserve">   %</w:t>
      </w:r>
      <w:r>
        <w:rPr>
          <w:rFonts w:ascii="宋体" w:eastAsia="宋体" w:hint="eastAsia"/>
          <w:color w:val="000000"/>
          <w:sz w:val="21"/>
          <w:szCs w:val="21"/>
        </w:rPr>
        <w:t>向甲方交纳履约保证金。如果乙方未按照约定时间交付履约保证金也未提交银行履约保函的，甲方有权单方面解除合同。</w:t>
      </w:r>
    </w:p>
    <w:p>
      <w:pPr>
        <w:pStyle w:val="50510"/>
        <w:autoSpaceDN w:val="0"/>
        <w:ind w:firstLine="420" w:firstLineChars="200"/>
        <w:jc w:val="left"/>
        <w:rPr>
          <w:rFonts w:ascii="宋体" w:cs="微软雅黑" w:hint="eastAsia"/>
          <w:snapToGrid w:val="0"/>
          <w:kern w:val="0"/>
          <w:szCs w:val="21"/>
        </w:rPr>
      </w:pPr>
      <w:r>
        <w:rPr>
          <w:rFonts w:ascii="宋体" w:eastAsia="宋体" w:cs="微软雅黑" w:hint="eastAsia"/>
          <w:snapToGrid w:val="0"/>
          <w:kern w:val="0"/>
          <w:szCs w:val="21"/>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jc w:val="left"/>
              <w:rPr>
                <w:rFonts w:ascii="宋体" w:cs="微软雅黑" w:hint="eastAsia"/>
                <w:snapToGrid w:val="0"/>
                <w:kern w:val="0"/>
                <w:szCs w:val="21"/>
              </w:rPr>
            </w:pPr>
            <w:r>
              <w:rPr>
                <w:rFonts w:ascii="宋体" w:eastAsia="宋体" w:cs="微软雅黑" w:hint="eastAsia"/>
                <w:snapToGrid w:val="0"/>
                <w:kern w:val="0"/>
                <w:szCs w:val="21"/>
                <w:lang w:bidi="ar-SA"/>
              </w:rPr>
              <w:t>收款单位全称</w:t>
            </w:r>
          </w:p>
        </w:tc>
        <w:tc>
          <w:tcPr>
            <w:tcW w:w="5469" w:type="dxa"/>
            <w:vAlign w:val="center"/>
          </w:tcPr>
          <w:p>
            <w:pPr>
              <w:pStyle w:val="50510"/>
              <w:autoSpaceDN w:val="0"/>
              <w:ind w:firstLine="420" w:firstLineChars="200"/>
              <w:jc w:val="left"/>
              <w:rPr>
                <w:rFonts w:ascii="宋体" w:cs="微软雅黑" w:hint="eastAsia"/>
                <w:snapToGrid w:val="0"/>
                <w:kern w:val="0"/>
                <w:szCs w:val="21"/>
              </w:rPr>
            </w:pPr>
            <w:r>
              <w:rPr>
                <w:rFonts w:ascii="宋体" w:eastAsia="宋体" w:cs="微软雅黑" w:hint="eastAsia"/>
                <w:snapToGrid w:val="0"/>
                <w:kern w:val="0"/>
                <w:szCs w:val="21"/>
                <w:lang w:bidi="ar-SA"/>
              </w:rPr>
              <w:t>中国海关科学技术研究中心</w:t>
            </w: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jc w:val="left"/>
              <w:rPr>
                <w:rFonts w:ascii="宋体" w:cs="微软雅黑" w:hint="eastAsia"/>
                <w:snapToGrid w:val="0"/>
                <w:kern w:val="0"/>
                <w:szCs w:val="21"/>
              </w:rPr>
            </w:pPr>
            <w:r>
              <w:rPr>
                <w:rFonts w:ascii="宋体" w:eastAsia="宋体" w:cs="微软雅黑" w:hint="eastAsia"/>
                <w:snapToGrid w:val="0"/>
                <w:kern w:val="0"/>
                <w:szCs w:val="21"/>
                <w:lang w:bidi="ar-SA"/>
              </w:rPr>
              <w:t>开户银行</w:t>
            </w:r>
          </w:p>
        </w:tc>
        <w:tc>
          <w:tcPr>
            <w:tcW w:w="5469" w:type="dxa"/>
            <w:vAlign w:val="center"/>
          </w:tcPr>
          <w:p>
            <w:pPr>
              <w:pStyle w:val="50510"/>
              <w:autoSpaceDN w:val="0"/>
              <w:ind w:firstLine="420" w:firstLineChars="200"/>
              <w:jc w:val="left"/>
              <w:rPr>
                <w:rFonts w:ascii="宋体" w:cs="微软雅黑" w:hint="eastAsia"/>
                <w:snapToGrid w:val="0"/>
                <w:kern w:val="0"/>
                <w:szCs w:val="21"/>
              </w:rPr>
            </w:pPr>
            <w:r>
              <w:rPr>
                <w:rFonts w:ascii="宋体" w:eastAsia="宋体" w:cs="微软雅黑" w:hint="eastAsia"/>
                <w:snapToGrid w:val="0"/>
                <w:kern w:val="0"/>
                <w:szCs w:val="21"/>
                <w:lang w:bidi="ar-SA"/>
              </w:rPr>
              <w:t>中国工商银行股份有限公司北京金台路支行</w:t>
            </w: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jc w:val="left"/>
              <w:rPr>
                <w:rFonts w:ascii="宋体" w:cs="微软雅黑" w:hint="eastAsia"/>
                <w:snapToGrid w:val="0"/>
                <w:kern w:val="0"/>
                <w:szCs w:val="21"/>
              </w:rPr>
            </w:pPr>
            <w:r>
              <w:rPr>
                <w:rFonts w:ascii="宋体" w:eastAsia="宋体" w:cs="微软雅黑" w:hint="eastAsia"/>
                <w:snapToGrid w:val="0"/>
                <w:kern w:val="0"/>
                <w:szCs w:val="21"/>
                <w:lang w:bidi="ar-SA"/>
              </w:rPr>
              <w:t>账号</w:t>
            </w:r>
          </w:p>
        </w:tc>
        <w:tc>
          <w:tcPr>
            <w:tcW w:w="5469" w:type="dxa"/>
            <w:vAlign w:val="center"/>
          </w:tcPr>
          <w:p>
            <w:pPr>
              <w:pStyle w:val="50510"/>
              <w:autoSpaceDN w:val="0"/>
              <w:ind w:firstLine="420" w:firstLineChars="200"/>
              <w:jc w:val="left"/>
              <w:rPr>
                <w:rFonts w:ascii="宋体" w:cs="微软雅黑" w:hint="eastAsia"/>
                <w:snapToGrid w:val="0"/>
                <w:kern w:val="0"/>
                <w:szCs w:val="21"/>
              </w:rPr>
            </w:pPr>
            <w:r>
              <w:rPr>
                <w:rFonts w:ascii="宋体" w:eastAsia="宋体" w:cs="微软雅黑" w:hint="eastAsia"/>
                <w:snapToGrid w:val="0"/>
                <w:kern w:val="0"/>
                <w:szCs w:val="21"/>
                <w:lang w:bidi="ar-SA"/>
              </w:rPr>
              <w:t>0200020209200030432</w:t>
            </w:r>
          </w:p>
        </w:tc>
      </w:tr>
    </w:tbl>
    <w:p>
      <w:pPr>
        <w:pStyle w:val="2311"/>
        <w:ind w:firstLine="420" w:firstLineChars="200"/>
        <w:rPr>
          <w:rFonts w:ascii="宋体" w:eastAsia="宋体" w:hint="eastAsia"/>
          <w:color w:val="000000"/>
          <w:sz w:val="21"/>
          <w:szCs w:val="21"/>
        </w:rPr>
      </w:pPr>
      <w:r>
        <w:rPr>
          <w:rFonts w:ascii="宋体" w:eastAsia="宋体" w:hint="eastAsia"/>
          <w:color w:val="000000"/>
          <w:sz w:val="21"/>
          <w:szCs w:val="21"/>
        </w:rPr>
        <w:t>（二）履约保证金以银行保函、银行电汇向甲方提供。</w:t>
      </w:r>
    </w:p>
    <w:p>
      <w:pPr>
        <w:pStyle w:val="2311"/>
        <w:ind w:firstLine="420" w:firstLineChars="200"/>
        <w:rPr>
          <w:rFonts w:ascii="宋体" w:eastAsia="宋体" w:hint="eastAsia"/>
          <w:color w:val="000000"/>
          <w:sz w:val="21"/>
          <w:szCs w:val="21"/>
        </w:rPr>
      </w:pPr>
      <w:r>
        <w:rPr>
          <w:rFonts w:ascii="宋体" w:eastAsia="宋体" w:hint="eastAsia"/>
          <w:color w:val="000000"/>
          <w:sz w:val="21"/>
          <w:szCs w:val="21"/>
        </w:rPr>
        <w:t>（三）履约保证金有效期：设备全部安装调试，并经甲方（用户）验收合格后，乙方向甲方提交下列单据之日起10个工作日内，甲方向乙方退回保证金，即合同总价_  _%合同款。</w:t>
      </w:r>
    </w:p>
    <w:p>
      <w:pPr>
        <w:ind w:firstLine="420" w:firstLineChars="200"/>
        <w:rPr>
          <w:rFonts w:ascii="宋体" w:hint="eastAsia"/>
          <w:color w:val="000000"/>
          <w:szCs w:val="21"/>
        </w:rPr>
      </w:pPr>
      <w:r>
        <w:rPr>
          <w:rFonts w:ascii="宋体" w:eastAsia="宋体" w:hint="eastAsia"/>
          <w:color w:val="000000"/>
          <w:szCs w:val="21"/>
        </w:rPr>
        <w:t>（四）如乙方未能履行合同规定的义务，甲方有权按照本合同的约定从履约保证金中进行相应扣除。乙方应在甲方扣除履约保证金之日起10个工作日内，及时补充扣除部分金额。</w:t>
      </w:r>
    </w:p>
    <w:p>
      <w:pPr>
        <w:ind w:firstLine="420" w:firstLineChars="200"/>
        <w:rPr>
          <w:rFonts w:ascii="宋体" w:hint="eastAsia"/>
          <w:color w:val="000000"/>
          <w:szCs w:val="21"/>
        </w:rPr>
      </w:pPr>
      <w:r>
        <w:rPr>
          <w:rFonts w:ascii="宋体" w:eastAsia="宋体" w:hint="eastAsia"/>
          <w:color w:val="000000"/>
          <w:szCs w:val="21"/>
        </w:rPr>
        <w:t>（五）如乙方不履行合同，或履行合同义务不符合约定使得合同目的不能实现，履约保证金不予退还。</w:t>
      </w:r>
    </w:p>
    <w:p>
      <w:pPr>
        <w:ind w:firstLine="420" w:firstLineChars="200"/>
        <w:rPr>
          <w:rFonts w:ascii="宋体" w:hint="eastAsia"/>
          <w:color w:val="000000"/>
          <w:szCs w:val="21"/>
        </w:rPr>
      </w:pPr>
      <w:r>
        <w:rPr>
          <w:rFonts w:ascii="宋体" w:eastAsia="宋体" w:hint="eastAsia"/>
          <w:color w:val="000000"/>
          <w:szCs w:val="21"/>
        </w:rPr>
        <w:t>（六）履约保证金在有效期满后，甲方凭乙方提交退款申请，10个工作日内无息退还。</w:t>
      </w:r>
    </w:p>
    <w:p>
      <w:pPr>
        <w:ind w:firstLine="420" w:firstLineChars="200"/>
        <w:rPr>
          <w:rFonts w:ascii="宋体" w:hint="eastAsia"/>
          <w:color w:val="000000"/>
          <w:szCs w:val="21"/>
        </w:rPr>
      </w:pPr>
      <w:r>
        <w:rPr>
          <w:rFonts w:ascii="宋体" w:eastAsia="宋体" w:hint="eastAsia"/>
          <w:color w:val="000000"/>
          <w:szCs w:val="21"/>
        </w:rPr>
        <w:t xml:space="preserve"> （七）乙方提交的银行履约保函应同时符合下列条件：</w:t>
      </w:r>
    </w:p>
    <w:p>
      <w:pPr>
        <w:ind w:firstLine="420" w:firstLineChars="200"/>
        <w:rPr>
          <w:rFonts w:ascii="宋体" w:hint="eastAsia"/>
          <w:color w:val="000000"/>
          <w:szCs w:val="21"/>
        </w:rPr>
      </w:pPr>
      <w:r>
        <w:rPr>
          <w:rFonts w:ascii="宋体" w:eastAsia="宋体" w:hint="eastAsia"/>
          <w:color w:val="000000"/>
          <w:szCs w:val="21"/>
        </w:rPr>
        <w:t xml:space="preserve">  # 保函金额为合同总价10%；</w:t>
      </w:r>
    </w:p>
    <w:p>
      <w:pPr>
        <w:ind w:firstLine="630" w:firstLineChars="300"/>
        <w:rPr>
          <w:rFonts w:ascii="宋体" w:hint="eastAsia"/>
          <w:color w:val="000000"/>
          <w:szCs w:val="21"/>
        </w:rPr>
      </w:pPr>
      <w:r>
        <w:rPr>
          <w:rFonts w:ascii="宋体" w:eastAsia="宋体" w:hint="eastAsia"/>
          <w:color w:val="000000"/>
          <w:szCs w:val="21"/>
        </w:rPr>
        <w:t># 载明不可撤销；</w:t>
      </w:r>
    </w:p>
    <w:p>
      <w:pPr>
        <w:ind w:firstLine="630" w:firstLineChars="300"/>
        <w:rPr>
          <w:rFonts w:ascii="宋体" w:hint="eastAsia"/>
          <w:color w:val="000000"/>
          <w:szCs w:val="21"/>
        </w:rPr>
      </w:pPr>
      <w:r>
        <w:rPr>
          <w:rFonts w:ascii="宋体" w:eastAsia="宋体" w:hint="eastAsia"/>
          <w:color w:val="000000"/>
          <w:szCs w:val="21"/>
        </w:rPr>
        <w:t># 保函应在中国工商银行、中国银行、中国建设银行、中国农业银行、交通银行之一或甲方认可同意的银行开具；</w:t>
      </w:r>
    </w:p>
    <w:p>
      <w:pPr>
        <w:ind w:firstLine="630" w:firstLineChars="300"/>
        <w:rPr>
          <w:rFonts w:ascii="宋体" w:hint="eastAsia"/>
          <w:color w:val="000000"/>
          <w:szCs w:val="21"/>
        </w:rPr>
      </w:pPr>
      <w:r>
        <w:rPr>
          <w:rFonts w:ascii="宋体" w:eastAsia="宋体" w:hint="eastAsia"/>
          <w:color w:val="000000"/>
          <w:szCs w:val="21"/>
        </w:rPr>
        <w:t># 保函应载明见索即付，不得附带任何支付条件或前提；</w:t>
      </w:r>
    </w:p>
    <w:p>
      <w:pPr>
        <w:ind w:firstLine="630" w:firstLineChars="300"/>
        <w:rPr>
          <w:rFonts w:ascii="宋体" w:hint="eastAsia"/>
          <w:color w:val="000000"/>
          <w:szCs w:val="21"/>
        </w:rPr>
      </w:pPr>
      <w:r>
        <w:rPr>
          <w:rFonts w:ascii="宋体" w:eastAsia="宋体" w:hint="eastAsia"/>
          <w:color w:val="000000"/>
          <w:szCs w:val="21"/>
        </w:rPr>
        <w:t># 保函期限为：不少于六个月。</w:t>
      </w:r>
    </w:p>
    <w:p>
      <w:pPr>
        <w:ind w:firstLine="630" w:firstLineChars="300"/>
        <w:rPr>
          <w:rFonts w:ascii="宋体" w:hint="eastAsia"/>
          <w:color w:val="000000"/>
          <w:szCs w:val="21"/>
        </w:rPr>
      </w:pPr>
      <w:r>
        <w:rPr>
          <w:rFonts w:ascii="宋体" w:eastAsia="宋体" w:hint="eastAsia"/>
          <w:color w:val="000000"/>
          <w:szCs w:val="21"/>
        </w:rPr>
        <w:t># 保函应载明适用中华人民共和国法律法规。</w:t>
      </w:r>
    </w:p>
    <w:p>
      <w:pPr>
        <w:ind w:firstLine="630" w:firstLineChars="300"/>
        <w:rPr>
          <w:rFonts w:ascii="宋体" w:hint="eastAsia"/>
          <w:color w:val="000000"/>
          <w:szCs w:val="21"/>
        </w:rPr>
      </w:pPr>
      <w:r>
        <w:rPr>
          <w:rFonts w:ascii="宋体" w:eastAsia="宋体" w:hint="eastAsia"/>
          <w:color w:val="000000"/>
          <w:szCs w:val="21"/>
        </w:rPr>
        <w:t>如乙方提交的银行履约保函未能同时符合上述条件，则视为乙方未提交银行履约保函。</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第五条 包装</w:t>
      </w:r>
    </w:p>
    <w:p>
      <w:pPr>
        <w:pStyle w:val="9012"/>
        <w:ind w:firstLine="420" w:firstLineChars="200"/>
        <w:rPr>
          <w:rFonts w:ascii="宋体" w:eastAsia="宋体" w:hint="eastAsia"/>
          <w:color w:val="000000"/>
          <w:sz w:val="21"/>
          <w:szCs w:val="21"/>
        </w:rPr>
      </w:pPr>
      <w:r>
        <w:rPr>
          <w:rFonts w:ascii="宋体" w:eastAsia="宋体" w:hint="eastAsia"/>
          <w:color w:val="000000"/>
          <w:sz w:val="21"/>
          <w:szCs w:val="21"/>
        </w:rPr>
        <w:t>（一）除合同另有规定外，乙方提供的全部货物均应按标准</w:t>
      </w:r>
      <w:r>
        <w:rPr>
          <w:rFonts w:ascii="宋体" w:eastAsia="宋体" w:hint="eastAsia"/>
          <w:snapToGrid w:val="0"/>
          <w:color w:val="000000"/>
          <w:kern w:val="0"/>
          <w:sz w:val="21"/>
          <w:szCs w:val="21"/>
        </w:rPr>
        <w:t>保护措施进行包装，这类包装应适应于远距离运输、防潮、防震、</w:t>
      </w:r>
      <w:r>
        <w:rPr>
          <w:rFonts w:ascii="宋体" w:eastAsia="宋体" w:hint="eastAsia"/>
          <w:color w:val="000000"/>
          <w:sz w:val="21"/>
          <w:szCs w:val="21"/>
        </w:rPr>
        <w:t>防锈和防野蛮装卸，以确保货物安全无损运抵指定交货地点。</w:t>
      </w:r>
    </w:p>
    <w:p>
      <w:pPr>
        <w:pStyle w:val="9012"/>
        <w:ind w:firstLine="420" w:firstLineChars="200"/>
        <w:rPr>
          <w:rFonts w:ascii="宋体" w:eastAsia="宋体" w:hint="eastAsia"/>
          <w:color w:val="000000"/>
          <w:sz w:val="21"/>
          <w:szCs w:val="21"/>
        </w:rPr>
      </w:pPr>
      <w:r>
        <w:rPr>
          <w:rFonts w:ascii="宋体" w:eastAsia="宋体" w:hint="eastAsia"/>
          <w:color w:val="000000"/>
          <w:sz w:val="21"/>
          <w:szCs w:val="21"/>
        </w:rPr>
        <w:t>（二）乙方应在包装箱外标明合同名称、合同编号、产品名称、型号，包装箱内随附一份详细装箱单和质量证书。</w:t>
      </w:r>
    </w:p>
    <w:p>
      <w:pPr>
        <w:ind w:firstLine="420" w:firstLineChars="200"/>
        <w:rPr>
          <w:rFonts w:ascii="宋体" w:hint="eastAsia"/>
          <w:color w:val="000000"/>
          <w:szCs w:val="21"/>
        </w:rPr>
      </w:pPr>
      <w:r>
        <w:rPr>
          <w:rFonts w:ascii="宋体" w:eastAsia="宋体" w:hint="eastAsia"/>
          <w:color w:val="000000"/>
          <w:szCs w:val="21"/>
        </w:rPr>
        <w:t>（三）乙方应承担由于其包装或防护措施不当而引起的货物损坏和丢失的任何损失责任和费用。</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第六条 交货时间、地点、交货方法（运输方式）</w:t>
      </w:r>
    </w:p>
    <w:p>
      <w:pPr>
        <w:pStyle w:val="9311"/>
        <w:ind w:firstLine="420" w:firstLineChars="200"/>
        <w:rPr>
          <w:rFonts w:ascii="宋体" w:eastAsia="宋体" w:hint="eastAsia"/>
          <w:color w:val="000000"/>
          <w:sz w:val="21"/>
          <w:szCs w:val="21"/>
        </w:rPr>
      </w:pPr>
      <w:r>
        <w:rPr>
          <w:rFonts w:ascii="宋体" w:eastAsia="宋体" w:hint="eastAsia"/>
          <w:color w:val="000000"/>
          <w:sz w:val="21"/>
          <w:szCs w:val="21"/>
        </w:rPr>
        <w:t>（一</w:t>
      </w:r>
      <w:r>
        <w:rPr>
          <w:rFonts w:ascii="宋体" w:eastAsia="宋体" w:hint="eastAsia"/>
          <w:snapToGrid w:val="0"/>
          <w:color w:val="000000"/>
          <w:kern w:val="0"/>
          <w:sz w:val="21"/>
          <w:szCs w:val="21"/>
        </w:rPr>
        <w:t>）交</w:t>
      </w:r>
      <w:r>
        <w:rPr>
          <w:rFonts w:ascii="宋体" w:eastAsia="宋体" w:hint="eastAsia"/>
          <w:color w:val="000000"/>
          <w:sz w:val="21"/>
          <w:szCs w:val="21"/>
        </w:rPr>
        <w:t>货时间：合同签订后</w:t>
      </w:r>
      <w:r>
        <w:rPr>
          <w:rFonts w:ascii="宋体" w:eastAsia="宋体" w:hint="eastAsia"/>
          <w:color w:val="000000"/>
          <w:sz w:val="21"/>
          <w:szCs w:val="21"/>
          <w:u w:val="single"/>
        </w:rPr>
        <w:t>（投标响应时间）</w:t>
      </w:r>
      <w:r>
        <w:rPr>
          <w:rFonts w:ascii="宋体" w:eastAsia="宋体" w:hint="eastAsia"/>
          <w:color w:val="000000"/>
          <w:sz w:val="21"/>
          <w:szCs w:val="21"/>
        </w:rPr>
        <w:t>日内完成交货或安装调试。</w:t>
      </w:r>
    </w:p>
    <w:p>
      <w:pPr>
        <w:pStyle w:val="9412"/>
        <w:ind w:firstLine="420" w:firstLineChars="200"/>
        <w:rPr>
          <w:rFonts w:ascii="宋体" w:eastAsia="宋体" w:hint="eastAsia"/>
          <w:color w:val="000000"/>
          <w:sz w:val="21"/>
          <w:szCs w:val="21"/>
        </w:rPr>
      </w:pPr>
      <w:r>
        <w:rPr>
          <w:rFonts w:ascii="宋体" w:eastAsia="宋体" w:hint="eastAsia"/>
          <w:color w:val="000000"/>
          <w:sz w:val="21"/>
          <w:szCs w:val="21"/>
        </w:rPr>
        <w:t>（二）交货地点：分配清单指定地点，详见附件。</w:t>
      </w:r>
    </w:p>
    <w:p>
      <w:pPr>
        <w:pStyle w:val="3211"/>
        <w:ind w:firstLine="420" w:firstLineChars="200"/>
        <w:rPr>
          <w:rFonts w:ascii="宋体" w:eastAsia="宋体" w:hint="eastAsia"/>
          <w:color w:val="000000"/>
          <w:sz w:val="21"/>
          <w:szCs w:val="21"/>
        </w:rPr>
      </w:pPr>
      <w:r>
        <w:rPr>
          <w:rFonts w:ascii="宋体" w:eastAsia="宋体" w:hint="eastAsia"/>
          <w:color w:val="000000"/>
          <w:sz w:val="21"/>
          <w:szCs w:val="21"/>
        </w:rPr>
        <w:t>（三）交货方法：由乙方负责采用适合的交通工具将采购货物及其附件运至交货现场并按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420" w:firstLineChars="200"/>
        <w:rPr>
          <w:rFonts w:ascii="宋体" w:eastAsia="宋体" w:hint="eastAsia"/>
          <w:color w:val="000000"/>
          <w:sz w:val="21"/>
          <w:szCs w:val="21"/>
        </w:rPr>
      </w:pPr>
      <w:r>
        <w:rPr>
          <w:rFonts w:ascii="宋体" w:eastAsia="宋体" w:hint="eastAsia"/>
          <w:color w:val="000000"/>
          <w:sz w:val="21"/>
          <w:szCs w:val="21"/>
        </w:rPr>
        <w:t>（四）风险责任承担：货物的风险责任和所有权在双方签署设备到货验收签收单/安装调试验收合格报告后由甲方承担和享有，此前的风险责任由乙方承担。</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第七条 货物验收</w:t>
      </w:r>
    </w:p>
    <w:p>
      <w:pPr>
        <w:pStyle w:val="3"/>
        <w:spacing w:line="240" w:lineRule="auto"/>
        <w:ind w:firstLine="420" w:firstLineChars="200"/>
        <w:rPr>
          <w:rFonts w:ascii="宋体" w:hint="eastAsia"/>
          <w:color w:val="000000"/>
          <w:szCs w:val="21"/>
        </w:rPr>
      </w:pPr>
      <w:r>
        <w:rPr>
          <w:rFonts w:ascii="宋体" w:eastAsia="宋体" w:hint="eastAsia"/>
          <w:color w:val="000000"/>
          <w:szCs w:val="21"/>
          <w:lang w:eastAsia="zh-CN"/>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420" w:firstLineChars="200"/>
        <w:rPr>
          <w:rFonts w:ascii="宋体" w:eastAsia="宋体" w:hint="eastAsia"/>
          <w:color w:val="000000"/>
          <w:sz w:val="21"/>
          <w:szCs w:val="21"/>
        </w:rPr>
      </w:pPr>
      <w:r>
        <w:rPr>
          <w:rFonts w:ascii="宋体" w:eastAsia="宋体" w:hint="eastAsia"/>
          <w:color w:val="000000"/>
          <w:sz w:val="21"/>
          <w:szCs w:val="21"/>
        </w:rPr>
        <w:t>（二）收货后__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spacing w:line="240" w:lineRule="auto"/>
        <w:ind w:firstLine="420" w:firstLineChars="200"/>
        <w:rPr>
          <w:rFonts w:ascii="宋体" w:hint="eastAsia"/>
          <w:color w:val="000000"/>
          <w:szCs w:val="21"/>
        </w:rPr>
      </w:pPr>
      <w:r>
        <w:rPr>
          <w:rFonts w:ascii="宋体" w:eastAsia="宋体" w:hint="eastAsia"/>
          <w:color w:val="000000"/>
          <w:szCs w:val="21"/>
          <w:lang w:eastAsia="zh-CN"/>
        </w:rPr>
        <w:t>（三）在验收工作中，发现数量不足或有质量、技术等问题，乙方应按照合同要求采取补足、更换或退货等处理措施，并承担由此发生的一切费用和损失。</w:t>
      </w:r>
    </w:p>
    <w:p>
      <w:pPr>
        <w:pStyle w:val="3"/>
        <w:spacing w:line="240" w:lineRule="auto"/>
        <w:ind w:firstLine="420" w:firstLineChars="200"/>
        <w:rPr>
          <w:rFonts w:ascii="宋体" w:hint="eastAsia"/>
          <w:color w:val="000000"/>
          <w:szCs w:val="21"/>
        </w:rPr>
      </w:pPr>
      <w:r>
        <w:rPr>
          <w:rFonts w:ascii="宋体" w:eastAsia="宋体" w:hint="eastAsia"/>
          <w:color w:val="000000"/>
          <w:szCs w:val="21"/>
          <w:lang w:eastAsia="zh-CN"/>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spacing w:line="240" w:lineRule="auto"/>
        <w:ind w:firstLine="420" w:firstLineChars="200"/>
        <w:rPr>
          <w:rFonts w:ascii="宋体" w:hint="eastAsia"/>
          <w:color w:val="000000"/>
          <w:szCs w:val="21"/>
        </w:rPr>
      </w:pPr>
      <w:r>
        <w:rPr>
          <w:rFonts w:ascii="宋体" w:eastAsia="宋体" w:hint="eastAsia"/>
          <w:color w:val="000000"/>
          <w:szCs w:val="21"/>
          <w:lang w:eastAsia="zh-CN"/>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spacing w:line="240" w:lineRule="auto"/>
        <w:ind w:firstLine="420" w:firstLineChars="200"/>
        <w:rPr>
          <w:rFonts w:ascii="宋体" w:hint="eastAsia"/>
          <w:color w:val="000000"/>
          <w:szCs w:val="21"/>
        </w:rPr>
      </w:pPr>
      <w:r>
        <w:rPr>
          <w:rFonts w:ascii="宋体" w:eastAsia="宋体" w:hint="eastAsia"/>
          <w:color w:val="000000"/>
          <w:szCs w:val="21"/>
          <w:lang w:eastAsia="zh-CN"/>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420" w:firstLineChars="200"/>
        <w:rPr>
          <w:rFonts w:ascii="宋体" w:eastAsia="宋体" w:hint="eastAsia"/>
          <w:color w:val="000000"/>
          <w:sz w:val="21"/>
          <w:szCs w:val="21"/>
        </w:rPr>
      </w:pPr>
      <w:r>
        <w:rPr>
          <w:rFonts w:ascii="宋体" w:eastAsia="宋体" w:hint="eastAsia"/>
          <w:color w:val="000000"/>
          <w:sz w:val="21"/>
          <w:szCs w:val="21"/>
        </w:rPr>
        <w:t>（七）甲方（用户）认为必要时，对大型或者复杂的货物采购项目，可以邀请国家认可的质量检测机构参加验收工作，相关验收意见作为验收报告的参考资料，相关费用由乙方承担。</w:t>
      </w:r>
    </w:p>
    <w:p>
      <w:pPr>
        <w:pStyle w:val="10912"/>
        <w:ind w:firstLine="420" w:firstLineChars="200"/>
        <w:rPr>
          <w:rFonts w:ascii="宋体" w:eastAsia="宋体" w:hint="eastAsia"/>
          <w:color w:val="000000"/>
          <w:sz w:val="21"/>
          <w:szCs w:val="21"/>
        </w:rPr>
      </w:pPr>
      <w:r>
        <w:rPr>
          <w:rFonts w:ascii="宋体" w:eastAsia="宋体" w:hint="eastAsia"/>
          <w:color w:val="000000"/>
          <w:sz w:val="21"/>
          <w:szCs w:val="21"/>
        </w:rPr>
        <w:t>（八）验收标准以双方达成的对质量和技术标准的约定、乙方承诺的质量和技术标准、国家或行业规定的相关质量和技术标准中最高者为准，且应充分满足甲方使用要求。</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lang w:eastAsia="zh-CN"/>
        </w:rPr>
        <w:t>第八条 质量保证</w:t>
      </w:r>
    </w:p>
    <w:p>
      <w:pPr>
        <w:ind w:firstLine="420" w:firstLineChars="200"/>
        <w:rPr>
          <w:rFonts w:ascii="宋体" w:hint="eastAsia"/>
          <w:color w:val="000000"/>
          <w:szCs w:val="21"/>
        </w:rPr>
      </w:pPr>
      <w:r>
        <w:rPr>
          <w:rFonts w:ascii="宋体" w:eastAsia="宋体" w:hint="eastAsia"/>
          <w:color w:val="000000"/>
          <w:szCs w:val="21"/>
        </w:rPr>
        <w:t>（一）乙方应保证所供货物为______公司制造生产、原包装、全新未使用过的产品，与投标文件/应答文件承诺一致，并完全符合或高于合同要求的质量、规格和技术性能。</w:t>
      </w:r>
    </w:p>
    <w:p>
      <w:pPr>
        <w:ind w:firstLine="420" w:firstLineChars="200"/>
        <w:rPr>
          <w:rFonts w:ascii="宋体" w:hint="eastAsia"/>
          <w:color w:val="000000"/>
          <w:szCs w:val="21"/>
        </w:rPr>
      </w:pPr>
      <w:r>
        <w:rPr>
          <w:rFonts w:ascii="宋体" w:eastAsia="宋体" w:hint="eastAsia"/>
          <w:color w:val="000000"/>
          <w:szCs w:val="21"/>
        </w:rPr>
        <w:t>（二）乙方应保证所供货物没有因乙方的行为或疏忽而产生材料或工艺上的缺陷，并保证其货物在正确安装、正常使用和保养条件下，在其使用寿命期内具有满意的性能。在货物最终交付验收后不少于合同规定或乙方承诺（两者以较长的为准）的质量保证期内，本保证保持有效。</w:t>
      </w:r>
    </w:p>
    <w:p>
      <w:pPr>
        <w:ind w:firstLine="420" w:firstLineChars="200"/>
        <w:rPr>
          <w:rFonts w:ascii="宋体" w:hint="eastAsia"/>
          <w:color w:val="000000"/>
          <w:szCs w:val="21"/>
        </w:rPr>
      </w:pPr>
      <w:r>
        <w:rPr>
          <w:rFonts w:ascii="宋体" w:eastAsia="宋体" w:hint="eastAsia"/>
          <w:color w:val="000000"/>
          <w:szCs w:val="21"/>
        </w:rPr>
        <w:t>（三）如果乙方所供货物质量与合同不符，或证实所供货物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ascii="宋体" w:hint="eastAsia"/>
          <w:color w:val="000000"/>
          <w:szCs w:val="21"/>
        </w:rPr>
      </w:pPr>
      <w:r>
        <w:rPr>
          <w:rFonts w:ascii="宋体" w:eastAsia="宋体" w:hint="eastAsia"/>
          <w:color w:val="000000"/>
          <w:szCs w:val="21"/>
        </w:rPr>
        <w:t>（四）在质量保证期内所发现的缺陷，甲方（用户）应尽快以书面形式通知乙方。乙方收到通知后应10日内免费维修或更换有缺陷的货物或部件。</w:t>
      </w:r>
    </w:p>
    <w:p>
      <w:pPr>
        <w:ind w:firstLine="420" w:firstLineChars="200"/>
        <w:rPr>
          <w:rFonts w:ascii="宋体" w:hint="eastAsia"/>
          <w:color w:val="000000"/>
          <w:szCs w:val="21"/>
        </w:rPr>
      </w:pPr>
      <w:r>
        <w:rPr>
          <w:rFonts w:ascii="宋体" w:eastAsia="宋体" w:hint="eastAsia"/>
          <w:color w:val="000000"/>
          <w:szCs w:val="21"/>
        </w:rPr>
        <w:t>（五）乙方在约定的时间内未能弥补缺陷，甲方（用户）可采取必要的补救措施，但其风险和费用将由乙方承担，甲方（用户）根据合同规定对乙方行使的其他权利不受影响。</w:t>
      </w:r>
    </w:p>
    <w:p>
      <w:pPr>
        <w:ind w:firstLine="420" w:firstLineChars="200"/>
        <w:rPr>
          <w:rFonts w:ascii="宋体" w:hint="eastAsia"/>
          <w:color w:val="000000"/>
          <w:szCs w:val="21"/>
        </w:rPr>
      </w:pPr>
      <w:r>
        <w:rPr>
          <w:rFonts w:ascii="宋体" w:eastAsia="宋体" w:hint="eastAsia"/>
          <w:color w:val="000000"/>
          <w:szCs w:val="21"/>
        </w:rPr>
        <w:t>（六）本合同项目所有货物质量保证期为：自双方签署设备到货验收签收单/安装调试验收合格报告之日起计算</w:t>
      </w:r>
      <w:r>
        <w:rPr>
          <w:rFonts w:ascii="宋体" w:eastAsia="宋体" w:hint="eastAsia"/>
          <w:color w:val="000000"/>
          <w:szCs w:val="21"/>
          <w:u w:val="single"/>
        </w:rPr>
        <w:t xml:space="preserve">  （投标响应时间）  </w:t>
      </w:r>
      <w:r>
        <w:rPr>
          <w:rFonts w:ascii="宋体" w:eastAsia="宋体" w:hint="eastAsia"/>
          <w:color w:val="000000"/>
          <w:szCs w:val="21"/>
        </w:rPr>
        <w:t>年。</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第九条 培训</w:t>
      </w:r>
    </w:p>
    <w:p>
      <w:pPr>
        <w:ind w:firstLine="420" w:firstLineChars="200"/>
        <w:rPr>
          <w:rFonts w:ascii="宋体" w:hint="eastAsia"/>
          <w:b/>
          <w:bCs/>
          <w:color w:val="000000"/>
          <w:szCs w:val="21"/>
        </w:rPr>
      </w:pPr>
      <w:r>
        <w:rPr>
          <w:rFonts w:ascii="宋体" w:eastAsia="宋体" w:hint="eastAsia"/>
          <w:bCs/>
          <w:color w:val="000000"/>
          <w:szCs w:val="21"/>
        </w:rPr>
        <w:t>本合同所包括的培训详见附件培训方案。</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第十条 售后服务</w:t>
      </w:r>
    </w:p>
    <w:p>
      <w:pPr>
        <w:ind w:firstLine="420" w:firstLineChars="200"/>
        <w:rPr>
          <w:rFonts w:ascii="宋体" w:hint="eastAsia"/>
          <w:color w:val="000000"/>
          <w:szCs w:val="21"/>
        </w:rPr>
      </w:pPr>
      <w:r>
        <w:rPr>
          <w:rFonts w:ascii="宋体" w:eastAsia="宋体" w:hint="eastAsia"/>
          <w:color w:val="000000"/>
          <w:szCs w:val="21"/>
        </w:rPr>
        <w:t>（一）供应商（制造商）在质量保证期内免费提供</w:t>
      </w:r>
      <w:r>
        <w:rPr>
          <w:rFonts w:ascii="宋体" w:eastAsia="宋体" w:hint="eastAsia"/>
          <w:color w:val="000000"/>
          <w:szCs w:val="21"/>
          <w:u w:val="single"/>
        </w:rPr>
        <w:t>7（5）</w:t>
      </w:r>
      <w:r>
        <w:rPr>
          <w:rFonts w:ascii="宋体" w:eastAsia="宋体" w:hint="eastAsia"/>
          <w:color w:val="000000"/>
          <w:szCs w:val="21"/>
        </w:rPr>
        <w:t>*</w:t>
      </w:r>
      <w:r>
        <w:rPr>
          <w:rFonts w:ascii="宋体" w:eastAsia="宋体" w:hint="eastAsia"/>
          <w:color w:val="000000"/>
          <w:szCs w:val="21"/>
          <w:u w:val="single"/>
        </w:rPr>
        <w:t>24（8）</w:t>
      </w:r>
      <w:r>
        <w:rPr>
          <w:rFonts w:ascii="宋体" w:eastAsia="宋体" w:hint="eastAsia"/>
          <w:color w:val="000000"/>
          <w:szCs w:val="21"/>
        </w:rPr>
        <w:t>小时的技术支持与售后服务，提供专线电话支持服务，__小时内响应，保证___小时内到达现场并解决故障。</w:t>
      </w:r>
    </w:p>
    <w:p>
      <w:pPr>
        <w:ind w:firstLine="420" w:firstLineChars="200"/>
        <w:rPr>
          <w:rFonts w:ascii="宋体" w:hint="eastAsia"/>
          <w:color w:val="000000"/>
          <w:szCs w:val="21"/>
        </w:rPr>
      </w:pPr>
      <w:r>
        <w:rPr>
          <w:rFonts w:ascii="宋体" w:eastAsia="宋体" w:hint="eastAsia"/>
          <w:color w:val="000000"/>
          <w:szCs w:val="21"/>
        </w:rPr>
        <w:t>（二）本合同所包含的售后服务，包含制造商售后服务和代理商售后服务，具体见附件技术支持及售后服务方案。</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第十一条 违约责任</w:t>
      </w:r>
    </w:p>
    <w:p>
      <w:pPr>
        <w:ind w:firstLine="420" w:firstLineChars="200"/>
        <w:rPr>
          <w:rFonts w:ascii="宋体" w:hint="eastAsia"/>
          <w:color w:val="000000"/>
          <w:szCs w:val="21"/>
        </w:rPr>
      </w:pPr>
      <w:r>
        <w:rPr>
          <w:rFonts w:ascii="宋体" w:eastAsia="宋体" w:hint="eastAsia"/>
          <w:color w:val="000000"/>
          <w:szCs w:val="21"/>
        </w:rPr>
        <w:t>（一）因乙方原因未能按照本合同要求交付合格的货物或提供相关服务的违约责任。</w:t>
      </w:r>
    </w:p>
    <w:p>
      <w:pPr>
        <w:ind w:firstLine="420" w:firstLineChars="200"/>
        <w:rPr>
          <w:rFonts w:ascii="宋体" w:hint="eastAsia"/>
          <w:color w:val="000000"/>
          <w:szCs w:val="21"/>
        </w:rPr>
      </w:pPr>
      <w:r>
        <w:rPr>
          <w:rFonts w:ascii="宋体" w:eastAsia="宋体" w:hint="eastAsia"/>
          <w:color w:val="000000"/>
          <w:szCs w:val="21"/>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rFonts w:ascii="宋体" w:hint="eastAsia"/>
          <w:color w:val="000000"/>
          <w:szCs w:val="21"/>
        </w:rPr>
      </w:pPr>
      <w:r>
        <w:rPr>
          <w:rFonts w:ascii="宋体" w:eastAsia="宋体" w:hint="eastAsia"/>
          <w:color w:val="000000"/>
          <w:szCs w:val="21"/>
        </w:rPr>
        <w:t>（1）退货：甲方将货物退回乙方，乙方将合同货款退还给甲方，并承担由此发生的一切损失和费用。</w:t>
      </w:r>
    </w:p>
    <w:p>
      <w:pPr>
        <w:ind w:firstLine="420" w:firstLineChars="200"/>
        <w:rPr>
          <w:rFonts w:ascii="宋体" w:hint="eastAsia"/>
          <w:color w:val="000000"/>
          <w:szCs w:val="21"/>
        </w:rPr>
      </w:pPr>
      <w:r>
        <w:rPr>
          <w:rFonts w:ascii="宋体" w:eastAsia="宋体" w:hint="eastAsia"/>
          <w:color w:val="000000"/>
          <w:szCs w:val="21"/>
        </w:rPr>
        <w:t>（2）退货重新制作：甲方将货物退回乙方，乙方按照技术标准要求重新制作，并承担由此发生的一切损失和费用。</w:t>
      </w:r>
    </w:p>
    <w:p>
      <w:pPr>
        <w:ind w:firstLine="420" w:firstLineChars="200"/>
        <w:rPr>
          <w:rFonts w:ascii="宋体" w:hint="eastAsia"/>
          <w:color w:val="000000"/>
          <w:szCs w:val="21"/>
        </w:rPr>
      </w:pPr>
      <w:r>
        <w:rPr>
          <w:rFonts w:ascii="宋体" w:eastAsia="宋体" w:hint="eastAsia"/>
          <w:color w:val="000000"/>
          <w:szCs w:val="21"/>
        </w:rPr>
        <w:t>（3）新货替换：乙方用满足技术标准要求的货物替换存在缺陷的产品，承担甲方蒙受的全部损失和费用，并承担由此引发的一切风险，且相应延长所换货物的质量保证期。</w:t>
      </w:r>
    </w:p>
    <w:p>
      <w:pPr>
        <w:ind w:firstLine="420" w:firstLineChars="200"/>
        <w:rPr>
          <w:rFonts w:ascii="宋体" w:hint="eastAsia"/>
          <w:color w:val="000000"/>
          <w:szCs w:val="21"/>
        </w:rPr>
      </w:pPr>
      <w:r>
        <w:rPr>
          <w:rFonts w:ascii="宋体" w:eastAsia="宋体" w:hint="eastAsia"/>
          <w:color w:val="000000"/>
          <w:szCs w:val="21"/>
        </w:rPr>
        <w:t>2.</w:t>
      </w:r>
      <w:r>
        <w:rPr>
          <w:rFonts w:ascii="宋体" w:eastAsia="宋体" w:hint="eastAsia"/>
          <w:bCs/>
          <w:color w:val="000000"/>
          <w:szCs w:val="21"/>
        </w:rPr>
        <w:t>如果乙方</w:t>
      </w:r>
      <w:r>
        <w:rPr>
          <w:rFonts w:ascii="宋体" w:eastAsia="宋体" w:hint="eastAsia"/>
          <w:color w:val="000000"/>
          <w:szCs w:val="21"/>
        </w:rPr>
        <w:t>未在甲方要求的10日内或甲方同意的期限内，按照上述任何一种方式采取补救措施，甲方有权解除合同，扣除全部履约保证金（或行使银行履约保函中载明的索赔权利）并要求乙方退回甲方已支付的货款，并视损失情况根据《中华人民共和国民法典（合同编）》有关规定追究其相关责任，赔偿甲方（用户）的全部损失。</w:t>
      </w:r>
    </w:p>
    <w:p>
      <w:pPr>
        <w:pStyle w:val="1302"/>
        <w:ind w:firstLine="420" w:firstLineChars="200"/>
        <w:rPr>
          <w:rFonts w:ascii="宋体" w:eastAsia="宋体" w:hint="eastAsia"/>
          <w:color w:val="000000"/>
          <w:sz w:val="21"/>
          <w:szCs w:val="21"/>
        </w:rPr>
      </w:pPr>
      <w:r>
        <w:rPr>
          <w:rFonts w:ascii="宋体" w:eastAsia="宋体" w:hint="eastAsia"/>
          <w:color w:val="000000"/>
          <w:sz w:val="21"/>
          <w:szCs w:val="21"/>
        </w:rPr>
        <w:t>3.对于未能按合同要求提供服务或被证实未提供应当承担的服务的，甲方有权要求限期整改。无合理理由不进行整改的视为根本违约。</w:t>
      </w:r>
    </w:p>
    <w:p>
      <w:pPr>
        <w:ind w:firstLine="420" w:firstLineChars="200"/>
        <w:rPr>
          <w:rFonts w:ascii="宋体" w:hint="eastAsia"/>
          <w:color w:val="000000"/>
          <w:szCs w:val="21"/>
        </w:rPr>
      </w:pPr>
      <w:r>
        <w:rPr>
          <w:rFonts w:ascii="宋体" w:eastAsia="宋体" w:hint="eastAsia"/>
          <w:color w:val="000000"/>
          <w:szCs w:val="21"/>
        </w:rPr>
        <w:t>（二）乙方未按照本合同规定的时间交货和提供服务的违约责任。</w:t>
      </w:r>
    </w:p>
    <w:p>
      <w:pPr>
        <w:pStyle w:val="10113"/>
        <w:ind w:firstLine="420" w:firstLineChars="200"/>
        <w:rPr>
          <w:rFonts w:ascii="宋体" w:eastAsia="宋体" w:hint="eastAsia"/>
          <w:color w:val="000000"/>
          <w:sz w:val="21"/>
          <w:szCs w:val="21"/>
        </w:rPr>
      </w:pPr>
      <w:r>
        <w:rPr>
          <w:rFonts w:ascii="宋体" w:eastAsia="宋体" w:hint="eastAsia"/>
          <w:color w:val="000000"/>
          <w:sz w:val="21"/>
          <w:szCs w:val="21"/>
        </w:rPr>
        <w:t>1.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如甲方（用户）同意延期，必须以双方签订的补充协议为准。</w:t>
      </w:r>
    </w:p>
    <w:p>
      <w:pPr>
        <w:pStyle w:val="10113"/>
        <w:ind w:firstLine="420" w:firstLineChars="200"/>
        <w:rPr>
          <w:rFonts w:ascii="宋体" w:eastAsia="宋体" w:hint="eastAsia"/>
          <w:color w:val="000000"/>
          <w:sz w:val="21"/>
          <w:szCs w:val="21"/>
        </w:rPr>
      </w:pPr>
      <w:r>
        <w:rPr>
          <w:rFonts w:ascii="宋体" w:eastAsia="宋体" w:hint="eastAsia"/>
          <w:color w:val="000000"/>
          <w:sz w:val="21"/>
          <w:szCs w:val="21"/>
        </w:rPr>
        <w:t>2.除甲乙双方另有约定外，如果乙方没有按照合同规定的时间交货和提供服务，甲方有权在不影响合同项下其他补救措施的情况下，要求乙方支付误期赔偿费，或从合同货款、履约保证金中扣除误期赔偿费，或行使银行履约保函中载明的索赔权利。赔偿费按每周迟交货物价格或未提供服务费用的百分之零点五（0.5%）计收，直到交货或提供服务为止。但误期赔偿费的最高限额不超过误期货物或服务合同价格的百分之十（10%）。一周按七（7）天计算，不足七（7）天按一周计算。</w:t>
      </w:r>
    </w:p>
    <w:p>
      <w:pPr>
        <w:pStyle w:val="10113"/>
        <w:ind w:firstLine="420" w:firstLineChars="200"/>
        <w:rPr>
          <w:rFonts w:ascii="宋体" w:eastAsia="宋体" w:hint="eastAsia"/>
          <w:color w:val="000000"/>
          <w:sz w:val="21"/>
          <w:szCs w:val="21"/>
        </w:rPr>
      </w:pPr>
      <w:r>
        <w:rPr>
          <w:rFonts w:ascii="宋体" w:eastAsia="宋体" w:hint="eastAsia"/>
          <w:color w:val="000000"/>
          <w:sz w:val="21"/>
          <w:szCs w:val="21"/>
        </w:rPr>
        <w:t>3.出现上述没有按照合同规定的时间交货和提供服务的情形时，甲方也可以选择解除合同，要求乙方退回甲方已支付货款、扣除履约保证金，或行使银行履约保函中载明的索赔权利并追究乙方相应违约责任、赔偿甲方（用户）的全部损失。</w:t>
      </w:r>
    </w:p>
    <w:p>
      <w:pPr>
        <w:pStyle w:val="10113"/>
        <w:ind w:firstLine="420" w:firstLineChars="200"/>
        <w:rPr>
          <w:rFonts w:ascii="宋体" w:eastAsia="宋体" w:hint="eastAsia"/>
          <w:color w:val="000000"/>
          <w:sz w:val="21"/>
          <w:szCs w:val="21"/>
        </w:rPr>
      </w:pPr>
      <w:r>
        <w:rPr>
          <w:rFonts w:ascii="宋体" w:eastAsia="宋体" w:hint="eastAsia"/>
          <w:color w:val="000000"/>
          <w:sz w:val="21"/>
          <w:szCs w:val="21"/>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或行使银行履约保函中载明的索赔权利，且乙方应赔偿由此给甲方造成的损失。</w:t>
      </w:r>
    </w:p>
    <w:p>
      <w:pPr>
        <w:pStyle w:val="10113"/>
        <w:ind w:firstLine="420" w:firstLineChars="200"/>
        <w:rPr>
          <w:rFonts w:ascii="宋体" w:eastAsia="宋体" w:hint="eastAsia"/>
          <w:color w:val="000000"/>
          <w:sz w:val="21"/>
          <w:szCs w:val="21"/>
        </w:rPr>
      </w:pPr>
      <w:r>
        <w:rPr>
          <w:rFonts w:ascii="宋体" w:eastAsia="宋体" w:hint="eastAsia"/>
          <w:color w:val="000000"/>
          <w:sz w:val="21"/>
          <w:szCs w:val="21"/>
        </w:rPr>
        <w:t>（三）因乙方或乙方工作人员或乙方相关方的作为或不作为行为致使甲方或第三方遭受人员人身伤害或财产损失的，乙方应承担全部赔偿责任，赔偿全部损失，且甲方有权以全部履约保证金（或银行依照履约保函支付的款项）作为违约金，解除本合同。</w:t>
      </w:r>
    </w:p>
    <w:p>
      <w:pPr>
        <w:pStyle w:val="2171"/>
        <w:ind w:firstLine="420" w:firstLineChars="200"/>
        <w:rPr>
          <w:rFonts w:ascii="宋体" w:eastAsia="宋体" w:hint="eastAsia"/>
          <w:color w:val="000000"/>
          <w:sz w:val="21"/>
          <w:szCs w:val="21"/>
        </w:rPr>
      </w:pPr>
      <w:r>
        <w:rPr>
          <w:rFonts w:ascii="宋体" w:eastAsia="宋体" w:hint="eastAsia"/>
          <w:color w:val="000000"/>
          <w:sz w:val="21"/>
          <w:szCs w:val="21"/>
        </w:rPr>
        <w:t>（四）在本合同履行过程中，如果有证据证明乙方根本无法履行合同的，甲方可以行使不安抗辩权，有权解除合同，并扣除履约保证金（或银行依照履约保函支付的款项），如因乙方不能履行给甲方造成其他损失的，乙方应继续承担赔偿责任。</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第十二条 异议的期限和方法</w:t>
      </w:r>
    </w:p>
    <w:p>
      <w:pPr>
        <w:pStyle w:val="6012"/>
        <w:ind w:firstLine="420" w:firstLineChars="200"/>
        <w:rPr>
          <w:rFonts w:ascii="宋体" w:eastAsia="宋体" w:hint="eastAsia"/>
          <w:color w:val="000000"/>
          <w:sz w:val="21"/>
          <w:szCs w:val="21"/>
        </w:rPr>
      </w:pPr>
      <w:r>
        <w:rPr>
          <w:rFonts w:ascii="宋体" w:eastAsia="宋体" w:hint="eastAsia"/>
          <w:color w:val="000000"/>
          <w:sz w:val="21"/>
          <w:szCs w:val="21"/>
        </w:rPr>
        <w:t>（一）异议期限自质量保证期开始之日起3个月内。如果属于产品设计、材料、工艺或其他潜在的质量缺陷，甲方（用户）以书面形式提出异议及其处理意见。</w:t>
      </w:r>
    </w:p>
    <w:p>
      <w:pPr>
        <w:pStyle w:val="6012"/>
        <w:ind w:firstLine="420" w:firstLineChars="200"/>
        <w:rPr>
          <w:rFonts w:ascii="宋体" w:eastAsia="宋体" w:hint="eastAsia"/>
          <w:color w:val="000000"/>
          <w:sz w:val="21"/>
          <w:szCs w:val="21"/>
        </w:rPr>
      </w:pPr>
      <w:r>
        <w:rPr>
          <w:rFonts w:ascii="宋体" w:eastAsia="宋体" w:hint="eastAsia"/>
          <w:color w:val="000000"/>
          <w:sz w:val="21"/>
          <w:szCs w:val="21"/>
        </w:rPr>
        <w:t>（二）乙方接到甲方（用户）书面异议及其处理意见后，应在10日内到甲方（用户）项目现场处理，否则即视为默认甲方（用户）提出的异议和处理意见。</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第十三条 使用合同文件和资料</w:t>
      </w:r>
    </w:p>
    <w:p>
      <w:pPr>
        <w:pStyle w:val="6012"/>
        <w:ind w:firstLine="420" w:firstLineChars="200"/>
        <w:rPr>
          <w:rFonts w:ascii="宋体" w:eastAsia="宋体" w:hint="eastAsia"/>
          <w:color w:val="000000"/>
          <w:sz w:val="21"/>
          <w:szCs w:val="21"/>
        </w:rPr>
      </w:pPr>
      <w:r>
        <w:rPr>
          <w:rFonts w:ascii="宋体" w:eastAsia="宋体" w:hint="eastAsia"/>
          <w:color w:val="000000"/>
          <w:sz w:val="21"/>
          <w:szCs w:val="21"/>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420" w:firstLineChars="200"/>
        <w:rPr>
          <w:rFonts w:ascii="宋体" w:eastAsia="宋体" w:hint="eastAsia"/>
          <w:color w:val="000000"/>
          <w:sz w:val="21"/>
          <w:szCs w:val="21"/>
        </w:rPr>
      </w:pPr>
      <w:r>
        <w:rPr>
          <w:rFonts w:ascii="宋体" w:eastAsia="宋体" w:hint="eastAsia"/>
          <w:color w:val="000000"/>
          <w:sz w:val="21"/>
          <w:szCs w:val="21"/>
        </w:rPr>
        <w:t>（二）没有甲方（用户）事先书面同意，除了履行本合同之外，乙方不应使用、传播与本合同相关的任何文件、资料。</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第十四条 知识产权</w:t>
      </w:r>
    </w:p>
    <w:p>
      <w:pPr>
        <w:ind w:firstLine="420" w:firstLineChars="200"/>
        <w:rPr>
          <w:rFonts w:ascii="宋体" w:hint="eastAsia"/>
          <w:color w:val="000000"/>
          <w:szCs w:val="21"/>
        </w:rPr>
      </w:pPr>
      <w:r>
        <w:rPr>
          <w:rFonts w:ascii="宋体" w:eastAsia="宋体" w:hint="eastAsia"/>
          <w:color w:val="000000"/>
          <w:szCs w:val="21"/>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ascii="宋体" w:hint="eastAsia"/>
          <w:color w:val="000000"/>
          <w:szCs w:val="21"/>
        </w:rPr>
      </w:pPr>
      <w:r>
        <w:rPr>
          <w:rFonts w:ascii="宋体" w:eastAsia="宋体" w:hint="eastAsia"/>
          <w:color w:val="000000"/>
          <w:szCs w:val="21"/>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ascii="宋体" w:hint="eastAsia"/>
          <w:color w:val="000000"/>
          <w:szCs w:val="21"/>
        </w:rPr>
      </w:pPr>
      <w:r>
        <w:rPr>
          <w:rFonts w:ascii="宋体" w:eastAsia="宋体" w:hint="eastAsia"/>
          <w:color w:val="000000"/>
          <w:szCs w:val="21"/>
        </w:rPr>
        <w:t>（三）如乙方提供的货物或服务确实侵犯了第三方合法权益（包括但不限于知识产权）的，甲方有权解除合同，没收履约保证金（或银行依照履约保函支付的款项），要求乙方退回已支付的全部货款，并赔偿甲方的全部损失及支出的合理费用。</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第十五条 权利瑕疵担保</w:t>
      </w:r>
    </w:p>
    <w:p>
      <w:pPr>
        <w:ind w:firstLine="420" w:firstLineChars="200"/>
        <w:rPr>
          <w:rFonts w:ascii="宋体" w:hint="eastAsia"/>
          <w:color w:val="000000"/>
          <w:szCs w:val="21"/>
        </w:rPr>
      </w:pPr>
      <w:r>
        <w:rPr>
          <w:rFonts w:ascii="宋体" w:eastAsia="宋体" w:hint="eastAsia"/>
          <w:color w:val="000000"/>
          <w:szCs w:val="21"/>
        </w:rPr>
        <w:t>（一）乙方保证对其所提供的货物享有完全的所有权等合法权利，不存在任何未曾向甲方（用户）透露的担保物权（如抵押权、质押权、留置权等）或其他任何权利负担或争议。</w:t>
      </w:r>
    </w:p>
    <w:p>
      <w:pPr>
        <w:pStyle w:val="5011"/>
        <w:ind w:firstLine="420" w:firstLineChars="200"/>
        <w:rPr>
          <w:rFonts w:ascii="宋体" w:eastAsia="宋体" w:hint="eastAsia"/>
          <w:color w:val="000000"/>
          <w:sz w:val="21"/>
          <w:szCs w:val="21"/>
        </w:rPr>
      </w:pPr>
      <w:r>
        <w:rPr>
          <w:rFonts w:ascii="宋体" w:eastAsia="宋体" w:hint="eastAsia"/>
          <w:color w:val="000000"/>
          <w:sz w:val="21"/>
          <w:szCs w:val="21"/>
        </w:rPr>
        <w:t>（二）乙方应保证所提供的货物免受第三方提出的任何权利主张，如因第三方提出权利主张给甲方（用户）造成损失的，乙方应予以赔偿。</w:t>
      </w:r>
    </w:p>
    <w:p>
      <w:pPr>
        <w:ind w:firstLine="420" w:firstLineChars="200"/>
        <w:rPr>
          <w:rFonts w:ascii="宋体" w:hint="eastAsia"/>
          <w:color w:val="000000"/>
          <w:szCs w:val="21"/>
        </w:rPr>
      </w:pPr>
      <w:r>
        <w:rPr>
          <w:rFonts w:ascii="宋体" w:eastAsia="宋体" w:hint="eastAsia"/>
          <w:color w:val="000000"/>
          <w:szCs w:val="21"/>
        </w:rPr>
        <w:t>（三）如乙方所提供的货物存在前述担保货物或权利负担，甲方（用户）有权解除合同、没收履约保证金（或银行依照履约保函支付的款项），并要求乙方退还已支付的全部货款，赔偿甲方（用户）的全部损失及支出的合理费用。</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第十六条 不可抗力及其免责</w:t>
      </w:r>
    </w:p>
    <w:p>
      <w:pPr>
        <w:ind w:firstLine="420" w:firstLineChars="200"/>
        <w:rPr>
          <w:rFonts w:ascii="宋体" w:hint="eastAsia"/>
          <w:color w:val="000000"/>
          <w:szCs w:val="21"/>
        </w:rPr>
      </w:pPr>
      <w:r>
        <w:rPr>
          <w:rFonts w:ascii="宋体" w:eastAsia="宋体" w:hint="eastAsia"/>
          <w:color w:val="000000"/>
          <w:szCs w:val="21"/>
        </w:rPr>
        <w:t>（一）如果乙方因不可抗力而导致合同实施延误或不能履行合同义务时，在不可抗力影响的范围内不应该被没收履约保证金（或银行依照履约保函支付的款项），也不应该承担误期赔偿或终止合同的责任。</w:t>
      </w:r>
    </w:p>
    <w:p>
      <w:pPr>
        <w:ind w:firstLine="420" w:firstLineChars="200"/>
        <w:rPr>
          <w:rFonts w:ascii="宋体" w:hint="eastAsia"/>
          <w:color w:val="000000"/>
          <w:szCs w:val="21"/>
        </w:rPr>
      </w:pPr>
      <w:r>
        <w:rPr>
          <w:rFonts w:ascii="宋体" w:eastAsia="宋体" w:hint="eastAsia"/>
          <w:color w:val="000000"/>
          <w:szCs w:val="21"/>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rFonts w:ascii="宋体" w:hint="eastAsia"/>
          <w:color w:val="000000"/>
          <w:szCs w:val="21"/>
        </w:rPr>
      </w:pPr>
      <w:r>
        <w:rPr>
          <w:rFonts w:ascii="宋体" w:eastAsia="宋体" w:hint="eastAsia"/>
          <w:color w:val="000000"/>
          <w:szCs w:val="21"/>
        </w:rPr>
        <w:t>（三）乙方在延迟履行合同期间由于不可抗力而不能履行合同的，不能被免除责任。</w:t>
      </w:r>
    </w:p>
    <w:p>
      <w:pPr>
        <w:ind w:firstLine="420" w:firstLineChars="200"/>
        <w:rPr>
          <w:rFonts w:ascii="宋体" w:hint="eastAsia"/>
          <w:color w:val="000000"/>
          <w:szCs w:val="21"/>
        </w:rPr>
      </w:pPr>
      <w:r>
        <w:rPr>
          <w:rFonts w:ascii="宋体" w:eastAsia="宋体" w:hint="eastAsia"/>
          <w:color w:val="000000"/>
          <w:szCs w:val="21"/>
        </w:rPr>
        <w:t>（四）甲方（用户）如遇不可抗力，应尽快以书面形式通知乙方，并尽实际可能履行不受不可抗力影响的其他事项。甲方（用户）不承担因不可抗力不能履行合同所造成的损失。</w:t>
      </w:r>
    </w:p>
    <w:p>
      <w:pPr>
        <w:ind w:firstLine="420" w:firstLineChars="200"/>
        <w:rPr>
          <w:rFonts w:ascii="宋体" w:hint="eastAsia"/>
          <w:color w:val="000000"/>
          <w:szCs w:val="21"/>
        </w:rPr>
      </w:pPr>
      <w:r>
        <w:rPr>
          <w:rFonts w:ascii="宋体" w:eastAsia="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第十七条 争议的解决</w:t>
      </w:r>
    </w:p>
    <w:p>
      <w:pPr>
        <w:ind w:firstLine="420" w:firstLineChars="200"/>
        <w:rPr>
          <w:rFonts w:ascii="宋体" w:hint="eastAsia"/>
          <w:color w:val="000000"/>
          <w:szCs w:val="21"/>
        </w:rPr>
      </w:pPr>
      <w:r>
        <w:rPr>
          <w:rFonts w:ascii="宋体" w:eastAsia="宋体" w:hint="eastAsia"/>
          <w:color w:val="000000"/>
          <w:szCs w:val="21"/>
        </w:rPr>
        <w:t>（一）合同实施或与合同有关的一切争议应通过双方友好协商解决。如果友好协商开始</w:t>
      </w:r>
      <w:r>
        <w:rPr>
          <w:rFonts w:ascii="宋体" w:eastAsia="宋体" w:hint="eastAsia"/>
          <w:color w:val="000000"/>
          <w:szCs w:val="21"/>
          <w:u w:val="words"/>
        </w:rPr>
        <w:t>六十天</w:t>
      </w:r>
      <w:r>
        <w:rPr>
          <w:rFonts w:ascii="宋体" w:eastAsia="宋体" w:hint="eastAsia"/>
          <w:color w:val="000000"/>
          <w:szCs w:val="21"/>
        </w:rPr>
        <w:t>内还不能解决，争议应提交仲裁。</w:t>
      </w:r>
    </w:p>
    <w:p>
      <w:pPr>
        <w:ind w:firstLine="420" w:firstLineChars="200"/>
        <w:rPr>
          <w:rFonts w:ascii="宋体" w:hint="eastAsia"/>
          <w:color w:val="000000"/>
          <w:szCs w:val="21"/>
        </w:rPr>
      </w:pPr>
      <w:r>
        <w:rPr>
          <w:rFonts w:ascii="宋体" w:eastAsia="宋体" w:hint="eastAsia"/>
          <w:color w:val="000000"/>
          <w:szCs w:val="21"/>
        </w:rPr>
        <w:t>（二）仲裁应提交</w:t>
      </w:r>
      <w:r>
        <w:rPr>
          <w:rFonts w:ascii="宋体" w:eastAsia="宋体" w:hint="eastAsia"/>
          <w:color w:val="000000"/>
          <w:szCs w:val="21"/>
          <w:u w:val="words"/>
        </w:rPr>
        <w:t>北京仲裁委员会</w:t>
      </w:r>
      <w:r>
        <w:rPr>
          <w:rFonts w:ascii="宋体" w:eastAsia="宋体" w:hint="eastAsia"/>
          <w:color w:val="000000"/>
          <w:szCs w:val="21"/>
        </w:rPr>
        <w:t>进行，其仲裁裁决为最终裁决，对双方均有约束力。</w:t>
      </w:r>
    </w:p>
    <w:p>
      <w:pPr>
        <w:ind w:firstLine="420" w:firstLineChars="200"/>
        <w:rPr>
          <w:rFonts w:ascii="宋体" w:hint="eastAsia"/>
          <w:color w:val="000000"/>
          <w:szCs w:val="21"/>
        </w:rPr>
      </w:pPr>
      <w:r>
        <w:rPr>
          <w:rFonts w:ascii="宋体" w:eastAsia="宋体" w:hint="eastAsia"/>
          <w:color w:val="000000"/>
          <w:szCs w:val="21"/>
        </w:rPr>
        <w:t>（三）仲裁费除仲裁机关另有裁决外均应由败诉方负担。</w:t>
      </w:r>
    </w:p>
    <w:p>
      <w:pPr>
        <w:ind w:firstLine="420" w:firstLineChars="200"/>
        <w:rPr>
          <w:rFonts w:ascii="宋体" w:hint="eastAsia"/>
          <w:color w:val="000000"/>
          <w:szCs w:val="21"/>
        </w:rPr>
      </w:pPr>
      <w:r>
        <w:rPr>
          <w:rFonts w:ascii="宋体" w:eastAsia="宋体" w:hint="eastAsia"/>
          <w:color w:val="000000"/>
          <w:szCs w:val="21"/>
        </w:rPr>
        <w:t>（四）在仲裁期间，除正在进行仲裁的部分外，本合同其他部分应继续履行。</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第十八条 合同修改或变更</w:t>
      </w:r>
    </w:p>
    <w:p>
      <w:pPr>
        <w:ind w:firstLine="420" w:firstLineChars="200"/>
        <w:rPr>
          <w:rFonts w:ascii="宋体" w:hint="eastAsia"/>
          <w:color w:val="000000"/>
          <w:szCs w:val="21"/>
        </w:rPr>
      </w:pPr>
      <w:r>
        <w:rPr>
          <w:rFonts w:ascii="宋体" w:eastAsia="宋体" w:hint="eastAsia"/>
          <w:color w:val="000000"/>
          <w:szCs w:val="21"/>
        </w:rPr>
        <w:t>（一）如无重大变故，甲乙双方不得擅自变更合同。</w:t>
      </w:r>
    </w:p>
    <w:p>
      <w:pPr>
        <w:ind w:firstLine="420" w:firstLineChars="200"/>
        <w:rPr>
          <w:rFonts w:ascii="宋体" w:hint="eastAsia"/>
          <w:color w:val="000000"/>
          <w:szCs w:val="21"/>
        </w:rPr>
      </w:pPr>
      <w:r>
        <w:rPr>
          <w:rFonts w:ascii="宋体" w:eastAsia="宋体" w:hint="eastAsia"/>
          <w:color w:val="000000"/>
          <w:szCs w:val="21"/>
        </w:rPr>
        <w:t>（二）如确需变更合同，甲乙双方应签署书面变更协议。变更协议为本合同不可分割的一部分。</w:t>
      </w:r>
    </w:p>
    <w:p>
      <w:pPr>
        <w:ind w:firstLine="420" w:firstLineChars="200"/>
        <w:rPr>
          <w:rFonts w:ascii="宋体" w:hint="eastAsia"/>
          <w:color w:val="000000"/>
          <w:szCs w:val="21"/>
        </w:rPr>
      </w:pPr>
      <w:r>
        <w:rPr>
          <w:rFonts w:ascii="宋体" w:eastAsia="宋体" w:hint="eastAsia"/>
          <w:color w:val="000000"/>
          <w:szCs w:val="21"/>
        </w:rPr>
        <w:t>（三）在不改变合同其他条款的前提下，甲方（用户）有权在合同价款10%的范围内追加与合同标的相同的货物或服务，并就此与乙方签订补充合同，乙方不得拒绝。</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第十九条 合同中止</w:t>
      </w:r>
    </w:p>
    <w:p>
      <w:pPr>
        <w:ind w:firstLine="420" w:firstLineChars="200"/>
        <w:rPr>
          <w:rFonts w:ascii="宋体" w:hint="eastAsia"/>
          <w:color w:val="000000"/>
          <w:szCs w:val="21"/>
        </w:rPr>
      </w:pPr>
      <w:r>
        <w:rPr>
          <w:rFonts w:ascii="宋体" w:eastAsia="宋体" w:hint="eastAsia"/>
          <w:color w:val="000000"/>
          <w:szCs w:val="21"/>
        </w:rPr>
        <w:t>（一）合同在履行过程中，因采购计划调整，甲方（用户）可以要求中止履行，待计划确定后继续履行。</w:t>
      </w:r>
    </w:p>
    <w:p>
      <w:pPr>
        <w:ind w:firstLine="420" w:firstLineChars="200"/>
        <w:rPr>
          <w:rFonts w:ascii="宋体" w:hint="eastAsia"/>
          <w:color w:val="000000"/>
          <w:szCs w:val="21"/>
        </w:rPr>
      </w:pPr>
      <w:r>
        <w:rPr>
          <w:rFonts w:ascii="宋体" w:eastAsia="宋体" w:hint="eastAsia"/>
          <w:color w:val="000000"/>
          <w:szCs w:val="21"/>
        </w:rPr>
        <w:t>（二）合同签订或履行过程中因其他供应商就采购过程或结果提起质疑、投诉、行政复议、行政诉讼的，甲方（用户）认为有必要或财政部责令中止的，应当中止合同的履行。</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第二十条 合同解除</w:t>
      </w:r>
    </w:p>
    <w:p>
      <w:pPr>
        <w:ind w:firstLine="420" w:firstLineChars="200"/>
        <w:rPr>
          <w:rFonts w:ascii="宋体" w:hint="eastAsia"/>
          <w:color w:val="000000"/>
          <w:szCs w:val="21"/>
        </w:rPr>
      </w:pPr>
      <w:r>
        <w:rPr>
          <w:rFonts w:ascii="宋体" w:eastAsia="宋体" w:hint="eastAsia"/>
          <w:color w:val="000000"/>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20" w:firstLineChars="200"/>
        <w:rPr>
          <w:rFonts w:ascii="宋体" w:hint="eastAsia"/>
          <w:color w:val="000000"/>
          <w:szCs w:val="21"/>
        </w:rPr>
      </w:pPr>
      <w:r>
        <w:rPr>
          <w:rFonts w:ascii="宋体" w:eastAsia="宋体" w:hint="eastAsia"/>
          <w:color w:val="000000"/>
          <w:szCs w:val="21"/>
        </w:rPr>
        <w:t>（一）因违约解除合同</w:t>
      </w:r>
    </w:p>
    <w:p>
      <w:pPr>
        <w:ind w:firstLine="420" w:firstLineChars="200"/>
        <w:rPr>
          <w:rFonts w:ascii="宋体" w:hint="eastAsia"/>
          <w:color w:val="000000"/>
          <w:szCs w:val="21"/>
        </w:rPr>
      </w:pPr>
      <w:r>
        <w:rPr>
          <w:rFonts w:ascii="宋体" w:eastAsia="宋体" w:hint="eastAsia"/>
          <w:color w:val="000000"/>
          <w:szCs w:val="21"/>
        </w:rPr>
        <w:t>1.在甲方（用户）对乙方违约而采取的任何补救措施不受影响的情况下，甲方（用户）可向乙方发出书面违约通知书，提出解除部分或全部合同：</w:t>
      </w:r>
    </w:p>
    <w:p>
      <w:pPr>
        <w:ind w:firstLine="420" w:firstLineChars="200"/>
        <w:rPr>
          <w:rFonts w:ascii="宋体" w:hint="eastAsia"/>
          <w:color w:val="000000"/>
          <w:szCs w:val="21"/>
        </w:rPr>
      </w:pPr>
      <w:r>
        <w:rPr>
          <w:rFonts w:ascii="宋体" w:eastAsia="宋体" w:hint="eastAsia"/>
          <w:color w:val="000000"/>
          <w:szCs w:val="21"/>
        </w:rPr>
        <w:t>（1）如果乙方未能在合同规定的期限或甲方（用户）根据合同条款的规定同意延长的限期内提供部分或全部的货物或服务，达到合同所规定的要求；</w:t>
      </w:r>
    </w:p>
    <w:p>
      <w:pPr>
        <w:pStyle w:val="6611"/>
        <w:ind w:firstLine="420" w:firstLineChars="200"/>
        <w:rPr>
          <w:rFonts w:ascii="宋体" w:eastAsia="宋体" w:hint="eastAsia"/>
          <w:color w:val="000000"/>
          <w:sz w:val="21"/>
          <w:szCs w:val="21"/>
        </w:rPr>
      </w:pPr>
      <w:r>
        <w:rPr>
          <w:rFonts w:ascii="宋体" w:eastAsia="宋体" w:hint="eastAsia"/>
          <w:color w:val="000000"/>
          <w:sz w:val="21"/>
          <w:szCs w:val="21"/>
        </w:rPr>
        <w:t>（2）如果甲方（用户）发现乙方在本合同的竞争或实施中有欺诈行为。</w:t>
      </w:r>
    </w:p>
    <w:p>
      <w:pPr>
        <w:ind w:firstLine="420" w:firstLineChars="200"/>
        <w:rPr>
          <w:rFonts w:ascii="宋体" w:hint="eastAsia"/>
          <w:color w:val="000000"/>
          <w:szCs w:val="21"/>
        </w:rPr>
      </w:pPr>
      <w:r>
        <w:rPr>
          <w:rFonts w:ascii="宋体" w:eastAsia="宋体" w:hint="eastAsia"/>
          <w:color w:val="000000"/>
          <w:szCs w:val="21"/>
        </w:rPr>
        <w:t>（3）如果乙方未能履行合同规定的其他任何义务。</w:t>
      </w:r>
    </w:p>
    <w:p>
      <w:pPr>
        <w:ind w:firstLine="420" w:firstLineChars="200"/>
        <w:rPr>
          <w:rFonts w:ascii="宋体" w:hint="eastAsia"/>
          <w:color w:val="000000"/>
          <w:szCs w:val="21"/>
        </w:rPr>
      </w:pPr>
      <w:r>
        <w:rPr>
          <w:rFonts w:ascii="宋体" w:eastAsia="宋体" w:hint="eastAsia"/>
          <w:color w:val="000000"/>
          <w:szCs w:val="21"/>
        </w:rPr>
        <w:t>2.如果甲方（用户）根据上述规定与乙方全部或部分解除合同，</w:t>
      </w:r>
      <w:r>
        <w:rPr>
          <w:rFonts w:ascii="宋体" w:eastAsia="宋体" w:hint="eastAsia"/>
          <w:bCs/>
          <w:color w:val="000000"/>
          <w:szCs w:val="21"/>
        </w:rPr>
        <w:t>甲方（用户）可以依其认为适当的条件和方法购买乙方未能提供的货物或服务，乙方应对甲方购买类似货物或服务所超出的费用负责</w:t>
      </w:r>
      <w:r>
        <w:rPr>
          <w:rFonts w:ascii="宋体" w:eastAsia="宋体" w:hint="eastAsia"/>
          <w:color w:val="000000"/>
          <w:szCs w:val="21"/>
        </w:rPr>
        <w:t>。</w:t>
      </w:r>
      <w:r>
        <w:rPr>
          <w:rFonts w:ascii="宋体" w:eastAsia="宋体" w:hint="eastAsia"/>
          <w:bCs/>
          <w:color w:val="000000"/>
          <w:szCs w:val="21"/>
        </w:rPr>
        <w:t>同时，乙方应继续执行合同中未解除的部分。</w:t>
      </w:r>
    </w:p>
    <w:p>
      <w:pPr>
        <w:ind w:firstLine="420" w:firstLineChars="200"/>
        <w:rPr>
          <w:rFonts w:ascii="宋体" w:hint="eastAsia"/>
          <w:color w:val="000000"/>
          <w:szCs w:val="21"/>
        </w:rPr>
      </w:pPr>
      <w:r>
        <w:rPr>
          <w:rFonts w:ascii="宋体" w:eastAsia="宋体" w:hint="eastAsia"/>
          <w:color w:val="000000"/>
          <w:szCs w:val="21"/>
        </w:rPr>
        <w:t>（二）因破产而解除合同</w:t>
      </w:r>
    </w:p>
    <w:p>
      <w:pPr>
        <w:ind w:firstLine="420" w:firstLineChars="200"/>
        <w:rPr>
          <w:rFonts w:ascii="宋体" w:hint="eastAsia"/>
          <w:color w:val="000000"/>
          <w:szCs w:val="21"/>
        </w:rPr>
      </w:pPr>
      <w:r>
        <w:rPr>
          <w:rFonts w:ascii="宋体" w:eastAsia="宋体" w:hint="eastAsia"/>
          <w:color w:val="000000"/>
          <w:szCs w:val="21"/>
        </w:rPr>
        <w:t>1.如果乙方破产或无清偿能力，甲方（用户）可在任何时候以书面形式通知乙方，提出解除合同而不给乙方补偿，并有权要求乙方退回甲方（用户）已支付的合同货款。</w:t>
      </w:r>
    </w:p>
    <w:p>
      <w:pPr>
        <w:ind w:firstLine="420" w:firstLineChars="200"/>
        <w:rPr>
          <w:rFonts w:ascii="宋体" w:hint="eastAsia"/>
          <w:color w:val="000000"/>
          <w:szCs w:val="21"/>
        </w:rPr>
      </w:pPr>
      <w:r>
        <w:rPr>
          <w:rFonts w:ascii="宋体" w:eastAsia="宋体" w:hint="eastAsia"/>
          <w:color w:val="000000"/>
          <w:szCs w:val="21"/>
        </w:rPr>
        <w:t>2.该解除合同将不损害或影响甲方已经采取或将要采取的任何行动或补救措施的权利。</w:t>
      </w:r>
    </w:p>
    <w:p>
      <w:pPr>
        <w:ind w:firstLine="420" w:firstLineChars="200"/>
        <w:rPr>
          <w:rFonts w:ascii="宋体" w:hint="eastAsia"/>
          <w:color w:val="000000"/>
          <w:szCs w:val="21"/>
        </w:rPr>
      </w:pPr>
      <w:r>
        <w:rPr>
          <w:rFonts w:ascii="宋体" w:eastAsia="宋体" w:hint="eastAsia"/>
          <w:color w:val="000000"/>
          <w:szCs w:val="21"/>
        </w:rPr>
        <w:t>（三）其他解除合同情况</w:t>
      </w:r>
    </w:p>
    <w:p>
      <w:pPr>
        <w:ind w:firstLine="420" w:firstLineChars="200"/>
        <w:rPr>
          <w:rFonts w:ascii="宋体" w:hint="eastAsia"/>
          <w:color w:val="000000"/>
          <w:szCs w:val="21"/>
        </w:rPr>
      </w:pPr>
      <w:r>
        <w:rPr>
          <w:rFonts w:ascii="宋体" w:eastAsia="宋体" w:hint="eastAsia"/>
          <w:color w:val="000000"/>
          <w:szCs w:val="21"/>
        </w:rPr>
        <w:t>1.若合同继续履行将给甲方造成重大损失的，甲方（用户）可以解除合同而不给予乙方任何补偿。</w:t>
      </w:r>
    </w:p>
    <w:p>
      <w:pPr>
        <w:ind w:firstLine="420" w:firstLineChars="200"/>
        <w:rPr>
          <w:rFonts w:ascii="宋体" w:hint="eastAsia"/>
          <w:color w:val="000000"/>
          <w:szCs w:val="21"/>
        </w:rPr>
      </w:pPr>
      <w:r>
        <w:rPr>
          <w:rFonts w:ascii="宋体" w:eastAsia="宋体" w:hint="eastAsia"/>
          <w:color w:val="000000"/>
          <w:szCs w:val="21"/>
        </w:rPr>
        <w:t>2.乙方在执行合同的过程中发生重大变故，对履行合同有影响的，甲方（用户）可以解除合同而不给予乙方任何补偿。</w:t>
      </w:r>
    </w:p>
    <w:p>
      <w:pPr>
        <w:ind w:firstLine="420" w:firstLineChars="200"/>
        <w:rPr>
          <w:rFonts w:ascii="宋体" w:hint="eastAsia"/>
          <w:color w:val="000000"/>
          <w:szCs w:val="21"/>
        </w:rPr>
      </w:pPr>
      <w:r>
        <w:rPr>
          <w:rFonts w:ascii="宋体" w:eastAsia="宋体" w:hint="eastAsia"/>
          <w:color w:val="000000"/>
          <w:szCs w:val="21"/>
        </w:rPr>
        <w:t>3.甲方（用户）因重大变故取消或部分取消原来的采购任务，导致合同全部或部分内容无需继续履行的，可以解除合同而不给予乙方任何补偿。</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第二十一条 合同终止</w:t>
      </w:r>
    </w:p>
    <w:p>
      <w:pPr>
        <w:ind w:firstLine="420" w:firstLineChars="200"/>
        <w:rPr>
          <w:rFonts w:ascii="宋体" w:hint="eastAsia"/>
          <w:color w:val="000000"/>
          <w:szCs w:val="21"/>
        </w:rPr>
      </w:pPr>
      <w:r>
        <w:rPr>
          <w:rFonts w:ascii="宋体" w:eastAsia="宋体" w:hint="eastAsia"/>
          <w:color w:val="000000"/>
          <w:szCs w:val="21"/>
        </w:rPr>
        <w:t>（一）本合同因下列原因而终止：</w:t>
      </w:r>
    </w:p>
    <w:p>
      <w:pPr>
        <w:ind w:firstLine="420" w:firstLineChars="200"/>
        <w:rPr>
          <w:rFonts w:ascii="宋体" w:hint="eastAsia"/>
          <w:color w:val="000000"/>
          <w:szCs w:val="21"/>
        </w:rPr>
      </w:pPr>
      <w:r>
        <w:rPr>
          <w:rFonts w:ascii="宋体" w:eastAsia="宋体" w:hint="eastAsia"/>
          <w:color w:val="000000"/>
          <w:szCs w:val="21"/>
        </w:rPr>
        <w:t>1.本合同正常履行完毕；</w:t>
      </w:r>
    </w:p>
    <w:p>
      <w:pPr>
        <w:ind w:firstLine="420" w:firstLineChars="200"/>
        <w:rPr>
          <w:rFonts w:ascii="宋体" w:hint="eastAsia"/>
          <w:color w:val="000000"/>
          <w:szCs w:val="21"/>
        </w:rPr>
      </w:pPr>
      <w:r>
        <w:rPr>
          <w:rFonts w:ascii="宋体" w:eastAsia="宋体" w:hint="eastAsia"/>
          <w:color w:val="000000"/>
          <w:szCs w:val="21"/>
        </w:rPr>
        <w:t>2.合同双方协议终止本合同的履行；</w:t>
      </w:r>
    </w:p>
    <w:p>
      <w:pPr>
        <w:ind w:firstLine="420" w:firstLineChars="200"/>
        <w:rPr>
          <w:rFonts w:ascii="宋体" w:hint="eastAsia"/>
          <w:color w:val="000000"/>
          <w:szCs w:val="21"/>
        </w:rPr>
      </w:pPr>
      <w:r>
        <w:rPr>
          <w:rFonts w:ascii="宋体" w:eastAsia="宋体" w:hint="eastAsia"/>
          <w:color w:val="000000"/>
          <w:szCs w:val="21"/>
        </w:rPr>
        <w:t>3.不可抗力事件导致本合同无法履行或履行不必要；</w:t>
      </w:r>
    </w:p>
    <w:p>
      <w:pPr>
        <w:ind w:firstLine="420" w:firstLineChars="200"/>
        <w:rPr>
          <w:rFonts w:ascii="宋体" w:hint="eastAsia"/>
          <w:color w:val="000000"/>
          <w:szCs w:val="21"/>
        </w:rPr>
      </w:pPr>
      <w:r>
        <w:rPr>
          <w:rFonts w:ascii="宋体" w:eastAsia="宋体" w:hint="eastAsia"/>
          <w:color w:val="000000"/>
          <w:szCs w:val="21"/>
        </w:rPr>
        <w:t>4.任何一方行使解除权，解除本合同；</w:t>
      </w:r>
    </w:p>
    <w:p>
      <w:pPr>
        <w:ind w:firstLine="420" w:firstLineChars="200"/>
        <w:rPr>
          <w:rFonts w:ascii="宋体" w:hint="eastAsia"/>
          <w:color w:val="000000"/>
          <w:szCs w:val="21"/>
        </w:rPr>
      </w:pPr>
      <w:bookmarkStart w:id="48" w:name="孔子"/>
      <w:bookmarkEnd w:id="48"/>
      <w:r>
        <w:rPr>
          <w:rFonts w:ascii="宋体" w:eastAsia="宋体" w:hint="eastAsia"/>
          <w:color w:val="000000"/>
          <w:szCs w:val="21"/>
        </w:rPr>
        <w:t>（二）对本合同终止有过错的一方应赔偿另一方因合同终止而受到的损失。</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第二十二条 合同转让和分包</w:t>
      </w:r>
    </w:p>
    <w:p>
      <w:pPr>
        <w:ind w:firstLine="420" w:firstLineChars="200"/>
        <w:rPr>
          <w:rFonts w:ascii="宋体" w:hint="eastAsia"/>
          <w:color w:val="000000"/>
          <w:szCs w:val="21"/>
        </w:rPr>
      </w:pPr>
      <w:r>
        <w:rPr>
          <w:rFonts w:ascii="宋体" w:eastAsia="宋体" w:hint="eastAsia"/>
          <w:color w:val="000000"/>
          <w:szCs w:val="21"/>
        </w:rPr>
        <w:t>（一）乙方不得以任何形式将合同转包，或部分或全部转让其应履行的合同义务。</w:t>
      </w:r>
    </w:p>
    <w:p>
      <w:pPr>
        <w:ind w:firstLine="420" w:firstLineChars="200"/>
        <w:rPr>
          <w:rFonts w:ascii="宋体" w:hint="eastAsia"/>
          <w:color w:val="000000"/>
          <w:szCs w:val="21"/>
        </w:rPr>
      </w:pPr>
      <w:r>
        <w:rPr>
          <w:rFonts w:ascii="宋体" w:eastAsia="宋体" w:hint="eastAsia"/>
          <w:color w:val="000000"/>
          <w:szCs w:val="21"/>
        </w:rPr>
        <w:t>（二）除经甲方（用户）事先书面同意外，乙方不得以任何形式将合同分包。</w:t>
      </w:r>
    </w:p>
    <w:p>
      <w:pPr>
        <w:ind w:firstLine="420" w:firstLineChars="200"/>
        <w:rPr>
          <w:rFonts w:ascii="宋体" w:hint="eastAsia"/>
          <w:color w:val="000000"/>
          <w:szCs w:val="21"/>
        </w:rPr>
      </w:pPr>
      <w:r>
        <w:rPr>
          <w:rFonts w:ascii="宋体" w:eastAsia="宋体" w:hint="eastAsia"/>
          <w:color w:val="000000"/>
          <w:szCs w:val="21"/>
        </w:rPr>
        <w:t>乙方擅自转包或分包的，甲方有权解除本合同，没收履约保证金（或银行依照履约保函支付的款项），并要求乙方退还已支付的全部货款，赔偿甲方（用户）全部损失及支出的合理费用。</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第二十三条 其他</w:t>
      </w:r>
    </w:p>
    <w:p>
      <w:pPr>
        <w:ind w:firstLine="420" w:firstLineChars="200"/>
        <w:rPr>
          <w:rFonts w:ascii="宋体" w:hint="eastAsia"/>
          <w:color w:val="000000"/>
          <w:szCs w:val="21"/>
        </w:rPr>
      </w:pPr>
      <w:r>
        <w:rPr>
          <w:rFonts w:ascii="宋体" w:eastAsia="宋体" w:hint="eastAsia"/>
          <w:color w:val="000000"/>
          <w:szCs w:val="21"/>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spacing w:before="120" w:beforeLines="50" w:after="120" w:afterLines="50"/>
        <w:ind w:firstLine="420" w:firstLineChars="200"/>
        <w:rPr>
          <w:rFonts w:ascii="宋体" w:hint="eastAsia"/>
          <w:b/>
          <w:bCs/>
          <w:color w:val="000000"/>
          <w:szCs w:val="21"/>
        </w:rPr>
      </w:pPr>
      <w:r>
        <w:rPr>
          <w:rFonts w:ascii="宋体" w:hint="eastAsia"/>
          <w:b/>
          <w:bCs/>
          <w:color w:val="000000"/>
          <w:szCs w:val="21"/>
        </w:rPr>
        <w:t>第二十四条 合同生效</w:t>
      </w:r>
    </w:p>
    <w:p>
      <w:pPr>
        <w:ind w:firstLine="420" w:firstLineChars="200"/>
        <w:rPr>
          <w:rFonts w:ascii="宋体" w:hint="eastAsia"/>
          <w:color w:val="000000"/>
          <w:szCs w:val="21"/>
        </w:rPr>
      </w:pPr>
      <w:r>
        <w:rPr>
          <w:rFonts w:ascii="宋体" w:eastAsia="宋体" w:hint="eastAsia"/>
          <w:color w:val="000000"/>
          <w:szCs w:val="21"/>
        </w:rPr>
        <w:t>（一）本合同一式</w:t>
      </w:r>
      <w:r>
        <w:rPr>
          <w:rFonts w:ascii="宋体" w:eastAsia="宋体" w:hint="eastAsia"/>
          <w:color w:val="000000"/>
          <w:szCs w:val="21"/>
          <w:u w:val="single"/>
        </w:rPr>
        <w:t>4</w:t>
      </w:r>
      <w:r>
        <w:rPr>
          <w:rFonts w:ascii="宋体" w:eastAsia="宋体" w:hint="eastAsia"/>
          <w:color w:val="000000"/>
          <w:szCs w:val="21"/>
        </w:rPr>
        <w:t>份，甲方执</w:t>
      </w:r>
      <w:r>
        <w:rPr>
          <w:rFonts w:ascii="宋体" w:eastAsia="宋体" w:hint="eastAsia"/>
          <w:color w:val="000000"/>
          <w:szCs w:val="21"/>
          <w:u w:val="single"/>
        </w:rPr>
        <w:t>2</w:t>
      </w:r>
      <w:r>
        <w:rPr>
          <w:rFonts w:ascii="宋体" w:eastAsia="宋体" w:hint="eastAsia"/>
          <w:color w:val="000000"/>
          <w:szCs w:val="21"/>
        </w:rPr>
        <w:t>份，乙方执</w:t>
      </w:r>
      <w:r>
        <w:rPr>
          <w:rFonts w:ascii="宋体" w:eastAsia="宋体" w:hint="eastAsia"/>
          <w:color w:val="000000"/>
          <w:szCs w:val="21"/>
          <w:u w:val="single"/>
        </w:rPr>
        <w:t>2</w:t>
      </w:r>
      <w:r>
        <w:rPr>
          <w:rFonts w:ascii="宋体" w:eastAsia="宋体" w:hint="eastAsia"/>
          <w:color w:val="000000"/>
          <w:szCs w:val="21"/>
        </w:rPr>
        <w:t>份；自甲乙双方签字盖章之日起生效。对本合同的任何更改及补充，均需双方共同协商，并以书面形式盖章确认。</w:t>
      </w:r>
    </w:p>
    <w:p>
      <w:pPr>
        <w:pStyle w:val="3110"/>
        <w:widowControl/>
        <w:autoSpaceDN w:val="0"/>
        <w:ind w:firstLine="420" w:firstLineChars="200"/>
        <w:jc w:val="left"/>
        <w:rPr>
          <w:rFonts w:ascii="宋体" w:cs="宋体" w:hint="eastAsia"/>
          <w:snapToGrid w:val="0"/>
          <w:kern w:val="0"/>
          <w:szCs w:val="21"/>
        </w:rPr>
      </w:pPr>
      <w:r>
        <w:rPr>
          <w:rFonts w:ascii="宋体" w:eastAsia="宋体" w:hint="eastAsia"/>
          <w:color w:val="000000"/>
          <w:szCs w:val="21"/>
        </w:rPr>
        <w:t>（二）</w:t>
      </w:r>
      <w:r>
        <w:rPr>
          <w:rFonts w:ascii="宋体" w:eastAsia="宋体" w:cs="宋体" w:hint="eastAsia"/>
          <w:snapToGrid w:val="0"/>
          <w:kern w:val="0"/>
          <w:szCs w:val="21"/>
          <w:lang w:bidi="ar-SA"/>
        </w:rPr>
        <w:t>本合同签订后，由</w:t>
      </w:r>
      <w:r>
        <w:rPr>
          <w:rFonts w:ascii="宋体" w:eastAsia="宋体" w:cs="宋体" w:hint="eastAsia"/>
          <w:snapToGrid w:val="0"/>
          <w:kern w:val="0"/>
          <w:szCs w:val="21"/>
          <w:u w:val="single"/>
          <w:lang w:bidi="ar-SA"/>
        </w:rPr>
        <w:t>中国海关科学技术研究中心</w:t>
      </w:r>
      <w:r>
        <w:rPr>
          <w:rFonts w:ascii="宋体" w:eastAsia="宋体" w:cs="宋体" w:hint="eastAsia"/>
          <w:snapToGrid w:val="0"/>
          <w:kern w:val="0"/>
          <w:szCs w:val="21"/>
          <w:lang w:bidi="ar-SA"/>
        </w:rPr>
        <w:t>执行资金支付、履约保证金收退</w:t>
      </w:r>
      <w:r>
        <w:rPr>
          <w:rFonts w:ascii="宋体" w:eastAsia="宋体" w:hint="eastAsia"/>
          <w:color w:val="000000"/>
          <w:szCs w:val="21"/>
        </w:rPr>
        <w:t>（或行使银行履约保函载明的索赔权利）</w:t>
      </w:r>
      <w:r>
        <w:rPr>
          <w:rFonts w:ascii="宋体" w:eastAsia="宋体" w:cs="宋体" w:hint="eastAsia"/>
          <w:snapToGrid w:val="0"/>
          <w:kern w:val="0"/>
          <w:szCs w:val="21"/>
          <w:lang w:bidi="ar-SA"/>
        </w:rPr>
        <w:t>、货物或项目验收等合同履约一切事宜。</w:t>
      </w:r>
    </w:p>
    <w:p>
      <w:pPr>
        <w:ind w:left="0"/>
        <w:rPr>
          <w:rFonts w:ascii="宋体" w:hint="eastAsia"/>
          <w:color w:val="000000"/>
          <w:szCs w:val="21"/>
        </w:rPr>
      </w:pPr>
    </w:p>
    <w:p>
      <w:pPr>
        <w:ind w:firstLine="420" w:firstLineChars="200"/>
        <w:rPr>
          <w:rFonts w:ascii="宋体" w:hint="eastAsia"/>
          <w:color w:val="000000"/>
          <w:szCs w:val="21"/>
        </w:rPr>
      </w:pPr>
      <w:r>
        <w:rPr>
          <w:rFonts w:ascii="宋体" w:eastAsia="宋体" w:hint="eastAsia"/>
          <w:color w:val="000000"/>
          <w:szCs w:val="21"/>
        </w:rPr>
        <w:t>附件一：分项报价表</w:t>
      </w:r>
    </w:p>
    <w:p>
      <w:pPr>
        <w:ind w:firstLine="420" w:firstLineChars="200"/>
        <w:rPr>
          <w:rFonts w:ascii="宋体" w:hint="eastAsia"/>
          <w:color w:val="000000"/>
          <w:szCs w:val="21"/>
        </w:rPr>
      </w:pPr>
      <w:r>
        <w:rPr>
          <w:rFonts w:ascii="宋体" w:eastAsia="宋体" w:hint="eastAsia"/>
          <w:color w:val="000000"/>
          <w:szCs w:val="21"/>
        </w:rPr>
        <w:t>附件二：设备配置清单</w:t>
      </w:r>
    </w:p>
    <w:p>
      <w:pPr>
        <w:ind w:firstLine="420" w:firstLineChars="200"/>
        <w:rPr>
          <w:rFonts w:ascii="宋体" w:hint="eastAsia"/>
          <w:color w:val="000000"/>
          <w:szCs w:val="21"/>
        </w:rPr>
      </w:pPr>
      <w:r>
        <w:rPr>
          <w:rFonts w:ascii="宋体" w:eastAsia="宋体" w:hint="eastAsia"/>
          <w:color w:val="000000"/>
          <w:szCs w:val="21"/>
        </w:rPr>
        <w:t>附件三：技术偏离表</w:t>
      </w:r>
    </w:p>
    <w:p>
      <w:pPr>
        <w:ind w:firstLine="420" w:firstLineChars="200"/>
        <w:rPr>
          <w:rFonts w:ascii="宋体" w:hint="eastAsia"/>
          <w:color w:val="000000"/>
          <w:szCs w:val="21"/>
        </w:rPr>
      </w:pPr>
      <w:r>
        <w:rPr>
          <w:rFonts w:ascii="宋体" w:eastAsia="宋体" w:hint="eastAsia"/>
          <w:color w:val="000000"/>
          <w:szCs w:val="21"/>
        </w:rPr>
        <w:t>附件四：货物分配清单</w:t>
      </w:r>
    </w:p>
    <w:p>
      <w:pPr>
        <w:ind w:firstLine="420" w:firstLineChars="200"/>
        <w:rPr>
          <w:rFonts w:ascii="宋体" w:hint="eastAsia"/>
          <w:color w:val="000000"/>
          <w:szCs w:val="21"/>
        </w:rPr>
      </w:pPr>
      <w:r>
        <w:rPr>
          <w:rFonts w:ascii="宋体" w:eastAsia="宋体" w:hint="eastAsia"/>
          <w:color w:val="000000"/>
          <w:szCs w:val="21"/>
        </w:rPr>
        <w:t>附件五：项目实施方案</w:t>
      </w:r>
    </w:p>
    <w:p>
      <w:pPr>
        <w:ind w:firstLine="420" w:firstLineChars="200"/>
        <w:rPr>
          <w:rFonts w:ascii="宋体" w:hint="eastAsia"/>
          <w:color w:val="000000"/>
          <w:szCs w:val="21"/>
        </w:rPr>
      </w:pPr>
      <w:r>
        <w:rPr>
          <w:rFonts w:ascii="宋体" w:hint="eastAsia"/>
          <w:color w:val="000000"/>
          <w:szCs w:val="21"/>
        </w:rPr>
        <w:t>附件六：技术培训方案</w:t>
      </w:r>
    </w:p>
    <w:p>
      <w:pPr>
        <w:ind w:firstLine="420" w:firstLineChars="200"/>
        <w:rPr>
          <w:rFonts w:ascii="宋体" w:hint="eastAsia"/>
          <w:color w:val="000000"/>
          <w:szCs w:val="21"/>
        </w:rPr>
      </w:pPr>
      <w:r>
        <w:rPr>
          <w:rFonts w:ascii="宋体" w:hint="eastAsia"/>
          <w:color w:val="000000"/>
          <w:szCs w:val="21"/>
        </w:rPr>
        <w:t>附件七：技术支持及售后服务方案</w:t>
      </w:r>
    </w:p>
    <w:p>
      <w:pPr>
        <w:ind w:firstLine="420" w:firstLineChars="200"/>
        <w:rPr>
          <w:rFonts w:ascii="宋体" w:hint="eastAsia"/>
          <w:color w:val="000000"/>
          <w:szCs w:val="21"/>
        </w:rPr>
      </w:pPr>
      <w:r>
        <w:rPr>
          <w:rFonts w:ascii="宋体" w:hint="eastAsia"/>
          <w:color w:val="000000"/>
          <w:szCs w:val="21"/>
        </w:rPr>
        <w:t>附件八：设备到货验收报告</w:t>
      </w:r>
    </w:p>
    <w:p>
      <w:pPr>
        <w:rPr>
          <w:rFonts w:ascii="宋体" w:hint="eastAsia"/>
          <w:color w:val="000000"/>
          <w:szCs w:val="21"/>
        </w:rPr>
      </w:pPr>
      <w:r>
        <w:rPr>
          <w:rFonts w:ascii="宋体" w:eastAsia="宋体" w:hint="eastAsia"/>
          <w:color w:val="000000"/>
          <w:szCs w:val="21"/>
        </w:rPr>
        <w:t>（附件一、二、三、五、六、七内容与投标/响应文件一致。）</w:t>
      </w:r>
    </w:p>
    <w:p>
      <w:pPr>
        <w:rPr>
          <w:rFonts w:ascii="宋体" w:hint="eastAsia"/>
          <w:color w:val="000000"/>
          <w:szCs w:val="21"/>
        </w:rPr>
      </w:pPr>
    </w:p>
    <w:p>
      <w:pPr>
        <w:ind w:firstLine="630" w:firstLineChars="300"/>
        <w:rPr>
          <w:rFonts w:ascii="宋体" w:hint="eastAsia"/>
          <w:color w:val="000000"/>
          <w:szCs w:val="21"/>
        </w:rPr>
      </w:pPr>
      <w:r>
        <w:rPr>
          <w:rFonts w:ascii="宋体" w:eastAsia="宋体" w:hint="eastAsia"/>
          <w:color w:val="000000"/>
          <w:szCs w:val="21"/>
        </w:rPr>
        <w:t>甲方（公章</w:t>
      </w:r>
      <w:r>
        <w:rPr>
          <w:rFonts w:ascii="宋体" w:eastAsia="宋体" w:hint="eastAsia"/>
          <w:snapToGrid w:val="0"/>
          <w:kern w:val="0"/>
          <w:szCs w:val="21"/>
        </w:rPr>
        <w:t>或合同章</w:t>
      </w:r>
      <w:r>
        <w:rPr>
          <w:rFonts w:ascii="宋体" w:eastAsia="宋体" w:hint="eastAsia"/>
          <w:color w:val="000000"/>
          <w:szCs w:val="21"/>
        </w:rPr>
        <w:t>）：             乙方（公章</w:t>
      </w:r>
      <w:r>
        <w:rPr>
          <w:rFonts w:ascii="宋体" w:eastAsia="宋体" w:hint="eastAsia"/>
          <w:snapToGrid w:val="0"/>
          <w:kern w:val="0"/>
          <w:szCs w:val="21"/>
        </w:rPr>
        <w:t>或合同章</w:t>
      </w:r>
      <w:r>
        <w:rPr>
          <w:rFonts w:ascii="宋体" w:eastAsia="宋体" w:hint="eastAsia"/>
          <w:color w:val="000000"/>
          <w:szCs w:val="21"/>
        </w:rPr>
        <w:t>）：</w:t>
      </w:r>
    </w:p>
    <w:p>
      <w:pPr>
        <w:ind w:firstLine="630" w:firstLineChars="300"/>
        <w:rPr>
          <w:rFonts w:ascii="宋体" w:hint="eastAsia"/>
          <w:color w:val="000000"/>
          <w:szCs w:val="21"/>
        </w:rPr>
      </w:pPr>
      <w:r>
        <w:rPr>
          <w:rFonts w:ascii="宋体" w:eastAsia="宋体" w:hint="eastAsia"/>
          <w:color w:val="000000"/>
          <w:szCs w:val="21"/>
        </w:rPr>
        <w:t xml:space="preserve">中国海关科学技术研究中心           </w:t>
      </w:r>
    </w:p>
    <w:p>
      <w:pPr>
        <w:ind w:firstLine="630" w:firstLineChars="300"/>
        <w:rPr>
          <w:rFonts w:ascii="宋体" w:hint="eastAsia"/>
          <w:color w:val="000000"/>
          <w:szCs w:val="21"/>
        </w:rPr>
      </w:pPr>
      <w:r>
        <w:rPr>
          <w:rFonts w:ascii="宋体" w:eastAsia="宋体" w:hint="eastAsia"/>
          <w:color w:val="000000"/>
          <w:szCs w:val="21"/>
        </w:rPr>
        <w:t>法定代表人                        法定代表人</w:t>
      </w:r>
    </w:p>
    <w:p>
      <w:pPr>
        <w:ind w:firstLine="630" w:firstLineChars="300"/>
        <w:rPr>
          <w:rFonts w:ascii="宋体" w:hint="eastAsia"/>
          <w:color w:val="000000"/>
          <w:szCs w:val="21"/>
        </w:rPr>
      </w:pPr>
      <w:r>
        <w:rPr>
          <w:rFonts w:ascii="宋体" w:eastAsia="宋体" w:hint="eastAsia"/>
          <w:color w:val="000000"/>
          <w:szCs w:val="21"/>
        </w:rPr>
        <w:t>或授权签字人（签字）：             或授权签字人（签字）：</w:t>
      </w:r>
    </w:p>
    <w:p>
      <w:pPr>
        <w:rPr>
          <w:rFonts w:ascii="宋体" w:hint="eastAsia"/>
          <w:color w:val="000000"/>
          <w:szCs w:val="21"/>
        </w:rPr>
      </w:pPr>
    </w:p>
    <w:p>
      <w:pPr>
        <w:ind w:firstLine="630" w:firstLineChars="300"/>
        <w:rPr>
          <w:rFonts w:ascii="宋体" w:hint="eastAsia"/>
          <w:color w:val="000000"/>
          <w:szCs w:val="21"/>
        </w:rPr>
      </w:pPr>
      <w:r>
        <w:rPr>
          <w:rFonts w:ascii="宋体" w:eastAsia="宋体" w:hint="eastAsia"/>
          <w:color w:val="000000"/>
          <w:szCs w:val="21"/>
        </w:rPr>
        <w:t xml:space="preserve">日期：    年  月  日               日期：   年   月   日    </w:t>
      </w:r>
    </w:p>
    <w:p>
      <w:pPr>
        <w:ind w:firstLine="630" w:firstLineChars="300"/>
        <w:rPr>
          <w:rFonts w:ascii="宋体" w:hint="eastAsia"/>
          <w:color w:val="000000"/>
          <w:szCs w:val="21"/>
        </w:rPr>
      </w:pPr>
      <w:r>
        <w:rPr>
          <w:rFonts w:ascii="宋体" w:eastAsia="宋体" w:hint="eastAsia"/>
          <w:color w:val="000000"/>
          <w:szCs w:val="21"/>
        </w:rPr>
        <w:t>联系人:                            联系人：</w:t>
      </w:r>
    </w:p>
    <w:p>
      <w:pPr>
        <w:ind w:firstLine="630" w:firstLineChars="300"/>
        <w:rPr>
          <w:rFonts w:ascii="宋体" w:hint="eastAsia"/>
          <w:color w:val="000000"/>
          <w:szCs w:val="21"/>
        </w:rPr>
      </w:pPr>
      <w:r>
        <w:rPr>
          <w:rFonts w:ascii="宋体" w:eastAsia="宋体" w:hint="eastAsia"/>
          <w:color w:val="000000"/>
          <w:szCs w:val="21"/>
        </w:rPr>
        <w:t>电话:                              电话：</w:t>
      </w:r>
    </w:p>
    <w:p>
      <w:pPr>
        <w:ind w:firstLine="630" w:firstLineChars="300"/>
        <w:rPr>
          <w:rFonts w:ascii="宋体" w:hint="eastAsia"/>
          <w:color w:val="000000"/>
          <w:szCs w:val="21"/>
        </w:rPr>
      </w:pPr>
      <w:r>
        <w:rPr>
          <w:rFonts w:ascii="宋体" w:eastAsia="宋体" w:hint="eastAsia"/>
          <w:color w:val="000000"/>
          <w:szCs w:val="21"/>
        </w:rPr>
        <w:t>地址：                             地址：</w:t>
      </w:r>
    </w:p>
    <w:p>
      <w:pPr>
        <w:rPr>
          <w:rFonts w:eastAsia="方正仿宋_GBK"/>
          <w:b/>
          <w:snapToGrid w:val="0"/>
          <w:kern w:val="0"/>
          <w:sz w:val="28"/>
          <w:szCs w:val="28"/>
        </w:rPr>
      </w:pPr>
      <w:r>
        <w:rPr>
          <w:rFonts w:eastAsia="方正仿宋_GBK"/>
          <w:b/>
          <w:snapToGrid w:val="0"/>
          <w:kern w:val="0"/>
          <w:sz w:val="28"/>
          <w:szCs w:val="28"/>
        </w:rPr>
        <w:br w:type="page"/>
      </w:r>
    </w:p>
    <w:p>
      <w:pPr>
        <w:pStyle w:val="50710"/>
        <w:tabs>
          <w:tab w:val="left" w:pos="2760"/>
        </w:tabs>
        <w:spacing w:line="560" w:lineRule="exact"/>
        <w:jc w:val="left"/>
        <w:rPr>
          <w:rFonts w:eastAsia="方正仿宋_GBK"/>
          <w:b/>
          <w:sz w:val="28"/>
          <w:szCs w:val="28"/>
        </w:rPr>
      </w:pPr>
      <w:r>
        <w:rPr>
          <w:rFonts w:eastAsia="方正仿宋_GBK"/>
          <w:b/>
          <w:snapToGrid w:val="0"/>
          <w:kern w:val="0"/>
          <w:sz w:val="28"/>
          <w:szCs w:val="28"/>
        </w:rPr>
        <w:t>附件一：分项报价表</w:t>
      </w:r>
    </w:p>
    <w:p>
      <w:pPr>
        <w:pStyle w:val="50710"/>
        <w:tabs>
          <w:tab w:val="left" w:pos="2760"/>
        </w:tabs>
        <w:spacing w:line="560" w:lineRule="exact"/>
        <w:jc w:val="left"/>
        <w:rPr>
          <w:rFonts w:eastAsia="方正仿宋_GBK"/>
          <w:b/>
          <w:snapToGrid w:val="0"/>
          <w:kern w:val="0"/>
          <w:sz w:val="28"/>
          <w:szCs w:val="28"/>
        </w:rPr>
      </w:pPr>
      <w:r>
        <w:rPr>
          <w:rFonts w:eastAsia="方正仿宋_GBK"/>
          <w:b/>
          <w:sz w:val="28"/>
          <w:szCs w:val="28"/>
        </w:rPr>
        <w:br w:type="page"/>
      </w:r>
      <w:r>
        <w:rPr>
          <w:rFonts w:eastAsia="方正仿宋_GBK"/>
          <w:b/>
          <w:snapToGrid w:val="0"/>
          <w:kern w:val="0"/>
          <w:sz w:val="28"/>
          <w:szCs w:val="28"/>
        </w:rPr>
        <w:t>附件二：设备配置清单</w:t>
      </w:r>
    </w:p>
    <w:p>
      <w:pPr>
        <w:pStyle w:val="4610"/>
        <w:tabs>
          <w:tab w:val="left" w:pos="2760"/>
        </w:tabs>
        <w:spacing w:line="560" w:lineRule="exact"/>
        <w:jc w:val="left"/>
        <w:rPr>
          <w:rFonts w:eastAsia="方正仿宋_GBK"/>
          <w:b/>
          <w:snapToGrid w:val="0"/>
          <w:kern w:val="0"/>
          <w:sz w:val="28"/>
          <w:szCs w:val="28"/>
        </w:rPr>
      </w:pPr>
      <w:r>
        <w:rPr>
          <w:rFonts w:eastAsia="方正仿宋_GBK"/>
          <w:b/>
          <w:sz w:val="28"/>
          <w:szCs w:val="28"/>
        </w:rPr>
        <w:br w:type="page"/>
      </w:r>
      <w:r>
        <w:rPr>
          <w:rFonts w:eastAsia="方正仿宋_GBK"/>
          <w:b/>
          <w:snapToGrid w:val="0"/>
          <w:kern w:val="0"/>
          <w:sz w:val="28"/>
          <w:szCs w:val="28"/>
        </w:rPr>
        <w:t>附件三：技术偏离表</w:t>
      </w:r>
    </w:p>
    <w:p>
      <w:pPr>
        <w:pStyle w:val="50710"/>
        <w:tabs>
          <w:tab w:val="left" w:pos="2760"/>
        </w:tabs>
        <w:spacing w:line="560" w:lineRule="exact"/>
        <w:jc w:val="left"/>
        <w:rPr>
          <w:rFonts w:eastAsia="方正仿宋_GBK"/>
          <w:b/>
          <w:snapToGrid w:val="0"/>
          <w:kern w:val="0"/>
          <w:sz w:val="28"/>
          <w:szCs w:val="28"/>
        </w:rPr>
      </w:pPr>
      <w:r>
        <w:rPr>
          <w:rFonts w:eastAsia="方正仿宋_GBK"/>
          <w:b/>
          <w:sz w:val="28"/>
          <w:szCs w:val="28"/>
        </w:rPr>
        <w:br w:type="page"/>
      </w:r>
      <w:r>
        <w:rPr>
          <w:rFonts w:eastAsia="方正仿宋_GBK"/>
          <w:b/>
          <w:snapToGrid w:val="0"/>
          <w:kern w:val="0"/>
          <w:sz w:val="28"/>
          <w:szCs w:val="28"/>
        </w:rPr>
        <w:t>附件四 ：货物分配清单</w:t>
      </w:r>
    </w:p>
    <w:tbl>
      <w:tblPr>
        <w:tblW w:w="7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79"/>
        <w:gridCol w:w="1785"/>
        <w:gridCol w:w="967"/>
        <w:gridCol w:w="1028"/>
        <w:gridCol w:w="1867"/>
        <w:gridCol w:w="1448"/>
      </w:tblGrid>
      <w:tr>
        <w:tblPrEx>
          <w:tblW w:w="7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679"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ascii="宋体" w:hint="eastAsia"/>
                <w:snapToGrid w:val="0"/>
                <w:color w:val="000000"/>
                <w:szCs w:val="21"/>
              </w:rPr>
            </w:pPr>
            <w:r>
              <w:rPr>
                <w:rFonts w:ascii="宋体" w:hint="eastAsia"/>
                <w:snapToGrid w:val="0"/>
                <w:color w:val="000000"/>
                <w:szCs w:val="21"/>
              </w:rPr>
              <w:t>序号</w:t>
            </w:r>
          </w:p>
        </w:tc>
        <w:tc>
          <w:tcPr>
            <w:tcW w:w="17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ascii="宋体" w:hint="eastAsia"/>
                <w:snapToGrid w:val="0"/>
                <w:color w:val="000000"/>
                <w:szCs w:val="21"/>
              </w:rPr>
            </w:pPr>
            <w:r>
              <w:rPr>
                <w:rFonts w:ascii="宋体" w:hint="eastAsia"/>
                <w:snapToGrid w:val="0"/>
                <w:color w:val="000000"/>
                <w:szCs w:val="21"/>
              </w:rPr>
              <w:t>品牌/型号</w:t>
            </w:r>
          </w:p>
        </w:tc>
        <w:tc>
          <w:tcPr>
            <w:tcW w:w="967"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ascii="宋体" w:hint="eastAsia"/>
                <w:snapToGrid w:val="0"/>
                <w:color w:val="000000"/>
                <w:szCs w:val="21"/>
              </w:rPr>
            </w:pPr>
            <w:r>
              <w:rPr>
                <w:rFonts w:ascii="宋体" w:hint="eastAsia"/>
                <w:snapToGrid w:val="0"/>
                <w:color w:val="000000"/>
                <w:szCs w:val="21"/>
              </w:rPr>
              <w:t>数量</w:t>
            </w:r>
          </w:p>
        </w:tc>
        <w:tc>
          <w:tcPr>
            <w:tcW w:w="102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ascii="宋体" w:hint="eastAsia"/>
                <w:snapToGrid w:val="0"/>
                <w:color w:val="000000"/>
                <w:szCs w:val="21"/>
              </w:rPr>
            </w:pPr>
            <w:r>
              <w:rPr>
                <w:rFonts w:ascii="宋体" w:hint="eastAsia"/>
                <w:snapToGrid w:val="0"/>
                <w:color w:val="000000"/>
                <w:szCs w:val="21"/>
              </w:rPr>
              <w:t>部门</w:t>
            </w:r>
          </w:p>
        </w:tc>
        <w:tc>
          <w:tcPr>
            <w:tcW w:w="1867"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ascii="宋体" w:hint="eastAsia"/>
                <w:snapToGrid w:val="0"/>
                <w:color w:val="000000"/>
                <w:szCs w:val="21"/>
              </w:rPr>
            </w:pPr>
            <w:r>
              <w:rPr>
                <w:rFonts w:ascii="宋体" w:hint="eastAsia"/>
                <w:snapToGrid w:val="0"/>
                <w:color w:val="000000"/>
                <w:szCs w:val="21"/>
              </w:rPr>
              <w:t>地址</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ascii="宋体" w:hint="eastAsia"/>
                <w:snapToGrid w:val="0"/>
                <w:color w:val="000000"/>
                <w:szCs w:val="21"/>
              </w:rPr>
            </w:pPr>
            <w:r>
              <w:rPr>
                <w:rFonts w:ascii="宋体" w:hint="eastAsia"/>
                <w:snapToGrid w:val="0"/>
                <w:color w:val="000000"/>
                <w:szCs w:val="21"/>
              </w:rPr>
              <w:t>联系方式</w:t>
            </w:r>
          </w:p>
        </w:tc>
      </w:tr>
      <w:tr>
        <w:tblPrEx>
          <w:tblW w:w="7774" w:type="dxa"/>
          <w:jc w:val="center"/>
          <w:tblCellMar>
            <w:top w:w="0" w:type="dxa"/>
            <w:left w:w="108" w:type="dxa"/>
            <w:bottom w:w="0" w:type="dxa"/>
            <w:right w:w="108" w:type="dxa"/>
          </w:tblCellMar>
        </w:tblPrEx>
        <w:trPr>
          <w:jc w:val="center"/>
        </w:trPr>
        <w:tc>
          <w:tcPr>
            <w:tcW w:w="679"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center"/>
              <w:rPr>
                <w:rFonts w:ascii="宋体" w:hint="eastAsia"/>
                <w:snapToGrid w:val="0"/>
                <w:color w:val="000000"/>
                <w:szCs w:val="21"/>
              </w:rPr>
            </w:pPr>
            <w:r>
              <w:rPr>
                <w:rFonts w:ascii="宋体" w:hint="eastAsia"/>
                <w:snapToGrid w:val="0"/>
                <w:color w:val="000000"/>
                <w:szCs w:val="21"/>
              </w:rPr>
              <w:t>1</w:t>
            </w:r>
          </w:p>
        </w:tc>
        <w:tc>
          <w:tcPr>
            <w:tcW w:w="17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28"/>
                <w:szCs w:val="28"/>
              </w:rPr>
            </w:pPr>
          </w:p>
        </w:tc>
        <w:tc>
          <w:tcPr>
            <w:tcW w:w="967"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28"/>
                <w:szCs w:val="28"/>
              </w:rPr>
            </w:pPr>
          </w:p>
        </w:tc>
        <w:tc>
          <w:tcPr>
            <w:tcW w:w="102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28"/>
                <w:szCs w:val="28"/>
              </w:rPr>
            </w:pPr>
          </w:p>
        </w:tc>
        <w:tc>
          <w:tcPr>
            <w:tcW w:w="1867"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28"/>
                <w:szCs w:val="28"/>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28"/>
                <w:szCs w:val="28"/>
              </w:rPr>
            </w:pPr>
          </w:p>
        </w:tc>
      </w:tr>
    </w:tbl>
    <w:p>
      <w:pPr>
        <w:pStyle w:val="50710"/>
        <w:tabs>
          <w:tab w:val="left" w:pos="2760"/>
        </w:tabs>
        <w:spacing w:line="560" w:lineRule="exact"/>
        <w:ind w:left="0"/>
        <w:jc w:val="left"/>
        <w:rPr>
          <w:rFonts w:eastAsia="方正仿宋_GBK"/>
          <w:b/>
          <w:sz w:val="28"/>
          <w:szCs w:val="28"/>
        </w:rPr>
      </w:pPr>
      <w:r>
        <w:rPr>
          <w:rFonts w:eastAsia="方正仿宋_GBK"/>
          <w:b/>
          <w:sz w:val="28"/>
          <w:szCs w:val="28"/>
        </w:rPr>
        <w:br w:type="page"/>
      </w:r>
      <w:r>
        <w:rPr>
          <w:rFonts w:eastAsia="方正仿宋_GBK"/>
          <w:b/>
          <w:snapToGrid w:val="0"/>
          <w:kern w:val="0"/>
          <w:sz w:val="28"/>
          <w:szCs w:val="28"/>
        </w:rPr>
        <w:t>附件五：项目实施方案</w:t>
      </w:r>
    </w:p>
    <w:p>
      <w:pPr>
        <w:pStyle w:val="50710"/>
        <w:tabs>
          <w:tab w:val="left" w:pos="2760"/>
        </w:tabs>
        <w:spacing w:line="560" w:lineRule="exact"/>
        <w:jc w:val="left"/>
        <w:rPr>
          <w:rFonts w:eastAsia="方正仿宋_GBK"/>
          <w:b/>
          <w:sz w:val="28"/>
          <w:szCs w:val="28"/>
        </w:rPr>
      </w:pPr>
      <w:r>
        <w:rPr>
          <w:rFonts w:eastAsia="方正仿宋_GBK"/>
          <w:b/>
          <w:sz w:val="28"/>
          <w:szCs w:val="28"/>
        </w:rPr>
        <w:br w:type="page"/>
      </w:r>
      <w:r>
        <w:rPr>
          <w:rFonts w:eastAsia="方正仿宋_GBK"/>
          <w:b/>
          <w:snapToGrid w:val="0"/>
          <w:kern w:val="0"/>
          <w:sz w:val="28"/>
          <w:szCs w:val="28"/>
        </w:rPr>
        <w:t>附件六：技术培训方案</w:t>
      </w:r>
    </w:p>
    <w:p>
      <w:pPr>
        <w:pStyle w:val="3210"/>
        <w:keepNext w:val="0"/>
        <w:widowControl w:val="0"/>
        <w:rPr>
          <w:color w:val="000000"/>
          <w:sz w:val="24"/>
        </w:rPr>
      </w:pPr>
      <w:r>
        <w:rPr>
          <w:rFonts w:eastAsia="方正仿宋_GBK"/>
          <w:b/>
          <w:sz w:val="28"/>
          <w:szCs w:val="28"/>
        </w:rPr>
        <w:br w:type="page"/>
      </w:r>
      <w:r>
        <w:rPr>
          <w:rFonts w:eastAsia="方正仿宋_GBK"/>
          <w:b/>
          <w:snapToGrid w:val="0"/>
          <w:kern w:val="0"/>
          <w:sz w:val="28"/>
          <w:szCs w:val="28"/>
        </w:rPr>
        <w:t>附件七：技术支持与原厂售后服务方案</w:t>
        <w:br w:type="page"/>
        <w:t>附件八：设备到货验收报告</w:t>
      </w:r>
    </w:p>
    <w:p>
      <w:pPr>
        <w:pStyle w:val="3210"/>
        <w:keepNext w:val="0"/>
        <w:widowControl w:val="0"/>
        <w:jc w:val="center"/>
        <w:rPr>
          <w:color w:val="000000"/>
          <w:sz w:val="32"/>
          <w:szCs w:val="32"/>
        </w:rPr>
      </w:pPr>
      <w:r>
        <w:rPr>
          <w:color w:val="000000"/>
          <w:sz w:val="32"/>
          <w:szCs w:val="32"/>
        </w:rPr>
        <w:t>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821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项目名称</w:t>
            </w:r>
          </w:p>
        </w:tc>
        <w:tc>
          <w:tcPr>
            <w:tcW w:w="1589" w:type="dxa"/>
            <w:tcBorders>
              <w:top w:val="single" w:sz="18" w:space="0" w:color="000000"/>
              <w:left w:val="nil"/>
              <w:bottom w:val="single" w:sz="4" w:space="0" w:color="000000"/>
              <w:right w:val="single" w:sz="4" w:space="0" w:color="000000"/>
            </w:tcBorders>
            <w:vAlign w:val="center"/>
          </w:tcPr>
          <w:p>
            <w:pPr>
              <w:pStyle w:val="8110"/>
              <w:widowControl/>
              <w:autoSpaceDN w:val="0"/>
              <w:spacing w:line="440" w:lineRule="exact"/>
              <w:rPr>
                <w:rFonts w:ascii="宋体" w:cs="宋体" w:hint="eastAsia"/>
                <w:b/>
                <w:snapToGrid w:val="0"/>
                <w:kern w:val="0"/>
                <w:szCs w:val="21"/>
              </w:rPr>
            </w:pPr>
          </w:p>
        </w:tc>
        <w:tc>
          <w:tcPr>
            <w:tcW w:w="4033" w:type="dxa"/>
            <w:gridSpan w:val="3"/>
            <w:tcBorders>
              <w:top w:val="single" w:sz="18" w:space="0" w:color="000000"/>
              <w:left w:val="nil"/>
              <w:bottom w:val="single" w:sz="4" w:space="0" w:color="000000"/>
              <w:right w:val="single" w:sz="4" w:space="0" w:color="000000"/>
            </w:tcBorders>
            <w:vAlign w:val="center"/>
          </w:tcPr>
          <w:p>
            <w:pPr>
              <w:pStyle w:val="80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7910"/>
              <w:widowControl/>
              <w:autoSpaceDN w:val="0"/>
              <w:spacing w:line="560" w:lineRule="exact"/>
              <w:jc w:val="center"/>
              <w:rPr>
                <w:rFonts w:ascii="宋体" w:cs="宋体" w:hint="eastAsia"/>
                <w:b/>
                <w:snapToGrid w:val="0"/>
                <w:kern w:val="0"/>
                <w:szCs w:val="21"/>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781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7710"/>
              <w:widowControl/>
              <w:autoSpaceDN w:val="0"/>
              <w:spacing w:line="440" w:lineRule="exact"/>
              <w:rPr>
                <w:rFonts w:ascii="宋体" w:cs="宋体" w:hint="eastAsia"/>
                <w:snapToGrid w:val="0"/>
                <w:kern w:val="0"/>
                <w:szCs w:val="21"/>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761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7510"/>
              <w:widowControl/>
              <w:autoSpaceDN w:val="0"/>
              <w:spacing w:line="440" w:lineRule="exact"/>
              <w:rPr>
                <w:rFonts w:ascii="宋体" w:cs="宋体" w:hint="eastAsia"/>
                <w:snapToGrid w:val="0"/>
                <w:kern w:val="0"/>
                <w:szCs w:val="21"/>
              </w:rPr>
            </w:pPr>
          </w:p>
        </w:tc>
        <w:tc>
          <w:tcPr>
            <w:tcW w:w="1775" w:type="dxa"/>
            <w:tcBorders>
              <w:top w:val="nil"/>
              <w:left w:val="nil"/>
              <w:bottom w:val="single" w:sz="4" w:space="0" w:color="000000"/>
              <w:right w:val="single" w:sz="4" w:space="0" w:color="000000"/>
            </w:tcBorders>
            <w:vAlign w:val="center"/>
          </w:tcPr>
          <w:p>
            <w:pPr>
              <w:pStyle w:val="741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73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721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7110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设备描述及说明</w:t>
            </w:r>
          </w:p>
        </w:tc>
        <w:tc>
          <w:tcPr>
            <w:tcW w:w="1775" w:type="dxa"/>
            <w:tcBorders>
              <w:top w:val="nil"/>
              <w:left w:val="nil"/>
              <w:bottom w:val="single" w:sz="4" w:space="0" w:color="000000"/>
              <w:right w:val="single" w:sz="4" w:space="0" w:color="000000"/>
            </w:tcBorders>
            <w:vAlign w:val="center"/>
          </w:tcPr>
          <w:p>
            <w:pPr>
              <w:pStyle w:val="701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6910"/>
              <w:widowControl/>
              <w:autoSpaceDN w:val="0"/>
              <w:spacing w:line="440" w:lineRule="exact"/>
              <w:jc w:val="center"/>
              <w:rPr>
                <w:rFonts w:ascii="宋体" w:cs="宋体" w:hint="eastAsia"/>
                <w:bCs/>
                <w:snapToGrid w:val="0"/>
                <w:kern w:val="0"/>
                <w:szCs w:val="21"/>
              </w:rPr>
            </w:pPr>
            <w:r>
              <w:rPr>
                <w:rFonts w:ascii="宋体" w:eastAsia="宋体" w:cs="宋体" w:hint="eastAsia"/>
                <w:bCs/>
                <w:snapToGrid w:val="0"/>
                <w:kern w:val="0"/>
                <w:szCs w:val="21"/>
                <w:lang w:bidi="ar-SA"/>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6810"/>
              <w:widowControl/>
              <w:autoSpaceDN w:val="0"/>
              <w:spacing w:line="440" w:lineRule="exact"/>
              <w:jc w:val="center"/>
              <w:rPr>
                <w:rFonts w:ascii="宋体" w:cs="宋体" w:hint="eastAsia"/>
                <w:snapToGrid w:val="0"/>
                <w:kern w:val="0"/>
                <w:szCs w:val="21"/>
              </w:rPr>
            </w:pPr>
          </w:p>
        </w:tc>
        <w:tc>
          <w:tcPr>
            <w:tcW w:w="1740" w:type="dxa"/>
            <w:gridSpan w:val="2"/>
            <w:tcBorders>
              <w:top w:val="single" w:sz="4" w:space="0" w:color="000000"/>
              <w:left w:val="nil"/>
              <w:bottom w:val="single" w:sz="4" w:space="0" w:color="000000"/>
              <w:right w:val="single" w:sz="4" w:space="0" w:color="000000"/>
            </w:tcBorders>
            <w:vAlign w:val="center"/>
          </w:tcPr>
          <w:p>
            <w:pPr>
              <w:pStyle w:val="6710"/>
              <w:widowControl/>
              <w:autoSpaceDN w:val="0"/>
              <w:spacing w:line="440" w:lineRule="exact"/>
              <w:jc w:val="center"/>
              <w:rPr>
                <w:rFonts w:ascii="宋体" w:cs="宋体" w:hint="eastAsia"/>
                <w:snapToGrid w:val="0"/>
                <w:kern w:val="0"/>
                <w:szCs w:val="21"/>
              </w:rPr>
            </w:pPr>
          </w:p>
        </w:tc>
        <w:tc>
          <w:tcPr>
            <w:tcW w:w="1775" w:type="dxa"/>
            <w:tcBorders>
              <w:top w:val="nil"/>
              <w:left w:val="nil"/>
              <w:bottom w:val="single" w:sz="4" w:space="0" w:color="000000"/>
              <w:right w:val="single" w:sz="4" w:space="0" w:color="000000"/>
            </w:tcBorders>
            <w:vAlign w:val="center"/>
          </w:tcPr>
          <w:p>
            <w:pPr>
              <w:pStyle w:val="6610"/>
              <w:widowControl/>
              <w:autoSpaceDN w:val="0"/>
              <w:spacing w:line="440" w:lineRule="exact"/>
              <w:jc w:val="center"/>
              <w:rPr>
                <w:rFonts w:ascii="宋体" w:cs="宋体" w:hint="eastAsia"/>
                <w:snapToGrid w:val="0"/>
                <w:kern w:val="0"/>
                <w:szCs w:val="21"/>
              </w:rPr>
            </w:pPr>
          </w:p>
        </w:tc>
        <w:tc>
          <w:tcPr>
            <w:tcW w:w="4098" w:type="dxa"/>
            <w:gridSpan w:val="2"/>
            <w:tcBorders>
              <w:top w:val="single" w:sz="4" w:space="0" w:color="000000"/>
              <w:left w:val="nil"/>
              <w:bottom w:val="single" w:sz="4" w:space="0" w:color="000000"/>
              <w:right w:val="single" w:sz="18" w:space="0" w:color="000000"/>
            </w:tcBorders>
            <w:vAlign w:val="center"/>
          </w:tcPr>
          <w:p>
            <w:pPr>
              <w:pStyle w:val="6510"/>
              <w:widowControl/>
              <w:autoSpaceDN w:val="0"/>
              <w:spacing w:line="440" w:lineRule="exact"/>
              <w:jc w:val="center"/>
              <w:rPr>
                <w:rFonts w:ascii="宋体" w:cs="宋体" w:hint="eastAsia"/>
                <w:snapToGrid w:val="0"/>
                <w:kern w:val="0"/>
                <w:szCs w:val="21"/>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64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63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62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xml:space="preserve">验收内容：对设备包装、外观进行检查后，双方一致认为设备包装      </w:t>
            </w:r>
          </w:p>
          <w:p>
            <w:pPr>
              <w:pStyle w:val="62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6110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xml:space="preserve">开箱验货：检查设备型号、数量、外观及相关资料等是否正确、齐全    </w:t>
            </w:r>
          </w:p>
          <w:p>
            <w:pPr>
              <w:pStyle w:val="6110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60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验收意见：□同意 / □不同意验收。</w:t>
            </w:r>
          </w:p>
          <w:p>
            <w:pPr>
              <w:pStyle w:val="6010"/>
              <w:widowControl/>
              <w:autoSpaceDN w:val="0"/>
              <w:spacing w:line="440" w:lineRule="exact"/>
              <w:ind w:firstLine="420" w:firstLineChars="200"/>
              <w:rPr>
                <w:rFonts w:ascii="宋体" w:cs="宋体" w:hint="eastAsia"/>
                <w:snapToGrid w:val="0"/>
                <w:kern w:val="0"/>
                <w:szCs w:val="21"/>
              </w:rPr>
            </w:pPr>
          </w:p>
          <w:p>
            <w:pPr>
              <w:pStyle w:val="6010"/>
              <w:autoSpaceDN w:val="0"/>
              <w:spacing w:line="440" w:lineRule="exact"/>
              <w:ind w:firstLine="420" w:firstLineChars="200"/>
              <w:rPr>
                <w:rFonts w:ascii="宋体" w:cs="宋体" w:hint="eastAsia"/>
                <w:snapToGrid w:val="0"/>
                <w:kern w:val="0"/>
                <w:szCs w:val="21"/>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甲方验收代表签字：</w:t>
            </w:r>
          </w:p>
          <w:p>
            <w:pPr>
              <w:pStyle w:val="5110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　</w:t>
            </w:r>
          </w:p>
          <w:p>
            <w:pPr>
              <w:pStyle w:val="52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　</w:t>
            </w:r>
          </w:p>
          <w:p>
            <w:pPr>
              <w:pStyle w:val="5310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p>
            <w:pPr>
              <w:pStyle w:val="5410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　甲方盖章：</w:t>
            </w:r>
          </w:p>
          <w:p>
            <w:pPr>
              <w:pStyle w:val="55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　</w:t>
            </w:r>
          </w:p>
          <w:p>
            <w:pPr>
              <w:pStyle w:val="56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日期：</w:t>
            </w:r>
          </w:p>
          <w:p>
            <w:pPr>
              <w:pStyle w:val="57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　</w:t>
            </w:r>
          </w:p>
          <w:p>
            <w:pPr>
              <w:pStyle w:val="58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　</w:t>
            </w:r>
          </w:p>
          <w:p>
            <w:pPr>
              <w:pStyle w:val="59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c>
          <w:tcPr>
            <w:tcW w:w="6024" w:type="dxa"/>
            <w:gridSpan w:val="4"/>
            <w:tcBorders>
              <w:top w:val="single" w:sz="8" w:space="0" w:color="000000"/>
              <w:left w:val="nil"/>
              <w:bottom w:val="nil"/>
              <w:right w:val="single" w:sz="18" w:space="0" w:color="000000"/>
            </w:tcBorders>
            <w:vAlign w:val="center"/>
          </w:tcPr>
          <w:p>
            <w:pPr>
              <w:pStyle w:val="5010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49100"/>
              <w:widowControl/>
              <w:autoSpaceDN w:val="0"/>
              <w:spacing w:line="440" w:lineRule="exact"/>
              <w:rPr>
                <w:rFonts w:ascii="宋体" w:hAnsi="宋体" w:cs="宋体" w:hint="eastAsia"/>
                <w:bCs/>
                <w:snapToGrid w:val="0"/>
                <w:kern w:val="0"/>
                <w:szCs w:val="21"/>
              </w:rPr>
            </w:pPr>
          </w:p>
        </w:tc>
        <w:tc>
          <w:tcPr>
            <w:tcW w:w="1991" w:type="dxa"/>
            <w:tcBorders>
              <w:top w:val="nil"/>
              <w:left w:val="nil"/>
              <w:bottom w:val="nil"/>
              <w:right w:val="single" w:sz="18" w:space="0" w:color="000000"/>
            </w:tcBorders>
            <w:vAlign w:val="bottom"/>
          </w:tcPr>
          <w:p>
            <w:pPr>
              <w:pStyle w:val="48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310"/>
              <w:widowControl/>
              <w:autoSpaceDN w:val="0"/>
              <w:spacing w:line="440" w:lineRule="exact"/>
              <w:rPr>
                <w:rFonts w:ascii="宋体" w:cs="宋体" w:hint="eastAsia"/>
                <w:bCs/>
                <w:snapToGrid w:val="0"/>
                <w:kern w:val="0"/>
                <w:szCs w:val="21"/>
              </w:rPr>
            </w:pPr>
          </w:p>
        </w:tc>
        <w:tc>
          <w:tcPr>
            <w:tcW w:w="1991" w:type="dxa"/>
            <w:tcBorders>
              <w:top w:val="nil"/>
              <w:left w:val="nil"/>
              <w:bottom w:val="nil"/>
              <w:right w:val="single" w:sz="18" w:space="0" w:color="000000"/>
            </w:tcBorders>
            <w:vAlign w:val="bottom"/>
          </w:tcPr>
          <w:p>
            <w:pPr>
              <w:pStyle w:val="4510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5100"/>
              <w:widowControl/>
              <w:autoSpaceDN w:val="0"/>
              <w:spacing w:line="440" w:lineRule="exact"/>
              <w:rPr>
                <w:rFonts w:ascii="宋体" w:cs="宋体" w:hint="eastAsia"/>
                <w:bCs/>
                <w:snapToGrid w:val="0"/>
                <w:kern w:val="0"/>
                <w:szCs w:val="21"/>
              </w:rPr>
            </w:pPr>
          </w:p>
        </w:tc>
        <w:tc>
          <w:tcPr>
            <w:tcW w:w="1991" w:type="dxa"/>
            <w:tcBorders>
              <w:top w:val="nil"/>
              <w:left w:val="nil"/>
              <w:bottom w:val="nil"/>
              <w:right w:val="single" w:sz="18" w:space="0" w:color="000000"/>
            </w:tcBorders>
            <w:vAlign w:val="bottom"/>
          </w:tcPr>
          <w:p>
            <w:pPr>
              <w:pStyle w:val="43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42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乙方盖章：</w:t>
            </w:r>
          </w:p>
        </w:tc>
        <w:tc>
          <w:tcPr>
            <w:tcW w:w="1991" w:type="dxa"/>
            <w:tcBorders>
              <w:top w:val="nil"/>
              <w:left w:val="nil"/>
              <w:bottom w:val="nil"/>
              <w:right w:val="single" w:sz="18" w:space="0" w:color="000000"/>
            </w:tcBorders>
            <w:vAlign w:val="bottom"/>
          </w:tcPr>
          <w:p>
            <w:pPr>
              <w:pStyle w:val="41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4010"/>
              <w:widowControl/>
              <w:autoSpaceDN w:val="0"/>
              <w:spacing w:line="440" w:lineRule="exact"/>
              <w:rPr>
                <w:rFonts w:ascii="宋体" w:cs="宋体" w:hint="eastAsia"/>
                <w:bCs/>
                <w:snapToGrid w:val="0"/>
                <w:kern w:val="0"/>
                <w:szCs w:val="21"/>
              </w:rPr>
            </w:pPr>
          </w:p>
        </w:tc>
        <w:tc>
          <w:tcPr>
            <w:tcW w:w="1991" w:type="dxa"/>
            <w:tcBorders>
              <w:top w:val="nil"/>
              <w:left w:val="nil"/>
              <w:bottom w:val="nil"/>
              <w:right w:val="single" w:sz="18" w:space="0" w:color="000000"/>
            </w:tcBorders>
            <w:vAlign w:val="bottom"/>
          </w:tcPr>
          <w:p>
            <w:pPr>
              <w:pStyle w:val="39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810"/>
              <w:widowControl/>
              <w:autoSpaceDN w:val="0"/>
              <w:spacing w:line="440" w:lineRule="exact"/>
              <w:rPr>
                <w:rFonts w:ascii="宋体" w:cs="宋体" w:hint="eastAsia"/>
                <w:bCs/>
                <w:snapToGrid w:val="0"/>
                <w:kern w:val="0"/>
                <w:szCs w:val="21"/>
              </w:rPr>
            </w:pPr>
            <w:r>
              <w:rPr>
                <w:rFonts w:ascii="宋体" w:eastAsia="宋体" w:cs="宋体" w:hint="eastAsia"/>
                <w:bCs/>
                <w:snapToGrid w:val="0"/>
                <w:kern w:val="0"/>
                <w:szCs w:val="21"/>
                <w:lang w:bidi="ar-SA"/>
              </w:rPr>
              <w:t>日期：</w:t>
            </w:r>
          </w:p>
        </w:tc>
        <w:tc>
          <w:tcPr>
            <w:tcW w:w="1991" w:type="dxa"/>
            <w:tcBorders>
              <w:top w:val="nil"/>
              <w:left w:val="nil"/>
              <w:bottom w:val="nil"/>
              <w:right w:val="single" w:sz="18" w:space="0" w:color="000000"/>
            </w:tcBorders>
            <w:vAlign w:val="bottom"/>
          </w:tcPr>
          <w:p>
            <w:pPr>
              <w:pStyle w:val="37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6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c>
          <w:tcPr>
            <w:tcW w:w="1991" w:type="dxa"/>
            <w:tcBorders>
              <w:top w:val="nil"/>
              <w:left w:val="nil"/>
              <w:bottom w:val="single" w:sz="18" w:space="0" w:color="000000"/>
              <w:right w:val="single" w:sz="18" w:space="0" w:color="000000"/>
            </w:tcBorders>
            <w:vAlign w:val="bottom"/>
          </w:tcPr>
          <w:p>
            <w:pPr>
              <w:pStyle w:val="8310"/>
              <w:widowControl/>
              <w:autoSpaceDN w:val="0"/>
              <w:spacing w:line="440" w:lineRule="exact"/>
              <w:rPr>
                <w:rFonts w:ascii="宋体" w:cs="宋体" w:hint="eastAsia"/>
                <w:snapToGrid w:val="0"/>
                <w:kern w:val="0"/>
                <w:szCs w:val="21"/>
              </w:rPr>
            </w:pPr>
            <w:r>
              <w:rPr>
                <w:rFonts w:ascii="宋体" w:eastAsia="宋体" w:cs="宋体" w:hint="eastAsia"/>
                <w:snapToGrid w:val="0"/>
                <w:kern w:val="0"/>
                <w:szCs w:val="21"/>
                <w:lang w:bidi="ar-SA"/>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noWrap/>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0"/>
        <w:autoSpaceDN w:val="0"/>
        <w:spacing w:line="560" w:lineRule="exact"/>
        <w:ind w:left="0"/>
        <w:jc w:val="left"/>
        <w:rPr>
          <w:rFonts w:ascii="仿宋" w:eastAsia="仿宋" w:hint="eastAsia"/>
          <w:sz w:val="24"/>
          <w:szCs w:val="24"/>
          <w:highlight w:val="white"/>
          <w:lang w:eastAsia="zh-CN"/>
        </w:rPr>
      </w:pPr>
      <w:r>
        <w:rPr>
          <w:rFonts w:ascii="仿宋" w:eastAsia="仿宋" w:hint="eastAsia"/>
          <w:sz w:val="24"/>
          <w:szCs w:val="24"/>
          <w:highlight w:val="white"/>
          <w:lang w:eastAsia="zh-CN"/>
        </w:rPr>
        <w:t>海关总署物资装备采购中心：</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0"/>
        <w:autoSpaceDN w:val="0"/>
        <w:spacing w:line="560" w:lineRule="exact"/>
        <w:ind w:firstLine="480" w:firstLineChars="200"/>
        <w:jc w:val="left"/>
        <w:rPr>
          <w:rFonts w:ascii="仿宋" w:eastAsia="仿宋"/>
          <w:sz w:val="24"/>
          <w:szCs w:val="24"/>
          <w:highlight w:val="white"/>
          <w:lang w:eastAsia="zh-CN"/>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方正黑体_GBK"/>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书宋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auto"/>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书宋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方正兰亭黑_GBK">
    <w:panose1 w:val="02000000000000000000"/>
    <w:charset w:val="86"/>
    <w:family w:val="script"/>
    <w:pitch w:val="variable"/>
    <w:sig w:usb0="A00002BF" w:usb1="3ACF7CFA" w:usb2="00080016" w:usb3="00000000" w:csb0="00040001" w:csb1="0000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533018" cy="425774"/>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57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53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方正兰亭黑_GBK" w:hAnsi="方正兰亭黑_GBK"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方正兰亭黑_GBK" w:hAnsi="方正兰亭黑_GBK"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pPr>
        <w:ind w:left="0" w:firstLine="0"/>
      </w:pPr>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startOverride w:val="1"/>
      <w:lvl w:ilvl="0">
        <w:start w:val="1"/>
        <w:numFmt w:val="decimal"/>
        <w:lvlText w:val="（"/>
        <w:lvlJc w:val="left"/>
        <w:pPr>
          <w:tabs>
            <w:tab w:val="num" w:pos="1395"/>
          </w:tabs>
          <w:ind w:left="0" w:firstLine="0"/>
        </w:pPr>
      </w:lvl>
    </w:lvlOverride>
    <w:lvlOverride w:ilvl="1">
      <w:startOverride w:val="1"/>
      <w:lvl w:ilvl="1">
        <w:start w:val="1"/>
        <w:numFmt w:val="decimal"/>
        <w:lvlText w:val=")"/>
        <w:lvlJc w:val="left"/>
        <w:pPr>
          <w:tabs>
            <w:tab w:val="num" w:pos="1380"/>
          </w:tabs>
          <w:ind w:left="0" w:firstLine="0"/>
        </w:pPr>
      </w:lvl>
    </w:lvlOverride>
    <w:lvlOverride w:ilvl="2">
      <w:startOverride w:val="1"/>
      <w:lvl w:ilvl="2">
        <w:start w:val="1"/>
        <w:numFmt w:val="decimal"/>
        <w:lvlText w:val="."/>
        <w:lvlJc w:val="right"/>
        <w:pPr>
          <w:tabs>
            <w:tab w:val="num" w:pos="1800"/>
          </w:tabs>
          <w:ind w:left="0" w:firstLine="0"/>
        </w:pPr>
      </w:lvl>
    </w:lvlOverride>
    <w:lvlOverride w:ilvl="3">
      <w:startOverride w:val="1"/>
      <w:lvl w:ilvl="3">
        <w:start w:val="1"/>
        <w:numFmt w:val="decimal"/>
        <w:lvlText w:val="."/>
        <w:lvlJc w:val="left"/>
        <w:pPr>
          <w:tabs>
            <w:tab w:val="num" w:pos="2220"/>
          </w:tabs>
          <w:ind w:left="0" w:firstLine="0"/>
        </w:pPr>
      </w:lvl>
    </w:lvlOverride>
    <w:lvlOverride w:ilvl="4">
      <w:startOverride w:val="1"/>
      <w:lvl w:ilvl="4">
        <w:start w:val="1"/>
        <w:numFmt w:val="decimal"/>
        <w:lvlText w:val=")"/>
        <w:lvlJc w:val="left"/>
        <w:pPr>
          <w:tabs>
            <w:tab w:val="num" w:pos="2640"/>
          </w:tabs>
          <w:ind w:left="0" w:firstLine="0"/>
        </w:pPr>
      </w:lvl>
    </w:lvlOverride>
    <w:lvlOverride w:ilvl="5">
      <w:startOverride w:val="1"/>
      <w:lvl w:ilvl="5">
        <w:start w:val="1"/>
        <w:numFmt w:val="decimal"/>
        <w:lvlText w:val="."/>
        <w:lvlJc w:val="right"/>
        <w:pPr>
          <w:tabs>
            <w:tab w:val="num" w:pos="3060"/>
          </w:tabs>
          <w:ind w:left="0" w:firstLine="0"/>
        </w:pPr>
      </w:lvl>
    </w:lvlOverride>
    <w:lvlOverride w:ilvl="6">
      <w:startOverride w:val="1"/>
      <w:lvl w:ilvl="6">
        <w:start w:val="1"/>
        <w:numFmt w:val="decimal"/>
        <w:lvlText w:val="."/>
        <w:lvlJc w:val="left"/>
        <w:pPr>
          <w:tabs>
            <w:tab w:val="num" w:pos="3480"/>
          </w:tabs>
          <w:ind w:left="0" w:firstLine="0"/>
        </w:pPr>
      </w:lvl>
    </w:lvlOverride>
    <w:lvlOverride w:ilvl="7">
      <w:startOverride w:val="1"/>
      <w:lvl w:ilvl="7">
        <w:start w:val="1"/>
        <w:numFmt w:val="decimal"/>
        <w:lvlText w:val=")"/>
        <w:lvlJc w:val="left"/>
        <w:pPr>
          <w:tabs>
            <w:tab w:val="num" w:pos="3900"/>
          </w:tabs>
          <w:ind w:left="0" w:firstLine="0"/>
        </w:pPr>
      </w:lvl>
    </w:lvlOverride>
    <w:lvlOverride w:ilvl="8">
      <w:startOverride w:val="1"/>
      <w:lvl w:ilvl="8">
        <w:start w:val="1"/>
        <w:numFmt w:val="decimal"/>
        <w:lvlText w:val="."/>
        <w:lvlJc w:val="right"/>
        <w:pPr>
          <w:tabs>
            <w:tab w:val="num" w:pos="4320"/>
          </w:tabs>
          <w:ind w:left="0" w:firstLine="0"/>
        </w:pPr>
      </w:lvl>
    </w:lvlOverride>
  </w:num>
  <w:num w:numId="4">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6">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startOverride w:val="1"/>
      <w:lvl w:ilvl="0">
        <w:start w:val="1"/>
        <w:numFmt w:val="decimal"/>
        <w:lvlText w:val="%1."/>
        <w:lvlJc w:val="left"/>
        <w:pPr>
          <w:tabs>
            <w:tab w:val="num" w:pos="1200"/>
          </w:tabs>
          <w:ind w:left="1200" w:hanging="360"/>
        </w:pPr>
      </w:lvl>
    </w:lvlOverride>
  </w:num>
  <w:num w:numId="8">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9">
    <w:abstractNumId w:val="2"/>
  </w:num>
  <w:num w:numId="10">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startOverride w:val="1"/>
      <w:lvl w:ilvl="0">
        <w:start w:val="1"/>
        <w:numFmt w:val="bullet"/>
        <w:lvlText w:val="ü"/>
        <w:lvlJc w:val="left"/>
        <w:pPr>
          <w:tabs>
            <w:tab w:val="num" w:pos="980"/>
          </w:tabs>
          <w:ind w:left="980" w:hanging="420"/>
        </w:pPr>
        <w:rPr>
          <w:rFonts w:ascii="Wingdings" w:hAnsi="Wingdings" w:hint="default"/>
        </w:rPr>
      </w:lvl>
    </w:lvlOverride>
    <w:lvlOverride w:ilvl="1">
      <w:startOverride w:val="1"/>
      <w:lvl w:ilvl="1">
        <w:start w:val="1"/>
        <w:numFmt w:val="bullet"/>
        <w:lvlText w:val="n"/>
        <w:lvlJc w:val="left"/>
        <w:pPr>
          <w:tabs>
            <w:tab w:val="num" w:pos="1400"/>
          </w:tabs>
          <w:ind w:left="1400" w:hanging="420"/>
        </w:pPr>
        <w:rPr>
          <w:rFonts w:ascii="Wingdings" w:hAnsi="Wingdings" w:hint="default"/>
        </w:rPr>
      </w:lvl>
    </w:lvlOverride>
    <w:lvlOverride w:ilvl="2">
      <w:startOverride w:val="1"/>
      <w:lvl w:ilvl="2">
        <w:start w:val="1"/>
        <w:numFmt w:val="bullet"/>
        <w:lvlText w:val="u"/>
        <w:lvlJc w:val="left"/>
        <w:pPr>
          <w:tabs>
            <w:tab w:val="num" w:pos="1820"/>
          </w:tabs>
          <w:ind w:left="1820" w:hanging="420"/>
        </w:pPr>
        <w:rPr>
          <w:rFonts w:ascii="Wingdings" w:hAnsi="Wingdings" w:hint="default"/>
        </w:rPr>
      </w:lvl>
    </w:lvlOverride>
    <w:lvlOverride w:ilvl="3">
      <w:startOverride w:val="1"/>
      <w:lvl w:ilvl="3">
        <w:start w:val="1"/>
        <w:numFmt w:val="bullet"/>
        <w:lvlText w:val="l"/>
        <w:lvlJc w:val="left"/>
        <w:pPr>
          <w:tabs>
            <w:tab w:val="num" w:pos="2240"/>
          </w:tabs>
          <w:ind w:left="2240" w:hanging="420"/>
        </w:pPr>
        <w:rPr>
          <w:rFonts w:ascii="Wingdings" w:hAnsi="Wingdings" w:hint="default"/>
        </w:rPr>
      </w:lvl>
    </w:lvlOverride>
    <w:lvlOverride w:ilvl="4">
      <w:startOverride w:val="1"/>
      <w:lvl w:ilvl="4">
        <w:start w:val="1"/>
        <w:numFmt w:val="bullet"/>
        <w:lvlText w:val="n"/>
        <w:lvlJc w:val="left"/>
        <w:pPr>
          <w:tabs>
            <w:tab w:val="num" w:pos="2660"/>
          </w:tabs>
          <w:ind w:left="2660" w:hanging="420"/>
        </w:pPr>
        <w:rPr>
          <w:rFonts w:ascii="Wingdings" w:hAnsi="Wingdings" w:hint="default"/>
        </w:rPr>
      </w:lvl>
    </w:lvlOverride>
    <w:lvlOverride w:ilvl="5">
      <w:startOverride w:val="1"/>
      <w:lvl w:ilvl="5">
        <w:start w:val="1"/>
        <w:numFmt w:val="bullet"/>
        <w:lvlText w:val="u"/>
        <w:lvlJc w:val="left"/>
        <w:pPr>
          <w:tabs>
            <w:tab w:val="num" w:pos="3080"/>
          </w:tabs>
          <w:ind w:left="3080" w:hanging="420"/>
        </w:pPr>
        <w:rPr>
          <w:rFonts w:ascii="Wingdings" w:hAnsi="Wingdings" w:hint="default"/>
        </w:rPr>
      </w:lvl>
    </w:lvlOverride>
    <w:lvlOverride w:ilvl="6">
      <w:startOverride w:val="1"/>
      <w:lvl w:ilvl="6">
        <w:start w:val="1"/>
        <w:numFmt w:val="bullet"/>
        <w:lvlText w:val="l"/>
        <w:lvlJc w:val="left"/>
        <w:pPr>
          <w:tabs>
            <w:tab w:val="num" w:pos="3500"/>
          </w:tabs>
          <w:ind w:left="3500" w:hanging="420"/>
        </w:pPr>
        <w:rPr>
          <w:rFonts w:ascii="Wingdings" w:hAnsi="Wingdings" w:hint="default"/>
        </w:rPr>
      </w:lvl>
    </w:lvlOverride>
    <w:lvlOverride w:ilvl="7">
      <w:startOverride w:val="1"/>
      <w:lvl w:ilvl="7">
        <w:start w:val="1"/>
        <w:numFmt w:val="bullet"/>
        <w:lvlText w:val="n"/>
        <w:lvlJc w:val="left"/>
        <w:pPr>
          <w:tabs>
            <w:tab w:val="num" w:pos="3920"/>
          </w:tabs>
          <w:ind w:left="3920" w:hanging="420"/>
        </w:pPr>
        <w:rPr>
          <w:rFonts w:ascii="Wingdings" w:hAnsi="Wingdings" w:hint="default"/>
        </w:rPr>
      </w:lvl>
    </w:lvlOverride>
    <w:lvlOverride w:ilvl="8">
      <w:startOverride w:val="1"/>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6">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1">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2">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125">
    <w:name w:val="纯文本125"/>
    <w:pPr>
      <w:widowControl w:val="0"/>
      <w:jc w:val="both"/>
    </w:pPr>
    <w:rPr>
      <w:rFonts w:ascii="宋体" w:eastAsia="宋体" w:hAnsi="Times New Roman" w:cs="Courier New"/>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zh-CN"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750">
    <w:name w:val="正文750"/>
    <w:pPr>
      <w:widowControl w:val="0"/>
      <w:jc w:val="both"/>
    </w:pPr>
    <w:rPr>
      <w:rFonts w:ascii="Calibri" w:eastAsia="宋体" w:hAnsi="Calibri"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22">
    <w:name w:val="正文22"/>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zh-CN"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eastAsia="zh-CN" w:bidi="ar-SA"/>
    </w:rPr>
  </w:style>
  <w:style w:type="paragraph" w:customStyle="1" w:styleId="911">
    <w:name w:val="正文911"/>
    <w:pPr>
      <w:widowControl w:val="0"/>
      <w:jc w:val="both"/>
    </w:pPr>
    <w:rPr>
      <w:rFonts w:ascii="Calibri" w:eastAsia="宋体" w:hAnsi="Calibri" w:cs="Times New Roman"/>
      <w:kern w:val="2"/>
      <w:sz w:val="21"/>
      <w:szCs w:val="24"/>
      <w:lang w:val="en-US" w:eastAsia="zh-CN"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eastAsia="zh-CN" w:bidi="ar-SA"/>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401">
    <w:name w:val="正文401"/>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zh-CN" w:bidi="ar-SA"/>
    </w:rPr>
  </w:style>
  <w:style w:type="paragraph" w:customStyle="1" w:styleId="492">
    <w:name w:val="正文492"/>
    <w:pPr>
      <w:widowControl w:val="0"/>
      <w:jc w:val="both"/>
    </w:pPr>
    <w:rPr>
      <w:rFonts w:ascii="Calibri" w:eastAsia="宋体" w:hAnsi="Calibri"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468">
    <w:name w:val="正文468"/>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zh-CN"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24">
    <w:name w:val="修订2"/>
    <w:next w:val="TOC7"/>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zh-CN"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zh-CN"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1110">
    <w:name w:val="正文1110"/>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
    <w:name w:val="纯文本16"/>
    <w:pPr>
      <w:widowControl w:val="0"/>
      <w:jc w:val="both"/>
    </w:pPr>
    <w:rPr>
      <w:rFonts w:ascii="宋体" w:eastAsia="宋体" w:hAnsi="Times New Roman" w:cs="Courier New"/>
      <w:kern w:val="2"/>
      <w:sz w:val="21"/>
      <w:szCs w:val="21"/>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270">
    <w:name w:val="正文270"/>
    <w:pPr>
      <w:widowControl w:val="0"/>
      <w:jc w:val="both"/>
    </w:pPr>
    <w:rPr>
      <w:rFonts w:ascii="Calibri" w:eastAsia="宋体" w:hAnsi="Calibri" w:cs="Times New Roman"/>
      <w:kern w:val="2"/>
      <w:sz w:val="21"/>
      <w:szCs w:val="24"/>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12">
    <w:name w:val="正文112"/>
    <w:pPr>
      <w:widowControl w:val="0"/>
      <w:jc w:val="both"/>
    </w:pPr>
    <w:rPr>
      <w:rFonts w:ascii="Calibri" w:eastAsia="宋体" w:hAnsi="Calibri" w:cs="Times New Roman"/>
      <w:kern w:val="2"/>
      <w:sz w:val="21"/>
      <w:szCs w:val="24"/>
      <w:lang w:val="en-US" w:eastAsia="zh-CN" w:bidi="ar-SA"/>
    </w:rPr>
  </w:style>
  <w:style w:type="paragraph" w:customStyle="1" w:styleId="606">
    <w:name w:val="正文606"/>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zh-CN" w:bidi="ar-SA"/>
    </w:rPr>
  </w:style>
  <w:style w:type="paragraph" w:customStyle="1" w:styleId="29">
    <w:name w:val="正文29"/>
    <w:pPr>
      <w:widowControl w:val="0"/>
      <w:jc w:val="both"/>
    </w:pPr>
    <w:rPr>
      <w:rFonts w:ascii="Calibri" w:eastAsia="宋体" w:hAnsi="Calibri" w:cs="Times New Roman"/>
      <w:kern w:val="2"/>
      <w:sz w:val="21"/>
      <w:szCs w:val="22"/>
      <w:lang w:val="en-US" w:eastAsia="zh-CN"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6">
    <w:name w:val="正文6"/>
    <w:pPr>
      <w:widowControl w:val="0"/>
      <w:jc w:val="both"/>
    </w:pPr>
    <w:rPr>
      <w:rFonts w:ascii="Calibri" w:eastAsia="宋体" w:hAnsi="Calibri"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25">
    <w:name w:val="正文225"/>
    <w:pPr>
      <w:widowControl w:val="0"/>
      <w:jc w:val="both"/>
    </w:pPr>
    <w:rPr>
      <w:rFonts w:ascii="Calibri" w:eastAsia="宋体" w:hAnsi="Calibri"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521">
    <w:name w:val="正文521"/>
    <w:pPr>
      <w:widowControl w:val="0"/>
      <w:jc w:val="both"/>
    </w:pPr>
    <w:rPr>
      <w:rFonts w:ascii="Calibri" w:eastAsia="宋体" w:hAnsi="Calibri" w:cs="Times New Roman"/>
      <w:kern w:val="2"/>
      <w:sz w:val="21"/>
      <w:szCs w:val="24"/>
      <w:lang w:val="en-US" w:eastAsia="zh-CN"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eastAsia="zh-CN"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zh-CN" w:bidi="ar-SA"/>
    </w:rPr>
  </w:style>
  <w:style w:type="paragraph" w:customStyle="1" w:styleId="159">
    <w:name w:val="正文159"/>
    <w:pPr>
      <w:widowControl w:val="0"/>
      <w:jc w:val="both"/>
    </w:pPr>
    <w:rPr>
      <w:rFonts w:ascii="Calibri" w:eastAsia="宋体" w:hAnsi="Calibri"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014">
    <w:name w:val="正文1014"/>
    <w:rPr>
      <w:rFonts w:ascii="Calibri" w:eastAsia="宋体" w:hAnsi="Calibri" w:cs="Times New Roman"/>
      <w:kern w:val="2"/>
      <w:sz w:val="21"/>
      <w:szCs w:val="21"/>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910">
    <w:name w:val="纯文本91"/>
    <w:pPr>
      <w:widowControl w:val="0"/>
      <w:jc w:val="both"/>
    </w:pPr>
    <w:rPr>
      <w:rFonts w:ascii="宋体" w:eastAsia="宋体" w:hAnsi="Times New Roman" w:cs="Courier New"/>
      <w:kern w:val="2"/>
      <w:sz w:val="21"/>
      <w:szCs w:val="21"/>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eastAsia="zh-CN" w:bidi="ar-SA"/>
    </w:rPr>
  </w:style>
  <w:style w:type="paragraph" w:customStyle="1" w:styleId="740">
    <w:name w:val="纯文本74"/>
    <w:pPr>
      <w:widowControl w:val="0"/>
      <w:jc w:val="both"/>
    </w:pPr>
    <w:rPr>
      <w:rFonts w:ascii="宋体" w:eastAsia="宋体" w:hAnsi="Times New Roman" w:cs="Courier New"/>
      <w:kern w:val="2"/>
      <w:sz w:val="21"/>
      <w:szCs w:val="21"/>
      <w:lang w:val="en-US" w:eastAsia="zh-CN"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zh-CN"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57">
    <w:name w:val="纯文本57"/>
    <w:pPr>
      <w:widowControl w:val="0"/>
      <w:jc w:val="both"/>
    </w:pPr>
    <w:rPr>
      <w:rFonts w:ascii="宋体" w:eastAsia="宋体" w:hAnsi="Times New Roman" w:cs="Courier New"/>
      <w:kern w:val="2"/>
      <w:sz w:val="21"/>
      <w:szCs w:val="21"/>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zh-CN"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eastAsia="zh-CN"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52">
    <w:name w:val="正文文本5"/>
    <w:pPr>
      <w:widowControl w:val="0"/>
      <w:jc w:val="both"/>
    </w:pPr>
    <w:rPr>
      <w:rFonts w:ascii="Calibri" w:eastAsia="宋体" w:hAnsi="Calibri" w:cs="Times New Roman"/>
      <w:kern w:val="2"/>
      <w:sz w:val="28"/>
      <w:szCs w:val="22"/>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
    <w:name w:val="纯文本106"/>
    <w:pPr>
      <w:widowControl w:val="0"/>
      <w:jc w:val="both"/>
    </w:pPr>
    <w:rPr>
      <w:rFonts w:ascii="宋体" w:eastAsia="宋体" w:hAnsi="Times New Roman" w:cs="Courier New"/>
      <w:kern w:val="2"/>
      <w:sz w:val="21"/>
      <w:szCs w:val="21"/>
      <w:lang w:val="en-US" w:eastAsia="zh-CN"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251">
    <w:name w:val="正文125"/>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730">
    <w:name w:val="正文730"/>
    <w:pPr>
      <w:widowControl w:val="0"/>
      <w:jc w:val="both"/>
    </w:pPr>
    <w:rPr>
      <w:rFonts w:ascii="Calibri" w:eastAsia="宋体" w:hAnsi="Calibri" w:cs="Times New Roman"/>
      <w:kern w:val="2"/>
      <w:sz w:val="21"/>
      <w:szCs w:val="24"/>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400">
    <w:name w:val="纯文本40"/>
    <w:pPr>
      <w:widowControl w:val="0"/>
      <w:jc w:val="both"/>
    </w:pPr>
    <w:rPr>
      <w:rFonts w:ascii="宋体" w:eastAsia="宋体" w:hAnsi="Times New Roman" w:cs="Courier New"/>
      <w:kern w:val="2"/>
      <w:sz w:val="21"/>
      <w:szCs w:val="21"/>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3">
    <w:name w:val="批注文字5"/>
    <w:pPr>
      <w:widowControl w:val="0"/>
      <w:jc w:val="both"/>
    </w:pPr>
    <w:rPr>
      <w:rFonts w:ascii="Calibri" w:eastAsia="宋体" w:hAnsi="Calibri" w:cs="Times New Roman"/>
      <w:kern w:val="2"/>
      <w:sz w:val="24"/>
      <w:szCs w:val="28"/>
      <w:lang w:val="en-US" w:eastAsia="zh-CN" w:bidi="ar-SA"/>
    </w:rPr>
  </w:style>
  <w:style w:type="paragraph" w:customStyle="1" w:styleId="625">
    <w:name w:val="正文625"/>
    <w:pPr>
      <w:widowControl w:val="0"/>
      <w:jc w:val="both"/>
    </w:pPr>
    <w:rPr>
      <w:rFonts w:ascii="Calibri" w:eastAsia="宋体" w:hAnsi="Calibri" w:cs="Times New Roman"/>
      <w:kern w:val="2"/>
      <w:sz w:val="21"/>
      <w:szCs w:val="24"/>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eastAsia="zh-CN" w:bidi="ar-SA"/>
    </w:rPr>
  </w:style>
  <w:style w:type="paragraph" w:customStyle="1" w:styleId="1001">
    <w:name w:val="正文100"/>
    <w:pPr>
      <w:widowControl w:val="0"/>
      <w:jc w:val="both"/>
    </w:pPr>
    <w:rPr>
      <w:rFonts w:ascii="Calibri" w:eastAsia="宋体" w:hAnsi="Calibri"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Calibri" w:eastAsia="宋体" w:hAnsi="Calibri" w:cs="Times New Roman"/>
      <w:kern w:val="2"/>
      <w:sz w:val="21"/>
      <w:szCs w:val="24"/>
      <w:lang w:val="en-US" w:eastAsia="zh-CN" w:bidi="ar-SA"/>
    </w:rPr>
  </w:style>
  <w:style w:type="paragraph" w:customStyle="1" w:styleId="602">
    <w:name w:val="纯文本60"/>
    <w:pPr>
      <w:widowControl w:val="0"/>
      <w:jc w:val="both"/>
    </w:pPr>
    <w:rPr>
      <w:rFonts w:ascii="宋体" w:eastAsia="宋体" w:hAnsi="Times New Roman" w:cs="Courier New"/>
      <w:kern w:val="2"/>
      <w:sz w:val="21"/>
      <w:szCs w:val="21"/>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正文250"/>
    <w:pPr>
      <w:widowControl w:val="0"/>
      <w:jc w:val="both"/>
    </w:pPr>
    <w:rPr>
      <w:rFonts w:ascii="Calibri" w:eastAsia="宋体" w:hAnsi="Calibri"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86">
    <w:name w:val="正文186"/>
    <w:pPr>
      <w:widowControl w:val="0"/>
      <w:jc w:val="both"/>
    </w:pPr>
    <w:rPr>
      <w:rFonts w:ascii="Calibri" w:eastAsia="宋体" w:hAnsi="Calibri"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900">
    <w:name w:val="纯文本90"/>
    <w:pPr>
      <w:widowControl w:val="0"/>
      <w:jc w:val="both"/>
    </w:pPr>
    <w:rPr>
      <w:rFonts w:ascii="宋体" w:eastAsia="宋体" w:hAnsi="Times New Roman" w:cs="Courier New"/>
      <w:kern w:val="2"/>
      <w:sz w:val="21"/>
      <w:szCs w:val="21"/>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231">
    <w:name w:val="正文23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zh-CN" w:bidi="ar-SA"/>
    </w:rPr>
  </w:style>
  <w:style w:type="paragraph" w:customStyle="1" w:styleId="360">
    <w:name w:val="正文360"/>
    <w:pPr>
      <w:widowControl w:val="0"/>
      <w:jc w:val="both"/>
    </w:pPr>
    <w:rPr>
      <w:rFonts w:ascii="Calibri" w:eastAsia="宋体" w:hAnsi="Calibri"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eastAsia="zh-CN" w:bidi="ar-SA"/>
    </w:rPr>
  </w:style>
  <w:style w:type="paragraph" w:customStyle="1" w:styleId="1201">
    <w:name w:val="正文120"/>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1311">
    <w:name w:val="样式 13 11 磅"/>
    <w:next w:val="Caption"/>
    <w:rPr>
      <w:rFonts w:ascii="Calibri" w:eastAsia="宋体" w:hAnsi="Calibri" w:cs="Times New Roman"/>
      <w:sz w:val="22"/>
      <w:szCs w:val="22"/>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93">
    <w:name w:val="正文93"/>
    <w:pPr>
      <w:widowControl w:val="0"/>
      <w:jc w:val="both"/>
    </w:pPr>
    <w:rPr>
      <w:rFonts w:ascii="Calibri" w:eastAsia="宋体" w:hAnsi="Calibri" w:cs="Times New Roman"/>
      <w:kern w:val="2"/>
      <w:sz w:val="21"/>
      <w:szCs w:val="24"/>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681">
    <w:name w:val="正文681"/>
    <w:pPr>
      <w:widowControl w:val="0"/>
      <w:jc w:val="both"/>
    </w:pPr>
    <w:rPr>
      <w:rFonts w:ascii="Calibri" w:eastAsia="宋体" w:hAnsi="Calibri"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675">
    <w:name w:val="正文675"/>
    <w:pPr>
      <w:widowControl w:val="0"/>
      <w:jc w:val="both"/>
    </w:pPr>
    <w:rPr>
      <w:rFonts w:ascii="Calibri" w:eastAsia="宋体" w:hAnsi="Calibri" w:cs="Times New Roman"/>
      <w:kern w:val="2"/>
      <w:sz w:val="21"/>
      <w:szCs w:val="24"/>
      <w:lang w:val="en-US" w:eastAsia="zh-CN" w:bidi="ar-SA"/>
    </w:rPr>
  </w:style>
  <w:style w:type="paragraph" w:customStyle="1" w:styleId="940">
    <w:name w:val="正文940"/>
    <w:pPr>
      <w:widowControl w:val="0"/>
      <w:jc w:val="both"/>
    </w:pPr>
    <w:rPr>
      <w:rFonts w:ascii="Calibri" w:eastAsia="宋体" w:hAnsi="Calibri" w:cs="Times New Roman"/>
      <w:kern w:val="2"/>
      <w:sz w:val="21"/>
      <w:szCs w:val="24"/>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2600">
    <w:name w:val="正文260"/>
    <w:pPr>
      <w:widowControl w:val="0"/>
      <w:jc w:val="both"/>
    </w:pPr>
    <w:rPr>
      <w:rFonts w:ascii="Calibri" w:eastAsia="宋体" w:hAnsi="Calibri" w:cs="Times New Roman"/>
      <w:kern w:val="2"/>
      <w:sz w:val="21"/>
      <w:szCs w:val="24"/>
      <w:lang w:val="en-US" w:eastAsia="zh-CN"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330">
    <w:name w:val="正文330"/>
    <w:pPr>
      <w:widowControl w:val="0"/>
      <w:jc w:val="both"/>
    </w:pPr>
    <w:rPr>
      <w:rFonts w:ascii="Calibri" w:eastAsia="宋体" w:hAnsi="Calibri" w:cs="Times New Roman"/>
      <w:kern w:val="2"/>
      <w:sz w:val="21"/>
      <w:szCs w:val="24"/>
      <w:lang w:val="en-US" w:eastAsia="zh-CN"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zh-CN" w:bidi="ar-SA"/>
    </w:rPr>
  </w:style>
  <w:style w:type="paragraph" w:customStyle="1" w:styleId="197">
    <w:name w:val="正文19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132">
    <w:name w:val="纯文本132"/>
    <w:pPr>
      <w:widowControl w:val="0"/>
      <w:jc w:val="both"/>
    </w:pPr>
    <w:rPr>
      <w:rFonts w:ascii="宋体" w:eastAsia="宋体" w:hAnsi="Times New Roman" w:cs="Courier New"/>
      <w:kern w:val="2"/>
      <w:sz w:val="21"/>
      <w:szCs w:val="21"/>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zh-CN" w:bidi="ar-SA"/>
    </w:rPr>
  </w:style>
  <w:style w:type="paragraph" w:customStyle="1" w:styleId="166">
    <w:name w:val="正文166"/>
    <w:pPr>
      <w:widowControl w:val="0"/>
      <w:jc w:val="both"/>
    </w:pPr>
    <w:rPr>
      <w:rFonts w:ascii="Calibri" w:eastAsia="宋体" w:hAnsi="Calibri"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1440">
    <w:name w:val="正文144"/>
    <w:pPr>
      <w:widowControl w:val="0"/>
      <w:jc w:val="both"/>
    </w:pPr>
    <w:rPr>
      <w:rFonts w:ascii="Calibri" w:eastAsia="宋体" w:hAnsi="Calibri" w:cs="Times New Roman"/>
      <w:kern w:val="2"/>
      <w:sz w:val="21"/>
      <w:szCs w:val="24"/>
      <w:lang w:val="en-US" w:eastAsia="zh-CN"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eastAsia="zh-CN" w:bidi="ar-SA"/>
    </w:rPr>
  </w:style>
  <w:style w:type="paragraph" w:customStyle="1" w:styleId="317">
    <w:name w:val="正文317"/>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07">
    <w:name w:val="纯文本107"/>
    <w:pPr>
      <w:widowControl w:val="0"/>
      <w:jc w:val="both"/>
    </w:pPr>
    <w:rPr>
      <w:rFonts w:ascii="宋体" w:eastAsia="宋体" w:hAnsi="Times New Roman" w:cs="Courier New"/>
      <w:kern w:val="2"/>
      <w:sz w:val="21"/>
      <w:szCs w:val="21"/>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94">
    <w:name w:val="纯文本94"/>
    <w:pPr>
      <w:widowControl w:val="0"/>
      <w:jc w:val="both"/>
    </w:pPr>
    <w:rPr>
      <w:rFonts w:ascii="宋体" w:eastAsia="宋体" w:hAnsi="Times New Roman" w:cs="Courier New"/>
      <w:kern w:val="2"/>
      <w:sz w:val="21"/>
      <w:szCs w:val="21"/>
      <w:lang w:val="en-US" w:eastAsia="zh-CN"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zh-CN" w:bidi="ar-SA"/>
    </w:rPr>
  </w:style>
  <w:style w:type="paragraph" w:customStyle="1" w:styleId="1202">
    <w:name w:val="纯文本120"/>
    <w:pPr>
      <w:widowControl w:val="0"/>
      <w:jc w:val="both"/>
    </w:pPr>
    <w:rPr>
      <w:rFonts w:ascii="宋体" w:eastAsia="宋体" w:hAnsi="Times New Roman" w:cs="Courier New"/>
      <w:kern w:val="2"/>
      <w:sz w:val="21"/>
      <w:szCs w:val="21"/>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490">
    <w:name w:val="正文490"/>
    <w:pPr>
      <w:widowControl w:val="0"/>
      <w:jc w:val="both"/>
    </w:pPr>
    <w:rPr>
      <w:rFonts w:ascii="Calibri" w:eastAsia="宋体" w:hAnsi="Calibri" w:cs="Times New Roman"/>
      <w:kern w:val="2"/>
      <w:sz w:val="21"/>
      <w:szCs w:val="24"/>
      <w:lang w:val="en-US" w:eastAsia="zh-CN" w:bidi="ar-SA"/>
    </w:rPr>
  </w:style>
  <w:style w:type="paragraph" w:customStyle="1" w:styleId="36">
    <w:name w:val="纯文本36"/>
    <w:pPr>
      <w:widowControl w:val="0"/>
      <w:jc w:val="both"/>
    </w:pPr>
    <w:rPr>
      <w:rFonts w:ascii="宋体" w:eastAsia="宋体" w:hAnsi="Times New Roman" w:cs="Courier New"/>
      <w:kern w:val="2"/>
      <w:sz w:val="21"/>
      <w:szCs w:val="21"/>
      <w:lang w:val="en-US" w:eastAsia="zh-CN"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1911">
    <w:name w:val="样式 19 11 磅"/>
    <w:rPr>
      <w:rFonts w:ascii="Calibri" w:eastAsia="宋体" w:hAnsi="Calibri" w:cs="Times New Roman"/>
      <w:sz w:val="22"/>
      <w:szCs w:val="22"/>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95">
    <w:name w:val="纯文本95"/>
    <w:pPr>
      <w:widowControl w:val="0"/>
      <w:jc w:val="both"/>
    </w:pPr>
    <w:rPr>
      <w:rFonts w:ascii="宋体" w:eastAsia="宋体" w:hAnsi="Times New Roman" w:cs="Courier New"/>
      <w:kern w:val="2"/>
      <w:sz w:val="21"/>
      <w:szCs w:val="21"/>
      <w:lang w:val="en-US" w:eastAsia="zh-CN"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520">
    <w:name w:val="正文520"/>
    <w:pPr>
      <w:widowControl w:val="0"/>
      <w:jc w:val="both"/>
    </w:pPr>
    <w:rPr>
      <w:rFonts w:ascii="Calibri" w:eastAsia="宋体" w:hAnsi="Calibri"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zh-CN" w:bidi="ar-SA"/>
    </w:rPr>
  </w:style>
  <w:style w:type="paragraph" w:customStyle="1" w:styleId="511">
    <w:name w:val="样式 5 11 磅"/>
    <w:rPr>
      <w:rFonts w:ascii="Calibri" w:eastAsia="宋体" w:hAnsi="Calibri" w:cs="Times New Roman"/>
      <w:sz w:val="22"/>
      <w:szCs w:val="22"/>
      <w:lang w:val="en-US" w:eastAsia="zh-CN" w:bidi="ar-SA"/>
    </w:rPr>
  </w:style>
  <w:style w:type="paragraph" w:customStyle="1" w:styleId="1034">
    <w:name w:val="正文1034"/>
    <w:rPr>
      <w:rFonts w:ascii="Calibri" w:eastAsia="宋体" w:hAnsi="Calibri" w:cs="Times New Roman"/>
      <w:kern w:val="2"/>
      <w:sz w:val="21"/>
      <w:szCs w:val="21"/>
      <w:lang w:val="en-US" w:eastAsia="zh-CN"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Calibri" w:eastAsia="宋体" w:hAnsi="Calibri"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zh-CN" w:bidi="ar-SA"/>
    </w:rPr>
  </w:style>
  <w:style w:type="paragraph" w:customStyle="1" w:styleId="820">
    <w:name w:val="正文82"/>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1044">
    <w:name w:val="正文1044"/>
    <w:pPr>
      <w:widowControl w:val="0"/>
      <w:jc w:val="both"/>
    </w:pPr>
    <w:rPr>
      <w:rFonts w:ascii="Calibri" w:eastAsia="宋体" w:hAnsi="Calibri" w:cs="Times New Roman"/>
      <w:kern w:val="2"/>
      <w:sz w:val="21"/>
      <w:szCs w:val="22"/>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zh-CN"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zh-CN"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4510">
    <w:name w:val="正文451"/>
    <w:pPr>
      <w:widowControl w:val="0"/>
      <w:jc w:val="both"/>
    </w:pPr>
    <w:rPr>
      <w:rFonts w:ascii="Calibri" w:eastAsia="宋体" w:hAnsi="Calibri"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302">
    <w:name w:val="正文302"/>
    <w:pPr>
      <w:widowControl w:val="0"/>
      <w:jc w:val="both"/>
    </w:pPr>
    <w:rPr>
      <w:rFonts w:ascii="Calibri" w:eastAsia="宋体" w:hAnsi="Calibri" w:cs="Times New Roman"/>
      <w:kern w:val="2"/>
      <w:sz w:val="21"/>
      <w:szCs w:val="24"/>
      <w:lang w:val="en-US" w:eastAsia="zh-CN" w:bidi="ar-SA"/>
    </w:rPr>
  </w:style>
  <w:style w:type="paragraph" w:customStyle="1" w:styleId="97">
    <w:name w:val="纯文本97"/>
    <w:pPr>
      <w:widowControl w:val="0"/>
      <w:jc w:val="both"/>
    </w:pPr>
    <w:rPr>
      <w:rFonts w:ascii="宋体" w:eastAsia="宋体" w:hAnsi="Times New Roman" w:cs="Courier New"/>
      <w:kern w:val="2"/>
      <w:sz w:val="21"/>
      <w:szCs w:val="21"/>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zh-CN"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zh-CN"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11">
    <w:name w:val="样式 12 11 磅"/>
    <w:next w:val="TOC3"/>
    <w:rPr>
      <w:rFonts w:ascii="Calibri" w:eastAsia="宋体" w:hAnsi="Calibri" w:cs="Times New Roman"/>
      <w:sz w:val="22"/>
      <w:szCs w:val="22"/>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381">
    <w:name w:val="正文38"/>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1280">
    <w:name w:val="纯文本128"/>
    <w:pPr>
      <w:widowControl w:val="0"/>
      <w:jc w:val="both"/>
    </w:pPr>
    <w:rPr>
      <w:rFonts w:ascii="宋体" w:eastAsia="宋体" w:hAnsi="Times New Roman" w:cs="Courier New"/>
      <w:kern w:val="2"/>
      <w:sz w:val="21"/>
      <w:szCs w:val="21"/>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1040">
    <w:name w:val="正文1040"/>
    <w:pPr>
      <w:widowControl w:val="0"/>
      <w:jc w:val="both"/>
    </w:pPr>
    <w:rPr>
      <w:rFonts w:ascii="Calibri" w:eastAsia="宋体" w:hAnsi="Calibri" w:cs="Times New Roman"/>
      <w:kern w:val="2"/>
      <w:sz w:val="21"/>
      <w:szCs w:val="22"/>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zh-CN"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4100">
    <w:name w:val="正文410"/>
    <w:pPr>
      <w:widowControl w:val="0"/>
      <w:jc w:val="both"/>
    </w:pPr>
    <w:rPr>
      <w:rFonts w:ascii="Calibri" w:eastAsia="宋体" w:hAnsi="Calibri" w:cs="Times New Roman"/>
      <w:kern w:val="2"/>
      <w:sz w:val="21"/>
      <w:szCs w:val="24"/>
      <w:lang w:val="en-US" w:eastAsia="zh-CN"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eastAsia="zh-CN"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002">
    <w:name w:val="纯文本100"/>
    <w:pPr>
      <w:widowControl w:val="0"/>
      <w:jc w:val="both"/>
    </w:pPr>
    <w:rPr>
      <w:rFonts w:ascii="宋体" w:eastAsia="宋体" w:hAnsi="Times New Roman" w:cs="Courier New"/>
      <w:kern w:val="2"/>
      <w:sz w:val="21"/>
      <w:szCs w:val="21"/>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970">
    <w:name w:val="正文97"/>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862">
    <w:name w:val="正文86"/>
    <w:pPr>
      <w:widowControl w:val="0"/>
      <w:jc w:val="both"/>
    </w:pPr>
    <w:rPr>
      <w:rFonts w:ascii="Calibri" w:eastAsia="宋体" w:hAnsi="Calibri"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90">
    <w:name w:val="正文290"/>
    <w:pPr>
      <w:widowControl w:val="0"/>
      <w:jc w:val="both"/>
    </w:pPr>
    <w:rPr>
      <w:rFonts w:ascii="Calibri" w:eastAsia="宋体" w:hAnsi="Calibri" w:cs="Times New Roman"/>
      <w:kern w:val="2"/>
      <w:sz w:val="21"/>
      <w:szCs w:val="24"/>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eastAsia="zh-CN" w:bidi="ar-SA"/>
    </w:rPr>
  </w:style>
  <w:style w:type="paragraph" w:customStyle="1" w:styleId="190">
    <w:name w:val="正文19"/>
    <w:pPr>
      <w:widowControl w:val="0"/>
      <w:jc w:val="both"/>
    </w:pPr>
    <w:rPr>
      <w:rFonts w:ascii="Calibri" w:eastAsia="宋体" w:hAnsi="Calibri" w:cs="Times New Roman"/>
      <w:kern w:val="2"/>
      <w:sz w:val="21"/>
      <w:szCs w:val="22"/>
      <w:lang w:val="en-US" w:eastAsia="zh-CN" w:bidi="ar-SA"/>
    </w:rPr>
  </w:style>
  <w:style w:type="paragraph" w:customStyle="1" w:styleId="1121">
    <w:name w:val="纯文本112"/>
    <w:pPr>
      <w:widowControl w:val="0"/>
      <w:jc w:val="both"/>
    </w:pPr>
    <w:rPr>
      <w:rFonts w:ascii="宋体" w:eastAsia="宋体" w:hAnsi="Times New Roman" w:cs="Courier New"/>
      <w:kern w:val="2"/>
      <w:sz w:val="21"/>
      <w:szCs w:val="21"/>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2011">
    <w:name w:val="正文201"/>
    <w:pPr>
      <w:widowControl w:val="0"/>
      <w:jc w:val="both"/>
    </w:pPr>
    <w:rPr>
      <w:rFonts w:ascii="Calibri" w:eastAsia="宋体" w:hAnsi="Calibri"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133">
    <w:name w:val="无间隔1"/>
    <w:pPr>
      <w:spacing w:line="360" w:lineRule="auto"/>
    </w:pPr>
    <w:rPr>
      <w:rFonts w:ascii="Calibri" w:eastAsia="宋体" w:hAnsi="Calibri" w:cs="Times New Roman"/>
      <w:kern w:val="2"/>
      <w:sz w:val="22"/>
      <w:szCs w:val="28"/>
      <w:lang w:val="en-US" w:eastAsia="zh-CN"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eastAsia="zh-CN"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1110">
    <w:name w:val="正文1111"/>
    <w:pPr>
      <w:widowControl w:val="0"/>
      <w:jc w:val="both"/>
    </w:pPr>
    <w:rPr>
      <w:rFonts w:ascii="Calibri" w:eastAsia="宋体" w:hAnsi="Calibri" w:cs="Times New Roman"/>
      <w:kern w:val="2"/>
      <w:sz w:val="21"/>
      <w:szCs w:val="24"/>
      <w:lang w:val="en-US" w:eastAsia="zh-CN"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eastAsia="zh-CN"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3">
    <w:name w:val="正文523"/>
    <w:pPr>
      <w:widowControl w:val="0"/>
      <w:jc w:val="both"/>
    </w:pPr>
    <w:rPr>
      <w:rFonts w:ascii="Calibri" w:eastAsia="宋体" w:hAnsi="Calibri"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591">
    <w:name w:val="正文59"/>
    <w:pPr>
      <w:widowControl w:val="0"/>
      <w:jc w:val="both"/>
    </w:pPr>
    <w:rPr>
      <w:rFonts w:ascii="Calibri" w:eastAsia="宋体" w:hAnsi="Calibri" w:cs="Times New Roman"/>
      <w:kern w:val="2"/>
      <w:sz w:val="21"/>
      <w:szCs w:val="24"/>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5130">
    <w:name w:val="正文513"/>
    <w:pPr>
      <w:widowControl w:val="0"/>
      <w:jc w:val="both"/>
    </w:pPr>
    <w:rPr>
      <w:rFonts w:ascii="Calibri" w:eastAsia="宋体" w:hAnsi="Calibri"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273">
    <w:name w:val="纯文本27"/>
    <w:pPr>
      <w:widowControl w:val="0"/>
      <w:jc w:val="both"/>
    </w:pPr>
    <w:rPr>
      <w:rFonts w:ascii="宋体" w:eastAsia="宋体" w:hAnsi="Times New Roman" w:cs="Courier New"/>
      <w:kern w:val="2"/>
      <w:sz w:val="21"/>
      <w:szCs w:val="21"/>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514">
    <w:name w:val="纯文本51"/>
    <w:pPr>
      <w:widowControl w:val="0"/>
      <w:jc w:val="both"/>
    </w:pPr>
    <w:rPr>
      <w:rFonts w:ascii="宋体" w:eastAsia="宋体" w:hAnsi="Times New Roman" w:cs="Courier New"/>
      <w:kern w:val="2"/>
      <w:sz w:val="21"/>
      <w:szCs w:val="21"/>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zh-CN"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062">
    <w:name w:val="正文106"/>
    <w:pPr>
      <w:widowControl w:val="0"/>
      <w:jc w:val="both"/>
    </w:pPr>
    <w:rPr>
      <w:rFonts w:ascii="Calibri" w:eastAsia="宋体" w:hAnsi="Calibri"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zh-CN" w:bidi="ar-SA"/>
    </w:rPr>
  </w:style>
  <w:style w:type="paragraph" w:customStyle="1" w:styleId="325">
    <w:name w:val="纯文本32"/>
    <w:pPr>
      <w:widowControl w:val="0"/>
      <w:jc w:val="both"/>
    </w:pPr>
    <w:rPr>
      <w:rFonts w:ascii="宋体" w:eastAsia="宋体" w:hAnsi="Times New Roman" w:cs="Courier New"/>
      <w:kern w:val="2"/>
      <w:sz w:val="21"/>
      <w:szCs w:val="21"/>
      <w:lang w:val="en-US" w:eastAsia="zh-CN" w:bidi="ar-SA"/>
    </w:rPr>
  </w:style>
  <w:style w:type="paragraph" w:customStyle="1" w:styleId="1183">
    <w:name w:val="正文118"/>
    <w:pPr>
      <w:widowControl w:val="0"/>
      <w:jc w:val="both"/>
    </w:pPr>
    <w:rPr>
      <w:rFonts w:ascii="Calibri" w:eastAsia="宋体" w:hAnsi="Calibri" w:cs="Times New Roman"/>
      <w:kern w:val="2"/>
      <w:sz w:val="21"/>
      <w:szCs w:val="24"/>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eastAsia="zh-CN" w:bidi="ar-SA"/>
    </w:rPr>
  </w:style>
  <w:style w:type="paragraph" w:customStyle="1" w:styleId="193">
    <w:name w:val="正文193"/>
    <w:pPr>
      <w:widowControl w:val="0"/>
      <w:jc w:val="both"/>
    </w:pPr>
    <w:rPr>
      <w:rFonts w:ascii="Calibri" w:eastAsia="宋体" w:hAnsi="Calibri" w:cs="Times New Roman"/>
      <w:kern w:val="2"/>
      <w:sz w:val="21"/>
      <w:szCs w:val="24"/>
      <w:lang w:val="en-US" w:eastAsia="zh-CN" w:bidi="ar-SA"/>
    </w:rPr>
  </w:style>
  <w:style w:type="paragraph" w:customStyle="1" w:styleId="a25">
    <w:name w:val="公式样式 变量"/>
    <w:rPr>
      <w:rFonts w:ascii="Calibri" w:eastAsia="宋体" w:hAnsi="Calibri" w:cs="Times New Roman"/>
      <w:i/>
      <w:iCs/>
      <w:kern w:val="2"/>
      <w:sz w:val="20"/>
      <w:szCs w:val="28"/>
      <w:lang w:val="en-US" w:eastAsia="zh-CN"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6030">
    <w:name w:val="正文603"/>
    <w:pPr>
      <w:widowControl w:val="0"/>
      <w:jc w:val="both"/>
    </w:pPr>
    <w:rPr>
      <w:rFonts w:ascii="Calibri" w:eastAsia="宋体" w:hAnsi="Calibri"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zh-CN"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960">
    <w:name w:val="纯文本96"/>
    <w:pPr>
      <w:widowControl w:val="0"/>
      <w:jc w:val="both"/>
    </w:pPr>
    <w:rPr>
      <w:rFonts w:ascii="宋体" w:eastAsia="宋体" w:hAnsi="Times New Roman" w:cs="Courier New"/>
      <w:kern w:val="2"/>
      <w:sz w:val="21"/>
      <w:szCs w:val="21"/>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241">
    <w:name w:val="正文241"/>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zh-CN"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eastAsia="zh-CN" w:bidi="ar-SA"/>
    </w:rPr>
  </w:style>
  <w:style w:type="paragraph" w:customStyle="1" w:styleId="1171">
    <w:name w:val="纯文本117"/>
    <w:pPr>
      <w:widowControl w:val="0"/>
      <w:jc w:val="both"/>
    </w:pPr>
    <w:rPr>
      <w:rFonts w:ascii="宋体" w:eastAsia="宋体" w:hAnsi="Times New Roman" w:cs="Courier New"/>
      <w:kern w:val="2"/>
      <w:sz w:val="21"/>
      <w:szCs w:val="21"/>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672">
    <w:name w:val="正文67"/>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1107">
    <w:name w:val="正文1107"/>
    <w:pPr>
      <w:widowControl w:val="0"/>
      <w:jc w:val="both"/>
    </w:pPr>
    <w:rPr>
      <w:rFonts w:ascii="Calibri" w:eastAsia="宋体" w:hAnsi="Calibri" w:cs="Times New Roman"/>
      <w:kern w:val="2"/>
      <w:sz w:val="21"/>
      <w:szCs w:val="24"/>
      <w:lang w:val="en-US" w:eastAsia="zh-CN" w:bidi="ar-SA"/>
    </w:rPr>
  </w:style>
  <w:style w:type="paragraph" w:customStyle="1" w:styleId="692">
    <w:name w:val="正文692"/>
    <w:pPr>
      <w:widowControl w:val="0"/>
      <w:jc w:val="both"/>
    </w:pPr>
    <w:rPr>
      <w:rFonts w:ascii="Calibri" w:eastAsia="宋体" w:hAnsi="Calibri" w:cs="Times New Roman"/>
      <w:kern w:val="2"/>
      <w:sz w:val="21"/>
      <w:szCs w:val="24"/>
      <w:lang w:val="en-US" w:eastAsia="zh-CN"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Calibri" w:eastAsia="宋体" w:hAnsi="Calibri"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114">
    <w:name w:val="纯文本111"/>
    <w:pPr>
      <w:widowControl w:val="0"/>
      <w:jc w:val="both"/>
    </w:pPr>
    <w:rPr>
      <w:rFonts w:ascii="宋体" w:eastAsia="宋体" w:hAnsi="Times New Roman" w:cs="Courier New"/>
      <w:kern w:val="2"/>
      <w:sz w:val="21"/>
      <w:szCs w:val="21"/>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4400">
    <w:name w:val="正文440"/>
    <w:pPr>
      <w:widowControl w:val="0"/>
      <w:jc w:val="both"/>
    </w:pPr>
    <w:rPr>
      <w:rFonts w:ascii="Calibri" w:eastAsia="宋体" w:hAnsi="Calibri"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505">
    <w:name w:val="纯文本50"/>
    <w:pPr>
      <w:widowControl w:val="0"/>
      <w:jc w:val="both"/>
    </w:pPr>
    <w:rPr>
      <w:rFonts w:ascii="宋体" w:eastAsia="宋体" w:hAnsi="Times New Roman" w:cs="Courier New"/>
      <w:kern w:val="2"/>
      <w:sz w:val="21"/>
      <w:szCs w:val="21"/>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416">
    <w:name w:val="正文4"/>
    <w:pPr>
      <w:widowControl w:val="0"/>
      <w:jc w:val="both"/>
    </w:pPr>
    <w:rPr>
      <w:rFonts w:ascii="Calibri" w:eastAsia="宋体" w:hAnsi="Calibri" w:cs="Times New Roman"/>
      <w:kern w:val="2"/>
      <w:sz w:val="21"/>
      <w:szCs w:val="22"/>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zh-CN"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zh-CN"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zh-CN"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eastAsia="zh-CN"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43">
    <w:name w:val="正文74"/>
    <w:pPr>
      <w:widowControl w:val="0"/>
      <w:jc w:val="both"/>
    </w:pPr>
    <w:rPr>
      <w:rFonts w:ascii="Calibri" w:eastAsia="宋体" w:hAnsi="Calibri"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
    <w:name w:val="正文141"/>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zh-CN"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zh-CN"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zh-CN" w:bidi="ar-SA"/>
    </w:rPr>
  </w:style>
  <w:style w:type="paragraph" w:customStyle="1" w:styleId="162">
    <w:name w:val="表格1"/>
    <w:pPr>
      <w:widowControl w:val="0"/>
      <w:jc w:val="center"/>
    </w:pPr>
    <w:rPr>
      <w:rFonts w:ascii="Calibri" w:eastAsia="宋体" w:hAnsi="Calibri" w:cs="Times New Roman"/>
      <w:kern w:val="2"/>
      <w:sz w:val="24"/>
      <w:szCs w:val="28"/>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080">
    <w:name w:val="纯文本108"/>
    <w:pPr>
      <w:widowControl w:val="0"/>
      <w:jc w:val="both"/>
    </w:pPr>
    <w:rPr>
      <w:rFonts w:ascii="宋体" w:eastAsia="宋体" w:hAnsi="Times New Roman" w:cs="Courier New"/>
      <w:kern w:val="2"/>
      <w:sz w:val="21"/>
      <w:szCs w:val="21"/>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174">
    <w:name w:val="正文17"/>
    <w:pPr>
      <w:widowControl w:val="0"/>
      <w:jc w:val="both"/>
    </w:pPr>
    <w:rPr>
      <w:rFonts w:ascii="Calibri" w:eastAsia="宋体" w:hAnsi="Calibri" w:cs="Times New Roman"/>
      <w:kern w:val="2"/>
      <w:sz w:val="21"/>
      <w:szCs w:val="22"/>
      <w:lang w:val="en-US" w:eastAsia="zh-CN" w:bidi="ar-SA"/>
    </w:rPr>
  </w:style>
  <w:style w:type="paragraph" w:customStyle="1" w:styleId="720">
    <w:name w:val="纯文本72"/>
    <w:pPr>
      <w:widowControl w:val="0"/>
      <w:jc w:val="both"/>
    </w:pPr>
    <w:rPr>
      <w:rFonts w:ascii="宋体" w:eastAsia="宋体" w:hAnsi="Times New Roman" w:cs="Courier New"/>
      <w:kern w:val="2"/>
      <w:sz w:val="21"/>
      <w:szCs w:val="21"/>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657">
    <w:name w:val="正文657"/>
    <w:pPr>
      <w:widowControl w:val="0"/>
      <w:jc w:val="both"/>
    </w:pPr>
    <w:rPr>
      <w:rFonts w:ascii="Calibri" w:eastAsia="宋体" w:hAnsi="Calibri"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zh-CN" w:bidi="ar-SA"/>
    </w:rPr>
  </w:style>
  <w:style w:type="paragraph" w:customStyle="1" w:styleId="220">
    <w:name w:val="纯文本22"/>
    <w:pPr>
      <w:widowControl w:val="0"/>
      <w:jc w:val="both"/>
    </w:pPr>
    <w:rPr>
      <w:rFonts w:ascii="宋体" w:eastAsia="宋体" w:hAnsi="Times New Roman" w:cs="Courier New"/>
      <w:kern w:val="2"/>
      <w:sz w:val="21"/>
      <w:szCs w:val="21"/>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164">
    <w:name w:val="页码1"/>
    <w:rPr>
      <w:rFonts w:ascii="Calibri" w:eastAsia="微软雅黑" w:hAnsi="Calibri" w:cs="Times New Roman"/>
      <w:kern w:val="2"/>
      <w:sz w:val="20"/>
      <w:szCs w:val="28"/>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zh-CN"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153">
    <w:name w:val="纯文本115"/>
    <w:pPr>
      <w:widowControl w:val="0"/>
      <w:jc w:val="both"/>
    </w:pPr>
    <w:rPr>
      <w:rFonts w:ascii="宋体" w:eastAsia="宋体" w:hAnsi="Times New Roman" w:cs="Courier New"/>
      <w:kern w:val="2"/>
      <w:sz w:val="21"/>
      <w:szCs w:val="21"/>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
    <w:name w:val="纯文本38"/>
    <w:pPr>
      <w:widowControl w:val="0"/>
      <w:jc w:val="both"/>
    </w:pPr>
    <w:rPr>
      <w:rFonts w:ascii="宋体" w:eastAsia="宋体" w:hAnsi="Times New Roman" w:cs="Courier New"/>
      <w:kern w:val="2"/>
      <w:sz w:val="21"/>
      <w:szCs w:val="21"/>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zh-CN"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371">
    <w:name w:val="正文371"/>
    <w:pPr>
      <w:widowControl w:val="0"/>
      <w:jc w:val="both"/>
    </w:pPr>
    <w:rPr>
      <w:rFonts w:ascii="Calibri" w:eastAsia="宋体" w:hAnsi="Calibri" w:cs="Times New Roman"/>
      <w:kern w:val="2"/>
      <w:sz w:val="21"/>
      <w:szCs w:val="24"/>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965">
    <w:name w:val="正文96"/>
    <w:pPr>
      <w:widowControl w:val="0"/>
      <w:jc w:val="both"/>
    </w:pPr>
    <w:rPr>
      <w:rFonts w:ascii="Calibri" w:eastAsia="宋体" w:hAnsi="Calibri" w:cs="Times New Roman"/>
      <w:kern w:val="2"/>
      <w:sz w:val="21"/>
      <w:szCs w:val="24"/>
      <w:lang w:val="en-US" w:eastAsia="zh-CN" w:bidi="ar-SA"/>
    </w:rPr>
  </w:style>
  <w:style w:type="paragraph" w:customStyle="1" w:styleId="673">
    <w:name w:val="纯文本67"/>
    <w:pPr>
      <w:widowControl w:val="0"/>
      <w:jc w:val="both"/>
    </w:pPr>
    <w:rPr>
      <w:rFonts w:ascii="宋体" w:eastAsia="宋体" w:hAnsi="Times New Roman" w:cs="Courier New"/>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zh-CN"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990">
    <w:name w:val="正文990"/>
    <w:pPr>
      <w:widowControl w:val="0"/>
      <w:jc w:val="both"/>
    </w:pPr>
    <w:rPr>
      <w:rFonts w:ascii="Calibri" w:eastAsia="宋体" w:hAnsi="Calibri" w:cs="Times New Roman"/>
      <w:kern w:val="2"/>
      <w:sz w:val="21"/>
      <w:szCs w:val="22"/>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1530">
    <w:name w:val="正文1153"/>
    <w:pPr>
      <w:widowControl w:val="0"/>
      <w:jc w:val="both"/>
    </w:pPr>
    <w:rPr>
      <w:rFonts w:ascii="Calibri" w:eastAsia="宋体" w:hAnsi="Calibri"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1090">
    <w:name w:val="纯文本109"/>
    <w:pPr>
      <w:widowControl w:val="0"/>
      <w:jc w:val="both"/>
    </w:pPr>
    <w:rPr>
      <w:rFonts w:ascii="宋体" w:eastAsia="宋体" w:hAnsi="Times New Roman" w:cs="Courier New"/>
      <w:kern w:val="2"/>
      <w:sz w:val="21"/>
      <w:szCs w:val="21"/>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zh-CN"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zh-CN" w:bidi="ar-SA"/>
    </w:rPr>
  </w:style>
  <w:style w:type="paragraph" w:customStyle="1" w:styleId="221">
    <w:name w:val="正文文本2"/>
    <w:pPr>
      <w:widowControl w:val="0"/>
      <w:jc w:val="both"/>
    </w:pPr>
    <w:rPr>
      <w:rFonts w:ascii="Calibri" w:eastAsia="宋体" w:hAnsi="Calibri" w:cs="Times New Roman"/>
      <w:kern w:val="2"/>
      <w:sz w:val="28"/>
      <w:szCs w:val="22"/>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zh-CN"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zh-CN" w:bidi="ar-SA"/>
    </w:rPr>
  </w:style>
  <w:style w:type="paragraph" w:customStyle="1" w:styleId="4910">
    <w:name w:val="正文491"/>
    <w:pPr>
      <w:widowControl w:val="0"/>
      <w:jc w:val="both"/>
    </w:pPr>
    <w:rPr>
      <w:rFonts w:ascii="Calibri" w:eastAsia="宋体" w:hAnsi="Calibri" w:cs="Times New Roman"/>
      <w:kern w:val="2"/>
      <w:sz w:val="21"/>
      <w:szCs w:val="24"/>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630">
    <w:name w:val="正文563"/>
    <w:pPr>
      <w:widowControl w:val="0"/>
      <w:jc w:val="both"/>
    </w:pPr>
    <w:rPr>
      <w:rFonts w:ascii="Calibri" w:eastAsia="宋体" w:hAnsi="Calibri" w:cs="Times New Roman"/>
      <w:kern w:val="2"/>
      <w:sz w:val="21"/>
      <w:szCs w:val="24"/>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zh-CN" w:bidi="ar-SA"/>
    </w:rPr>
  </w:style>
  <w:style w:type="paragraph" w:customStyle="1" w:styleId="6600">
    <w:name w:val="正文660"/>
    <w:pPr>
      <w:widowControl w:val="0"/>
      <w:jc w:val="both"/>
    </w:pPr>
    <w:rPr>
      <w:rFonts w:ascii="Calibri" w:eastAsia="宋体" w:hAnsi="Calibri" w:cs="Times New Roman"/>
      <w:kern w:val="2"/>
      <w:sz w:val="21"/>
      <w:szCs w:val="24"/>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0300">
    <w:name w:val="正文1030"/>
    <w:rPr>
      <w:rFonts w:ascii="Calibri" w:eastAsia="宋体" w:hAnsi="Calibri" w:cs="Times New Roman"/>
      <w:kern w:val="2"/>
      <w:sz w:val="21"/>
      <w:szCs w:val="21"/>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zh-CN"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1460">
    <w:name w:val="正文146"/>
    <w:pPr>
      <w:widowControl w:val="0"/>
      <w:jc w:val="both"/>
    </w:pPr>
    <w:rPr>
      <w:rFonts w:ascii="Calibri" w:eastAsia="宋体" w:hAnsi="Calibri"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3340">
    <w:name w:val="正文334"/>
    <w:pPr>
      <w:widowControl w:val="0"/>
      <w:jc w:val="both"/>
    </w:pPr>
    <w:rPr>
      <w:rFonts w:ascii="Calibri" w:eastAsia="宋体" w:hAnsi="Calibri"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874">
    <w:name w:val="正文87"/>
    <w:pPr>
      <w:widowControl w:val="0"/>
      <w:jc w:val="both"/>
    </w:pPr>
    <w:rPr>
      <w:rFonts w:ascii="Calibri" w:eastAsia="宋体" w:hAnsi="Calibri"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zh-CN"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eastAsia="zh-CN"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zh-CN" w:bidi="ar-SA"/>
    </w:rPr>
  </w:style>
  <w:style w:type="paragraph" w:customStyle="1" w:styleId="294">
    <w:name w:val="纯文本29"/>
    <w:pPr>
      <w:widowControl w:val="0"/>
      <w:jc w:val="both"/>
    </w:pPr>
    <w:rPr>
      <w:rFonts w:ascii="宋体" w:eastAsia="宋体" w:hAnsi="Times New Roman" w:cs="Courier New"/>
      <w:kern w:val="2"/>
      <w:sz w:val="21"/>
      <w:szCs w:val="21"/>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5410">
    <w:name w:val="正文541"/>
    <w:pPr>
      <w:widowControl w:val="0"/>
      <w:jc w:val="both"/>
    </w:pPr>
    <w:rPr>
      <w:rFonts w:ascii="Calibri" w:eastAsia="宋体" w:hAnsi="Calibri"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4">
    <w:name w:val="纯文本10"/>
    <w:pPr>
      <w:widowControl w:val="0"/>
      <w:jc w:val="both"/>
    </w:pPr>
    <w:rPr>
      <w:rFonts w:ascii="宋体" w:eastAsia="宋体" w:hAnsi="Times New Roman" w:cs="Courier New"/>
      <w:kern w:val="2"/>
      <w:sz w:val="21"/>
      <w:szCs w:val="21"/>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zh-CN" w:bidi="ar-SA"/>
    </w:rPr>
  </w:style>
  <w:style w:type="paragraph" w:customStyle="1" w:styleId="263">
    <w:name w:val="正文263"/>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1210">
    <w:name w:val="正文1121"/>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zh-CN"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123">
    <w:name w:val="正文1123"/>
    <w:pPr>
      <w:widowControl w:val="0"/>
      <w:jc w:val="both"/>
    </w:pPr>
    <w:rPr>
      <w:rFonts w:ascii="Calibri" w:eastAsia="宋体" w:hAnsi="Calibri" w:cs="Times New Roman"/>
      <w:kern w:val="2"/>
      <w:sz w:val="21"/>
      <w:szCs w:val="24"/>
      <w:lang w:val="en-US" w:eastAsia="zh-CN"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1370">
    <w:name w:val="正文137"/>
    <w:pPr>
      <w:widowControl w:val="0"/>
      <w:jc w:val="both"/>
    </w:pPr>
    <w:rPr>
      <w:rFonts w:ascii="Calibri" w:eastAsia="宋体" w:hAnsi="Calibri" w:cs="Times New Roman"/>
      <w:kern w:val="2"/>
      <w:sz w:val="21"/>
      <w:szCs w:val="24"/>
      <w:lang w:val="en-US" w:eastAsia="zh-CN" w:bidi="ar-SA"/>
    </w:rPr>
  </w:style>
  <w:style w:type="paragraph" w:customStyle="1" w:styleId="1420">
    <w:name w:val="正文142"/>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eastAsia="zh-CN" w:bidi="ar-SA"/>
    </w:rPr>
  </w:style>
  <w:style w:type="paragraph" w:customStyle="1" w:styleId="779">
    <w:name w:val="纯文本77"/>
    <w:pPr>
      <w:widowControl w:val="0"/>
      <w:jc w:val="both"/>
    </w:pPr>
    <w:rPr>
      <w:rFonts w:ascii="宋体" w:eastAsia="宋体" w:hAnsi="Times New Roman" w:cs="Courier New"/>
      <w:kern w:val="2"/>
      <w:sz w:val="21"/>
      <w:szCs w:val="21"/>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3040">
    <w:name w:val="正文304"/>
    <w:pPr>
      <w:widowControl w:val="0"/>
      <w:jc w:val="both"/>
    </w:pPr>
    <w:rPr>
      <w:rFonts w:ascii="Calibri" w:eastAsia="宋体" w:hAnsi="Calibri" w:cs="Times New Roman"/>
      <w:kern w:val="2"/>
      <w:sz w:val="21"/>
      <w:szCs w:val="24"/>
      <w:lang w:val="en-US" w:eastAsia="zh-CN" w:bidi="ar-SA"/>
    </w:rPr>
  </w:style>
  <w:style w:type="paragraph" w:customStyle="1" w:styleId="923">
    <w:name w:val="纯文本9"/>
    <w:pPr>
      <w:widowControl w:val="0"/>
      <w:jc w:val="both"/>
    </w:pPr>
    <w:rPr>
      <w:rFonts w:ascii="宋体" w:eastAsia="宋体" w:hAnsi="Times New Roman" w:cs="Courier New"/>
      <w:kern w:val="2"/>
      <w:sz w:val="21"/>
      <w:szCs w:val="21"/>
      <w:lang w:val="en-US" w:eastAsia="zh-CN"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zh-CN" w:bidi="ar-SA"/>
    </w:rPr>
  </w:style>
  <w:style w:type="paragraph" w:customStyle="1" w:styleId="4311">
    <w:name w:val="正文431"/>
    <w:pPr>
      <w:widowControl w:val="0"/>
      <w:jc w:val="both"/>
    </w:pPr>
    <w:rPr>
      <w:rFonts w:ascii="Calibri" w:eastAsia="宋体" w:hAnsi="Calibri" w:cs="Times New Roman"/>
      <w:kern w:val="2"/>
      <w:sz w:val="21"/>
      <w:szCs w:val="24"/>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zh-CN"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zh-CN" w:bidi="ar-SA"/>
    </w:rPr>
  </w:style>
  <w:style w:type="paragraph" w:customStyle="1" w:styleId="10460">
    <w:name w:val="正文1046"/>
    <w:pPr>
      <w:widowControl w:val="0"/>
      <w:jc w:val="both"/>
    </w:pPr>
    <w:rPr>
      <w:rFonts w:ascii="Calibri" w:eastAsia="宋体" w:hAnsi="Calibri" w:cs="Times New Roman"/>
      <w:kern w:val="2"/>
      <w:sz w:val="21"/>
      <w:szCs w:val="24"/>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9120">
    <w:name w:val="正文912"/>
    <w:pPr>
      <w:widowControl w:val="0"/>
      <w:jc w:val="both"/>
    </w:pPr>
    <w:rPr>
      <w:rFonts w:ascii="Calibri" w:eastAsia="宋体" w:hAnsi="Calibri"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852">
    <w:name w:val="纯文本85"/>
    <w:pPr>
      <w:widowControl w:val="0"/>
      <w:jc w:val="both"/>
    </w:pPr>
    <w:rPr>
      <w:rFonts w:ascii="宋体" w:eastAsia="宋体" w:hAnsi="Times New Roman" w:cs="Courier New"/>
      <w:kern w:val="2"/>
      <w:sz w:val="21"/>
      <w:szCs w:val="21"/>
      <w:lang w:val="en-US" w:eastAsia="zh-CN" w:bidi="ar-SA"/>
    </w:rPr>
  </w:style>
  <w:style w:type="paragraph" w:customStyle="1" w:styleId="264">
    <w:name w:val="正文26"/>
    <w:pPr>
      <w:widowControl w:val="0"/>
      <w:jc w:val="both"/>
    </w:pPr>
    <w:rPr>
      <w:rFonts w:ascii="Calibri" w:eastAsia="宋体" w:hAnsi="Calibri" w:cs="Times New Roman"/>
      <w:kern w:val="2"/>
      <w:sz w:val="21"/>
      <w:szCs w:val="22"/>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zh-CN" w:bidi="ar-SA"/>
    </w:rPr>
  </w:style>
  <w:style w:type="paragraph" w:customStyle="1" w:styleId="5350">
    <w:name w:val="正文535"/>
    <w:pPr>
      <w:widowControl w:val="0"/>
      <w:jc w:val="both"/>
    </w:pPr>
    <w:rPr>
      <w:rFonts w:ascii="Calibri" w:eastAsia="宋体" w:hAnsi="Calibri"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a36">
    <w:name w:val="公式样式 函数"/>
    <w:rPr>
      <w:rFonts w:ascii="Times New Roman" w:eastAsia="宋体" w:hAnsi="Times New Roman" w:cs="Times New Roman"/>
      <w:kern w:val="2"/>
      <w:sz w:val="20"/>
      <w:szCs w:val="28"/>
      <w:lang w:val="en-US" w:eastAsia="zh-CN" w:bidi="ar-SA"/>
    </w:rPr>
  </w:style>
  <w:style w:type="paragraph" w:customStyle="1" w:styleId="2640">
    <w:name w:val="正文264"/>
    <w:pPr>
      <w:widowControl w:val="0"/>
      <w:jc w:val="both"/>
    </w:pPr>
    <w:rPr>
      <w:rFonts w:ascii="Calibri" w:eastAsia="宋体" w:hAnsi="Calibri"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zh-CN" w:bidi="ar-SA"/>
    </w:rPr>
  </w:style>
  <w:style w:type="paragraph" w:customStyle="1" w:styleId="368">
    <w:name w:val="正文36"/>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zh-CN" w:bidi="ar-SA"/>
    </w:rPr>
  </w:style>
  <w:style w:type="paragraph" w:customStyle="1" w:styleId="3950">
    <w:name w:val="正文395"/>
    <w:pPr>
      <w:widowControl w:val="0"/>
      <w:jc w:val="both"/>
    </w:pPr>
    <w:rPr>
      <w:rFonts w:ascii="Calibri" w:eastAsia="宋体" w:hAnsi="Calibri"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eastAsia="zh-CN"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2270">
    <w:name w:val="正文227"/>
    <w:pPr>
      <w:widowControl w:val="0"/>
      <w:jc w:val="both"/>
    </w:pPr>
    <w:rPr>
      <w:rFonts w:ascii="Calibri" w:eastAsia="宋体" w:hAnsi="Calibri" w:cs="Times New Roman"/>
      <w:kern w:val="2"/>
      <w:sz w:val="21"/>
      <w:szCs w:val="24"/>
      <w:lang w:val="en-US" w:eastAsia="zh-CN" w:bidi="ar-SA"/>
    </w:rPr>
  </w:style>
  <w:style w:type="paragraph" w:customStyle="1" w:styleId="11710">
    <w:name w:val="正文1171"/>
    <w:pPr>
      <w:widowControl w:val="0"/>
      <w:jc w:val="both"/>
    </w:pPr>
    <w:rPr>
      <w:rFonts w:ascii="Calibri" w:eastAsia="宋体" w:hAnsi="Calibri" w:cs="Times New Roman"/>
      <w:kern w:val="2"/>
      <w:sz w:val="21"/>
      <w:szCs w:val="24"/>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580">
    <w:name w:val="纯文本58"/>
    <w:pPr>
      <w:widowControl w:val="0"/>
      <w:jc w:val="both"/>
    </w:pPr>
    <w:rPr>
      <w:rFonts w:ascii="宋体" w:eastAsia="宋体" w:hAnsi="Times New Roman" w:cs="Courier New"/>
      <w:kern w:val="2"/>
      <w:sz w:val="21"/>
      <w:szCs w:val="21"/>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15">
    <w:name w:val="正文81"/>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8620">
    <w:name w:val="正文862"/>
    <w:pPr>
      <w:widowControl w:val="0"/>
      <w:jc w:val="both"/>
    </w:pPr>
    <w:rPr>
      <w:rFonts w:ascii="Calibri" w:eastAsia="宋体" w:hAnsi="Calibri" w:cs="Times New Roman"/>
      <w:kern w:val="2"/>
      <w:sz w:val="21"/>
      <w:szCs w:val="22"/>
      <w:lang w:val="en-US" w:eastAsia="zh-CN"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zh-CN" w:bidi="ar-SA"/>
    </w:rPr>
  </w:style>
  <w:style w:type="paragraph" w:customStyle="1" w:styleId="10011">
    <w:name w:val="正文1001"/>
    <w:pPr>
      <w:widowControl w:val="0"/>
      <w:jc w:val="both"/>
    </w:pPr>
    <w:rPr>
      <w:rFonts w:ascii="Calibri" w:eastAsia="宋体" w:hAnsi="Calibri"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zh-CN" w:bidi="ar-SA"/>
    </w:rPr>
  </w:style>
  <w:style w:type="paragraph" w:customStyle="1" w:styleId="a38">
    <w:name w:val="公式样式 符号"/>
    <w:rPr>
      <w:rFonts w:ascii="Calibri" w:eastAsia="宋体" w:hAnsi="Calibri" w:cs="Times New Roman"/>
      <w:kern w:val="2"/>
      <w:sz w:val="20"/>
      <w:szCs w:val="28"/>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5212">
    <w:name w:val="正文52"/>
    <w:pPr>
      <w:widowControl w:val="0"/>
      <w:jc w:val="both"/>
    </w:pPr>
    <w:rPr>
      <w:rFonts w:ascii="Calibri" w:eastAsia="宋体" w:hAnsi="Calibri" w:cs="Times New Roman"/>
      <w:kern w:val="2"/>
      <w:sz w:val="21"/>
      <w:szCs w:val="22"/>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07">
    <w:name w:val="纯文本7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5270">
    <w:name w:val="正文527"/>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eastAsia="zh-CN"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120">
    <w:name w:val="正文1112"/>
    <w:pPr>
      <w:widowControl w:val="0"/>
      <w:jc w:val="both"/>
    </w:pPr>
    <w:rPr>
      <w:rFonts w:ascii="Calibri" w:eastAsia="宋体" w:hAnsi="Calibri" w:cs="Times New Roman"/>
      <w:kern w:val="2"/>
      <w:sz w:val="21"/>
      <w:szCs w:val="24"/>
      <w:lang w:val="en-US" w:eastAsia="zh-CN"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321">
    <w:name w:val="正文132"/>
    <w:pPr>
      <w:widowControl w:val="0"/>
      <w:jc w:val="both"/>
    </w:pPr>
    <w:rPr>
      <w:rFonts w:ascii="Calibri" w:eastAsia="宋体" w:hAnsi="Calibri" w:cs="Times New Roman"/>
      <w:kern w:val="2"/>
      <w:sz w:val="21"/>
      <w:szCs w:val="24"/>
      <w:lang w:val="en-US" w:eastAsia="zh-CN" w:bidi="ar-SA"/>
    </w:rPr>
  </w:style>
  <w:style w:type="paragraph" w:customStyle="1" w:styleId="4113">
    <w:name w:val="正文41"/>
    <w:pPr>
      <w:widowControl w:val="0"/>
      <w:jc w:val="both"/>
    </w:pPr>
    <w:rPr>
      <w:rFonts w:ascii="Calibri" w:eastAsia="宋体" w:hAnsi="Calibri" w:cs="Times New Roman"/>
      <w:kern w:val="2"/>
      <w:sz w:val="21"/>
      <w:szCs w:val="22"/>
      <w:lang w:val="en-US" w:eastAsia="zh-CN"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719">
    <w:name w:val="正文7"/>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740">
    <w:name w:val="正文174"/>
    <w:pPr>
      <w:widowControl w:val="0"/>
      <w:jc w:val="both"/>
    </w:pPr>
    <w:rPr>
      <w:rFonts w:ascii="Calibri" w:eastAsia="宋体" w:hAnsi="Calibri"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2330">
    <w:name w:val="正文233"/>
    <w:pPr>
      <w:widowControl w:val="0"/>
      <w:jc w:val="both"/>
    </w:pPr>
    <w:rPr>
      <w:rFonts w:ascii="Calibri" w:eastAsia="宋体" w:hAnsi="Calibri"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723">
    <w:name w:val="正文723"/>
    <w:pPr>
      <w:widowControl w:val="0"/>
      <w:jc w:val="both"/>
    </w:pPr>
    <w:rPr>
      <w:rFonts w:ascii="Calibri" w:eastAsia="宋体" w:hAnsi="Calibri" w:cs="Times New Roman"/>
      <w:kern w:val="2"/>
      <w:sz w:val="21"/>
      <w:szCs w:val="24"/>
      <w:lang w:val="en-US" w:eastAsia="zh-CN" w:bidi="ar-SA"/>
    </w:rPr>
  </w:style>
  <w:style w:type="paragraph" w:customStyle="1" w:styleId="188">
    <w:name w:val="正文188"/>
    <w:pPr>
      <w:widowControl w:val="0"/>
      <w:jc w:val="both"/>
    </w:pPr>
    <w:rPr>
      <w:rFonts w:ascii="Calibri" w:eastAsia="宋体" w:hAnsi="Calibri" w:cs="Times New Roman"/>
      <w:kern w:val="2"/>
      <w:sz w:val="21"/>
      <w:szCs w:val="24"/>
      <w:lang w:val="en-US" w:eastAsia="zh-CN" w:bidi="ar-SA"/>
    </w:rPr>
  </w:style>
  <w:style w:type="paragraph" w:customStyle="1" w:styleId="1600">
    <w:name w:val="正文160"/>
    <w:pPr>
      <w:widowControl w:val="0"/>
      <w:jc w:val="both"/>
    </w:pPr>
    <w:rPr>
      <w:rFonts w:ascii="Calibri" w:eastAsia="宋体" w:hAnsi="Calibri" w:cs="Times New Roman"/>
      <w:kern w:val="2"/>
      <w:sz w:val="21"/>
      <w:szCs w:val="24"/>
      <w:lang w:val="en-US" w:eastAsia="zh-CN" w:bidi="ar-SA"/>
    </w:rPr>
  </w:style>
  <w:style w:type="paragraph" w:customStyle="1" w:styleId="7011">
    <w:name w:val="正文70"/>
    <w:pPr>
      <w:widowControl w:val="0"/>
      <w:jc w:val="both"/>
    </w:pPr>
    <w:rPr>
      <w:rFonts w:ascii="Calibri" w:eastAsia="宋体" w:hAnsi="Calibri" w:cs="Times New Roman"/>
      <w:kern w:val="2"/>
      <w:sz w:val="21"/>
      <w:szCs w:val="24"/>
      <w:lang w:val="en-US" w:eastAsia="zh-CN" w:bidi="ar-SA"/>
    </w:rPr>
  </w:style>
  <w:style w:type="paragraph" w:customStyle="1" w:styleId="5070">
    <w:name w:val="正文507"/>
    <w:pPr>
      <w:widowControl w:val="0"/>
      <w:jc w:val="both"/>
    </w:pPr>
    <w:rPr>
      <w:rFonts w:ascii="Calibri" w:eastAsia="宋体" w:hAnsi="Calibri"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0170">
    <w:name w:val="正文1017"/>
    <w:pPr>
      <w:widowControl w:val="0"/>
      <w:jc w:val="both"/>
    </w:pPr>
    <w:rPr>
      <w:rFonts w:ascii="Calibri" w:eastAsia="宋体" w:hAnsi="Calibri"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eastAsia="zh-CN" w:bidi="ar-SA"/>
    </w:rPr>
  </w:style>
  <w:style w:type="paragraph" w:customStyle="1" w:styleId="385">
    <w:name w:val="正文385"/>
    <w:pPr>
      <w:widowControl w:val="0"/>
      <w:jc w:val="both"/>
    </w:pPr>
    <w:rPr>
      <w:rFonts w:ascii="Calibri" w:eastAsia="宋体" w:hAnsi="Calibri" w:cs="Times New Roman"/>
      <w:kern w:val="2"/>
      <w:sz w:val="21"/>
      <w:szCs w:val="24"/>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eastAsia="zh-CN" w:bidi="ar-SA"/>
    </w:rPr>
  </w:style>
  <w:style w:type="paragraph" w:customStyle="1" w:styleId="5400">
    <w:name w:val="正文540"/>
    <w:pPr>
      <w:widowControl w:val="0"/>
      <w:jc w:val="both"/>
    </w:pPr>
    <w:rPr>
      <w:rFonts w:ascii="Calibri" w:eastAsia="宋体" w:hAnsi="Calibri"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4080">
    <w:name w:val="正文408"/>
    <w:pPr>
      <w:widowControl w:val="0"/>
      <w:jc w:val="both"/>
    </w:pPr>
    <w:rPr>
      <w:rFonts w:ascii="Calibri" w:eastAsia="宋体" w:hAnsi="Calibri"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zh-CN" w:bidi="ar-SA"/>
    </w:rPr>
  </w:style>
  <w:style w:type="paragraph" w:customStyle="1" w:styleId="12210">
    <w:name w:val="纯文本122"/>
    <w:pPr>
      <w:widowControl w:val="0"/>
      <w:jc w:val="both"/>
    </w:pPr>
    <w:rPr>
      <w:rFonts w:ascii="宋体" w:eastAsia="宋体" w:hAnsi="Times New Roman" w:cs="Courier New"/>
      <w:kern w:val="2"/>
      <w:sz w:val="21"/>
      <w:szCs w:val="21"/>
      <w:lang w:val="en-US" w:eastAsia="zh-CN"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7140">
    <w:name w:val="正文714"/>
    <w:pPr>
      <w:widowControl w:val="0"/>
      <w:jc w:val="both"/>
    </w:pPr>
    <w:rPr>
      <w:rFonts w:ascii="Calibri" w:eastAsia="宋体" w:hAnsi="Calibri" w:cs="Times New Roman"/>
      <w:kern w:val="2"/>
      <w:sz w:val="21"/>
      <w:szCs w:val="24"/>
      <w:lang w:val="en-US" w:eastAsia="zh-CN"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eastAsia="zh-CN"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0060">
    <w:name w:val="正文1006"/>
    <w:pPr>
      <w:widowControl w:val="0"/>
      <w:jc w:val="both"/>
    </w:pPr>
    <w:rPr>
      <w:rFonts w:ascii="Calibri" w:eastAsia="宋体" w:hAnsi="Calibri" w:cs="Times New Roman"/>
      <w:kern w:val="2"/>
      <w:sz w:val="21"/>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3320">
    <w:name w:val="正文332"/>
    <w:pPr>
      <w:widowControl w:val="0"/>
      <w:jc w:val="both"/>
    </w:pPr>
    <w:rPr>
      <w:rFonts w:ascii="Calibri" w:eastAsia="宋体" w:hAnsi="Calibri"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zh-CN" w:bidi="ar-SA"/>
    </w:rPr>
  </w:style>
  <w:style w:type="paragraph" w:customStyle="1" w:styleId="7211">
    <w:name w:val="正文72"/>
    <w:pPr>
      <w:widowControl w:val="0"/>
      <w:jc w:val="both"/>
    </w:pPr>
    <w:rPr>
      <w:rFonts w:ascii="Calibri" w:eastAsia="宋体" w:hAnsi="Calibri"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zh-CN" w:bidi="ar-SA"/>
    </w:rPr>
  </w:style>
  <w:style w:type="paragraph" w:customStyle="1" w:styleId="546">
    <w:name w:val="正文5"/>
    <w:pPr>
      <w:widowControl w:val="0"/>
      <w:jc w:val="both"/>
    </w:pPr>
    <w:rPr>
      <w:rFonts w:ascii="Calibri" w:eastAsia="宋体" w:hAnsi="Calibri"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eastAsia="zh-CN" w:bidi="ar-SA"/>
    </w:rPr>
  </w:style>
  <w:style w:type="paragraph" w:customStyle="1" w:styleId="8411">
    <w:name w:val="正文84"/>
    <w:pPr>
      <w:widowControl w:val="0"/>
      <w:jc w:val="both"/>
    </w:pPr>
    <w:rPr>
      <w:rFonts w:ascii="Calibri" w:eastAsia="宋体" w:hAnsi="Calibri" w:cs="Times New Roman"/>
      <w:kern w:val="2"/>
      <w:sz w:val="21"/>
      <w:szCs w:val="24"/>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0360">
    <w:name w:val="正文1036"/>
    <w:rPr>
      <w:rFonts w:ascii="Calibri" w:eastAsia="宋体" w:hAnsi="Calibri" w:cs="Times New Roman"/>
      <w:kern w:val="2"/>
      <w:sz w:val="21"/>
      <w:szCs w:val="21"/>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5760">
    <w:name w:val="正文576"/>
    <w:pPr>
      <w:widowControl w:val="0"/>
      <w:jc w:val="both"/>
    </w:pPr>
    <w:rPr>
      <w:rFonts w:ascii="Calibri" w:eastAsia="宋体" w:hAnsi="Calibri" w:cs="Times New Roman"/>
      <w:kern w:val="2"/>
      <w:sz w:val="21"/>
      <w:szCs w:val="24"/>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eastAsia="zh-CN"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zh-CN" w:bidi="ar-SA"/>
    </w:rPr>
  </w:style>
  <w:style w:type="paragraph" w:customStyle="1" w:styleId="995">
    <w:name w:val="正文99"/>
    <w:pPr>
      <w:widowControl w:val="0"/>
      <w:jc w:val="both"/>
    </w:pPr>
    <w:rPr>
      <w:rFonts w:ascii="Calibri" w:eastAsia="宋体" w:hAnsi="Calibri" w:cs="Times New Roman"/>
      <w:kern w:val="2"/>
      <w:sz w:val="21"/>
      <w:szCs w:val="24"/>
      <w:lang w:val="en-US" w:eastAsia="zh-CN"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zh-CN" w:bidi="ar-SA"/>
    </w:rPr>
  </w:style>
  <w:style w:type="paragraph" w:customStyle="1" w:styleId="1712">
    <w:name w:val="纯文本17"/>
    <w:pPr>
      <w:widowControl w:val="0"/>
      <w:jc w:val="both"/>
    </w:pPr>
    <w:rPr>
      <w:rFonts w:ascii="宋体" w:eastAsia="宋体" w:hAnsi="Times New Roman" w:cs="Courier New"/>
      <w:kern w:val="2"/>
      <w:sz w:val="21"/>
      <w:szCs w:val="21"/>
      <w:lang w:val="en-US" w:eastAsia="zh-CN"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zh-CN"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zh-CN" w:bidi="ar-SA"/>
    </w:rPr>
  </w:style>
  <w:style w:type="paragraph" w:customStyle="1" w:styleId="467">
    <w:name w:val="纯文本46"/>
    <w:pPr>
      <w:widowControl w:val="0"/>
      <w:jc w:val="both"/>
    </w:pPr>
    <w:rPr>
      <w:rFonts w:ascii="宋体" w:eastAsia="宋体" w:hAnsi="Times New Roman" w:cs="Courier New"/>
      <w:kern w:val="2"/>
      <w:sz w:val="21"/>
      <w:szCs w:val="21"/>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9650">
    <w:name w:val="正文965"/>
    <w:pPr>
      <w:widowControl w:val="0"/>
      <w:jc w:val="both"/>
    </w:pPr>
    <w:rPr>
      <w:rFonts w:ascii="Calibri" w:eastAsia="宋体" w:hAnsi="Calibri" w:cs="Times New Roman"/>
      <w:kern w:val="2"/>
      <w:sz w:val="21"/>
      <w:szCs w:val="22"/>
      <w:lang w:val="en-US" w:eastAsia="zh-CN" w:bidi="ar-SA"/>
    </w:rPr>
  </w:style>
  <w:style w:type="paragraph" w:customStyle="1" w:styleId="2400">
    <w:name w:val="正文240"/>
    <w:pPr>
      <w:widowControl w:val="0"/>
      <w:jc w:val="both"/>
    </w:pPr>
    <w:rPr>
      <w:rFonts w:ascii="Calibri" w:eastAsia="宋体" w:hAnsi="Calibri" w:cs="Times New Roman"/>
      <w:kern w:val="2"/>
      <w:sz w:val="21"/>
      <w:szCs w:val="24"/>
      <w:lang w:val="en-US" w:eastAsia="zh-CN" w:bidi="ar-SA"/>
    </w:rPr>
  </w:style>
  <w:style w:type="paragraph" w:customStyle="1" w:styleId="9560">
    <w:name w:val="正文956"/>
    <w:pPr>
      <w:widowControl w:val="0"/>
      <w:jc w:val="both"/>
    </w:pPr>
    <w:rPr>
      <w:rFonts w:ascii="Calibri" w:eastAsia="宋体" w:hAnsi="Calibri" w:cs="Times New Roman"/>
      <w:kern w:val="2"/>
      <w:sz w:val="21"/>
      <w:szCs w:val="22"/>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1137">
    <w:name w:val="1"/>
    <w:pPr>
      <w:ind w:firstLine="200"/>
      <w:jc w:val="both"/>
    </w:pPr>
    <w:rPr>
      <w:rFonts w:ascii="宋体" w:eastAsia="宋体" w:hAnsi="Times New Roman" w:cs="Calibri"/>
      <w:kern w:val="2"/>
      <w:sz w:val="28"/>
      <w:szCs w:val="28"/>
      <w:lang w:val="en-US" w:eastAsia="zh-CN" w:bidi="ar-SA"/>
    </w:rPr>
  </w:style>
  <w:style w:type="paragraph" w:customStyle="1" w:styleId="9950">
    <w:name w:val="正文995"/>
    <w:pPr>
      <w:widowControl w:val="0"/>
      <w:jc w:val="both"/>
    </w:pPr>
    <w:rPr>
      <w:rFonts w:ascii="Calibri" w:eastAsia="宋体" w:hAnsi="Calibri"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9180">
    <w:name w:val="正文918"/>
    <w:pPr>
      <w:widowControl w:val="0"/>
      <w:jc w:val="both"/>
    </w:pPr>
    <w:rPr>
      <w:rFonts w:ascii="Calibri" w:eastAsia="宋体" w:hAnsi="Calibri" w:cs="Times New Roman"/>
      <w:kern w:val="2"/>
      <w:sz w:val="21"/>
      <w:szCs w:val="24"/>
      <w:lang w:val="en-US" w:eastAsia="zh-CN" w:bidi="ar-SA"/>
    </w:rPr>
  </w:style>
  <w:style w:type="paragraph" w:customStyle="1" w:styleId="348">
    <w:name w:val="正文3"/>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zh-CN" w:bidi="ar-SA"/>
    </w:rPr>
  </w:style>
  <w:style w:type="paragraph" w:customStyle="1" w:styleId="997">
    <w:name w:val="纯文本99"/>
    <w:pPr>
      <w:widowControl w:val="0"/>
      <w:jc w:val="both"/>
    </w:pPr>
    <w:rPr>
      <w:rFonts w:ascii="宋体" w:eastAsia="宋体" w:hAnsi="Times New Roman" w:cs="Courier New"/>
      <w:kern w:val="2"/>
      <w:sz w:val="21"/>
      <w:szCs w:val="21"/>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eastAsia="zh-CN"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zh-CN"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eastAsia="zh-CN"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zh-CN"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514">
    <w:name w:val="纯文本15"/>
    <w:pPr>
      <w:widowControl w:val="0"/>
      <w:jc w:val="both"/>
    </w:pPr>
    <w:rPr>
      <w:rFonts w:ascii="宋体" w:eastAsia="宋体" w:hAnsi="Times New Roman" w:cs="Courier New"/>
      <w:kern w:val="2"/>
      <w:sz w:val="21"/>
      <w:szCs w:val="21"/>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eastAsia="zh-CN"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9330">
    <w:name w:val="正文933"/>
    <w:pPr>
      <w:widowControl w:val="0"/>
      <w:jc w:val="both"/>
    </w:pPr>
    <w:rPr>
      <w:rFonts w:ascii="Calibri" w:eastAsia="宋体" w:hAnsi="Calibri" w:cs="Times New Roman"/>
      <w:kern w:val="2"/>
      <w:sz w:val="21"/>
      <w:szCs w:val="24"/>
      <w:lang w:val="en-US" w:eastAsia="zh-CN" w:bidi="ar-SA"/>
    </w:rPr>
  </w:style>
  <w:style w:type="paragraph" w:customStyle="1" w:styleId="5311">
    <w:name w:val="纯文本53"/>
    <w:pPr>
      <w:widowControl w:val="0"/>
      <w:jc w:val="both"/>
    </w:pPr>
    <w:rPr>
      <w:rFonts w:ascii="宋体" w:eastAsia="宋体" w:hAnsi="Times New Roman" w:cs="Courier New"/>
      <w:kern w:val="2"/>
      <w:sz w:val="21"/>
      <w:szCs w:val="21"/>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zh-CN" w:bidi="ar-SA"/>
    </w:rPr>
  </w:style>
  <w:style w:type="paragraph" w:customStyle="1" w:styleId="11280">
    <w:name w:val="正文1128"/>
    <w:pPr>
      <w:widowControl w:val="0"/>
      <w:jc w:val="both"/>
    </w:pPr>
    <w:rPr>
      <w:rFonts w:ascii="Calibri" w:eastAsia="宋体" w:hAnsi="Calibri"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zh-CN"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840">
    <w:name w:val="正文184"/>
    <w:pPr>
      <w:widowControl w:val="0"/>
      <w:jc w:val="both"/>
    </w:pPr>
    <w:rPr>
      <w:rFonts w:ascii="Calibri" w:eastAsia="宋体" w:hAnsi="Calibri"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zh-CN"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zh-CN" w:bidi="ar-SA"/>
    </w:rPr>
  </w:style>
  <w:style w:type="paragraph" w:customStyle="1" w:styleId="9230">
    <w:name w:val="正文923"/>
    <w:pPr>
      <w:widowControl w:val="0"/>
      <w:jc w:val="both"/>
    </w:pPr>
    <w:rPr>
      <w:rFonts w:ascii="Calibri" w:eastAsia="宋体" w:hAnsi="Calibri" w:cs="Times New Roman"/>
      <w:kern w:val="2"/>
      <w:sz w:val="21"/>
      <w:szCs w:val="24"/>
      <w:lang w:val="en-US" w:eastAsia="zh-CN" w:bidi="ar-SA"/>
    </w:rPr>
  </w:style>
  <w:style w:type="paragraph" w:customStyle="1" w:styleId="1185">
    <w:name w:val="正文11"/>
    <w:pPr>
      <w:widowControl w:val="0"/>
      <w:jc w:val="both"/>
    </w:pPr>
    <w:rPr>
      <w:rFonts w:ascii="Calibri" w:eastAsia="宋体" w:hAnsi="Calibri"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zh-CN"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zh-CN" w:bidi="ar-SA"/>
    </w:rPr>
  </w:style>
  <w:style w:type="paragraph" w:customStyle="1" w:styleId="6390">
    <w:name w:val="正文639"/>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zh-CN" w:bidi="ar-SA"/>
    </w:rPr>
  </w:style>
  <w:style w:type="paragraph" w:customStyle="1" w:styleId="5680">
    <w:name w:val="正文568"/>
    <w:pPr>
      <w:widowControl w:val="0"/>
      <w:jc w:val="both"/>
    </w:pPr>
    <w:rPr>
      <w:rFonts w:ascii="Calibri" w:eastAsia="宋体" w:hAnsi="Calibri" w:cs="Times New Roman"/>
      <w:kern w:val="2"/>
      <w:sz w:val="21"/>
      <w:szCs w:val="24"/>
      <w:lang w:val="en-US" w:eastAsia="zh-CN" w:bidi="ar-SA"/>
    </w:rPr>
  </w:style>
  <w:style w:type="paragraph" w:customStyle="1" w:styleId="7070">
    <w:name w:val="正文707"/>
    <w:pPr>
      <w:widowControl w:val="0"/>
      <w:jc w:val="both"/>
    </w:pPr>
    <w:rPr>
      <w:rFonts w:ascii="Calibri" w:eastAsia="宋体" w:hAnsi="Calibri"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zh-CN"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3520">
    <w:name w:val="正文352"/>
    <w:pPr>
      <w:widowControl w:val="0"/>
      <w:jc w:val="both"/>
    </w:pPr>
    <w:rPr>
      <w:rFonts w:ascii="Calibri" w:eastAsia="宋体" w:hAnsi="Calibri" w:cs="Times New Roman"/>
      <w:kern w:val="2"/>
      <w:sz w:val="21"/>
      <w:szCs w:val="24"/>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2540">
    <w:name w:val="正文254"/>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6630">
    <w:name w:val="正文663"/>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zh-CN" w:bidi="ar-SA"/>
    </w:rPr>
  </w:style>
  <w:style w:type="paragraph" w:customStyle="1" w:styleId="10540">
    <w:name w:val="正文1054"/>
    <w:rPr>
      <w:rFonts w:ascii="Calibri" w:eastAsia="宋体" w:hAnsi="Calibri" w:cs="Times New Roman"/>
      <w:kern w:val="2"/>
      <w:sz w:val="21"/>
      <w:szCs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zh-CN" w:bidi="ar-SA"/>
    </w:rPr>
  </w:style>
  <w:style w:type="paragraph" w:customStyle="1" w:styleId="8870">
    <w:name w:val="正文887"/>
    <w:pPr>
      <w:widowControl w:val="0"/>
      <w:jc w:val="both"/>
    </w:pPr>
    <w:rPr>
      <w:rFonts w:ascii="Calibri" w:eastAsia="宋体" w:hAnsi="Calibri" w:cs="Times New Roman"/>
      <w:kern w:val="2"/>
      <w:sz w:val="21"/>
      <w:szCs w:val="22"/>
      <w:lang w:val="en-US" w:eastAsia="zh-CN"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eastAsia="zh-CN"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zh-CN" w:bidi="ar-SA"/>
    </w:rPr>
  </w:style>
  <w:style w:type="paragraph" w:customStyle="1" w:styleId="7611">
    <w:name w:val="正文761"/>
    <w:pPr>
      <w:widowControl w:val="0"/>
      <w:jc w:val="both"/>
    </w:pPr>
    <w:rPr>
      <w:rFonts w:ascii="Calibri" w:eastAsia="宋体" w:hAnsi="Calibri"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6411">
    <w:name w:val="纯文本64"/>
    <w:pPr>
      <w:widowControl w:val="0"/>
      <w:jc w:val="both"/>
    </w:pPr>
    <w:rPr>
      <w:rFonts w:ascii="宋体" w:eastAsia="宋体" w:hAnsi="Times New Roman" w:cs="Courier New"/>
      <w:kern w:val="2"/>
      <w:sz w:val="21"/>
      <w:szCs w:val="21"/>
      <w:lang w:val="en-US" w:eastAsia="zh-CN" w:bidi="ar-SA"/>
    </w:rPr>
  </w:style>
  <w:style w:type="paragraph" w:customStyle="1" w:styleId="7511">
    <w:name w:val="正文751"/>
    <w:pPr>
      <w:widowControl w:val="0"/>
      <w:jc w:val="both"/>
    </w:pPr>
    <w:rPr>
      <w:rFonts w:ascii="Calibri" w:eastAsia="宋体" w:hAnsi="Calibri" w:cs="Times New Roman"/>
      <w:kern w:val="2"/>
      <w:sz w:val="21"/>
      <w:szCs w:val="24"/>
      <w:lang w:val="en-US" w:eastAsia="zh-CN"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zh-CN" w:bidi="ar-SA"/>
    </w:rPr>
  </w:style>
  <w:style w:type="paragraph" w:customStyle="1" w:styleId="8112">
    <w:name w:val="纯文本81"/>
    <w:pPr>
      <w:widowControl w:val="0"/>
      <w:jc w:val="both"/>
    </w:pPr>
    <w:rPr>
      <w:rFonts w:ascii="宋体" w:eastAsia="宋体" w:hAnsi="Times New Roman" w:cs="Courier New"/>
      <w:kern w:val="2"/>
      <w:sz w:val="21"/>
      <w:szCs w:val="21"/>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8380">
    <w:name w:val="正文838"/>
    <w:pPr>
      <w:widowControl w:val="0"/>
      <w:jc w:val="both"/>
    </w:pPr>
    <w:rPr>
      <w:rFonts w:ascii="Calibri" w:eastAsia="宋体" w:hAnsi="Calibri" w:cs="Times New Roman"/>
      <w:kern w:val="2"/>
      <w:sz w:val="21"/>
      <w:szCs w:val="22"/>
      <w:lang w:val="en-US" w:eastAsia="zh-CN" w:bidi="ar-SA"/>
    </w:rPr>
  </w:style>
  <w:style w:type="paragraph" w:customStyle="1" w:styleId="11320">
    <w:name w:val="正文1132"/>
    <w:pPr>
      <w:widowControl w:val="0"/>
      <w:jc w:val="both"/>
    </w:pPr>
    <w:rPr>
      <w:rFonts w:ascii="Calibri" w:eastAsia="宋体" w:hAnsi="Calibri" w:cs="Times New Roman"/>
      <w:kern w:val="2"/>
      <w:sz w:val="21"/>
      <w:szCs w:val="24"/>
      <w:lang w:val="en-US" w:eastAsia="zh-CN"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zh-CN" w:bidi="ar-SA"/>
    </w:rPr>
  </w:style>
  <w:style w:type="paragraph" w:customStyle="1" w:styleId="6160">
    <w:name w:val="正文616"/>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470">
    <w:name w:val="正文1047"/>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7560">
    <w:name w:val="正文756"/>
    <w:pPr>
      <w:widowControl w:val="0"/>
      <w:jc w:val="both"/>
    </w:pPr>
    <w:rPr>
      <w:rFonts w:ascii="Calibri" w:eastAsia="宋体" w:hAnsi="Calibri" w:cs="Times New Roman"/>
      <w:kern w:val="2"/>
      <w:sz w:val="21"/>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7312">
    <w:name w:val="纯文本73"/>
    <w:pPr>
      <w:widowControl w:val="0"/>
      <w:jc w:val="both"/>
    </w:pPr>
    <w:rPr>
      <w:rFonts w:ascii="宋体" w:eastAsia="宋体" w:hAnsi="Times New Roman" w:cs="Courier New"/>
      <w:kern w:val="2"/>
      <w:sz w:val="21"/>
      <w:szCs w:val="21"/>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zh-CN"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zh-CN"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9111">
    <w:name w:val="样式 9 11 磅"/>
    <w:rPr>
      <w:rFonts w:ascii="Calibri" w:eastAsia="宋体" w:hAnsi="Calibri" w:cs="Times New Roman"/>
      <w:sz w:val="22"/>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zh-CN"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3115">
    <w:name w:val="正文文本 31"/>
    <w:rPr>
      <w:rFonts w:ascii="宋体" w:eastAsia="宋体" w:hAnsi="Times New Roman" w:cs="宋体"/>
      <w:kern w:val="2"/>
      <w:sz w:val="24"/>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zh-CN" w:bidi="ar-SA"/>
    </w:rPr>
  </w:style>
  <w:style w:type="paragraph" w:customStyle="1" w:styleId="10911">
    <w:name w:val="正文109"/>
    <w:pPr>
      <w:widowControl w:val="0"/>
      <w:jc w:val="both"/>
    </w:pPr>
    <w:rPr>
      <w:rFonts w:ascii="Calibri" w:eastAsia="宋体" w:hAnsi="Calibri" w:cs="Times New Roman"/>
      <w:kern w:val="2"/>
      <w:sz w:val="21"/>
      <w:szCs w:val="24"/>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zh-CN" w:bidi="ar-SA"/>
    </w:rPr>
  </w:style>
  <w:style w:type="paragraph" w:customStyle="1" w:styleId="3330">
    <w:name w:val="正文333"/>
    <w:pPr>
      <w:widowControl w:val="0"/>
      <w:jc w:val="both"/>
    </w:pPr>
    <w:rPr>
      <w:rFonts w:ascii="Calibri" w:eastAsia="宋体" w:hAnsi="Calibri"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zh-CN" w:bidi="ar-SA"/>
    </w:rPr>
  </w:style>
  <w:style w:type="paragraph" w:customStyle="1" w:styleId="1820">
    <w:name w:val="正文182"/>
    <w:pPr>
      <w:widowControl w:val="0"/>
      <w:jc w:val="both"/>
    </w:pPr>
    <w:rPr>
      <w:rFonts w:ascii="Calibri" w:eastAsia="宋体" w:hAnsi="Calibri"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eastAsia="zh-CN"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zh-CN"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4114">
    <w:name w:val="正文_4_1"/>
    <w:next w:val="a8"/>
    <w:pPr>
      <w:widowControl w:val="0"/>
      <w:jc w:val="both"/>
    </w:pPr>
    <w:rPr>
      <w:rFonts w:ascii="Calibri" w:eastAsia="宋体" w:hAnsi="Calibri" w:cs="Times New Roman"/>
      <w:kern w:val="2"/>
      <w:sz w:val="21"/>
      <w:szCs w:val="22"/>
      <w:lang w:val="en-US" w:eastAsia="zh-CN" w:bidi="ar-SA"/>
    </w:rPr>
  </w:style>
  <w:style w:type="paragraph" w:customStyle="1" w:styleId="5880">
    <w:name w:val="正文588"/>
    <w:pPr>
      <w:widowControl w:val="0"/>
      <w:jc w:val="both"/>
    </w:pPr>
    <w:rPr>
      <w:rFonts w:ascii="Calibri" w:eastAsia="宋体" w:hAnsi="Calibri"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zh-CN" w:bidi="ar-SA"/>
    </w:rPr>
  </w:style>
  <w:style w:type="paragraph" w:customStyle="1" w:styleId="6330">
    <w:name w:val="正文633"/>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zh-CN" w:bidi="ar-SA"/>
    </w:rPr>
  </w:style>
  <w:style w:type="paragraph" w:customStyle="1" w:styleId="4211">
    <w:name w:val="纯文本42"/>
    <w:pPr>
      <w:widowControl w:val="0"/>
      <w:jc w:val="both"/>
    </w:pPr>
    <w:rPr>
      <w:rFonts w:ascii="宋体" w:eastAsia="宋体" w:hAnsi="Times New Roman" w:cs="Courier New"/>
      <w:kern w:val="2"/>
      <w:sz w:val="21"/>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4911">
    <w:name w:val="纯文本49"/>
    <w:pPr>
      <w:widowControl w:val="0"/>
      <w:jc w:val="both"/>
    </w:pPr>
    <w:rPr>
      <w:rFonts w:ascii="宋体" w:eastAsia="宋体" w:hAnsi="Times New Roman" w:cs="Courier New"/>
      <w:kern w:val="2"/>
      <w:sz w:val="21"/>
      <w:szCs w:val="21"/>
      <w:lang w:val="en-US" w:eastAsia="zh-CN" w:bidi="ar-SA"/>
    </w:rPr>
  </w:style>
  <w:style w:type="paragraph" w:customStyle="1" w:styleId="1650">
    <w:name w:val="正文165"/>
    <w:pPr>
      <w:widowControl w:val="0"/>
      <w:jc w:val="both"/>
    </w:pPr>
    <w:rPr>
      <w:rFonts w:ascii="Calibri" w:eastAsia="宋体" w:hAnsi="Calibri"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zh-CN"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317">
    <w:name w:val="纯文本131"/>
    <w:pPr>
      <w:widowControl w:val="0"/>
      <w:jc w:val="both"/>
    </w:pPr>
    <w:rPr>
      <w:rFonts w:ascii="宋体" w:eastAsia="宋体" w:hAnsi="Times New Roman" w:cs="Courier New"/>
      <w:kern w:val="2"/>
      <w:sz w:val="21"/>
      <w:szCs w:val="21"/>
      <w:lang w:val="en-US" w:eastAsia="zh-CN" w:bidi="ar-SA"/>
    </w:rPr>
  </w:style>
  <w:style w:type="paragraph" w:customStyle="1" w:styleId="4260">
    <w:name w:val="正文426"/>
    <w:pPr>
      <w:widowControl w:val="0"/>
      <w:jc w:val="both"/>
    </w:pPr>
    <w:rPr>
      <w:rFonts w:ascii="Calibri" w:eastAsia="宋体" w:hAnsi="Calibri" w:cs="Times New Roman"/>
      <w:kern w:val="2"/>
      <w:sz w:val="21"/>
      <w:szCs w:val="24"/>
      <w:lang w:val="en-US" w:eastAsia="zh-CN" w:bidi="ar-SA"/>
    </w:rPr>
  </w:style>
  <w:style w:type="paragraph" w:customStyle="1" w:styleId="3450">
    <w:name w:val="正文345"/>
    <w:pPr>
      <w:widowControl w:val="0"/>
      <w:jc w:val="both"/>
    </w:pPr>
    <w:rPr>
      <w:rFonts w:ascii="Calibri" w:eastAsia="宋体" w:hAnsi="Calibri" w:cs="Times New Roman"/>
      <w:kern w:val="2"/>
      <w:sz w:val="21"/>
      <w:szCs w:val="24"/>
      <w:lang w:val="en-US" w:eastAsia="zh-CN"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zh-CN"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3680">
    <w:name w:val="正文368"/>
    <w:pPr>
      <w:widowControl w:val="0"/>
      <w:jc w:val="both"/>
    </w:pPr>
    <w:rPr>
      <w:rFonts w:ascii="Calibri" w:eastAsia="宋体" w:hAnsi="Calibri" w:cs="Times New Roman"/>
      <w:kern w:val="2"/>
      <w:sz w:val="21"/>
      <w:szCs w:val="24"/>
      <w:lang w:val="en-US" w:eastAsia="zh-CN" w:bidi="ar-SA"/>
    </w:rPr>
  </w:style>
  <w:style w:type="paragraph" w:customStyle="1" w:styleId="3740">
    <w:name w:val="正文374"/>
    <w:pPr>
      <w:widowControl w:val="0"/>
      <w:jc w:val="both"/>
    </w:pPr>
    <w:rPr>
      <w:rFonts w:ascii="Calibri" w:eastAsia="宋体" w:hAnsi="Calibri"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4001">
    <w:name w:val="正文400"/>
    <w:pPr>
      <w:widowControl w:val="0"/>
      <w:jc w:val="both"/>
    </w:pPr>
    <w:rPr>
      <w:rFonts w:ascii="Calibri" w:eastAsia="宋体" w:hAnsi="Calibri"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8080">
    <w:name w:val="正文808"/>
    <w:pPr>
      <w:widowControl w:val="0"/>
      <w:jc w:val="both"/>
    </w:pPr>
    <w:rPr>
      <w:rFonts w:ascii="Calibri" w:eastAsia="宋体" w:hAnsi="Calibri" w:cs="Times New Roman"/>
      <w:kern w:val="2"/>
      <w:sz w:val="21"/>
      <w:szCs w:val="22"/>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next w:val="Index9"/>
    <w:pPr>
      <w:widowControl w:val="0"/>
      <w:jc w:val="both"/>
    </w:pPr>
    <w:rPr>
      <w:rFonts w:ascii="Times New Roman" w:eastAsia="宋体" w:hAnsi="Times New Roman" w:cs="Times New Roman"/>
      <w:kern w:val="2"/>
      <w:sz w:val="21"/>
      <w:szCs w:val="22"/>
      <w:lang w:val="en-US" w:eastAsia="zh-CN" w:bidi="ar-SA"/>
    </w:rPr>
  </w:style>
  <w:style w:type="paragraph" w:customStyle="1" w:styleId="192810">
    <w:name w:val="样式 1928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D7F04C4B-392F-4EA4-8A2A-94D61839D723}">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157257602</TotalTime>
  <Pages>73</Pages>
  <Words>0</Words>
  <Characters>30921</Characters>
  <Application>Microsoft Office Word</Application>
  <DocSecurity>0</DocSecurity>
  <Lines>0</Lines>
  <Paragraphs>965</Paragraphs>
  <ScaleCrop>false</ScaleCrop>
  <Company>ms</Company>
  <LinksUpToDate>false</LinksUpToDate>
  <CharactersWithSpaces>41228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杨柳</cp:lastModifiedBy>
  <cp:revision>6</cp:revision>
  <cp:lastPrinted>2020-06-24T09:06:00Z</cp:lastPrinted>
  <dcterms:created xsi:type="dcterms:W3CDTF">2021-11-24T16:33:00Z</dcterms:created>
  <dcterms:modified xsi:type="dcterms:W3CDTF">2024-12-02T03:13:10Z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3EA2CE56515E4BB4878CFB63A17C2DD6</vt:lpwstr>
  </property>
  <property fmtid="{D5CDD505-2E9C-101B-9397-08002B2CF9AE}" pid="3" name="KSOProductBuildVer">
    <vt:lpwstr>2052-11.8.2.12085</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