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CG2024-PL-GK-HW-017</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海关总署2024年固定式核辐射探测设备采购项目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2024年09月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海关总署2024年固定式核辐射探测设备采购项目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CG2024-PL-GK-HW-017</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海关总署2024年固定式核辐射探测设备采购项目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本项目预算金额合计总金额人民币8,100,000.00元，其中包1人民币8,100,000.00元。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Merge w:val="restart"/>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固定式行人核辐射探测设备</w:t>
            </w:r>
          </w:p>
        </w:tc>
        <w:tc>
          <w:tcPr>
            <w:tcW w:w="652" w:type="dxa"/>
          </w:tcPr>
          <w:p>
            <w:pPr>
              <w:spacing w:after="120" w:line="240" w:lineRule="auto"/>
              <w:rPr>
                <w:rFonts w:ascii="宋体"/>
                <w:b/>
                <w:color w:val="0000FF"/>
                <w:sz w:val="24"/>
                <w:highlight w:val="white"/>
              </w:rPr>
            </w:pPr>
            <w:r>
              <w:t>19</w:t>
            </w:r>
          </w:p>
        </w:tc>
        <w:tc>
          <w:tcPr>
            <w:tcW w:w="1271" w:type="dxa"/>
          </w:tcPr>
          <w:p>
            <w:pPr>
              <w:spacing w:after="120" w:line="240" w:lineRule="auto"/>
              <w:rPr>
                <w:rFonts w:ascii="宋体"/>
                <w:b/>
                <w:color w:val="0000FF"/>
                <w:sz w:val="24"/>
                <w:highlight w:val="white"/>
              </w:rPr>
            </w:pPr>
            <w:r>
              <w:t>300,000.00</w:t>
            </w:r>
          </w:p>
        </w:tc>
        <w:tc>
          <w:tcPr>
            <w:tcW w:w="1271" w:type="dxa"/>
            <w:vMerge w:val="restart"/>
            <w:vAlign w:val="center"/>
          </w:tcPr>
          <w:p>
            <w:pPr>
              <w:spacing w:after="120" w:line="240" w:lineRule="auto"/>
              <w:rPr>
                <w:rFonts w:ascii="宋体"/>
                <w:b/>
                <w:color w:val="0000FF"/>
                <w:sz w:val="24"/>
                <w:highlight w:val="white"/>
              </w:rPr>
            </w:pPr>
            <w:r>
              <w:t>在合同签订之日起50天内完成本项目货物交付。</w:t>
            </w:r>
          </w:p>
        </w:tc>
        <w:tc>
          <w:tcPr>
            <w:tcW w:w="1073" w:type="dxa"/>
            <w:vMerge w:val="restart"/>
            <w:vAlign w:val="center"/>
          </w:tcPr>
          <w:p>
            <w:pPr>
              <w:spacing w:after="120" w:line="240" w:lineRule="auto"/>
              <w:rPr>
                <w:rFonts w:ascii="宋体"/>
                <w:b/>
                <w:color w:val="0000FF"/>
                <w:sz w:val="24"/>
                <w:highlight w:val="white"/>
              </w:rPr>
            </w:pPr>
            <w:r>
              <w:t>海关指定地点</w:t>
            </w:r>
          </w:p>
        </w:tc>
        <w:tc>
          <w:tcPr>
            <w:tcW w:w="1037" w:type="dxa"/>
            <w:vMerge w:val="restart"/>
            <w:vAlign w:val="center"/>
          </w:tcPr>
          <w:p>
            <w:pPr>
              <w:spacing w:after="120" w:line="240" w:lineRule="auto"/>
              <w:rPr>
                <w:rFonts w:ascii="宋体" w:hint="eastAsia"/>
                <w:b/>
                <w:color w:val="0000FF"/>
                <w:sz w:val="24"/>
                <w:highlight w:val="white"/>
              </w:rPr>
            </w:pPr>
            <w:r>
              <w:t>设备质量保证期（免费维修及维护期）自双方签署（采购人指定实际使用单位，即用户）签署货物到货验收签收单并通过验收，签署货物安装调试验收合格报告之日起计算五年。期间免费获得原厂的维护和保修服务，成交供应商每年免费对设备进行一次校验。</w:t>
            </w:r>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0" w:type="dxa"/>
            <w:vMerge/>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2</w:t>
            </w:r>
          </w:p>
        </w:tc>
        <w:tc>
          <w:tcPr>
            <w:tcW w:w="1009" w:type="dxa"/>
          </w:tcPr>
          <w:p>
            <w:pPr>
              <w:spacing w:after="120" w:line="240" w:lineRule="auto"/>
              <w:rPr>
                <w:rFonts w:ascii="宋体"/>
                <w:b/>
                <w:color w:val="0000FF"/>
                <w:sz w:val="24"/>
                <w:highlight w:val="white"/>
              </w:rPr>
            </w:pPr>
            <w:r>
              <w:t>固定式行包核辐射探测设备</w:t>
            </w:r>
          </w:p>
        </w:tc>
        <w:tc>
          <w:tcPr>
            <w:tcW w:w="652" w:type="dxa"/>
          </w:tcPr>
          <w:p>
            <w:pPr>
              <w:spacing w:after="120" w:line="240" w:lineRule="auto"/>
              <w:rPr>
                <w:rFonts w:ascii="宋体"/>
                <w:b/>
                <w:color w:val="0000FF"/>
                <w:sz w:val="24"/>
                <w:highlight w:val="white"/>
              </w:rPr>
            </w:pPr>
            <w:r>
              <w:t>8</w:t>
            </w:r>
          </w:p>
        </w:tc>
        <w:tc>
          <w:tcPr>
            <w:tcW w:w="1271" w:type="dxa"/>
          </w:tcPr>
          <w:p>
            <w:pPr>
              <w:spacing w:after="120" w:line="240" w:lineRule="auto"/>
              <w:rPr>
                <w:rFonts w:ascii="宋体"/>
                <w:b/>
                <w:color w:val="0000FF"/>
                <w:sz w:val="24"/>
                <w:highlight w:val="white"/>
              </w:rPr>
            </w:pPr>
            <w:r>
              <w:t>300,000.00</w:t>
            </w:r>
          </w:p>
        </w:tc>
        <w:tc>
          <w:tcPr>
            <w:tcW w:w="0" w:type="dxa"/>
            <w:vMerge/>
            <w:vAlign w:val="center"/>
          </w:tcPr>
          <w:p>
            <w:pPr>
              <w:spacing w:after="120" w:line="240" w:lineRule="auto"/>
              <w:rPr>
                <w:rFonts w:ascii="宋体"/>
                <w:b/>
                <w:color w:val="0000FF"/>
                <w:sz w:val="24"/>
                <w:highlight w:val="white"/>
              </w:rPr>
            </w:pPr>
            <w:r>
              <w:t>在合同签订之日起50天内完成本项目货物交付。</w:t>
            </w:r>
          </w:p>
        </w:tc>
        <w:tc>
          <w:tcPr>
            <w:tcW w:w="0" w:type="dxa"/>
            <w:vMerge/>
            <w:vAlign w:val="center"/>
          </w:tcPr>
          <w:p>
            <w:pPr>
              <w:spacing w:after="120" w:line="240" w:lineRule="auto"/>
              <w:rPr>
                <w:rFonts w:ascii="宋体"/>
                <w:b/>
                <w:color w:val="0000FF"/>
                <w:sz w:val="24"/>
                <w:highlight w:val="white"/>
              </w:rPr>
            </w:pPr>
            <w:r>
              <w:t>海关指定地点</w:t>
            </w:r>
          </w:p>
        </w:tc>
        <w:tc>
          <w:tcPr>
            <w:tcW w:w="0" w:type="dxa"/>
            <w:vMerge/>
            <w:vAlign w:val="center"/>
          </w:tcPr>
          <w:p>
            <w:pPr>
              <w:spacing w:after="120" w:line="240" w:lineRule="auto"/>
              <w:rPr>
                <w:rFonts w:ascii="宋体" w:hint="eastAsia"/>
                <w:b/>
                <w:color w:val="0000FF"/>
                <w:sz w:val="24"/>
                <w:highlight w:val="white"/>
              </w:rPr>
            </w:pPr>
            <w:r>
              <w:t>设备质量保证期（免费维修及维护期）自双方签署（采购人指定实际使用单位，即用户）签署货物到货验收签收单并通过验收，签署货物安装调试验收合格报告之日起计算五年。期间免费获得原厂的维护和保修服务，成交供应商每年免费对设备进行一次校验。</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2024-09-30 00:00:00</w:t>
      </w:r>
      <w:bookmarkEnd w:id="20"/>
      <w:r>
        <w:rPr>
          <w:rFonts w:ascii="宋体" w:hint="eastAsia"/>
          <w:sz w:val="24"/>
        </w:rPr>
        <w:t>至</w:t>
      </w:r>
      <w:bookmarkStart w:id="21" w:name="公告_signUpLastTime"/>
      <w:r>
        <w:rPr>
          <w:rFonts w:ascii="宋体" w:hint="eastAsia"/>
          <w:sz w:val="24"/>
        </w:rPr>
        <w:t>2024-10-12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2024-10-30 08:30:00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2024-10-30 08:30:00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010-65195902（业务咨询）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于2024-08-28</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海关总署</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本项目预算金额合计总金额人民币8,100,000.00元，其中包1人民币8,100,000.00元。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8,100,000.00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无</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海关总署</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p>
    <w:p>
      <w:pPr>
        <w:tabs>
          <w:tab w:val="left" w:pos="588"/>
        </w:tabs>
        <w:autoSpaceDN w:val="0"/>
        <w:spacing w:line="360" w:lineRule="auto"/>
        <w:rPr>
          <w:rFonts w:ascii="宋体" w:hint="eastAsia"/>
          <w:color w:val="0000FF"/>
          <w:sz w:val="24"/>
        </w:rPr>
      </w:pP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p>
    <w:p>
      <w:pPr>
        <w:tabs>
          <w:tab w:val="left" w:pos="588"/>
        </w:tabs>
        <w:autoSpaceDN w:val="0"/>
        <w:spacing w:line="360" w:lineRule="auto"/>
        <w:rPr>
          <w:rFonts w:ascii="宋体" w:hint="eastAsia"/>
          <w:color w:val="0000FF"/>
          <w:sz w:val="24"/>
        </w:rPr>
      </w:pP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p>
    <w:p>
      <w:pPr>
        <w:tabs>
          <w:tab w:val="left" w:pos="588"/>
        </w:tabs>
        <w:autoSpaceDN w:val="0"/>
        <w:spacing w:line="360" w:lineRule="auto"/>
        <w:rPr>
          <w:rFonts w:ascii="宋体" w:hint="eastAsia"/>
          <w:color w:val="0000FF"/>
          <w:sz w:val="24"/>
        </w:rPr>
      </w:pP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left="361" w:firstLine="551"/>
        <w:rPr>
          <w:rFonts w:eastAsia="方正楷体_GBK"/>
          <w:b/>
          <w:bCs/>
          <w:sz w:val="28"/>
          <w:szCs w:val="28"/>
        </w:rPr>
      </w:pPr>
      <w:bookmarkStart w:id="42" w:name="插入_采购需求书"/>
      <w:r>
        <w:rPr>
          <w:rFonts w:eastAsia="方正楷体_GBK"/>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Times New Roman" w:eastAsia="方正楷体_GBK" w:hAnsi="Times New Roman"/>
          <w:b/>
          <w:bCs/>
          <w:sz w:val="28"/>
          <w:szCs w:val="28"/>
        </w:rPr>
      </w:pPr>
      <w:r>
        <w:rPr>
          <w:rFonts w:ascii="Times New Roman" w:eastAsia="方正楷体_GBK" w:hAnsi="Times New Roman"/>
          <w:b/>
          <w:bCs/>
          <w:sz w:val="28"/>
          <w:szCs w:val="28"/>
        </w:rPr>
        <w:t xml:space="preserve">       带“★”的为必须满足内容，否则作为无效投标处理，不予接受；带“</w:t>
      </w:r>
      <w:r>
        <w:rPr>
          <w:rFonts w:ascii="Times New Roman" w:hAnsi="Times New Roman"/>
          <w:sz w:val="28"/>
          <w:szCs w:val="28"/>
        </w:rPr>
        <w:t>▲</w:t>
      </w:r>
      <w:r>
        <w:rPr>
          <w:rFonts w:ascii="Times New Roman" w:eastAsia="方正楷体_GBK" w:hAnsi="Times New Roman"/>
          <w:b/>
          <w:bCs/>
          <w:sz w:val="28"/>
          <w:szCs w:val="28"/>
        </w:rPr>
        <w:t>”的为重要内容，不满足将严重影响评分；其他技术或服务内容不满足的将影响一般评分。</w:t>
      </w:r>
    </w:p>
    <w:p>
      <w:pPr>
        <w:pStyle w:val="18210"/>
        <w:spacing w:line="400" w:lineRule="exact"/>
        <w:rPr>
          <w:rFonts w:ascii="Times New Roman" w:eastAsia="方正黑体_GBK" w:hAnsi="Times New Roman"/>
          <w:b/>
          <w:sz w:val="28"/>
          <w:szCs w:val="28"/>
        </w:rPr>
      </w:pPr>
      <w:r>
        <w:rPr>
          <w:rFonts w:ascii="Times New Roman" w:eastAsia="方正黑体_GBK" w:hAnsi="Times New Roman"/>
          <w:b/>
          <w:sz w:val="28"/>
          <w:szCs w:val="28"/>
        </w:rPr>
        <w:t>一、项目背景介绍</w:t>
      </w:r>
    </w:p>
    <w:p>
      <w:pPr>
        <w:pStyle w:val="10102"/>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1.项目基本情况</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1.1项目名称和预算金额</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海关总署2024年固定式核辐射</w:t>
      </w:r>
      <w:r>
        <w:rPr>
          <w:rFonts w:ascii="Times New Roman" w:eastAsia="宋体" w:hAnsi="Times New Roman" w:hint="eastAsia"/>
          <w:sz w:val="28"/>
          <w:szCs w:val="28"/>
        </w:rPr>
        <w:t>探测</w:t>
      </w:r>
      <w:r>
        <w:rPr>
          <w:rFonts w:ascii="Times New Roman" w:eastAsia="宋体" w:hAnsi="Times New Roman"/>
          <w:sz w:val="28"/>
          <w:szCs w:val="28"/>
        </w:rPr>
        <w:t>设备采购项目，预算810万元。</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1.2采购项目的功能和目标</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对进出境人员、物品开展口岸核辐射监测，强化对核辐射超标物质的识别和拦截，防范相关物品非法进出境。</w:t>
      </w:r>
    </w:p>
    <w:p>
      <w:pPr>
        <w:pStyle w:val="601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1.3采购项目需实现的政府采购政策目标</w:t>
      </w:r>
    </w:p>
    <w:p>
      <w:pPr>
        <w:pStyle w:val="601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无</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1.4预算绩效目标等内容</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进一步提升海关口岸核辐射监测能力，及时发现和处置核辐射超标物质，保护国门安全。</w:t>
      </w:r>
    </w:p>
    <w:p>
      <w:pPr>
        <w:pStyle w:val="10102"/>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2.需求调查情况</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是否进行需求调查：是</w:t>
      </w:r>
    </w:p>
    <w:p>
      <w:pPr>
        <w:pStyle w:val="10102"/>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3.公开征求意见情况</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是否公开征求意见： 否</w:t>
      </w:r>
    </w:p>
    <w:p>
      <w:pPr>
        <w:pStyle w:val="10102"/>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4.需求审查情况</w:t>
      </w:r>
    </w:p>
    <w:p>
      <w:pPr>
        <w:pStyle w:val="10102"/>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 xml:space="preserve">是否对采购需求进行审查：是 </w:t>
      </w:r>
    </w:p>
    <w:p>
      <w:pPr>
        <w:pStyle w:val="10102"/>
        <w:spacing w:line="400" w:lineRule="exact"/>
        <w:jc w:val="left"/>
        <w:rPr>
          <w:rFonts w:ascii="Times New Roman" w:eastAsia="宋体" w:hAnsi="Times New Roman"/>
          <w:sz w:val="28"/>
          <w:szCs w:val="28"/>
        </w:rPr>
      </w:pPr>
      <w:r>
        <w:rPr>
          <w:rFonts w:ascii="Times New Roman" w:eastAsia="方正黑体_GBK" w:hAnsi="Times New Roman"/>
          <w:b/>
          <w:sz w:val="28"/>
          <w:szCs w:val="28"/>
        </w:rPr>
        <w:t>二、核心产品</w:t>
      </w:r>
    </w:p>
    <w:p>
      <w:pPr>
        <w:pStyle w:val="10102"/>
        <w:spacing w:line="400" w:lineRule="exact"/>
        <w:jc w:val="left"/>
        <w:rPr>
          <w:rFonts w:ascii="Times New Roman" w:eastAsia="宋体" w:hAnsi="Times New Roman"/>
          <w:sz w:val="28"/>
          <w:szCs w:val="28"/>
        </w:rPr>
      </w:pPr>
      <w:r>
        <w:rPr>
          <w:rFonts w:ascii="Times New Roman" w:eastAsia="宋体" w:hAnsi="Times New Roman"/>
          <w:sz w:val="28"/>
          <w:szCs w:val="28"/>
        </w:rPr>
        <w:t>无</w:t>
      </w:r>
    </w:p>
    <w:p>
      <w:pPr>
        <w:pStyle w:val="10102"/>
        <w:spacing w:before="156" w:after="156" w:line="400" w:lineRule="exact"/>
        <w:jc w:val="left"/>
        <w:rPr>
          <w:rFonts w:ascii="Times New Roman" w:eastAsia="方正黑体_GBK" w:hAnsi="Times New Roman"/>
          <w:b/>
          <w:sz w:val="28"/>
          <w:szCs w:val="28"/>
        </w:rPr>
      </w:pPr>
      <w:r>
        <w:rPr>
          <w:rFonts w:ascii="Times New Roman" w:eastAsia="方正黑体_GBK" w:hAnsi="Times New Roman"/>
          <w:b/>
          <w:sz w:val="28"/>
          <w:szCs w:val="28"/>
        </w:rPr>
        <w:t>三、采购需求</w:t>
      </w:r>
    </w:p>
    <w:p>
      <w:pPr>
        <w:pStyle w:val="10102"/>
        <w:spacing w:before="156" w:after="156" w:line="400" w:lineRule="exact"/>
        <w:jc w:val="left"/>
        <w:rPr>
          <w:rFonts w:ascii="Times New Roman" w:eastAsia="方正楷体_GBK" w:hAnsi="Times New Roman"/>
          <w:b/>
          <w:sz w:val="28"/>
          <w:szCs w:val="28"/>
        </w:rPr>
      </w:pPr>
      <w:r>
        <w:rPr>
          <w:rFonts w:ascii="Times New Roman" w:eastAsia="方正楷体_GBK" w:hAnsi="Times New Roman"/>
          <w:b/>
          <w:sz w:val="28"/>
          <w:szCs w:val="28"/>
        </w:rPr>
        <w:t>（一）品目1（</w:t>
      </w:r>
      <w:r>
        <w:rPr>
          <w:rFonts w:ascii="宋体" w:eastAsia="宋体" w:hint="eastAsia"/>
          <w:sz w:val="28"/>
          <w:szCs w:val="28"/>
        </w:rPr>
        <w:t>固定式行人核辐射探测设备</w:t>
      </w:r>
      <w:r>
        <w:rPr>
          <w:rFonts w:ascii="Times New Roman" w:eastAsia="方正楷体_GBK" w:hAnsi="Times New Roman"/>
          <w:b/>
          <w:sz w:val="28"/>
          <w:szCs w:val="28"/>
        </w:rPr>
        <w:t>）</w:t>
      </w:r>
    </w:p>
    <w:p>
      <w:pPr>
        <w:pStyle w:val="10102"/>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p>
    <w:p>
      <w:pPr>
        <w:pStyle w:val="10102"/>
        <w:spacing w:line="400" w:lineRule="exact"/>
        <w:rPr>
          <w:rFonts w:ascii="Times New Roman" w:eastAsia="宋体" w:hAnsi="Times New Roman"/>
          <w:sz w:val="28"/>
          <w:szCs w:val="28"/>
        </w:rPr>
      </w:pPr>
      <w:r>
        <w:rPr>
          <w:rFonts w:ascii="Times New Roman" w:eastAsia="方正仿宋_GBK" w:hAnsi="Times New Roman"/>
          <w:sz w:val="28"/>
          <w:szCs w:val="28"/>
        </w:rPr>
        <w:t xml:space="preserve">    </w:t>
      </w:r>
      <w:r>
        <w:rPr>
          <w:rFonts w:ascii="Times New Roman" w:eastAsia="宋体" w:hAnsi="Times New Roman"/>
          <w:sz w:val="28"/>
          <w:szCs w:val="28"/>
        </w:rPr>
        <w:t>用于旅检现场，通过设备中的伽马探测器、中子探测器，对通过的旅客进行放射性监测，判断旅客是否携带放射性物质，并能在行人藏有放射性物质时识别出放射性核素，为有效防范放射性物质的非法携带提供高效可靠的监测手段。</w:t>
      </w:r>
    </w:p>
    <w:p>
      <w:pPr>
        <w:pStyle w:val="10102"/>
        <w:spacing w:line="400" w:lineRule="exact"/>
        <w:rPr>
          <w:rFonts w:ascii="Times New Roman" w:eastAsia="方正仿宋_GBK" w:hAnsi="Times New Roman"/>
          <w:b/>
          <w:sz w:val="28"/>
          <w:szCs w:val="28"/>
        </w:rPr>
      </w:pPr>
      <w:r>
        <w:rPr>
          <w:rFonts w:ascii="Times New Roman" w:eastAsia="方正仿宋_GBK" w:hAnsi="Times New Roman"/>
          <w:b/>
          <w:sz w:val="28"/>
          <w:szCs w:val="28"/>
        </w:rPr>
        <w:t>2.特殊资质要求</w:t>
      </w:r>
    </w:p>
    <w:p>
      <w:pPr>
        <w:pStyle w:val="10102"/>
        <w:spacing w:line="400" w:lineRule="exact"/>
        <w:rPr>
          <w:rFonts w:ascii="宋体" w:eastAsia="宋体" w:hint="eastAsia"/>
          <w:b/>
          <w:sz w:val="28"/>
          <w:szCs w:val="28"/>
        </w:rPr>
      </w:pPr>
      <w:r>
        <w:rPr>
          <w:rFonts w:ascii="Times New Roman" w:eastAsia="方正仿宋_GBK" w:hAnsi="Times New Roman"/>
          <w:sz w:val="28"/>
          <w:szCs w:val="28"/>
        </w:rPr>
        <w:t xml:space="preserve">    </w:t>
      </w:r>
      <w:r>
        <w:rPr>
          <w:rFonts w:ascii="宋体" w:eastAsia="宋体" w:hint="eastAsia"/>
          <w:b/>
          <w:sz w:val="28"/>
          <w:szCs w:val="28"/>
        </w:rPr>
        <w:t>无</w:t>
      </w:r>
    </w:p>
    <w:p>
      <w:pPr>
        <w:pStyle w:val="10102"/>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94"/>
        <w:gridCol w:w="6734"/>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b/>
                <w:bCs/>
                <w:sz w:val="28"/>
                <w:szCs w:val="28"/>
              </w:rPr>
              <w:t>★</w:t>
            </w:r>
            <w:r>
              <w:rPr>
                <w:rFonts w:ascii="Times New Roman" w:eastAsia="宋体" w:hAnsi="Times New Roman" w:hint="eastAsia"/>
                <w:b/>
                <w:bCs/>
                <w:sz w:val="28"/>
                <w:szCs w:val="28"/>
              </w:rPr>
              <w:t>1.</w:t>
            </w:r>
            <w:r>
              <w:rPr>
                <w:rFonts w:ascii="Times New Roman" w:eastAsia="宋体" w:hAnsi="Times New Roman"/>
                <w:sz w:val="28"/>
                <w:szCs w:val="28"/>
              </w:rPr>
              <w:t>探测器</w:t>
            </w:r>
          </w:p>
        </w:tc>
        <w:tc>
          <w:tcPr>
            <w:tcW w:w="6734" w:type="dxa"/>
          </w:tcPr>
          <w:p>
            <w:pPr>
              <w:pStyle w:val="6810"/>
              <w:autoSpaceDN w:val="0"/>
              <w:spacing w:line="400" w:lineRule="exact"/>
              <w:rPr>
                <w:rFonts w:ascii="Times New Roman" w:eastAsia="宋体" w:hAnsi="Times New Roman"/>
                <w:b/>
                <w:bCs/>
                <w:sz w:val="28"/>
                <w:szCs w:val="28"/>
              </w:rPr>
            </w:pPr>
            <w:r>
              <w:rPr>
                <w:rFonts w:ascii="Times New Roman" w:eastAsia="宋体" w:hAnsi="Times New Roman"/>
                <w:sz w:val="28"/>
                <w:szCs w:val="28"/>
              </w:rPr>
              <w:t>可探测γ射线和中子源的存在，并识别行人体内或行人携带的γ核素种类；设备采用双侧探测形式，门式两侧均应有γ和中子探测器。非探测面须使用有效的屏蔽措施，保证对本底的有效屏蔽。</w:t>
            </w:r>
          </w:p>
        </w:tc>
      </w:tr>
      <w:tr>
        <w:tblPrEx>
          <w:jc w:val="left"/>
          <w:tblInd w:w="0" w:type="dxa"/>
          <w:tblCellMar>
            <w:top w:w="0" w:type="dxa"/>
            <w:left w:w="108" w:type="dxa"/>
            <w:bottom w:w="0" w:type="dxa"/>
            <w:right w:w="108" w:type="dxa"/>
          </w:tblCellMar>
        </w:tblPrEx>
        <w:trPr>
          <w:trHeight w:val="1088"/>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b/>
                <w:bCs/>
                <w:sz w:val="28"/>
                <w:szCs w:val="28"/>
              </w:rPr>
              <w:t>★</w:t>
            </w:r>
            <w:r>
              <w:rPr>
                <w:rFonts w:ascii="Times New Roman" w:eastAsia="宋体" w:hAnsi="Times New Roman" w:hint="eastAsia"/>
                <w:b/>
                <w:bCs/>
                <w:sz w:val="28"/>
                <w:szCs w:val="28"/>
              </w:rPr>
              <w:t>2.</w:t>
            </w:r>
            <w:r>
              <w:rPr>
                <w:rFonts w:ascii="Times New Roman" w:eastAsia="宋体" w:hAnsi="Times New Roman"/>
                <w:sz w:val="28"/>
                <w:szCs w:val="28"/>
              </w:rPr>
              <w:t>误报警率</w:t>
            </w:r>
          </w:p>
        </w:tc>
        <w:tc>
          <w:tcPr>
            <w:tcW w:w="6734" w:type="dxa"/>
          </w:tcPr>
          <w:p>
            <w:pPr>
              <w:pStyle w:val="6810"/>
              <w:autoSpaceDN w:val="0"/>
              <w:spacing w:line="400" w:lineRule="exact"/>
              <w:rPr>
                <w:rFonts w:ascii="Times New Roman" w:eastAsia="宋体" w:hAnsi="Times New Roman"/>
                <w:b/>
                <w:bCs/>
                <w:sz w:val="28"/>
                <w:szCs w:val="28"/>
              </w:rPr>
            </w:pPr>
            <w:r>
              <w:rPr>
                <w:rFonts w:ascii="Times New Roman" w:eastAsia="宋体" w:hAnsi="Times New Roman"/>
                <w:sz w:val="28"/>
                <w:szCs w:val="28"/>
              </w:rPr>
              <w:t>应满足GB/T31836-2015中的5.4条款。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3.</w:t>
            </w:r>
            <w:r>
              <w:rPr>
                <w:rFonts w:ascii="Times New Roman" w:eastAsia="宋体" w:hAnsi="Times New Roman"/>
                <w:sz w:val="28"/>
                <w:szCs w:val="28"/>
              </w:rPr>
              <w:t>γ辐射响应</w:t>
            </w:r>
          </w:p>
        </w:tc>
        <w:tc>
          <w:tcPr>
            <w:tcW w:w="6734" w:type="dxa"/>
          </w:tcPr>
          <w:p>
            <w:pPr>
              <w:pStyle w:val="6810"/>
              <w:autoSpaceDN w:val="0"/>
              <w:spacing w:line="400" w:lineRule="exact"/>
              <w:rPr>
                <w:rFonts w:ascii="Times New Roman" w:eastAsia="宋体" w:hAnsi="Times New Roman"/>
                <w:b/>
                <w:bCs/>
                <w:sz w:val="28"/>
                <w:szCs w:val="28"/>
              </w:rPr>
            </w:pPr>
            <w:r>
              <w:rPr>
                <w:rFonts w:ascii="Times New Roman" w:eastAsia="宋体" w:hAnsi="Times New Roman"/>
                <w:sz w:val="28"/>
                <w:szCs w:val="28"/>
              </w:rPr>
              <w:t>应满足GB/T31836-2015中的5.5条款。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4.</w:t>
            </w:r>
            <w:r>
              <w:rPr>
                <w:rFonts w:ascii="Times New Roman" w:eastAsia="宋体" w:hAnsi="Times New Roman"/>
                <w:sz w:val="28"/>
                <w:szCs w:val="28"/>
              </w:rPr>
              <w:t>中子辐射响应</w:t>
            </w:r>
          </w:p>
        </w:tc>
        <w:tc>
          <w:tcPr>
            <w:tcW w:w="6734" w:type="dxa"/>
          </w:tcPr>
          <w:p>
            <w:pPr>
              <w:pStyle w:val="6810"/>
              <w:autoSpaceDN w:val="0"/>
              <w:spacing w:line="400" w:lineRule="exact"/>
              <w:rPr>
                <w:rFonts w:ascii="Times New Roman" w:eastAsia="宋体" w:hAnsi="Times New Roman"/>
                <w:b/>
                <w:bCs/>
                <w:sz w:val="28"/>
                <w:szCs w:val="28"/>
              </w:rPr>
            </w:pPr>
            <w:r>
              <w:rPr>
                <w:rFonts w:ascii="Times New Roman" w:eastAsia="宋体" w:hAnsi="Times New Roman"/>
                <w:sz w:val="28"/>
                <w:szCs w:val="28"/>
              </w:rPr>
              <w:t>应满足GB/T31836-2015中的5.7条款。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5.</w:t>
            </w:r>
            <w:r>
              <w:rPr>
                <w:rFonts w:ascii="Times New Roman" w:eastAsia="宋体" w:hAnsi="Times New Roman"/>
                <w:sz w:val="28"/>
                <w:szCs w:val="28"/>
              </w:rPr>
              <w:t>核素种类</w:t>
            </w:r>
          </w:p>
        </w:tc>
        <w:tc>
          <w:tcPr>
            <w:tcW w:w="6734" w:type="dxa"/>
          </w:tcPr>
          <w:p>
            <w:pPr>
              <w:pStyle w:val="68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应满足GB/T31836-2015中的5.11.1条款。</w:t>
            </w:r>
            <w:r>
              <w:rPr>
                <w:rFonts w:ascii="方正楷体_GBK" w:eastAsia="方正楷体_GBK" w:hint="eastAsia"/>
                <w:b/>
                <w:sz w:val="28"/>
                <w:szCs w:val="28"/>
              </w:rPr>
              <w:t>（提供技术手册及操作系统中的信息）</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6.</w:t>
            </w:r>
            <w:r>
              <w:rPr>
                <w:rFonts w:ascii="Times New Roman" w:eastAsia="宋体" w:hAnsi="Times New Roman"/>
                <w:sz w:val="28"/>
                <w:szCs w:val="28"/>
              </w:rPr>
              <w:t>核素识别</w:t>
            </w:r>
          </w:p>
        </w:tc>
        <w:tc>
          <w:tcPr>
            <w:tcW w:w="6734" w:type="dxa"/>
          </w:tcPr>
          <w:p>
            <w:pPr>
              <w:pStyle w:val="6810"/>
              <w:autoSpaceDN w:val="0"/>
              <w:spacing w:line="400" w:lineRule="exact"/>
              <w:rPr>
                <w:rFonts w:ascii="Times New Roman" w:eastAsia="宋体" w:hAnsi="Times New Roman"/>
                <w:b/>
                <w:bCs/>
                <w:sz w:val="28"/>
                <w:szCs w:val="28"/>
              </w:rPr>
            </w:pPr>
            <w:r>
              <w:rPr>
                <w:rFonts w:ascii="Times New Roman" w:eastAsia="宋体" w:hAnsi="Times New Roman"/>
                <w:sz w:val="28"/>
                <w:szCs w:val="28"/>
              </w:rPr>
              <w:t>单核素识别应满足GB/T31836-2015中的5.11.4条款；多核素识别应满足应满足GB/T31836-2015中的5.11.6条款；核素库中没有的核素应显示或另外提供指示，如“无法识别”、“未知源”等。</w:t>
            </w:r>
            <w:r>
              <w:rPr>
                <w:rFonts w:ascii="方正楷体_GBK" w:eastAsia="方正楷体_GBK" w:hint="eastAsia"/>
                <w:b/>
                <w:sz w:val="28"/>
                <w:szCs w:val="28"/>
              </w:rPr>
              <w:t>（提供具有CMA或CNAS资质的第三方检测报告，报告中至少包含Cs-137、Co-60、Am-241、Ba-133、Th-232、K-40、Co-57、I-131、Tc-99m、Tl-201、Ra-226、Ir-192等核素）</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7.</w:t>
            </w:r>
            <w:r>
              <w:rPr>
                <w:rFonts w:ascii="Times New Roman" w:eastAsia="宋体" w:hAnsi="Times New Roman"/>
                <w:sz w:val="28"/>
                <w:szCs w:val="28"/>
              </w:rPr>
              <w:t>探测区域</w:t>
            </w:r>
          </w:p>
        </w:tc>
        <w:tc>
          <w:tcPr>
            <w:tcW w:w="6734" w:type="dxa"/>
          </w:tcPr>
          <w:p>
            <w:pPr>
              <w:pStyle w:val="6810"/>
              <w:autoSpaceDN w:val="0"/>
              <w:spacing w:line="400" w:lineRule="exact"/>
              <w:rPr>
                <w:rFonts w:ascii="Times New Roman" w:eastAsia="宋体" w:hAnsi="Times New Roman"/>
                <w:b/>
                <w:bCs/>
                <w:sz w:val="28"/>
                <w:szCs w:val="28"/>
              </w:rPr>
            </w:pPr>
            <w:r>
              <w:rPr>
                <w:rFonts w:ascii="Times New Roman" w:eastAsia="宋体" w:hAnsi="Times New Roman"/>
                <w:bCs/>
                <w:sz w:val="28"/>
                <w:szCs w:val="28"/>
              </w:rPr>
              <w:t>探测区域高度0.1~1.9m，宽度0~1.5m；设备通道物理高度≥2m，物理宽度≥1.5m。</w:t>
            </w:r>
            <w:r>
              <w:rPr>
                <w:rFonts w:ascii="方正楷体_GBK" w:eastAsia="方正楷体_GBK" w:hint="eastAsia"/>
                <w:b/>
                <w:bCs/>
                <w:sz w:val="28"/>
                <w:szCs w:val="28"/>
              </w:rPr>
              <w:t>（提供设备实物照片）</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sz w:val="28"/>
                <w:szCs w:val="28"/>
              </w:rPr>
            </w:pPr>
            <w:r>
              <w:rPr>
                <w:rFonts w:ascii="Times New Roman" w:eastAsia="宋体" w:hAnsi="Times New Roman"/>
                <w:sz w:val="28"/>
                <w:szCs w:val="28"/>
              </w:rPr>
              <w:t>▲</w:t>
            </w:r>
            <w:r>
              <w:rPr>
                <w:rFonts w:ascii="Times New Roman" w:eastAsia="宋体" w:hAnsi="Times New Roman" w:hint="eastAsia"/>
                <w:sz w:val="28"/>
                <w:szCs w:val="28"/>
              </w:rPr>
              <w:t>8.</w:t>
            </w:r>
            <w:r>
              <w:rPr>
                <w:rFonts w:ascii="Times New Roman" w:eastAsia="宋体" w:hAnsi="Times New Roman"/>
                <w:sz w:val="28"/>
                <w:szCs w:val="28"/>
              </w:rPr>
              <w:t>电磁性能</w:t>
            </w:r>
          </w:p>
        </w:tc>
        <w:tc>
          <w:tcPr>
            <w:tcW w:w="6734" w:type="dxa"/>
          </w:tcPr>
          <w:p>
            <w:pPr>
              <w:pStyle w:val="68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应满足GB/T31836-2015中的5.14条款。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9.</w:t>
            </w:r>
            <w:r>
              <w:rPr>
                <w:rFonts w:ascii="Times New Roman" w:eastAsia="宋体" w:hAnsi="Times New Roman"/>
                <w:sz w:val="28"/>
                <w:szCs w:val="28"/>
              </w:rPr>
              <w:t>联网功能</w:t>
            </w:r>
          </w:p>
        </w:tc>
        <w:tc>
          <w:tcPr>
            <w:tcW w:w="6734" w:type="dxa"/>
          </w:tcPr>
          <w:p>
            <w:pPr>
              <w:pStyle w:val="6810"/>
              <w:autoSpaceDN w:val="0"/>
              <w:spacing w:line="400" w:lineRule="exact"/>
              <w:rPr>
                <w:rFonts w:ascii="Times New Roman" w:eastAsia="宋体" w:hAnsi="Times New Roman"/>
                <w:sz w:val="28"/>
                <w:szCs w:val="28"/>
              </w:rPr>
            </w:pPr>
            <w:r>
              <w:rPr>
                <w:rFonts w:ascii="Times New Roman" w:eastAsia="宋体" w:hAnsi="Times New Roman"/>
                <w:sz w:val="28"/>
                <w:szCs w:val="28"/>
              </w:rPr>
              <w:t>设备应能接入海关网络，符合《核辐射探测应用辐射探测数据通信传输接口标准》（详见附件</w:t>
            </w:r>
            <w:r>
              <w:rPr>
                <w:rFonts w:ascii="Times New Roman" w:eastAsia="宋体" w:hAnsi="Times New Roman" w:hint="eastAsia"/>
                <w:sz w:val="28"/>
                <w:szCs w:val="28"/>
              </w:rPr>
              <w:t>1</w:t>
            </w:r>
            <w:r>
              <w:rPr>
                <w:rFonts w:ascii="Times New Roman" w:eastAsia="宋体" w:hAnsi="Times New Roman"/>
                <w:sz w:val="28"/>
                <w:szCs w:val="28"/>
              </w:rPr>
              <w:t>）和《辐射探测设备接入海关管理网现场实施指导方案》（详见附件</w:t>
            </w:r>
            <w:r>
              <w:rPr>
                <w:rFonts w:ascii="Times New Roman" w:eastAsia="宋体" w:hAnsi="Times New Roman" w:hint="eastAsia"/>
                <w:sz w:val="28"/>
                <w:szCs w:val="28"/>
              </w:rPr>
              <w:t>2</w:t>
            </w:r>
            <w:r>
              <w:rPr>
                <w:rFonts w:ascii="Times New Roman" w:eastAsia="宋体" w:hAnsi="Times New Roman"/>
                <w:sz w:val="28"/>
                <w:szCs w:val="28"/>
              </w:rPr>
              <w:t xml:space="preserve">）要求。入网安全应当符合海关网络安全管理相关规定。 </w:t>
            </w:r>
            <w:r>
              <w:rPr>
                <w:rFonts w:ascii="方正楷体_GBK" w:eastAsia="方正楷体_GBK" w:hint="eastAsia"/>
                <w:b/>
                <w:sz w:val="28"/>
                <w:szCs w:val="28"/>
              </w:rPr>
              <w:t>(提供加盖投标人公章的承诺函)</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Cs/>
                <w:sz w:val="28"/>
                <w:szCs w:val="28"/>
              </w:rPr>
            </w:pPr>
            <w:r>
              <w:rPr>
                <w:rFonts w:ascii="Times New Roman" w:eastAsia="宋体" w:hAnsi="Times New Roman" w:hint="eastAsia"/>
                <w:sz w:val="28"/>
                <w:szCs w:val="28"/>
              </w:rPr>
              <w:t>10.</w:t>
            </w:r>
            <w:r>
              <w:rPr>
                <w:rFonts w:ascii="Times New Roman" w:eastAsia="宋体" w:hAnsi="Times New Roman"/>
                <w:sz w:val="28"/>
                <w:szCs w:val="28"/>
              </w:rPr>
              <w:t>报警功能</w:t>
            </w:r>
          </w:p>
        </w:tc>
        <w:tc>
          <w:tcPr>
            <w:tcW w:w="6734" w:type="dxa"/>
          </w:tcPr>
          <w:p>
            <w:pPr>
              <w:pStyle w:val="6810"/>
              <w:autoSpaceDN w:val="0"/>
              <w:spacing w:line="400" w:lineRule="exact"/>
              <w:rPr>
                <w:rFonts w:ascii="Times New Roman" w:eastAsia="宋体" w:hAnsi="Times New Roman"/>
                <w:bCs/>
                <w:sz w:val="28"/>
                <w:szCs w:val="28"/>
              </w:rPr>
            </w:pPr>
            <w:r>
              <w:rPr>
                <w:rFonts w:ascii="Times New Roman" w:eastAsia="宋体" w:hAnsi="Times New Roman"/>
                <w:sz w:val="28"/>
                <w:szCs w:val="28"/>
              </w:rPr>
              <w:t>应满足GB/T31836-2015中的5.6条款，且报警阈值可调整。</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11.</w:t>
            </w:r>
            <w:r>
              <w:rPr>
                <w:rFonts w:ascii="Times New Roman" w:eastAsia="宋体" w:hAnsi="Times New Roman"/>
                <w:sz w:val="28"/>
                <w:szCs w:val="28"/>
              </w:rPr>
              <w:t>能量范围</w:t>
            </w:r>
          </w:p>
        </w:tc>
        <w:tc>
          <w:tcPr>
            <w:tcW w:w="6734" w:type="dxa"/>
          </w:tcPr>
          <w:p>
            <w:pPr>
              <w:pStyle w:val="6810"/>
              <w:autoSpaceDN w:val="0"/>
              <w:spacing w:line="400" w:lineRule="exact"/>
              <w:rPr>
                <w:rFonts w:ascii="Times New Roman" w:eastAsia="华文楷体" w:hAnsi="Times New Roman"/>
                <w:b/>
                <w:bCs/>
                <w:sz w:val="28"/>
                <w:szCs w:val="28"/>
              </w:rPr>
            </w:pPr>
            <w:r>
              <w:rPr>
                <w:rFonts w:ascii="Times New Roman" w:eastAsia="宋体" w:hAnsi="Times New Roman"/>
                <w:sz w:val="28"/>
                <w:szCs w:val="28"/>
              </w:rPr>
              <w:t>应满足GB/T31836-2015中的4.9条款。</w:t>
            </w:r>
            <w:r>
              <w:rPr>
                <w:rFonts w:ascii="方正楷体_GBK" w:eastAsia="方正楷体_GBK" w:hint="eastAsia"/>
                <w:b/>
                <w:sz w:val="28"/>
                <w:szCs w:val="28"/>
              </w:rPr>
              <w:t>（提供加盖投标人公章的技术说明）</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Cs/>
                <w:sz w:val="28"/>
                <w:szCs w:val="28"/>
              </w:rPr>
            </w:pPr>
            <w:r>
              <w:rPr>
                <w:rFonts w:ascii="Times New Roman" w:eastAsia="宋体" w:hAnsi="Times New Roman" w:hint="eastAsia"/>
                <w:sz w:val="28"/>
                <w:szCs w:val="28"/>
              </w:rPr>
              <w:t>12.</w:t>
            </w:r>
            <w:r>
              <w:rPr>
                <w:rFonts w:ascii="Times New Roman" w:eastAsia="宋体" w:hAnsi="Times New Roman"/>
                <w:sz w:val="28"/>
                <w:szCs w:val="28"/>
              </w:rPr>
              <w:t>本底监测</w:t>
            </w:r>
          </w:p>
        </w:tc>
        <w:tc>
          <w:tcPr>
            <w:tcW w:w="6734" w:type="dxa"/>
          </w:tcPr>
          <w:p>
            <w:pPr>
              <w:pStyle w:val="16610"/>
              <w:autoSpaceDN w:val="0"/>
              <w:spacing w:line="400" w:lineRule="exact"/>
              <w:jc w:val="left"/>
              <w:rPr>
                <w:rFonts w:ascii="Times New Roman" w:eastAsia="宋体" w:hAnsi="Times New Roman"/>
                <w:sz w:val="28"/>
                <w:szCs w:val="28"/>
              </w:rPr>
            </w:pPr>
            <w:r>
              <w:rPr>
                <w:rFonts w:ascii="Times New Roman" w:eastAsia="宋体" w:hAnsi="Times New Roman"/>
                <w:sz w:val="28"/>
                <w:szCs w:val="28"/>
              </w:rPr>
              <w:t>实时动态本底监测，确保报警阈值随本底波动动态更新</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Cs/>
                <w:sz w:val="28"/>
                <w:szCs w:val="28"/>
              </w:rPr>
            </w:pPr>
            <w:r>
              <w:rPr>
                <w:rFonts w:ascii="Times New Roman" w:eastAsia="宋体" w:hAnsi="Times New Roman" w:hint="eastAsia"/>
                <w:bCs/>
                <w:sz w:val="28"/>
                <w:szCs w:val="28"/>
              </w:rPr>
              <w:t>13.</w:t>
            </w:r>
            <w:r>
              <w:rPr>
                <w:rFonts w:ascii="Times New Roman" w:eastAsia="宋体" w:hAnsi="Times New Roman"/>
                <w:bCs/>
                <w:sz w:val="28"/>
                <w:szCs w:val="28"/>
              </w:rPr>
              <w:t>抓拍系统</w:t>
            </w:r>
          </w:p>
        </w:tc>
        <w:tc>
          <w:tcPr>
            <w:tcW w:w="6734" w:type="dxa"/>
          </w:tcPr>
          <w:p>
            <w:pPr>
              <w:pStyle w:val="16610"/>
              <w:autoSpaceDN w:val="0"/>
              <w:spacing w:line="400" w:lineRule="exact"/>
              <w:rPr>
                <w:rFonts w:ascii="Times New Roman" w:eastAsia="宋体" w:hAnsi="Times New Roman"/>
                <w:sz w:val="28"/>
                <w:szCs w:val="28"/>
              </w:rPr>
            </w:pPr>
            <w:r>
              <w:rPr>
                <w:rFonts w:ascii="Times New Roman" w:eastAsia="宋体" w:hAnsi="Times New Roman"/>
                <w:sz w:val="28"/>
                <w:szCs w:val="28"/>
              </w:rPr>
              <w:t>对通过监测区域的行人触发报警后进行图像和视频抓拍。</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Cs/>
                <w:sz w:val="28"/>
                <w:szCs w:val="28"/>
              </w:rPr>
            </w:pPr>
            <w:r>
              <w:rPr>
                <w:rFonts w:ascii="Times New Roman" w:eastAsia="宋体" w:hAnsi="Times New Roman" w:hint="eastAsia"/>
                <w:bCs/>
                <w:sz w:val="28"/>
                <w:szCs w:val="28"/>
              </w:rPr>
              <w:t>14.</w:t>
            </w:r>
            <w:r>
              <w:rPr>
                <w:rFonts w:ascii="Times New Roman" w:eastAsia="宋体" w:hAnsi="Times New Roman"/>
                <w:bCs/>
                <w:sz w:val="28"/>
                <w:szCs w:val="28"/>
              </w:rPr>
              <w:t>应用软件</w:t>
            </w:r>
          </w:p>
        </w:tc>
        <w:tc>
          <w:tcPr>
            <w:tcW w:w="6734" w:type="dxa"/>
          </w:tcPr>
          <w:p>
            <w:pPr>
              <w:pStyle w:val="16710"/>
              <w:autoSpaceDN w:val="0"/>
              <w:spacing w:line="400" w:lineRule="exact"/>
              <w:rPr>
                <w:rFonts w:ascii="Times New Roman" w:eastAsia="宋体" w:hAnsi="Times New Roman"/>
                <w:bCs/>
                <w:sz w:val="28"/>
                <w:szCs w:val="28"/>
              </w:rPr>
            </w:pPr>
            <w:r>
              <w:rPr>
                <w:rFonts w:ascii="Times New Roman" w:eastAsia="宋体" w:hAnsi="Times New Roman"/>
                <w:bCs/>
                <w:sz w:val="28"/>
                <w:szCs w:val="28"/>
              </w:rPr>
              <w:t>（1）监测系统能实时显示γ计数率曲线，中子计数率曲线，详细的报警信息（报警计数率曲线，核素识别结果）应可静态显示；</w:t>
            </w:r>
          </w:p>
          <w:p>
            <w:pPr>
              <w:pStyle w:val="16710"/>
              <w:autoSpaceDN w:val="0"/>
              <w:spacing w:line="400" w:lineRule="exact"/>
              <w:rPr>
                <w:rFonts w:ascii="Times New Roman" w:eastAsia="宋体" w:hAnsi="Times New Roman"/>
                <w:bCs/>
                <w:sz w:val="28"/>
                <w:szCs w:val="28"/>
              </w:rPr>
            </w:pPr>
            <w:r>
              <w:rPr>
                <w:rFonts w:ascii="Times New Roman" w:eastAsia="宋体" w:hAnsi="Times New Roman"/>
                <w:sz w:val="28"/>
                <w:szCs w:val="28"/>
              </w:rPr>
              <w:t>（2）可即时存储本地放射性物质监测系统的监测与报警数据，根据时间查询历史报警记录。可查询的报警信息包括设备信息、报警阈值信息、报警类型、通行时间、抓拍图像（视频）、核素信息等。</w:t>
            </w:r>
          </w:p>
          <w:p>
            <w:pPr>
              <w:pStyle w:val="16710"/>
              <w:autoSpaceDN w:val="0"/>
              <w:spacing w:line="400" w:lineRule="exact"/>
              <w:rPr>
                <w:rFonts w:ascii="Times New Roman" w:eastAsia="宋体" w:hAnsi="Times New Roman"/>
                <w:bCs/>
                <w:sz w:val="28"/>
                <w:szCs w:val="28"/>
              </w:rPr>
            </w:pPr>
            <w:r>
              <w:rPr>
                <w:rFonts w:ascii="Times New Roman" w:eastAsia="宋体" w:hAnsi="Times New Roman"/>
                <w:sz w:val="28"/>
                <w:szCs w:val="28"/>
              </w:rPr>
              <w:t>（3）需有全中文应用软件及配套的用户手册。</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Cs/>
                <w:sz w:val="28"/>
                <w:szCs w:val="28"/>
              </w:rPr>
            </w:pPr>
            <w:r>
              <w:rPr>
                <w:rFonts w:ascii="Times New Roman" w:eastAsia="宋体" w:hAnsi="Times New Roman" w:hint="eastAsia"/>
                <w:sz w:val="28"/>
                <w:szCs w:val="28"/>
              </w:rPr>
              <w:t>15.</w:t>
            </w:r>
            <w:r>
              <w:rPr>
                <w:rFonts w:ascii="Times New Roman" w:eastAsia="宋体" w:hAnsi="Times New Roman"/>
                <w:sz w:val="28"/>
                <w:szCs w:val="28"/>
              </w:rPr>
              <w:t>工作温度</w:t>
            </w:r>
          </w:p>
        </w:tc>
        <w:tc>
          <w:tcPr>
            <w:tcW w:w="6734" w:type="dxa"/>
          </w:tcPr>
          <w:p>
            <w:pPr>
              <w:pStyle w:val="20410"/>
              <w:autoSpaceDN w:val="0"/>
              <w:spacing w:line="400" w:lineRule="exact"/>
              <w:rPr>
                <w:rFonts w:ascii="Times New Roman" w:eastAsia="宋体" w:hAnsi="Times New Roman"/>
                <w:sz w:val="28"/>
                <w:szCs w:val="28"/>
              </w:rPr>
            </w:pPr>
            <w:r>
              <w:rPr>
                <w:rFonts w:ascii="Times New Roman" w:eastAsia="宋体" w:hAnsi="Times New Roman"/>
                <w:sz w:val="28"/>
                <w:szCs w:val="28"/>
              </w:rPr>
              <w:t>-30</w:t>
            </w:r>
            <w:r>
              <w:rPr>
                <w:rFonts w:ascii="Times New Roman" w:eastAsia="宋体" w:hAnsi="Times New Roman" w:hint="eastAsia"/>
                <w:sz w:val="28"/>
                <w:szCs w:val="28"/>
              </w:rPr>
              <w:t>℃</w:t>
            </w:r>
            <w:r>
              <w:rPr>
                <w:rFonts w:ascii="Times New Roman" w:eastAsia="宋体" w:hAnsi="Times New Roman"/>
                <w:sz w:val="28"/>
                <w:szCs w:val="28"/>
              </w:rPr>
              <w:t>~55</w:t>
            </w:r>
            <w:r>
              <w:rPr>
                <w:rFonts w:ascii="Times New Roman" w:eastAsia="宋体" w:hAnsi="Times New Roman" w:hint="eastAsia"/>
                <w:sz w:val="28"/>
                <w:szCs w:val="28"/>
              </w:rPr>
              <w:t>℃</w:t>
            </w:r>
            <w:r>
              <w:rPr>
                <w:rFonts w:ascii="Times New Roman" w:eastAsia="宋体" w:hAnsi="Times New Roman"/>
                <w:sz w:val="28"/>
                <w:szCs w:val="28"/>
              </w:rPr>
              <w:t>。</w:t>
            </w:r>
            <w:r>
              <w:rPr>
                <w:rFonts w:ascii="方正楷体_GBK" w:eastAsia="方正楷体_GBK" w:hint="eastAsia"/>
                <w:b/>
                <w:sz w:val="28"/>
                <w:szCs w:val="28"/>
              </w:rPr>
              <w:t>（提供加盖投标人公章的承诺函）</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Cs/>
                <w:sz w:val="28"/>
                <w:szCs w:val="28"/>
              </w:rPr>
            </w:pPr>
            <w:r>
              <w:rPr>
                <w:rFonts w:ascii="Times New Roman" w:eastAsia="宋体" w:hAnsi="Times New Roman" w:hint="eastAsia"/>
                <w:sz w:val="28"/>
                <w:szCs w:val="28"/>
              </w:rPr>
              <w:t>16.</w:t>
            </w:r>
            <w:r>
              <w:rPr>
                <w:rFonts w:ascii="Times New Roman" w:eastAsia="宋体" w:hAnsi="Times New Roman"/>
                <w:sz w:val="28"/>
                <w:szCs w:val="28"/>
              </w:rPr>
              <w:t>工作湿度</w:t>
            </w:r>
          </w:p>
        </w:tc>
        <w:tc>
          <w:tcPr>
            <w:tcW w:w="6734" w:type="dxa"/>
          </w:tcPr>
          <w:p>
            <w:pPr>
              <w:pStyle w:val="20410"/>
              <w:autoSpaceDN w:val="0"/>
              <w:spacing w:line="400" w:lineRule="exact"/>
              <w:rPr>
                <w:rFonts w:ascii="Times New Roman" w:eastAsia="宋体" w:hAnsi="Times New Roman"/>
              </w:rPr>
            </w:pPr>
            <w:r>
              <w:rPr>
                <w:rFonts w:ascii="Times New Roman" w:eastAsia="宋体" w:hAnsi="Times New Roman"/>
                <w:sz w:val="28"/>
                <w:szCs w:val="28"/>
              </w:rPr>
              <w:t>0~95%。</w:t>
            </w:r>
            <w:r>
              <w:rPr>
                <w:rFonts w:ascii="方正楷体_GBK" w:eastAsia="方正楷体_GBK" w:hint="eastAsia"/>
                <w:b/>
                <w:sz w:val="28"/>
                <w:szCs w:val="28"/>
              </w:rPr>
              <w:t>（提供加盖投标人公章的承诺函）</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Cs/>
                <w:sz w:val="28"/>
                <w:szCs w:val="28"/>
              </w:rPr>
            </w:pPr>
            <w:r>
              <w:rPr>
                <w:rFonts w:ascii="Times New Roman" w:eastAsia="宋体" w:hAnsi="Times New Roman" w:hint="eastAsia"/>
                <w:sz w:val="28"/>
                <w:szCs w:val="28"/>
              </w:rPr>
              <w:t>17.</w:t>
            </w:r>
            <w:r>
              <w:rPr>
                <w:rFonts w:ascii="Times New Roman" w:eastAsia="宋体" w:hAnsi="Times New Roman"/>
                <w:sz w:val="28"/>
                <w:szCs w:val="28"/>
              </w:rPr>
              <w:t>防护等级</w:t>
            </w:r>
          </w:p>
        </w:tc>
        <w:tc>
          <w:tcPr>
            <w:tcW w:w="6734" w:type="dxa"/>
          </w:tcPr>
          <w:p>
            <w:pPr>
              <w:pStyle w:val="20510"/>
              <w:autoSpaceDN w:val="0"/>
              <w:spacing w:line="400" w:lineRule="exact"/>
              <w:rPr>
                <w:rFonts w:ascii="Times New Roman" w:eastAsia="宋体" w:hAnsi="Times New Roman"/>
                <w:sz w:val="28"/>
                <w:szCs w:val="28"/>
              </w:rPr>
            </w:pPr>
            <w:r>
              <w:rPr>
                <w:rFonts w:ascii="Times New Roman" w:eastAsia="宋体" w:hAnsi="Times New Roman"/>
                <w:sz w:val="28"/>
                <w:szCs w:val="28"/>
              </w:rPr>
              <w:t>IP54。</w:t>
            </w:r>
            <w:r>
              <w:rPr>
                <w:rFonts w:ascii="方正楷体_GBK" w:eastAsia="方正楷体_GBK" w:hint="eastAsia"/>
                <w:b/>
                <w:sz w:val="28"/>
                <w:szCs w:val="28"/>
              </w:rPr>
              <w:t>（提供加盖投标人公章的承诺函）</w:t>
            </w:r>
          </w:p>
        </w:tc>
      </w:tr>
    </w:tbl>
    <w:p>
      <w:pPr>
        <w:pStyle w:val="10102"/>
        <w:autoSpaceDN w:val="0"/>
        <w:spacing w:line="400" w:lineRule="exact"/>
        <w:jc w:val="left"/>
        <w:rPr>
          <w:rFonts w:eastAsia="方正仿宋_GBK"/>
          <w:b/>
          <w:sz w:val="28"/>
          <w:szCs w:val="28"/>
        </w:rPr>
      </w:pPr>
      <w:r>
        <w:rPr>
          <w:rFonts w:eastAsia="方正仿宋_GBK"/>
          <w:b/>
          <w:sz w:val="28"/>
          <w:szCs w:val="28"/>
        </w:rPr>
        <w:t>4.主要配置</w:t>
      </w:r>
    </w:p>
    <w:p>
      <w:pPr>
        <w:pStyle w:val="16610"/>
        <w:autoSpaceDN w:val="0"/>
        <w:spacing w:line="400" w:lineRule="exact"/>
        <w:ind w:firstLine="560" w:firstLineChars="200"/>
        <w:rPr>
          <w:rFonts w:ascii="Times New Roman" w:eastAsia="宋体" w:hAnsi="Times New Roman"/>
          <w:sz w:val="28"/>
          <w:szCs w:val="28"/>
        </w:rPr>
      </w:pPr>
      <w:r>
        <w:rPr>
          <w:rFonts w:ascii="Times New Roman" w:eastAsia="宋体" w:hAnsi="Times New Roman"/>
          <w:sz w:val="28"/>
          <w:szCs w:val="28"/>
        </w:rPr>
        <w:t>每套设备包括监测整机1套、专用软件（含免费升级）1套、摄像头1个、上位机1台</w:t>
      </w:r>
      <w:r>
        <w:rPr>
          <w:rFonts w:ascii="Times New Roman" w:eastAsia="宋体" w:hAnsi="Times New Roman" w:hint="eastAsia"/>
          <w:sz w:val="28"/>
          <w:szCs w:val="28"/>
        </w:rPr>
        <w:t>。</w:t>
      </w:r>
    </w:p>
    <w:p>
      <w:pPr>
        <w:pStyle w:val="16610"/>
        <w:autoSpaceDN w:val="0"/>
        <w:spacing w:line="400" w:lineRule="exact"/>
        <w:ind w:firstLine="560" w:firstLineChars="200"/>
        <w:rPr>
          <w:rFonts w:ascii="Times New Roman" w:eastAsia="宋体" w:hAnsi="Times New Roman"/>
          <w:sz w:val="28"/>
          <w:szCs w:val="28"/>
        </w:rPr>
      </w:pPr>
      <w:r>
        <w:rPr>
          <w:rFonts w:ascii="方正仿宋_GBK" w:eastAsia="方正仿宋_GBK" w:cs="Arial" w:hint="eastAsia"/>
          <w:b/>
          <w:bCs/>
          <w:sz w:val="28"/>
          <w:szCs w:val="28"/>
        </w:rPr>
        <w:t>★</w:t>
      </w:r>
      <w:r>
        <w:rPr>
          <w:rFonts w:ascii="Times New Roman" w:eastAsia="宋体" w:hAnsi="Times New Roman"/>
          <w:sz w:val="28"/>
          <w:szCs w:val="28"/>
        </w:rPr>
        <w:t>上位机</w:t>
      </w:r>
      <w:r>
        <w:rPr>
          <w:rFonts w:ascii="Times New Roman" w:eastAsia="宋体" w:hAnsi="Times New Roman" w:hint="eastAsia"/>
          <w:sz w:val="28"/>
          <w:szCs w:val="28"/>
        </w:rPr>
        <w:t>技术指标应满足财库《</w:t>
      </w:r>
      <w:r>
        <w:rPr>
          <w:rFonts w:ascii="Times New Roman" w:eastAsia="宋体" w:hAnsi="Times New Roman"/>
          <w:sz w:val="28"/>
          <w:szCs w:val="28"/>
        </w:rPr>
        <w:t>电脑</w:t>
      </w:r>
      <w:r>
        <w:rPr>
          <w:rFonts w:ascii="Times New Roman" w:eastAsia="宋体" w:hAnsi="Times New Roman" w:hint="eastAsia"/>
          <w:sz w:val="28"/>
          <w:szCs w:val="28"/>
        </w:rPr>
        <w:t>政府采购需求标准（2023年版）》中的星标项‘*’指标要求，并提供加盖投标人公章的的承诺函</w:t>
      </w:r>
      <w:r>
        <w:rPr>
          <w:rFonts w:ascii="Times New Roman" w:eastAsia="宋体" w:hAnsi="Times New Roman"/>
          <w:sz w:val="28"/>
          <w:szCs w:val="28"/>
        </w:rPr>
        <w:t>。</w:t>
      </w:r>
    </w:p>
    <w:p>
      <w:pPr>
        <w:pStyle w:val="10102"/>
        <w:spacing w:before="156" w:after="156" w:line="400" w:lineRule="exact"/>
        <w:jc w:val="left"/>
        <w:rPr>
          <w:rFonts w:ascii="Times New Roman" w:eastAsia="方正楷体_GBK" w:hAnsi="Times New Roman"/>
          <w:b/>
          <w:sz w:val="28"/>
          <w:szCs w:val="28"/>
        </w:rPr>
      </w:pPr>
      <w:r>
        <w:rPr>
          <w:rFonts w:ascii="Times New Roman" w:eastAsia="方正楷体_GBK" w:hAnsi="Times New Roman"/>
          <w:b/>
          <w:sz w:val="28"/>
          <w:szCs w:val="28"/>
        </w:rPr>
        <w:t>（二）品目2（</w:t>
      </w:r>
      <w:r>
        <w:rPr>
          <w:rFonts w:ascii="宋体" w:eastAsia="宋体" w:hint="eastAsia"/>
          <w:sz w:val="28"/>
          <w:szCs w:val="28"/>
        </w:rPr>
        <w:t>固定式行包核辐射探测设备</w:t>
      </w:r>
      <w:r>
        <w:rPr>
          <w:rFonts w:ascii="Times New Roman" w:eastAsia="方正楷体_GBK" w:hAnsi="Times New Roman"/>
          <w:b/>
          <w:sz w:val="28"/>
          <w:szCs w:val="28"/>
        </w:rPr>
        <w:t>）</w:t>
      </w:r>
    </w:p>
    <w:p>
      <w:pPr>
        <w:pStyle w:val="9101"/>
        <w:spacing w:line="400" w:lineRule="exact"/>
        <w:rPr>
          <w:rFonts w:ascii="Times New Roman" w:eastAsia="方正仿宋_GBK" w:hAnsi="Times New Roman"/>
          <w:b/>
          <w:sz w:val="28"/>
          <w:szCs w:val="28"/>
        </w:rPr>
      </w:pPr>
      <w:r>
        <w:rPr>
          <w:rFonts w:ascii="Times New Roman" w:eastAsia="方正仿宋_GBK" w:hAnsi="Times New Roman"/>
          <w:b/>
          <w:sz w:val="28"/>
          <w:szCs w:val="28"/>
        </w:rPr>
        <w:t>1.主要用途</w:t>
      </w:r>
    </w:p>
    <w:p>
      <w:pPr>
        <w:pStyle w:val="4110"/>
        <w:spacing w:line="400" w:lineRule="exact"/>
        <w:rPr>
          <w:rFonts w:ascii="Times New Roman" w:eastAsia="宋体" w:hAnsi="Times New Roman"/>
          <w:sz w:val="28"/>
          <w:szCs w:val="28"/>
        </w:rPr>
      </w:pPr>
      <w:r>
        <w:rPr>
          <w:rFonts w:ascii="Times New Roman" w:eastAsia="方正仿宋_GBK" w:hAnsi="Times New Roman"/>
          <w:sz w:val="28"/>
          <w:szCs w:val="28"/>
        </w:rPr>
        <w:t xml:space="preserve">    </w:t>
      </w:r>
      <w:r>
        <w:rPr>
          <w:rFonts w:ascii="Times New Roman" w:eastAsia="宋体" w:hAnsi="Times New Roman"/>
          <w:sz w:val="28"/>
          <w:szCs w:val="28"/>
        </w:rPr>
        <w:t xml:space="preserve"> 通过设备中的γ探测器、中子探测器，对通过的行包（包括旅客托运行李、寄递物品等）进行放射性监测，判断其中是否藏有放射性物质，并能在藏有放射性物质时识别放射性核素的种类，为有效防范放射性物质的非法运输提供高效可靠的监测手段。</w:t>
      </w:r>
    </w:p>
    <w:p>
      <w:pPr>
        <w:pStyle w:val="4010"/>
        <w:spacing w:line="400" w:lineRule="exact"/>
        <w:rPr>
          <w:rFonts w:ascii="Times New Roman" w:eastAsia="方正仿宋_GBK" w:hAnsi="Times New Roman"/>
          <w:b/>
          <w:sz w:val="28"/>
          <w:szCs w:val="28"/>
        </w:rPr>
      </w:pPr>
      <w:r>
        <w:rPr>
          <w:rFonts w:ascii="Times New Roman" w:eastAsia="方正仿宋_GBK" w:hAnsi="Times New Roman"/>
          <w:b/>
          <w:sz w:val="28"/>
          <w:szCs w:val="28"/>
        </w:rPr>
        <w:t>2.特殊资质要求</w:t>
      </w:r>
    </w:p>
    <w:p>
      <w:pPr>
        <w:pStyle w:val="4010"/>
        <w:spacing w:line="400" w:lineRule="exact"/>
        <w:rPr>
          <w:rFonts w:ascii="Times New Roman" w:eastAsia="方正仿宋_GBK" w:hAnsi="Times New Roman"/>
          <w:sz w:val="28"/>
          <w:szCs w:val="28"/>
        </w:rPr>
      </w:pPr>
      <w:r>
        <w:rPr>
          <w:rFonts w:ascii="Times New Roman" w:eastAsia="方正仿宋_GBK" w:hAnsi="Times New Roman"/>
          <w:sz w:val="28"/>
          <w:szCs w:val="28"/>
        </w:rPr>
        <w:t xml:space="preserve">    无</w:t>
      </w:r>
    </w:p>
    <w:p>
      <w:pPr>
        <w:pStyle w:val="9101"/>
        <w:spacing w:line="400" w:lineRule="exact"/>
        <w:rPr>
          <w:rFonts w:ascii="Times New Roman" w:eastAsia="方正仿宋_GBK" w:hAnsi="Times New Roman"/>
          <w:b/>
          <w:sz w:val="28"/>
          <w:szCs w:val="28"/>
        </w:rPr>
      </w:pPr>
      <w:r>
        <w:rPr>
          <w:rFonts w:ascii="Times New Roman" w:eastAsia="方正仿宋_GBK" w:hAnsi="Times New Roman"/>
          <w:b/>
          <w:sz w:val="28"/>
          <w:szCs w:val="28"/>
        </w:rPr>
        <w:t>3.主要技术参数</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94"/>
        <w:gridCol w:w="6734"/>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b/>
                <w:bCs/>
                <w:sz w:val="28"/>
                <w:szCs w:val="28"/>
              </w:rPr>
              <w:t>★</w:t>
            </w:r>
            <w:r>
              <w:rPr>
                <w:rFonts w:ascii="Times New Roman" w:eastAsia="宋体" w:hAnsi="Times New Roman" w:hint="eastAsia"/>
                <w:b/>
                <w:bCs/>
                <w:sz w:val="28"/>
                <w:szCs w:val="28"/>
              </w:rPr>
              <w:t>1.</w:t>
            </w:r>
            <w:r>
              <w:rPr>
                <w:rFonts w:ascii="Times New Roman" w:eastAsia="宋体" w:hAnsi="Times New Roman"/>
                <w:sz w:val="28"/>
                <w:szCs w:val="28"/>
              </w:rPr>
              <w:t>探测器</w:t>
            </w:r>
          </w:p>
        </w:tc>
        <w:tc>
          <w:tcPr>
            <w:tcW w:w="6734" w:type="dxa"/>
          </w:tcPr>
          <w:p>
            <w:pPr>
              <w:pStyle w:val="19210"/>
              <w:autoSpaceDN w:val="0"/>
              <w:spacing w:line="400" w:lineRule="exact"/>
              <w:rPr>
                <w:rFonts w:ascii="Times New Roman" w:eastAsia="宋体" w:hAnsi="Times New Roman"/>
                <w:sz w:val="28"/>
                <w:szCs w:val="28"/>
              </w:rPr>
            </w:pPr>
            <w:r>
              <w:rPr>
                <w:rFonts w:ascii="Times New Roman" w:eastAsia="宋体" w:hAnsi="Times New Roman"/>
                <w:sz w:val="28"/>
                <w:szCs w:val="28"/>
              </w:rPr>
              <w:t>可探测γ射线和中子源的存在，并识别行物体中、寄递包裹内或旅客托运行李中携带的γ核素种类；采用单侧探测形式，非探测面须使用有效的屏蔽措施，保证对本底的有效屏蔽。</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b/>
                <w:bCs/>
                <w:sz w:val="28"/>
                <w:szCs w:val="28"/>
              </w:rPr>
              <w:t>★</w:t>
            </w:r>
            <w:r>
              <w:rPr>
                <w:rFonts w:ascii="Times New Roman" w:eastAsia="宋体" w:hAnsi="Times New Roman" w:hint="eastAsia"/>
                <w:b/>
                <w:bCs/>
                <w:sz w:val="28"/>
                <w:szCs w:val="28"/>
              </w:rPr>
              <w:t>2.</w:t>
            </w:r>
            <w:r>
              <w:rPr>
                <w:rFonts w:ascii="Times New Roman" w:eastAsia="宋体" w:hAnsi="Times New Roman"/>
                <w:sz w:val="28"/>
                <w:szCs w:val="28"/>
              </w:rPr>
              <w:t>误报警率</w:t>
            </w:r>
          </w:p>
        </w:tc>
        <w:tc>
          <w:tcPr>
            <w:tcW w:w="6734" w:type="dxa"/>
          </w:tcPr>
          <w:p>
            <w:pPr>
              <w:spacing w:line="400" w:lineRule="exact"/>
              <w:rPr>
                <w:b/>
                <w:bCs/>
                <w:sz w:val="28"/>
                <w:szCs w:val="28"/>
              </w:rPr>
            </w:pPr>
            <w:r>
              <w:rPr>
                <w:sz w:val="28"/>
                <w:szCs w:val="28"/>
              </w:rPr>
              <w:t>应满足GB/T31836-2015中的5.4条款。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3.</w:t>
            </w:r>
            <w:r>
              <w:rPr>
                <w:rFonts w:ascii="Times New Roman" w:eastAsia="宋体" w:hAnsi="Times New Roman"/>
                <w:sz w:val="28"/>
                <w:szCs w:val="28"/>
              </w:rPr>
              <w:t>γ辐射响应</w:t>
            </w:r>
          </w:p>
        </w:tc>
        <w:tc>
          <w:tcPr>
            <w:tcW w:w="6734" w:type="dxa"/>
          </w:tcPr>
          <w:p>
            <w:pPr>
              <w:pStyle w:val="192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应满足GB/T31836-2015中的5.5条款。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4.</w:t>
            </w:r>
            <w:r>
              <w:rPr>
                <w:rFonts w:ascii="Times New Roman" w:eastAsia="宋体" w:hAnsi="Times New Roman"/>
                <w:sz w:val="28"/>
                <w:szCs w:val="28"/>
              </w:rPr>
              <w:t>中子辐射响应</w:t>
            </w:r>
          </w:p>
        </w:tc>
        <w:tc>
          <w:tcPr>
            <w:tcW w:w="6734" w:type="dxa"/>
          </w:tcPr>
          <w:p>
            <w:pPr>
              <w:pStyle w:val="192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应满足GB/T31836-2015中的5.7条款。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5.</w:t>
            </w:r>
            <w:r>
              <w:rPr>
                <w:rFonts w:ascii="Times New Roman" w:eastAsia="宋体" w:hAnsi="Times New Roman"/>
                <w:sz w:val="28"/>
                <w:szCs w:val="28"/>
              </w:rPr>
              <w:t>核素种类</w:t>
            </w:r>
          </w:p>
        </w:tc>
        <w:tc>
          <w:tcPr>
            <w:tcW w:w="6734" w:type="dxa"/>
          </w:tcPr>
          <w:p>
            <w:pPr>
              <w:pStyle w:val="192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应满足GB/T31836-2015中的5.11.1条款。</w:t>
            </w:r>
            <w:r>
              <w:rPr>
                <w:rFonts w:ascii="方正楷体_GBK" w:eastAsia="方正楷体_GBK" w:hint="eastAsia"/>
                <w:b/>
                <w:sz w:val="28"/>
                <w:szCs w:val="28"/>
              </w:rPr>
              <w:t>（提供技术手册及操作系统中的信息）</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6.</w:t>
            </w:r>
            <w:r>
              <w:rPr>
                <w:rFonts w:ascii="Times New Roman" w:eastAsia="宋体" w:hAnsi="Times New Roman"/>
                <w:sz w:val="28"/>
                <w:szCs w:val="28"/>
              </w:rPr>
              <w:t>核素识别</w:t>
            </w:r>
          </w:p>
        </w:tc>
        <w:tc>
          <w:tcPr>
            <w:tcW w:w="6734" w:type="dxa"/>
          </w:tcPr>
          <w:p>
            <w:pPr>
              <w:pStyle w:val="19310"/>
              <w:autoSpaceDN w:val="0"/>
              <w:spacing w:line="400" w:lineRule="exact"/>
              <w:rPr>
                <w:rFonts w:ascii="Times New Roman" w:eastAsia="宋体" w:hAnsi="Times New Roman"/>
                <w:sz w:val="28"/>
                <w:szCs w:val="28"/>
              </w:rPr>
            </w:pPr>
            <w:r>
              <w:rPr>
                <w:rFonts w:ascii="Times New Roman" w:eastAsia="宋体" w:hAnsi="Times New Roman"/>
                <w:sz w:val="28"/>
                <w:szCs w:val="28"/>
              </w:rPr>
              <w:t>单核素识别应满足GB/T31836-2015中的5.11.4条款；多核素识别应满足应满足GB/T31836-2015中的5.11.6条款；核素库中没有的核素应显示或另外提供指示，如“无法识别”、“未知源”等。</w:t>
            </w:r>
            <w:r>
              <w:rPr>
                <w:rFonts w:ascii="Times New Roman" w:eastAsia="华文楷体" w:hAnsi="Times New Roman"/>
                <w:sz w:val="28"/>
                <w:szCs w:val="28"/>
              </w:rPr>
              <w:t>（提供具有CMA或CNAS资质的第三方检测报告，报告中至少包含Cs-137、Co-60、Am-241、Ba-133、Th-232、K-40、Co-57、I-131、Tc-99m、Tl-201、Ra-226、Ir-192等核素）</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7.</w:t>
            </w:r>
            <w:r>
              <w:rPr>
                <w:rFonts w:ascii="Times New Roman" w:eastAsia="宋体" w:hAnsi="Times New Roman"/>
                <w:sz w:val="28"/>
                <w:szCs w:val="28"/>
              </w:rPr>
              <w:t>探测区域</w:t>
            </w:r>
          </w:p>
        </w:tc>
        <w:tc>
          <w:tcPr>
            <w:tcW w:w="6734" w:type="dxa"/>
          </w:tcPr>
          <w:p>
            <w:pPr>
              <w:pStyle w:val="19210"/>
              <w:autoSpaceDN w:val="0"/>
              <w:spacing w:line="400" w:lineRule="exact"/>
              <w:rPr>
                <w:rFonts w:ascii="Times New Roman" w:eastAsia="宋体" w:hAnsi="Times New Roman"/>
                <w:sz w:val="28"/>
                <w:szCs w:val="28"/>
              </w:rPr>
            </w:pPr>
            <w:r>
              <w:rPr>
                <w:rFonts w:ascii="Times New Roman" w:eastAsia="宋体" w:hAnsi="Times New Roman"/>
                <w:sz w:val="28"/>
                <w:szCs w:val="28"/>
              </w:rPr>
              <w:t>探测区域高度、宽度均应不低于1m。</w:t>
            </w:r>
            <w:r>
              <w:rPr>
                <w:rFonts w:ascii="方正楷体_GBK" w:eastAsia="方正楷体_GBK" w:hint="eastAsia"/>
                <w:b/>
                <w:sz w:val="28"/>
                <w:szCs w:val="28"/>
              </w:rPr>
              <w:t>（提供设备实物照片）</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sz w:val="28"/>
                <w:szCs w:val="28"/>
              </w:rPr>
            </w:pPr>
            <w:r>
              <w:rPr>
                <w:rFonts w:ascii="Times New Roman" w:eastAsia="宋体" w:hAnsi="Times New Roman"/>
                <w:sz w:val="28"/>
                <w:szCs w:val="28"/>
              </w:rPr>
              <w:t>▲</w:t>
            </w:r>
            <w:r>
              <w:rPr>
                <w:rFonts w:ascii="Times New Roman" w:eastAsia="宋体" w:hAnsi="Times New Roman" w:hint="eastAsia"/>
                <w:sz w:val="28"/>
                <w:szCs w:val="28"/>
              </w:rPr>
              <w:t>8.</w:t>
            </w:r>
            <w:r>
              <w:rPr>
                <w:rFonts w:ascii="Times New Roman" w:eastAsia="宋体" w:hAnsi="Times New Roman"/>
                <w:sz w:val="28"/>
                <w:szCs w:val="28"/>
              </w:rPr>
              <w:t>电磁性能</w:t>
            </w:r>
          </w:p>
        </w:tc>
        <w:tc>
          <w:tcPr>
            <w:tcW w:w="6734" w:type="dxa"/>
          </w:tcPr>
          <w:p>
            <w:pPr>
              <w:pStyle w:val="68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应满足GB/T31836-2015中的5.14条款。</w:t>
            </w:r>
            <w:r>
              <w:rPr>
                <w:rFonts w:ascii="方正楷体_GBK" w:eastAsia="方正楷体_GBK" w:hint="eastAsia"/>
                <w:b/>
                <w:sz w:val="28"/>
                <w:szCs w:val="28"/>
              </w:rPr>
              <w:t>（提供具有CMA或CNAS资质的第三方检测报告）</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sz w:val="28"/>
                <w:szCs w:val="28"/>
              </w:rPr>
              <w:t>▲</w:t>
            </w:r>
            <w:r>
              <w:rPr>
                <w:rFonts w:ascii="Times New Roman" w:eastAsia="宋体" w:hAnsi="Times New Roman" w:hint="eastAsia"/>
                <w:sz w:val="28"/>
                <w:szCs w:val="28"/>
              </w:rPr>
              <w:t>9.</w:t>
            </w:r>
            <w:r>
              <w:rPr>
                <w:rFonts w:ascii="Times New Roman" w:eastAsia="宋体" w:hAnsi="Times New Roman"/>
                <w:sz w:val="28"/>
                <w:szCs w:val="28"/>
              </w:rPr>
              <w:t>联网功能</w:t>
            </w:r>
          </w:p>
        </w:tc>
        <w:tc>
          <w:tcPr>
            <w:tcW w:w="6734" w:type="dxa"/>
          </w:tcPr>
          <w:p>
            <w:pPr>
              <w:pStyle w:val="19210"/>
              <w:autoSpaceDN w:val="0"/>
              <w:spacing w:line="400" w:lineRule="exact"/>
              <w:rPr>
                <w:rFonts w:ascii="Times New Roman" w:eastAsia="宋体" w:hAnsi="Times New Roman"/>
                <w:sz w:val="28"/>
                <w:szCs w:val="28"/>
              </w:rPr>
            </w:pPr>
            <w:r>
              <w:rPr>
                <w:rFonts w:ascii="Times New Roman" w:eastAsia="宋体" w:hAnsi="Times New Roman"/>
                <w:sz w:val="28"/>
                <w:szCs w:val="28"/>
              </w:rPr>
              <w:t>设备应能接入海关网络，符合《核辐射探测应用辐射探测数据通信传输接口标准》（附件</w:t>
            </w:r>
            <w:r>
              <w:rPr>
                <w:rFonts w:ascii="Times New Roman" w:eastAsia="宋体" w:hAnsi="Times New Roman" w:hint="eastAsia"/>
                <w:sz w:val="28"/>
                <w:szCs w:val="28"/>
              </w:rPr>
              <w:t>1</w:t>
            </w:r>
            <w:r>
              <w:rPr>
                <w:rFonts w:ascii="Times New Roman" w:eastAsia="宋体" w:hAnsi="Times New Roman"/>
                <w:sz w:val="28"/>
                <w:szCs w:val="28"/>
              </w:rPr>
              <w:t>）和《辐射探测设备接入海关管理网现场实施指导方案》（详见附件</w:t>
            </w:r>
            <w:r>
              <w:rPr>
                <w:rFonts w:ascii="Times New Roman" w:eastAsia="宋体" w:hAnsi="Times New Roman" w:hint="eastAsia"/>
                <w:sz w:val="28"/>
                <w:szCs w:val="28"/>
              </w:rPr>
              <w:t>2</w:t>
            </w:r>
            <w:r>
              <w:rPr>
                <w:rFonts w:ascii="Times New Roman" w:eastAsia="宋体" w:hAnsi="Times New Roman"/>
                <w:sz w:val="28"/>
                <w:szCs w:val="28"/>
              </w:rPr>
              <w:t xml:space="preserve">）要求。入网安全应当符合海关网络安全管理相关规定。 </w:t>
            </w:r>
            <w:r>
              <w:rPr>
                <w:rFonts w:ascii="方正楷体_GBK" w:eastAsia="方正楷体_GBK" w:hint="eastAsia"/>
                <w:b/>
                <w:sz w:val="28"/>
                <w:szCs w:val="28"/>
              </w:rPr>
              <w:t>(提供加盖投标人公章的承诺函)</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10.</w:t>
            </w:r>
            <w:r>
              <w:rPr>
                <w:rFonts w:ascii="Times New Roman" w:eastAsia="宋体" w:hAnsi="Times New Roman"/>
                <w:sz w:val="28"/>
                <w:szCs w:val="28"/>
              </w:rPr>
              <w:t>报警功能</w:t>
            </w:r>
          </w:p>
        </w:tc>
        <w:tc>
          <w:tcPr>
            <w:tcW w:w="6734" w:type="dxa"/>
          </w:tcPr>
          <w:p>
            <w:pPr>
              <w:pStyle w:val="195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应满足GB/T31836-2015中的5.6条款，且报警阈值可调整。</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68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11.</w:t>
            </w:r>
            <w:r>
              <w:rPr>
                <w:rFonts w:ascii="Times New Roman" w:eastAsia="宋体" w:hAnsi="Times New Roman"/>
                <w:sz w:val="28"/>
                <w:szCs w:val="28"/>
              </w:rPr>
              <w:t>能量范围</w:t>
            </w:r>
          </w:p>
        </w:tc>
        <w:tc>
          <w:tcPr>
            <w:tcW w:w="6734" w:type="dxa"/>
          </w:tcPr>
          <w:p>
            <w:pPr>
              <w:pStyle w:val="6810"/>
              <w:autoSpaceDN w:val="0"/>
              <w:spacing w:line="400" w:lineRule="exact"/>
              <w:rPr>
                <w:rFonts w:ascii="Times New Roman" w:eastAsia="宋体" w:hAnsi="Times New Roman"/>
                <w:sz w:val="28"/>
                <w:szCs w:val="28"/>
              </w:rPr>
            </w:pPr>
            <w:r>
              <w:rPr>
                <w:rFonts w:ascii="Times New Roman" w:eastAsia="宋体" w:hAnsi="Times New Roman"/>
                <w:sz w:val="28"/>
                <w:szCs w:val="28"/>
              </w:rPr>
              <w:t>应满足GB/T31836-2015中的4.9条款。</w:t>
            </w:r>
            <w:r>
              <w:rPr>
                <w:rFonts w:ascii="方正楷体_GBK" w:eastAsia="方正楷体_GBK" w:hint="eastAsia"/>
                <w:b/>
                <w:sz w:val="28"/>
                <w:szCs w:val="28"/>
              </w:rPr>
              <w:t>（提供加盖投标人公章的技术说明）</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12.</w:t>
            </w:r>
            <w:r>
              <w:rPr>
                <w:rFonts w:ascii="Times New Roman" w:eastAsia="宋体" w:hAnsi="Times New Roman"/>
                <w:sz w:val="28"/>
                <w:szCs w:val="28"/>
              </w:rPr>
              <w:t>本底监测</w:t>
            </w:r>
          </w:p>
        </w:tc>
        <w:tc>
          <w:tcPr>
            <w:tcW w:w="6734" w:type="dxa"/>
          </w:tcPr>
          <w:p>
            <w:pPr>
              <w:pStyle w:val="19510"/>
              <w:autoSpaceDN w:val="0"/>
              <w:spacing w:line="400" w:lineRule="exact"/>
              <w:rPr>
                <w:rFonts w:ascii="Times New Roman" w:eastAsia="宋体" w:hAnsi="Times New Roman"/>
                <w:sz w:val="28"/>
                <w:szCs w:val="28"/>
              </w:rPr>
            </w:pPr>
            <w:r>
              <w:rPr>
                <w:rFonts w:ascii="Times New Roman" w:eastAsia="宋体" w:hAnsi="Times New Roman"/>
                <w:sz w:val="28"/>
                <w:szCs w:val="28"/>
              </w:rPr>
              <w:t>实时动态本底监测，确保报警阈值随本底波动动态更新</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13.</w:t>
            </w:r>
            <w:r>
              <w:rPr>
                <w:rFonts w:ascii="Times New Roman" w:eastAsia="宋体" w:hAnsi="Times New Roman"/>
                <w:sz w:val="28"/>
                <w:szCs w:val="28"/>
              </w:rPr>
              <w:t>抓拍系统</w:t>
            </w:r>
          </w:p>
        </w:tc>
        <w:tc>
          <w:tcPr>
            <w:tcW w:w="6734" w:type="dxa"/>
          </w:tcPr>
          <w:p>
            <w:pPr>
              <w:pStyle w:val="19510"/>
              <w:autoSpaceDN w:val="0"/>
              <w:spacing w:line="400" w:lineRule="exact"/>
              <w:rPr>
                <w:rFonts w:ascii="Times New Roman" w:eastAsia="宋体" w:hAnsi="Times New Roman"/>
                <w:sz w:val="28"/>
                <w:szCs w:val="28"/>
              </w:rPr>
            </w:pPr>
            <w:r>
              <w:rPr>
                <w:rFonts w:ascii="Times New Roman" w:eastAsia="宋体" w:hAnsi="Times New Roman"/>
                <w:sz w:val="28"/>
                <w:szCs w:val="28"/>
              </w:rPr>
              <w:t>对通过监测区域的行</w:t>
            </w:r>
            <w:r>
              <w:rPr>
                <w:rFonts w:ascii="Times New Roman" w:eastAsia="宋体" w:hAnsi="Times New Roman" w:hint="eastAsia"/>
                <w:sz w:val="28"/>
                <w:szCs w:val="28"/>
              </w:rPr>
              <w:t>包</w:t>
            </w:r>
            <w:r>
              <w:rPr>
                <w:rFonts w:ascii="Times New Roman" w:eastAsia="宋体" w:hAnsi="Times New Roman"/>
                <w:sz w:val="28"/>
                <w:szCs w:val="28"/>
              </w:rPr>
              <w:t>触发报警后进行图像和视频抓拍。</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sz w:val="28"/>
                <w:szCs w:val="28"/>
              </w:rPr>
            </w:pPr>
            <w:r>
              <w:rPr>
                <w:rFonts w:ascii="Times New Roman" w:eastAsia="宋体" w:hAnsi="Times New Roman" w:hint="eastAsia"/>
                <w:sz w:val="28"/>
                <w:szCs w:val="28"/>
              </w:rPr>
              <w:t>14.</w:t>
            </w:r>
            <w:r>
              <w:rPr>
                <w:rFonts w:ascii="Times New Roman" w:eastAsia="宋体" w:hAnsi="Times New Roman"/>
                <w:sz w:val="28"/>
                <w:szCs w:val="28"/>
              </w:rPr>
              <w:t>传送带系统联动</w:t>
            </w:r>
          </w:p>
        </w:tc>
        <w:tc>
          <w:tcPr>
            <w:tcW w:w="6734" w:type="dxa"/>
          </w:tcPr>
          <w:p>
            <w:pPr>
              <w:pStyle w:val="19510"/>
              <w:autoSpaceDN w:val="0"/>
              <w:spacing w:line="400" w:lineRule="exact"/>
              <w:rPr>
                <w:rFonts w:ascii="Times New Roman" w:eastAsia="宋体" w:hAnsi="Times New Roman"/>
                <w:sz w:val="28"/>
                <w:szCs w:val="28"/>
              </w:rPr>
            </w:pPr>
            <w:r>
              <w:rPr>
                <w:rFonts w:ascii="Times New Roman" w:eastAsia="宋体" w:hAnsi="Times New Roman"/>
                <w:sz w:val="28"/>
                <w:szCs w:val="28"/>
              </w:rPr>
              <w:t>与传送带控制系统联动，报警时传送带暂停。</w:t>
            </w:r>
          </w:p>
        </w:tc>
      </w:tr>
      <w:tr>
        <w:tblPrEx>
          <w:jc w:val="left"/>
          <w:tblInd w:w="0" w:type="dxa"/>
          <w:tblCellMar>
            <w:top w:w="0" w:type="dxa"/>
            <w:left w:w="108" w:type="dxa"/>
            <w:bottom w:w="0" w:type="dxa"/>
            <w:right w:w="108" w:type="dxa"/>
          </w:tblCellMar>
        </w:tblPrEx>
        <w:trPr>
          <w:jc w:val="left"/>
        </w:trPr>
        <w:tc>
          <w:tcPr>
            <w:tcW w:w="1794" w:type="dxa"/>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15.</w:t>
            </w:r>
            <w:r>
              <w:rPr>
                <w:rFonts w:ascii="Times New Roman" w:eastAsia="宋体" w:hAnsi="Times New Roman"/>
                <w:sz w:val="28"/>
                <w:szCs w:val="28"/>
              </w:rPr>
              <w:t>应用软件</w:t>
            </w:r>
          </w:p>
        </w:tc>
        <w:tc>
          <w:tcPr>
            <w:tcW w:w="6734" w:type="dxa"/>
          </w:tcPr>
          <w:p>
            <w:pPr>
              <w:pStyle w:val="16710"/>
              <w:autoSpaceDN w:val="0"/>
              <w:spacing w:line="400" w:lineRule="exact"/>
              <w:rPr>
                <w:rFonts w:ascii="Times New Roman" w:eastAsia="宋体" w:hAnsi="Times New Roman"/>
                <w:bCs/>
                <w:sz w:val="28"/>
                <w:szCs w:val="28"/>
              </w:rPr>
            </w:pPr>
            <w:r>
              <w:rPr>
                <w:rFonts w:ascii="Times New Roman" w:eastAsia="宋体" w:hAnsi="Times New Roman"/>
                <w:bCs/>
                <w:sz w:val="28"/>
                <w:szCs w:val="28"/>
              </w:rPr>
              <w:t>（1）监测系统能实时显示γ计数率曲线，中子计数率曲线，详细的报警信息（报警计数率曲线，核素识别结果）应可静态显示；</w:t>
            </w:r>
          </w:p>
          <w:p>
            <w:pPr>
              <w:pStyle w:val="16710"/>
              <w:autoSpaceDN w:val="0"/>
              <w:spacing w:line="400" w:lineRule="exact"/>
              <w:rPr>
                <w:rFonts w:ascii="Times New Roman" w:eastAsia="宋体" w:hAnsi="Times New Roman"/>
                <w:bCs/>
                <w:sz w:val="28"/>
                <w:szCs w:val="28"/>
              </w:rPr>
            </w:pPr>
            <w:r>
              <w:rPr>
                <w:rFonts w:ascii="Times New Roman" w:eastAsia="宋体" w:hAnsi="Times New Roman"/>
                <w:sz w:val="28"/>
                <w:szCs w:val="28"/>
              </w:rPr>
              <w:t>（2）可即时存储本地放射性物质监测系统的监测与报警数据，根据时间查询历史报警记录。可查询的报警信息包括设备信息、报警阈值信息、报警类型、通行时间、抓拍图像（视频）、核素信息等。</w:t>
            </w:r>
          </w:p>
          <w:p>
            <w:pPr>
              <w:pStyle w:val="19610"/>
              <w:autoSpaceDN w:val="0"/>
              <w:spacing w:line="400" w:lineRule="exact"/>
              <w:rPr>
                <w:rFonts w:ascii="Times New Roman" w:eastAsia="宋体" w:hAnsi="Times New Roman"/>
                <w:sz w:val="28"/>
                <w:szCs w:val="28"/>
              </w:rPr>
            </w:pPr>
            <w:r>
              <w:rPr>
                <w:rFonts w:ascii="Times New Roman" w:eastAsia="宋体" w:hAnsi="Times New Roman"/>
                <w:sz w:val="28"/>
                <w:szCs w:val="28"/>
              </w:rPr>
              <w:t>（3）需有全中文应用软件及配套的用户手册。</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16.</w:t>
            </w:r>
            <w:r>
              <w:rPr>
                <w:rFonts w:ascii="Times New Roman" w:eastAsia="宋体" w:hAnsi="Times New Roman"/>
                <w:sz w:val="28"/>
                <w:szCs w:val="28"/>
              </w:rPr>
              <w:t>工作温度</w:t>
            </w:r>
          </w:p>
        </w:tc>
        <w:tc>
          <w:tcPr>
            <w:tcW w:w="6734" w:type="dxa"/>
          </w:tcPr>
          <w:p>
            <w:pPr>
              <w:pStyle w:val="20410"/>
              <w:autoSpaceDN w:val="0"/>
              <w:spacing w:line="400" w:lineRule="exact"/>
              <w:rPr>
                <w:rFonts w:ascii="Times New Roman" w:eastAsia="宋体" w:hAnsi="Times New Roman"/>
                <w:sz w:val="28"/>
                <w:szCs w:val="28"/>
              </w:rPr>
            </w:pPr>
            <w:r>
              <w:rPr>
                <w:rFonts w:ascii="Times New Roman" w:eastAsia="宋体" w:hAnsi="Times New Roman"/>
                <w:sz w:val="28"/>
                <w:szCs w:val="28"/>
              </w:rPr>
              <w:t>-30</w:t>
            </w:r>
            <w:r>
              <w:rPr>
                <w:rFonts w:ascii="Times New Roman" w:eastAsia="宋体" w:hAnsi="Times New Roman" w:hint="eastAsia"/>
                <w:sz w:val="28"/>
                <w:szCs w:val="28"/>
              </w:rPr>
              <w:t>℃</w:t>
            </w:r>
            <w:r>
              <w:rPr>
                <w:rFonts w:ascii="Times New Roman" w:eastAsia="宋体" w:hAnsi="Times New Roman"/>
                <w:sz w:val="28"/>
                <w:szCs w:val="28"/>
              </w:rPr>
              <w:t>~55</w:t>
            </w:r>
            <w:r>
              <w:rPr>
                <w:rFonts w:ascii="Times New Roman" w:eastAsia="宋体" w:hAnsi="Times New Roman" w:hint="eastAsia"/>
                <w:sz w:val="28"/>
                <w:szCs w:val="28"/>
              </w:rPr>
              <w:t>℃</w:t>
            </w:r>
            <w:r>
              <w:rPr>
                <w:rFonts w:ascii="Times New Roman" w:eastAsia="宋体" w:hAnsi="Times New Roman"/>
                <w:sz w:val="28"/>
                <w:szCs w:val="28"/>
              </w:rPr>
              <w:t>。</w:t>
            </w:r>
            <w:r>
              <w:rPr>
                <w:rFonts w:ascii="方正楷体_GBK" w:eastAsia="方正楷体_GBK" w:hint="eastAsia"/>
                <w:b/>
                <w:sz w:val="28"/>
                <w:szCs w:val="28"/>
              </w:rPr>
              <w:t>（提供加盖投标人公章的承诺函）</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17.</w:t>
            </w:r>
            <w:r>
              <w:rPr>
                <w:rFonts w:ascii="Times New Roman" w:eastAsia="宋体" w:hAnsi="Times New Roman"/>
                <w:sz w:val="28"/>
                <w:szCs w:val="28"/>
              </w:rPr>
              <w:t>工作湿度</w:t>
            </w:r>
          </w:p>
        </w:tc>
        <w:tc>
          <w:tcPr>
            <w:tcW w:w="6734" w:type="dxa"/>
          </w:tcPr>
          <w:p>
            <w:pPr>
              <w:pStyle w:val="20410"/>
              <w:autoSpaceDN w:val="0"/>
              <w:spacing w:line="400" w:lineRule="exact"/>
              <w:rPr>
                <w:rFonts w:ascii="Times New Roman" w:eastAsia="宋体" w:hAnsi="Times New Roman"/>
                <w:sz w:val="28"/>
                <w:szCs w:val="28"/>
              </w:rPr>
            </w:pPr>
            <w:r>
              <w:rPr>
                <w:rFonts w:ascii="Times New Roman" w:eastAsia="宋体" w:hAnsi="Times New Roman"/>
                <w:sz w:val="28"/>
                <w:szCs w:val="28"/>
              </w:rPr>
              <w:t>0~95%。</w:t>
            </w:r>
            <w:r>
              <w:rPr>
                <w:rFonts w:ascii="方正楷体_GBK" w:eastAsia="方正楷体_GBK" w:hint="eastAsia"/>
                <w:b/>
                <w:sz w:val="28"/>
                <w:szCs w:val="28"/>
              </w:rPr>
              <w:t>（提供加盖投标人公章的承诺函）</w:t>
            </w:r>
          </w:p>
        </w:tc>
      </w:tr>
      <w:tr>
        <w:tblPrEx>
          <w:jc w:val="left"/>
          <w:tblInd w:w="0" w:type="dxa"/>
          <w:tblCellMar>
            <w:top w:w="0" w:type="dxa"/>
            <w:left w:w="108" w:type="dxa"/>
            <w:bottom w:w="0" w:type="dxa"/>
            <w:right w:w="108" w:type="dxa"/>
          </w:tblCellMar>
        </w:tblPrEx>
        <w:trPr>
          <w:jc w:val="left"/>
        </w:trPr>
        <w:tc>
          <w:tcPr>
            <w:tcW w:w="1794" w:type="dxa"/>
            <w:vAlign w:val="center"/>
          </w:tcPr>
          <w:p>
            <w:pPr>
              <w:pStyle w:val="19210"/>
              <w:autoSpaceDN w:val="0"/>
              <w:spacing w:line="400" w:lineRule="exact"/>
              <w:jc w:val="left"/>
              <w:rPr>
                <w:rFonts w:ascii="Times New Roman" w:eastAsia="宋体" w:hAnsi="Times New Roman"/>
                <w:b/>
                <w:bCs/>
                <w:sz w:val="28"/>
                <w:szCs w:val="28"/>
              </w:rPr>
            </w:pPr>
            <w:r>
              <w:rPr>
                <w:rFonts w:ascii="Times New Roman" w:eastAsia="宋体" w:hAnsi="Times New Roman" w:hint="eastAsia"/>
                <w:sz w:val="28"/>
                <w:szCs w:val="28"/>
              </w:rPr>
              <w:t>18.</w:t>
            </w:r>
            <w:r>
              <w:rPr>
                <w:rFonts w:ascii="Times New Roman" w:eastAsia="宋体" w:hAnsi="Times New Roman"/>
                <w:sz w:val="28"/>
                <w:szCs w:val="28"/>
              </w:rPr>
              <w:t>防护等级</w:t>
            </w:r>
          </w:p>
        </w:tc>
        <w:tc>
          <w:tcPr>
            <w:tcW w:w="6734" w:type="dxa"/>
          </w:tcPr>
          <w:p>
            <w:pPr>
              <w:pStyle w:val="20510"/>
              <w:autoSpaceDN w:val="0"/>
              <w:spacing w:line="400" w:lineRule="exact"/>
              <w:rPr>
                <w:rFonts w:ascii="Times New Roman" w:eastAsia="宋体" w:hAnsi="Times New Roman"/>
                <w:sz w:val="28"/>
                <w:szCs w:val="28"/>
              </w:rPr>
            </w:pPr>
            <w:r>
              <w:rPr>
                <w:rFonts w:ascii="Times New Roman" w:eastAsia="宋体" w:hAnsi="Times New Roman"/>
                <w:sz w:val="28"/>
                <w:szCs w:val="28"/>
              </w:rPr>
              <w:t>IP54。</w:t>
            </w:r>
            <w:r>
              <w:rPr>
                <w:rFonts w:ascii="方正楷体_GBK" w:eastAsia="方正楷体_GBK" w:hint="eastAsia"/>
                <w:b/>
                <w:sz w:val="28"/>
                <w:szCs w:val="28"/>
              </w:rPr>
              <w:t>（提供加盖投标人公章的承诺函）</w:t>
            </w:r>
          </w:p>
        </w:tc>
      </w:tr>
    </w:tbl>
    <w:p>
      <w:pPr>
        <w:pStyle w:val="9101"/>
        <w:spacing w:line="400" w:lineRule="exact"/>
        <w:rPr>
          <w:rFonts w:ascii="Times New Roman" w:eastAsia="方正仿宋_GBK" w:hAnsi="Times New Roman" w:hint="eastAsia"/>
          <w:b/>
          <w:sz w:val="28"/>
          <w:szCs w:val="28"/>
        </w:rPr>
      </w:pPr>
    </w:p>
    <w:p>
      <w:pPr>
        <w:pStyle w:val="9101"/>
        <w:autoSpaceDN w:val="0"/>
        <w:spacing w:line="400" w:lineRule="exact"/>
        <w:jc w:val="left"/>
        <w:rPr>
          <w:rFonts w:eastAsia="方正仿宋_GBK"/>
          <w:b/>
          <w:sz w:val="28"/>
          <w:szCs w:val="28"/>
        </w:rPr>
      </w:pPr>
      <w:r>
        <w:rPr>
          <w:rFonts w:eastAsia="方正仿宋_GBK"/>
          <w:b/>
          <w:sz w:val="28"/>
          <w:szCs w:val="28"/>
        </w:rPr>
        <w:t>4.主要配置</w:t>
      </w:r>
    </w:p>
    <w:p>
      <w:pPr>
        <w:pStyle w:val="16610"/>
        <w:autoSpaceDN w:val="0"/>
        <w:spacing w:line="400" w:lineRule="exact"/>
        <w:ind w:firstLine="560" w:firstLineChars="200"/>
        <w:rPr>
          <w:rFonts w:ascii="宋体" w:eastAsia="宋体"/>
          <w:sz w:val="28"/>
          <w:szCs w:val="28"/>
        </w:rPr>
      </w:pPr>
      <w:r>
        <w:rPr>
          <w:rFonts w:ascii="宋体" w:eastAsia="宋体" w:hint="eastAsia"/>
          <w:sz w:val="28"/>
          <w:szCs w:val="28"/>
        </w:rPr>
        <w:t>每套设备包括监测整机1套、专用软件（含免费升级）1套、摄像头1个、上位机1台。</w:t>
      </w:r>
    </w:p>
    <w:p>
      <w:pPr>
        <w:pStyle w:val="16610"/>
        <w:autoSpaceDN w:val="0"/>
        <w:spacing w:line="400" w:lineRule="exact"/>
        <w:ind w:firstLine="560" w:firstLineChars="200"/>
        <w:rPr>
          <w:rFonts w:ascii="宋体" w:eastAsia="宋体" w:hint="eastAsia"/>
          <w:sz w:val="28"/>
          <w:szCs w:val="28"/>
        </w:rPr>
      </w:pPr>
      <w:r>
        <w:rPr>
          <w:rFonts w:ascii="方正仿宋_GBK" w:eastAsia="方正仿宋_GBK" w:cs="Arial" w:hint="eastAsia"/>
          <w:b/>
          <w:bCs/>
          <w:sz w:val="28"/>
          <w:szCs w:val="28"/>
        </w:rPr>
        <w:t>★</w:t>
      </w:r>
      <w:r>
        <w:rPr>
          <w:rFonts w:ascii="Times New Roman" w:eastAsia="宋体" w:hAnsi="Times New Roman"/>
          <w:sz w:val="28"/>
          <w:szCs w:val="28"/>
        </w:rPr>
        <w:t>上位机</w:t>
      </w:r>
      <w:r>
        <w:rPr>
          <w:rFonts w:ascii="Times New Roman" w:eastAsia="宋体" w:hAnsi="Times New Roman" w:hint="eastAsia"/>
          <w:sz w:val="28"/>
          <w:szCs w:val="28"/>
        </w:rPr>
        <w:t>技术指标应满足财库《</w:t>
      </w:r>
      <w:r>
        <w:rPr>
          <w:rFonts w:ascii="Times New Roman" w:eastAsia="宋体" w:hAnsi="Times New Roman"/>
          <w:sz w:val="28"/>
          <w:szCs w:val="28"/>
        </w:rPr>
        <w:t>电脑</w:t>
      </w:r>
      <w:r>
        <w:rPr>
          <w:rFonts w:ascii="Times New Roman" w:eastAsia="宋体" w:hAnsi="Times New Roman" w:hint="eastAsia"/>
          <w:sz w:val="28"/>
          <w:szCs w:val="28"/>
        </w:rPr>
        <w:t>政府采购需求标准（2023年版）》中的星标项‘*’指标要求，并提供加盖投标人公章的承诺函</w:t>
      </w:r>
      <w:r>
        <w:rPr>
          <w:rFonts w:ascii="Times New Roman" w:eastAsia="宋体" w:hAnsi="Times New Roman"/>
          <w:sz w:val="28"/>
          <w:szCs w:val="28"/>
        </w:rPr>
        <w:t>。</w:t>
      </w:r>
    </w:p>
    <w:p>
      <w:pPr>
        <w:pStyle w:val="10102"/>
        <w:spacing w:line="400" w:lineRule="exact"/>
        <w:jc w:val="left"/>
        <w:rPr>
          <w:rFonts w:ascii="Times New Roman" w:eastAsia="方正黑体_GBK" w:hAnsi="Times New Roman"/>
          <w:b/>
          <w:sz w:val="28"/>
          <w:szCs w:val="28"/>
        </w:rPr>
      </w:pPr>
      <w:r>
        <w:rPr>
          <w:rFonts w:ascii="宋体" w:eastAsia="宋体" w:cs="宋体" w:hint="eastAsia"/>
          <w:b/>
          <w:bCs/>
          <w:sz w:val="28"/>
          <w:szCs w:val="28"/>
        </w:rPr>
        <w:t>★</w:t>
      </w:r>
      <w:r>
        <w:rPr>
          <w:rFonts w:ascii="Times New Roman" w:eastAsia="方正黑体_GBK" w:hAnsi="Times New Roman"/>
          <w:b/>
          <w:sz w:val="28"/>
          <w:szCs w:val="28"/>
        </w:rPr>
        <w:t>四、 交货期</w:t>
      </w:r>
    </w:p>
    <w:p>
      <w:pPr>
        <w:autoSpaceDN w:val="0"/>
        <w:spacing w:line="400" w:lineRule="exact"/>
        <w:ind w:firstLine="560" w:firstLineChars="200"/>
        <w:jc w:val="left"/>
        <w:rPr>
          <w:sz w:val="28"/>
          <w:szCs w:val="28"/>
        </w:rPr>
      </w:pPr>
      <w:r>
        <w:rPr>
          <w:sz w:val="28"/>
          <w:szCs w:val="28"/>
        </w:rPr>
        <w:t>在合同签订之日起</w:t>
      </w:r>
      <w:r>
        <w:rPr>
          <w:b/>
          <w:bCs/>
          <w:sz w:val="28"/>
          <w:szCs w:val="28"/>
        </w:rPr>
        <w:t>50天</w:t>
      </w:r>
      <w:r>
        <w:rPr>
          <w:sz w:val="28"/>
          <w:szCs w:val="28"/>
        </w:rPr>
        <w:t>内完成本项目货物交付。</w:t>
      </w:r>
    </w:p>
    <w:p>
      <w:pPr>
        <w:pStyle w:val="7810"/>
        <w:autoSpaceDN w:val="0"/>
        <w:spacing w:line="400" w:lineRule="exact"/>
        <w:rPr>
          <w:rFonts w:ascii="Times New Roman" w:eastAsia="方正黑体_GBK" w:hAnsi="Times New Roman"/>
          <w:b/>
          <w:sz w:val="28"/>
          <w:szCs w:val="28"/>
        </w:rPr>
      </w:pPr>
      <w:r>
        <w:rPr>
          <w:rFonts w:ascii="Times New Roman" w:eastAsia="方正仿宋_GBK" w:hAnsi="Times New Roman"/>
          <w:b/>
          <w:bCs/>
          <w:sz w:val="28"/>
          <w:szCs w:val="28"/>
        </w:rPr>
        <w:t>★</w:t>
      </w:r>
      <w:r>
        <w:rPr>
          <w:rFonts w:ascii="Times New Roman" w:eastAsia="方正黑体_GBK" w:hAnsi="Times New Roman"/>
          <w:b/>
          <w:sz w:val="28"/>
          <w:szCs w:val="28"/>
        </w:rPr>
        <w:t>五、质保期</w:t>
      </w:r>
    </w:p>
    <w:p>
      <w:pPr>
        <w:autoSpaceDN w:val="0"/>
        <w:spacing w:line="400" w:lineRule="exact"/>
        <w:ind w:firstLine="560" w:firstLineChars="200"/>
        <w:jc w:val="left"/>
        <w:rPr>
          <w:bCs/>
          <w:sz w:val="28"/>
          <w:szCs w:val="28"/>
        </w:rPr>
      </w:pPr>
      <w:r>
        <w:rPr>
          <w:sz w:val="28"/>
          <w:szCs w:val="28"/>
        </w:rPr>
        <w:t>设备质量保证期（免费维修及维护期）</w:t>
      </w:r>
      <w:r>
        <w:rPr>
          <w:bCs/>
          <w:sz w:val="28"/>
          <w:szCs w:val="28"/>
        </w:rPr>
        <w:t>自双方签署</w:t>
      </w:r>
      <w:r>
        <w:rPr>
          <w:sz w:val="28"/>
          <w:szCs w:val="28"/>
        </w:rPr>
        <w:t>（采购人指定实际使用单位</w:t>
      </w:r>
      <w:r>
        <w:rPr>
          <w:rFonts w:ascii="宋体" w:hint="eastAsia"/>
          <w:sz w:val="28"/>
          <w:szCs w:val="28"/>
        </w:rPr>
        <w:t>，即用户</w:t>
      </w:r>
      <w:r>
        <w:rPr>
          <w:sz w:val="28"/>
          <w:szCs w:val="28"/>
        </w:rPr>
        <w:t>）签署</w:t>
      </w:r>
      <w:r>
        <w:rPr>
          <w:rFonts w:hint="eastAsia"/>
          <w:sz w:val="28"/>
          <w:szCs w:val="28"/>
        </w:rPr>
        <w:t>货物到货验收签收单并通过验收，签署</w:t>
      </w:r>
      <w:r>
        <w:rPr>
          <w:rFonts w:ascii="宋体" w:cs="宋体" w:hint="eastAsia"/>
          <w:bCs/>
          <w:sz w:val="28"/>
          <w:szCs w:val="28"/>
        </w:rPr>
        <w:t>货物安装调试</w:t>
      </w:r>
      <w:r>
        <w:rPr>
          <w:sz w:val="28"/>
          <w:szCs w:val="28"/>
        </w:rPr>
        <w:t>验收合格报告之日起计算</w:t>
      </w:r>
      <w:r>
        <w:rPr>
          <w:b/>
          <w:bCs/>
          <w:sz w:val="28"/>
          <w:szCs w:val="28"/>
        </w:rPr>
        <w:t>五年</w:t>
      </w:r>
      <w:r>
        <w:rPr>
          <w:sz w:val="28"/>
          <w:szCs w:val="28"/>
        </w:rPr>
        <w:t>。期间免费获得原厂的维护和保修服务，</w:t>
      </w:r>
      <w:r>
        <w:rPr>
          <w:rFonts w:hint="eastAsia"/>
          <w:sz w:val="28"/>
          <w:szCs w:val="28"/>
        </w:rPr>
        <w:t>成交供应商</w:t>
      </w:r>
      <w:r>
        <w:rPr>
          <w:sz w:val="28"/>
          <w:szCs w:val="28"/>
        </w:rPr>
        <w:t>每年免费对设备进行一次校验。</w:t>
      </w:r>
    </w:p>
    <w:p>
      <w:pPr>
        <w:pStyle w:val="10102"/>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六、售后服务要求</w:t>
      </w:r>
    </w:p>
    <w:p>
      <w:pPr>
        <w:pStyle w:val="6610"/>
        <w:autoSpaceDN w:val="0"/>
        <w:spacing w:line="400" w:lineRule="exact"/>
        <w:ind w:firstLine="560" w:firstLineChars="200"/>
        <w:jc w:val="left"/>
        <w:rPr>
          <w:rFonts w:ascii="Times New Roman" w:eastAsia="宋体" w:hAnsi="Times New Roman"/>
          <w:sz w:val="28"/>
          <w:szCs w:val="28"/>
        </w:rPr>
      </w:pPr>
      <w:r>
        <w:rPr>
          <w:rFonts w:ascii="Times New Roman" w:eastAsia="宋体" w:hAnsi="Times New Roman"/>
          <w:sz w:val="28"/>
          <w:szCs w:val="28"/>
        </w:rPr>
        <w:t>（一）</w:t>
      </w:r>
      <w:r>
        <w:rPr>
          <w:rFonts w:ascii="Times New Roman" w:eastAsia="宋体" w:hAnsi="Times New Roman" w:hint="eastAsia"/>
          <w:bCs/>
          <w:sz w:val="28"/>
          <w:szCs w:val="28"/>
        </w:rPr>
        <w:t>成交供应商</w:t>
      </w:r>
      <w:r>
        <w:rPr>
          <w:rFonts w:ascii="Times New Roman" w:eastAsia="宋体" w:hAnsi="Times New Roman"/>
          <w:sz w:val="28"/>
          <w:szCs w:val="28"/>
        </w:rPr>
        <w:t>售后服务具有ISO9001认证证书，确保售后专业性。</w:t>
      </w:r>
    </w:p>
    <w:p>
      <w:pPr>
        <w:pStyle w:val="6510"/>
        <w:autoSpaceDN w:val="0"/>
        <w:spacing w:line="400" w:lineRule="exact"/>
        <w:ind w:firstLine="560" w:firstLineChars="200"/>
        <w:rPr>
          <w:rFonts w:hint="eastAsia"/>
        </w:rPr>
      </w:pPr>
      <w:r>
        <w:rPr>
          <w:rFonts w:ascii="Times New Roman" w:eastAsia="宋体" w:hAnsi="Times New Roman"/>
          <w:sz w:val="28"/>
          <w:szCs w:val="28"/>
        </w:rPr>
        <w:t>（二）质保期内，</w:t>
      </w:r>
      <w:r>
        <w:rPr>
          <w:rFonts w:ascii="Times New Roman" w:eastAsia="宋体" w:hAnsi="Times New Roman" w:hint="eastAsia"/>
          <w:bCs/>
          <w:sz w:val="28"/>
          <w:szCs w:val="28"/>
        </w:rPr>
        <w:t>成交供应商</w:t>
      </w:r>
      <w:r>
        <w:rPr>
          <w:rFonts w:ascii="宋体" w:eastAsia="宋体" w:hint="eastAsia"/>
          <w:sz w:val="28"/>
          <w:szCs w:val="28"/>
        </w:rPr>
        <w:t>应指定专门维修工程师，负责向采购人提供7*24小时的技术支持与售后服务，保证</w:t>
      </w:r>
      <w:r>
        <w:rPr>
          <w:rFonts w:ascii="Times New Roman" w:eastAsia="宋体" w:hAnsi="Times New Roman"/>
          <w:sz w:val="28"/>
          <w:szCs w:val="28"/>
        </w:rPr>
        <w:t>在接到</w:t>
      </w:r>
      <w:r>
        <w:rPr>
          <w:rFonts w:ascii="宋体" w:eastAsia="宋体" w:hint="eastAsia"/>
          <w:sz w:val="28"/>
          <w:szCs w:val="28"/>
        </w:rPr>
        <w:t>采购人（用户）报修</w:t>
      </w:r>
      <w:r>
        <w:rPr>
          <w:rFonts w:ascii="Times New Roman" w:eastAsia="宋体" w:hAnsi="Times New Roman"/>
          <w:sz w:val="28"/>
          <w:szCs w:val="28"/>
        </w:rPr>
        <w:t>通知</w:t>
      </w:r>
      <w:r>
        <w:rPr>
          <w:rFonts w:ascii="Times New Roman" w:eastAsia="宋体" w:hAnsi="Times New Roman" w:hint="eastAsia"/>
          <w:sz w:val="28"/>
          <w:szCs w:val="28"/>
        </w:rPr>
        <w:t>后</w:t>
      </w:r>
      <w:r>
        <w:rPr>
          <w:rFonts w:ascii="Times New Roman" w:eastAsia="宋体" w:hAnsi="Times New Roman"/>
          <w:sz w:val="28"/>
          <w:szCs w:val="28"/>
        </w:rPr>
        <w:t>48小时内派技术人员到达设备所在</w:t>
      </w:r>
      <w:r>
        <w:rPr>
          <w:rFonts w:ascii="Times New Roman" w:eastAsia="宋体" w:hAnsi="Times New Roman" w:hint="eastAsia"/>
          <w:sz w:val="28"/>
          <w:szCs w:val="28"/>
        </w:rPr>
        <w:t>现场，</w:t>
      </w:r>
      <w:r>
        <w:rPr>
          <w:rFonts w:ascii="Times New Roman" w:eastAsia="宋体" w:hAnsi="Times New Roman"/>
          <w:sz w:val="28"/>
          <w:szCs w:val="28"/>
        </w:rPr>
        <w:t>并</w:t>
      </w:r>
      <w:r>
        <w:rPr>
          <w:rFonts w:ascii="Times New Roman" w:eastAsia="宋体" w:hAnsi="Times New Roman" w:hint="eastAsia"/>
          <w:sz w:val="28"/>
          <w:szCs w:val="28"/>
        </w:rPr>
        <w:t>于</w:t>
      </w:r>
      <w:r>
        <w:rPr>
          <w:rFonts w:ascii="Times New Roman" w:eastAsia="宋体" w:hAnsi="Times New Roman"/>
          <w:sz w:val="28"/>
          <w:szCs w:val="28"/>
        </w:rPr>
        <w:t>到达现场后4小时内解决</w:t>
      </w:r>
      <w:r>
        <w:rPr>
          <w:rFonts w:ascii="Times New Roman" w:eastAsia="宋体" w:hAnsi="Times New Roman" w:hint="eastAsia"/>
          <w:sz w:val="28"/>
          <w:szCs w:val="28"/>
        </w:rPr>
        <w:t>故障。</w:t>
      </w:r>
      <w:r>
        <w:rPr>
          <w:rFonts w:ascii="Times New Roman" w:eastAsia="宋体" w:hAnsi="Times New Roman"/>
          <w:sz w:val="28"/>
          <w:szCs w:val="28"/>
        </w:rPr>
        <w:t>对于超过4小时解决的，需向</w:t>
      </w:r>
      <w:r>
        <w:rPr>
          <w:rFonts w:ascii="宋体" w:eastAsia="宋体" w:hint="eastAsia"/>
          <w:sz w:val="28"/>
          <w:szCs w:val="28"/>
        </w:rPr>
        <w:t>采购人（用户）</w:t>
      </w:r>
      <w:r>
        <w:rPr>
          <w:rFonts w:ascii="Times New Roman" w:eastAsia="宋体" w:hAnsi="Times New Roman"/>
          <w:sz w:val="28"/>
          <w:szCs w:val="28"/>
        </w:rPr>
        <w:t>说明，并给出具体解决方案，承诺解决时限。</w:t>
      </w:r>
    </w:p>
    <w:p>
      <w:pPr>
        <w:pStyle w:val="212"/>
        <w:autoSpaceDN w:val="0"/>
        <w:spacing w:line="400" w:lineRule="exact"/>
        <w:ind w:firstLine="560" w:firstLineChars="200"/>
      </w:pPr>
      <w:r>
        <w:rPr>
          <w:sz w:val="28"/>
          <w:szCs w:val="28"/>
        </w:rPr>
        <w:t>（三）质保期内</w:t>
      </w:r>
      <w:r>
        <w:rPr>
          <w:rFonts w:hint="eastAsia"/>
          <w:sz w:val="28"/>
          <w:szCs w:val="28"/>
        </w:rPr>
        <w:t>，</w:t>
      </w:r>
      <w:r>
        <w:rPr>
          <w:rFonts w:ascii="宋体" w:hint="eastAsia"/>
          <w:sz w:val="28"/>
          <w:szCs w:val="28"/>
        </w:rPr>
        <w:t>成交供应商每年须对设备进行不定期巡查检修</w:t>
      </w:r>
      <w:r>
        <w:rPr>
          <w:sz w:val="28"/>
          <w:szCs w:val="28"/>
        </w:rPr>
        <w:t>2次以上，并每年进行一次校验。</w:t>
      </w:r>
    </w:p>
    <w:p>
      <w:pPr>
        <w:pStyle w:val="212"/>
        <w:autoSpaceDN w:val="0"/>
        <w:spacing w:line="400" w:lineRule="exact"/>
        <w:ind w:firstLine="560" w:firstLineChars="200"/>
        <w:rPr>
          <w:sz w:val="28"/>
          <w:szCs w:val="28"/>
        </w:rPr>
      </w:pPr>
      <w:r>
        <w:rPr>
          <w:sz w:val="28"/>
          <w:szCs w:val="28"/>
        </w:rPr>
        <w:t>（四）质保期外</w:t>
      </w:r>
      <w:r>
        <w:rPr>
          <w:rFonts w:hint="eastAsia"/>
          <w:sz w:val="28"/>
          <w:szCs w:val="28"/>
        </w:rPr>
        <w:t>，</w:t>
      </w:r>
      <w:r>
        <w:rPr>
          <w:sz w:val="28"/>
          <w:szCs w:val="28"/>
        </w:rPr>
        <w:t>如设备发生故障，</w:t>
      </w:r>
      <w:r>
        <w:rPr>
          <w:rFonts w:ascii="宋体" w:hint="eastAsia"/>
          <w:sz w:val="28"/>
          <w:szCs w:val="28"/>
        </w:rPr>
        <w:t>成交供应商在接到采购人（用户）通知后，</w:t>
      </w:r>
      <w:r>
        <w:rPr>
          <w:sz w:val="28"/>
          <w:szCs w:val="28"/>
        </w:rPr>
        <w:t>于48小时到达设备需求方所在</w:t>
      </w:r>
      <w:r>
        <w:rPr>
          <w:rFonts w:hint="eastAsia"/>
          <w:sz w:val="28"/>
          <w:szCs w:val="28"/>
        </w:rPr>
        <w:t>现场</w:t>
      </w:r>
      <w:r>
        <w:rPr>
          <w:sz w:val="28"/>
          <w:szCs w:val="28"/>
        </w:rPr>
        <w:t>进行维修，经检修确需进行备件更换的，按照不高于其投标文件中所提供的零备件价格向设备需求方提供配件。</w:t>
      </w:r>
    </w:p>
    <w:p>
      <w:pPr>
        <w:pStyle w:val="6510"/>
        <w:autoSpaceDN w:val="0"/>
        <w:spacing w:line="400" w:lineRule="exact"/>
        <w:ind w:firstLine="560" w:firstLineChars="200"/>
        <w:jc w:val="left"/>
        <w:rPr>
          <w:rFonts w:ascii="宋体" w:eastAsia="宋体" w:hint="eastAsia"/>
          <w:sz w:val="28"/>
          <w:szCs w:val="28"/>
        </w:rPr>
      </w:pPr>
      <w:r>
        <w:rPr>
          <w:rFonts w:ascii="Times New Roman" w:eastAsia="宋体" w:hAnsi="Times New Roman"/>
          <w:kern w:val="0"/>
          <w:sz w:val="28"/>
          <w:szCs w:val="28"/>
        </w:rPr>
        <w:t>（五）</w:t>
      </w:r>
      <w:r>
        <w:rPr>
          <w:rFonts w:ascii="宋体" w:eastAsia="宋体" w:hint="eastAsia"/>
          <w:sz w:val="28"/>
          <w:szCs w:val="28"/>
        </w:rPr>
        <w:t>在质保期内所有设备的检定或校准费用均由成交供应商承担。</w:t>
      </w:r>
    </w:p>
    <w:p>
      <w:pPr>
        <w:pStyle w:val="6510"/>
        <w:autoSpaceDN w:val="0"/>
        <w:spacing w:line="400" w:lineRule="exact"/>
        <w:ind w:firstLine="560" w:firstLineChars="200"/>
        <w:jc w:val="left"/>
        <w:rPr>
          <w:rFonts w:ascii="宋体" w:eastAsia="宋体" w:hint="eastAsia"/>
          <w:sz w:val="28"/>
          <w:szCs w:val="28"/>
        </w:rPr>
      </w:pPr>
      <w:r>
        <w:rPr>
          <w:rFonts w:ascii="Times New Roman" w:eastAsia="宋体" w:hAnsi="Times New Roman" w:hint="eastAsia"/>
          <w:kern w:val="0"/>
          <w:sz w:val="28"/>
          <w:szCs w:val="28"/>
        </w:rPr>
        <w:t>（六）</w:t>
      </w:r>
      <w:r>
        <w:rPr>
          <w:rFonts w:ascii="宋体" w:eastAsia="宋体" w:hint="eastAsia"/>
          <w:sz w:val="28"/>
          <w:szCs w:val="28"/>
        </w:rPr>
        <w:t>质保期内所有设备维修、零配件更换均免费（采购人故意造成的损坏除外）。质保期外只收取零配件成本费用，不收取维修、更换的人工费用。质保期外重复出现质保期内出现的故障属免费保修范围。</w:t>
      </w:r>
    </w:p>
    <w:p>
      <w:pPr>
        <w:pStyle w:val="212"/>
        <w:autoSpaceDN w:val="0"/>
        <w:spacing w:line="400" w:lineRule="exact"/>
        <w:ind w:firstLine="560" w:firstLineChars="200"/>
        <w:rPr>
          <w:sz w:val="28"/>
          <w:szCs w:val="28"/>
        </w:rPr>
      </w:pPr>
      <w:r>
        <w:rPr>
          <w:rFonts w:hint="eastAsia"/>
          <w:sz w:val="28"/>
          <w:szCs w:val="28"/>
        </w:rPr>
        <w:t>（七）成交</w:t>
      </w:r>
      <w:r>
        <w:rPr>
          <w:sz w:val="28"/>
          <w:szCs w:val="28"/>
        </w:rPr>
        <w:t>供货商应为供应的</w:t>
      </w:r>
      <w:r>
        <w:rPr>
          <w:rFonts w:hint="eastAsia"/>
          <w:sz w:val="28"/>
          <w:szCs w:val="28"/>
        </w:rPr>
        <w:t>设备</w:t>
      </w:r>
      <w:r>
        <w:rPr>
          <w:sz w:val="28"/>
          <w:szCs w:val="28"/>
        </w:rPr>
        <w:t>提供软件免费升级服务，内容包括但不限于应用软件免费升级、接口程序免费升级等。</w:t>
      </w:r>
    </w:p>
    <w:p>
      <w:pPr>
        <w:pStyle w:val="212"/>
        <w:autoSpaceDN w:val="0"/>
        <w:spacing w:line="400" w:lineRule="exact"/>
        <w:ind w:firstLine="560" w:firstLineChars="200"/>
        <w:rPr>
          <w:sz w:val="28"/>
          <w:szCs w:val="28"/>
        </w:rPr>
      </w:pPr>
      <w:r>
        <w:rPr>
          <w:sz w:val="28"/>
          <w:szCs w:val="28"/>
        </w:rPr>
        <w:t>（</w:t>
      </w:r>
      <w:r>
        <w:rPr>
          <w:rFonts w:hint="eastAsia"/>
          <w:sz w:val="28"/>
          <w:szCs w:val="28"/>
        </w:rPr>
        <w:t>八</w:t>
      </w:r>
      <w:r>
        <w:rPr>
          <w:sz w:val="28"/>
          <w:szCs w:val="28"/>
        </w:rPr>
        <w:t>）</w:t>
      </w:r>
      <w:r>
        <w:rPr>
          <w:rFonts w:hint="eastAsia"/>
          <w:sz w:val="28"/>
          <w:szCs w:val="28"/>
        </w:rPr>
        <w:t>成交</w:t>
      </w:r>
      <w:r>
        <w:rPr>
          <w:sz w:val="28"/>
          <w:szCs w:val="28"/>
        </w:rPr>
        <w:t>供货商应设立24小时服务热线电话，及时提供设备安装、维修和技术指导。保证提供不少于10年的维修维护、备品备件、技术支持等服务。</w:t>
      </w:r>
    </w:p>
    <w:p>
      <w:pPr>
        <w:pStyle w:val="212"/>
        <w:widowControl/>
        <w:autoSpaceDN w:val="0"/>
        <w:spacing w:line="400" w:lineRule="exact"/>
        <w:ind w:firstLine="560" w:firstLineChars="200"/>
        <w:rPr>
          <w:rFonts w:hint="eastAsia"/>
          <w:sz w:val="28"/>
          <w:szCs w:val="28"/>
        </w:rPr>
      </w:pPr>
      <w:r>
        <w:rPr>
          <w:sz w:val="28"/>
          <w:szCs w:val="28"/>
        </w:rPr>
        <w:t>（</w:t>
      </w:r>
      <w:r>
        <w:rPr>
          <w:rFonts w:hint="eastAsia"/>
          <w:sz w:val="28"/>
          <w:szCs w:val="28"/>
        </w:rPr>
        <w:t>九</w:t>
      </w:r>
      <w:r>
        <w:rPr>
          <w:sz w:val="28"/>
          <w:szCs w:val="28"/>
        </w:rPr>
        <w:t>）</w:t>
      </w:r>
      <w:r>
        <w:rPr>
          <w:rFonts w:hint="eastAsia"/>
          <w:sz w:val="28"/>
          <w:szCs w:val="28"/>
        </w:rPr>
        <w:t>成交</w:t>
      </w:r>
      <w:r>
        <w:rPr>
          <w:sz w:val="28"/>
          <w:szCs w:val="28"/>
        </w:rPr>
        <w:t>供货商应在质保期结束前3个月内，对设备进行一次全面的维护保养工作。</w:t>
      </w:r>
    </w:p>
    <w:p>
      <w:pPr>
        <w:pStyle w:val="212"/>
        <w:widowControl/>
        <w:autoSpaceDN w:val="0"/>
        <w:spacing w:line="400" w:lineRule="exact"/>
        <w:ind w:firstLine="560" w:firstLineChars="200"/>
        <w:rPr>
          <w:rFonts w:ascii="宋体" w:hint="eastAsia"/>
          <w:sz w:val="28"/>
          <w:szCs w:val="28"/>
        </w:rPr>
      </w:pPr>
      <w:r>
        <w:rPr>
          <w:rFonts w:ascii="宋体" w:hint="eastAsia"/>
          <w:sz w:val="28"/>
          <w:szCs w:val="28"/>
        </w:rPr>
        <w:t>（十）本合同所包含的售后服务，包含制造商售后服务和代理商售后服务，均由成交供应商负责联系、跟踪。</w:t>
      </w:r>
    </w:p>
    <w:p>
      <w:pPr>
        <w:pStyle w:val="10102"/>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七、培训要求</w:t>
      </w:r>
    </w:p>
    <w:p>
      <w:pPr>
        <w:pStyle w:val="6510"/>
        <w:autoSpaceDN w:val="0"/>
        <w:spacing w:line="400" w:lineRule="exact"/>
        <w:ind w:firstLine="560" w:firstLineChars="200"/>
        <w:jc w:val="left"/>
      </w:pPr>
      <w:r>
        <w:rPr>
          <w:rFonts w:ascii="宋体" w:eastAsia="宋体" w:cs="Arial" w:hint="eastAsia"/>
          <w:bCs/>
          <w:sz w:val="28"/>
          <w:szCs w:val="28"/>
        </w:rPr>
        <w:t>1.</w:t>
      </w:r>
      <w:r>
        <w:rPr>
          <w:rFonts w:ascii="宋体" w:eastAsia="宋体" w:hint="eastAsia"/>
          <w:sz w:val="28"/>
          <w:szCs w:val="28"/>
        </w:rPr>
        <w:t>成交供应商应在</w:t>
      </w:r>
      <w:r>
        <w:rPr>
          <w:rFonts w:ascii="宋体" w:eastAsia="宋体" w:hint="eastAsia"/>
          <w:kern w:val="0"/>
          <w:sz w:val="28"/>
          <w:szCs w:val="28"/>
        </w:rPr>
        <w:t>货物安装调试验收合格之</w:t>
      </w:r>
      <w:r>
        <w:rPr>
          <w:rFonts w:ascii="宋体" w:eastAsia="宋体" w:hint="eastAsia"/>
          <w:sz w:val="28"/>
          <w:szCs w:val="28"/>
        </w:rPr>
        <w:t>日起10个工作日内完成对采购人（用户）的相关培训工作，并负责免费派工程师对采购人（用户）就设备原理和基本操作进行现场培训，使采购人（用户）能正常操作。</w:t>
      </w:r>
    </w:p>
    <w:p>
      <w:pPr>
        <w:pStyle w:val="9110"/>
        <w:autoSpaceDN w:val="0"/>
        <w:spacing w:line="400" w:lineRule="exact"/>
        <w:ind w:firstLine="560" w:firstLineChars="200"/>
        <w:jc w:val="left"/>
        <w:rPr>
          <w:rFonts w:ascii="Times New Roman" w:eastAsia="宋体" w:hAnsi="Times New Roman"/>
        </w:rPr>
      </w:pPr>
      <w:r>
        <w:rPr>
          <w:rFonts w:ascii="Times New Roman" w:eastAsia="宋体" w:hAnsi="Times New Roman" w:hint="eastAsia"/>
          <w:bCs/>
          <w:sz w:val="28"/>
          <w:szCs w:val="28"/>
        </w:rPr>
        <w:t>2.</w:t>
      </w:r>
      <w:r>
        <w:rPr>
          <w:rFonts w:ascii="宋体" w:eastAsia="宋体" w:cs="Arial" w:hint="eastAsia"/>
          <w:bCs/>
          <w:sz w:val="28"/>
          <w:szCs w:val="28"/>
        </w:rPr>
        <w:t>质保期内</w:t>
      </w:r>
      <w:r>
        <w:rPr>
          <w:rFonts w:ascii="宋体" w:eastAsia="宋体" w:hint="eastAsia"/>
          <w:sz w:val="28"/>
          <w:szCs w:val="28"/>
        </w:rPr>
        <w:t>成交供应商</w:t>
      </w:r>
      <w:r>
        <w:rPr>
          <w:rFonts w:ascii="宋体" w:eastAsia="宋体" w:cs="Arial" w:hint="eastAsia"/>
          <w:bCs/>
          <w:sz w:val="28"/>
          <w:szCs w:val="28"/>
        </w:rPr>
        <w:t>每年</w:t>
      </w:r>
      <w:r>
        <w:rPr>
          <w:rFonts w:ascii="Times New Roman" w:eastAsia="宋体" w:hAnsi="Times New Roman"/>
          <w:bCs/>
          <w:sz w:val="28"/>
          <w:szCs w:val="28"/>
        </w:rPr>
        <w:t>免费举办</w:t>
      </w:r>
      <w:r>
        <w:rPr>
          <w:rFonts w:ascii="宋体" w:eastAsia="宋体" w:cs="Arial" w:hint="eastAsia"/>
          <w:bCs/>
          <w:sz w:val="28"/>
          <w:szCs w:val="28"/>
        </w:rPr>
        <w:t>1次操作</w:t>
      </w:r>
      <w:bookmarkStart w:id="43" w:name="_GoBack"/>
      <w:bookmarkEnd w:id="43"/>
      <w:r>
        <w:rPr>
          <w:rFonts w:ascii="宋体" w:eastAsia="宋体" w:cs="Arial" w:hint="eastAsia"/>
          <w:bCs/>
          <w:sz w:val="28"/>
          <w:szCs w:val="28"/>
        </w:rPr>
        <w:t>和技术培训</w:t>
      </w:r>
      <w:r>
        <w:rPr>
          <w:rFonts w:ascii="Times New Roman" w:eastAsia="宋体" w:hAnsi="Times New Roman"/>
          <w:bCs/>
          <w:sz w:val="28"/>
          <w:szCs w:val="28"/>
        </w:rPr>
        <w:t>，培训内容包括：辐射基础知识、辐射防护，设备工作原理，设备操作、使用、日常维护，一般故障诊断、排除等，并邀请有关专家进行使用经验专题讲座等。</w:t>
      </w:r>
    </w:p>
    <w:p>
      <w:pPr>
        <w:pStyle w:val="10102"/>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八、分配表</w:t>
      </w:r>
    </w:p>
    <w:p>
      <w:pPr>
        <w:pStyle w:val="10102"/>
        <w:tabs>
          <w:tab w:val="left" w:pos="2160"/>
          <w:tab w:val="center" w:pos="4450"/>
        </w:tabs>
        <w:spacing w:line="400" w:lineRule="exact"/>
        <w:jc w:val="left"/>
        <w:rPr>
          <w:rFonts w:ascii="Times New Roman" w:eastAsia="方正仿宋_GBK" w:hAnsi="Times New Roman"/>
          <w:sz w:val="28"/>
          <w:szCs w:val="28"/>
        </w:rPr>
      </w:pPr>
      <w:r>
        <w:rPr>
          <w:rFonts w:ascii="Times New Roman" w:hAnsi="Times New Roman"/>
          <w:b/>
          <w:bCs/>
          <w:sz w:val="28"/>
          <w:szCs w:val="28"/>
        </w:rPr>
        <w:tab/>
      </w:r>
      <w:r>
        <w:rPr>
          <w:rFonts w:ascii="宋体" w:eastAsia="宋体" w:hint="eastAsia"/>
          <w:sz w:val="28"/>
          <w:szCs w:val="28"/>
        </w:rPr>
        <w:t>品目1固定式行人核辐射探测设备分配表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品名/型号</w:t>
            </w:r>
          </w:p>
        </w:tc>
        <w:tc>
          <w:tcPr>
            <w:tcW w:w="1827"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石家庄海关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南宁海关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上海海关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北京海关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深圳海关</w:t>
            </w:r>
          </w:p>
        </w:tc>
        <w:tc>
          <w:tcPr>
            <w:tcW w:w="2749" w:type="dxa"/>
            <w:tcBorders>
              <w:top w:val="single" w:sz="4" w:space="0" w:color="auto"/>
              <w:left w:val="single" w:sz="4" w:space="0" w:color="auto"/>
              <w:right w:val="single" w:sz="4" w:space="0" w:color="auto"/>
            </w:tcBorders>
            <w:vAlign w:val="center"/>
          </w:tcPr>
          <w:p>
            <w:pPr>
              <w:pStyle w:val="10101"/>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90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哈尔滨海关</w:t>
            </w:r>
          </w:p>
        </w:tc>
        <w:tc>
          <w:tcPr>
            <w:tcW w:w="2749" w:type="dxa"/>
            <w:tcBorders>
              <w:top w:val="single" w:sz="4" w:space="0" w:color="auto"/>
              <w:left w:val="single" w:sz="4" w:space="0" w:color="auto"/>
              <w:right w:val="single" w:sz="4" w:space="0" w:color="auto"/>
            </w:tcBorders>
            <w:vAlign w:val="center"/>
          </w:tcPr>
          <w:p>
            <w:pPr>
              <w:pStyle w:val="11100"/>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6</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180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沈阳海关</w:t>
            </w:r>
          </w:p>
        </w:tc>
        <w:tc>
          <w:tcPr>
            <w:tcW w:w="2749" w:type="dxa"/>
            <w:tcBorders>
              <w:top w:val="single" w:sz="4" w:space="0" w:color="auto"/>
              <w:left w:val="single" w:sz="4" w:space="0" w:color="auto"/>
              <w:right w:val="single" w:sz="4" w:space="0" w:color="auto"/>
            </w:tcBorders>
            <w:vAlign w:val="center"/>
          </w:tcPr>
          <w:p>
            <w:pPr>
              <w:pStyle w:val="12101"/>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60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南京海关</w:t>
            </w:r>
          </w:p>
        </w:tc>
        <w:tc>
          <w:tcPr>
            <w:tcW w:w="2749" w:type="dxa"/>
            <w:tcBorders>
              <w:top w:val="single" w:sz="4" w:space="0" w:color="auto"/>
              <w:left w:val="single" w:sz="4" w:space="0" w:color="auto"/>
              <w:right w:val="single" w:sz="4" w:space="0" w:color="auto"/>
            </w:tcBorders>
            <w:vAlign w:val="center"/>
          </w:tcPr>
          <w:p>
            <w:pPr>
              <w:pStyle w:val="1310"/>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90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福州海关</w:t>
            </w:r>
          </w:p>
        </w:tc>
        <w:tc>
          <w:tcPr>
            <w:tcW w:w="2749" w:type="dxa"/>
            <w:tcBorders>
              <w:top w:val="single" w:sz="4" w:space="0" w:color="auto"/>
              <w:left w:val="single" w:sz="4" w:space="0" w:color="auto"/>
              <w:right w:val="single" w:sz="4" w:space="0" w:color="auto"/>
            </w:tcBorders>
            <w:vAlign w:val="center"/>
          </w:tcPr>
          <w:p>
            <w:pPr>
              <w:pStyle w:val="16100"/>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p>
        </w:tc>
        <w:tc>
          <w:tcPr>
            <w:tcW w:w="2749" w:type="dxa"/>
            <w:tcBorders>
              <w:top w:val="single" w:sz="4" w:space="0" w:color="auto"/>
              <w:left w:val="single" w:sz="4" w:space="0" w:color="auto"/>
              <w:right w:val="single" w:sz="4" w:space="0" w:color="auto"/>
            </w:tcBorders>
            <w:vAlign w:val="center"/>
          </w:tcPr>
          <w:p>
            <w:pPr>
              <w:pStyle w:val="5100"/>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合计</w:t>
            </w:r>
          </w:p>
        </w:tc>
        <w:tc>
          <w:tcPr>
            <w:tcW w:w="1827" w:type="dxa"/>
            <w:tcBorders>
              <w:top w:val="single" w:sz="4" w:space="0" w:color="auto"/>
              <w:left w:val="single" w:sz="4" w:space="0" w:color="auto"/>
              <w:right w:val="single" w:sz="4" w:space="0" w:color="auto"/>
            </w:tcBorders>
            <w:vAlign w:val="center"/>
          </w:tcPr>
          <w:p>
            <w:pPr>
              <w:pStyle w:val="610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19</w:t>
            </w:r>
          </w:p>
        </w:tc>
        <w:tc>
          <w:tcPr>
            <w:tcW w:w="1769" w:type="dxa"/>
            <w:vAlign w:val="center"/>
          </w:tcPr>
          <w:p>
            <w:pPr>
              <w:pStyle w:val="710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570</w:t>
            </w:r>
          </w:p>
        </w:tc>
      </w:tr>
    </w:tbl>
    <w:p>
      <w:pPr>
        <w:pStyle w:val="10102"/>
        <w:spacing w:line="400" w:lineRule="exact"/>
        <w:rPr>
          <w:rFonts w:ascii="Times New Roman" w:eastAsia="方正仿宋_GBK" w:hAnsi="Times New Roman"/>
          <w:sz w:val="28"/>
          <w:szCs w:val="28"/>
        </w:rPr>
      </w:pPr>
    </w:p>
    <w:p>
      <w:pPr>
        <w:pStyle w:val="10102"/>
        <w:spacing w:line="400" w:lineRule="exact"/>
        <w:jc w:val="center"/>
        <w:rPr>
          <w:rFonts w:ascii="Times New Roman" w:eastAsia="方正仿宋_GBK" w:hAnsi="Times New Roman"/>
          <w:b/>
          <w:bCs/>
          <w:sz w:val="28"/>
          <w:szCs w:val="28"/>
        </w:rPr>
      </w:pPr>
      <w:r>
        <w:rPr>
          <w:rFonts w:ascii="宋体" w:eastAsia="宋体" w:hint="eastAsia"/>
          <w:sz w:val="28"/>
          <w:szCs w:val="28"/>
        </w:rPr>
        <w:t>品目2固定式行包核辐射探测设备分配表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749"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品名/型号</w:t>
            </w:r>
          </w:p>
        </w:tc>
        <w:tc>
          <w:tcPr>
            <w:tcW w:w="1827"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vAlign w:val="center"/>
          </w:tcPr>
          <w:p>
            <w:pPr>
              <w:pStyle w:val="10102"/>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276"/>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青岛海关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福州海关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海口海关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长春海关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1</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30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重庆海关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60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南京海关</w:t>
            </w:r>
          </w:p>
        </w:tc>
        <w:tc>
          <w:tcPr>
            <w:tcW w:w="2749"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以实际中标为准</w:t>
            </w:r>
          </w:p>
        </w:tc>
        <w:tc>
          <w:tcPr>
            <w:tcW w:w="1827" w:type="dxa"/>
            <w:tcBorders>
              <w:top w:val="single" w:sz="4" w:space="0" w:color="auto"/>
              <w:left w:val="single" w:sz="4" w:space="0" w:color="auto"/>
              <w:right w:val="single" w:sz="4" w:space="0" w:color="auto"/>
            </w:tcBorders>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w:t>
            </w:r>
          </w:p>
        </w:tc>
        <w:tc>
          <w:tcPr>
            <w:tcW w:w="1769" w:type="dxa"/>
            <w:vAlign w:val="center"/>
          </w:tcPr>
          <w:p>
            <w:pPr>
              <w:pStyle w:val="10102"/>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60</w:t>
            </w:r>
          </w:p>
        </w:tc>
      </w:tr>
      <w:tr>
        <w:tblPrEx>
          <w:jc w:val="center"/>
          <w:tblLayout w:type="fixed"/>
          <w:tblCellMar>
            <w:top w:w="0" w:type="dxa"/>
            <w:left w:w="108" w:type="dxa"/>
            <w:bottom w:w="0" w:type="dxa"/>
            <w:right w:w="108" w:type="dxa"/>
          </w:tblCellMar>
        </w:tblPrEx>
        <w:trPr>
          <w:jc w:val="center"/>
        </w:trPr>
        <w:tc>
          <w:tcPr>
            <w:tcW w:w="2177" w:type="dxa"/>
            <w:vAlign w:val="center"/>
          </w:tcPr>
          <w:p>
            <w:pPr>
              <w:pStyle w:val="10102"/>
              <w:widowControl/>
              <w:spacing w:line="400" w:lineRule="exact"/>
              <w:jc w:val="center"/>
              <w:textAlignment w:val="center"/>
              <w:rPr>
                <w:rFonts w:ascii="宋体" w:eastAsia="宋体" w:hint="eastAsia"/>
                <w:kern w:val="0"/>
                <w:sz w:val="28"/>
                <w:szCs w:val="28"/>
              </w:rPr>
            </w:pPr>
          </w:p>
        </w:tc>
        <w:tc>
          <w:tcPr>
            <w:tcW w:w="2749" w:type="dxa"/>
            <w:tcBorders>
              <w:top w:val="single" w:sz="4" w:space="0" w:color="auto"/>
              <w:left w:val="single" w:sz="4" w:space="0" w:color="auto"/>
              <w:right w:val="single" w:sz="4" w:space="0" w:color="auto"/>
            </w:tcBorders>
            <w:vAlign w:val="center"/>
          </w:tcPr>
          <w:p>
            <w:pPr>
              <w:pStyle w:val="1710"/>
              <w:widowControl/>
              <w:spacing w:line="400" w:lineRule="exact"/>
              <w:jc w:val="center"/>
              <w:textAlignment w:val="center"/>
              <w:rPr>
                <w:rFonts w:ascii="宋体" w:eastAsia="宋体" w:hint="eastAsia"/>
                <w:kern w:val="0"/>
                <w:sz w:val="28"/>
                <w:szCs w:val="28"/>
              </w:rPr>
            </w:pPr>
            <w:r>
              <w:rPr>
                <w:rFonts w:ascii="宋体" w:eastAsia="宋体" w:hint="eastAsia"/>
                <w:kern w:val="0"/>
                <w:sz w:val="28"/>
                <w:szCs w:val="28"/>
              </w:rPr>
              <w:t>合计</w:t>
            </w:r>
          </w:p>
        </w:tc>
        <w:tc>
          <w:tcPr>
            <w:tcW w:w="1827" w:type="dxa"/>
            <w:tcBorders>
              <w:top w:val="single" w:sz="4" w:space="0" w:color="auto"/>
              <w:left w:val="single" w:sz="4" w:space="0" w:color="auto"/>
              <w:right w:val="single" w:sz="4" w:space="0" w:color="auto"/>
            </w:tcBorders>
            <w:vAlign w:val="center"/>
          </w:tcPr>
          <w:p>
            <w:pPr>
              <w:pStyle w:val="18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8</w:t>
            </w:r>
          </w:p>
        </w:tc>
        <w:tc>
          <w:tcPr>
            <w:tcW w:w="1769" w:type="dxa"/>
            <w:vAlign w:val="center"/>
          </w:tcPr>
          <w:p>
            <w:pPr>
              <w:pStyle w:val="1910"/>
              <w:widowControl/>
              <w:spacing w:line="400" w:lineRule="exact"/>
              <w:jc w:val="center"/>
              <w:textAlignment w:val="bottom"/>
              <w:rPr>
                <w:rFonts w:ascii="Times New Roman" w:eastAsia="方正仿宋_GBK" w:hAnsi="Times New Roman"/>
                <w:kern w:val="0"/>
                <w:sz w:val="28"/>
                <w:szCs w:val="28"/>
              </w:rPr>
            </w:pPr>
            <w:r>
              <w:rPr>
                <w:rFonts w:ascii="Times New Roman" w:eastAsia="方正仿宋_GBK" w:hAnsi="Times New Roman"/>
                <w:kern w:val="0"/>
                <w:sz w:val="28"/>
                <w:szCs w:val="28"/>
              </w:rPr>
              <w:t>240</w:t>
            </w:r>
          </w:p>
        </w:tc>
      </w:tr>
    </w:tbl>
    <w:p>
      <w:pPr>
        <w:pStyle w:val="15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九、主要技术参数及配置条目数量统计</w:t>
      </w:r>
    </w:p>
    <w:tbl>
      <w:tblPr>
        <w:tblW w:w="695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44"/>
        <w:gridCol w:w="4307"/>
      </w:tblGrid>
      <w:tr>
        <w:tblPrEx>
          <w:tblW w:w="695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644"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指标类型</w:t>
            </w:r>
          </w:p>
        </w:tc>
        <w:tc>
          <w:tcPr>
            <w:tcW w:w="4307"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条目数量（个）</w:t>
            </w:r>
          </w:p>
        </w:tc>
      </w:tr>
      <w:tr>
        <w:tblPrEx>
          <w:tblW w:w="6951" w:type="dxa"/>
          <w:jc w:val="left"/>
          <w:tblInd w:w="-93" w:type="dxa"/>
          <w:tblCellMar>
            <w:top w:w="0" w:type="dxa"/>
            <w:left w:w="108" w:type="dxa"/>
            <w:bottom w:w="0" w:type="dxa"/>
            <w:right w:w="108" w:type="dxa"/>
          </w:tblCellMar>
        </w:tblPrEx>
        <w:trPr>
          <w:trHeight w:val="389"/>
          <w:jc w:val="left"/>
        </w:trPr>
        <w:tc>
          <w:tcPr>
            <w:tcW w:w="2644"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仿宋_GBK" w:hAnsi="Times New Roman"/>
                <w:b/>
                <w:bCs/>
                <w:sz w:val="28"/>
                <w:szCs w:val="28"/>
              </w:rPr>
              <w:t>★指标</w:t>
            </w:r>
          </w:p>
        </w:tc>
        <w:tc>
          <w:tcPr>
            <w:tcW w:w="4307"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hint="eastAsia"/>
                <w:b/>
                <w:sz w:val="28"/>
                <w:szCs w:val="28"/>
              </w:rPr>
              <w:t>6</w:t>
            </w:r>
          </w:p>
        </w:tc>
      </w:tr>
      <w:tr>
        <w:tblPrEx>
          <w:tblW w:w="6951" w:type="dxa"/>
          <w:jc w:val="left"/>
          <w:tblInd w:w="-93" w:type="dxa"/>
          <w:tblCellMar>
            <w:top w:w="0" w:type="dxa"/>
            <w:left w:w="108" w:type="dxa"/>
            <w:bottom w:w="0" w:type="dxa"/>
            <w:right w:w="108" w:type="dxa"/>
          </w:tblCellMar>
        </w:tblPrEx>
        <w:trPr>
          <w:trHeight w:val="388"/>
          <w:jc w:val="left"/>
        </w:trPr>
        <w:tc>
          <w:tcPr>
            <w:tcW w:w="2644"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▲指标</w:t>
            </w:r>
          </w:p>
        </w:tc>
        <w:tc>
          <w:tcPr>
            <w:tcW w:w="4307"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w:t>
            </w:r>
            <w:r>
              <w:rPr>
                <w:rFonts w:ascii="Times New Roman" w:eastAsia="方正黑体_GBK" w:hAnsi="Times New Roman" w:hint="eastAsia"/>
                <w:b/>
                <w:sz w:val="28"/>
                <w:szCs w:val="28"/>
              </w:rPr>
              <w:t>4</w:t>
            </w:r>
          </w:p>
        </w:tc>
      </w:tr>
      <w:tr>
        <w:tblPrEx>
          <w:tblW w:w="6951" w:type="dxa"/>
          <w:jc w:val="left"/>
          <w:tblInd w:w="-93" w:type="dxa"/>
          <w:tblCellMar>
            <w:top w:w="0" w:type="dxa"/>
            <w:left w:w="108" w:type="dxa"/>
            <w:bottom w:w="0" w:type="dxa"/>
            <w:right w:w="108" w:type="dxa"/>
          </w:tblCellMar>
        </w:tblPrEx>
        <w:trPr>
          <w:trHeight w:val="389"/>
          <w:jc w:val="left"/>
        </w:trPr>
        <w:tc>
          <w:tcPr>
            <w:tcW w:w="2644"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一般指标</w:t>
            </w:r>
          </w:p>
        </w:tc>
        <w:tc>
          <w:tcPr>
            <w:tcW w:w="4307"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hint="eastAsia"/>
                <w:b/>
                <w:sz w:val="28"/>
                <w:szCs w:val="28"/>
              </w:rPr>
              <w:t>17</w:t>
            </w:r>
          </w:p>
        </w:tc>
      </w:tr>
    </w:tbl>
    <w:p>
      <w:pPr>
        <w:pStyle w:val="10102"/>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十、付款办法</w:t>
      </w:r>
    </w:p>
    <w:p>
      <w:pPr>
        <w:pStyle w:val="7310"/>
        <w:autoSpaceDN w:val="0"/>
        <w:spacing w:line="400" w:lineRule="exact"/>
        <w:ind w:firstLine="560" w:firstLineChars="200"/>
        <w:jc w:val="left"/>
        <w:rPr>
          <w:sz w:val="28"/>
          <w:szCs w:val="28"/>
        </w:rPr>
      </w:pPr>
      <w:r>
        <w:rPr>
          <w:sz w:val="28"/>
          <w:szCs w:val="28"/>
        </w:rPr>
        <w:t>1.</w:t>
      </w:r>
      <w:r>
        <w:rPr>
          <w:rFonts w:hint="eastAsia"/>
          <w:sz w:val="28"/>
          <w:szCs w:val="28"/>
        </w:rPr>
        <w:t>合同签订后</w:t>
      </w:r>
      <w:r>
        <w:rPr>
          <w:sz w:val="28"/>
          <w:szCs w:val="28"/>
        </w:rPr>
        <w:t>10</w:t>
      </w:r>
      <w:r>
        <w:rPr>
          <w:rFonts w:hint="eastAsia"/>
          <w:sz w:val="28"/>
          <w:szCs w:val="28"/>
        </w:rPr>
        <w:t>个工作日内，</w:t>
      </w:r>
      <w:r>
        <w:rPr>
          <w:sz w:val="28"/>
          <w:szCs w:val="28"/>
        </w:rPr>
        <w:t>乙方（指</w:t>
      </w:r>
      <w:r>
        <w:rPr>
          <w:rFonts w:hint="eastAsia"/>
          <w:sz w:val="28"/>
          <w:szCs w:val="28"/>
        </w:rPr>
        <w:t>成交</w:t>
      </w:r>
      <w:r>
        <w:rPr>
          <w:sz w:val="28"/>
          <w:szCs w:val="28"/>
        </w:rPr>
        <w:t>供应商，下同）</w:t>
      </w:r>
      <w:r>
        <w:rPr>
          <w:rFonts w:hint="eastAsia"/>
          <w:sz w:val="28"/>
          <w:szCs w:val="28"/>
        </w:rPr>
        <w:t>按合同金额的10%</w:t>
      </w:r>
      <w:r>
        <w:rPr>
          <w:sz w:val="28"/>
          <w:szCs w:val="28"/>
        </w:rPr>
        <w:t>向甲方（指采购人，下同）交付履约保证函</w:t>
      </w:r>
      <w:r>
        <w:rPr>
          <w:rFonts w:hint="eastAsia"/>
          <w:sz w:val="28"/>
          <w:szCs w:val="28"/>
        </w:rPr>
        <w:t>（推荐优先选择）</w:t>
      </w:r>
      <w:r>
        <w:rPr>
          <w:sz w:val="28"/>
          <w:szCs w:val="28"/>
        </w:rPr>
        <w:t>或履约保证金</w:t>
      </w:r>
      <w:r>
        <w:rPr>
          <w:rFonts w:hint="eastAsia"/>
          <w:sz w:val="28"/>
          <w:szCs w:val="28"/>
        </w:rPr>
        <w:t>。乙方</w:t>
      </w:r>
      <w:r>
        <w:rPr>
          <w:sz w:val="28"/>
          <w:szCs w:val="28"/>
        </w:rPr>
        <w:t>提交下列单据之日起10个工作日内，甲方向乙方支付合同总价</w:t>
      </w:r>
      <w:r>
        <w:rPr>
          <w:sz w:val="28"/>
          <w:szCs w:val="28"/>
          <w:u w:val="single"/>
        </w:rPr>
        <w:t>60</w:t>
      </w:r>
      <w:r>
        <w:rPr>
          <w:sz w:val="28"/>
          <w:szCs w:val="28"/>
        </w:rPr>
        <w:t>%合同款（金额）。</w:t>
      </w:r>
    </w:p>
    <w:p>
      <w:pPr>
        <w:pStyle w:val="10102"/>
        <w:spacing w:line="400" w:lineRule="exact"/>
        <w:ind w:firstLine="560" w:firstLineChars="200"/>
        <w:jc w:val="left"/>
        <w:rPr>
          <w:rFonts w:ascii="Times New Roman" w:eastAsia="宋体" w:hAnsi="Times New Roman"/>
          <w:sz w:val="28"/>
          <w:szCs w:val="28"/>
        </w:rPr>
      </w:pPr>
      <w:r>
        <w:rPr>
          <w:rFonts w:ascii="Times New Roman" w:eastAsia="宋体" w:hAnsi="Times New Roman"/>
          <w:sz w:val="28"/>
          <w:szCs w:val="28"/>
        </w:rPr>
        <w:t>乙方提交单据：合同（正文部分复印件）、中标通知书（或成交通知书）、发票（原件）、履约保证金（或履约保证函）单据。</w:t>
      </w:r>
    </w:p>
    <w:p>
      <w:pPr>
        <w:pStyle w:val="7310"/>
        <w:autoSpaceDN w:val="0"/>
        <w:spacing w:line="400" w:lineRule="exact"/>
        <w:ind w:firstLine="560" w:firstLineChars="200"/>
        <w:jc w:val="left"/>
        <w:rPr>
          <w:sz w:val="28"/>
          <w:szCs w:val="28"/>
        </w:rPr>
      </w:pPr>
      <w:r>
        <w:rPr>
          <w:sz w:val="28"/>
          <w:szCs w:val="28"/>
        </w:rPr>
        <w:t>2.设备全部到货、安装调试，并经甲方（用户）</w:t>
      </w:r>
      <w:r>
        <w:rPr>
          <w:rFonts w:hint="eastAsia"/>
          <w:sz w:val="28"/>
          <w:szCs w:val="28"/>
        </w:rPr>
        <w:t>全部</w:t>
      </w:r>
      <w:r>
        <w:rPr>
          <w:sz w:val="28"/>
          <w:szCs w:val="28"/>
        </w:rPr>
        <w:t xml:space="preserve">验收合格后，乙方向甲方提交下列单据之日起10个工作日内，甲方向乙方支付合同总价  </w:t>
      </w:r>
      <w:r>
        <w:rPr>
          <w:sz w:val="28"/>
          <w:szCs w:val="28"/>
          <w:u w:val="single"/>
        </w:rPr>
        <w:t>40</w:t>
      </w:r>
      <w:r>
        <w:rPr>
          <w:sz w:val="28"/>
          <w:szCs w:val="28"/>
        </w:rPr>
        <w:t>%合同款（金额）。</w:t>
      </w:r>
    </w:p>
    <w:p>
      <w:pPr>
        <w:pStyle w:val="10102"/>
        <w:spacing w:line="400" w:lineRule="exact"/>
        <w:ind w:firstLine="560" w:firstLineChars="200"/>
        <w:jc w:val="left"/>
        <w:rPr>
          <w:rFonts w:ascii="Times New Roman" w:eastAsia="宋体" w:hAnsi="Times New Roman" w:hint="eastAsia"/>
          <w:sz w:val="28"/>
          <w:szCs w:val="28"/>
        </w:rPr>
      </w:pPr>
      <w:r>
        <w:rPr>
          <w:rFonts w:ascii="Times New Roman" w:eastAsia="宋体" w:hAnsi="Times New Roman"/>
          <w:sz w:val="28"/>
          <w:szCs w:val="28"/>
        </w:rPr>
        <w:t>乙方提交单据：合同（正文部分复印件）、中标通知书（或成交通知书）、发票（原件）、安装调试验收合格报告（复印件，须装订成册）。</w:t>
      </w:r>
    </w:p>
    <w:p>
      <w:pPr>
        <w:pStyle w:val="10102"/>
        <w:spacing w:line="400" w:lineRule="exact"/>
        <w:ind w:firstLine="560" w:firstLineChars="200"/>
        <w:jc w:val="left"/>
        <w:rPr>
          <w:rFonts w:ascii="Times New Roman" w:eastAsia="宋体" w:hAnsi="Times New Roman"/>
          <w:sz w:val="28"/>
          <w:szCs w:val="28"/>
        </w:rPr>
      </w:pPr>
      <w:r>
        <w:rPr>
          <w:rFonts w:ascii="Times New Roman" w:eastAsia="宋体" w:hAnsi="Times New Roman" w:hint="eastAsia"/>
          <w:sz w:val="28"/>
          <w:szCs w:val="28"/>
        </w:rPr>
        <w:t>3.设备验收合格1年后未出现设备自身质量问题，依乙方申请退还履约保证函或</w:t>
      </w:r>
      <w:r>
        <w:rPr>
          <w:rFonts w:ascii="Times New Roman" w:eastAsia="宋体" w:hAnsi="Times New Roman"/>
          <w:sz w:val="28"/>
          <w:szCs w:val="28"/>
        </w:rPr>
        <w:t>履约保证金</w:t>
      </w:r>
      <w:r>
        <w:rPr>
          <w:rFonts w:ascii="Times New Roman" w:eastAsia="宋体" w:hAnsi="Times New Roman" w:hint="eastAsia"/>
          <w:sz w:val="28"/>
          <w:szCs w:val="28"/>
        </w:rPr>
        <w:t>。</w:t>
      </w:r>
    </w:p>
    <w:p>
      <w:pPr>
        <w:pStyle w:val="10102"/>
        <w:spacing w:line="400" w:lineRule="exact"/>
        <w:ind w:firstLine="560" w:firstLineChars="200"/>
        <w:jc w:val="left"/>
        <w:rPr>
          <w:rFonts w:ascii="Times New Roman" w:eastAsia="宋体" w:hAnsi="Times New Roman" w:hint="eastAsia"/>
          <w:sz w:val="28"/>
          <w:szCs w:val="28"/>
        </w:rPr>
      </w:pPr>
      <w:r>
        <w:rPr>
          <w:rFonts w:ascii="Times New Roman" w:eastAsia="宋体" w:hAnsi="Times New Roman" w:hint="eastAsia"/>
          <w:sz w:val="28"/>
          <w:szCs w:val="28"/>
        </w:rPr>
        <w:t>4</w:t>
      </w:r>
      <w:r>
        <w:rPr>
          <w:rFonts w:ascii="Times New Roman" w:eastAsia="宋体" w:hAnsi="Times New Roman"/>
          <w:sz w:val="28"/>
          <w:szCs w:val="28"/>
        </w:rPr>
        <w:t>.因财政集中支付延误时间不计算在内，乙方提交付款单据延迟、缺失及账户信息错误的，甲方有权相应顺延付款期限，且甲方不承担延误付款责任。</w:t>
      </w:r>
    </w:p>
    <w:p>
      <w:pPr>
        <w:pStyle w:val="10102"/>
        <w:spacing w:line="400" w:lineRule="exact"/>
        <w:ind w:firstLine="560" w:firstLineChars="200"/>
        <w:jc w:val="left"/>
        <w:rPr>
          <w:rFonts w:ascii="Times New Roman" w:eastAsia="宋体" w:hAnsi="Times New Roman"/>
          <w:sz w:val="28"/>
          <w:szCs w:val="28"/>
        </w:rPr>
      </w:pPr>
      <w:r>
        <w:rPr>
          <w:rFonts w:ascii="Times New Roman" w:eastAsia="宋体" w:hAnsi="Times New Roman" w:hint="eastAsia"/>
          <w:sz w:val="28"/>
          <w:szCs w:val="28"/>
        </w:rPr>
        <w:t>5.本项目合同由</w:t>
      </w:r>
      <w:r>
        <w:rPr>
          <w:rFonts w:ascii="Times New Roman" w:eastAsia="宋体" w:hAnsi="Times New Roman"/>
          <w:sz w:val="28"/>
          <w:szCs w:val="28"/>
        </w:rPr>
        <w:t>分配表中的需求单位</w:t>
      </w:r>
      <w:r>
        <w:rPr>
          <w:rFonts w:ascii="Times New Roman" w:eastAsia="宋体" w:hAnsi="Times New Roman" w:hint="eastAsia"/>
          <w:sz w:val="28"/>
          <w:szCs w:val="28"/>
        </w:rPr>
        <w:t>分别与乙方签订，相关合同履约也由</w:t>
      </w:r>
      <w:r>
        <w:rPr>
          <w:rFonts w:ascii="Times New Roman" w:eastAsia="宋体" w:hAnsi="Times New Roman"/>
          <w:sz w:val="28"/>
          <w:szCs w:val="28"/>
        </w:rPr>
        <w:t>分配表中的需求单位</w:t>
      </w:r>
      <w:r>
        <w:rPr>
          <w:rFonts w:ascii="Times New Roman" w:eastAsia="宋体" w:hAnsi="Times New Roman" w:hint="eastAsia"/>
          <w:sz w:val="28"/>
          <w:szCs w:val="28"/>
        </w:rPr>
        <w:t>具体负责。</w:t>
      </w:r>
    </w:p>
    <w:p>
      <w:pPr>
        <w:pStyle w:val="10102"/>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十一、其他</w:t>
      </w:r>
    </w:p>
    <w:p>
      <w:pPr>
        <w:autoSpaceDN w:val="0"/>
        <w:spacing w:line="400" w:lineRule="exact"/>
        <w:ind w:firstLine="560" w:firstLineChars="200"/>
        <w:rPr>
          <w:sz w:val="28"/>
          <w:szCs w:val="28"/>
        </w:rPr>
      </w:pPr>
      <w:r>
        <w:rPr>
          <w:sz w:val="28"/>
          <w:szCs w:val="28"/>
        </w:rPr>
        <w:t>1.交货要求</w:t>
      </w:r>
    </w:p>
    <w:p>
      <w:pPr>
        <w:autoSpaceDN w:val="0"/>
        <w:spacing w:line="400" w:lineRule="exact"/>
        <w:ind w:firstLine="560" w:firstLineChars="200"/>
        <w:rPr>
          <w:sz w:val="28"/>
          <w:szCs w:val="28"/>
        </w:rPr>
      </w:pPr>
      <w:r>
        <w:rPr>
          <w:sz w:val="28"/>
          <w:szCs w:val="28"/>
        </w:rPr>
        <w:t>（1）交货地点：按分配表中的需求单位指定地点交货。</w:t>
      </w:r>
    </w:p>
    <w:p>
      <w:pPr>
        <w:autoSpaceDN w:val="0"/>
        <w:spacing w:line="400" w:lineRule="exact"/>
        <w:ind w:firstLine="560" w:firstLineChars="200"/>
        <w:rPr>
          <w:sz w:val="28"/>
          <w:szCs w:val="28"/>
        </w:rPr>
      </w:pPr>
      <w:r>
        <w:rPr>
          <w:sz w:val="28"/>
          <w:szCs w:val="28"/>
        </w:rPr>
        <w:t>（2）交付方法：由</w:t>
      </w:r>
      <w:r>
        <w:rPr>
          <w:rFonts w:hint="eastAsia"/>
          <w:sz w:val="28"/>
          <w:szCs w:val="28"/>
        </w:rPr>
        <w:t>成交</w:t>
      </w:r>
      <w:r>
        <w:rPr>
          <w:sz w:val="28"/>
          <w:szCs w:val="28"/>
        </w:rPr>
        <w:t>供应商负责采用适合的交通工具将采购货物及其附件运至交货现场并按采购人</w:t>
      </w:r>
      <w:r>
        <w:rPr>
          <w:rFonts w:hint="eastAsia"/>
          <w:sz w:val="28"/>
          <w:szCs w:val="28"/>
        </w:rPr>
        <w:t>（用户）</w:t>
      </w:r>
      <w:r>
        <w:rPr>
          <w:sz w:val="28"/>
          <w:szCs w:val="28"/>
        </w:rPr>
        <w:t>要求完成卸货，以双方签署货物到货验收签收单为准，交货时应一并交付货物的有关单证。货物从生产厂运至采购人指定地点的运输、劳务及相关保险的办理由</w:t>
      </w:r>
      <w:r>
        <w:rPr>
          <w:rFonts w:hint="eastAsia"/>
          <w:sz w:val="28"/>
          <w:szCs w:val="28"/>
        </w:rPr>
        <w:t>成交</w:t>
      </w:r>
      <w:r>
        <w:rPr>
          <w:sz w:val="28"/>
          <w:szCs w:val="28"/>
        </w:rPr>
        <w:t>供应商负责并承担相应费用。</w:t>
      </w:r>
    </w:p>
    <w:p>
      <w:pPr>
        <w:autoSpaceDN w:val="0"/>
        <w:spacing w:line="400" w:lineRule="exact"/>
        <w:ind w:firstLine="560" w:firstLineChars="200"/>
        <w:rPr>
          <w:sz w:val="28"/>
          <w:szCs w:val="28"/>
        </w:rPr>
      </w:pPr>
      <w:r>
        <w:rPr>
          <w:sz w:val="28"/>
          <w:szCs w:val="28"/>
        </w:rPr>
        <w:t>（3）风险责任承担：货物的风险责任和所有权在双方签署货物到货验收签收单、安装调试并通过验收，签署验收合格报告后由采购人</w:t>
      </w:r>
      <w:r>
        <w:rPr>
          <w:rFonts w:hint="eastAsia"/>
          <w:sz w:val="28"/>
          <w:szCs w:val="28"/>
        </w:rPr>
        <w:t>（用户）</w:t>
      </w:r>
      <w:r>
        <w:rPr>
          <w:sz w:val="28"/>
          <w:szCs w:val="28"/>
        </w:rPr>
        <w:t>承担，此前的风险责任由</w:t>
      </w:r>
      <w:r>
        <w:rPr>
          <w:rFonts w:hint="eastAsia"/>
          <w:sz w:val="28"/>
          <w:szCs w:val="28"/>
        </w:rPr>
        <w:t>成交</w:t>
      </w:r>
      <w:r>
        <w:rPr>
          <w:sz w:val="28"/>
          <w:szCs w:val="28"/>
        </w:rPr>
        <w:t>供应商承担。</w:t>
      </w:r>
    </w:p>
    <w:p>
      <w:pPr>
        <w:autoSpaceDN w:val="0"/>
        <w:spacing w:line="400" w:lineRule="exact"/>
        <w:ind w:firstLine="560" w:firstLineChars="200"/>
        <w:rPr>
          <w:sz w:val="28"/>
          <w:szCs w:val="28"/>
        </w:rPr>
      </w:pPr>
      <w:r>
        <w:rPr>
          <w:sz w:val="28"/>
          <w:szCs w:val="28"/>
        </w:rPr>
        <w:t>2.</w:t>
      </w:r>
      <w:r>
        <w:rPr>
          <w:sz w:val="24"/>
          <w:szCs w:val="24"/>
        </w:rPr>
        <w:t xml:space="preserve"> </w:t>
      </w:r>
      <w:r>
        <w:rPr>
          <w:sz w:val="28"/>
          <w:szCs w:val="28"/>
        </w:rPr>
        <w:t>货物验收</w:t>
      </w:r>
    </w:p>
    <w:p>
      <w:pPr>
        <w:widowControl/>
        <w:autoSpaceDN w:val="0"/>
        <w:spacing w:line="400" w:lineRule="exact"/>
        <w:ind w:firstLine="420" w:firstLineChars="150"/>
        <w:jc w:val="left"/>
        <w:rPr>
          <w:bCs/>
          <w:sz w:val="28"/>
          <w:szCs w:val="28"/>
        </w:rPr>
      </w:pPr>
      <w:r>
        <w:rPr>
          <w:bCs/>
          <w:sz w:val="28"/>
          <w:szCs w:val="28"/>
        </w:rPr>
        <w:t>（1）货物运至采购人（用户）指定地点后，由双方指派人员对货物进行验收，</w:t>
      </w:r>
      <w:r>
        <w:rPr>
          <w:rFonts w:hint="eastAsia"/>
          <w:sz w:val="28"/>
          <w:szCs w:val="28"/>
        </w:rPr>
        <w:t>成交</w:t>
      </w:r>
      <w:r>
        <w:rPr>
          <w:bCs/>
          <w:sz w:val="28"/>
          <w:szCs w:val="28"/>
        </w:rPr>
        <w:t>供应商应提供交货清单等文件供采购人（用户）审查，采购人（用户）将按合同清单进行品目、规格、品牌、数量、外观等的检查。</w:t>
      </w:r>
    </w:p>
    <w:p>
      <w:pPr>
        <w:widowControl/>
        <w:autoSpaceDN w:val="0"/>
        <w:spacing w:line="400" w:lineRule="exact"/>
        <w:ind w:firstLine="420" w:firstLineChars="150"/>
        <w:jc w:val="left"/>
        <w:rPr>
          <w:bCs/>
          <w:sz w:val="28"/>
          <w:szCs w:val="28"/>
        </w:rPr>
      </w:pPr>
      <w:r>
        <w:rPr>
          <w:bCs/>
          <w:sz w:val="28"/>
          <w:szCs w:val="28"/>
        </w:rPr>
        <w:t>（2）收货后3个工作日内双方进行到货验收工作。如验收合格，采购人（用户）应及时履行验收手续，双方签署货物到货验收签收单；如验收不合格，采购人（用户）应以书面形式通知成交供应商原因，成交供应商收到通知后2个工作日内提供解决方案。</w:t>
      </w:r>
    </w:p>
    <w:p>
      <w:pPr>
        <w:widowControl/>
        <w:autoSpaceDN w:val="0"/>
        <w:spacing w:line="400" w:lineRule="exact"/>
        <w:ind w:firstLine="420" w:firstLineChars="150"/>
        <w:jc w:val="left"/>
        <w:rPr>
          <w:bCs/>
          <w:sz w:val="28"/>
          <w:szCs w:val="28"/>
        </w:rPr>
      </w:pPr>
      <w:r>
        <w:rPr>
          <w:bCs/>
          <w:sz w:val="28"/>
          <w:szCs w:val="28"/>
        </w:rPr>
        <w:t>（3）在验收工作中，如发现货物数量不足或有质量、技术等问题，</w:t>
      </w:r>
      <w:r>
        <w:rPr>
          <w:rFonts w:hint="eastAsia"/>
          <w:bCs/>
          <w:sz w:val="28"/>
          <w:szCs w:val="28"/>
        </w:rPr>
        <w:t>成交</w:t>
      </w:r>
      <w:r>
        <w:rPr>
          <w:bCs/>
          <w:sz w:val="28"/>
          <w:szCs w:val="28"/>
        </w:rPr>
        <w:t>供应商应按照采购人要求采取补足、更换或退货等处理措施，并承担由此发生的一切费用和损失。</w:t>
      </w:r>
    </w:p>
    <w:p>
      <w:pPr>
        <w:widowControl/>
        <w:autoSpaceDN w:val="0"/>
        <w:spacing w:line="400" w:lineRule="exact"/>
        <w:ind w:firstLine="420" w:firstLineChars="150"/>
        <w:jc w:val="left"/>
        <w:rPr>
          <w:bCs/>
          <w:sz w:val="28"/>
          <w:szCs w:val="28"/>
        </w:rPr>
      </w:pPr>
      <w:r>
        <w:rPr>
          <w:bCs/>
          <w:sz w:val="28"/>
          <w:szCs w:val="28"/>
        </w:rPr>
        <w:t>（4）</w:t>
      </w:r>
      <w:r>
        <w:rPr>
          <w:rFonts w:hint="eastAsia"/>
          <w:bCs/>
          <w:sz w:val="28"/>
          <w:szCs w:val="28"/>
        </w:rPr>
        <w:t>成交</w:t>
      </w:r>
      <w:r>
        <w:rPr>
          <w:bCs/>
          <w:sz w:val="28"/>
          <w:szCs w:val="28"/>
        </w:rPr>
        <w:t>供应商</w:t>
      </w:r>
      <w:r>
        <w:rPr>
          <w:rFonts w:ascii="宋体" w:cs="宋体" w:hint="eastAsia"/>
          <w:bCs/>
          <w:sz w:val="28"/>
          <w:szCs w:val="28"/>
        </w:rPr>
        <w:t>在</w:t>
      </w:r>
      <w:r>
        <w:rPr>
          <w:rFonts w:ascii="宋体" w:hint="eastAsia"/>
          <w:sz w:val="28"/>
          <w:szCs w:val="28"/>
        </w:rPr>
        <w:t>双方签署货物到货验收签收单后2个工作日内</w:t>
      </w:r>
      <w:r>
        <w:rPr>
          <w:bCs/>
          <w:sz w:val="28"/>
          <w:szCs w:val="28"/>
        </w:rPr>
        <w:t>派技术工程师上门安装调试，在采购人（用户）配合下完成所供货物安装调试，有关技术问题由</w:t>
      </w:r>
      <w:r>
        <w:rPr>
          <w:rFonts w:hint="eastAsia"/>
          <w:bCs/>
          <w:sz w:val="28"/>
          <w:szCs w:val="28"/>
        </w:rPr>
        <w:t>成交</w:t>
      </w:r>
      <w:r>
        <w:rPr>
          <w:bCs/>
          <w:sz w:val="28"/>
          <w:szCs w:val="28"/>
        </w:rPr>
        <w:t>供应商解决。安装调试并经采购人（用户）验收合格后，双方签署货物安装调试验收报告。</w:t>
      </w:r>
    </w:p>
    <w:p>
      <w:pPr>
        <w:widowControl/>
        <w:autoSpaceDN w:val="0"/>
        <w:spacing w:line="400" w:lineRule="exact"/>
        <w:ind w:firstLine="420" w:firstLineChars="150"/>
        <w:jc w:val="left"/>
        <w:rPr>
          <w:sz w:val="28"/>
          <w:szCs w:val="28"/>
        </w:rPr>
      </w:pPr>
      <w:r>
        <w:rPr>
          <w:sz w:val="28"/>
          <w:szCs w:val="28"/>
        </w:rPr>
        <w:t>（</w:t>
      </w:r>
      <w:r>
        <w:rPr>
          <w:rFonts w:hint="eastAsia"/>
          <w:sz w:val="28"/>
          <w:szCs w:val="28"/>
        </w:rPr>
        <w:t>5</w:t>
      </w:r>
      <w:r>
        <w:rPr>
          <w:sz w:val="28"/>
          <w:szCs w:val="28"/>
        </w:rPr>
        <w:t>）采购人（用户）有权组织对货物进行</w:t>
      </w:r>
      <w:r>
        <w:rPr>
          <w:rFonts w:hint="eastAsia"/>
          <w:sz w:val="28"/>
          <w:szCs w:val="28"/>
        </w:rPr>
        <w:t>随机</w:t>
      </w:r>
      <w:r>
        <w:rPr>
          <w:sz w:val="28"/>
          <w:szCs w:val="28"/>
        </w:rPr>
        <w:t>抽样，并对抽样的货物进行检测，该检测结果将作为货物质量的评判依据，相关送检和检测费用由</w:t>
      </w:r>
      <w:r>
        <w:rPr>
          <w:rFonts w:hint="eastAsia"/>
          <w:sz w:val="28"/>
          <w:szCs w:val="28"/>
        </w:rPr>
        <w:t>成交</w:t>
      </w:r>
      <w:r>
        <w:rPr>
          <w:sz w:val="28"/>
          <w:szCs w:val="28"/>
        </w:rPr>
        <w:t>供应商承担。如检测指标不合格，采购人（用户）有权拒收货物，按有关条款对成交供应商进行处理，</w:t>
      </w:r>
      <w:r>
        <w:rPr>
          <w:rFonts w:hint="eastAsia"/>
          <w:sz w:val="28"/>
          <w:szCs w:val="28"/>
        </w:rPr>
        <w:t>成交</w:t>
      </w:r>
      <w:r>
        <w:rPr>
          <w:sz w:val="28"/>
          <w:szCs w:val="28"/>
        </w:rPr>
        <w:t>供应商应无条件的对拒收货物进行更换，并承担相关损失和赔偿。</w:t>
      </w:r>
    </w:p>
    <w:p>
      <w:pPr>
        <w:widowControl/>
        <w:autoSpaceDN w:val="0"/>
        <w:spacing w:line="400" w:lineRule="exact"/>
        <w:ind w:firstLine="420" w:firstLineChars="150"/>
        <w:jc w:val="left"/>
        <w:rPr>
          <w:rFonts w:hint="eastAsia"/>
          <w:bCs/>
          <w:sz w:val="28"/>
          <w:szCs w:val="28"/>
        </w:rPr>
      </w:pPr>
      <w:r>
        <w:rPr>
          <w:bCs/>
          <w:sz w:val="28"/>
          <w:szCs w:val="28"/>
        </w:rPr>
        <w:t>（</w:t>
      </w:r>
      <w:r>
        <w:rPr>
          <w:rFonts w:hint="eastAsia"/>
          <w:bCs/>
          <w:sz w:val="28"/>
          <w:szCs w:val="28"/>
        </w:rPr>
        <w:t>6</w:t>
      </w:r>
      <w:r>
        <w:rPr>
          <w:bCs/>
          <w:sz w:val="28"/>
          <w:szCs w:val="28"/>
        </w:rPr>
        <w:t>）采购人（用户）认为必要时，对本采购项目可以邀请国家认可的质量检测机构参加验收工作，相关验收意见作为验收报告的参考资料，相关费用由</w:t>
      </w:r>
      <w:r>
        <w:rPr>
          <w:rFonts w:hint="eastAsia"/>
          <w:bCs/>
          <w:sz w:val="28"/>
          <w:szCs w:val="28"/>
        </w:rPr>
        <w:t>成交</w:t>
      </w:r>
      <w:r>
        <w:rPr>
          <w:bCs/>
          <w:sz w:val="28"/>
          <w:szCs w:val="28"/>
        </w:rPr>
        <w:t>供应商承担。</w:t>
      </w:r>
    </w:p>
    <w:p>
      <w:pPr>
        <w:autoSpaceDN w:val="0"/>
        <w:spacing w:line="400" w:lineRule="exact"/>
        <w:ind w:firstLine="560" w:firstLineChars="200"/>
        <w:rPr>
          <w:rFonts w:ascii="宋体" w:cs="宋体" w:hint="eastAsia"/>
          <w:bCs/>
          <w:sz w:val="28"/>
          <w:szCs w:val="28"/>
        </w:rPr>
      </w:pPr>
      <w:r>
        <w:rPr>
          <w:rFonts w:ascii="宋体" w:cs="宋体" w:hint="eastAsia"/>
          <w:bCs/>
          <w:sz w:val="28"/>
          <w:szCs w:val="28"/>
        </w:rPr>
        <w:t>（</w:t>
      </w:r>
      <w:r>
        <w:rPr>
          <w:rFonts w:ascii="宋体" w:hint="eastAsia"/>
          <w:bCs/>
          <w:sz w:val="28"/>
          <w:szCs w:val="28"/>
        </w:rPr>
        <w:t>7</w:t>
      </w:r>
      <w:r>
        <w:rPr>
          <w:rFonts w:ascii="宋体" w:cs="宋体" w:hint="eastAsia"/>
          <w:bCs/>
          <w:sz w:val="28"/>
          <w:szCs w:val="28"/>
        </w:rPr>
        <w:t>）验收标准以双方达成的对质量和技术标准的约定、成交供应商承诺的质量和技术标准、国家或行业规定的相关质量和技术标准中最高者为准，且应充分满足采购人使用要求。</w:t>
      </w:r>
    </w:p>
    <w:p>
      <w:pPr>
        <w:autoSpaceDN w:val="0"/>
        <w:spacing w:line="400" w:lineRule="exact"/>
        <w:ind w:firstLine="560" w:firstLineChars="200"/>
        <w:rPr>
          <w:rFonts w:hint="eastAsia"/>
          <w:bCs/>
          <w:sz w:val="28"/>
          <w:szCs w:val="28"/>
        </w:rPr>
      </w:pPr>
      <w:r>
        <w:rPr>
          <w:sz w:val="28"/>
          <w:szCs w:val="28"/>
        </w:rPr>
        <w:t>3.</w:t>
      </w:r>
      <w:r>
        <w:rPr>
          <w:bCs/>
          <w:sz w:val="28"/>
          <w:szCs w:val="28"/>
        </w:rPr>
        <w:t>报价总价作为货物的供货和伴随服务。伴随服务包括</w:t>
      </w:r>
      <w:r>
        <w:rPr>
          <w:rFonts w:hint="eastAsia"/>
          <w:bCs/>
          <w:sz w:val="28"/>
          <w:szCs w:val="28"/>
        </w:rPr>
        <w:t>成交</w:t>
      </w:r>
      <w:r>
        <w:rPr>
          <w:bCs/>
          <w:sz w:val="28"/>
          <w:szCs w:val="28"/>
        </w:rPr>
        <w:t>供应商提供货物的设计、制造、包装、运输、货物的保险和储存、检测、安装调试、验收、培训、保修服务、资料等。报价总价款含税且包含与本项目相关的所有费用，采购人（用户）无需再向成交供应商支付其他任何费用。</w:t>
      </w:r>
    </w:p>
    <w:p>
      <w:pPr>
        <w:autoSpaceDN w:val="0"/>
        <w:spacing w:line="400" w:lineRule="exact"/>
        <w:ind w:firstLine="560" w:firstLineChars="200"/>
        <w:rPr>
          <w:rFonts w:hint="eastAsia"/>
          <w:bCs/>
          <w:sz w:val="28"/>
          <w:szCs w:val="28"/>
        </w:rPr>
      </w:pPr>
    </w:p>
    <w:p>
      <w:pPr>
        <w:autoSpaceDN w:val="0"/>
        <w:spacing w:line="400" w:lineRule="exact"/>
        <w:ind w:firstLine="560" w:firstLineChars="200"/>
        <w:rPr>
          <w:rFonts w:hint="eastAsia"/>
          <w:bCs/>
          <w:sz w:val="28"/>
          <w:szCs w:val="28"/>
        </w:rPr>
      </w:pPr>
    </w:p>
    <w:p>
      <w:pPr>
        <w:autoSpaceDN w:val="0"/>
        <w:spacing w:line="400" w:lineRule="exact"/>
        <w:ind w:firstLine="560" w:firstLineChars="200"/>
        <w:rPr>
          <w:rFonts w:hint="eastAsia"/>
          <w:bCs/>
          <w:sz w:val="28"/>
          <w:szCs w:val="28"/>
        </w:rPr>
      </w:pPr>
    </w:p>
    <w:p>
      <w:pPr>
        <w:autoSpaceDN w:val="0"/>
        <w:spacing w:line="400" w:lineRule="exact"/>
        <w:ind w:firstLine="560" w:firstLineChars="200"/>
        <w:rPr>
          <w:rFonts w:hint="eastAsia"/>
          <w:bCs/>
          <w:sz w:val="28"/>
          <w:szCs w:val="28"/>
        </w:rPr>
      </w:pPr>
    </w:p>
    <w:p>
      <w:pPr>
        <w:autoSpaceDN w:val="0"/>
        <w:spacing w:line="400" w:lineRule="exact"/>
        <w:ind w:firstLine="560" w:firstLineChars="200"/>
        <w:rPr>
          <w:rFonts w:hint="eastAsia"/>
          <w:bCs/>
          <w:sz w:val="28"/>
          <w:szCs w:val="28"/>
        </w:rPr>
      </w:pPr>
    </w:p>
    <w:p>
      <w:pPr>
        <w:autoSpaceDN w:val="0"/>
        <w:spacing w:line="400" w:lineRule="exact"/>
        <w:rPr>
          <w:rFonts w:ascii="方正黑体_GBK" w:eastAsia="方正黑体_GBK" w:hint="eastAsia"/>
          <w:bCs/>
          <w:sz w:val="28"/>
          <w:szCs w:val="28"/>
        </w:rPr>
      </w:pPr>
      <w:r>
        <w:rPr>
          <w:rFonts w:ascii="方正黑体_GBK" w:eastAsia="方正黑体_GBK" w:hint="eastAsia"/>
          <w:bCs/>
          <w:sz w:val="28"/>
          <w:szCs w:val="28"/>
        </w:rPr>
        <w:t>附件1</w:t>
      </w:r>
    </w:p>
    <w:p>
      <w:pPr>
        <w:autoSpaceDN w:val="0"/>
        <w:spacing w:line="400" w:lineRule="exact"/>
        <w:ind w:firstLine="560" w:firstLineChars="200"/>
        <w:rPr>
          <w:rFonts w:hint="eastAsia"/>
          <w:bCs/>
          <w:sz w:val="28"/>
          <w:szCs w:val="28"/>
        </w:rPr>
      </w:pPr>
    </w:p>
    <w:p>
      <w:pPr>
        <w:autoSpaceDN w:val="0"/>
        <w:rPr>
          <w:szCs w:val="21"/>
        </w:rPr>
      </w:pPr>
    </w:p>
    <w:p>
      <w:pPr>
        <w:autoSpaceDN w:val="0"/>
        <w:rPr>
          <w:szCs w:val="21"/>
        </w:rPr>
      </w:pPr>
    </w:p>
    <w:p>
      <w:pPr>
        <w:autoSpaceDN w:val="0"/>
        <w:spacing w:before="120" w:line="480" w:lineRule="exact"/>
        <w:rPr>
          <w:rFonts w:ascii="黑体" w:eastAsia="黑体" w:hint="eastAsia"/>
          <w:sz w:val="52"/>
          <w:szCs w:val="52"/>
        </w:rPr>
      </w:pPr>
    </w:p>
    <w:p>
      <w:pPr>
        <w:autoSpaceDN w:val="0"/>
        <w:spacing w:before="120" w:line="480" w:lineRule="exact"/>
        <w:rPr>
          <w:rFonts w:ascii="黑体" w:eastAsia="黑体" w:hint="eastAsia"/>
          <w:sz w:val="52"/>
          <w:szCs w:val="52"/>
        </w:rPr>
      </w:pPr>
    </w:p>
    <w:p>
      <w:pPr>
        <w:autoSpaceDN w:val="0"/>
        <w:spacing w:before="120" w:line="480" w:lineRule="exact"/>
        <w:rPr>
          <w:rFonts w:ascii="黑体" w:eastAsia="黑体" w:hint="eastAsia"/>
          <w:sz w:val="52"/>
          <w:szCs w:val="52"/>
        </w:rPr>
      </w:pPr>
    </w:p>
    <w:p>
      <w:pPr>
        <w:autoSpaceDN w:val="0"/>
        <w:spacing w:before="120" w:line="480" w:lineRule="exact"/>
        <w:jc w:val="center"/>
        <w:rPr>
          <w:rFonts w:ascii="黑体" w:eastAsia="黑体" w:hint="eastAsia"/>
          <w:b/>
          <w:bCs/>
          <w:sz w:val="44"/>
          <w:szCs w:val="44"/>
        </w:rPr>
      </w:pPr>
      <w:r>
        <w:rPr>
          <w:rFonts w:ascii="黑体" w:eastAsia="黑体" w:hint="eastAsia"/>
          <w:b/>
          <w:bCs/>
          <w:sz w:val="44"/>
          <w:szCs w:val="44"/>
        </w:rPr>
        <w:t>核辐射探测应用</w:t>
      </w:r>
    </w:p>
    <w:p>
      <w:pPr>
        <w:autoSpaceDN w:val="0"/>
        <w:spacing w:before="120" w:line="480" w:lineRule="exact"/>
        <w:jc w:val="center"/>
        <w:rPr>
          <w:rFonts w:ascii="黑体" w:eastAsia="黑体" w:hint="eastAsia"/>
          <w:b/>
          <w:bCs/>
          <w:sz w:val="44"/>
          <w:szCs w:val="44"/>
        </w:rPr>
      </w:pPr>
    </w:p>
    <w:p>
      <w:pPr>
        <w:autoSpaceDN w:val="0"/>
        <w:spacing w:before="120" w:line="480" w:lineRule="exact"/>
        <w:jc w:val="center"/>
        <w:rPr>
          <w:rFonts w:ascii="黑体" w:eastAsia="黑体" w:hint="eastAsia"/>
          <w:b/>
          <w:bCs/>
          <w:sz w:val="44"/>
          <w:szCs w:val="44"/>
        </w:rPr>
      </w:pPr>
      <w:r>
        <w:rPr>
          <w:rFonts w:ascii="黑体" w:eastAsia="黑体" w:hint="eastAsia"/>
          <w:b/>
          <w:bCs/>
          <w:sz w:val="44"/>
          <w:szCs w:val="44"/>
        </w:rPr>
        <w:t>辐射探测数据通信传输接口标准</w:t>
      </w:r>
    </w:p>
    <w:p>
      <w:pPr>
        <w:autoSpaceDN w:val="0"/>
        <w:spacing w:before="120" w:line="480" w:lineRule="exact"/>
        <w:ind w:left="1600"/>
        <w:rPr>
          <w:rFonts w:ascii="黑体" w:eastAsia="黑体" w:hint="eastAsia"/>
          <w:szCs w:val="21"/>
        </w:rPr>
      </w:pPr>
    </w:p>
    <w:p>
      <w:pPr>
        <w:autoSpaceDN w:val="0"/>
        <w:rPr>
          <w:rFonts w:hint="eastAsia"/>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autoSpaceDN w:val="0"/>
        <w:jc w:val="center"/>
        <w:rPr>
          <w:szCs w:val="21"/>
        </w:rPr>
      </w:pPr>
    </w:p>
    <w:p>
      <w:pPr>
        <w:pStyle w:val="Title"/>
        <w:autoSpaceDN w:val="0"/>
      </w:pPr>
      <w:bookmarkStart w:id="44" w:name="_Toc528842387"/>
      <w:bookmarkStart w:id="45" w:name="_Toc126335188"/>
      <w:r>
        <w:rPr>
          <w:rFonts w:hint="eastAsia"/>
        </w:rPr>
        <w:t>版本记录</w:t>
      </w:r>
      <w:bookmarkEnd w:id="44"/>
      <w:bookmarkEnd w:id="45"/>
    </w:p>
    <w:tbl>
      <w:tblPr>
        <w:jc w:val="left"/>
        <w:tblInd w:w="0" w:type="dxa"/>
        <w:tblBorders>
          <w:top w:val="double" w:sz="4" w:space="0" w:color="auto"/>
          <w:left w:val="double" w:sz="4" w:space="0" w:color="auto"/>
          <w:bottom w:val="double" w:sz="4" w:space="0" w:color="auto"/>
          <w:right w:val="double" w:sz="4" w:space="0" w:color="auto"/>
        </w:tblBorders>
        <w:tblCellMar>
          <w:top w:w="0" w:type="dxa"/>
          <w:left w:w="108" w:type="dxa"/>
          <w:bottom w:w="0" w:type="dxa"/>
          <w:right w:w="108" w:type="dxa"/>
        </w:tblCellMar>
      </w:tblPr>
      <w:tblGrid>
        <w:gridCol w:w="1266"/>
        <w:gridCol w:w="969"/>
        <w:gridCol w:w="5244"/>
        <w:gridCol w:w="1043"/>
      </w:tblGrid>
      <w:tr>
        <w:tblPrEx>
          <w:jc w:val="left"/>
          <w:tblInd w:w="0" w:type="dxa"/>
          <w:tblBorders>
            <w:top w:val="double" w:sz="4" w:space="0" w:color="auto"/>
            <w:left w:val="double" w:sz="4" w:space="0" w:color="auto"/>
            <w:bottom w:val="double" w:sz="4" w:space="0" w:color="auto"/>
            <w:right w:val="double" w:sz="4" w:space="0" w:color="auto"/>
          </w:tblBorders>
          <w:tblCellMar>
            <w:top w:w="0" w:type="dxa"/>
            <w:left w:w="108" w:type="dxa"/>
            <w:bottom w:w="0" w:type="dxa"/>
            <w:right w:w="108" w:type="dxa"/>
          </w:tblCellMar>
        </w:tblPrEx>
        <w:trPr>
          <w:tblHeader/>
          <w:jc w:val="left"/>
        </w:trPr>
        <w:tc>
          <w:tcPr>
            <w:tcW w:w="1266" w:type="dxa"/>
            <w:tcBorders>
              <w:top w:val="double" w:sz="4" w:space="0" w:color="auto"/>
              <w:left w:val="double" w:sz="4" w:space="0" w:color="auto"/>
              <w:bottom w:val="single" w:sz="4" w:space="0" w:color="auto"/>
              <w:right w:val="single" w:sz="4" w:space="0" w:color="auto"/>
            </w:tcBorders>
          </w:tcPr>
          <w:p>
            <w:pPr>
              <w:autoSpaceDN w:val="0"/>
              <w:jc w:val="center"/>
              <w:rPr>
                <w:b/>
                <w:bCs/>
                <w:szCs w:val="21"/>
              </w:rPr>
            </w:pPr>
            <w:r>
              <w:rPr>
                <w:rFonts w:hint="eastAsia"/>
                <w:b/>
                <w:bCs/>
                <w:szCs w:val="21"/>
              </w:rPr>
              <w:t>日期</w:t>
            </w:r>
          </w:p>
        </w:tc>
        <w:tc>
          <w:tcPr>
            <w:tcW w:w="969" w:type="dxa"/>
            <w:tcBorders>
              <w:top w:val="double" w:sz="4" w:space="0" w:color="auto"/>
              <w:left w:val="single" w:sz="4" w:space="0" w:color="auto"/>
              <w:bottom w:val="single" w:sz="4" w:space="0" w:color="auto"/>
              <w:right w:val="single" w:sz="4" w:space="0" w:color="auto"/>
            </w:tcBorders>
          </w:tcPr>
          <w:p>
            <w:pPr>
              <w:autoSpaceDN w:val="0"/>
              <w:jc w:val="center"/>
              <w:rPr>
                <w:b/>
                <w:bCs/>
                <w:szCs w:val="21"/>
              </w:rPr>
            </w:pPr>
            <w:r>
              <w:rPr>
                <w:rFonts w:hint="eastAsia"/>
                <w:b/>
                <w:bCs/>
                <w:szCs w:val="21"/>
              </w:rPr>
              <w:t>版本</w:t>
            </w:r>
          </w:p>
        </w:tc>
        <w:tc>
          <w:tcPr>
            <w:tcW w:w="5244" w:type="dxa"/>
            <w:tcBorders>
              <w:top w:val="double" w:sz="4" w:space="0" w:color="auto"/>
              <w:left w:val="single" w:sz="4" w:space="0" w:color="auto"/>
              <w:bottom w:val="single" w:sz="4" w:space="0" w:color="auto"/>
              <w:right w:val="single" w:sz="4" w:space="0" w:color="auto"/>
            </w:tcBorders>
          </w:tcPr>
          <w:p>
            <w:pPr>
              <w:autoSpaceDN w:val="0"/>
              <w:jc w:val="center"/>
              <w:rPr>
                <w:b/>
                <w:bCs/>
                <w:szCs w:val="21"/>
              </w:rPr>
            </w:pPr>
            <w:r>
              <w:rPr>
                <w:rFonts w:hint="eastAsia"/>
                <w:b/>
                <w:bCs/>
                <w:szCs w:val="21"/>
              </w:rPr>
              <w:t>描述</w:t>
            </w:r>
          </w:p>
        </w:tc>
        <w:tc>
          <w:tcPr>
            <w:tcW w:w="1043" w:type="dxa"/>
            <w:tcBorders>
              <w:top w:val="double" w:sz="4" w:space="0" w:color="auto"/>
              <w:left w:val="single" w:sz="4" w:space="0" w:color="auto"/>
              <w:bottom w:val="single" w:sz="4" w:space="0" w:color="auto"/>
              <w:right w:val="double" w:sz="4" w:space="0" w:color="auto"/>
            </w:tcBorders>
          </w:tcPr>
          <w:p>
            <w:pPr>
              <w:autoSpaceDN w:val="0"/>
              <w:jc w:val="center"/>
              <w:rPr>
                <w:b/>
                <w:bCs/>
                <w:szCs w:val="21"/>
              </w:rPr>
            </w:pPr>
            <w:r>
              <w:rPr>
                <w:rFonts w:hint="eastAsia"/>
                <w:b/>
                <w:bCs/>
                <w:szCs w:val="21"/>
              </w:rPr>
              <w:t>作者</w:t>
            </w: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2020-08-18</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w:t>
            </w:r>
          </w:p>
        </w:tc>
        <w:tc>
          <w:tcPr>
            <w:tcW w:w="5244" w:type="dxa"/>
            <w:tcBorders>
              <w:top w:val="single" w:sz="4" w:space="0" w:color="auto"/>
              <w:left w:val="single" w:sz="4" w:space="0" w:color="auto"/>
              <w:bottom w:val="single" w:sz="4" w:space="0" w:color="auto"/>
              <w:right w:val="single" w:sz="4" w:space="0" w:color="auto"/>
            </w:tcBorders>
          </w:tcPr>
          <w:p>
            <w:pPr>
              <w:autoSpaceDN w:val="0"/>
              <w:rPr>
                <w:rFonts w:ascii="宋体" w:hint="eastAsia"/>
                <w:bCs/>
                <w:szCs w:val="21"/>
              </w:rPr>
            </w:pPr>
            <w:r>
              <w:rPr>
                <w:rFonts w:ascii="宋体" w:hint="eastAsia"/>
                <w:bCs/>
                <w:szCs w:val="21"/>
              </w:rPr>
              <w:t>1、4.4、5.1、5.2 去掉接口服务端地址最后的/。</w:t>
            </w:r>
          </w:p>
          <w:p>
            <w:pPr>
              <w:autoSpaceDN w:val="0"/>
              <w:rPr>
                <w:rFonts w:ascii="宋体" w:hint="eastAsia"/>
                <w:bCs/>
                <w:szCs w:val="21"/>
              </w:rPr>
            </w:pPr>
            <w:r>
              <w:rPr>
                <w:rFonts w:ascii="宋体" w:hint="eastAsia"/>
                <w:bCs/>
                <w:szCs w:val="21"/>
              </w:rPr>
              <w:t>2、7.1.7 detectiorRecords改为detectorRecords。</w:t>
            </w:r>
          </w:p>
          <w:p>
            <w:pPr>
              <w:autoSpaceDN w:val="0"/>
              <w:rPr>
                <w:rFonts w:ascii="宋体" w:hint="eastAsia"/>
                <w:bCs/>
                <w:szCs w:val="21"/>
              </w:rPr>
            </w:pPr>
            <w:r>
              <w:rPr>
                <w:rFonts w:ascii="宋体" w:hint="eastAsia"/>
                <w:bCs/>
                <w:szCs w:val="21"/>
              </w:rPr>
              <w:t>3、7.1.7、7.1.8 countingRates改为数组。</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r>
              <w:rPr>
                <w:rFonts w:ascii="宋体" w:hint="eastAsia"/>
                <w:bCs/>
                <w:szCs w:val="21"/>
              </w:rPr>
              <w:t>游蛟</w:t>
            </w: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2020-08-31</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v1.8.1</w:t>
            </w:r>
          </w:p>
        </w:tc>
        <w:tc>
          <w:tcPr>
            <w:tcW w:w="5244" w:type="dxa"/>
            <w:tcBorders>
              <w:top w:val="single" w:sz="4" w:space="0" w:color="auto"/>
              <w:left w:val="single" w:sz="4" w:space="0" w:color="auto"/>
              <w:bottom w:val="single" w:sz="4" w:space="0" w:color="auto"/>
              <w:right w:val="single" w:sz="4" w:space="0" w:color="auto"/>
            </w:tcBorders>
          </w:tcPr>
          <w:p>
            <w:pPr>
              <w:autoSpaceDN w:val="0"/>
              <w:rPr>
                <w:rFonts w:ascii="宋体" w:hint="eastAsia"/>
                <w:bCs/>
                <w:szCs w:val="21"/>
              </w:rPr>
            </w:pPr>
            <w:r>
              <w:rPr>
                <w:rFonts w:ascii="宋体" w:hint="eastAsia"/>
                <w:bCs/>
                <w:szCs w:val="21"/>
              </w:rPr>
              <w:t>1、7.1.5 修改startTime、endTime两个字段格式，由yyyy-MM-DD HH改为yyyy-MM-dd HH:mm:ss。</w:t>
            </w:r>
          </w:p>
          <w:p>
            <w:pPr>
              <w:autoSpaceDN w:val="0"/>
              <w:rPr>
                <w:rFonts w:ascii="宋体" w:hint="eastAsia"/>
                <w:bCs/>
                <w:szCs w:val="21"/>
              </w:rPr>
            </w:pPr>
            <w:r>
              <w:rPr>
                <w:rFonts w:ascii="宋体" w:hint="eastAsia"/>
                <w:bCs/>
                <w:szCs w:val="21"/>
              </w:rPr>
              <w:t>2、7.1.5去掉参数cctvInfo。</w:t>
            </w:r>
          </w:p>
          <w:p>
            <w:pPr>
              <w:autoSpaceDN w:val="0"/>
              <w:rPr>
                <w:rFonts w:ascii="宋体" w:hint="eastAsia"/>
                <w:bCs/>
                <w:szCs w:val="21"/>
              </w:rPr>
            </w:pPr>
            <w:r>
              <w:rPr>
                <w:rFonts w:ascii="宋体" w:hint="eastAsia"/>
                <w:bCs/>
                <w:szCs w:val="21"/>
              </w:rPr>
              <w:t>3、7.1.5 修改deviceId数据类型由uuid改为string</w:t>
            </w:r>
          </w:p>
          <w:p>
            <w:pPr>
              <w:autoSpaceDN w:val="0"/>
              <w:rPr>
                <w:rFonts w:ascii="宋体" w:hint="eastAsia"/>
                <w:bCs/>
                <w:szCs w:val="21"/>
              </w:rPr>
            </w:pPr>
            <w:r>
              <w:rPr>
                <w:rFonts w:ascii="宋体" w:hint="eastAsia"/>
                <w:bCs/>
                <w:szCs w:val="21"/>
              </w:rPr>
              <w:t>4、7.1.13 countingRate字段改为countingRates</w:t>
            </w:r>
          </w:p>
          <w:p>
            <w:pPr>
              <w:autoSpaceDN w:val="0"/>
              <w:rPr>
                <w:rFonts w:ascii="宋体" w:hint="eastAsia"/>
                <w:bCs/>
                <w:szCs w:val="21"/>
              </w:rPr>
            </w:pPr>
            <w:r>
              <w:rPr>
                <w:rFonts w:ascii="宋体" w:hint="eastAsia"/>
                <w:bCs/>
                <w:szCs w:val="21"/>
              </w:rPr>
              <w:t>5、7.1.11 confidence 字段改为probability</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2020-09-10</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v1.8.2</w:t>
            </w:r>
          </w:p>
        </w:tc>
        <w:tc>
          <w:tcPr>
            <w:tcW w:w="5244" w:type="dxa"/>
            <w:tcBorders>
              <w:top w:val="single" w:sz="4" w:space="0" w:color="auto"/>
              <w:left w:val="single" w:sz="4" w:space="0" w:color="auto"/>
              <w:bottom w:val="single" w:sz="4" w:space="0" w:color="auto"/>
              <w:right w:val="single" w:sz="4" w:space="0" w:color="auto"/>
            </w:tcBorders>
          </w:tcPr>
          <w:p>
            <w:pPr>
              <w:autoSpaceDN w:val="0"/>
              <w:rPr>
                <w:rFonts w:ascii="宋体" w:hint="eastAsia"/>
                <w:bCs/>
                <w:szCs w:val="21"/>
              </w:rPr>
            </w:pPr>
            <w:r>
              <w:rPr>
                <w:rFonts w:ascii="宋体" w:hint="eastAsia"/>
                <w:bCs/>
                <w:szCs w:val="21"/>
              </w:rPr>
              <w:t>1、7．1．4 添加说明</w:t>
            </w:r>
          </w:p>
          <w:p>
            <w:pPr>
              <w:autoSpaceDN w:val="0"/>
              <w:rPr>
                <w:rFonts w:ascii="宋体" w:hint="eastAsia"/>
                <w:bCs/>
                <w:szCs w:val="21"/>
              </w:rPr>
            </w:pPr>
            <w:r>
              <w:rPr>
                <w:rFonts w:ascii="宋体" w:hint="eastAsia"/>
                <w:bCs/>
                <w:szCs w:val="21"/>
              </w:rPr>
              <w:t>2、添加4.6汇报设备在线状态</w:t>
            </w:r>
          </w:p>
          <w:p>
            <w:pPr>
              <w:autoSpaceDN w:val="0"/>
              <w:rPr>
                <w:rFonts w:ascii="宋体" w:hint="eastAsia"/>
                <w:bCs/>
                <w:szCs w:val="21"/>
              </w:rPr>
            </w:pPr>
            <w:r>
              <w:rPr>
                <w:rFonts w:ascii="宋体" w:hint="eastAsia"/>
                <w:bCs/>
                <w:szCs w:val="21"/>
              </w:rPr>
              <w:t>3、添加4.7汇报设备工作状态</w:t>
            </w:r>
          </w:p>
          <w:p>
            <w:pPr>
              <w:autoSpaceDN w:val="0"/>
              <w:rPr>
                <w:rFonts w:ascii="宋体" w:hint="eastAsia"/>
                <w:bCs/>
                <w:szCs w:val="21"/>
              </w:rPr>
            </w:pPr>
            <w:r>
              <w:rPr>
                <w:rFonts w:ascii="宋体" w:hint="eastAsia"/>
                <w:bCs/>
                <w:szCs w:val="21"/>
              </w:rPr>
              <w:t>4、添加4.8汇报设备异常状态</w:t>
            </w:r>
          </w:p>
          <w:p>
            <w:pPr>
              <w:autoSpaceDN w:val="0"/>
              <w:rPr>
                <w:rFonts w:ascii="宋体" w:hint="eastAsia"/>
                <w:bCs/>
                <w:szCs w:val="21"/>
              </w:rPr>
            </w:pPr>
            <w:r>
              <w:rPr>
                <w:rFonts w:ascii="宋体" w:hint="eastAsia"/>
                <w:bCs/>
                <w:szCs w:val="21"/>
              </w:rPr>
              <w:t>5、5．3 修改响应正文</w:t>
            </w:r>
          </w:p>
          <w:p>
            <w:pPr>
              <w:autoSpaceDN w:val="0"/>
              <w:rPr>
                <w:rFonts w:ascii="宋体" w:hint="eastAsia"/>
                <w:bCs/>
                <w:szCs w:val="21"/>
              </w:rPr>
            </w:pPr>
            <w:r>
              <w:rPr>
                <w:rFonts w:ascii="宋体" w:hint="eastAsia"/>
                <w:bCs/>
                <w:szCs w:val="21"/>
              </w:rPr>
              <w:t>6、5．4修改响应正文</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2020-10-13</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V1.8.3</w:t>
            </w:r>
          </w:p>
        </w:tc>
        <w:tc>
          <w:tcPr>
            <w:tcW w:w="5244" w:type="dxa"/>
            <w:tcBorders>
              <w:top w:val="single" w:sz="4" w:space="0" w:color="auto"/>
              <w:left w:val="single" w:sz="4" w:space="0" w:color="auto"/>
              <w:bottom w:val="single" w:sz="4" w:space="0" w:color="auto"/>
              <w:right w:val="single" w:sz="4" w:space="0" w:color="auto"/>
            </w:tcBorders>
          </w:tcPr>
          <w:p>
            <w:pPr>
              <w:autoSpaceDN w:val="0"/>
              <w:rPr>
                <w:rFonts w:ascii="宋体" w:hint="eastAsia"/>
                <w:bCs/>
                <w:szCs w:val="21"/>
              </w:rPr>
            </w:pPr>
            <w:r>
              <w:rPr>
                <w:rFonts w:ascii="宋体" w:hint="eastAsia"/>
                <w:bCs/>
                <w:szCs w:val="21"/>
              </w:rPr>
              <w:t xml:space="preserve">1、5.1请求头添加 </w:t>
            </w:r>
            <w:r>
              <w:rPr>
                <w:szCs w:val="21"/>
              </w:rPr>
              <w:t>x-client-id</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2020-10-21</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V1.8.4</w:t>
            </w:r>
          </w:p>
        </w:tc>
        <w:tc>
          <w:tcPr>
            <w:tcW w:w="5244" w:type="dxa"/>
            <w:tcBorders>
              <w:top w:val="single" w:sz="4" w:space="0" w:color="auto"/>
              <w:left w:val="single" w:sz="4" w:space="0" w:color="auto"/>
              <w:bottom w:val="single" w:sz="4" w:space="0" w:color="auto"/>
              <w:right w:val="single" w:sz="4" w:space="0" w:color="auto"/>
            </w:tcBorders>
          </w:tcPr>
          <w:p>
            <w:pPr>
              <w:autoSpaceDN w:val="0"/>
              <w:rPr>
                <w:rFonts w:ascii="宋体" w:hint="eastAsia"/>
                <w:bCs/>
                <w:szCs w:val="21"/>
              </w:rPr>
            </w:pPr>
            <w:r>
              <w:rPr>
                <w:rFonts w:ascii="宋体" w:hint="eastAsia"/>
                <w:bCs/>
                <w:szCs w:val="21"/>
              </w:rPr>
              <w:t>1、4.3 地址示例中端口号。</w:t>
            </w:r>
          </w:p>
          <w:p>
            <w:pPr>
              <w:autoSpaceDN w:val="0"/>
              <w:rPr>
                <w:rFonts w:ascii="宋体" w:hint="eastAsia"/>
                <w:bCs/>
                <w:szCs w:val="21"/>
              </w:rPr>
            </w:pPr>
            <w:r>
              <w:rPr>
                <w:rFonts w:ascii="宋体" w:hint="eastAsia"/>
                <w:bCs/>
                <w:szCs w:val="21"/>
              </w:rPr>
              <w:t>2、7.1.5 修改</w:t>
            </w:r>
            <w:r>
              <w:rPr>
                <w:szCs w:val="21"/>
              </w:rPr>
              <w:t>startTime</w:t>
            </w:r>
            <w:r>
              <w:rPr>
                <w:rFonts w:hint="eastAsia"/>
                <w:szCs w:val="21"/>
              </w:rPr>
              <w:t>、</w:t>
            </w:r>
            <w:r>
              <w:rPr>
                <w:szCs w:val="21"/>
              </w:rPr>
              <w:t>endTime</w:t>
            </w:r>
            <w:r>
              <w:rPr>
                <w:rFonts w:hint="eastAsia"/>
                <w:szCs w:val="21"/>
              </w:rPr>
              <w:t>格式。</w:t>
            </w:r>
            <w:r>
              <w:rPr>
                <w:rFonts w:ascii="宋体" w:hint="eastAsia"/>
                <w:bCs/>
                <w:szCs w:val="21"/>
              </w:rPr>
              <w:t xml:space="preserve"> </w:t>
            </w:r>
          </w:p>
          <w:p>
            <w:pPr>
              <w:autoSpaceDN w:val="0"/>
              <w:rPr>
                <w:szCs w:val="21"/>
              </w:rPr>
            </w:pPr>
            <w:r>
              <w:rPr>
                <w:rFonts w:ascii="宋体" w:hint="eastAsia"/>
                <w:bCs/>
                <w:szCs w:val="21"/>
              </w:rPr>
              <w:t>3、7.1.15</w:t>
            </w:r>
            <w:r>
              <w:rPr>
                <w:rFonts w:hint="eastAsia"/>
                <w:szCs w:val="21"/>
              </w:rPr>
              <w:t>地址示例中的端口号。</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2023-02-03</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V1.8.5</w:t>
            </w:r>
          </w:p>
        </w:tc>
        <w:tc>
          <w:tcPr>
            <w:tcW w:w="5244" w:type="dxa"/>
            <w:tcBorders>
              <w:top w:val="single" w:sz="4" w:space="0" w:color="auto"/>
              <w:left w:val="single" w:sz="4" w:space="0" w:color="auto"/>
              <w:bottom w:val="single" w:sz="4" w:space="0" w:color="auto"/>
              <w:right w:val="single" w:sz="4" w:space="0" w:color="auto"/>
            </w:tcBorders>
          </w:tcPr>
          <w:p>
            <w:pPr>
              <w:pStyle w:val="ListParagraph"/>
              <w:numPr>
                <w:ilvl w:val="0"/>
                <w:numId w:val="2"/>
              </w:numPr>
              <w:tabs>
                <w:tab w:val="clear" w:pos="0"/>
                <w:tab w:val="left" w:pos="720"/>
              </w:tabs>
              <w:autoSpaceDN w:val="0"/>
              <w:ind w:firstLineChars="0"/>
              <w:rPr>
                <w:rFonts w:ascii="宋体" w:hint="eastAsia"/>
                <w:bCs/>
                <w:szCs w:val="21"/>
              </w:rPr>
            </w:pPr>
            <w:r>
              <w:rPr>
                <w:rFonts w:ascii="宋体" w:hint="eastAsia"/>
                <w:bCs/>
                <w:szCs w:val="21"/>
              </w:rPr>
              <w:t>明确接口服务器部署在直属海关。</w:t>
            </w:r>
          </w:p>
          <w:p>
            <w:pPr>
              <w:pStyle w:val="ListParagraph"/>
              <w:numPr>
                <w:ilvl w:val="0"/>
                <w:numId w:val="2"/>
              </w:numPr>
              <w:tabs>
                <w:tab w:val="clear" w:pos="0"/>
                <w:tab w:val="left" w:pos="720"/>
              </w:tabs>
              <w:autoSpaceDN w:val="0"/>
              <w:ind w:firstLineChars="0"/>
              <w:rPr>
                <w:rFonts w:ascii="宋体" w:hint="eastAsia"/>
                <w:bCs/>
                <w:szCs w:val="21"/>
              </w:rPr>
            </w:pPr>
            <w:r>
              <w:rPr>
                <w:rFonts w:ascii="宋体" w:hint="eastAsia"/>
                <w:bCs/>
                <w:szCs w:val="21"/>
              </w:rPr>
              <w:t>调整4.2和4.3位置。</w:t>
            </w:r>
          </w:p>
          <w:p>
            <w:pPr>
              <w:pStyle w:val="ListParagraph"/>
              <w:numPr>
                <w:ilvl w:val="0"/>
                <w:numId w:val="2"/>
              </w:numPr>
              <w:tabs>
                <w:tab w:val="clear" w:pos="0"/>
                <w:tab w:val="left" w:pos="720"/>
              </w:tabs>
              <w:autoSpaceDN w:val="0"/>
              <w:ind w:firstLineChars="0"/>
              <w:rPr>
                <w:rFonts w:ascii="宋体" w:hint="eastAsia"/>
                <w:bCs/>
                <w:szCs w:val="21"/>
              </w:rPr>
            </w:pPr>
            <w:r>
              <w:rPr>
                <w:rFonts w:ascii="宋体" w:hint="eastAsia"/>
                <w:bCs/>
                <w:szCs w:val="21"/>
              </w:rPr>
              <w:t>解释clientId、x-client-id、厂商代码。</w:t>
            </w:r>
          </w:p>
          <w:p>
            <w:pPr>
              <w:pStyle w:val="ListParagraph"/>
              <w:numPr>
                <w:ilvl w:val="0"/>
                <w:numId w:val="2"/>
              </w:numPr>
              <w:tabs>
                <w:tab w:val="clear" w:pos="0"/>
                <w:tab w:val="left" w:pos="720"/>
              </w:tabs>
              <w:autoSpaceDN w:val="0"/>
              <w:ind w:firstLineChars="0"/>
              <w:rPr>
                <w:rFonts w:ascii="宋体" w:hint="eastAsia"/>
                <w:bCs/>
                <w:szCs w:val="21"/>
              </w:rPr>
            </w:pPr>
            <w:r>
              <w:rPr>
                <w:rFonts w:ascii="宋体" w:hint="eastAsia"/>
                <w:bCs/>
                <w:szCs w:val="21"/>
              </w:rPr>
              <w:t>添加第8章。</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2023-05-23</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V1.8.6</w:t>
            </w:r>
          </w:p>
        </w:tc>
        <w:tc>
          <w:tcPr>
            <w:tcW w:w="5244" w:type="dxa"/>
            <w:tcBorders>
              <w:top w:val="single" w:sz="4" w:space="0" w:color="auto"/>
              <w:left w:val="single" w:sz="4" w:space="0" w:color="auto"/>
              <w:bottom w:val="single" w:sz="4" w:space="0" w:color="auto"/>
              <w:right w:val="single" w:sz="4" w:space="0" w:color="auto"/>
            </w:tcBorders>
          </w:tcPr>
          <w:p>
            <w:pPr>
              <w:pStyle w:val="ListParagraph"/>
              <w:numPr>
                <w:ilvl w:val="0"/>
                <w:numId w:val="3"/>
              </w:numPr>
              <w:autoSpaceDN w:val="0"/>
              <w:ind w:firstLineChars="0"/>
              <w:rPr>
                <w:rFonts w:ascii="宋体" w:hint="eastAsia"/>
                <w:bCs/>
                <w:szCs w:val="21"/>
              </w:rPr>
            </w:pPr>
            <w:r>
              <w:rPr>
                <w:rFonts w:ascii="宋体" w:hint="eastAsia"/>
                <w:bCs/>
                <w:szCs w:val="21"/>
              </w:rPr>
              <w:t>补充7.1.15节</w:t>
            </w:r>
            <w:r>
              <w:rPr>
                <w:szCs w:val="21"/>
              </w:rPr>
              <w:t>fileUrl</w:t>
            </w:r>
            <w:r>
              <w:rPr>
                <w:rFonts w:hint="eastAsia"/>
                <w:szCs w:val="21"/>
              </w:rPr>
              <w:t>说明。</w:t>
            </w:r>
          </w:p>
          <w:p>
            <w:pPr>
              <w:pStyle w:val="ListParagraph"/>
              <w:numPr>
                <w:ilvl w:val="0"/>
                <w:numId w:val="3"/>
              </w:numPr>
              <w:autoSpaceDN w:val="0"/>
              <w:ind w:firstLineChars="0"/>
              <w:rPr>
                <w:rFonts w:ascii="宋体" w:hint="eastAsia"/>
                <w:bCs/>
                <w:szCs w:val="21"/>
              </w:rPr>
            </w:pPr>
            <w:r>
              <w:rPr>
                <w:rFonts w:ascii="宋体" w:hint="eastAsia"/>
                <w:bCs/>
                <w:szCs w:val="21"/>
              </w:rPr>
              <w:t>修改3.2时序图。</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sing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2023-08-08</w:t>
            </w:r>
          </w:p>
        </w:tc>
        <w:tc>
          <w:tcPr>
            <w:tcW w:w="969" w:type="dxa"/>
            <w:tcBorders>
              <w:top w:val="single" w:sz="4" w:space="0" w:color="auto"/>
              <w:left w:val="single" w:sz="4" w:space="0" w:color="auto"/>
              <w:bottom w:val="sing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V1.8.7</w:t>
            </w:r>
          </w:p>
        </w:tc>
        <w:tc>
          <w:tcPr>
            <w:tcW w:w="5244" w:type="dxa"/>
            <w:tcBorders>
              <w:top w:val="single" w:sz="4" w:space="0" w:color="auto"/>
              <w:left w:val="single" w:sz="4" w:space="0" w:color="auto"/>
              <w:bottom w:val="single" w:sz="4" w:space="0" w:color="auto"/>
              <w:right w:val="single" w:sz="4" w:space="0" w:color="auto"/>
            </w:tcBorders>
          </w:tcPr>
          <w:p>
            <w:pPr>
              <w:autoSpaceDN w:val="0"/>
              <w:rPr>
                <w:rFonts w:ascii="宋体" w:hint="eastAsia"/>
                <w:bCs/>
                <w:szCs w:val="21"/>
              </w:rPr>
            </w:pPr>
            <w:r>
              <w:rPr>
                <w:rFonts w:ascii="宋体" w:hint="eastAsia"/>
                <w:bCs/>
                <w:szCs w:val="21"/>
              </w:rPr>
              <w:t>添加5.1节、5.2节接口调用时机</w:t>
            </w:r>
          </w:p>
        </w:tc>
        <w:tc>
          <w:tcPr>
            <w:tcW w:w="1043" w:type="dxa"/>
            <w:tcBorders>
              <w:top w:val="single" w:sz="4" w:space="0" w:color="auto"/>
              <w:left w:val="single" w:sz="4" w:space="0" w:color="auto"/>
              <w:bottom w:val="single" w:sz="4" w:space="0" w:color="auto"/>
              <w:right w:val="double" w:sz="4" w:space="0" w:color="auto"/>
            </w:tcBorders>
          </w:tcPr>
          <w:p>
            <w:pPr>
              <w:autoSpaceDN w:val="0"/>
              <w:spacing w:line="360" w:lineRule="auto"/>
              <w:rPr>
                <w:rFonts w:ascii="宋体" w:hint="eastAsia"/>
                <w:bCs/>
                <w:szCs w:val="21"/>
              </w:rPr>
            </w:pPr>
          </w:p>
        </w:tc>
      </w:tr>
      <w:tr>
        <w:tblPrEx>
          <w:jc w:val="left"/>
          <w:tblInd w:w="0" w:type="dxa"/>
          <w:tblCellMar>
            <w:top w:w="0" w:type="dxa"/>
            <w:left w:w="108" w:type="dxa"/>
            <w:bottom w:w="0" w:type="dxa"/>
            <w:right w:w="108" w:type="dxa"/>
          </w:tblCellMar>
        </w:tblPrEx>
        <w:trPr>
          <w:tblHeader/>
          <w:jc w:val="left"/>
        </w:trPr>
        <w:tc>
          <w:tcPr>
            <w:tcW w:w="1266" w:type="dxa"/>
            <w:tcBorders>
              <w:top w:val="single" w:sz="4" w:space="0" w:color="auto"/>
              <w:left w:val="double" w:sz="4" w:space="0" w:color="auto"/>
              <w:bottom w:val="double" w:sz="4" w:space="0" w:color="auto"/>
              <w:right w:val="single" w:sz="4" w:space="0" w:color="auto"/>
            </w:tcBorders>
          </w:tcPr>
          <w:p>
            <w:pPr>
              <w:autoSpaceDN w:val="0"/>
              <w:spacing w:line="360" w:lineRule="auto"/>
              <w:jc w:val="center"/>
              <w:rPr>
                <w:rFonts w:ascii="宋体" w:hint="eastAsia"/>
                <w:bCs/>
                <w:szCs w:val="21"/>
              </w:rPr>
            </w:pPr>
            <w:r>
              <w:rPr>
                <w:rFonts w:ascii="宋体" w:hint="eastAsia"/>
                <w:bCs/>
                <w:szCs w:val="21"/>
              </w:rPr>
              <w:t>2024-09-12</w:t>
            </w:r>
          </w:p>
        </w:tc>
        <w:tc>
          <w:tcPr>
            <w:tcW w:w="969" w:type="dxa"/>
            <w:tcBorders>
              <w:top w:val="single" w:sz="4" w:space="0" w:color="auto"/>
              <w:left w:val="single" w:sz="4" w:space="0" w:color="auto"/>
              <w:bottom w:val="double" w:sz="4" w:space="0" w:color="auto"/>
              <w:right w:val="single" w:sz="4" w:space="0" w:color="auto"/>
            </w:tcBorders>
          </w:tcPr>
          <w:p>
            <w:pPr>
              <w:autoSpaceDN w:val="0"/>
              <w:spacing w:line="360" w:lineRule="auto"/>
              <w:ind w:firstLine="72"/>
              <w:jc w:val="center"/>
              <w:rPr>
                <w:rFonts w:ascii="宋体" w:hint="eastAsia"/>
                <w:bCs/>
                <w:szCs w:val="21"/>
              </w:rPr>
            </w:pPr>
            <w:r>
              <w:rPr>
                <w:rFonts w:ascii="宋体" w:hint="eastAsia"/>
                <w:bCs/>
                <w:szCs w:val="21"/>
              </w:rPr>
              <w:t>V1.8.8</w:t>
            </w:r>
          </w:p>
        </w:tc>
        <w:tc>
          <w:tcPr>
            <w:tcW w:w="5244" w:type="dxa"/>
            <w:tcBorders>
              <w:top w:val="single" w:sz="4" w:space="0" w:color="auto"/>
              <w:left w:val="single" w:sz="4" w:space="0" w:color="auto"/>
              <w:bottom w:val="double" w:sz="4" w:space="0" w:color="auto"/>
              <w:right w:val="single" w:sz="4" w:space="0" w:color="auto"/>
            </w:tcBorders>
          </w:tcPr>
          <w:p>
            <w:pPr>
              <w:pStyle w:val="ListParagraph"/>
              <w:numPr>
                <w:ilvl w:val="0"/>
                <w:numId w:val="4"/>
              </w:numPr>
              <w:autoSpaceDN w:val="0"/>
              <w:ind w:firstLineChars="0"/>
              <w:rPr>
                <w:rFonts w:ascii="宋体" w:hint="eastAsia"/>
                <w:bCs/>
                <w:szCs w:val="21"/>
              </w:rPr>
            </w:pPr>
            <w:r>
              <w:rPr>
                <w:rFonts w:ascii="宋体" w:hint="eastAsia"/>
                <w:bCs/>
                <w:szCs w:val="21"/>
              </w:rPr>
              <w:t>2.1系统架构说明</w:t>
            </w:r>
          </w:p>
          <w:p>
            <w:pPr>
              <w:pStyle w:val="ListParagraph"/>
              <w:numPr>
                <w:ilvl w:val="0"/>
                <w:numId w:val="4"/>
              </w:numPr>
              <w:autoSpaceDN w:val="0"/>
              <w:ind w:firstLineChars="0"/>
              <w:rPr>
                <w:rFonts w:ascii="宋体" w:hint="eastAsia"/>
                <w:bCs/>
                <w:szCs w:val="21"/>
              </w:rPr>
            </w:pPr>
            <w:r>
              <w:rPr>
                <w:rFonts w:ascii="宋体" w:hint="eastAsia"/>
                <w:bCs/>
                <w:szCs w:val="21"/>
              </w:rPr>
              <w:t>修改3.2实时汇报探测记录时序图</w:t>
            </w:r>
          </w:p>
        </w:tc>
        <w:tc>
          <w:tcPr>
            <w:tcW w:w="1043" w:type="dxa"/>
            <w:tcBorders>
              <w:top w:val="single" w:sz="4" w:space="0" w:color="auto"/>
              <w:left w:val="single" w:sz="4" w:space="0" w:color="auto"/>
              <w:bottom w:val="double" w:sz="4" w:space="0" w:color="auto"/>
              <w:right w:val="double" w:sz="4" w:space="0" w:color="auto"/>
            </w:tcBorders>
          </w:tcPr>
          <w:p>
            <w:pPr>
              <w:autoSpaceDN w:val="0"/>
              <w:spacing w:line="360" w:lineRule="auto"/>
              <w:rPr>
                <w:rFonts w:ascii="宋体" w:hint="eastAsia"/>
                <w:bCs/>
                <w:szCs w:val="21"/>
              </w:rPr>
            </w:pPr>
          </w:p>
        </w:tc>
      </w:tr>
    </w:tbl>
    <w:p>
      <w:pPr>
        <w:widowControl/>
        <w:jc w:val="left"/>
        <w:rPr>
          <w:rFonts w:ascii="宋体" w:cs="宋体" w:hint="eastAsia"/>
          <w:kern w:val="0"/>
        </w:rPr>
        <w:sectPr>
          <w:pgSz w:w="11906" w:h="16838"/>
          <w:pgMar w:top="1440" w:right="1797" w:bottom="1440" w:left="1797" w:header="851" w:footer="992" w:gutter="0"/>
          <w:pgNumType w:start="1"/>
          <w:cols w:num="1" w:space="720"/>
          <w:titlePg/>
          <w:docGrid w:type="lines" w:linePitch="312" w:charSpace="0"/>
        </w:sectPr>
      </w:pPr>
    </w:p>
    <w:p>
      <w:pPr>
        <w:widowControl/>
        <w:autoSpaceDN w:val="0"/>
        <w:jc w:val="center"/>
        <w:rPr>
          <w:rFonts w:eastAsia="黑体"/>
          <w:b/>
          <w:bCs/>
          <w:sz w:val="28"/>
          <w:szCs w:val="28"/>
        </w:rPr>
      </w:pPr>
      <w:r>
        <w:rPr>
          <w:rFonts w:eastAsia="黑体" w:hint="eastAsia"/>
          <w:b/>
          <w:bCs/>
          <w:sz w:val="28"/>
        </w:rPr>
        <w:t>目录</w:t>
      </w:r>
    </w:p>
    <w:p>
      <w:pPr>
        <w:pStyle w:val="TOC1"/>
        <w:tabs>
          <w:tab w:val="right" w:leader="dot" w:pos="8390"/>
        </w:tabs>
        <w:autoSpaceDN w:val="0"/>
        <w:rPr>
          <w:rFonts w:ascii="Calibri" w:hAnsi="Calibri" w:cs="Arial"/>
          <w:szCs w:val="22"/>
        </w:rPr>
      </w:pPr>
      <w:r>
        <w:rPr>
          <w:rFonts w:eastAsia="黑体"/>
          <w:b w:val="0"/>
          <w:bCs w:val="0"/>
          <w:sz w:val="28"/>
        </w:rPr>
        <w:fldChar w:fldCharType="begin"/>
      </w:r>
      <w:r>
        <w:rPr>
          <w:rFonts w:eastAsia="黑体"/>
          <w:b w:val="0"/>
          <w:bCs w:val="0"/>
          <w:sz w:val="28"/>
        </w:rPr>
        <w:instrText xml:space="preserve">TOC \o "1-3" \h \z \u </w:instrText>
      </w:r>
      <w:r>
        <w:rPr>
          <w:rFonts w:eastAsia="黑体"/>
          <w:b w:val="0"/>
          <w:bCs w:val="0"/>
          <w:sz w:val="28"/>
        </w:rPr>
        <w:fldChar w:fldCharType="separate"/>
      </w:r>
      <w:hyperlink w:anchor="_Toc126335188" w:history="1">
        <w:r>
          <w:rPr>
            <w:rFonts w:hint="eastAsia"/>
            <w:szCs w:val="21"/>
          </w:rPr>
          <w:t>版本记录</w:t>
        </w:r>
        <w:r>
          <w:rPr>
            <w:szCs w:val="21"/>
          </w:rPr>
          <w:tab/>
        </w:r>
        <w:r>
          <w:rPr>
            <w:rStyle w:val="Hyperlink"/>
            <w:color w:val="auto"/>
            <w:szCs w:val="21"/>
          </w:rPr>
          <w:fldChar w:fldCharType="begin"/>
        </w:r>
        <w:r>
          <w:rPr>
            <w:rStyle w:val="Hyperlink"/>
            <w:color w:val="auto"/>
            <w:szCs w:val="21"/>
          </w:rPr>
          <w:instrText xml:space="preserve"> PAGEREF _Toc126335188 \h </w:instrText>
        </w:r>
        <w:r>
          <w:rPr>
            <w:rStyle w:val="Hyperlink"/>
            <w:color w:val="auto"/>
            <w:szCs w:val="21"/>
          </w:rPr>
          <w:fldChar w:fldCharType="separate"/>
        </w:r>
        <w:r>
          <w:rPr>
            <w:szCs w:val="21"/>
          </w:rPr>
          <w:t>2</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189" w:history="1">
        <w:r>
          <w:rPr>
            <w:szCs w:val="21"/>
          </w:rPr>
          <w:t>1</w:t>
        </w:r>
        <w:r>
          <w:rPr>
            <w:rFonts w:ascii="Calibri" w:hAnsi="Calibri" w:cs="Arial"/>
            <w:szCs w:val="22"/>
          </w:rPr>
          <w:tab/>
        </w:r>
        <w:r>
          <w:rPr>
            <w:rFonts w:hint="eastAsia"/>
            <w:szCs w:val="21"/>
          </w:rPr>
          <w:t>引言</w:t>
        </w:r>
        <w:r>
          <w:rPr>
            <w:szCs w:val="21"/>
          </w:rPr>
          <w:tab/>
        </w:r>
        <w:r>
          <w:rPr>
            <w:rStyle w:val="Hyperlink"/>
            <w:color w:val="auto"/>
            <w:szCs w:val="21"/>
          </w:rPr>
          <w:fldChar w:fldCharType="begin"/>
        </w:r>
        <w:r>
          <w:rPr>
            <w:rStyle w:val="Hyperlink"/>
            <w:color w:val="auto"/>
            <w:szCs w:val="21"/>
          </w:rPr>
          <w:instrText xml:space="preserve"> PAGEREF _Toc126335189 \h </w:instrText>
        </w:r>
        <w:r>
          <w:rPr>
            <w:rStyle w:val="Hyperlink"/>
            <w:color w:val="auto"/>
            <w:szCs w:val="21"/>
          </w:rPr>
          <w:fldChar w:fldCharType="separate"/>
        </w:r>
        <w:r>
          <w:rPr>
            <w:szCs w:val="21"/>
          </w:rPr>
          <w:t>5</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190" w:history="1">
        <w:r>
          <w:rPr>
            <w:snapToGrid w:val="0"/>
            <w:kern w:val="0"/>
            <w:szCs w:val="21"/>
          </w:rPr>
          <w:t>1.1</w:t>
        </w:r>
        <w:r>
          <w:rPr>
            <w:rFonts w:ascii="Calibri" w:hAnsi="Calibri" w:cs="Arial"/>
            <w:szCs w:val="22"/>
          </w:rPr>
          <w:tab/>
        </w:r>
        <w:r>
          <w:rPr>
            <w:rFonts w:hint="eastAsia"/>
            <w:szCs w:val="21"/>
          </w:rPr>
          <w:t>系统名称</w:t>
        </w:r>
        <w:r>
          <w:rPr>
            <w:szCs w:val="21"/>
          </w:rPr>
          <w:tab/>
        </w:r>
        <w:r>
          <w:rPr>
            <w:rStyle w:val="Hyperlink"/>
            <w:color w:val="auto"/>
            <w:szCs w:val="21"/>
          </w:rPr>
          <w:fldChar w:fldCharType="begin"/>
        </w:r>
        <w:r>
          <w:rPr>
            <w:rStyle w:val="Hyperlink"/>
            <w:color w:val="auto"/>
            <w:szCs w:val="21"/>
          </w:rPr>
          <w:instrText xml:space="preserve"> PAGEREF _Toc126335190 \h </w:instrText>
        </w:r>
        <w:r>
          <w:rPr>
            <w:rStyle w:val="Hyperlink"/>
            <w:color w:val="auto"/>
            <w:szCs w:val="21"/>
          </w:rPr>
          <w:fldChar w:fldCharType="separate"/>
        </w:r>
        <w:r>
          <w:rPr>
            <w:szCs w:val="21"/>
          </w:rPr>
          <w:t>5</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191" w:history="1">
        <w:r>
          <w:rPr>
            <w:snapToGrid w:val="0"/>
            <w:kern w:val="0"/>
            <w:szCs w:val="21"/>
          </w:rPr>
          <w:t>1.2</w:t>
        </w:r>
        <w:r>
          <w:rPr>
            <w:rFonts w:ascii="Calibri" w:hAnsi="Calibri" w:cs="Arial"/>
            <w:szCs w:val="22"/>
          </w:rPr>
          <w:tab/>
        </w:r>
        <w:r>
          <w:rPr>
            <w:rFonts w:hint="eastAsia"/>
            <w:szCs w:val="21"/>
          </w:rPr>
          <w:t>背景说明</w:t>
        </w:r>
        <w:r>
          <w:rPr>
            <w:szCs w:val="21"/>
          </w:rPr>
          <w:tab/>
        </w:r>
        <w:r>
          <w:rPr>
            <w:rStyle w:val="Hyperlink"/>
            <w:color w:val="auto"/>
            <w:szCs w:val="21"/>
          </w:rPr>
          <w:fldChar w:fldCharType="begin"/>
        </w:r>
        <w:r>
          <w:rPr>
            <w:rStyle w:val="Hyperlink"/>
            <w:color w:val="auto"/>
            <w:szCs w:val="21"/>
          </w:rPr>
          <w:instrText xml:space="preserve"> PAGEREF _Toc126335191 \h </w:instrText>
        </w:r>
        <w:r>
          <w:rPr>
            <w:rStyle w:val="Hyperlink"/>
            <w:color w:val="auto"/>
            <w:szCs w:val="21"/>
          </w:rPr>
          <w:fldChar w:fldCharType="separate"/>
        </w:r>
        <w:r>
          <w:rPr>
            <w:szCs w:val="21"/>
          </w:rPr>
          <w:t>5</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192" w:history="1">
        <w:r>
          <w:rPr>
            <w:snapToGrid w:val="0"/>
            <w:kern w:val="0"/>
            <w:szCs w:val="21"/>
          </w:rPr>
          <w:t>1.3</w:t>
        </w:r>
        <w:r>
          <w:rPr>
            <w:rFonts w:ascii="Calibri" w:hAnsi="Calibri" w:cs="Arial"/>
            <w:szCs w:val="22"/>
          </w:rPr>
          <w:tab/>
        </w:r>
        <w:r>
          <w:rPr>
            <w:rFonts w:hint="eastAsia"/>
            <w:szCs w:val="21"/>
          </w:rPr>
          <w:t>名词定义</w:t>
        </w:r>
        <w:r>
          <w:rPr>
            <w:szCs w:val="21"/>
          </w:rPr>
          <w:tab/>
        </w:r>
        <w:r>
          <w:rPr>
            <w:rStyle w:val="Hyperlink"/>
            <w:color w:val="auto"/>
            <w:szCs w:val="21"/>
          </w:rPr>
          <w:fldChar w:fldCharType="begin"/>
        </w:r>
        <w:r>
          <w:rPr>
            <w:rStyle w:val="Hyperlink"/>
            <w:color w:val="auto"/>
            <w:szCs w:val="21"/>
          </w:rPr>
          <w:instrText xml:space="preserve"> PAGEREF _Toc126335192 \h </w:instrText>
        </w:r>
        <w:r>
          <w:rPr>
            <w:rStyle w:val="Hyperlink"/>
            <w:color w:val="auto"/>
            <w:szCs w:val="21"/>
          </w:rPr>
          <w:fldChar w:fldCharType="separate"/>
        </w:r>
        <w:r>
          <w:rPr>
            <w:szCs w:val="21"/>
          </w:rPr>
          <w:t>5</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193" w:history="1">
        <w:r>
          <w:rPr>
            <w:szCs w:val="21"/>
          </w:rPr>
          <w:t>2</w:t>
        </w:r>
        <w:r>
          <w:rPr>
            <w:rFonts w:ascii="Calibri" w:hAnsi="Calibri" w:cs="Arial"/>
            <w:szCs w:val="22"/>
          </w:rPr>
          <w:tab/>
        </w:r>
        <w:r>
          <w:rPr>
            <w:rFonts w:hint="eastAsia"/>
            <w:szCs w:val="21"/>
          </w:rPr>
          <w:t>总体说明</w:t>
        </w:r>
        <w:r>
          <w:rPr>
            <w:szCs w:val="21"/>
          </w:rPr>
          <w:tab/>
        </w:r>
        <w:r>
          <w:rPr>
            <w:rStyle w:val="Hyperlink"/>
            <w:color w:val="auto"/>
            <w:szCs w:val="21"/>
          </w:rPr>
          <w:fldChar w:fldCharType="begin"/>
        </w:r>
        <w:r>
          <w:rPr>
            <w:rStyle w:val="Hyperlink"/>
            <w:color w:val="auto"/>
            <w:szCs w:val="21"/>
          </w:rPr>
          <w:instrText xml:space="preserve"> PAGEREF _Toc126335193 \h </w:instrText>
        </w:r>
        <w:r>
          <w:rPr>
            <w:rStyle w:val="Hyperlink"/>
            <w:color w:val="auto"/>
            <w:szCs w:val="21"/>
          </w:rPr>
          <w:fldChar w:fldCharType="separate"/>
        </w:r>
        <w:r>
          <w:rPr>
            <w:szCs w:val="21"/>
          </w:rPr>
          <w:t>6</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194" w:history="1">
        <w:r>
          <w:rPr>
            <w:snapToGrid w:val="0"/>
            <w:kern w:val="0"/>
            <w:szCs w:val="21"/>
          </w:rPr>
          <w:t>2.1</w:t>
        </w:r>
        <w:r>
          <w:rPr>
            <w:rFonts w:ascii="Calibri" w:hAnsi="Calibri" w:cs="Arial"/>
            <w:szCs w:val="22"/>
          </w:rPr>
          <w:tab/>
        </w:r>
        <w:r>
          <w:rPr>
            <w:rFonts w:hint="eastAsia"/>
            <w:szCs w:val="21"/>
          </w:rPr>
          <w:t>系统架构</w:t>
        </w:r>
        <w:r>
          <w:rPr>
            <w:szCs w:val="21"/>
          </w:rPr>
          <w:tab/>
        </w:r>
        <w:r>
          <w:rPr>
            <w:rStyle w:val="Hyperlink"/>
            <w:color w:val="auto"/>
            <w:szCs w:val="21"/>
          </w:rPr>
          <w:fldChar w:fldCharType="begin"/>
        </w:r>
        <w:r>
          <w:rPr>
            <w:rStyle w:val="Hyperlink"/>
            <w:color w:val="auto"/>
            <w:szCs w:val="21"/>
          </w:rPr>
          <w:instrText xml:space="preserve"> PAGEREF _Toc126335194 \h </w:instrText>
        </w:r>
        <w:r>
          <w:rPr>
            <w:rStyle w:val="Hyperlink"/>
            <w:color w:val="auto"/>
            <w:szCs w:val="21"/>
          </w:rPr>
          <w:fldChar w:fldCharType="separate"/>
        </w:r>
        <w:r>
          <w:rPr>
            <w:szCs w:val="21"/>
          </w:rPr>
          <w:t>6</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195" w:history="1">
        <w:r>
          <w:rPr>
            <w:szCs w:val="21"/>
          </w:rPr>
          <w:t>3</w:t>
        </w:r>
        <w:r>
          <w:rPr>
            <w:rFonts w:ascii="Calibri" w:hAnsi="Calibri" w:cs="Arial"/>
            <w:szCs w:val="22"/>
          </w:rPr>
          <w:tab/>
        </w:r>
        <w:r>
          <w:rPr>
            <w:rFonts w:hint="eastAsia"/>
            <w:szCs w:val="21"/>
          </w:rPr>
          <w:t>设备厂商接入流程</w:t>
        </w:r>
        <w:r>
          <w:rPr>
            <w:szCs w:val="21"/>
          </w:rPr>
          <w:tab/>
        </w:r>
        <w:r>
          <w:rPr>
            <w:rStyle w:val="Hyperlink"/>
            <w:color w:val="auto"/>
            <w:szCs w:val="21"/>
          </w:rPr>
          <w:fldChar w:fldCharType="begin"/>
        </w:r>
        <w:r>
          <w:rPr>
            <w:rStyle w:val="Hyperlink"/>
            <w:color w:val="auto"/>
            <w:szCs w:val="21"/>
          </w:rPr>
          <w:instrText xml:space="preserve"> PAGEREF _Toc126335195 \h </w:instrText>
        </w:r>
        <w:r>
          <w:rPr>
            <w:rStyle w:val="Hyperlink"/>
            <w:color w:val="auto"/>
            <w:szCs w:val="21"/>
          </w:rPr>
          <w:fldChar w:fldCharType="separate"/>
        </w:r>
        <w:r>
          <w:rPr>
            <w:szCs w:val="21"/>
          </w:rPr>
          <w:t>7</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196" w:history="1">
        <w:r>
          <w:rPr>
            <w:snapToGrid w:val="0"/>
            <w:kern w:val="0"/>
            <w:szCs w:val="21"/>
          </w:rPr>
          <w:t>3.1</w:t>
        </w:r>
        <w:r>
          <w:rPr>
            <w:rFonts w:ascii="Calibri" w:hAnsi="Calibri" w:cs="Arial"/>
            <w:szCs w:val="22"/>
          </w:rPr>
          <w:tab/>
        </w:r>
        <w:r>
          <w:rPr>
            <w:rFonts w:hint="eastAsia"/>
            <w:szCs w:val="21"/>
          </w:rPr>
          <w:t>注册入网设备时序图</w:t>
        </w:r>
        <w:r>
          <w:rPr>
            <w:szCs w:val="21"/>
          </w:rPr>
          <w:tab/>
        </w:r>
        <w:r>
          <w:rPr>
            <w:rStyle w:val="Hyperlink"/>
            <w:color w:val="auto"/>
            <w:szCs w:val="21"/>
          </w:rPr>
          <w:fldChar w:fldCharType="begin"/>
        </w:r>
        <w:r>
          <w:rPr>
            <w:rStyle w:val="Hyperlink"/>
            <w:color w:val="auto"/>
            <w:szCs w:val="21"/>
          </w:rPr>
          <w:instrText xml:space="preserve"> PAGEREF _Toc126335196 \h </w:instrText>
        </w:r>
        <w:r>
          <w:rPr>
            <w:rStyle w:val="Hyperlink"/>
            <w:color w:val="auto"/>
            <w:szCs w:val="21"/>
          </w:rPr>
          <w:fldChar w:fldCharType="separate"/>
        </w:r>
        <w:r>
          <w:rPr>
            <w:szCs w:val="21"/>
          </w:rPr>
          <w:t>7</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197" w:history="1">
        <w:r>
          <w:rPr>
            <w:snapToGrid w:val="0"/>
            <w:kern w:val="0"/>
            <w:szCs w:val="21"/>
          </w:rPr>
          <w:t>3.2</w:t>
        </w:r>
        <w:r>
          <w:rPr>
            <w:rFonts w:ascii="Calibri" w:hAnsi="Calibri" w:cs="Arial"/>
            <w:szCs w:val="22"/>
          </w:rPr>
          <w:tab/>
        </w:r>
        <w:r>
          <w:rPr>
            <w:rFonts w:hint="eastAsia"/>
            <w:szCs w:val="21"/>
          </w:rPr>
          <w:t>实时汇报探测记录时序图</w:t>
        </w:r>
        <w:r>
          <w:rPr>
            <w:szCs w:val="21"/>
          </w:rPr>
          <w:tab/>
        </w:r>
        <w:r>
          <w:rPr>
            <w:rStyle w:val="Hyperlink"/>
            <w:color w:val="auto"/>
            <w:szCs w:val="21"/>
          </w:rPr>
          <w:fldChar w:fldCharType="begin"/>
        </w:r>
        <w:r>
          <w:rPr>
            <w:rStyle w:val="Hyperlink"/>
            <w:color w:val="auto"/>
            <w:szCs w:val="21"/>
          </w:rPr>
          <w:instrText xml:space="preserve"> PAGEREF _Toc126335197 \h </w:instrText>
        </w:r>
        <w:r>
          <w:rPr>
            <w:rStyle w:val="Hyperlink"/>
            <w:color w:val="auto"/>
            <w:szCs w:val="21"/>
          </w:rPr>
          <w:fldChar w:fldCharType="separate"/>
        </w:r>
        <w:r>
          <w:rPr>
            <w:szCs w:val="21"/>
          </w:rPr>
          <w:t>7</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198" w:history="1">
        <w:r>
          <w:rPr>
            <w:snapToGrid w:val="0"/>
            <w:kern w:val="0"/>
            <w:szCs w:val="21"/>
          </w:rPr>
          <w:t>3.3</w:t>
        </w:r>
        <w:r>
          <w:rPr>
            <w:rFonts w:ascii="Calibri" w:hAnsi="Calibri" w:cs="Arial"/>
            <w:szCs w:val="22"/>
          </w:rPr>
          <w:tab/>
        </w:r>
        <w:r>
          <w:rPr>
            <w:rFonts w:hint="eastAsia"/>
            <w:szCs w:val="21"/>
          </w:rPr>
          <w:t>查询及汇报历史探测记录时序图</w:t>
        </w:r>
        <w:r>
          <w:rPr>
            <w:szCs w:val="21"/>
          </w:rPr>
          <w:tab/>
        </w:r>
        <w:r>
          <w:rPr>
            <w:rStyle w:val="Hyperlink"/>
            <w:color w:val="auto"/>
            <w:szCs w:val="21"/>
          </w:rPr>
          <w:fldChar w:fldCharType="begin"/>
        </w:r>
        <w:r>
          <w:rPr>
            <w:rStyle w:val="Hyperlink"/>
            <w:color w:val="auto"/>
            <w:szCs w:val="21"/>
          </w:rPr>
          <w:instrText xml:space="preserve"> PAGEREF _Toc126335198 \h </w:instrText>
        </w:r>
        <w:r>
          <w:rPr>
            <w:rStyle w:val="Hyperlink"/>
            <w:color w:val="auto"/>
            <w:szCs w:val="21"/>
          </w:rPr>
          <w:fldChar w:fldCharType="separate"/>
        </w:r>
        <w:r>
          <w:rPr>
            <w:szCs w:val="21"/>
          </w:rPr>
          <w:t>8</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199" w:history="1">
        <w:r>
          <w:rPr>
            <w:szCs w:val="21"/>
          </w:rPr>
          <w:t>4</w:t>
        </w:r>
        <w:r>
          <w:rPr>
            <w:rFonts w:ascii="Calibri" w:hAnsi="Calibri" w:cs="Arial"/>
            <w:szCs w:val="22"/>
          </w:rPr>
          <w:tab/>
        </w:r>
        <w:r>
          <w:rPr>
            <w:rFonts w:hint="eastAsia"/>
            <w:szCs w:val="21"/>
          </w:rPr>
          <w:t>接口服务器提供接口</w:t>
        </w:r>
        <w:r>
          <w:rPr>
            <w:szCs w:val="21"/>
          </w:rPr>
          <w:tab/>
        </w:r>
        <w:r>
          <w:rPr>
            <w:rStyle w:val="Hyperlink"/>
            <w:color w:val="auto"/>
            <w:szCs w:val="21"/>
          </w:rPr>
          <w:fldChar w:fldCharType="begin"/>
        </w:r>
        <w:r>
          <w:rPr>
            <w:rStyle w:val="Hyperlink"/>
            <w:color w:val="auto"/>
            <w:szCs w:val="21"/>
          </w:rPr>
          <w:instrText xml:space="preserve"> PAGEREF _Toc126335199 \h </w:instrText>
        </w:r>
        <w:r>
          <w:rPr>
            <w:rStyle w:val="Hyperlink"/>
            <w:color w:val="auto"/>
            <w:szCs w:val="21"/>
          </w:rPr>
          <w:fldChar w:fldCharType="separate"/>
        </w:r>
        <w:r>
          <w:rPr>
            <w:szCs w:val="21"/>
          </w:rPr>
          <w:t>10</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0" w:history="1">
        <w:r>
          <w:rPr>
            <w:snapToGrid w:val="0"/>
            <w:kern w:val="0"/>
            <w:szCs w:val="21"/>
          </w:rPr>
          <w:t>4.1</w:t>
        </w:r>
        <w:r>
          <w:rPr>
            <w:rFonts w:ascii="Calibri" w:hAnsi="Calibri" w:cs="Arial"/>
            <w:szCs w:val="22"/>
          </w:rPr>
          <w:tab/>
        </w:r>
        <w:r>
          <w:rPr>
            <w:rFonts w:hint="eastAsia"/>
            <w:szCs w:val="21"/>
          </w:rPr>
          <w:t>接口服务器基础信息</w:t>
        </w:r>
        <w:r>
          <w:rPr>
            <w:szCs w:val="21"/>
          </w:rPr>
          <w:tab/>
        </w:r>
        <w:r>
          <w:rPr>
            <w:rStyle w:val="Hyperlink"/>
            <w:color w:val="auto"/>
            <w:szCs w:val="21"/>
          </w:rPr>
          <w:fldChar w:fldCharType="begin"/>
        </w:r>
        <w:r>
          <w:rPr>
            <w:rStyle w:val="Hyperlink"/>
            <w:color w:val="auto"/>
            <w:szCs w:val="21"/>
          </w:rPr>
          <w:instrText xml:space="preserve"> PAGEREF _Toc126335200 \h </w:instrText>
        </w:r>
        <w:r>
          <w:rPr>
            <w:rStyle w:val="Hyperlink"/>
            <w:color w:val="auto"/>
            <w:szCs w:val="21"/>
          </w:rPr>
          <w:fldChar w:fldCharType="separate"/>
        </w:r>
        <w:r>
          <w:rPr>
            <w:szCs w:val="21"/>
          </w:rPr>
          <w:t>10</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1" w:history="1">
        <w:r>
          <w:rPr>
            <w:snapToGrid w:val="0"/>
            <w:kern w:val="0"/>
            <w:szCs w:val="21"/>
          </w:rPr>
          <w:t>4.2</w:t>
        </w:r>
        <w:r>
          <w:rPr>
            <w:rFonts w:ascii="Calibri" w:hAnsi="Calibri" w:cs="Arial"/>
            <w:szCs w:val="22"/>
          </w:rPr>
          <w:tab/>
        </w:r>
        <w:r>
          <w:rPr>
            <w:rFonts w:hint="eastAsia"/>
            <w:szCs w:val="21"/>
          </w:rPr>
          <w:t>注册入网设备</w:t>
        </w:r>
        <w:r>
          <w:rPr>
            <w:szCs w:val="21"/>
          </w:rPr>
          <w:tab/>
        </w:r>
        <w:r>
          <w:rPr>
            <w:rStyle w:val="Hyperlink"/>
            <w:color w:val="auto"/>
            <w:szCs w:val="21"/>
          </w:rPr>
          <w:fldChar w:fldCharType="begin"/>
        </w:r>
        <w:r>
          <w:rPr>
            <w:rStyle w:val="Hyperlink"/>
            <w:color w:val="auto"/>
            <w:szCs w:val="21"/>
          </w:rPr>
          <w:instrText xml:space="preserve"> PAGEREF _Toc126335201 \h </w:instrText>
        </w:r>
        <w:r>
          <w:rPr>
            <w:rStyle w:val="Hyperlink"/>
            <w:color w:val="auto"/>
            <w:szCs w:val="21"/>
          </w:rPr>
          <w:fldChar w:fldCharType="separate"/>
        </w:r>
        <w:r>
          <w:rPr>
            <w:szCs w:val="21"/>
          </w:rPr>
          <w:t>10</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2" w:history="1">
        <w:r>
          <w:rPr>
            <w:snapToGrid w:val="0"/>
            <w:kern w:val="0"/>
            <w:szCs w:val="21"/>
          </w:rPr>
          <w:t>4.3</w:t>
        </w:r>
        <w:r>
          <w:rPr>
            <w:rFonts w:ascii="Calibri" w:hAnsi="Calibri" w:cs="Arial"/>
            <w:szCs w:val="22"/>
          </w:rPr>
          <w:tab/>
        </w:r>
        <w:r>
          <w:rPr>
            <w:rFonts w:hint="eastAsia"/>
            <w:szCs w:val="21"/>
          </w:rPr>
          <w:t>获取系统时间</w:t>
        </w:r>
        <w:r>
          <w:rPr>
            <w:szCs w:val="21"/>
          </w:rPr>
          <w:tab/>
        </w:r>
        <w:r>
          <w:rPr>
            <w:rStyle w:val="Hyperlink"/>
            <w:color w:val="auto"/>
            <w:szCs w:val="21"/>
          </w:rPr>
          <w:fldChar w:fldCharType="begin"/>
        </w:r>
        <w:r>
          <w:rPr>
            <w:rStyle w:val="Hyperlink"/>
            <w:color w:val="auto"/>
            <w:szCs w:val="21"/>
          </w:rPr>
          <w:instrText xml:space="preserve"> PAGEREF _Toc126335202 \h </w:instrText>
        </w:r>
        <w:r>
          <w:rPr>
            <w:rStyle w:val="Hyperlink"/>
            <w:color w:val="auto"/>
            <w:szCs w:val="21"/>
          </w:rPr>
          <w:fldChar w:fldCharType="separate"/>
        </w:r>
        <w:r>
          <w:rPr>
            <w:szCs w:val="21"/>
          </w:rPr>
          <w:t>11</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3" w:history="1">
        <w:r>
          <w:rPr>
            <w:snapToGrid w:val="0"/>
            <w:kern w:val="0"/>
            <w:szCs w:val="21"/>
          </w:rPr>
          <w:t>4.4</w:t>
        </w:r>
        <w:r>
          <w:rPr>
            <w:rFonts w:ascii="Calibri" w:hAnsi="Calibri" w:cs="Arial"/>
            <w:szCs w:val="22"/>
          </w:rPr>
          <w:tab/>
        </w:r>
        <w:r>
          <w:rPr>
            <w:rFonts w:hint="eastAsia"/>
            <w:szCs w:val="21"/>
          </w:rPr>
          <w:t>实时汇报探测记录</w:t>
        </w:r>
        <w:r>
          <w:rPr>
            <w:szCs w:val="21"/>
          </w:rPr>
          <w:tab/>
        </w:r>
        <w:r>
          <w:rPr>
            <w:rStyle w:val="Hyperlink"/>
            <w:color w:val="auto"/>
            <w:szCs w:val="21"/>
          </w:rPr>
          <w:fldChar w:fldCharType="begin"/>
        </w:r>
        <w:r>
          <w:rPr>
            <w:rStyle w:val="Hyperlink"/>
            <w:color w:val="auto"/>
            <w:szCs w:val="21"/>
          </w:rPr>
          <w:instrText xml:space="preserve"> PAGEREF _Toc126335203 \h </w:instrText>
        </w:r>
        <w:r>
          <w:rPr>
            <w:rStyle w:val="Hyperlink"/>
            <w:color w:val="auto"/>
            <w:szCs w:val="21"/>
          </w:rPr>
          <w:fldChar w:fldCharType="separate"/>
        </w:r>
        <w:r>
          <w:rPr>
            <w:szCs w:val="21"/>
          </w:rPr>
          <w:t>12</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4" w:history="1">
        <w:r>
          <w:rPr>
            <w:snapToGrid w:val="0"/>
            <w:kern w:val="0"/>
            <w:szCs w:val="21"/>
          </w:rPr>
          <w:t>4.5</w:t>
        </w:r>
        <w:r>
          <w:rPr>
            <w:rFonts w:ascii="Calibri" w:hAnsi="Calibri" w:cs="Arial"/>
            <w:szCs w:val="22"/>
          </w:rPr>
          <w:tab/>
        </w:r>
        <w:r>
          <w:rPr>
            <w:rFonts w:hint="eastAsia"/>
            <w:szCs w:val="21"/>
          </w:rPr>
          <w:t>汇报历史探测记录</w:t>
        </w:r>
        <w:r>
          <w:rPr>
            <w:szCs w:val="21"/>
          </w:rPr>
          <w:tab/>
        </w:r>
        <w:r>
          <w:rPr>
            <w:rStyle w:val="Hyperlink"/>
            <w:color w:val="auto"/>
            <w:szCs w:val="21"/>
          </w:rPr>
          <w:fldChar w:fldCharType="begin"/>
        </w:r>
        <w:r>
          <w:rPr>
            <w:rStyle w:val="Hyperlink"/>
            <w:color w:val="auto"/>
            <w:szCs w:val="21"/>
          </w:rPr>
          <w:instrText xml:space="preserve"> PAGEREF _Toc126335204 \h </w:instrText>
        </w:r>
        <w:r>
          <w:rPr>
            <w:rStyle w:val="Hyperlink"/>
            <w:color w:val="auto"/>
            <w:szCs w:val="21"/>
          </w:rPr>
          <w:fldChar w:fldCharType="separate"/>
        </w:r>
        <w:r>
          <w:rPr>
            <w:szCs w:val="21"/>
          </w:rPr>
          <w:t>13</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5" w:history="1">
        <w:r>
          <w:rPr>
            <w:snapToGrid w:val="0"/>
            <w:kern w:val="0"/>
            <w:szCs w:val="21"/>
          </w:rPr>
          <w:t>4.6</w:t>
        </w:r>
        <w:r>
          <w:rPr>
            <w:rFonts w:ascii="Calibri" w:hAnsi="Calibri" w:cs="Arial"/>
            <w:szCs w:val="22"/>
          </w:rPr>
          <w:tab/>
        </w:r>
        <w:r>
          <w:rPr>
            <w:rFonts w:hint="eastAsia"/>
            <w:szCs w:val="21"/>
          </w:rPr>
          <w:t>汇报设备在线状态</w:t>
        </w:r>
        <w:r>
          <w:rPr>
            <w:szCs w:val="21"/>
          </w:rPr>
          <w:tab/>
        </w:r>
        <w:r>
          <w:rPr>
            <w:rStyle w:val="Hyperlink"/>
            <w:color w:val="auto"/>
            <w:szCs w:val="21"/>
          </w:rPr>
          <w:fldChar w:fldCharType="begin"/>
        </w:r>
        <w:r>
          <w:rPr>
            <w:rStyle w:val="Hyperlink"/>
            <w:color w:val="auto"/>
            <w:szCs w:val="21"/>
          </w:rPr>
          <w:instrText xml:space="preserve"> PAGEREF _Toc126335205 \h </w:instrText>
        </w:r>
        <w:r>
          <w:rPr>
            <w:rStyle w:val="Hyperlink"/>
            <w:color w:val="auto"/>
            <w:szCs w:val="21"/>
          </w:rPr>
          <w:fldChar w:fldCharType="separate"/>
        </w:r>
        <w:r>
          <w:rPr>
            <w:szCs w:val="21"/>
          </w:rPr>
          <w:t>15</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6" w:history="1">
        <w:r>
          <w:rPr>
            <w:snapToGrid w:val="0"/>
            <w:kern w:val="0"/>
            <w:szCs w:val="21"/>
          </w:rPr>
          <w:t>4.7</w:t>
        </w:r>
        <w:r>
          <w:rPr>
            <w:rFonts w:ascii="Calibri" w:hAnsi="Calibri" w:cs="Arial"/>
            <w:szCs w:val="22"/>
          </w:rPr>
          <w:tab/>
        </w:r>
        <w:r>
          <w:rPr>
            <w:rFonts w:hint="eastAsia"/>
            <w:szCs w:val="21"/>
          </w:rPr>
          <w:t>汇报设备工作状态</w:t>
        </w:r>
        <w:r>
          <w:rPr>
            <w:szCs w:val="21"/>
          </w:rPr>
          <w:tab/>
        </w:r>
        <w:r>
          <w:rPr>
            <w:rStyle w:val="Hyperlink"/>
            <w:color w:val="auto"/>
            <w:szCs w:val="21"/>
          </w:rPr>
          <w:fldChar w:fldCharType="begin"/>
        </w:r>
        <w:r>
          <w:rPr>
            <w:rStyle w:val="Hyperlink"/>
            <w:color w:val="auto"/>
            <w:szCs w:val="21"/>
          </w:rPr>
          <w:instrText xml:space="preserve"> PAGEREF _Toc126335206 \h </w:instrText>
        </w:r>
        <w:r>
          <w:rPr>
            <w:rStyle w:val="Hyperlink"/>
            <w:color w:val="auto"/>
            <w:szCs w:val="21"/>
          </w:rPr>
          <w:fldChar w:fldCharType="separate"/>
        </w:r>
        <w:r>
          <w:rPr>
            <w:szCs w:val="21"/>
          </w:rPr>
          <w:t>17</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7" w:history="1">
        <w:r>
          <w:rPr>
            <w:snapToGrid w:val="0"/>
            <w:kern w:val="0"/>
            <w:szCs w:val="21"/>
          </w:rPr>
          <w:t>4.8</w:t>
        </w:r>
        <w:r>
          <w:rPr>
            <w:rFonts w:ascii="Calibri" w:hAnsi="Calibri" w:cs="Arial"/>
            <w:szCs w:val="22"/>
          </w:rPr>
          <w:tab/>
        </w:r>
        <w:r>
          <w:rPr>
            <w:rFonts w:hint="eastAsia"/>
            <w:szCs w:val="21"/>
          </w:rPr>
          <w:t>汇报设备异常状态</w:t>
        </w:r>
        <w:r>
          <w:rPr>
            <w:szCs w:val="21"/>
          </w:rPr>
          <w:tab/>
        </w:r>
        <w:r>
          <w:rPr>
            <w:rStyle w:val="Hyperlink"/>
            <w:color w:val="auto"/>
            <w:szCs w:val="21"/>
          </w:rPr>
          <w:fldChar w:fldCharType="begin"/>
        </w:r>
        <w:r>
          <w:rPr>
            <w:rStyle w:val="Hyperlink"/>
            <w:color w:val="auto"/>
            <w:szCs w:val="21"/>
          </w:rPr>
          <w:instrText xml:space="preserve"> PAGEREF _Toc126335207 \h </w:instrText>
        </w:r>
        <w:r>
          <w:rPr>
            <w:rStyle w:val="Hyperlink"/>
            <w:color w:val="auto"/>
            <w:szCs w:val="21"/>
          </w:rPr>
          <w:fldChar w:fldCharType="separate"/>
        </w:r>
        <w:r>
          <w:rPr>
            <w:szCs w:val="21"/>
          </w:rPr>
          <w:t>19</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208" w:history="1">
        <w:r>
          <w:rPr>
            <w:szCs w:val="21"/>
          </w:rPr>
          <w:t>5</w:t>
        </w:r>
        <w:r>
          <w:rPr>
            <w:rFonts w:ascii="Calibri" w:hAnsi="Calibri" w:cs="Arial"/>
            <w:szCs w:val="22"/>
          </w:rPr>
          <w:tab/>
        </w:r>
        <w:r>
          <w:rPr>
            <w:rFonts w:hint="eastAsia"/>
            <w:szCs w:val="21"/>
          </w:rPr>
          <w:t>入网设备提供接口</w:t>
        </w:r>
        <w:r>
          <w:rPr>
            <w:szCs w:val="21"/>
          </w:rPr>
          <w:tab/>
        </w:r>
        <w:r>
          <w:rPr>
            <w:rStyle w:val="Hyperlink"/>
            <w:color w:val="auto"/>
            <w:szCs w:val="21"/>
          </w:rPr>
          <w:fldChar w:fldCharType="begin"/>
        </w:r>
        <w:r>
          <w:rPr>
            <w:rStyle w:val="Hyperlink"/>
            <w:color w:val="auto"/>
            <w:szCs w:val="21"/>
          </w:rPr>
          <w:instrText xml:space="preserve"> PAGEREF _Toc126335208 \h </w:instrText>
        </w:r>
        <w:r>
          <w:rPr>
            <w:rStyle w:val="Hyperlink"/>
            <w:color w:val="auto"/>
            <w:szCs w:val="21"/>
          </w:rPr>
          <w:fldChar w:fldCharType="separate"/>
        </w:r>
        <w:r>
          <w:rPr>
            <w:szCs w:val="21"/>
          </w:rPr>
          <w:t>21</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09" w:history="1">
        <w:r>
          <w:rPr>
            <w:snapToGrid w:val="0"/>
            <w:kern w:val="0"/>
            <w:szCs w:val="21"/>
          </w:rPr>
          <w:t>5.1</w:t>
        </w:r>
        <w:r>
          <w:rPr>
            <w:rFonts w:ascii="Calibri" w:hAnsi="Calibri" w:cs="Arial"/>
            <w:szCs w:val="22"/>
          </w:rPr>
          <w:tab/>
        </w:r>
        <w:r>
          <w:rPr>
            <w:rFonts w:hint="eastAsia"/>
            <w:szCs w:val="21"/>
          </w:rPr>
          <w:t>查询探测记录</w:t>
        </w:r>
        <w:r>
          <w:rPr>
            <w:szCs w:val="21"/>
          </w:rPr>
          <w:tab/>
        </w:r>
        <w:r>
          <w:rPr>
            <w:rStyle w:val="Hyperlink"/>
            <w:color w:val="auto"/>
            <w:szCs w:val="21"/>
          </w:rPr>
          <w:fldChar w:fldCharType="begin"/>
        </w:r>
        <w:r>
          <w:rPr>
            <w:rStyle w:val="Hyperlink"/>
            <w:color w:val="auto"/>
            <w:szCs w:val="21"/>
          </w:rPr>
          <w:instrText xml:space="preserve"> PAGEREF _Toc126335209 \h </w:instrText>
        </w:r>
        <w:r>
          <w:rPr>
            <w:rStyle w:val="Hyperlink"/>
            <w:color w:val="auto"/>
            <w:szCs w:val="21"/>
          </w:rPr>
          <w:fldChar w:fldCharType="separate"/>
        </w:r>
        <w:r>
          <w:rPr>
            <w:szCs w:val="21"/>
          </w:rPr>
          <w:t>21</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10" w:history="1">
        <w:r>
          <w:rPr>
            <w:snapToGrid w:val="0"/>
            <w:kern w:val="0"/>
            <w:szCs w:val="21"/>
          </w:rPr>
          <w:t>5.2</w:t>
        </w:r>
        <w:r>
          <w:rPr>
            <w:rFonts w:ascii="Calibri" w:hAnsi="Calibri" w:cs="Arial"/>
            <w:szCs w:val="22"/>
          </w:rPr>
          <w:tab/>
        </w:r>
        <w:r>
          <w:rPr>
            <w:rFonts w:hint="eastAsia"/>
            <w:szCs w:val="21"/>
          </w:rPr>
          <w:t>查询设备列表</w:t>
        </w:r>
        <w:r>
          <w:rPr>
            <w:szCs w:val="21"/>
          </w:rPr>
          <w:tab/>
        </w:r>
        <w:r>
          <w:rPr>
            <w:rStyle w:val="Hyperlink"/>
            <w:color w:val="auto"/>
            <w:szCs w:val="21"/>
          </w:rPr>
          <w:fldChar w:fldCharType="begin"/>
        </w:r>
        <w:r>
          <w:rPr>
            <w:rStyle w:val="Hyperlink"/>
            <w:color w:val="auto"/>
            <w:szCs w:val="21"/>
          </w:rPr>
          <w:instrText xml:space="preserve"> PAGEREF _Toc126335210 \h </w:instrText>
        </w:r>
        <w:r>
          <w:rPr>
            <w:rStyle w:val="Hyperlink"/>
            <w:color w:val="auto"/>
            <w:szCs w:val="21"/>
          </w:rPr>
          <w:fldChar w:fldCharType="separate"/>
        </w:r>
        <w:r>
          <w:rPr>
            <w:szCs w:val="21"/>
          </w:rPr>
          <w:t>22</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11" w:history="1">
        <w:r>
          <w:rPr>
            <w:snapToGrid w:val="0"/>
            <w:kern w:val="0"/>
            <w:szCs w:val="21"/>
          </w:rPr>
          <w:t>5.3</w:t>
        </w:r>
        <w:r>
          <w:rPr>
            <w:rFonts w:ascii="Calibri" w:hAnsi="Calibri" w:cs="Arial"/>
            <w:szCs w:val="22"/>
          </w:rPr>
          <w:tab/>
        </w:r>
        <w:r>
          <w:rPr>
            <w:rFonts w:hint="eastAsia"/>
            <w:szCs w:val="21"/>
          </w:rPr>
          <w:t>查询所有设备状态</w:t>
        </w:r>
        <w:r>
          <w:rPr>
            <w:szCs w:val="21"/>
          </w:rPr>
          <w:tab/>
        </w:r>
        <w:r>
          <w:rPr>
            <w:rStyle w:val="Hyperlink"/>
            <w:color w:val="auto"/>
            <w:szCs w:val="21"/>
          </w:rPr>
          <w:fldChar w:fldCharType="begin"/>
        </w:r>
        <w:r>
          <w:rPr>
            <w:rStyle w:val="Hyperlink"/>
            <w:color w:val="auto"/>
            <w:szCs w:val="21"/>
          </w:rPr>
          <w:instrText xml:space="preserve"> PAGEREF _Toc126335211 \h </w:instrText>
        </w:r>
        <w:r>
          <w:rPr>
            <w:rStyle w:val="Hyperlink"/>
            <w:color w:val="auto"/>
            <w:szCs w:val="21"/>
          </w:rPr>
          <w:fldChar w:fldCharType="separate"/>
        </w:r>
        <w:r>
          <w:rPr>
            <w:szCs w:val="21"/>
          </w:rPr>
          <w:t>23</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12" w:history="1">
        <w:r>
          <w:rPr>
            <w:snapToGrid w:val="0"/>
            <w:kern w:val="0"/>
            <w:szCs w:val="21"/>
          </w:rPr>
          <w:t>5.4</w:t>
        </w:r>
        <w:r>
          <w:rPr>
            <w:rFonts w:ascii="Calibri" w:hAnsi="Calibri" w:cs="Arial"/>
            <w:szCs w:val="22"/>
          </w:rPr>
          <w:tab/>
        </w:r>
        <w:r>
          <w:rPr>
            <w:rFonts w:hint="eastAsia"/>
            <w:szCs w:val="21"/>
          </w:rPr>
          <w:t>查询指定设备状态</w:t>
        </w:r>
        <w:r>
          <w:rPr>
            <w:szCs w:val="21"/>
          </w:rPr>
          <w:tab/>
        </w:r>
        <w:r>
          <w:rPr>
            <w:rStyle w:val="Hyperlink"/>
            <w:color w:val="auto"/>
            <w:szCs w:val="21"/>
          </w:rPr>
          <w:fldChar w:fldCharType="begin"/>
        </w:r>
        <w:r>
          <w:rPr>
            <w:rStyle w:val="Hyperlink"/>
            <w:color w:val="auto"/>
            <w:szCs w:val="21"/>
          </w:rPr>
          <w:instrText xml:space="preserve"> PAGEREF _Toc126335212 \h </w:instrText>
        </w:r>
        <w:r>
          <w:rPr>
            <w:rStyle w:val="Hyperlink"/>
            <w:color w:val="auto"/>
            <w:szCs w:val="21"/>
          </w:rPr>
          <w:fldChar w:fldCharType="separate"/>
        </w:r>
        <w:r>
          <w:rPr>
            <w:szCs w:val="21"/>
          </w:rPr>
          <w:t>24</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213" w:history="1">
        <w:r>
          <w:rPr>
            <w:szCs w:val="21"/>
          </w:rPr>
          <w:t>6</w:t>
        </w:r>
        <w:r>
          <w:rPr>
            <w:rFonts w:ascii="Calibri" w:hAnsi="Calibri" w:cs="Arial"/>
            <w:szCs w:val="22"/>
          </w:rPr>
          <w:tab/>
        </w:r>
        <w:r>
          <w:rPr>
            <w:rFonts w:hint="eastAsia"/>
            <w:szCs w:val="21"/>
          </w:rPr>
          <w:t>异常处理机制</w:t>
        </w:r>
        <w:r>
          <w:rPr>
            <w:szCs w:val="21"/>
          </w:rPr>
          <w:tab/>
        </w:r>
        <w:r>
          <w:rPr>
            <w:rStyle w:val="Hyperlink"/>
            <w:color w:val="auto"/>
            <w:szCs w:val="21"/>
          </w:rPr>
          <w:fldChar w:fldCharType="begin"/>
        </w:r>
        <w:r>
          <w:rPr>
            <w:rStyle w:val="Hyperlink"/>
            <w:color w:val="auto"/>
            <w:szCs w:val="21"/>
          </w:rPr>
          <w:instrText xml:space="preserve"> PAGEREF _Toc126335213 \h </w:instrText>
        </w:r>
        <w:r>
          <w:rPr>
            <w:rStyle w:val="Hyperlink"/>
            <w:color w:val="auto"/>
            <w:szCs w:val="21"/>
          </w:rPr>
          <w:fldChar w:fldCharType="separate"/>
        </w:r>
        <w:r>
          <w:rPr>
            <w:szCs w:val="21"/>
          </w:rPr>
          <w:t>25</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14" w:history="1">
        <w:r>
          <w:rPr>
            <w:snapToGrid w:val="0"/>
            <w:kern w:val="0"/>
            <w:szCs w:val="21"/>
          </w:rPr>
          <w:t>6.1</w:t>
        </w:r>
        <w:r>
          <w:rPr>
            <w:rFonts w:ascii="Calibri" w:hAnsi="Calibri" w:cs="Arial"/>
            <w:szCs w:val="22"/>
          </w:rPr>
          <w:tab/>
        </w:r>
        <w:r>
          <w:rPr>
            <w:rFonts w:hint="eastAsia"/>
            <w:szCs w:val="21"/>
          </w:rPr>
          <w:t>关于接口响应错误消息的说明</w:t>
        </w:r>
        <w:r>
          <w:rPr>
            <w:szCs w:val="21"/>
          </w:rPr>
          <w:tab/>
        </w:r>
        <w:r>
          <w:rPr>
            <w:rStyle w:val="Hyperlink"/>
            <w:color w:val="auto"/>
            <w:szCs w:val="21"/>
          </w:rPr>
          <w:fldChar w:fldCharType="begin"/>
        </w:r>
        <w:r>
          <w:rPr>
            <w:rStyle w:val="Hyperlink"/>
            <w:color w:val="auto"/>
            <w:szCs w:val="21"/>
          </w:rPr>
          <w:instrText xml:space="preserve"> PAGEREF _Toc126335214 \h </w:instrText>
        </w:r>
        <w:r>
          <w:rPr>
            <w:rStyle w:val="Hyperlink"/>
            <w:color w:val="auto"/>
            <w:szCs w:val="21"/>
          </w:rPr>
          <w:fldChar w:fldCharType="separate"/>
        </w:r>
        <w:r>
          <w:rPr>
            <w:szCs w:val="21"/>
          </w:rPr>
          <w:t>25</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15" w:history="1">
        <w:r>
          <w:rPr>
            <w:snapToGrid w:val="0"/>
            <w:kern w:val="0"/>
            <w:szCs w:val="21"/>
          </w:rPr>
          <w:t>6.2</w:t>
        </w:r>
        <w:r>
          <w:rPr>
            <w:rFonts w:ascii="Calibri" w:hAnsi="Calibri" w:cs="Arial"/>
            <w:szCs w:val="22"/>
          </w:rPr>
          <w:tab/>
        </w:r>
        <w:r>
          <w:rPr>
            <w:szCs w:val="21"/>
          </w:rPr>
          <w:t>HTTP</w:t>
        </w:r>
        <w:r>
          <w:rPr>
            <w:rFonts w:hint="eastAsia"/>
            <w:szCs w:val="21"/>
          </w:rPr>
          <w:t>错误码</w:t>
        </w:r>
        <w:r>
          <w:rPr>
            <w:szCs w:val="21"/>
          </w:rPr>
          <w:tab/>
        </w:r>
        <w:r>
          <w:rPr>
            <w:rStyle w:val="Hyperlink"/>
            <w:color w:val="auto"/>
            <w:szCs w:val="21"/>
          </w:rPr>
          <w:fldChar w:fldCharType="begin"/>
        </w:r>
        <w:r>
          <w:rPr>
            <w:rStyle w:val="Hyperlink"/>
            <w:color w:val="auto"/>
            <w:szCs w:val="21"/>
          </w:rPr>
          <w:instrText xml:space="preserve"> PAGEREF _Toc126335215 \h </w:instrText>
        </w:r>
        <w:r>
          <w:rPr>
            <w:rStyle w:val="Hyperlink"/>
            <w:color w:val="auto"/>
            <w:szCs w:val="21"/>
          </w:rPr>
          <w:fldChar w:fldCharType="separate"/>
        </w:r>
        <w:r>
          <w:rPr>
            <w:szCs w:val="21"/>
          </w:rPr>
          <w:t>27</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16" w:history="1">
        <w:r>
          <w:rPr>
            <w:snapToGrid w:val="0"/>
            <w:kern w:val="0"/>
            <w:szCs w:val="21"/>
          </w:rPr>
          <w:t>6.3</w:t>
        </w:r>
        <w:r>
          <w:rPr>
            <w:rFonts w:ascii="Calibri" w:hAnsi="Calibri" w:cs="Arial"/>
            <w:szCs w:val="22"/>
          </w:rPr>
          <w:tab/>
        </w:r>
        <w:r>
          <w:rPr>
            <w:rFonts w:hint="eastAsia"/>
            <w:szCs w:val="21"/>
          </w:rPr>
          <w:t>关于重试机制</w:t>
        </w:r>
        <w:r>
          <w:rPr>
            <w:szCs w:val="21"/>
          </w:rPr>
          <w:tab/>
        </w:r>
        <w:r>
          <w:rPr>
            <w:rStyle w:val="Hyperlink"/>
            <w:color w:val="auto"/>
            <w:szCs w:val="21"/>
          </w:rPr>
          <w:fldChar w:fldCharType="begin"/>
        </w:r>
        <w:r>
          <w:rPr>
            <w:rStyle w:val="Hyperlink"/>
            <w:color w:val="auto"/>
            <w:szCs w:val="21"/>
          </w:rPr>
          <w:instrText xml:space="preserve"> PAGEREF _Toc126335216 \h </w:instrText>
        </w:r>
        <w:r>
          <w:rPr>
            <w:rStyle w:val="Hyperlink"/>
            <w:color w:val="auto"/>
            <w:szCs w:val="21"/>
          </w:rPr>
          <w:fldChar w:fldCharType="separate"/>
        </w:r>
        <w:r>
          <w:rPr>
            <w:szCs w:val="21"/>
          </w:rPr>
          <w:t>27</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217" w:history="1">
        <w:r>
          <w:rPr>
            <w:szCs w:val="21"/>
          </w:rPr>
          <w:t>7</w:t>
        </w:r>
        <w:r>
          <w:rPr>
            <w:rFonts w:ascii="Calibri" w:hAnsi="Calibri" w:cs="Arial"/>
            <w:szCs w:val="22"/>
          </w:rPr>
          <w:tab/>
        </w:r>
        <w:r>
          <w:rPr>
            <w:rFonts w:hint="eastAsia"/>
            <w:szCs w:val="21"/>
          </w:rPr>
          <w:t>附录</w:t>
        </w:r>
        <w:r>
          <w:rPr>
            <w:szCs w:val="21"/>
          </w:rPr>
          <w:tab/>
        </w:r>
        <w:r>
          <w:rPr>
            <w:rStyle w:val="Hyperlink"/>
            <w:color w:val="auto"/>
            <w:szCs w:val="21"/>
          </w:rPr>
          <w:fldChar w:fldCharType="begin"/>
        </w:r>
        <w:r>
          <w:rPr>
            <w:rStyle w:val="Hyperlink"/>
            <w:color w:val="auto"/>
            <w:szCs w:val="21"/>
          </w:rPr>
          <w:instrText xml:space="preserve"> PAGEREF _Toc126335217 \h </w:instrText>
        </w:r>
        <w:r>
          <w:rPr>
            <w:rStyle w:val="Hyperlink"/>
            <w:color w:val="auto"/>
            <w:szCs w:val="21"/>
          </w:rPr>
          <w:fldChar w:fldCharType="separate"/>
        </w:r>
        <w:r>
          <w:rPr>
            <w:szCs w:val="21"/>
          </w:rPr>
          <w:t>28</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18" w:history="1">
        <w:r>
          <w:rPr>
            <w:snapToGrid w:val="0"/>
            <w:kern w:val="0"/>
            <w:szCs w:val="21"/>
          </w:rPr>
          <w:t>7.1</w:t>
        </w:r>
        <w:r>
          <w:rPr>
            <w:rFonts w:ascii="Calibri" w:hAnsi="Calibri" w:cs="Arial"/>
            <w:szCs w:val="22"/>
          </w:rPr>
          <w:tab/>
        </w:r>
        <w:r>
          <w:rPr>
            <w:rFonts w:hint="eastAsia"/>
            <w:szCs w:val="21"/>
          </w:rPr>
          <w:t>附录</w:t>
        </w:r>
        <w:r>
          <w:rPr>
            <w:szCs w:val="21"/>
          </w:rPr>
          <w:t>1</w:t>
          <w:tab/>
        </w:r>
        <w:r>
          <w:rPr>
            <w:rStyle w:val="Hyperlink"/>
            <w:color w:val="auto"/>
            <w:szCs w:val="21"/>
          </w:rPr>
          <w:fldChar w:fldCharType="begin"/>
        </w:r>
        <w:r>
          <w:rPr>
            <w:rStyle w:val="Hyperlink"/>
            <w:color w:val="auto"/>
            <w:szCs w:val="21"/>
          </w:rPr>
          <w:instrText xml:space="preserve"> PAGEREF _Toc126335218 \h </w:instrText>
        </w:r>
        <w:r>
          <w:rPr>
            <w:rStyle w:val="Hyperlink"/>
            <w:color w:val="auto"/>
            <w:szCs w:val="21"/>
          </w:rPr>
          <w:fldChar w:fldCharType="separate"/>
        </w:r>
        <w:r>
          <w:rPr>
            <w:szCs w:val="21"/>
          </w:rPr>
          <w:t>28</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19" w:history="1">
        <w:r>
          <w:rPr>
            <w:szCs w:val="21"/>
          </w:rPr>
          <w:t>7.1.1</w:t>
        </w:r>
        <w:r>
          <w:rPr>
            <w:rFonts w:ascii="Calibri" w:hAnsi="Calibri" w:cs="Arial"/>
            <w:szCs w:val="22"/>
          </w:rPr>
          <w:tab/>
        </w:r>
        <w:r>
          <w:rPr>
            <w:rFonts w:hint="eastAsia"/>
            <w:szCs w:val="21"/>
          </w:rPr>
          <w:t>注册入网设备数据模型</w:t>
        </w:r>
        <w:r>
          <w:rPr>
            <w:szCs w:val="21"/>
          </w:rPr>
          <w:tab/>
        </w:r>
        <w:r>
          <w:rPr>
            <w:rStyle w:val="Hyperlink"/>
            <w:color w:val="auto"/>
            <w:szCs w:val="21"/>
          </w:rPr>
          <w:fldChar w:fldCharType="begin"/>
        </w:r>
        <w:r>
          <w:rPr>
            <w:rStyle w:val="Hyperlink"/>
            <w:color w:val="auto"/>
            <w:szCs w:val="21"/>
          </w:rPr>
          <w:instrText xml:space="preserve"> PAGEREF _Toc126335219 \h </w:instrText>
        </w:r>
        <w:r>
          <w:rPr>
            <w:rStyle w:val="Hyperlink"/>
            <w:color w:val="auto"/>
            <w:szCs w:val="21"/>
          </w:rPr>
          <w:fldChar w:fldCharType="separate"/>
        </w:r>
        <w:r>
          <w:rPr>
            <w:szCs w:val="21"/>
          </w:rPr>
          <w:t>28</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0" w:history="1">
        <w:r>
          <w:rPr>
            <w:szCs w:val="21"/>
          </w:rPr>
          <w:t>7.1.2</w:t>
        </w:r>
        <w:r>
          <w:rPr>
            <w:rFonts w:ascii="Calibri" w:hAnsi="Calibri" w:cs="Arial"/>
            <w:szCs w:val="22"/>
          </w:rPr>
          <w:tab/>
        </w:r>
        <w:r>
          <w:rPr>
            <w:rFonts w:hint="eastAsia"/>
            <w:szCs w:val="21"/>
          </w:rPr>
          <w:t>入网设备注册结果模型</w:t>
        </w:r>
        <w:r>
          <w:rPr>
            <w:szCs w:val="21"/>
          </w:rPr>
          <w:tab/>
        </w:r>
        <w:r>
          <w:rPr>
            <w:rStyle w:val="Hyperlink"/>
            <w:color w:val="auto"/>
            <w:szCs w:val="21"/>
          </w:rPr>
          <w:fldChar w:fldCharType="begin"/>
        </w:r>
        <w:r>
          <w:rPr>
            <w:rStyle w:val="Hyperlink"/>
            <w:color w:val="auto"/>
            <w:szCs w:val="21"/>
          </w:rPr>
          <w:instrText xml:space="preserve"> PAGEREF _Toc126335220 \h </w:instrText>
        </w:r>
        <w:r>
          <w:rPr>
            <w:rStyle w:val="Hyperlink"/>
            <w:color w:val="auto"/>
            <w:szCs w:val="21"/>
          </w:rPr>
          <w:fldChar w:fldCharType="separate"/>
        </w:r>
        <w:r>
          <w:rPr>
            <w:szCs w:val="21"/>
          </w:rPr>
          <w:t>28</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1" w:history="1">
        <w:r>
          <w:rPr>
            <w:szCs w:val="21"/>
          </w:rPr>
          <w:t>7.1.3</w:t>
        </w:r>
        <w:r>
          <w:rPr>
            <w:rFonts w:ascii="Calibri" w:hAnsi="Calibri" w:cs="Arial"/>
            <w:szCs w:val="22"/>
          </w:rPr>
          <w:tab/>
        </w:r>
        <w:r>
          <w:rPr>
            <w:rFonts w:hint="eastAsia"/>
            <w:szCs w:val="21"/>
          </w:rPr>
          <w:t>辐射探测设备数据模型</w:t>
        </w:r>
        <w:r>
          <w:rPr>
            <w:szCs w:val="21"/>
          </w:rPr>
          <w:tab/>
        </w:r>
        <w:r>
          <w:rPr>
            <w:rStyle w:val="Hyperlink"/>
            <w:color w:val="auto"/>
            <w:szCs w:val="21"/>
          </w:rPr>
          <w:fldChar w:fldCharType="begin"/>
        </w:r>
        <w:r>
          <w:rPr>
            <w:rStyle w:val="Hyperlink"/>
            <w:color w:val="auto"/>
            <w:szCs w:val="21"/>
          </w:rPr>
          <w:instrText xml:space="preserve"> PAGEREF _Toc126335221 \h </w:instrText>
        </w:r>
        <w:r>
          <w:rPr>
            <w:rStyle w:val="Hyperlink"/>
            <w:color w:val="auto"/>
            <w:szCs w:val="21"/>
          </w:rPr>
          <w:fldChar w:fldCharType="separate"/>
        </w:r>
        <w:r>
          <w:rPr>
            <w:szCs w:val="21"/>
          </w:rPr>
          <w:t>28</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2" w:history="1">
        <w:r>
          <w:rPr>
            <w:szCs w:val="21"/>
          </w:rPr>
          <w:t>7.1.4</w:t>
        </w:r>
        <w:r>
          <w:rPr>
            <w:rFonts w:ascii="Calibri" w:hAnsi="Calibri" w:cs="Arial"/>
            <w:szCs w:val="22"/>
          </w:rPr>
          <w:tab/>
        </w:r>
        <w:r>
          <w:rPr>
            <w:rFonts w:hint="eastAsia"/>
            <w:szCs w:val="21"/>
          </w:rPr>
          <w:t>辐射探测设备状态数据模型</w:t>
        </w:r>
        <w:r>
          <w:rPr>
            <w:szCs w:val="21"/>
          </w:rPr>
          <w:tab/>
        </w:r>
        <w:r>
          <w:rPr>
            <w:rStyle w:val="Hyperlink"/>
            <w:color w:val="auto"/>
            <w:szCs w:val="21"/>
          </w:rPr>
          <w:fldChar w:fldCharType="begin"/>
        </w:r>
        <w:r>
          <w:rPr>
            <w:rStyle w:val="Hyperlink"/>
            <w:color w:val="auto"/>
            <w:szCs w:val="21"/>
          </w:rPr>
          <w:instrText xml:space="preserve"> PAGEREF _Toc126335222 \h </w:instrText>
        </w:r>
        <w:r>
          <w:rPr>
            <w:rStyle w:val="Hyperlink"/>
            <w:color w:val="auto"/>
            <w:szCs w:val="21"/>
          </w:rPr>
          <w:fldChar w:fldCharType="separate"/>
        </w:r>
        <w:r>
          <w:rPr>
            <w:szCs w:val="21"/>
          </w:rPr>
          <w:t>28</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3" w:history="1">
        <w:r>
          <w:rPr>
            <w:szCs w:val="21"/>
          </w:rPr>
          <w:t>7.1.5</w:t>
        </w:r>
        <w:r>
          <w:rPr>
            <w:rFonts w:ascii="Calibri" w:hAnsi="Calibri" w:cs="Arial"/>
            <w:szCs w:val="22"/>
          </w:rPr>
          <w:tab/>
        </w:r>
        <w:r>
          <w:rPr>
            <w:rFonts w:hint="eastAsia"/>
            <w:szCs w:val="21"/>
          </w:rPr>
          <w:t>探测记录数据模型</w:t>
        </w:r>
        <w:r>
          <w:rPr>
            <w:szCs w:val="21"/>
          </w:rPr>
          <w:tab/>
        </w:r>
        <w:r>
          <w:rPr>
            <w:rStyle w:val="Hyperlink"/>
            <w:color w:val="auto"/>
            <w:szCs w:val="21"/>
          </w:rPr>
          <w:fldChar w:fldCharType="begin"/>
        </w:r>
        <w:r>
          <w:rPr>
            <w:rStyle w:val="Hyperlink"/>
            <w:color w:val="auto"/>
            <w:szCs w:val="21"/>
          </w:rPr>
          <w:instrText xml:space="preserve"> PAGEREF _Toc126335223 \h </w:instrText>
        </w:r>
        <w:r>
          <w:rPr>
            <w:rStyle w:val="Hyperlink"/>
            <w:color w:val="auto"/>
            <w:szCs w:val="21"/>
          </w:rPr>
          <w:fldChar w:fldCharType="separate"/>
        </w:r>
        <w:r>
          <w:rPr>
            <w:szCs w:val="21"/>
          </w:rPr>
          <w:t>29</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4" w:history="1">
        <w:r>
          <w:rPr>
            <w:szCs w:val="21"/>
          </w:rPr>
          <w:t>7.1.6</w:t>
        </w:r>
        <w:r>
          <w:rPr>
            <w:rFonts w:ascii="Calibri" w:hAnsi="Calibri" w:cs="Arial"/>
            <w:szCs w:val="22"/>
          </w:rPr>
          <w:tab/>
        </w:r>
        <w:r>
          <w:rPr>
            <w:rFonts w:hint="eastAsia"/>
            <w:szCs w:val="21"/>
          </w:rPr>
          <w:t>探测数据模型</w:t>
        </w:r>
        <w:r>
          <w:rPr>
            <w:szCs w:val="21"/>
          </w:rPr>
          <w:tab/>
        </w:r>
        <w:r>
          <w:rPr>
            <w:rStyle w:val="Hyperlink"/>
            <w:color w:val="auto"/>
            <w:szCs w:val="21"/>
          </w:rPr>
          <w:fldChar w:fldCharType="begin"/>
        </w:r>
        <w:r>
          <w:rPr>
            <w:rStyle w:val="Hyperlink"/>
            <w:color w:val="auto"/>
            <w:szCs w:val="21"/>
          </w:rPr>
          <w:instrText xml:space="preserve"> PAGEREF _Toc126335224 \h </w:instrText>
        </w:r>
        <w:r>
          <w:rPr>
            <w:rStyle w:val="Hyperlink"/>
            <w:color w:val="auto"/>
            <w:szCs w:val="21"/>
          </w:rPr>
          <w:fldChar w:fldCharType="separate"/>
        </w:r>
        <w:r>
          <w:rPr>
            <w:szCs w:val="21"/>
          </w:rPr>
          <w:t>29</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5" w:history="1">
        <w:r>
          <w:rPr>
            <w:szCs w:val="21"/>
          </w:rPr>
          <w:t>7.1.7</w:t>
        </w:r>
        <w:r>
          <w:rPr>
            <w:rFonts w:ascii="Calibri" w:hAnsi="Calibri" w:cs="Arial"/>
            <w:szCs w:val="22"/>
          </w:rPr>
          <w:tab/>
        </w:r>
        <w:r>
          <w:rPr>
            <w:rFonts w:hint="eastAsia"/>
            <w:szCs w:val="21"/>
          </w:rPr>
          <w:t>中子探测数据模型</w:t>
        </w:r>
        <w:r>
          <w:rPr>
            <w:szCs w:val="21"/>
          </w:rPr>
          <w:tab/>
        </w:r>
        <w:r>
          <w:rPr>
            <w:rStyle w:val="Hyperlink"/>
            <w:color w:val="auto"/>
            <w:szCs w:val="21"/>
          </w:rPr>
          <w:fldChar w:fldCharType="begin"/>
        </w:r>
        <w:r>
          <w:rPr>
            <w:rStyle w:val="Hyperlink"/>
            <w:color w:val="auto"/>
            <w:szCs w:val="21"/>
          </w:rPr>
          <w:instrText xml:space="preserve"> PAGEREF _Toc126335225 \h </w:instrText>
        </w:r>
        <w:r>
          <w:rPr>
            <w:rStyle w:val="Hyperlink"/>
            <w:color w:val="auto"/>
            <w:szCs w:val="21"/>
          </w:rPr>
          <w:fldChar w:fldCharType="separate"/>
        </w:r>
        <w:r>
          <w:rPr>
            <w:szCs w:val="21"/>
          </w:rPr>
          <w:t>30</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6" w:history="1">
        <w:r>
          <w:rPr>
            <w:szCs w:val="21"/>
          </w:rPr>
          <w:t>7.1.8</w:t>
        </w:r>
        <w:r>
          <w:rPr>
            <w:rFonts w:ascii="Calibri" w:hAnsi="Calibri" w:cs="Arial"/>
            <w:szCs w:val="22"/>
          </w:rPr>
          <w:tab/>
        </w:r>
        <w:r>
          <w:rPr>
            <w:rFonts w:hint="eastAsia"/>
            <w:szCs w:val="21"/>
          </w:rPr>
          <w:t>伽马探测数据模型</w:t>
        </w:r>
        <w:r>
          <w:rPr>
            <w:szCs w:val="21"/>
          </w:rPr>
          <w:tab/>
        </w:r>
        <w:r>
          <w:rPr>
            <w:rStyle w:val="Hyperlink"/>
            <w:color w:val="auto"/>
            <w:szCs w:val="21"/>
          </w:rPr>
          <w:fldChar w:fldCharType="begin"/>
        </w:r>
        <w:r>
          <w:rPr>
            <w:rStyle w:val="Hyperlink"/>
            <w:color w:val="auto"/>
            <w:szCs w:val="21"/>
          </w:rPr>
          <w:instrText xml:space="preserve"> PAGEREF _Toc126335226 \h </w:instrText>
        </w:r>
        <w:r>
          <w:rPr>
            <w:rStyle w:val="Hyperlink"/>
            <w:color w:val="auto"/>
            <w:szCs w:val="21"/>
          </w:rPr>
          <w:fldChar w:fldCharType="separate"/>
        </w:r>
        <w:r>
          <w:rPr>
            <w:szCs w:val="21"/>
          </w:rPr>
          <w:t>30</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7" w:history="1">
        <w:r>
          <w:rPr>
            <w:szCs w:val="21"/>
          </w:rPr>
          <w:t>7.1.9</w:t>
        </w:r>
        <w:r>
          <w:rPr>
            <w:rFonts w:ascii="Calibri" w:hAnsi="Calibri" w:cs="Arial"/>
            <w:szCs w:val="22"/>
          </w:rPr>
          <w:tab/>
        </w:r>
        <w:r>
          <w:rPr>
            <w:rFonts w:hint="eastAsia"/>
            <w:szCs w:val="21"/>
          </w:rPr>
          <w:t>探测器数据模型</w:t>
        </w:r>
        <w:r>
          <w:rPr>
            <w:szCs w:val="21"/>
          </w:rPr>
          <w:tab/>
        </w:r>
        <w:r>
          <w:rPr>
            <w:rStyle w:val="Hyperlink"/>
            <w:color w:val="auto"/>
            <w:szCs w:val="21"/>
          </w:rPr>
          <w:fldChar w:fldCharType="begin"/>
        </w:r>
        <w:r>
          <w:rPr>
            <w:rStyle w:val="Hyperlink"/>
            <w:color w:val="auto"/>
            <w:szCs w:val="21"/>
          </w:rPr>
          <w:instrText xml:space="preserve"> PAGEREF _Toc126335227 \h </w:instrText>
        </w:r>
        <w:r>
          <w:rPr>
            <w:rStyle w:val="Hyperlink"/>
            <w:color w:val="auto"/>
            <w:szCs w:val="21"/>
          </w:rPr>
          <w:fldChar w:fldCharType="separate"/>
        </w:r>
        <w:r>
          <w:rPr>
            <w:szCs w:val="21"/>
          </w:rPr>
          <w:t>30</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8" w:history="1">
        <w:r>
          <w:rPr>
            <w:szCs w:val="21"/>
          </w:rPr>
          <w:t>7.1.10</w:t>
        </w:r>
        <w:r>
          <w:rPr>
            <w:rFonts w:ascii="Calibri" w:hAnsi="Calibri" w:cs="Arial"/>
            <w:szCs w:val="22"/>
          </w:rPr>
          <w:tab/>
        </w:r>
        <w:r>
          <w:rPr>
            <w:rFonts w:hint="eastAsia"/>
            <w:szCs w:val="21"/>
          </w:rPr>
          <w:t>探测器参数数据模型</w:t>
        </w:r>
        <w:r>
          <w:rPr>
            <w:szCs w:val="21"/>
          </w:rPr>
          <w:tab/>
        </w:r>
        <w:r>
          <w:rPr>
            <w:rStyle w:val="Hyperlink"/>
            <w:color w:val="auto"/>
            <w:szCs w:val="21"/>
          </w:rPr>
          <w:fldChar w:fldCharType="begin"/>
        </w:r>
        <w:r>
          <w:rPr>
            <w:rStyle w:val="Hyperlink"/>
            <w:color w:val="auto"/>
            <w:szCs w:val="21"/>
          </w:rPr>
          <w:instrText xml:space="preserve"> PAGEREF _Toc126335228 \h </w:instrText>
        </w:r>
        <w:r>
          <w:rPr>
            <w:rStyle w:val="Hyperlink"/>
            <w:color w:val="auto"/>
            <w:szCs w:val="21"/>
          </w:rPr>
          <w:fldChar w:fldCharType="separate"/>
        </w:r>
        <w:r>
          <w:rPr>
            <w:szCs w:val="21"/>
          </w:rPr>
          <w:t>30</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29" w:history="1">
        <w:r>
          <w:rPr>
            <w:szCs w:val="21"/>
          </w:rPr>
          <w:t>7.1.11</w:t>
        </w:r>
        <w:r>
          <w:rPr>
            <w:rFonts w:ascii="Calibri" w:hAnsi="Calibri" w:cs="Arial"/>
            <w:szCs w:val="22"/>
          </w:rPr>
          <w:tab/>
        </w:r>
        <w:r>
          <w:rPr>
            <w:rFonts w:hint="eastAsia"/>
            <w:szCs w:val="21"/>
          </w:rPr>
          <w:t>核素数据模型</w:t>
        </w:r>
        <w:r>
          <w:rPr>
            <w:szCs w:val="21"/>
          </w:rPr>
          <w:tab/>
        </w:r>
        <w:r>
          <w:rPr>
            <w:rStyle w:val="Hyperlink"/>
            <w:color w:val="auto"/>
            <w:szCs w:val="21"/>
          </w:rPr>
          <w:fldChar w:fldCharType="begin"/>
        </w:r>
        <w:r>
          <w:rPr>
            <w:rStyle w:val="Hyperlink"/>
            <w:color w:val="auto"/>
            <w:szCs w:val="21"/>
          </w:rPr>
          <w:instrText xml:space="preserve"> PAGEREF _Toc126335229 \h </w:instrText>
        </w:r>
        <w:r>
          <w:rPr>
            <w:rStyle w:val="Hyperlink"/>
            <w:color w:val="auto"/>
            <w:szCs w:val="21"/>
          </w:rPr>
          <w:fldChar w:fldCharType="separate"/>
        </w:r>
        <w:r>
          <w:rPr>
            <w:szCs w:val="21"/>
          </w:rPr>
          <w:t>30</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30" w:history="1">
        <w:r>
          <w:rPr>
            <w:szCs w:val="21"/>
          </w:rPr>
          <w:t>7.1.12</w:t>
        </w:r>
        <w:r>
          <w:rPr>
            <w:rFonts w:ascii="Calibri" w:hAnsi="Calibri" w:cs="Arial"/>
            <w:szCs w:val="22"/>
          </w:rPr>
          <w:tab/>
        </w:r>
        <w:r>
          <w:rPr>
            <w:rFonts w:hint="eastAsia"/>
            <w:szCs w:val="21"/>
          </w:rPr>
          <w:t>计数率或剂量率数据模型</w:t>
        </w:r>
        <w:r>
          <w:rPr>
            <w:szCs w:val="21"/>
          </w:rPr>
          <w:tab/>
        </w:r>
        <w:r>
          <w:rPr>
            <w:rStyle w:val="Hyperlink"/>
            <w:color w:val="auto"/>
            <w:szCs w:val="21"/>
          </w:rPr>
          <w:fldChar w:fldCharType="begin"/>
        </w:r>
        <w:r>
          <w:rPr>
            <w:rStyle w:val="Hyperlink"/>
            <w:color w:val="auto"/>
            <w:szCs w:val="21"/>
          </w:rPr>
          <w:instrText xml:space="preserve"> PAGEREF _Toc126335230 \h </w:instrText>
        </w:r>
        <w:r>
          <w:rPr>
            <w:rStyle w:val="Hyperlink"/>
            <w:color w:val="auto"/>
            <w:szCs w:val="21"/>
          </w:rPr>
          <w:fldChar w:fldCharType="separate"/>
        </w:r>
        <w:r>
          <w:rPr>
            <w:szCs w:val="21"/>
          </w:rPr>
          <w:t>31</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31" w:history="1">
        <w:r>
          <w:rPr>
            <w:szCs w:val="21"/>
          </w:rPr>
          <w:t>7.1.13</w:t>
        </w:r>
        <w:r>
          <w:rPr>
            <w:rFonts w:ascii="Calibri" w:hAnsi="Calibri" w:cs="Arial"/>
            <w:szCs w:val="22"/>
          </w:rPr>
          <w:tab/>
        </w:r>
        <w:r>
          <w:rPr>
            <w:rFonts w:hint="eastAsia"/>
            <w:szCs w:val="21"/>
          </w:rPr>
          <w:t>分探测器数据模型</w:t>
        </w:r>
        <w:r>
          <w:rPr>
            <w:szCs w:val="21"/>
          </w:rPr>
          <w:tab/>
        </w:r>
        <w:r>
          <w:rPr>
            <w:rStyle w:val="Hyperlink"/>
            <w:color w:val="auto"/>
            <w:szCs w:val="21"/>
          </w:rPr>
          <w:fldChar w:fldCharType="begin"/>
        </w:r>
        <w:r>
          <w:rPr>
            <w:rStyle w:val="Hyperlink"/>
            <w:color w:val="auto"/>
            <w:szCs w:val="21"/>
          </w:rPr>
          <w:instrText xml:space="preserve"> PAGEREF _Toc126335231 \h </w:instrText>
        </w:r>
        <w:r>
          <w:rPr>
            <w:rStyle w:val="Hyperlink"/>
            <w:color w:val="auto"/>
            <w:szCs w:val="21"/>
          </w:rPr>
          <w:fldChar w:fldCharType="separate"/>
        </w:r>
        <w:r>
          <w:rPr>
            <w:szCs w:val="21"/>
          </w:rPr>
          <w:t>31</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32" w:history="1">
        <w:r>
          <w:rPr>
            <w:szCs w:val="21"/>
          </w:rPr>
          <w:t>7.1.14</w:t>
        </w:r>
        <w:r>
          <w:rPr>
            <w:rFonts w:ascii="Calibri" w:hAnsi="Calibri" w:cs="Arial"/>
            <w:szCs w:val="22"/>
          </w:rPr>
          <w:tab/>
        </w:r>
        <w:r>
          <w:rPr>
            <w:rFonts w:hint="eastAsia"/>
            <w:szCs w:val="21"/>
          </w:rPr>
          <w:t>修改辐射探测设备运行参数</w:t>
        </w:r>
        <w:r>
          <w:rPr>
            <w:szCs w:val="21"/>
          </w:rPr>
          <w:tab/>
        </w:r>
        <w:r>
          <w:rPr>
            <w:rStyle w:val="Hyperlink"/>
            <w:color w:val="auto"/>
            <w:szCs w:val="21"/>
          </w:rPr>
          <w:fldChar w:fldCharType="begin"/>
        </w:r>
        <w:r>
          <w:rPr>
            <w:rStyle w:val="Hyperlink"/>
            <w:color w:val="auto"/>
            <w:szCs w:val="21"/>
          </w:rPr>
          <w:instrText xml:space="preserve"> PAGEREF _Toc126335232 \h </w:instrText>
        </w:r>
        <w:r>
          <w:rPr>
            <w:rStyle w:val="Hyperlink"/>
            <w:color w:val="auto"/>
            <w:szCs w:val="21"/>
          </w:rPr>
          <w:fldChar w:fldCharType="separate"/>
        </w:r>
        <w:r>
          <w:rPr>
            <w:szCs w:val="21"/>
          </w:rPr>
          <w:t>31</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33" w:history="1">
        <w:r>
          <w:rPr>
            <w:szCs w:val="21"/>
          </w:rPr>
          <w:t>7.1.15</w:t>
        </w:r>
        <w:r>
          <w:rPr>
            <w:rFonts w:ascii="Calibri" w:hAnsi="Calibri" w:cs="Arial"/>
            <w:szCs w:val="22"/>
          </w:rPr>
          <w:tab/>
        </w:r>
        <w:r>
          <w:rPr>
            <w:rFonts w:hint="eastAsia"/>
            <w:szCs w:val="21"/>
          </w:rPr>
          <w:t>非结构化数据模型</w:t>
        </w:r>
        <w:r>
          <w:rPr>
            <w:szCs w:val="21"/>
          </w:rPr>
          <w:tab/>
        </w:r>
        <w:r>
          <w:rPr>
            <w:rStyle w:val="Hyperlink"/>
            <w:color w:val="auto"/>
            <w:szCs w:val="21"/>
          </w:rPr>
          <w:fldChar w:fldCharType="begin"/>
        </w:r>
        <w:r>
          <w:rPr>
            <w:rStyle w:val="Hyperlink"/>
            <w:color w:val="auto"/>
            <w:szCs w:val="21"/>
          </w:rPr>
          <w:instrText xml:space="preserve"> PAGEREF _Toc126335233 \h </w:instrText>
        </w:r>
        <w:r>
          <w:rPr>
            <w:rStyle w:val="Hyperlink"/>
            <w:color w:val="auto"/>
            <w:szCs w:val="21"/>
          </w:rPr>
          <w:fldChar w:fldCharType="separate"/>
        </w:r>
        <w:r>
          <w:rPr>
            <w:szCs w:val="21"/>
          </w:rPr>
          <w:t>31</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34" w:history="1">
        <w:r>
          <w:rPr>
            <w:szCs w:val="21"/>
          </w:rPr>
          <w:t>7.1.16</w:t>
        </w:r>
        <w:r>
          <w:rPr>
            <w:rFonts w:ascii="Calibri" w:hAnsi="Calibri" w:cs="Arial"/>
            <w:szCs w:val="22"/>
          </w:rPr>
          <w:tab/>
        </w:r>
        <w:r>
          <w:rPr>
            <w:rFonts w:hint="eastAsia"/>
            <w:szCs w:val="21"/>
          </w:rPr>
          <w:t>报警信息模型</w:t>
        </w:r>
        <w:r>
          <w:rPr>
            <w:szCs w:val="21"/>
          </w:rPr>
          <w:tab/>
        </w:r>
        <w:r>
          <w:rPr>
            <w:rStyle w:val="Hyperlink"/>
            <w:color w:val="auto"/>
            <w:szCs w:val="21"/>
          </w:rPr>
          <w:fldChar w:fldCharType="begin"/>
        </w:r>
        <w:r>
          <w:rPr>
            <w:rStyle w:val="Hyperlink"/>
            <w:color w:val="auto"/>
            <w:szCs w:val="21"/>
          </w:rPr>
          <w:instrText xml:space="preserve"> PAGEREF _Toc126335234 \h </w:instrText>
        </w:r>
        <w:r>
          <w:rPr>
            <w:rStyle w:val="Hyperlink"/>
            <w:color w:val="auto"/>
            <w:szCs w:val="21"/>
          </w:rPr>
          <w:fldChar w:fldCharType="separate"/>
        </w:r>
        <w:r>
          <w:rPr>
            <w:szCs w:val="21"/>
          </w:rPr>
          <w:t>33</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35" w:history="1">
        <w:r>
          <w:rPr>
            <w:szCs w:val="21"/>
          </w:rPr>
          <w:t>7.1.17</w:t>
        </w:r>
        <w:r>
          <w:rPr>
            <w:rFonts w:ascii="Calibri" w:hAnsi="Calibri" w:cs="Arial"/>
            <w:szCs w:val="22"/>
          </w:rPr>
          <w:tab/>
        </w:r>
        <w:r>
          <w:rPr>
            <w:rFonts w:hint="eastAsia"/>
            <w:szCs w:val="21"/>
          </w:rPr>
          <w:t>集装箱信息模型</w:t>
        </w:r>
        <w:r>
          <w:rPr>
            <w:szCs w:val="21"/>
          </w:rPr>
          <w:tab/>
        </w:r>
        <w:r>
          <w:rPr>
            <w:rStyle w:val="Hyperlink"/>
            <w:color w:val="auto"/>
            <w:szCs w:val="21"/>
          </w:rPr>
          <w:fldChar w:fldCharType="begin"/>
        </w:r>
        <w:r>
          <w:rPr>
            <w:rStyle w:val="Hyperlink"/>
            <w:color w:val="auto"/>
            <w:szCs w:val="21"/>
          </w:rPr>
          <w:instrText xml:space="preserve"> PAGEREF _Toc126335235 \h </w:instrText>
        </w:r>
        <w:r>
          <w:rPr>
            <w:rStyle w:val="Hyperlink"/>
            <w:color w:val="auto"/>
            <w:szCs w:val="21"/>
          </w:rPr>
          <w:fldChar w:fldCharType="separate"/>
        </w:r>
        <w:r>
          <w:rPr>
            <w:szCs w:val="21"/>
          </w:rPr>
          <w:t>33</w:t>
        </w:r>
        <w:r>
          <w:rPr>
            <w:rStyle w:val="Hyperlink"/>
            <w:color w:val="auto"/>
            <w:szCs w:val="21"/>
          </w:rPr>
          <w:fldChar w:fldCharType="end"/>
        </w:r>
      </w:hyperlink>
    </w:p>
    <w:p>
      <w:pPr>
        <w:pStyle w:val="TOC3"/>
        <w:tabs>
          <w:tab w:val="left" w:pos="1260"/>
          <w:tab w:val="right" w:leader="dot" w:pos="8390"/>
        </w:tabs>
        <w:autoSpaceDN w:val="0"/>
        <w:rPr>
          <w:rFonts w:ascii="Calibri" w:hAnsi="Calibri" w:cs="Arial"/>
          <w:szCs w:val="22"/>
        </w:rPr>
      </w:pPr>
      <w:hyperlink w:anchor="_Toc126335236" w:history="1">
        <w:r>
          <w:rPr>
            <w:szCs w:val="21"/>
          </w:rPr>
          <w:t>7.1.18</w:t>
        </w:r>
        <w:r>
          <w:rPr>
            <w:rFonts w:ascii="Calibri" w:hAnsi="Calibri" w:cs="Arial"/>
            <w:szCs w:val="22"/>
          </w:rPr>
          <w:tab/>
        </w:r>
        <w:r>
          <w:rPr>
            <w:rFonts w:hint="eastAsia"/>
            <w:szCs w:val="21"/>
          </w:rPr>
          <w:t>设备状态模型</w:t>
        </w:r>
        <w:r>
          <w:rPr>
            <w:szCs w:val="21"/>
          </w:rPr>
          <w:tab/>
        </w:r>
        <w:r>
          <w:rPr>
            <w:rStyle w:val="Hyperlink"/>
            <w:color w:val="auto"/>
            <w:szCs w:val="21"/>
          </w:rPr>
          <w:fldChar w:fldCharType="begin"/>
        </w:r>
        <w:r>
          <w:rPr>
            <w:rStyle w:val="Hyperlink"/>
            <w:color w:val="auto"/>
            <w:szCs w:val="21"/>
          </w:rPr>
          <w:instrText xml:space="preserve"> PAGEREF _Toc126335236 \h </w:instrText>
        </w:r>
        <w:r>
          <w:rPr>
            <w:rStyle w:val="Hyperlink"/>
            <w:color w:val="auto"/>
            <w:szCs w:val="21"/>
          </w:rPr>
          <w:fldChar w:fldCharType="separate"/>
        </w:r>
        <w:r>
          <w:rPr>
            <w:szCs w:val="21"/>
          </w:rPr>
          <w:t>33</w:t>
        </w:r>
        <w:r>
          <w:rPr>
            <w:rStyle w:val="Hyperlink"/>
            <w:color w:val="auto"/>
            <w:szCs w:val="21"/>
          </w:rPr>
          <w:fldChar w:fldCharType="end"/>
        </w:r>
      </w:hyperlink>
    </w:p>
    <w:p>
      <w:pPr>
        <w:pStyle w:val="TOC1"/>
        <w:tabs>
          <w:tab w:val="left" w:pos="420"/>
          <w:tab w:val="right" w:leader="dot" w:pos="8390"/>
        </w:tabs>
        <w:autoSpaceDN w:val="0"/>
        <w:rPr>
          <w:rFonts w:ascii="Calibri" w:hAnsi="Calibri" w:cs="Arial"/>
          <w:szCs w:val="22"/>
        </w:rPr>
      </w:pPr>
      <w:hyperlink w:anchor="_Toc126335237" w:history="1">
        <w:r>
          <w:rPr>
            <w:szCs w:val="21"/>
          </w:rPr>
          <w:t>8</w:t>
        </w:r>
        <w:r>
          <w:rPr>
            <w:rFonts w:ascii="Calibri" w:hAnsi="Calibri" w:cs="Arial"/>
            <w:szCs w:val="22"/>
          </w:rPr>
          <w:tab/>
        </w:r>
        <w:r>
          <w:rPr>
            <w:rFonts w:hint="eastAsia"/>
            <w:szCs w:val="21"/>
          </w:rPr>
          <w:t>说明</w:t>
        </w:r>
        <w:r>
          <w:rPr>
            <w:szCs w:val="21"/>
          </w:rPr>
          <w:tab/>
        </w:r>
        <w:r>
          <w:rPr>
            <w:rStyle w:val="Hyperlink"/>
            <w:color w:val="auto"/>
            <w:szCs w:val="21"/>
          </w:rPr>
          <w:fldChar w:fldCharType="begin"/>
        </w:r>
        <w:r>
          <w:rPr>
            <w:rStyle w:val="Hyperlink"/>
            <w:color w:val="auto"/>
            <w:szCs w:val="21"/>
          </w:rPr>
          <w:instrText xml:space="preserve"> PAGEREF _Toc126335237 \h </w:instrText>
        </w:r>
        <w:r>
          <w:rPr>
            <w:rStyle w:val="Hyperlink"/>
            <w:color w:val="auto"/>
            <w:szCs w:val="21"/>
          </w:rPr>
          <w:fldChar w:fldCharType="separate"/>
        </w:r>
        <w:r>
          <w:rPr>
            <w:szCs w:val="21"/>
          </w:rPr>
          <w:t>34</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38" w:history="1">
        <w:r>
          <w:rPr>
            <w:snapToGrid w:val="0"/>
            <w:kern w:val="0"/>
            <w:szCs w:val="21"/>
          </w:rPr>
          <w:t>8.1</w:t>
        </w:r>
        <w:r>
          <w:rPr>
            <w:rFonts w:ascii="Calibri" w:hAnsi="Calibri" w:cs="Arial"/>
            <w:szCs w:val="22"/>
          </w:rPr>
          <w:tab/>
        </w:r>
        <w:r>
          <w:rPr>
            <w:rFonts w:hint="eastAsia"/>
            <w:szCs w:val="21"/>
          </w:rPr>
          <w:t>设备</w:t>
        </w:r>
        <w:r>
          <w:rPr>
            <w:szCs w:val="21"/>
          </w:rPr>
          <w:t>ID</w:t>
          <w:tab/>
        </w:r>
        <w:r>
          <w:rPr>
            <w:rStyle w:val="Hyperlink"/>
            <w:color w:val="auto"/>
            <w:szCs w:val="21"/>
          </w:rPr>
          <w:fldChar w:fldCharType="begin"/>
        </w:r>
        <w:r>
          <w:rPr>
            <w:rStyle w:val="Hyperlink"/>
            <w:color w:val="auto"/>
            <w:szCs w:val="21"/>
          </w:rPr>
          <w:instrText xml:space="preserve"> PAGEREF _Toc126335238 \h </w:instrText>
        </w:r>
        <w:r>
          <w:rPr>
            <w:rStyle w:val="Hyperlink"/>
            <w:color w:val="auto"/>
            <w:szCs w:val="21"/>
          </w:rPr>
          <w:fldChar w:fldCharType="separate"/>
        </w:r>
        <w:r>
          <w:rPr>
            <w:szCs w:val="21"/>
          </w:rPr>
          <w:t>34</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39" w:history="1">
        <w:r>
          <w:rPr>
            <w:snapToGrid w:val="0"/>
            <w:kern w:val="0"/>
            <w:szCs w:val="21"/>
          </w:rPr>
          <w:t>8.2</w:t>
        </w:r>
        <w:r>
          <w:rPr>
            <w:rFonts w:ascii="Calibri" w:hAnsi="Calibri" w:cs="Arial"/>
            <w:szCs w:val="22"/>
          </w:rPr>
          <w:tab/>
        </w:r>
        <w:r>
          <w:rPr>
            <w:rFonts w:hint="eastAsia"/>
            <w:szCs w:val="21"/>
          </w:rPr>
          <w:t>隶属关区代码</w:t>
        </w:r>
        <w:r>
          <w:rPr>
            <w:szCs w:val="21"/>
          </w:rPr>
          <w:tab/>
        </w:r>
        <w:r>
          <w:rPr>
            <w:rStyle w:val="Hyperlink"/>
            <w:color w:val="auto"/>
            <w:szCs w:val="21"/>
          </w:rPr>
          <w:fldChar w:fldCharType="begin"/>
        </w:r>
        <w:r>
          <w:rPr>
            <w:rStyle w:val="Hyperlink"/>
            <w:color w:val="auto"/>
            <w:szCs w:val="21"/>
          </w:rPr>
          <w:instrText xml:space="preserve"> PAGEREF _Toc126335239 \h </w:instrText>
        </w:r>
        <w:r>
          <w:rPr>
            <w:rStyle w:val="Hyperlink"/>
            <w:color w:val="auto"/>
            <w:szCs w:val="21"/>
          </w:rPr>
          <w:fldChar w:fldCharType="separate"/>
        </w:r>
        <w:r>
          <w:rPr>
            <w:szCs w:val="21"/>
          </w:rPr>
          <w:t>34</w:t>
        </w:r>
        <w:r>
          <w:rPr>
            <w:rStyle w:val="Hyperlink"/>
            <w:color w:val="auto"/>
            <w:szCs w:val="21"/>
          </w:rPr>
          <w:fldChar w:fldCharType="end"/>
        </w:r>
      </w:hyperlink>
    </w:p>
    <w:p>
      <w:pPr>
        <w:pStyle w:val="TOC2"/>
        <w:tabs>
          <w:tab w:val="left" w:pos="840"/>
          <w:tab w:val="right" w:leader="dot" w:pos="8390"/>
        </w:tabs>
        <w:autoSpaceDN w:val="0"/>
        <w:rPr>
          <w:rFonts w:ascii="Calibri" w:hAnsi="Calibri" w:cs="Arial"/>
          <w:szCs w:val="22"/>
        </w:rPr>
      </w:pPr>
      <w:hyperlink w:anchor="_Toc126335240" w:history="1">
        <w:r>
          <w:rPr>
            <w:snapToGrid w:val="0"/>
            <w:kern w:val="0"/>
            <w:szCs w:val="21"/>
          </w:rPr>
          <w:t>8.3</w:t>
        </w:r>
        <w:r>
          <w:rPr>
            <w:rFonts w:ascii="Calibri" w:hAnsi="Calibri" w:cs="Arial"/>
            <w:szCs w:val="22"/>
          </w:rPr>
          <w:tab/>
        </w:r>
        <w:r>
          <w:rPr>
            <w:rFonts w:hint="eastAsia"/>
            <w:szCs w:val="21"/>
          </w:rPr>
          <w:t>物流监控子系统核辐射探测应用</w:t>
        </w:r>
        <w:r>
          <w:rPr>
            <w:szCs w:val="21"/>
          </w:rPr>
          <w:tab/>
        </w:r>
        <w:r>
          <w:rPr>
            <w:rStyle w:val="Hyperlink"/>
            <w:color w:val="auto"/>
            <w:szCs w:val="21"/>
          </w:rPr>
          <w:fldChar w:fldCharType="begin"/>
        </w:r>
        <w:r>
          <w:rPr>
            <w:rStyle w:val="Hyperlink"/>
            <w:color w:val="auto"/>
            <w:szCs w:val="21"/>
          </w:rPr>
          <w:instrText xml:space="preserve"> PAGEREF _Toc126335240 \h </w:instrText>
        </w:r>
        <w:r>
          <w:rPr>
            <w:rStyle w:val="Hyperlink"/>
            <w:color w:val="auto"/>
            <w:szCs w:val="21"/>
          </w:rPr>
          <w:fldChar w:fldCharType="separate"/>
        </w:r>
        <w:r>
          <w:rPr>
            <w:szCs w:val="21"/>
          </w:rPr>
          <w:t>34</w:t>
        </w:r>
        <w:r>
          <w:rPr>
            <w:rStyle w:val="Hyperlink"/>
            <w:color w:val="auto"/>
            <w:szCs w:val="21"/>
          </w:rPr>
          <w:fldChar w:fldCharType="end"/>
        </w:r>
      </w:hyperlink>
    </w:p>
    <w:p>
      <w:pPr>
        <w:autoSpaceDN w:val="0"/>
        <w:rPr>
          <w:szCs w:val="21"/>
        </w:rPr>
      </w:pPr>
      <w:r>
        <w:rPr>
          <w:szCs w:val="21"/>
        </w:rPr>
        <w:fldChar w:fldCharType="end"/>
      </w:r>
    </w:p>
    <w:p>
      <w:pPr>
        <w:widowControl/>
        <w:autoSpaceDN w:val="0"/>
        <w:jc w:val="left"/>
        <w:rPr>
          <w:szCs w:val="21"/>
        </w:rPr>
      </w:pPr>
      <w:r>
        <w:rPr>
          <w:szCs w:val="21"/>
        </w:rPr>
        <w:br w:type="page"/>
        <w:t>.</w:t>
      </w:r>
    </w:p>
    <w:p>
      <w:pPr>
        <w:autoSpaceDN w:val="0"/>
        <w:rPr>
          <w:szCs w:val="21"/>
        </w:rPr>
      </w:pPr>
    </w:p>
    <w:p>
      <w:pPr>
        <w:pStyle w:val="Heading2"/>
        <w:keepLines/>
        <w:widowControl w:val="0"/>
        <w:numPr>
          <w:ilvl w:val="0"/>
          <w:numId w:val="5"/>
        </w:numPr>
        <w:tabs>
          <w:tab w:val="left" w:pos="0"/>
        </w:tabs>
        <w:autoSpaceDN w:val="0"/>
        <w:spacing w:before="260" w:after="260" w:line="360" w:lineRule="auto"/>
        <w:ind w:left="0" w:firstLine="0"/>
        <w:jc w:val="left"/>
      </w:pPr>
      <w:bookmarkStart w:id="46" w:name="_Toc126335189"/>
      <w:r>
        <w:rPr>
          <w:rFonts w:hint="eastAsia"/>
          <w:szCs w:val="32"/>
        </w:rPr>
        <w:t>引言</w:t>
      </w:r>
      <w:bookmarkEnd w:id="46"/>
    </w:p>
    <w:p>
      <w:pPr>
        <w:pStyle w:val="Heading3"/>
        <w:keepNext/>
        <w:keepLines/>
        <w:widowControl w:val="0"/>
        <w:numPr>
          <w:ilvl w:val="1"/>
          <w:numId w:val="5"/>
        </w:numPr>
        <w:tabs>
          <w:tab w:val="left" w:pos="0"/>
        </w:tabs>
        <w:autoSpaceDN w:val="0"/>
        <w:spacing w:before="260" w:after="260" w:line="415" w:lineRule="auto"/>
        <w:ind w:left="576" w:hanging="576"/>
        <w:jc w:val="left"/>
        <w:rPr>
          <w:rFonts w:hint="eastAsia"/>
          <w:szCs w:val="30"/>
        </w:rPr>
      </w:pPr>
      <w:bookmarkStart w:id="47" w:name="_Toc126335190"/>
      <w:r>
        <w:rPr>
          <w:rFonts w:hint="eastAsia"/>
          <w:szCs w:val="30"/>
        </w:rPr>
        <w:t>系统名称</w:t>
      </w:r>
      <w:bookmarkEnd w:id="47"/>
    </w:p>
    <w:p>
      <w:pPr>
        <w:autoSpaceDN w:val="0"/>
        <w:ind w:firstLine="424" w:firstLineChars="202"/>
        <w:rPr>
          <w:szCs w:val="21"/>
        </w:rPr>
      </w:pPr>
      <w:r>
        <w:rPr>
          <w:rFonts w:hint="eastAsia"/>
          <w:szCs w:val="21"/>
        </w:rPr>
        <w:t>核辐射探测应用</w:t>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48" w:name="_Toc126335191"/>
      <w:r>
        <w:rPr>
          <w:rFonts w:hint="eastAsia"/>
          <w:szCs w:val="30"/>
        </w:rPr>
        <w:t>背景说明</w:t>
      </w:r>
      <w:bookmarkEnd w:id="48"/>
    </w:p>
    <w:p>
      <w:pPr>
        <w:pStyle w:val="PlainText"/>
        <w:autoSpaceDN w:val="0"/>
        <w:ind w:firstLine="420" w:firstLineChars="200"/>
        <w:rPr>
          <w:rFonts w:ascii="Times New Roman" w:hAnsi="Times New Roman" w:cs="Times New Roman"/>
          <w:szCs w:val="20"/>
        </w:rPr>
      </w:pPr>
      <w:r>
        <w:rPr>
          <w:rFonts w:ascii="Times New Roman" w:hAnsi="Times New Roman" w:cs="Times New Roman" w:hint="eastAsia"/>
          <w:szCs w:val="20"/>
        </w:rPr>
        <w:t>针对海关门户式辐射探测设备存在的难以集中管理，辐射探测数据汇总等问题，利用信息化手段，创新海关口岸辐射探测工作新模式，将海关门户式辐射探测设备进行联网集成，辐射探测数据接入核辐射探测应用。</w:t>
      </w:r>
    </w:p>
    <w:p>
      <w:pPr>
        <w:pStyle w:val="PlainText"/>
        <w:autoSpaceDN w:val="0"/>
        <w:ind w:firstLine="420" w:firstLineChars="200"/>
        <w:rPr>
          <w:rFonts w:ascii="Times New Roman" w:hAnsi="Times New Roman" w:cs="Times New Roman"/>
          <w:szCs w:val="20"/>
        </w:rPr>
      </w:pPr>
    </w:p>
    <w:p>
      <w:pPr>
        <w:pStyle w:val="PlainText"/>
        <w:autoSpaceDN w:val="0"/>
        <w:ind w:firstLine="420" w:firstLineChars="200"/>
      </w:pPr>
      <w:r>
        <w:rPr>
          <w:rFonts w:ascii="Times New Roman" w:hAnsi="Times New Roman" w:cs="Times New Roman" w:hint="eastAsia"/>
          <w:szCs w:val="20"/>
        </w:rPr>
        <w:t>基于本系统制定统一通讯标准，将已接</w:t>
      </w:r>
      <w:r>
        <w:rPr>
          <w:rFonts w:hint="eastAsia"/>
        </w:rPr>
        <w:t>入海关业务网的不同</w:t>
      </w:r>
      <w:r>
        <w:rPr>
          <w:rFonts w:ascii="Times New Roman" w:hAnsi="Times New Roman" w:cs="Times New Roman" w:hint="eastAsia"/>
          <w:szCs w:val="20"/>
        </w:rPr>
        <w:t>品牌、不用型号的门户式辐射探测设备集成到</w:t>
      </w:r>
      <w:r>
        <w:rPr>
          <w:rFonts w:hint="eastAsia"/>
        </w:rPr>
        <w:t>核辐射探测应用系统</w:t>
      </w:r>
      <w:r>
        <w:rPr>
          <w:rFonts w:ascii="Times New Roman" w:hAnsi="Times New Roman" w:cs="Times New Roman" w:hint="eastAsia"/>
          <w:szCs w:val="20"/>
        </w:rPr>
        <w:t>，实现信息的互联互通和多设备集成</w:t>
      </w:r>
      <w:r>
        <w:rPr>
          <w:rFonts w:hint="eastAsia"/>
        </w:rPr>
        <w:t>，以满足海关关员在辐射查验业务领域的业务需求，构建多系统联动的工作模式，打破信息孤岛，实现海关资源整合，为辐射查验业务提供有效支撑。</w:t>
      </w:r>
    </w:p>
    <w:p>
      <w:pPr>
        <w:pStyle w:val="Heading3"/>
        <w:keepNext/>
        <w:keepLines/>
        <w:widowControl w:val="0"/>
        <w:numPr>
          <w:ilvl w:val="1"/>
          <w:numId w:val="5"/>
        </w:numPr>
        <w:tabs>
          <w:tab w:val="left" w:pos="0"/>
        </w:tabs>
        <w:autoSpaceDN w:val="0"/>
        <w:spacing w:before="260" w:after="260" w:line="415" w:lineRule="auto"/>
        <w:ind w:left="576" w:hanging="576"/>
        <w:jc w:val="left"/>
        <w:rPr>
          <w:rFonts w:hint="eastAsia"/>
          <w:szCs w:val="30"/>
        </w:rPr>
      </w:pPr>
      <w:bookmarkStart w:id="49" w:name="_Toc126335192"/>
      <w:r>
        <w:rPr>
          <w:rFonts w:hint="eastAsia"/>
          <w:szCs w:val="30"/>
        </w:rPr>
        <w:t>名词定义</w:t>
      </w:r>
      <w:bookmarkEnd w:id="49"/>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631"/>
        <w:gridCol w:w="5891"/>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631" w:type="dxa"/>
            <w:tcBorders>
              <w:top w:val="single" w:sz="4" w:space="0" w:color="auto"/>
              <w:left w:val="single" w:sz="4" w:space="0" w:color="auto"/>
              <w:bottom w:val="single" w:sz="4" w:space="0" w:color="auto"/>
              <w:right w:val="single" w:sz="4" w:space="0" w:color="auto"/>
            </w:tcBorders>
            <w:shd w:val="clear" w:color="auto" w:fill="DDD9C3"/>
          </w:tcPr>
          <w:p>
            <w:pPr>
              <w:autoSpaceDN w:val="0"/>
              <w:rPr>
                <w:szCs w:val="21"/>
              </w:rPr>
            </w:pPr>
            <w:r>
              <w:rPr>
                <w:rFonts w:hint="eastAsia"/>
                <w:szCs w:val="21"/>
              </w:rPr>
              <w:t>名词</w:t>
            </w:r>
          </w:p>
        </w:tc>
        <w:tc>
          <w:tcPr>
            <w:tcW w:w="5891" w:type="dxa"/>
            <w:tcBorders>
              <w:top w:val="single" w:sz="4" w:space="0" w:color="auto"/>
              <w:left w:val="single" w:sz="4" w:space="0" w:color="auto"/>
              <w:bottom w:val="single" w:sz="4" w:space="0" w:color="auto"/>
              <w:right w:val="single" w:sz="4" w:space="0" w:color="auto"/>
            </w:tcBorders>
            <w:shd w:val="clear" w:color="auto" w:fill="DDD9C3"/>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63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核辐射探测应用系统</w:t>
            </w:r>
          </w:p>
        </w:tc>
        <w:tc>
          <w:tcPr>
            <w:tcW w:w="589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针对海关门户式辐射探测设备存在的难以集中管理，辐射探测数据汇总等问题，利用信息化手段，创新海关口岸辐射探测工作新模式，将海关门户式辐射探测设备进行联网集成，辐射探测数据接入核辐射探测应用系统。</w:t>
            </w:r>
          </w:p>
        </w:tc>
      </w:tr>
      <w:tr>
        <w:tblPrEx>
          <w:jc w:val="left"/>
          <w:tblInd w:w="0" w:type="dxa"/>
          <w:tblCellMar>
            <w:top w:w="0" w:type="dxa"/>
            <w:left w:w="108" w:type="dxa"/>
            <w:bottom w:w="0" w:type="dxa"/>
            <w:right w:w="108" w:type="dxa"/>
          </w:tblCellMar>
        </w:tblPrEx>
        <w:trPr>
          <w:jc w:val="left"/>
        </w:trPr>
        <w:tc>
          <w:tcPr>
            <w:tcW w:w="263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设备厂商</w:t>
            </w:r>
          </w:p>
        </w:tc>
        <w:tc>
          <w:tcPr>
            <w:tcW w:w="5891" w:type="dxa"/>
            <w:tcBorders>
              <w:top w:val="single" w:sz="4" w:space="0" w:color="auto"/>
              <w:left w:val="single" w:sz="4" w:space="0" w:color="auto"/>
              <w:bottom w:val="single" w:sz="4" w:space="0" w:color="auto"/>
              <w:right w:val="single" w:sz="4" w:space="0" w:color="auto"/>
            </w:tcBorders>
            <w:shd w:val="clear" w:color="auto" w:fill="auto"/>
          </w:tcPr>
          <w:p>
            <w:pPr>
              <w:autoSpaceDN w:val="0"/>
              <w:rPr>
                <w:szCs w:val="21"/>
              </w:rPr>
            </w:pPr>
            <w:r>
              <w:rPr>
                <w:rFonts w:hint="eastAsia"/>
                <w:szCs w:val="21"/>
              </w:rPr>
              <w:t>向中国海关提供辐射探测设备厂商的统称</w:t>
            </w:r>
          </w:p>
        </w:tc>
      </w:tr>
      <w:tr>
        <w:tblPrEx>
          <w:jc w:val="left"/>
          <w:tblInd w:w="0" w:type="dxa"/>
          <w:tblCellMar>
            <w:top w:w="0" w:type="dxa"/>
            <w:left w:w="108" w:type="dxa"/>
            <w:bottom w:w="0" w:type="dxa"/>
            <w:right w:w="108" w:type="dxa"/>
          </w:tblCellMar>
        </w:tblPrEx>
        <w:trPr>
          <w:jc w:val="left"/>
        </w:trPr>
        <w:tc>
          <w:tcPr>
            <w:tcW w:w="263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接口服务器</w:t>
            </w:r>
          </w:p>
        </w:tc>
        <w:tc>
          <w:tcPr>
            <w:tcW w:w="589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接口服务器是各设备厂商辐射探测数据集成到本系统的唯一入口，用于处理各厂商提交的辐射探测数据，该服务器部署在直属海关。</w:t>
            </w:r>
          </w:p>
        </w:tc>
      </w:tr>
      <w:tr>
        <w:tblPrEx>
          <w:jc w:val="left"/>
          <w:tblInd w:w="0" w:type="dxa"/>
          <w:tblCellMar>
            <w:top w:w="0" w:type="dxa"/>
            <w:left w:w="108" w:type="dxa"/>
            <w:bottom w:w="0" w:type="dxa"/>
            <w:right w:w="108" w:type="dxa"/>
          </w:tblCellMar>
        </w:tblPrEx>
        <w:trPr>
          <w:jc w:val="left"/>
        </w:trPr>
        <w:tc>
          <w:tcPr>
            <w:tcW w:w="263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文件服务器</w:t>
            </w:r>
          </w:p>
        </w:tc>
        <w:tc>
          <w:tcPr>
            <w:tcW w:w="589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文件服务器是直属海关存储非结构化探测数据的服务器，采用</w:t>
            </w:r>
            <w:r>
              <w:rPr>
                <w:szCs w:val="21"/>
              </w:rPr>
              <w:t>ServU</w:t>
            </w:r>
            <w:r>
              <w:rPr>
                <w:rFonts w:hint="eastAsia"/>
                <w:szCs w:val="21"/>
              </w:rPr>
              <w:t>管理。</w:t>
            </w:r>
          </w:p>
        </w:tc>
      </w:tr>
      <w:tr>
        <w:tblPrEx>
          <w:jc w:val="left"/>
          <w:tblInd w:w="0" w:type="dxa"/>
          <w:tblCellMar>
            <w:top w:w="0" w:type="dxa"/>
            <w:left w:w="108" w:type="dxa"/>
            <w:bottom w:w="0" w:type="dxa"/>
            <w:right w:w="108" w:type="dxa"/>
          </w:tblCellMar>
        </w:tblPrEx>
        <w:trPr>
          <w:jc w:val="left"/>
        </w:trPr>
        <w:tc>
          <w:tcPr>
            <w:tcW w:w="263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w:t>
            </w:r>
          </w:p>
        </w:tc>
        <w:tc>
          <w:tcPr>
            <w:tcW w:w="589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该服务器具备连接海关业务网和业务现场局域网的能力，不限定系统类型和编程语言，各厂商可根据自身技术储备进行实现，负责收集业务现场辐射探测设备产生的辐射探测数据，并提交到接口服务器。</w:t>
            </w:r>
          </w:p>
        </w:tc>
      </w:tr>
    </w:tbl>
    <w:p>
      <w:pPr>
        <w:autoSpaceDN w:val="0"/>
        <w:ind w:firstLine="840" w:firstLineChars="400"/>
        <w:rPr>
          <w:szCs w:val="21"/>
        </w:rPr>
      </w:pPr>
    </w:p>
    <w:p>
      <w:pPr>
        <w:widowControl/>
        <w:autoSpaceDN w:val="0"/>
        <w:jc w:val="left"/>
        <w:rPr>
          <w:szCs w:val="21"/>
        </w:rPr>
      </w:pPr>
      <w:r>
        <w:rPr>
          <w:szCs w:val="21"/>
        </w:rPr>
        <w:br w:type="page"/>
      </w:r>
    </w:p>
    <w:p>
      <w:pPr>
        <w:autoSpaceDN w:val="0"/>
        <w:ind w:firstLine="840" w:firstLineChars="400"/>
        <w:rPr>
          <w:szCs w:val="21"/>
        </w:rPr>
      </w:pPr>
    </w:p>
    <w:p>
      <w:pPr>
        <w:pStyle w:val="Heading2"/>
        <w:keepLines/>
        <w:widowControl w:val="0"/>
        <w:numPr>
          <w:ilvl w:val="0"/>
          <w:numId w:val="5"/>
        </w:numPr>
        <w:tabs>
          <w:tab w:val="left" w:pos="0"/>
        </w:tabs>
        <w:autoSpaceDN w:val="0"/>
        <w:spacing w:before="260" w:after="260" w:line="360" w:lineRule="auto"/>
        <w:ind w:left="0" w:firstLine="0"/>
        <w:jc w:val="left"/>
      </w:pPr>
      <w:bookmarkStart w:id="50" w:name="_Toc126335193"/>
      <w:r>
        <w:rPr>
          <w:rFonts w:hint="eastAsia"/>
          <w:szCs w:val="32"/>
        </w:rPr>
        <w:t>总体说明</w:t>
      </w:r>
      <w:bookmarkEnd w:id="50"/>
    </w:p>
    <w:p>
      <w:pPr>
        <w:autoSpaceDN w:val="0"/>
        <w:ind w:firstLine="420"/>
        <w:rPr>
          <w:rFonts w:hint="eastAsia"/>
          <w:szCs w:val="21"/>
        </w:rPr>
      </w:pPr>
      <w:r>
        <w:rPr>
          <w:rFonts w:hint="eastAsia"/>
          <w:szCs w:val="21"/>
        </w:rPr>
        <w:t>本接口标准界定了各厂商门户式辐射探测设备接入核辐射探测应用系统的接口标准，并确定数据传输的接口协议。接口服务器实现了</w:t>
      </w:r>
      <w:r>
        <w:rPr>
          <w:szCs w:val="21"/>
        </w:rPr>
        <w:t>RESTful</w:t>
      </w:r>
      <w:r>
        <w:rPr>
          <w:rFonts w:hint="eastAsia"/>
          <w:szCs w:val="21"/>
        </w:rPr>
        <w:t>风格的</w:t>
      </w:r>
      <w:r>
        <w:rPr>
          <w:szCs w:val="21"/>
        </w:rPr>
        <w:t>WEBAPI</w:t>
      </w:r>
      <w:r>
        <w:rPr>
          <w:rFonts w:hint="eastAsia"/>
          <w:szCs w:val="21"/>
        </w:rPr>
        <w:t>服务，确保与底层开发语言的无关性。</w:t>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51" w:name="_Toc126335194"/>
      <w:r>
        <w:rPr>
          <w:rFonts w:hint="eastAsia"/>
          <w:szCs w:val="30"/>
        </w:rPr>
        <w:t>系统架构</w:t>
      </w:r>
      <w:bookmarkEnd w:id="51"/>
    </w:p>
    <w:p>
      <w:pPr>
        <w:autoSpaceDN w:val="0"/>
        <w:ind w:firstLine="420"/>
        <w:rPr>
          <w:szCs w:val="21"/>
        </w:rPr>
      </w:pPr>
      <w:r>
        <w:rPr>
          <w:rFonts w:hint="eastAsia"/>
          <w:szCs w:val="21"/>
        </w:rPr>
        <w:t>在直属海关部署接口服务器（主</w:t>
      </w:r>
      <w:r>
        <w:rPr>
          <w:szCs w:val="21"/>
        </w:rPr>
        <w:t>/</w:t>
      </w:r>
      <w:r>
        <w:rPr>
          <w:rFonts w:hint="eastAsia"/>
          <w:szCs w:val="21"/>
        </w:rPr>
        <w:t>备）和文件服务器（主</w:t>
      </w:r>
      <w:r>
        <w:rPr>
          <w:szCs w:val="21"/>
        </w:rPr>
        <w:t>/</w:t>
      </w:r>
      <w:r>
        <w:rPr>
          <w:rFonts w:hint="eastAsia"/>
          <w:szCs w:val="21"/>
        </w:rPr>
        <w:t>备），其中接口服务器负责处理入网设备提交的探测数据和非结构化文件。</w:t>
      </w:r>
    </w:p>
    <w:p>
      <w:pPr>
        <w:autoSpaceDN w:val="0"/>
        <w:ind w:firstLine="420"/>
        <w:rPr>
          <w:szCs w:val="21"/>
        </w:rPr>
      </w:pPr>
    </w:p>
    <w:p>
      <w:pPr>
        <w:pStyle w:val="PlainText"/>
        <w:autoSpaceDN w:val="0"/>
        <w:ind w:firstLine="420" w:firstLineChars="200"/>
        <w:rPr>
          <w:rFonts w:ascii="Symbol" w:hAnsi="Symbol" w:cs="Times New Roman"/>
          <w:szCs w:val="20"/>
        </w:rPr>
      </w:pPr>
      <w:r>
        <w:rPr>
          <w:rFonts w:ascii="Times New Roman" w:hAnsi="Times New Roman" w:cs="Times New Roman" w:hint="eastAsia"/>
          <w:szCs w:val="20"/>
        </w:rPr>
        <w:t>各设备厂商根据自己的技术储备，开发专用的软件部署在入网设备上。当探测完一辆车之后，将归集好的辐射探测数据提交到接口服务器。结构化数据通过</w:t>
      </w:r>
      <w:r>
        <w:rPr>
          <w:rFonts w:ascii="Times New Roman" w:hAnsi="Times New Roman" w:cs="Times New Roman"/>
          <w:szCs w:val="20"/>
        </w:rPr>
        <w:t>HTTP</w:t>
      </w:r>
      <w:r>
        <w:rPr>
          <w:rFonts w:ascii="Times New Roman" w:hAnsi="Times New Roman" w:cs="Times New Roman" w:hint="eastAsia"/>
          <w:szCs w:val="20"/>
        </w:rPr>
        <w:t>协议传输。结构化数据中包含图片或视频的</w:t>
      </w:r>
      <w:r>
        <w:rPr>
          <w:rFonts w:ascii="Times New Roman" w:hAnsi="Times New Roman" w:cs="Times New Roman"/>
          <w:szCs w:val="20"/>
        </w:rPr>
        <w:t>HTTP</w:t>
      </w:r>
      <w:r>
        <w:rPr>
          <w:rFonts w:ascii="Times New Roman" w:hAnsi="Times New Roman" w:cs="Times New Roman" w:hint="eastAsia"/>
          <w:szCs w:val="20"/>
        </w:rPr>
        <w:t>地址，直属海关接口服务在接收到结构化数据后解析出图片或视频地址并通过</w:t>
      </w:r>
      <w:r>
        <w:rPr>
          <w:rFonts w:ascii="Times New Roman" w:hAnsi="Times New Roman" w:cs="Times New Roman"/>
          <w:szCs w:val="20"/>
        </w:rPr>
        <w:t>HTTP</w:t>
      </w:r>
      <w:r>
        <w:rPr>
          <w:rFonts w:ascii="Times New Roman" w:hAnsi="Times New Roman" w:cs="Times New Roman" w:hint="eastAsia"/>
          <w:szCs w:val="20"/>
        </w:rPr>
        <w:t>方式下载到直属海关服务器上。</w:t>
      </w:r>
    </w:p>
    <w:p>
      <w:pPr>
        <w:pStyle w:val="PlainText"/>
        <w:autoSpaceDN w:val="0"/>
        <w:ind w:firstLine="420" w:firstLineChars="200"/>
        <w:rPr>
          <w:rFonts w:ascii="Times New Roman" w:hAnsi="Times New Roman" w:cs="Times New Roman"/>
          <w:szCs w:val="20"/>
        </w:rPr>
      </w:pPr>
    </w:p>
    <w:p>
      <w:pPr>
        <w:pStyle w:val="PlainText"/>
        <w:autoSpaceDN w:val="0"/>
        <w:rPr>
          <w:rFonts w:ascii="Times New Roman" w:hAnsi="Times New Roman" w:cs="Times New Roman"/>
          <w:szCs w:val="20"/>
        </w:rPr>
      </w:pPr>
      <w:r>
        <w:drawing>
          <wp:inline distT="0" distB="0" distL="85725" distR="85725">
            <wp:extent cx="5334000" cy="4829810"/>
            <wp:effectExtent l="-9524" t="-9524" r="-9524" b="-9524"/>
            <wp:docPr id="4" name="_x0000_i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1025 6"/>
                    <pic:cNvPicPr/>
                  </pic:nvPicPr>
                  <pic:blipFill>
                    <a:blip xmlns:r="http://schemas.openxmlformats.org/officeDocument/2006/relationships" r:embed="rId8"/>
                    <a:stretch>
                      <a:fillRect/>
                    </a:stretch>
                  </pic:blipFill>
                  <pic:spPr>
                    <a:xfrm>
                      <a:off x="0" y="0"/>
                      <a:ext cx="5334000" cy="4829810"/>
                    </a:xfrm>
                    <a:prstGeom prst="rect">
                      <a:avLst/>
                    </a:prstGeom>
                    <a:noFill/>
                    <a:ln w="9525">
                      <a:noFill/>
                      <a:prstDash val="solid"/>
                      <a:miter lim="0"/>
                    </a:ln>
                  </pic:spPr>
                </pic:pic>
              </a:graphicData>
            </a:graphic>
          </wp:inline>
        </w:drawing>
      </w:r>
    </w:p>
    <w:p>
      <w:pPr>
        <w:autoSpaceDN w:val="0"/>
        <w:rPr>
          <w:szCs w:val="21"/>
        </w:rPr>
      </w:pPr>
    </w:p>
    <w:p>
      <w:pPr>
        <w:autoSpaceDN w:val="0"/>
        <w:jc w:val="center"/>
        <w:rPr>
          <w:i/>
          <w:iCs/>
          <w:sz w:val="20"/>
          <w:u w:val="single"/>
        </w:rPr>
      </w:pPr>
      <w:r>
        <w:rPr>
          <w:rFonts w:hint="eastAsia"/>
          <w:i/>
          <w:iCs/>
          <w:sz w:val="20"/>
          <w:u w:val="single"/>
        </w:rPr>
        <w:t>设备厂商集成核辐射探测应用系统架构图</w:t>
      </w:r>
    </w:p>
    <w:p>
      <w:pPr>
        <w:widowControl/>
        <w:autoSpaceDN w:val="0"/>
        <w:jc w:val="left"/>
        <w:rPr>
          <w:iCs/>
          <w:szCs w:val="21"/>
        </w:rPr>
      </w:pPr>
    </w:p>
    <w:p>
      <w:pPr>
        <w:pStyle w:val="Heading2"/>
        <w:keepLines/>
        <w:widowControl w:val="0"/>
        <w:numPr>
          <w:ilvl w:val="0"/>
          <w:numId w:val="5"/>
        </w:numPr>
        <w:tabs>
          <w:tab w:val="left" w:pos="0"/>
        </w:tabs>
        <w:autoSpaceDN w:val="0"/>
        <w:spacing w:before="260" w:after="260" w:line="360" w:lineRule="auto"/>
        <w:ind w:left="0" w:firstLine="0"/>
        <w:jc w:val="left"/>
      </w:pPr>
      <w:bookmarkStart w:id="52" w:name="_Toc126335195"/>
      <w:r>
        <w:rPr>
          <w:rFonts w:hint="eastAsia"/>
          <w:szCs w:val="32"/>
        </w:rPr>
        <w:t>设备厂商接入流程</w:t>
      </w:r>
      <w:bookmarkEnd w:id="52"/>
    </w:p>
    <w:p>
      <w:pPr>
        <w:autoSpaceDN w:val="0"/>
        <w:ind w:firstLine="420"/>
        <w:rPr>
          <w:rFonts w:hint="eastAsia"/>
          <w:szCs w:val="21"/>
        </w:rPr>
      </w:pPr>
    </w:p>
    <w:p>
      <w:pPr>
        <w:autoSpaceDN w:val="0"/>
        <w:ind w:firstLine="420"/>
        <w:rPr>
          <w:szCs w:val="21"/>
        </w:rPr>
      </w:pPr>
      <w:r>
        <w:rPr>
          <w:rFonts w:hint="eastAsia"/>
          <w:szCs w:val="21"/>
        </w:rPr>
        <w:t>设备厂商接入核辐射探测应用系统，需要实现接口协议，通过与接口服务器通信，把探测数据上传到接口服务器，文件服务器。</w:t>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53" w:name="_Toc126335196"/>
      <w:r>
        <w:rPr>
          <w:rFonts w:hint="eastAsia"/>
          <w:szCs w:val="30"/>
        </w:rPr>
        <w:t>注册入网设备时序图</w:t>
      </w:r>
      <w:bookmarkEnd w:id="53"/>
    </w:p>
    <w:p>
      <w:pPr>
        <w:autoSpaceDN w:val="0"/>
        <w:ind w:firstLine="420"/>
        <w:rPr>
          <w:szCs w:val="21"/>
        </w:rPr>
      </w:pPr>
      <w:r>
        <w:rPr>
          <w:rFonts w:hint="eastAsia"/>
          <w:szCs w:val="21"/>
        </w:rPr>
        <w:t>设备厂商接入核辐射探测应用系统首先需要先注册入网设备。</w:t>
      </w:r>
    </w:p>
    <w:p>
      <w:pPr>
        <w:autoSpaceDN w:val="0"/>
        <w:ind w:firstLine="420"/>
        <w:rPr>
          <w:szCs w:val="21"/>
        </w:rPr>
      </w:pPr>
    </w:p>
    <w:p>
      <w:pPr>
        <w:autoSpaceDN w:val="0"/>
        <w:ind w:firstLine="424" w:firstLineChars="202"/>
        <w:rPr>
          <w:szCs w:val="21"/>
        </w:rPr>
      </w:pPr>
      <w:r>
        <w:drawing>
          <wp:inline distT="0" distB="0" distL="85725" distR="85725">
            <wp:extent cx="5334000" cy="5494020"/>
            <wp:effectExtent l="-9524" t="-9524" r="-9524" b="-9524"/>
            <wp:docPr id="7" name="_x0000_i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i1026 9"/>
                    <pic:cNvPicPr/>
                  </pic:nvPicPr>
                  <pic:blipFill>
                    <a:blip xmlns:r="http://schemas.openxmlformats.org/officeDocument/2006/relationships" r:embed="rId9"/>
                    <a:stretch>
                      <a:fillRect/>
                    </a:stretch>
                  </pic:blipFill>
                  <pic:spPr>
                    <a:xfrm>
                      <a:off x="0" y="0"/>
                      <a:ext cx="5334000" cy="5494020"/>
                    </a:xfrm>
                    <a:prstGeom prst="rect">
                      <a:avLst/>
                    </a:prstGeom>
                    <a:noFill/>
                    <a:ln w="9525">
                      <a:noFill/>
                      <a:prstDash val="solid"/>
                      <a:miter lim="0"/>
                    </a:ln>
                  </pic:spPr>
                </pic:pic>
              </a:graphicData>
            </a:graphic>
          </wp:inline>
        </w:drawing>
      </w:r>
    </w:p>
    <w:p>
      <w:pPr>
        <w:autoSpaceDN w:val="0"/>
        <w:jc w:val="center"/>
        <w:rPr>
          <w:i/>
          <w:iCs/>
          <w:sz w:val="20"/>
          <w:u w:val="single"/>
        </w:rPr>
      </w:pPr>
      <w:r>
        <w:rPr>
          <w:rFonts w:hint="eastAsia"/>
          <w:i/>
          <w:iCs/>
          <w:sz w:val="20"/>
          <w:u w:val="single"/>
        </w:rPr>
        <w:t>注册入网设备时序图</w:t>
      </w:r>
    </w:p>
    <w:p>
      <w:pPr>
        <w:autoSpaceDN w:val="0"/>
        <w:ind w:firstLine="424" w:firstLineChars="202"/>
        <w:jc w:val="center"/>
        <w:rPr>
          <w:szCs w:val="21"/>
        </w:rPr>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54" w:name="_Toc126335197"/>
      <w:r>
        <w:rPr>
          <w:rFonts w:hint="eastAsia"/>
          <w:szCs w:val="30"/>
        </w:rPr>
        <w:t>实时汇报探测记录时序图</w:t>
      </w:r>
      <w:bookmarkEnd w:id="54"/>
    </w:p>
    <w:p>
      <w:pPr>
        <w:autoSpaceDN w:val="0"/>
        <w:ind w:firstLine="420"/>
        <w:rPr>
          <w:szCs w:val="21"/>
        </w:rPr>
      </w:pPr>
      <w:r>
        <w:rPr>
          <w:rFonts w:hint="eastAsia"/>
          <w:szCs w:val="21"/>
        </w:rPr>
        <w:t>入网设备在完成一次探测数据的收集作业后。</w:t>
      </w:r>
    </w:p>
    <w:p>
      <w:pPr>
        <w:autoSpaceDN w:val="0"/>
        <w:ind w:firstLine="420"/>
        <w:rPr>
          <w:szCs w:val="21"/>
        </w:rPr>
      </w:pPr>
      <w:r>
        <w:rPr>
          <w:rFonts w:hint="eastAsia"/>
          <w:szCs w:val="21"/>
        </w:rPr>
        <w:t>然后调用</w:t>
      </w:r>
      <w:hyperlink w:anchor="_实时汇报探测记录" w:history="1">
        <w:r>
          <w:rPr>
            <w:rStyle w:val="Hyperlink"/>
            <w:rFonts w:hint="eastAsia"/>
            <w:b/>
            <w:bCs/>
            <w:color w:val="auto"/>
            <w:szCs w:val="21"/>
          </w:rPr>
          <w:t>实时汇报探测记录</w:t>
        </w:r>
      </w:hyperlink>
      <w:r>
        <w:rPr>
          <w:rFonts w:hint="eastAsia"/>
          <w:szCs w:val="21"/>
        </w:rPr>
        <w:t>接口将数据上传至接口服务器，接口服务器响应</w:t>
      </w:r>
      <w:r>
        <w:rPr>
          <w:szCs w:val="21"/>
        </w:rPr>
        <w:t>HTTP STATUS 204</w:t>
      </w:r>
      <w:r>
        <w:rPr>
          <w:rFonts w:hint="eastAsia"/>
          <w:szCs w:val="21"/>
        </w:rPr>
        <w:t>，否则将响应错误信息。</w:t>
      </w:r>
    </w:p>
    <w:p>
      <w:pPr>
        <w:autoSpaceDN w:val="0"/>
        <w:ind w:firstLine="420"/>
        <w:jc w:val="center"/>
        <w:rPr>
          <w:szCs w:val="21"/>
        </w:rPr>
      </w:pPr>
      <w:r>
        <w:drawing>
          <wp:inline distT="0" distB="0" distL="85725" distR="85725">
            <wp:extent cx="4549775" cy="5303520"/>
            <wp:effectExtent l="-9524" t="-9524" r="-9524" b="-9524"/>
            <wp:docPr id="10" name="_x0000_i1027" descr="D:\Users\dell\Desktop\绘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i1027 12"/>
                    <pic:cNvPicPr/>
                  </pic:nvPicPr>
                  <pic:blipFill>
                    <a:blip xmlns:r="http://schemas.openxmlformats.org/officeDocument/2006/relationships" r:embed="rId10"/>
                    <a:stretch>
                      <a:fillRect/>
                    </a:stretch>
                  </pic:blipFill>
                  <pic:spPr>
                    <a:xfrm>
                      <a:off x="0" y="0"/>
                      <a:ext cx="4549775" cy="5303520"/>
                    </a:xfrm>
                    <a:prstGeom prst="rect">
                      <a:avLst/>
                    </a:prstGeom>
                    <a:noFill/>
                    <a:ln w="9525">
                      <a:noFill/>
                      <a:prstDash val="solid"/>
                      <a:miter lim="0"/>
                    </a:ln>
                  </pic:spPr>
                </pic:pic>
              </a:graphicData>
            </a:graphic>
          </wp:inline>
        </w:drawing>
      </w:r>
    </w:p>
    <w:p>
      <w:pPr>
        <w:autoSpaceDN w:val="0"/>
        <w:rPr>
          <w:szCs w:val="21"/>
        </w:rPr>
      </w:pPr>
    </w:p>
    <w:p>
      <w:pPr>
        <w:autoSpaceDN w:val="0"/>
        <w:jc w:val="center"/>
        <w:rPr>
          <w:i/>
          <w:iCs/>
          <w:sz w:val="20"/>
          <w:u w:val="single"/>
        </w:rPr>
      </w:pPr>
      <w:r>
        <w:rPr>
          <w:rFonts w:hint="eastAsia"/>
          <w:i/>
          <w:iCs/>
          <w:sz w:val="20"/>
          <w:u w:val="single"/>
        </w:rPr>
        <w:t>实时汇报探测记录时序图</w:t>
      </w:r>
    </w:p>
    <w:p>
      <w:pPr>
        <w:autoSpaceDN w:val="0"/>
        <w:jc w:val="center"/>
        <w:rPr>
          <w:szCs w:val="21"/>
        </w:rPr>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55" w:name="_Toc126335198"/>
      <w:r>
        <w:rPr>
          <w:rFonts w:hint="eastAsia"/>
          <w:szCs w:val="30"/>
        </w:rPr>
        <w:t>查询及汇报历史探测记录时序图</w:t>
      </w:r>
      <w:bookmarkEnd w:id="55"/>
    </w:p>
    <w:p>
      <w:pPr>
        <w:autoSpaceDN w:val="0"/>
        <w:ind w:firstLine="420"/>
        <w:rPr>
          <w:szCs w:val="21"/>
        </w:rPr>
      </w:pPr>
      <w:r>
        <w:rPr>
          <w:rFonts w:hint="eastAsia"/>
          <w:szCs w:val="21"/>
        </w:rPr>
        <w:t>接口服务器通过接口主动向入网设备查询历史探测记录，入网设备收到请求时，直接响应符合条件的数据总行数，同时收集查询时间范围内未上传及上传失败的探测记录，在查询接口参数</w:t>
      </w:r>
      <w:r>
        <w:rPr>
          <w:szCs w:val="21"/>
        </w:rPr>
        <w:t>IdleTime</w:t>
      </w:r>
      <w:r>
        <w:rPr>
          <w:rFonts w:hint="eastAsia"/>
          <w:szCs w:val="21"/>
        </w:rPr>
        <w:t>约定的空闲时间内通过接口</w:t>
      </w:r>
      <w:hyperlink w:anchor="_汇报历史探测记录" w:history="1">
        <w:r>
          <w:rPr>
            <w:rStyle w:val="Hyperlink"/>
            <w:rFonts w:hint="eastAsia"/>
            <w:color w:val="auto"/>
            <w:szCs w:val="21"/>
          </w:rPr>
          <w:t>汇报历史探测记录</w:t>
        </w:r>
      </w:hyperlink>
      <w:r>
        <w:rPr>
          <w:rFonts w:hint="eastAsia"/>
          <w:szCs w:val="21"/>
        </w:rPr>
        <w:t>上传。</w:t>
      </w:r>
    </w:p>
    <w:p>
      <w:pPr>
        <w:autoSpaceDN w:val="0"/>
        <w:rPr>
          <w:szCs w:val="21"/>
        </w:rPr>
      </w:pPr>
      <w:r>
        <w:drawing>
          <wp:inline distT="0" distB="0" distL="85725" distR="85725">
            <wp:extent cx="5327650" cy="5015865"/>
            <wp:effectExtent l="-9524" t="-9524" r="-9524" b="-9524"/>
            <wp:docPr id="13" name="_x0000_i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1028 15"/>
                    <pic:cNvPicPr/>
                  </pic:nvPicPr>
                  <pic:blipFill>
                    <a:blip xmlns:r="http://schemas.openxmlformats.org/officeDocument/2006/relationships" r:embed="rId11"/>
                    <a:stretch>
                      <a:fillRect/>
                    </a:stretch>
                  </pic:blipFill>
                  <pic:spPr>
                    <a:xfrm>
                      <a:off x="0" y="0"/>
                      <a:ext cx="5327650" cy="5015865"/>
                    </a:xfrm>
                    <a:prstGeom prst="rect">
                      <a:avLst/>
                    </a:prstGeom>
                    <a:noFill/>
                    <a:ln w="9525">
                      <a:noFill/>
                      <a:prstDash val="solid"/>
                      <a:miter lim="0"/>
                    </a:ln>
                  </pic:spPr>
                </pic:pic>
              </a:graphicData>
            </a:graphic>
          </wp:inline>
        </w:drawing>
      </w:r>
    </w:p>
    <w:p>
      <w:pPr>
        <w:autoSpaceDN w:val="0"/>
        <w:jc w:val="center"/>
        <w:rPr>
          <w:i/>
          <w:iCs/>
          <w:sz w:val="20"/>
          <w:u w:val="single"/>
        </w:rPr>
      </w:pPr>
      <w:r>
        <w:rPr>
          <w:rFonts w:hint="eastAsia"/>
          <w:i/>
          <w:iCs/>
          <w:sz w:val="20"/>
          <w:u w:val="single"/>
        </w:rPr>
        <w:t>查询及汇报历史探测记录时序图</w:t>
      </w:r>
    </w:p>
    <w:p>
      <w:pPr>
        <w:widowControl/>
        <w:autoSpaceDN w:val="0"/>
        <w:jc w:val="left"/>
        <w:rPr>
          <w:szCs w:val="21"/>
        </w:rPr>
      </w:pPr>
      <w:r>
        <w:rPr>
          <w:szCs w:val="21"/>
        </w:rPr>
        <w:br w:type="page"/>
      </w:r>
    </w:p>
    <w:p>
      <w:pPr>
        <w:pStyle w:val="Heading2"/>
        <w:keepLines/>
        <w:widowControl w:val="0"/>
        <w:numPr>
          <w:ilvl w:val="0"/>
          <w:numId w:val="5"/>
        </w:numPr>
        <w:tabs>
          <w:tab w:val="left" w:pos="0"/>
        </w:tabs>
        <w:autoSpaceDN w:val="0"/>
        <w:spacing w:before="260" w:after="260" w:line="360" w:lineRule="auto"/>
        <w:ind w:left="0" w:firstLine="0"/>
        <w:jc w:val="left"/>
      </w:pPr>
      <w:bookmarkStart w:id="56" w:name="_Toc126335199"/>
      <w:r>
        <w:rPr>
          <w:rFonts w:hint="eastAsia"/>
          <w:szCs w:val="32"/>
        </w:rPr>
        <w:t>接口服务器提供接口</w:t>
      </w:r>
      <w:bookmarkEnd w:id="56"/>
    </w:p>
    <w:p>
      <w:pPr>
        <w:pStyle w:val="Heading3"/>
        <w:keepNext/>
        <w:keepLines/>
        <w:widowControl w:val="0"/>
        <w:numPr>
          <w:ilvl w:val="1"/>
          <w:numId w:val="5"/>
        </w:numPr>
        <w:tabs>
          <w:tab w:val="left" w:pos="0"/>
        </w:tabs>
        <w:autoSpaceDN w:val="0"/>
        <w:spacing w:before="260" w:after="260" w:line="415" w:lineRule="auto"/>
        <w:ind w:left="576" w:hanging="576"/>
        <w:jc w:val="left"/>
        <w:rPr>
          <w:rFonts w:hint="eastAsia"/>
          <w:szCs w:val="30"/>
        </w:rPr>
      </w:pPr>
      <w:bookmarkStart w:id="57" w:name="_Toc126335200"/>
      <w:r>
        <w:rPr>
          <w:rFonts w:hint="eastAsia"/>
          <w:szCs w:val="30"/>
        </w:rPr>
        <w:t>接口服务器基础信息</w:t>
      </w:r>
      <w:bookmarkEnd w:id="57"/>
    </w:p>
    <w:p>
      <w:pPr>
        <w:autoSpaceDN w:val="0"/>
        <w:rPr>
          <w:rStyle w:val="Hyperlink"/>
          <w:color w:val="auto"/>
          <w:szCs w:val="21"/>
        </w:rPr>
      </w:pPr>
      <w:r>
        <w:rPr>
          <w:szCs w:val="21"/>
        </w:rPr>
        <w:t>HTTPURL</w:t>
      </w:r>
      <w:r>
        <w:rPr>
          <w:rFonts w:hint="eastAsia"/>
          <w:szCs w:val="21"/>
        </w:rPr>
        <w:t>：</w:t>
      </w:r>
      <w:r>
        <w:rPr>
          <w:szCs w:val="21"/>
        </w:rPr>
        <w:t>http://</w:t>
      </w:r>
      <w:r>
        <w:rPr>
          <w:rFonts w:hint="eastAsia"/>
          <w:szCs w:val="21"/>
        </w:rPr>
        <w:t>接口服务器</w:t>
      </w:r>
      <w:r>
        <w:rPr>
          <w:szCs w:val="21"/>
        </w:rPr>
        <w:t>ip:18000</w:t>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58" w:name="_Toc126335201"/>
      <w:r>
        <w:rPr>
          <w:rFonts w:hint="eastAsia"/>
          <w:szCs w:val="30"/>
        </w:rPr>
        <w:t>注册入网设备</w:t>
      </w:r>
      <w:bookmarkEnd w:id="58"/>
    </w:p>
    <w:p>
      <w:pPr>
        <w:autoSpaceDN w:val="0"/>
        <w:rPr>
          <w:szCs w:val="21"/>
        </w:rPr>
      </w:pPr>
      <w:r>
        <w:rPr>
          <w:rFonts w:hint="eastAsia"/>
          <w:szCs w:val="21"/>
        </w:rPr>
        <w:t>入网设备向接口服务器进行注册。</w:t>
      </w:r>
    </w:p>
    <w:p>
      <w:pPr>
        <w:autoSpaceDN w:val="0"/>
        <w:rPr>
          <w:szCs w:val="21"/>
        </w:rPr>
      </w:pPr>
    </w:p>
    <w:p>
      <w:pPr>
        <w:autoSpaceDN w:val="0"/>
        <w:rPr>
          <w:szCs w:val="21"/>
        </w:rPr>
      </w:pPr>
      <w:r>
        <w:rPr>
          <w:szCs w:val="21"/>
        </w:rPr>
        <w:t>clientId</w:t>
      </w:r>
      <w:r>
        <w:rPr>
          <w:rFonts w:hint="eastAsia"/>
          <w:szCs w:val="21"/>
        </w:rPr>
        <w:t>需要直属海关唯一，如果多次使用同一</w:t>
      </w:r>
      <w:r>
        <w:rPr>
          <w:szCs w:val="21"/>
        </w:rPr>
        <w:t>clientId</w:t>
      </w:r>
      <w:r>
        <w:rPr>
          <w:rFonts w:hint="eastAsia"/>
          <w:szCs w:val="21"/>
        </w:rPr>
        <w:t>进行注册，在直属端，第一次为添加，第二次及后续接口调用为修改</w:t>
      </w:r>
      <w:r>
        <w:rPr>
          <w:szCs w:val="21"/>
        </w:rPr>
        <w:t>customsCode</w:t>
      </w:r>
      <w:r>
        <w:rPr>
          <w:rFonts w:hint="eastAsia"/>
          <w:szCs w:val="21"/>
        </w:rPr>
        <w:t>、</w:t>
      </w:r>
      <w:r>
        <w:rPr>
          <w:szCs w:val="21"/>
        </w:rPr>
        <w:t>manufacturer</w:t>
      </w:r>
      <w:r>
        <w:rPr>
          <w:rFonts w:hint="eastAsia"/>
          <w:szCs w:val="21"/>
        </w:rPr>
        <w:t>、</w:t>
      </w:r>
      <w:r>
        <w:rPr>
          <w:szCs w:val="21"/>
        </w:rPr>
        <w:t>serviceUrl</w:t>
      </w:r>
      <w:r>
        <w:rPr>
          <w:rFonts w:hint="eastAsia"/>
          <w:szCs w:val="21"/>
        </w:rPr>
        <w:t>，并返回第一次注册时的注册时间。</w:t>
      </w:r>
    </w:p>
    <w:p>
      <w:pPr>
        <w:autoSpaceDN w:val="0"/>
        <w:rPr>
          <w:rFonts w:hint="eastAsia"/>
          <w:szCs w:val="21"/>
        </w:rPr>
      </w:pPr>
    </w:p>
    <w:p>
      <w:pPr>
        <w:autoSpaceDN w:val="0"/>
        <w:rPr>
          <w:b/>
          <w:bCs/>
          <w:szCs w:val="21"/>
        </w:rPr>
      </w:pPr>
      <w:r>
        <w:rPr>
          <w:rFonts w:hint="eastAsia"/>
          <w:b/>
          <w:bCs/>
          <w:szCs w:val="21"/>
        </w:rPr>
        <w:t>服务端地址</w:t>
      </w:r>
    </w:p>
    <w:p>
      <w:pPr>
        <w:autoSpaceDN w:val="0"/>
        <w:rPr>
          <w:szCs w:val="21"/>
        </w:rPr>
      </w:pPr>
      <w:r>
        <w:rPr>
          <w:szCs w:val="21"/>
        </w:rPr>
        <w:t>/api/v1/clients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POST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b/>
          <w:bCs/>
          <w:szCs w:val="21"/>
        </w:rPr>
        <w:t>PATH</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Content-Type</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application/json; charset=utf-8;</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Content-Length</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请求正文中消息的长度</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szCs w:val="21"/>
        </w:rPr>
      </w:pPr>
      <w:r>
        <w:rPr>
          <w:rFonts w:hint="eastAsia"/>
          <w:b/>
          <w:bCs/>
          <w:szCs w:val="21"/>
        </w:rPr>
        <w:t>请求正文示例</w:t>
      </w:r>
    </w:p>
    <w:p>
      <w:pPr>
        <w:autoSpaceDN w:val="0"/>
        <w:rPr>
          <w:szCs w:val="21"/>
        </w:rPr>
      </w:pPr>
      <w:r>
        <w:rPr>
          <w:szCs w:val="21"/>
        </w:rPr>
        <w:t>{</w:t>
      </w:r>
    </w:p>
    <w:p>
      <w:pPr>
        <w:autoSpaceDN w:val="0"/>
        <w:rPr>
          <w:szCs w:val="21"/>
        </w:rPr>
      </w:pPr>
      <w:r>
        <w:rPr>
          <w:szCs w:val="21"/>
        </w:rPr>
        <w:t xml:space="preserve">  "customsCode": "9402",</w:t>
      </w:r>
    </w:p>
    <w:p>
      <w:pPr>
        <w:autoSpaceDN w:val="0"/>
        <w:rPr>
          <w:szCs w:val="21"/>
        </w:rPr>
      </w:pPr>
      <w:r>
        <w:rPr>
          <w:szCs w:val="21"/>
        </w:rPr>
        <w:t xml:space="preserve">  "clientId": "FEBC93AB-E33B-42BB-BEE4-16354DFC5B70",</w:t>
      </w:r>
    </w:p>
    <w:p>
      <w:pPr>
        <w:autoSpaceDN w:val="0"/>
        <w:rPr>
          <w:szCs w:val="21"/>
        </w:rPr>
      </w:pPr>
      <w:r>
        <w:rPr>
          <w:szCs w:val="21"/>
        </w:rPr>
        <w:t xml:space="preserve">  "manufacturer": "NUCTECH",</w:t>
      </w:r>
    </w:p>
    <w:p>
      <w:pPr>
        <w:autoSpaceDN w:val="0"/>
        <w:rPr>
          <w:szCs w:val="21"/>
        </w:rPr>
      </w:pPr>
      <w:r>
        <w:rPr>
          <w:szCs w:val="21"/>
        </w:rPr>
        <w:t xml:space="preserve">  "serviceUrl": "http://10.0.0.22:8989"</w:t>
      </w:r>
    </w:p>
    <w:p>
      <w:pPr>
        <w:autoSpaceDN w:val="0"/>
        <w:rPr>
          <w:szCs w:val="21"/>
        </w:rPr>
      </w:pPr>
      <w:r>
        <w:rPr>
          <w:szCs w:val="21"/>
        </w:rPr>
        <w:t>}</w:t>
      </w:r>
    </w:p>
    <w:p>
      <w:pPr>
        <w:autoSpaceDN w:val="0"/>
        <w:rPr>
          <w:b/>
          <w:bCs/>
          <w:szCs w:val="21"/>
        </w:rPr>
      </w:pPr>
    </w:p>
    <w:p>
      <w:pPr>
        <w:autoSpaceDN w:val="0"/>
        <w:rPr>
          <w:b/>
          <w:bCs/>
          <w:szCs w:val="21"/>
        </w:rPr>
      </w:pPr>
      <w:r>
        <w:rPr>
          <w:rFonts w:hint="eastAsia"/>
          <w:b/>
          <w:bCs/>
          <w:szCs w:val="21"/>
        </w:rPr>
        <w:t>请求正文说明</w:t>
      </w:r>
    </w:p>
    <w:p>
      <w:pPr>
        <w:autoSpaceDN w:val="0"/>
        <w:rPr>
          <w:szCs w:val="21"/>
        </w:rPr>
      </w:pPr>
      <w:r>
        <w:rPr>
          <w:rFonts w:hint="eastAsia"/>
          <w:szCs w:val="21"/>
        </w:rPr>
        <w:t>请参考</w:t>
      </w:r>
      <w:hyperlink w:anchor="_注册入网设备数据模型" w:history="1">
        <w:r>
          <w:rPr>
            <w:rStyle w:val="Hyperlink"/>
            <w:b/>
            <w:bCs/>
            <w:color w:val="auto"/>
            <w:szCs w:val="21"/>
          </w:rPr>
          <w:t xml:space="preserve">7.1.1 </w:t>
        </w:r>
        <w:r>
          <w:rPr>
            <w:rStyle w:val="Hyperlink"/>
            <w:rFonts w:hint="eastAsia"/>
            <w:b/>
            <w:bCs/>
            <w:color w:val="auto"/>
            <w:szCs w:val="21"/>
          </w:rPr>
          <w:t>注册入网设备数据模型</w:t>
        </w:r>
      </w:hyperlink>
    </w:p>
    <w:p>
      <w:pPr>
        <w:autoSpaceDN w:val="0"/>
        <w:rPr>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 STATUS 200</w:t>
      </w:r>
    </w:p>
    <w:p>
      <w:pPr>
        <w:autoSpaceDN w:val="0"/>
        <w:rPr>
          <w:szCs w:val="21"/>
        </w:rPr>
      </w:pPr>
      <w:r>
        <w:rPr>
          <w:rFonts w:hint="eastAsia"/>
          <w:szCs w:val="21"/>
        </w:rPr>
        <w:t>表示本次请求已被成功处理且响应正文包含业务数据</w:t>
      </w:r>
    </w:p>
    <w:p>
      <w:pPr>
        <w:autoSpaceDN w:val="0"/>
        <w:rPr>
          <w:b/>
          <w:bCs/>
          <w:szCs w:val="21"/>
        </w:rPr>
      </w:pPr>
    </w:p>
    <w:p>
      <w:pPr>
        <w:autoSpaceDN w:val="0"/>
        <w:rPr>
          <w:b/>
          <w:bCs/>
          <w:szCs w:val="21"/>
        </w:rPr>
      </w:pPr>
      <w:r>
        <w:rPr>
          <w:rFonts w:hint="eastAsia"/>
          <w:b/>
          <w:bCs/>
          <w:szCs w:val="21"/>
        </w:rPr>
        <w:t>响应正文</w:t>
      </w:r>
    </w:p>
    <w:p>
      <w:pPr>
        <w:autoSpaceDN w:val="0"/>
        <w:rPr>
          <w:szCs w:val="21"/>
        </w:rPr>
      </w:pPr>
      <w:r>
        <w:rPr>
          <w:szCs w:val="21"/>
        </w:rPr>
        <w:t>{</w:t>
      </w:r>
    </w:p>
    <w:p>
      <w:pPr>
        <w:autoSpaceDN w:val="0"/>
        <w:rPr>
          <w:szCs w:val="21"/>
        </w:rPr>
      </w:pPr>
      <w:r>
        <w:rPr>
          <w:szCs w:val="21"/>
        </w:rPr>
        <w:t xml:space="preserve">  "clientId": "FEBC93AB-E33B-42BB-BEE4-16354DFC5B70",</w:t>
      </w:r>
    </w:p>
    <w:p>
      <w:pPr>
        <w:autoSpaceDN w:val="0"/>
        <w:rPr>
          <w:szCs w:val="21"/>
        </w:rPr>
      </w:pPr>
      <w:r>
        <w:rPr>
          <w:szCs w:val="21"/>
        </w:rPr>
        <w:t>"registerTime ":"2019-11-04 14:10:00"</w:t>
      </w:r>
    </w:p>
    <w:p>
      <w:pPr>
        <w:autoSpaceDN w:val="0"/>
        <w:rPr>
          <w:szCs w:val="21"/>
        </w:rPr>
      </w:pPr>
      <w:r>
        <w:rPr>
          <w:szCs w:val="21"/>
        </w:rPr>
        <w:t>}</w:t>
      </w:r>
    </w:p>
    <w:p>
      <w:pPr>
        <w:autoSpaceDN w:val="0"/>
        <w:rPr>
          <w:szCs w:val="21"/>
        </w:rPr>
      </w:pPr>
    </w:p>
    <w:p>
      <w:pPr>
        <w:autoSpaceDN w:val="0"/>
        <w:rPr>
          <w:b/>
          <w:bCs/>
          <w:szCs w:val="21"/>
        </w:rPr>
      </w:pPr>
      <w:r>
        <w:rPr>
          <w:rFonts w:hint="eastAsia"/>
          <w:b/>
          <w:bCs/>
          <w:szCs w:val="21"/>
        </w:rPr>
        <w:t>响应正文说明</w:t>
      </w:r>
    </w:p>
    <w:p>
      <w:pPr>
        <w:autoSpaceDN w:val="0"/>
        <w:rPr>
          <w:b/>
          <w:bCs/>
          <w:szCs w:val="21"/>
        </w:rPr>
      </w:pPr>
      <w:r>
        <w:rPr>
          <w:rFonts w:hint="eastAsia"/>
          <w:b/>
          <w:bCs/>
          <w:szCs w:val="21"/>
        </w:rPr>
        <w:t>入网设备端需持久化存储响应的消息</w:t>
      </w:r>
    </w:p>
    <w:p>
      <w:pPr>
        <w:autoSpaceDN w:val="0"/>
        <w:rPr>
          <w:szCs w:val="21"/>
        </w:rPr>
      </w:pPr>
      <w:r>
        <w:rPr>
          <w:rFonts w:hint="eastAsia"/>
          <w:szCs w:val="21"/>
        </w:rPr>
        <w:t>请参考</w:t>
      </w:r>
      <w:hyperlink w:anchor="_设备信息" w:history="1">
        <w:r>
          <w:rPr>
            <w:rStyle w:val="Hyperlink"/>
            <w:b/>
            <w:bCs/>
            <w:color w:val="auto"/>
            <w:szCs w:val="21"/>
          </w:rPr>
          <w:t xml:space="preserve">7.1.2 </w:t>
        </w:r>
        <w:r>
          <w:rPr>
            <w:rStyle w:val="Hyperlink"/>
            <w:rFonts w:hint="eastAsia"/>
            <w:b/>
            <w:bCs/>
            <w:color w:val="auto"/>
            <w:szCs w:val="21"/>
          </w:rPr>
          <w:t>入网设备注册结果模型</w:t>
        </w:r>
      </w:hyperlink>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59" w:name="_Toc126335202"/>
      <w:r>
        <w:rPr>
          <w:rFonts w:hint="eastAsia"/>
          <w:szCs w:val="30"/>
        </w:rPr>
        <w:t>获取系统时间</w:t>
      </w:r>
      <w:bookmarkEnd w:id="59"/>
    </w:p>
    <w:p>
      <w:pPr>
        <w:autoSpaceDN w:val="0"/>
        <w:rPr>
          <w:szCs w:val="21"/>
        </w:rPr>
      </w:pPr>
      <w:r>
        <w:rPr>
          <w:rFonts w:hint="eastAsia"/>
          <w:szCs w:val="21"/>
        </w:rPr>
        <w:t>获取接口服务器当前的系统时间。为保证各系统时间一致，约定</w:t>
      </w:r>
      <w:r>
        <w:rPr>
          <w:szCs w:val="21"/>
        </w:rPr>
        <w:t>24</w:t>
      </w:r>
      <w:r>
        <w:rPr>
          <w:rFonts w:hint="eastAsia"/>
          <w:szCs w:val="21"/>
        </w:rPr>
        <w:t>小时同步一次。</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/api/v1/pub/system/time</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GET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b/>
          <w:bCs/>
          <w:szCs w:val="21"/>
        </w:rPr>
        <w:t>PATH</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x-client-id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入网设备唯一标识，对应章节</w:t>
            </w:r>
            <w:r>
              <w:rPr>
                <w:szCs w:val="21"/>
              </w:rPr>
              <w:t>4.2</w:t>
            </w:r>
            <w:r>
              <w:rPr>
                <w:rFonts w:hint="eastAsia"/>
                <w:szCs w:val="21"/>
              </w:rPr>
              <w:t>请求正文中的</w:t>
            </w:r>
            <w:r>
              <w:rPr>
                <w:szCs w:val="21"/>
              </w:rPr>
              <w:t>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请求正文</w:t>
      </w:r>
    </w:p>
    <w:p>
      <w:pPr>
        <w:autoSpaceDN w:val="0"/>
        <w:rPr>
          <w:szCs w:val="21"/>
        </w:rPr>
      </w:pPr>
      <w:r>
        <w:rPr>
          <w:rFonts w:hint="eastAsia"/>
          <w:szCs w:val="21"/>
        </w:rPr>
        <w:t>无</w:t>
      </w:r>
    </w:p>
    <w:p>
      <w:pPr>
        <w:autoSpaceDN w:val="0"/>
        <w:rPr>
          <w:b/>
          <w:bCs/>
          <w:szCs w:val="21"/>
        </w:rPr>
      </w:pPr>
    </w:p>
    <w:p>
      <w:pPr>
        <w:autoSpaceDN w:val="0"/>
        <w:rPr>
          <w:b/>
          <w:bCs/>
          <w:szCs w:val="21"/>
        </w:rPr>
      </w:pPr>
      <w:r>
        <w:rPr>
          <w:rFonts w:hint="eastAsia"/>
          <w:b/>
          <w:bCs/>
          <w:szCs w:val="21"/>
        </w:rPr>
        <w:t>请求正文说明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autoSpaceDN w:val="0"/>
        <w:rPr>
          <w:b/>
          <w:bCs/>
          <w:szCs w:val="21"/>
        </w:rPr>
      </w:pPr>
      <w:r>
        <w:rPr>
          <w:rFonts w:hint="eastAsia"/>
          <w:b/>
          <w:bCs/>
          <w:szCs w:val="21"/>
        </w:rPr>
        <w:t>响应消息</w:t>
      </w:r>
    </w:p>
    <w:p>
      <w:pPr>
        <w:autoSpaceDN w:val="0"/>
        <w:rPr>
          <w:szCs w:val="21"/>
        </w:rPr>
      </w:pPr>
    </w:p>
    <w:p>
      <w:pPr>
        <w:autoSpaceDN w:val="0"/>
        <w:rPr>
          <w:b/>
          <w:bCs/>
          <w:szCs w:val="21"/>
        </w:rPr>
      </w:pPr>
      <w:r>
        <w:rPr>
          <w:b/>
          <w:bCs/>
          <w:szCs w:val="21"/>
        </w:rPr>
        <w:t>HTTP STATUS 200</w:t>
      </w:r>
    </w:p>
    <w:p>
      <w:pPr>
        <w:autoSpaceDN w:val="0"/>
        <w:rPr>
          <w:szCs w:val="21"/>
        </w:rPr>
      </w:pPr>
      <w:r>
        <w:rPr>
          <w:rFonts w:hint="eastAsia"/>
          <w:szCs w:val="21"/>
        </w:rPr>
        <w:t>表示本次请求已被成功处理且响应正文包含业务数据</w:t>
      </w:r>
    </w:p>
    <w:p>
      <w:pPr>
        <w:autoSpaceDN w:val="0"/>
        <w:rPr>
          <w:b/>
          <w:bCs/>
          <w:szCs w:val="21"/>
        </w:rPr>
      </w:pPr>
    </w:p>
    <w:p>
      <w:pPr>
        <w:autoSpaceDN w:val="0"/>
        <w:rPr>
          <w:b/>
          <w:bCs/>
          <w:szCs w:val="21"/>
        </w:rPr>
      </w:pPr>
      <w:r>
        <w:rPr>
          <w:rFonts w:hint="eastAsia"/>
          <w:b/>
          <w:bCs/>
          <w:szCs w:val="21"/>
        </w:rPr>
        <w:t>响应正文</w:t>
      </w:r>
    </w:p>
    <w:p>
      <w:pPr>
        <w:autoSpaceDN w:val="0"/>
        <w:rPr>
          <w:szCs w:val="21"/>
        </w:rPr>
      </w:pPr>
      <w:r>
        <w:rPr>
          <w:szCs w:val="21"/>
        </w:rPr>
        <w:t>{</w:t>
      </w:r>
    </w:p>
    <w:p>
      <w:pPr>
        <w:autoSpaceDN w:val="0"/>
        <w:rPr>
          <w:szCs w:val="21"/>
        </w:rPr>
      </w:pPr>
      <w:r>
        <w:rPr>
          <w:szCs w:val="21"/>
        </w:rPr>
        <w:t xml:space="preserve">  "time": "2019-01-01 12:30:00"</w:t>
      </w:r>
    </w:p>
    <w:p>
      <w:pPr>
        <w:autoSpaceDN w:val="0"/>
        <w:rPr>
          <w:szCs w:val="21"/>
        </w:rPr>
      </w:pPr>
      <w:r>
        <w:rPr>
          <w:szCs w:val="21"/>
        </w:rPr>
        <w:t>}</w:t>
      </w:r>
    </w:p>
    <w:p>
      <w:pPr>
        <w:autoSpaceDN w:val="0"/>
        <w:rPr>
          <w:szCs w:val="21"/>
        </w:rPr>
      </w:pPr>
    </w:p>
    <w:p>
      <w:pPr>
        <w:autoSpaceDN w:val="0"/>
        <w:rPr>
          <w:b/>
          <w:bCs/>
          <w:szCs w:val="21"/>
        </w:rPr>
      </w:pPr>
      <w:r>
        <w:rPr>
          <w:rFonts w:hint="eastAsia"/>
          <w:b/>
          <w:bCs/>
          <w:szCs w:val="21"/>
        </w:rPr>
        <w:t>响应正文说明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示例值</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time</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当前系统时间</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2019-01-01 12:30:00</w:t>
            </w:r>
          </w:p>
        </w:tc>
      </w:tr>
    </w:tbl>
    <w:p>
      <w:pPr>
        <w:autoSpaceDN w:val="0"/>
        <w:rPr>
          <w:szCs w:val="21"/>
        </w:rPr>
      </w:pPr>
    </w:p>
    <w:p>
      <w:pPr>
        <w:widowControl/>
        <w:autoSpaceDN w:val="0"/>
        <w:jc w:val="left"/>
        <w:rPr>
          <w:b/>
          <w:bCs/>
          <w:szCs w:val="21"/>
          <w:u w:val="single"/>
        </w:rPr>
      </w:pPr>
      <w:bookmarkStart w:id="60" w:name="_刷新公钥"/>
      <w:bookmarkEnd w:id="60"/>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61" w:name="_汇报探测记录"/>
      <w:bookmarkStart w:id="62" w:name="_实时汇报探测记录"/>
      <w:bookmarkStart w:id="63" w:name="_Toc126335203"/>
      <w:bookmarkEnd w:id="61"/>
      <w:bookmarkEnd w:id="62"/>
      <w:r>
        <w:rPr>
          <w:rFonts w:hint="eastAsia"/>
          <w:szCs w:val="30"/>
        </w:rPr>
        <w:t>实时汇报探测记录</w:t>
      </w:r>
      <w:bookmarkEnd w:id="63"/>
    </w:p>
    <w:p>
      <w:pPr>
        <w:autoSpaceDN w:val="0"/>
        <w:rPr>
          <w:szCs w:val="21"/>
        </w:rPr>
      </w:pPr>
      <w:r>
        <w:rPr>
          <w:rFonts w:hint="eastAsia"/>
          <w:szCs w:val="21"/>
        </w:rPr>
        <w:t>完成一次探测之后，入网设备需要对结构化数据和非结构化数据进行收集，并调用此接口汇报探测结果。</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/api/v1/records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POST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b/>
          <w:bCs/>
          <w:szCs w:val="21"/>
        </w:rPr>
        <w:t>PATH</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请求头</w:t>
      </w:r>
    </w:p>
    <w:tbl>
      <w:tblPr>
        <w:tblW w:w="5000" w:type="pct"/>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130"/>
        <w:gridCol w:w="2131"/>
        <w:gridCol w:w="2296"/>
        <w:gridCol w:w="1965"/>
      </w:tblGrid>
      <w:tr>
        <w:tblPrEx>
          <w:tblW w:w="5000" w:type="pct"/>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130"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13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29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1965"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tblW w:w="5000" w:type="pct"/>
          <w:jc w:val="left"/>
          <w:tblInd w:w="0" w:type="dxa"/>
          <w:tblCellMar>
            <w:top w:w="0" w:type="dxa"/>
            <w:left w:w="108" w:type="dxa"/>
            <w:bottom w:w="0" w:type="dxa"/>
            <w:right w:w="108" w:type="dxa"/>
          </w:tblCellMar>
        </w:tblPrEx>
        <w:trPr>
          <w:jc w:val="left"/>
        </w:trPr>
        <w:tc>
          <w:tcPr>
            <w:tcW w:w="2130"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x-client-id</w:t>
            </w:r>
          </w:p>
        </w:tc>
        <w:tc>
          <w:tcPr>
            <w:tcW w:w="213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29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入网设备唯一标识，对应章节</w:t>
            </w:r>
            <w:r>
              <w:rPr>
                <w:szCs w:val="21"/>
              </w:rPr>
              <w:t>4.2</w:t>
            </w:r>
            <w:r>
              <w:rPr>
                <w:rFonts w:hint="eastAsia"/>
                <w:szCs w:val="21"/>
              </w:rPr>
              <w:t>请求正文中的</w:t>
            </w:r>
            <w:r>
              <w:rPr>
                <w:szCs w:val="21"/>
              </w:rPr>
              <w:t>clientId</w:t>
            </w:r>
          </w:p>
        </w:tc>
        <w:tc>
          <w:tcPr>
            <w:tcW w:w="196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tblW w:w="5000" w:type="pct"/>
          <w:jc w:val="left"/>
          <w:tblInd w:w="0" w:type="dxa"/>
          <w:tblCellMar>
            <w:top w:w="0" w:type="dxa"/>
            <w:left w:w="108" w:type="dxa"/>
            <w:bottom w:w="0" w:type="dxa"/>
            <w:right w:w="108" w:type="dxa"/>
          </w:tblCellMar>
        </w:tblPrEx>
        <w:trPr>
          <w:jc w:val="left"/>
        </w:trPr>
        <w:tc>
          <w:tcPr>
            <w:tcW w:w="2130"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Content-Type</w:t>
            </w:r>
          </w:p>
        </w:tc>
        <w:tc>
          <w:tcPr>
            <w:tcW w:w="213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296"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application/json; charset=utf-8;</w:t>
            </w:r>
          </w:p>
        </w:tc>
        <w:tc>
          <w:tcPr>
            <w:tcW w:w="196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tblW w:w="5000" w:type="pct"/>
          <w:jc w:val="left"/>
          <w:tblInd w:w="0" w:type="dxa"/>
          <w:tblCellMar>
            <w:top w:w="0" w:type="dxa"/>
            <w:left w:w="108" w:type="dxa"/>
            <w:bottom w:w="0" w:type="dxa"/>
            <w:right w:w="108" w:type="dxa"/>
          </w:tblCellMar>
        </w:tblPrEx>
        <w:trPr>
          <w:jc w:val="left"/>
        </w:trPr>
        <w:tc>
          <w:tcPr>
            <w:tcW w:w="2130"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Content-Length</w:t>
            </w:r>
          </w:p>
        </w:tc>
        <w:tc>
          <w:tcPr>
            <w:tcW w:w="213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w:t>
            </w:r>
          </w:p>
        </w:tc>
        <w:tc>
          <w:tcPr>
            <w:tcW w:w="229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请求正文中消息的长度</w:t>
            </w:r>
          </w:p>
        </w:tc>
        <w:tc>
          <w:tcPr>
            <w:tcW w:w="196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r>
        <w:rPr>
          <w:rFonts w:hint="eastAsia"/>
          <w:b/>
          <w:bCs/>
          <w:szCs w:val="21"/>
        </w:rPr>
        <w:t>请求正文</w:t>
      </w:r>
    </w:p>
    <w:p>
      <w:pPr>
        <w:autoSpaceDN w:val="0"/>
        <w:rPr>
          <w:szCs w:val="21"/>
        </w:rPr>
      </w:pPr>
    </w:p>
    <w:p>
      <w:pPr>
        <w:pStyle w:val="ListParagraph"/>
        <w:numPr>
          <w:ilvl w:val="0"/>
          <w:numId w:val="6"/>
        </w:numPr>
        <w:tabs>
          <w:tab w:val="clear" w:pos="0"/>
          <w:tab w:val="left" w:pos="720"/>
        </w:tabs>
        <w:autoSpaceDN w:val="0"/>
        <w:ind w:firstLineChars="0"/>
        <w:rPr>
          <w:szCs w:val="21"/>
        </w:rPr>
      </w:pPr>
      <w:r>
        <w:rPr>
          <w:rFonts w:hint="eastAsia"/>
          <w:szCs w:val="21"/>
        </w:rPr>
        <w:t>将探测记录序列化为</w:t>
      </w:r>
      <w:r>
        <w:rPr>
          <w:szCs w:val="21"/>
        </w:rPr>
        <w:t>JSON</w:t>
      </w:r>
    </w:p>
    <w:p>
      <w:pPr>
        <w:pStyle w:val="ListParagraph"/>
        <w:numPr>
          <w:ilvl w:val="0"/>
          <w:numId w:val="6"/>
        </w:numPr>
        <w:tabs>
          <w:tab w:val="clear" w:pos="0"/>
          <w:tab w:val="left" w:pos="720"/>
        </w:tabs>
        <w:autoSpaceDN w:val="0"/>
        <w:ind w:firstLineChars="0"/>
        <w:rPr>
          <w:szCs w:val="21"/>
        </w:rPr>
      </w:pPr>
      <w:r>
        <w:rPr>
          <w:rFonts w:hint="eastAsia"/>
          <w:szCs w:val="21"/>
        </w:rPr>
        <w:t>将字节数组，写入请求正文中</w:t>
      </w:r>
    </w:p>
    <w:p>
      <w:pPr>
        <w:pStyle w:val="ListParagraph"/>
        <w:numPr>
          <w:ilvl w:val="0"/>
          <w:numId w:val="6"/>
        </w:numPr>
        <w:tabs>
          <w:tab w:val="clear" w:pos="0"/>
          <w:tab w:val="left" w:pos="720"/>
        </w:tabs>
        <w:autoSpaceDN w:val="0"/>
        <w:ind w:firstLineChars="0"/>
        <w:rPr>
          <w:szCs w:val="21"/>
        </w:rPr>
      </w:pPr>
      <w:r>
        <w:rPr>
          <w:rFonts w:hint="eastAsia"/>
          <w:szCs w:val="21"/>
        </w:rPr>
        <w:t>将请求提交到服务器</w:t>
      </w:r>
    </w:p>
    <w:p>
      <w:pPr>
        <w:autoSpaceDN w:val="0"/>
        <w:rPr>
          <w:szCs w:val="21"/>
        </w:rPr>
      </w:pPr>
    </w:p>
    <w:p>
      <w:pPr>
        <w:autoSpaceDN w:val="0"/>
        <w:rPr>
          <w:b/>
          <w:bCs/>
          <w:szCs w:val="21"/>
        </w:rPr>
      </w:pPr>
      <w:r>
        <w:rPr>
          <w:rFonts w:hint="eastAsia"/>
          <w:b/>
          <w:bCs/>
          <w:szCs w:val="21"/>
        </w:rPr>
        <w:t>请求正文数据结构说明</w:t>
      </w:r>
    </w:p>
    <w:p>
      <w:pPr>
        <w:autoSpaceDN w:val="0"/>
        <w:rPr>
          <w:b/>
          <w:bCs/>
          <w:szCs w:val="21"/>
        </w:rPr>
      </w:pPr>
      <w:r>
        <w:rPr>
          <w:rFonts w:hint="eastAsia"/>
          <w:szCs w:val="21"/>
        </w:rPr>
        <w:t>请参考</w:t>
      </w:r>
      <w:hyperlink w:anchor="_探测记录数据模型_1" w:history="1">
        <w:r>
          <w:rPr>
            <w:rStyle w:val="Hyperlink"/>
            <w:b/>
            <w:bCs/>
            <w:color w:val="auto"/>
            <w:szCs w:val="21"/>
          </w:rPr>
          <w:t xml:space="preserve">7.1.5 </w:t>
        </w:r>
        <w:r>
          <w:rPr>
            <w:rStyle w:val="Hyperlink"/>
            <w:rFonts w:hint="eastAsia"/>
            <w:b/>
            <w:bCs/>
            <w:color w:val="auto"/>
            <w:szCs w:val="21"/>
          </w:rPr>
          <w:t>探测记录数据模型</w:t>
        </w:r>
      </w:hyperlink>
    </w:p>
    <w:p>
      <w:pPr>
        <w:autoSpaceDN w:val="0"/>
        <w:rPr>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HTTPSTATUS204</w:t>
      </w:r>
    </w:p>
    <w:p>
      <w:pPr>
        <w:autoSpaceDN w:val="0"/>
        <w:rPr>
          <w:szCs w:val="21"/>
        </w:rPr>
      </w:pPr>
      <w:r>
        <w:rPr>
          <w:rFonts w:hint="eastAsia"/>
          <w:szCs w:val="21"/>
        </w:rPr>
        <w:t>表示本次请求已被成功处理</w:t>
      </w:r>
    </w:p>
    <w:p>
      <w:pPr>
        <w:autoSpaceDN w:val="0"/>
        <w:rPr>
          <w:b/>
          <w:bCs/>
          <w:szCs w:val="21"/>
        </w:rPr>
      </w:pPr>
    </w:p>
    <w:p>
      <w:pPr>
        <w:autoSpaceDN w:val="0"/>
        <w:rPr>
          <w:b/>
          <w:bCs/>
          <w:szCs w:val="21"/>
        </w:rPr>
      </w:pPr>
      <w:r>
        <w:rPr>
          <w:rFonts w:hint="eastAsia"/>
          <w:b/>
          <w:bCs/>
          <w:szCs w:val="21"/>
        </w:rPr>
        <w:t>响应正文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响应正文说明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示例值</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pStyle w:val="Heading3"/>
        <w:keepNext/>
        <w:keepLines/>
        <w:widowControl w:val="0"/>
        <w:numPr>
          <w:ilvl w:val="1"/>
          <w:numId w:val="5"/>
        </w:numPr>
        <w:tabs>
          <w:tab w:val="left" w:pos="0"/>
        </w:tabs>
        <w:autoSpaceDN w:val="0"/>
        <w:spacing w:before="260" w:after="260" w:line="415" w:lineRule="auto"/>
        <w:ind w:left="576" w:hanging="576"/>
        <w:jc w:val="left"/>
        <w:rPr>
          <w:rFonts w:cs="Arial"/>
          <w:szCs w:val="30"/>
        </w:rPr>
      </w:pPr>
      <w:bookmarkStart w:id="64" w:name="_汇报历史探测记录"/>
      <w:bookmarkStart w:id="65" w:name="_历史探测记录"/>
      <w:bookmarkStart w:id="66" w:name="_Toc126335204"/>
      <w:bookmarkEnd w:id="64"/>
      <w:bookmarkEnd w:id="65"/>
      <w:r>
        <w:rPr>
          <w:rFonts w:hint="eastAsia"/>
          <w:szCs w:val="30"/>
        </w:rPr>
        <w:t>汇报历史探测记录</w:t>
      </w:r>
      <w:bookmarkEnd w:id="66"/>
    </w:p>
    <w:p>
      <w:pPr>
        <w:autoSpaceDN w:val="0"/>
        <w:rPr>
          <w:szCs w:val="21"/>
        </w:rPr>
      </w:pPr>
      <w:r>
        <w:rPr>
          <w:rFonts w:hint="eastAsia"/>
          <w:szCs w:val="21"/>
        </w:rPr>
        <w:t>入网设备通过此接口向接口服务器上传历史的探测数据。</w:t>
      </w:r>
    </w:p>
    <w:p>
      <w:pPr>
        <w:autoSpaceDN w:val="0"/>
        <w:rPr>
          <w:szCs w:val="21"/>
        </w:rPr>
      </w:pPr>
      <w:r>
        <w:rPr>
          <w:rFonts w:hint="eastAsia"/>
          <w:szCs w:val="21"/>
        </w:rPr>
        <w:t>上传历史记录列表长度需按照</w:t>
      </w:r>
      <w:hyperlink w:anchor="_查询探测记录" w:history="1">
        <w:r>
          <w:rPr>
            <w:rStyle w:val="Hyperlink"/>
            <w:rFonts w:hint="eastAsia"/>
            <w:color w:val="auto"/>
            <w:szCs w:val="21"/>
          </w:rPr>
          <w:t>查询探测记录</w:t>
        </w:r>
      </w:hyperlink>
      <w:r>
        <w:rPr>
          <w:rFonts w:hint="eastAsia"/>
          <w:szCs w:val="21"/>
        </w:rPr>
        <w:t>接口参数</w:t>
      </w:r>
      <w:r>
        <w:rPr>
          <w:szCs w:val="21"/>
        </w:rPr>
        <w:t>PageSize</w:t>
      </w:r>
      <w:r>
        <w:rPr>
          <w:rFonts w:hint="eastAsia"/>
          <w:szCs w:val="21"/>
        </w:rPr>
        <w:t>定义大小。</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/api/v1/historyrecords/{queryId}</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POST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b/>
          <w:bCs/>
          <w:szCs w:val="21"/>
        </w:rPr>
        <w:t>PATH</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queryId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查询标识</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x-client-id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入网设备唯一标识，对应章节</w:t>
            </w:r>
            <w:r>
              <w:rPr>
                <w:szCs w:val="21"/>
              </w:rPr>
              <w:t>4.2</w:t>
            </w:r>
            <w:r>
              <w:rPr>
                <w:rFonts w:hint="eastAsia"/>
                <w:szCs w:val="21"/>
              </w:rPr>
              <w:t>请求正文中的</w:t>
            </w:r>
            <w:r>
              <w:rPr>
                <w:szCs w:val="21"/>
              </w:rPr>
              <w:t>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Content-Type</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application/json; charset=utf-8;</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Content-Length</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请求正文中消息的长度</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请求正文</w:t>
      </w:r>
    </w:p>
    <w:p>
      <w:pPr>
        <w:pStyle w:val="ListParagraph"/>
        <w:numPr>
          <w:ilvl w:val="0"/>
          <w:numId w:val="7"/>
        </w:numPr>
        <w:tabs>
          <w:tab w:val="clear" w:pos="0"/>
          <w:tab w:val="left" w:pos="720"/>
        </w:tabs>
        <w:autoSpaceDN w:val="0"/>
        <w:ind w:firstLineChars="0"/>
        <w:rPr>
          <w:szCs w:val="21"/>
        </w:rPr>
      </w:pPr>
      <w:r>
        <w:rPr>
          <w:rFonts w:hint="eastAsia"/>
          <w:szCs w:val="21"/>
        </w:rPr>
        <w:t>将探测记录序列化为</w:t>
      </w:r>
      <w:r>
        <w:rPr>
          <w:szCs w:val="21"/>
        </w:rPr>
        <w:t>JSON</w:t>
      </w:r>
    </w:p>
    <w:p>
      <w:pPr>
        <w:pStyle w:val="ListParagraph"/>
        <w:numPr>
          <w:ilvl w:val="0"/>
          <w:numId w:val="7"/>
        </w:numPr>
        <w:tabs>
          <w:tab w:val="clear" w:pos="0"/>
          <w:tab w:val="left" w:pos="720"/>
        </w:tabs>
        <w:autoSpaceDN w:val="0"/>
        <w:ind w:firstLineChars="0"/>
        <w:rPr>
          <w:szCs w:val="21"/>
        </w:rPr>
      </w:pPr>
      <w:r>
        <w:rPr>
          <w:rFonts w:hint="eastAsia"/>
          <w:szCs w:val="21"/>
        </w:rPr>
        <w:t>将字节数组，写入请求正文中</w:t>
      </w:r>
    </w:p>
    <w:p>
      <w:pPr>
        <w:pStyle w:val="ListParagraph"/>
        <w:numPr>
          <w:ilvl w:val="0"/>
          <w:numId w:val="7"/>
        </w:numPr>
        <w:tabs>
          <w:tab w:val="clear" w:pos="0"/>
          <w:tab w:val="left" w:pos="720"/>
        </w:tabs>
        <w:autoSpaceDN w:val="0"/>
        <w:ind w:firstLineChars="0"/>
        <w:rPr>
          <w:szCs w:val="21"/>
        </w:rPr>
      </w:pPr>
      <w:r>
        <w:rPr>
          <w:rFonts w:hint="eastAsia"/>
          <w:szCs w:val="21"/>
        </w:rPr>
        <w:t>将请求提交到服务器</w:t>
      </w:r>
    </w:p>
    <w:p>
      <w:pPr>
        <w:autoSpaceDN w:val="0"/>
        <w:rPr>
          <w:szCs w:val="21"/>
        </w:rPr>
      </w:pPr>
    </w:p>
    <w:p>
      <w:pPr>
        <w:autoSpaceDN w:val="0"/>
        <w:rPr>
          <w:b/>
          <w:bCs/>
          <w:szCs w:val="21"/>
        </w:rPr>
      </w:pPr>
      <w:r>
        <w:rPr>
          <w:rFonts w:hint="eastAsia"/>
          <w:b/>
          <w:bCs/>
          <w:szCs w:val="21"/>
        </w:rPr>
        <w:t>请求正文数据结构说明</w:t>
      </w:r>
    </w:p>
    <w:p>
      <w:pPr>
        <w:autoSpaceDN w:val="0"/>
        <w:rPr>
          <w:szCs w:val="21"/>
        </w:rPr>
      </w:pPr>
      <w:hyperlink w:anchor="_探测记录数据模型_1" w:history="1">
        <w:r>
          <w:rPr>
            <w:rStyle w:val="Hyperlink"/>
            <w:color w:val="auto"/>
            <w:szCs w:val="21"/>
          </w:rPr>
          <w:t xml:space="preserve">7.1.5 </w:t>
        </w:r>
        <w:r>
          <w:rPr>
            <w:rStyle w:val="Hyperlink"/>
            <w:rFonts w:hint="eastAsia"/>
            <w:color w:val="auto"/>
            <w:szCs w:val="21"/>
          </w:rPr>
          <w:t>探测记录数据模型</w:t>
        </w:r>
        <w:r>
          <w:rPr>
            <w:rStyle w:val="Hyperlink"/>
            <w:color w:val="auto"/>
            <w:szCs w:val="21"/>
          </w:rPr>
          <w:t>[]</w:t>
        </w:r>
      </w:hyperlink>
    </w:p>
    <w:p>
      <w:pPr>
        <w:autoSpaceDN w:val="0"/>
        <w:rPr>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 STATUS 204</w:t>
      </w:r>
    </w:p>
    <w:p>
      <w:pPr>
        <w:autoSpaceDN w:val="0"/>
        <w:rPr>
          <w:szCs w:val="21"/>
        </w:rPr>
      </w:pPr>
      <w:r>
        <w:rPr>
          <w:rFonts w:hint="eastAsia"/>
          <w:szCs w:val="21"/>
        </w:rPr>
        <w:t>表示本次请求已被成功处理。</w:t>
      </w:r>
    </w:p>
    <w:p>
      <w:pPr>
        <w:autoSpaceDN w:val="0"/>
        <w:rPr>
          <w:b/>
          <w:bCs/>
          <w:szCs w:val="21"/>
        </w:rPr>
      </w:pPr>
    </w:p>
    <w:p>
      <w:pPr>
        <w:autoSpaceDN w:val="0"/>
        <w:rPr>
          <w:b/>
          <w:bCs/>
          <w:szCs w:val="21"/>
        </w:rPr>
      </w:pPr>
      <w:r>
        <w:rPr>
          <w:rFonts w:hint="eastAsia"/>
          <w:b/>
          <w:bCs/>
          <w:szCs w:val="21"/>
        </w:rPr>
        <w:t>响应正文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响应正文说明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示例值</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r>
        <w:rPr>
          <w:szCs w:val="30"/>
        </w:rPr>
        <w:br w:type="page"/>
      </w:r>
      <w:bookmarkStart w:id="67" w:name="_Toc126335205"/>
      <w:r>
        <w:rPr>
          <w:rFonts w:hint="eastAsia"/>
          <w:szCs w:val="30"/>
        </w:rPr>
        <w:t>汇报设备在线状态</w:t>
      </w:r>
      <w:bookmarkEnd w:id="67"/>
    </w:p>
    <w:p>
      <w:pPr>
        <w:autoSpaceDN w:val="0"/>
        <w:rPr>
          <w:szCs w:val="21"/>
        </w:rPr>
      </w:pPr>
      <w:r>
        <w:rPr>
          <w:rFonts w:hint="eastAsia"/>
          <w:szCs w:val="21"/>
        </w:rPr>
        <w:t>入网设备通过此接口向接口服务器汇报设备的在线状态。约定</w:t>
      </w:r>
      <w:r>
        <w:rPr>
          <w:szCs w:val="21"/>
        </w:rPr>
        <w:t>60</w:t>
      </w:r>
      <w:r>
        <w:rPr>
          <w:rFonts w:hint="eastAsia"/>
          <w:szCs w:val="21"/>
        </w:rPr>
        <w:t>分钟至少同步一次。</w:t>
      </w:r>
    </w:p>
    <w:p>
      <w:pPr>
        <w:autoSpaceDN w:val="0"/>
        <w:rPr>
          <w:b/>
          <w:bCs/>
          <w:szCs w:val="21"/>
        </w:rPr>
      </w:pPr>
    </w:p>
    <w:p>
      <w:pPr>
        <w:autoSpaceDN w:val="0"/>
        <w:rPr>
          <w:b/>
          <w:bCs/>
          <w:szCs w:val="21"/>
        </w:rPr>
      </w:pPr>
      <w:r>
        <w:rPr>
          <w:rFonts w:hint="eastAsia"/>
          <w:b/>
          <w:bCs/>
          <w:szCs w:val="21"/>
        </w:rPr>
        <w:t>服务端地址</w:t>
      </w:r>
    </w:p>
    <w:p>
      <w:pPr>
        <w:autoSpaceDN w:val="0"/>
        <w:rPr>
          <w:szCs w:val="21"/>
        </w:rPr>
      </w:pPr>
      <w:r>
        <w:rPr>
          <w:szCs w:val="21"/>
        </w:rPr>
        <w:t>/api/v1/devices/status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POST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b/>
          <w:bCs/>
          <w:szCs w:val="21"/>
        </w:rPr>
        <w:t>PATH</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x-client-id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入网设备唯一标识，对应章节</w:t>
            </w:r>
            <w:r>
              <w:rPr>
                <w:szCs w:val="21"/>
              </w:rPr>
              <w:t>4.2</w:t>
            </w:r>
            <w:r>
              <w:rPr>
                <w:rFonts w:hint="eastAsia"/>
                <w:szCs w:val="21"/>
              </w:rPr>
              <w:t>请求正文中的</w:t>
            </w:r>
            <w:r>
              <w:rPr>
                <w:szCs w:val="21"/>
              </w:rPr>
              <w:t>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Content-Type</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application/json; charset=utf-8;</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Content-Length</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请求正文中消息的长度</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请求正文</w:t>
      </w:r>
    </w:p>
    <w:p>
      <w:pPr>
        <w:autoSpaceDN w:val="0"/>
        <w:rPr>
          <w:szCs w:val="21"/>
        </w:rPr>
      </w:pPr>
      <w:r>
        <w:rPr>
          <w:szCs w:val="21"/>
        </w:rPr>
        <w:t>[</w:t>
      </w:r>
    </w:p>
    <w:p>
      <w:pPr>
        <w:autoSpaceDN w:val="0"/>
        <w:rPr>
          <w:szCs w:val="21"/>
        </w:rPr>
      </w:pPr>
      <w:r>
        <w:rPr>
          <w:szCs w:val="21"/>
        </w:rPr>
        <w:t xml:space="preserve">  {</w:t>
      </w:r>
    </w:p>
    <w:p>
      <w:pPr>
        <w:autoSpaceDN w:val="0"/>
        <w:rPr>
          <w:szCs w:val="21"/>
        </w:rPr>
      </w:pPr>
      <w:r>
        <w:rPr>
          <w:szCs w:val="21"/>
        </w:rPr>
        <w:t xml:space="preserve">    "deviceId": "TFNAN-X-181269",</w:t>
      </w:r>
    </w:p>
    <w:p>
      <w:pPr>
        <w:autoSpaceDN w:val="0"/>
        <w:rPr>
          <w:szCs w:val="21"/>
        </w:rPr>
      </w:pPr>
      <w:r>
        <w:rPr>
          <w:szCs w:val="21"/>
        </w:rPr>
        <w:t xml:space="preserve">    "status": "Online"</w:t>
      </w:r>
    </w:p>
    <w:p>
      <w:pPr>
        <w:autoSpaceDN w:val="0"/>
        <w:rPr>
          <w:szCs w:val="21"/>
        </w:rPr>
      </w:pPr>
      <w:r>
        <w:rPr>
          <w:szCs w:val="21"/>
        </w:rPr>
        <w:t xml:space="preserve">  }</w:t>
      </w:r>
    </w:p>
    <w:p>
      <w:pPr>
        <w:autoSpaceDN w:val="0"/>
        <w:rPr>
          <w:szCs w:val="21"/>
        </w:rPr>
      </w:pPr>
      <w:r>
        <w:rPr>
          <w:szCs w:val="21"/>
        </w:rPr>
        <w:t>]</w:t>
      </w:r>
    </w:p>
    <w:p>
      <w:pPr>
        <w:autoSpaceDN w:val="0"/>
        <w:rPr>
          <w:szCs w:val="21"/>
        </w:rPr>
      </w:pPr>
    </w:p>
    <w:p>
      <w:pPr>
        <w:autoSpaceDN w:val="0"/>
        <w:rPr>
          <w:b/>
          <w:bCs/>
          <w:szCs w:val="21"/>
        </w:rPr>
      </w:pPr>
      <w:r>
        <w:rPr>
          <w:rFonts w:hint="eastAsia"/>
          <w:b/>
          <w:bCs/>
          <w:szCs w:val="21"/>
        </w:rPr>
        <w:t>请求正文数据结构说明</w:t>
      </w:r>
    </w:p>
    <w:p>
      <w:pPr>
        <w:autoSpaceDN w:val="0"/>
        <w:rPr>
          <w:szCs w:val="21"/>
        </w:rPr>
      </w:pPr>
      <w:hyperlink w:anchor="_设备状态模型" w:history="1">
        <w:r>
          <w:rPr>
            <w:rStyle w:val="Hyperlink"/>
            <w:color w:val="auto"/>
            <w:szCs w:val="21"/>
          </w:rPr>
          <w:t xml:space="preserve">7.18 </w:t>
        </w:r>
        <w:r>
          <w:rPr>
            <w:rStyle w:val="Hyperlink"/>
            <w:rFonts w:hint="eastAsia"/>
            <w:color w:val="auto"/>
            <w:szCs w:val="21"/>
          </w:rPr>
          <w:t>设备状态模型</w:t>
        </w:r>
        <w:r>
          <w:rPr>
            <w:rStyle w:val="Hyperlink"/>
            <w:color w:val="auto"/>
            <w:szCs w:val="21"/>
          </w:rPr>
          <w:t>[]</w:t>
        </w:r>
      </w:hyperlink>
    </w:p>
    <w:p>
      <w:pPr>
        <w:autoSpaceDN w:val="0"/>
        <w:rPr>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 STATUS 204</w:t>
      </w:r>
    </w:p>
    <w:p>
      <w:pPr>
        <w:autoSpaceDN w:val="0"/>
        <w:rPr>
          <w:szCs w:val="21"/>
        </w:rPr>
      </w:pPr>
      <w:r>
        <w:rPr>
          <w:rFonts w:hint="eastAsia"/>
          <w:szCs w:val="21"/>
        </w:rPr>
        <w:t>表示本次请求已被成功处理。</w:t>
      </w:r>
    </w:p>
    <w:p>
      <w:pPr>
        <w:autoSpaceDN w:val="0"/>
        <w:rPr>
          <w:b/>
          <w:bCs/>
          <w:szCs w:val="21"/>
        </w:rPr>
      </w:pPr>
    </w:p>
    <w:p>
      <w:pPr>
        <w:autoSpaceDN w:val="0"/>
        <w:rPr>
          <w:b/>
          <w:bCs/>
          <w:szCs w:val="21"/>
        </w:rPr>
      </w:pPr>
      <w:r>
        <w:rPr>
          <w:rFonts w:hint="eastAsia"/>
          <w:b/>
          <w:bCs/>
          <w:szCs w:val="21"/>
        </w:rPr>
        <w:t>响应正文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响应正文说明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示例值</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widowControl/>
        <w:autoSpaceDN w:val="0"/>
        <w:jc w:val="left"/>
        <w:rPr>
          <w:szCs w:val="21"/>
        </w:rPr>
      </w:pPr>
      <w:r>
        <w:rPr>
          <w:szCs w:val="21"/>
        </w:rPr>
        <w:br w:type="page"/>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68" w:name="_Toc126335206"/>
      <w:r>
        <w:rPr>
          <w:rFonts w:hint="eastAsia"/>
          <w:szCs w:val="30"/>
        </w:rPr>
        <w:t>汇报设备工作状态</w:t>
      </w:r>
      <w:bookmarkEnd w:id="68"/>
    </w:p>
    <w:p>
      <w:pPr>
        <w:autoSpaceDN w:val="0"/>
        <w:rPr>
          <w:szCs w:val="21"/>
        </w:rPr>
      </w:pPr>
      <w:r>
        <w:rPr>
          <w:rFonts w:hint="eastAsia"/>
          <w:szCs w:val="21"/>
        </w:rPr>
        <w:t>入网设备通过此接口向接口服务器汇报设备的工作状态。设备工作状态发生变化后需要调用此接口。</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/api/v1/devices/{deviceId}/workstatus/{workStatus}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PUT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b/>
          <w:bCs/>
          <w:szCs w:val="21"/>
        </w:rPr>
        <w:t>PATH</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03"/>
        <w:gridCol w:w="2977"/>
        <w:gridCol w:w="1242"/>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03"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977"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1242"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2003"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977"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设备</w:t>
            </w:r>
            <w:r>
              <w:rPr>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c>
          <w:tcPr>
            <w:tcW w:w="1242"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workStatus</w:t>
            </w:r>
          </w:p>
        </w:tc>
        <w:tc>
          <w:tcPr>
            <w:tcW w:w="2003"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977"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工作状态</w:t>
            </w:r>
          </w:p>
          <w:p>
            <w:pPr>
              <w:autoSpaceDN w:val="0"/>
              <w:rPr>
                <w:szCs w:val="21"/>
              </w:rPr>
            </w:pPr>
            <w:r>
              <w:rPr>
                <w:rFonts w:hint="eastAsia"/>
                <w:szCs w:val="21"/>
              </w:rPr>
              <w:t>可选枚举值如下</w:t>
            </w:r>
          </w:p>
          <w:p>
            <w:pPr>
              <w:autoSpaceDN w:val="0"/>
              <w:rPr>
                <w:szCs w:val="21"/>
              </w:rPr>
            </w:pPr>
            <w:r>
              <w:rPr>
                <w:szCs w:val="21"/>
              </w:rPr>
              <w:t>Pause //</w:t>
            </w:r>
            <w:r>
              <w:rPr>
                <w:rFonts w:hint="eastAsia"/>
                <w:szCs w:val="21"/>
              </w:rPr>
              <w:t>暂停</w:t>
            </w:r>
          </w:p>
          <w:p>
            <w:pPr>
              <w:autoSpaceDN w:val="0"/>
              <w:rPr>
                <w:szCs w:val="21"/>
              </w:rPr>
            </w:pPr>
            <w:r>
              <w:rPr>
                <w:szCs w:val="21"/>
              </w:rPr>
              <w:t>PrewarmMode //</w:t>
            </w:r>
            <w:r>
              <w:rPr>
                <w:rFonts w:hint="eastAsia"/>
                <w:szCs w:val="21"/>
              </w:rPr>
              <w:t>预热模式</w:t>
            </w:r>
          </w:p>
          <w:p>
            <w:pPr>
              <w:autoSpaceDN w:val="0"/>
              <w:rPr>
                <w:szCs w:val="21"/>
              </w:rPr>
            </w:pPr>
            <w:r>
              <w:rPr>
                <w:szCs w:val="21"/>
              </w:rPr>
              <w:t>BackgroundMode //</w:t>
            </w:r>
            <w:r>
              <w:rPr>
                <w:rFonts w:hint="eastAsia"/>
                <w:szCs w:val="21"/>
              </w:rPr>
              <w:t>本底模式</w:t>
            </w:r>
          </w:p>
          <w:p>
            <w:pPr>
              <w:autoSpaceDN w:val="0"/>
              <w:rPr>
                <w:szCs w:val="21"/>
              </w:rPr>
            </w:pPr>
            <w:r>
              <w:rPr>
                <w:szCs w:val="21"/>
              </w:rPr>
              <w:t>DetectionMode //</w:t>
            </w:r>
            <w:r>
              <w:rPr>
                <w:rFonts w:hint="eastAsia"/>
                <w:szCs w:val="21"/>
              </w:rPr>
              <w:t>探测模式</w:t>
            </w:r>
          </w:p>
          <w:p>
            <w:pPr>
              <w:autoSpaceDN w:val="0"/>
              <w:rPr>
                <w:szCs w:val="21"/>
              </w:rPr>
            </w:pPr>
            <w:r>
              <w:rPr>
                <w:szCs w:val="21"/>
              </w:rPr>
              <w:t>Stopped //</w:t>
            </w:r>
            <w:r>
              <w:rPr>
                <w:rFonts w:hint="eastAsia"/>
                <w:szCs w:val="21"/>
              </w:rPr>
              <w:t>已停止</w:t>
            </w:r>
          </w:p>
        </w:tc>
        <w:tc>
          <w:tcPr>
            <w:tcW w:w="1242"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03"/>
        <w:gridCol w:w="2977"/>
        <w:gridCol w:w="1242"/>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03"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977"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1242"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x-client-id</w:t>
            </w:r>
          </w:p>
        </w:tc>
        <w:tc>
          <w:tcPr>
            <w:tcW w:w="2003"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977"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入网设备唯一标识，对应章节</w:t>
            </w:r>
            <w:r>
              <w:rPr>
                <w:szCs w:val="21"/>
              </w:rPr>
              <w:t>4.2</w:t>
            </w:r>
            <w:r>
              <w:rPr>
                <w:rFonts w:hint="eastAsia"/>
                <w:szCs w:val="21"/>
              </w:rPr>
              <w:t>请求正文中的</w:t>
            </w:r>
            <w:r>
              <w:rPr>
                <w:szCs w:val="21"/>
              </w:rPr>
              <w:t>clientId</w:t>
            </w:r>
          </w:p>
        </w:tc>
        <w:tc>
          <w:tcPr>
            <w:tcW w:w="1242"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Content-Type</w:t>
            </w:r>
          </w:p>
        </w:tc>
        <w:tc>
          <w:tcPr>
            <w:tcW w:w="2003"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977"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application/json; charset=utf-8;</w:t>
            </w:r>
          </w:p>
        </w:tc>
        <w:tc>
          <w:tcPr>
            <w:tcW w:w="1242"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Content-Length</w:t>
            </w:r>
          </w:p>
        </w:tc>
        <w:tc>
          <w:tcPr>
            <w:tcW w:w="2003"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w:t>
            </w:r>
          </w:p>
        </w:tc>
        <w:tc>
          <w:tcPr>
            <w:tcW w:w="2977"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请求正文中消息的长度</w:t>
            </w:r>
          </w:p>
        </w:tc>
        <w:tc>
          <w:tcPr>
            <w:tcW w:w="1242"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请求正文</w:t>
      </w:r>
    </w:p>
    <w:p>
      <w:pPr>
        <w:autoSpaceDN w:val="0"/>
        <w:ind w:firstLine="210" w:firstLineChars="100"/>
        <w:rPr>
          <w:szCs w:val="21"/>
        </w:rPr>
      </w:pPr>
      <w:r>
        <w:rPr>
          <w:rFonts w:hint="eastAsia"/>
          <w:szCs w:val="21"/>
        </w:rPr>
        <w:t>无</w:t>
      </w:r>
    </w:p>
    <w:p>
      <w:pPr>
        <w:autoSpaceDN w:val="0"/>
        <w:rPr>
          <w:rFonts w:hint="eastAsia"/>
          <w:szCs w:val="21"/>
        </w:rPr>
      </w:pPr>
    </w:p>
    <w:p>
      <w:pPr>
        <w:autoSpaceDN w:val="0"/>
        <w:rPr>
          <w:b/>
          <w:bCs/>
          <w:szCs w:val="21"/>
        </w:rPr>
      </w:pPr>
      <w:r>
        <w:rPr>
          <w:rFonts w:hint="eastAsia"/>
          <w:b/>
          <w:bCs/>
          <w:szCs w:val="21"/>
        </w:rPr>
        <w:t>请求正文数据结构说明</w:t>
      </w:r>
    </w:p>
    <w:p>
      <w:pPr>
        <w:autoSpaceDN w:val="0"/>
        <w:rPr>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 STATUS 204</w:t>
      </w:r>
    </w:p>
    <w:p>
      <w:pPr>
        <w:autoSpaceDN w:val="0"/>
        <w:rPr>
          <w:szCs w:val="21"/>
        </w:rPr>
      </w:pPr>
      <w:r>
        <w:rPr>
          <w:rFonts w:hint="eastAsia"/>
          <w:szCs w:val="21"/>
        </w:rPr>
        <w:t>表示本次请求已被成功处理。</w:t>
      </w:r>
    </w:p>
    <w:p>
      <w:pPr>
        <w:autoSpaceDN w:val="0"/>
        <w:rPr>
          <w:b/>
          <w:bCs/>
          <w:szCs w:val="21"/>
        </w:rPr>
      </w:pPr>
    </w:p>
    <w:p>
      <w:pPr>
        <w:autoSpaceDN w:val="0"/>
        <w:rPr>
          <w:b/>
          <w:bCs/>
          <w:szCs w:val="21"/>
        </w:rPr>
      </w:pPr>
      <w:r>
        <w:rPr>
          <w:rFonts w:hint="eastAsia"/>
          <w:b/>
          <w:bCs/>
          <w:szCs w:val="21"/>
        </w:rPr>
        <w:t>响应正文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响应正文说明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示例值</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widowControl/>
        <w:autoSpaceDN w:val="0"/>
        <w:jc w:val="left"/>
        <w:rPr>
          <w:szCs w:val="21"/>
        </w:rPr>
      </w:pPr>
      <w:r>
        <w:rPr>
          <w:szCs w:val="21"/>
        </w:rPr>
        <w:br w:type="page"/>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69" w:name="_Toc126335207"/>
      <w:r>
        <w:rPr>
          <w:rFonts w:hint="eastAsia"/>
          <w:szCs w:val="30"/>
        </w:rPr>
        <w:t>汇报设备异常状态</w:t>
      </w:r>
      <w:bookmarkEnd w:id="69"/>
    </w:p>
    <w:p>
      <w:pPr>
        <w:autoSpaceDN w:val="0"/>
        <w:rPr>
          <w:szCs w:val="21"/>
        </w:rPr>
      </w:pPr>
      <w:r>
        <w:rPr>
          <w:rFonts w:hint="eastAsia"/>
          <w:szCs w:val="21"/>
        </w:rPr>
        <w:t>入网设备通过此接口向接口服务器汇报设备的异常状态。设备有异常状态时或恢复正常后需要调用此接口。</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/api/v1/devices/{deviceId}/errorstatus/{errorStatus}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PUT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1295"/>
        <w:gridCol w:w="3402"/>
        <w:gridCol w:w="1525"/>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1295"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402"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1525"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1295"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3402"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1525"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b/>
          <w:bCs/>
          <w:szCs w:val="21"/>
        </w:rPr>
        <w:t>PATH</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1295"/>
        <w:gridCol w:w="3402"/>
        <w:gridCol w:w="1525"/>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1295"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402"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1525"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129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402"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设备</w:t>
            </w:r>
            <w:r>
              <w:rPr>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c>
          <w:tcPr>
            <w:tcW w:w="152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errorStatus</w:t>
            </w:r>
          </w:p>
        </w:tc>
        <w:tc>
          <w:tcPr>
            <w:tcW w:w="129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402"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异常值</w:t>
            </w:r>
            <w:r>
              <w:rPr>
                <w:szCs w:val="21"/>
              </w:rPr>
              <w:t>,</w:t>
            </w:r>
          </w:p>
          <w:p>
            <w:pPr>
              <w:autoSpaceDN w:val="0"/>
              <w:rPr>
                <w:szCs w:val="21"/>
              </w:rPr>
            </w:pPr>
            <w:r>
              <w:rPr>
                <w:rFonts w:hint="eastAsia"/>
                <w:szCs w:val="21"/>
              </w:rPr>
              <w:t>正常状态为</w:t>
            </w:r>
            <w:r>
              <w:rPr>
                <w:szCs w:val="21"/>
              </w:rPr>
              <w:t>Normal</w:t>
            </w:r>
          </w:p>
          <w:p>
            <w:pPr>
              <w:autoSpaceDN w:val="0"/>
              <w:rPr>
                <w:szCs w:val="21"/>
              </w:rPr>
            </w:pPr>
            <w:r>
              <w:rPr>
                <w:rFonts w:hint="eastAsia"/>
                <w:szCs w:val="21"/>
              </w:rPr>
              <w:t>异常状态代码由设备厂商自己定义</w:t>
            </w:r>
          </w:p>
        </w:tc>
        <w:tc>
          <w:tcPr>
            <w:tcW w:w="152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1295"/>
        <w:gridCol w:w="3402"/>
        <w:gridCol w:w="1525"/>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1295"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402"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1525"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x-client-id</w:t>
            </w:r>
          </w:p>
        </w:tc>
        <w:tc>
          <w:tcPr>
            <w:tcW w:w="129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402"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入网设备唯一标识，对应章节</w:t>
            </w:r>
            <w:r>
              <w:rPr>
                <w:szCs w:val="21"/>
              </w:rPr>
              <w:t>4.2</w:t>
            </w:r>
            <w:r>
              <w:rPr>
                <w:rFonts w:hint="eastAsia"/>
                <w:szCs w:val="21"/>
              </w:rPr>
              <w:t>请求正文中的</w:t>
            </w:r>
            <w:r>
              <w:rPr>
                <w:szCs w:val="21"/>
              </w:rPr>
              <w:t>clientId</w:t>
            </w:r>
          </w:p>
        </w:tc>
        <w:tc>
          <w:tcPr>
            <w:tcW w:w="152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Content-Type</w:t>
            </w:r>
          </w:p>
        </w:tc>
        <w:tc>
          <w:tcPr>
            <w:tcW w:w="129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402"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application/json; charset=utf-8;</w:t>
            </w:r>
          </w:p>
        </w:tc>
        <w:tc>
          <w:tcPr>
            <w:tcW w:w="152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Content-Length</w:t>
            </w:r>
          </w:p>
        </w:tc>
        <w:tc>
          <w:tcPr>
            <w:tcW w:w="129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w:t>
            </w:r>
          </w:p>
        </w:tc>
        <w:tc>
          <w:tcPr>
            <w:tcW w:w="3402"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请求正文中消息的长度</w:t>
            </w:r>
          </w:p>
        </w:tc>
        <w:tc>
          <w:tcPr>
            <w:tcW w:w="1525"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请求正文</w:t>
      </w:r>
    </w:p>
    <w:p>
      <w:pPr>
        <w:autoSpaceDN w:val="0"/>
        <w:ind w:firstLine="210" w:firstLineChars="100"/>
        <w:rPr>
          <w:szCs w:val="21"/>
        </w:rPr>
      </w:pPr>
      <w:r>
        <w:rPr>
          <w:rFonts w:hint="eastAsia"/>
          <w:szCs w:val="21"/>
        </w:rPr>
        <w:t>无</w:t>
      </w:r>
    </w:p>
    <w:p>
      <w:pPr>
        <w:autoSpaceDN w:val="0"/>
        <w:rPr>
          <w:rFonts w:hint="eastAsia"/>
          <w:szCs w:val="21"/>
        </w:rPr>
      </w:pPr>
    </w:p>
    <w:p>
      <w:pPr>
        <w:autoSpaceDN w:val="0"/>
        <w:rPr>
          <w:b/>
          <w:bCs/>
          <w:szCs w:val="21"/>
        </w:rPr>
      </w:pPr>
      <w:r>
        <w:rPr>
          <w:rFonts w:hint="eastAsia"/>
          <w:b/>
          <w:bCs/>
          <w:szCs w:val="21"/>
        </w:rPr>
        <w:t>请求正文数据结构说明</w:t>
      </w:r>
    </w:p>
    <w:p>
      <w:pPr>
        <w:autoSpaceDN w:val="0"/>
        <w:ind w:firstLine="210" w:firstLineChars="100"/>
        <w:rPr>
          <w:szCs w:val="21"/>
        </w:rPr>
      </w:pPr>
      <w:r>
        <w:rPr>
          <w:rFonts w:hint="eastAsia"/>
          <w:szCs w:val="21"/>
        </w:rPr>
        <w:t>无</w:t>
      </w:r>
    </w:p>
    <w:p>
      <w:pPr>
        <w:autoSpaceDN w:val="0"/>
        <w:rPr>
          <w:rFonts w:hint="eastAsia"/>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 STATUS 204</w:t>
      </w:r>
    </w:p>
    <w:p>
      <w:pPr>
        <w:autoSpaceDN w:val="0"/>
        <w:rPr>
          <w:szCs w:val="21"/>
        </w:rPr>
      </w:pPr>
      <w:r>
        <w:rPr>
          <w:rFonts w:hint="eastAsia"/>
          <w:szCs w:val="21"/>
        </w:rPr>
        <w:t>表示本次请求已被成功处理。</w:t>
      </w:r>
    </w:p>
    <w:p>
      <w:pPr>
        <w:autoSpaceDN w:val="0"/>
        <w:rPr>
          <w:b/>
          <w:bCs/>
          <w:szCs w:val="21"/>
        </w:rPr>
      </w:pPr>
    </w:p>
    <w:p>
      <w:pPr>
        <w:autoSpaceDN w:val="0"/>
        <w:rPr>
          <w:b/>
          <w:bCs/>
          <w:szCs w:val="21"/>
        </w:rPr>
      </w:pPr>
      <w:r>
        <w:rPr>
          <w:rFonts w:hint="eastAsia"/>
          <w:b/>
          <w:bCs/>
          <w:szCs w:val="21"/>
        </w:rPr>
        <w:t>响应正文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响应正文说明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示例值</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widowControl/>
        <w:autoSpaceDN w:val="0"/>
        <w:jc w:val="left"/>
        <w:rPr>
          <w:szCs w:val="21"/>
        </w:rPr>
      </w:pPr>
      <w:r>
        <w:rPr>
          <w:szCs w:val="21"/>
        </w:rPr>
        <w:br w:type="page"/>
      </w:r>
    </w:p>
    <w:p>
      <w:pPr>
        <w:widowControl/>
        <w:autoSpaceDN w:val="0"/>
        <w:jc w:val="left"/>
        <w:rPr>
          <w:szCs w:val="21"/>
        </w:rPr>
      </w:pPr>
    </w:p>
    <w:p>
      <w:pPr>
        <w:widowControl/>
        <w:autoSpaceDN w:val="0"/>
        <w:jc w:val="left"/>
        <w:rPr>
          <w:szCs w:val="21"/>
        </w:rPr>
      </w:pPr>
    </w:p>
    <w:p>
      <w:pPr>
        <w:pStyle w:val="Heading2"/>
        <w:keepLines/>
        <w:widowControl w:val="0"/>
        <w:numPr>
          <w:ilvl w:val="0"/>
          <w:numId w:val="5"/>
        </w:numPr>
        <w:tabs>
          <w:tab w:val="left" w:pos="0"/>
        </w:tabs>
        <w:autoSpaceDN w:val="0"/>
        <w:spacing w:before="260" w:after="260" w:line="360" w:lineRule="auto"/>
        <w:ind w:left="0" w:firstLine="0"/>
        <w:jc w:val="left"/>
      </w:pPr>
      <w:bookmarkStart w:id="70" w:name="_Toc126335208"/>
      <w:r>
        <w:rPr>
          <w:rFonts w:hint="eastAsia"/>
          <w:szCs w:val="32"/>
        </w:rPr>
        <w:t>入网设备提供接口</w:t>
      </w:r>
      <w:bookmarkEnd w:id="70"/>
    </w:p>
    <w:p>
      <w:pPr>
        <w:autoSpaceDN w:val="0"/>
        <w:ind w:firstLine="420"/>
        <w:rPr>
          <w:rFonts w:hint="eastAsia"/>
          <w:szCs w:val="21"/>
        </w:rPr>
      </w:pPr>
      <w:r>
        <w:rPr>
          <w:rFonts w:hint="eastAsia"/>
          <w:szCs w:val="21"/>
        </w:rPr>
        <w:t>入网设备需要实现以下接口并且进行托管。</w:t>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71" w:name="_查询探测记录"/>
      <w:bookmarkStart w:id="72" w:name="_Toc126335209"/>
      <w:bookmarkEnd w:id="71"/>
      <w:r>
        <w:rPr>
          <w:szCs w:val="30"/>
        </w:rPr>
        <w:softHyphen/>
      </w:r>
      <w:r>
        <w:rPr>
          <w:rFonts w:hint="eastAsia"/>
          <w:szCs w:val="30"/>
        </w:rPr>
        <w:t>查询探测记录</w:t>
      </w:r>
      <w:bookmarkEnd w:id="72"/>
    </w:p>
    <w:p>
      <w:pPr>
        <w:autoSpaceDN w:val="0"/>
        <w:ind w:left="420"/>
        <w:rPr>
          <w:szCs w:val="21"/>
        </w:rPr>
      </w:pPr>
      <w:r>
        <w:rPr>
          <w:rFonts w:hint="eastAsia"/>
          <w:szCs w:val="21"/>
        </w:rPr>
        <w:t>直属于每天中午</w:t>
      </w:r>
      <w:r>
        <w:rPr>
          <w:szCs w:val="21"/>
        </w:rPr>
        <w:t>12:00:00</w:t>
      </w:r>
      <w:r>
        <w:rPr>
          <w:rFonts w:hint="eastAsia"/>
          <w:szCs w:val="21"/>
        </w:rPr>
        <w:t>后调用该接口。</w:t>
      </w:r>
    </w:p>
    <w:p>
      <w:pPr>
        <w:autoSpaceDN w:val="0"/>
        <w:ind w:firstLine="420"/>
        <w:rPr>
          <w:rFonts w:hint="eastAsia"/>
          <w:szCs w:val="21"/>
        </w:rPr>
      </w:pPr>
      <w:r>
        <w:rPr>
          <w:rFonts w:hint="eastAsia"/>
          <w:szCs w:val="21"/>
        </w:rPr>
        <w:t>处理查询探测记录的请求，作为被调用方在接到请求之后，应在程序内部进行异步的处理，然后只需响应符合条件的行数即可。</w:t>
      </w:r>
    </w:p>
    <w:p>
      <w:pPr>
        <w:autoSpaceDN w:val="0"/>
        <w:ind w:firstLine="420"/>
        <w:rPr>
          <w:szCs w:val="21"/>
        </w:rPr>
      </w:pPr>
      <w:r>
        <w:rPr>
          <w:rFonts w:hint="eastAsia"/>
          <w:szCs w:val="21"/>
        </w:rPr>
        <w:t>程序内部完成数据收集工作之后，在空闲时段内将数据分批提交到</w:t>
      </w:r>
      <w:hyperlink w:anchor="_历史探测记录" w:history="1">
        <w:r>
          <w:rPr>
            <w:rStyle w:val="Hyperlink"/>
            <w:rFonts w:hint="eastAsia"/>
            <w:b/>
            <w:bCs/>
            <w:color w:val="auto"/>
            <w:szCs w:val="21"/>
          </w:rPr>
          <w:t>汇报历史探测记录</w:t>
        </w:r>
      </w:hyperlink>
      <w:r>
        <w:rPr>
          <w:rFonts w:hint="eastAsia"/>
          <w:szCs w:val="21"/>
        </w:rPr>
        <w:t>接口</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/api/v1/records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GET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auto"/>
          </w:tcPr>
          <w:p>
            <w:pPr>
              <w:autoSpaceDN w:val="0"/>
              <w:rPr>
                <w:szCs w:val="21"/>
              </w:rPr>
            </w:pPr>
            <w:r>
              <w:rPr>
                <w:szCs w:val="21"/>
              </w:rPr>
              <w:t>deviceId</w:t>
            </w:r>
          </w:p>
        </w:tc>
        <w:tc>
          <w:tcPr>
            <w:tcW w:w="2074" w:type="dxa"/>
            <w:tcBorders>
              <w:top w:val="single" w:sz="4" w:space="0" w:color="auto"/>
              <w:left w:val="single" w:sz="4" w:space="0" w:color="auto"/>
              <w:bottom w:val="single" w:sz="4" w:space="0" w:color="auto"/>
              <w:right w:val="single" w:sz="4" w:space="0" w:color="auto"/>
            </w:tcBorders>
            <w:shd w:val="clear" w:color="auto" w:fill="auto"/>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shd w:val="clear" w:color="auto" w:fill="auto"/>
          </w:tcPr>
          <w:p>
            <w:pPr>
              <w:autoSpaceDN w:val="0"/>
              <w:rPr>
                <w:szCs w:val="21"/>
              </w:rPr>
            </w:pPr>
            <w:r>
              <w:rPr>
                <w:rFonts w:hint="eastAsia"/>
                <w:szCs w:val="21"/>
              </w:rPr>
              <w:t>设备</w:t>
            </w:r>
            <w:r>
              <w:rPr>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c>
          <w:tcPr>
            <w:tcW w:w="2074" w:type="dxa"/>
            <w:tcBorders>
              <w:top w:val="single" w:sz="4" w:space="0" w:color="auto"/>
              <w:left w:val="single" w:sz="4" w:space="0" w:color="auto"/>
              <w:bottom w:val="single" w:sz="4" w:space="0" w:color="auto"/>
              <w:right w:val="single" w:sz="4" w:space="0" w:color="auto"/>
            </w:tcBorders>
            <w:shd w:val="clear" w:color="auto" w:fill="auto"/>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startDate</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开始日期。</w:t>
            </w:r>
          </w:p>
          <w:p>
            <w:pPr>
              <w:autoSpaceDN w:val="0"/>
              <w:rPr>
                <w:szCs w:val="21"/>
              </w:rPr>
            </w:pPr>
            <w:r>
              <w:rPr>
                <w:rFonts w:hint="eastAsia"/>
                <w:szCs w:val="21"/>
              </w:rPr>
              <w:t>格式：</w:t>
            </w:r>
            <w:r>
              <w:rPr>
                <w:szCs w:val="21"/>
              </w:rPr>
              <w:t>yyyy-MM-dd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endDate</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结束日期。</w:t>
            </w:r>
          </w:p>
          <w:p>
            <w:pPr>
              <w:autoSpaceDN w:val="0"/>
              <w:rPr>
                <w:szCs w:val="21"/>
              </w:rPr>
            </w:pPr>
            <w:r>
              <w:rPr>
                <w:rFonts w:hint="eastAsia"/>
                <w:szCs w:val="21"/>
              </w:rPr>
              <w:t>格式：</w:t>
            </w:r>
            <w:r>
              <w:rPr>
                <w:szCs w:val="21"/>
              </w:rPr>
              <w:t>yyyy-MM-dd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queryId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查询标识。</w:t>
            </w:r>
          </w:p>
          <w:p>
            <w:pPr>
              <w:autoSpaceDN w:val="0"/>
              <w:rPr>
                <w:szCs w:val="21"/>
              </w:rPr>
            </w:pPr>
            <w:r>
              <w:rPr>
                <w:rFonts w:hint="eastAsia"/>
                <w:szCs w:val="21"/>
              </w:rPr>
              <w:t>一个</w:t>
            </w:r>
            <w:r>
              <w:rPr>
                <w:szCs w:val="21"/>
              </w:rPr>
              <w:t>GUID</w:t>
            </w:r>
            <w:r>
              <w:rPr>
                <w:rFonts w:hint="eastAsia"/>
                <w:szCs w:val="21"/>
              </w:rPr>
              <w:t>格式的字符串，本次查询请求的唯一标识。</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pageSize</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integer</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包大小。</w:t>
            </w:r>
          </w:p>
          <w:p>
            <w:pPr>
              <w:autoSpaceDN w:val="0"/>
              <w:rPr>
                <w:szCs w:val="21"/>
              </w:rPr>
            </w:pPr>
            <w:r>
              <w:rPr>
                <w:rFonts w:hint="eastAsia"/>
                <w:szCs w:val="21"/>
              </w:rPr>
              <w:t>上传历史数据时的包大小上限</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bCs/>
                <w:szCs w:val="21"/>
              </w:rPr>
            </w:pPr>
            <w:r>
              <w:rPr>
                <w:bCs/>
                <w:szCs w:val="21"/>
              </w:rPr>
              <w:t>idleTime</w:t>
            </w:r>
          </w:p>
        </w:tc>
        <w:tc>
          <w:tcPr>
            <w:tcW w:w="2074" w:type="dxa"/>
            <w:tcBorders>
              <w:top w:val="single" w:sz="4" w:space="0" w:color="auto"/>
              <w:left w:val="single" w:sz="4" w:space="0" w:color="auto"/>
              <w:bottom w:val="single" w:sz="4" w:space="0" w:color="auto"/>
              <w:right w:val="single" w:sz="4" w:space="0" w:color="auto"/>
            </w:tcBorders>
          </w:tcPr>
          <w:p>
            <w:pPr>
              <w:autoSpaceDN w:val="0"/>
              <w:rPr>
                <w:bCs/>
                <w:szCs w:val="21"/>
              </w:rPr>
            </w:pPr>
            <w:r>
              <w:rPr>
                <w:bCs/>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空闲时段。</w:t>
            </w:r>
          </w:p>
          <w:p>
            <w:pPr>
              <w:autoSpaceDN w:val="0"/>
              <w:rPr>
                <w:szCs w:val="21"/>
              </w:rPr>
            </w:pPr>
            <w:r>
              <w:rPr>
                <w:rFonts w:hint="eastAsia"/>
                <w:szCs w:val="21"/>
              </w:rPr>
              <w:t>入网设备可在空闲时段向接口服务器上传历史数据。</w:t>
            </w:r>
          </w:p>
          <w:p>
            <w:pPr>
              <w:autoSpaceDN w:val="0"/>
              <w:rPr>
                <w:szCs w:val="21"/>
              </w:rPr>
            </w:pPr>
            <w:r>
              <w:rPr>
                <w:rFonts w:hint="eastAsia"/>
                <w:szCs w:val="21"/>
              </w:rPr>
              <w:t>示例</w:t>
            </w:r>
          </w:p>
          <w:p>
            <w:pPr>
              <w:autoSpaceDN w:val="0"/>
              <w:rPr>
                <w:szCs w:val="21"/>
              </w:rPr>
            </w:pPr>
            <w:r>
              <w:rPr>
                <w:szCs w:val="21"/>
              </w:rPr>
              <w:t>[</w:t>
            </w:r>
            <w:r>
              <w:rPr>
                <w:rFonts w:hint="eastAsia"/>
                <w:szCs w:val="21"/>
              </w:rPr>
              <w:t>“</w:t>
            </w:r>
            <w:r>
              <w:rPr>
                <w:szCs w:val="21"/>
              </w:rPr>
              <w:t>20:00-23:59</w:t>
            </w:r>
            <w:r>
              <w:rPr>
                <w:rFonts w:hint="eastAsia"/>
                <w:szCs w:val="21"/>
              </w:rPr>
              <w:t>”</w:t>
            </w:r>
            <w:r>
              <w:rPr>
                <w:szCs w:val="21"/>
              </w:rPr>
              <w:t xml:space="preserve">, </w:t>
            </w:r>
            <w:r>
              <w:rPr>
                <w:rFonts w:hint="eastAsia"/>
                <w:szCs w:val="21"/>
              </w:rPr>
              <w:t>“</w:t>
            </w:r>
            <w:r>
              <w:rPr>
                <w:szCs w:val="21"/>
              </w:rPr>
              <w:t>00:00-04:00</w:t>
            </w:r>
            <w:r>
              <w:rPr>
                <w:rFonts w:hint="eastAsia"/>
                <w:szCs w:val="21"/>
              </w:rPr>
              <w:t>”</w:t>
            </w:r>
            <w:r>
              <w:rPr>
                <w:szCs w:val="21"/>
              </w:rPr>
              <w:t>]</w:t>
            </w:r>
          </w:p>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x-client-id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入网设备唯一标识，对应章节</w:t>
            </w:r>
            <w:r>
              <w:rPr>
                <w:szCs w:val="21"/>
              </w:rPr>
              <w:t>4.2</w:t>
            </w:r>
            <w:r>
              <w:rPr>
                <w:rFonts w:hint="eastAsia"/>
                <w:szCs w:val="21"/>
              </w:rPr>
              <w:t>请求正文中的</w:t>
            </w:r>
            <w:r>
              <w:rPr>
                <w:szCs w:val="21"/>
              </w:rPr>
              <w:t>clientId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YES</w:t>
            </w:r>
          </w:p>
        </w:tc>
      </w:tr>
    </w:tbl>
    <w:p>
      <w:pPr>
        <w:autoSpaceDN w:val="0"/>
        <w:rPr>
          <w:b/>
          <w:bCs/>
          <w:szCs w:val="21"/>
        </w:rPr>
      </w:pPr>
    </w:p>
    <w:p>
      <w:pPr>
        <w:autoSpaceDN w:val="0"/>
        <w:rPr>
          <w:b/>
          <w:bCs/>
          <w:szCs w:val="21"/>
        </w:rPr>
      </w:pPr>
      <w:r>
        <w:rPr>
          <w:rFonts w:hint="eastAsia"/>
          <w:b/>
          <w:bCs/>
          <w:szCs w:val="21"/>
        </w:rPr>
        <w:t>请求正文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请求正文说明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 STATUS 200</w:t>
      </w:r>
    </w:p>
    <w:p>
      <w:pPr>
        <w:autoSpaceDN w:val="0"/>
        <w:rPr>
          <w:szCs w:val="21"/>
        </w:rPr>
      </w:pPr>
      <w:r>
        <w:rPr>
          <w:rFonts w:hint="eastAsia"/>
          <w:szCs w:val="21"/>
        </w:rPr>
        <w:t>表示本次请求已被成功处理且响应正文包含业务数据。</w:t>
      </w:r>
    </w:p>
    <w:p>
      <w:pPr>
        <w:autoSpaceDN w:val="0"/>
        <w:rPr>
          <w:szCs w:val="21"/>
        </w:rPr>
      </w:pPr>
    </w:p>
    <w:p>
      <w:pPr>
        <w:autoSpaceDN w:val="0"/>
        <w:rPr>
          <w:szCs w:val="21"/>
        </w:rPr>
      </w:pPr>
      <w:r>
        <w:rPr>
          <w:szCs w:val="21"/>
        </w:rPr>
        <w:t>{</w:t>
      </w:r>
    </w:p>
    <w:p>
      <w:pPr>
        <w:autoSpaceDN w:val="0"/>
        <w:rPr>
          <w:szCs w:val="21"/>
        </w:rPr>
      </w:pPr>
      <w:r>
        <w:rPr>
          <w:szCs w:val="21"/>
        </w:rPr>
        <w:t xml:space="preserve">    </w:t>
      </w:r>
      <w:r>
        <w:rPr>
          <w:rFonts w:hint="eastAsia"/>
          <w:szCs w:val="21"/>
        </w:rPr>
        <w:t>“</w:t>
      </w:r>
      <w:r>
        <w:rPr>
          <w:szCs w:val="21"/>
        </w:rPr>
        <w:t>totalRows": 660</w:t>
      </w:r>
    </w:p>
    <w:p>
      <w:pPr>
        <w:autoSpaceDN w:val="0"/>
        <w:rPr>
          <w:szCs w:val="21"/>
        </w:rPr>
      </w:pPr>
      <w:r>
        <w:rPr>
          <w:szCs w:val="21"/>
        </w:rPr>
        <w:t>}</w:t>
      </w:r>
    </w:p>
    <w:p>
      <w:pPr>
        <w:autoSpaceDN w:val="0"/>
        <w:rPr>
          <w:szCs w:val="21"/>
        </w:rPr>
      </w:pPr>
    </w:p>
    <w:p>
      <w:pPr>
        <w:autoSpaceDN w:val="0"/>
        <w:rPr>
          <w:b/>
          <w:bCs/>
          <w:szCs w:val="21"/>
        </w:rPr>
      </w:pPr>
      <w:r>
        <w:rPr>
          <w:rFonts w:hint="eastAsia"/>
          <w:b/>
          <w:bCs/>
          <w:szCs w:val="21"/>
        </w:rPr>
        <w:t>响应正文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响应正文说明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示例值</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totalRows</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符合条件的数据的总行数</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660</w:t>
            </w:r>
          </w:p>
        </w:tc>
      </w:tr>
    </w:tbl>
    <w:p>
      <w:pPr>
        <w:widowControl/>
        <w:autoSpaceDN w:val="0"/>
        <w:jc w:val="left"/>
        <w:rPr>
          <w:szCs w:val="21"/>
        </w:rPr>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73" w:name="_Toc126335210"/>
      <w:r>
        <w:rPr>
          <w:rFonts w:hint="eastAsia"/>
          <w:szCs w:val="30"/>
        </w:rPr>
        <w:t>查询设备列表</w:t>
      </w:r>
      <w:bookmarkEnd w:id="73"/>
    </w:p>
    <w:p>
      <w:pPr>
        <w:autoSpaceDN w:val="0"/>
        <w:rPr>
          <w:szCs w:val="21"/>
        </w:rPr>
      </w:pPr>
      <w:r>
        <w:rPr>
          <w:rFonts w:hint="eastAsia"/>
          <w:szCs w:val="21"/>
        </w:rPr>
        <w:t>直属于每天中午</w:t>
      </w:r>
      <w:r>
        <w:rPr>
          <w:szCs w:val="21"/>
        </w:rPr>
        <w:t>12:00:00</w:t>
      </w:r>
      <w:r>
        <w:rPr>
          <w:rFonts w:hint="eastAsia"/>
          <w:szCs w:val="21"/>
        </w:rPr>
        <w:t>调用该接口。</w:t>
      </w:r>
    </w:p>
    <w:p>
      <w:pPr>
        <w:autoSpaceDN w:val="0"/>
        <w:rPr>
          <w:rFonts w:hint="eastAsia"/>
          <w:szCs w:val="21"/>
        </w:rPr>
      </w:pPr>
      <w:r>
        <w:rPr>
          <w:rFonts w:hint="eastAsia"/>
          <w:szCs w:val="21"/>
        </w:rPr>
        <w:t>提供接口供外部获取所有设备信息。</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/api/v1/devices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GET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请求正文说明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widowControl/>
        <w:autoSpaceDN w:val="0"/>
        <w:jc w:val="left"/>
        <w:rPr>
          <w:szCs w:val="21"/>
        </w:rPr>
      </w:pPr>
    </w:p>
    <w:p>
      <w:pPr>
        <w:autoSpaceDN w:val="0"/>
        <w:rPr>
          <w:b/>
          <w:bCs/>
          <w:szCs w:val="21"/>
        </w:rPr>
      </w:pPr>
      <w:r>
        <w:rPr>
          <w:rFonts w:hint="eastAsia"/>
          <w:b/>
          <w:bCs/>
          <w:szCs w:val="21"/>
        </w:rPr>
        <w:t>响应消息</w:t>
      </w:r>
    </w:p>
    <w:p>
      <w:pPr>
        <w:autoSpaceDN w:val="0"/>
        <w:rPr>
          <w:szCs w:val="21"/>
        </w:rPr>
      </w:pPr>
    </w:p>
    <w:p>
      <w:pPr>
        <w:autoSpaceDN w:val="0"/>
        <w:rPr>
          <w:b/>
          <w:bCs/>
          <w:szCs w:val="21"/>
        </w:rPr>
      </w:pPr>
      <w:r>
        <w:rPr>
          <w:b/>
          <w:bCs/>
          <w:szCs w:val="21"/>
        </w:rPr>
        <w:t>HTTP STATUS 200</w:t>
      </w:r>
    </w:p>
    <w:p>
      <w:pPr>
        <w:autoSpaceDN w:val="0"/>
        <w:rPr>
          <w:b/>
          <w:bCs/>
          <w:szCs w:val="21"/>
        </w:rPr>
      </w:pPr>
      <w:r>
        <w:rPr>
          <w:rFonts w:hint="eastAsia"/>
          <w:b/>
          <w:bCs/>
          <w:szCs w:val="21"/>
        </w:rPr>
        <w:t>表示本次请求已被成功处理且响应正文中包含业务数据。</w:t>
      </w:r>
    </w:p>
    <w:p>
      <w:pPr>
        <w:autoSpaceDN w:val="0"/>
        <w:rPr>
          <w:b/>
          <w:bCs/>
          <w:szCs w:val="21"/>
        </w:rPr>
      </w:pPr>
    </w:p>
    <w:p>
      <w:pPr>
        <w:autoSpaceDN w:val="0"/>
        <w:rPr>
          <w:b/>
          <w:bCs/>
          <w:szCs w:val="21"/>
        </w:rPr>
      </w:pPr>
      <w:r>
        <w:rPr>
          <w:rFonts w:hint="eastAsia"/>
          <w:b/>
          <w:bCs/>
          <w:szCs w:val="21"/>
        </w:rPr>
        <w:t>响应正文</w:t>
      </w:r>
    </w:p>
    <w:p>
      <w:pPr>
        <w:autoSpaceDN w:val="0"/>
        <w:rPr>
          <w:bCs/>
          <w:szCs w:val="21"/>
        </w:rPr>
      </w:pPr>
      <w:r>
        <w:rPr>
          <w:bCs/>
          <w:szCs w:val="21"/>
        </w:rPr>
        <w:t>[</w:t>
      </w:r>
    </w:p>
    <w:p>
      <w:pPr>
        <w:autoSpaceDN w:val="0"/>
        <w:rPr>
          <w:bCs/>
          <w:szCs w:val="21"/>
        </w:rPr>
      </w:pPr>
      <w:r>
        <w:rPr>
          <w:bCs/>
          <w:szCs w:val="21"/>
        </w:rPr>
        <w:t xml:space="preserve">    {</w:t>
      </w:r>
    </w:p>
    <w:p>
      <w:pPr>
        <w:autoSpaceDN w:val="0"/>
        <w:rPr>
          <w:bCs/>
          <w:szCs w:val="21"/>
        </w:rPr>
      </w:pPr>
      <w:r>
        <w:rPr>
          <w:bCs/>
          <w:szCs w:val="21"/>
        </w:rPr>
        <w:t xml:space="preserve">        "deviceId": "TFNAN-X-181269",</w:t>
      </w:r>
    </w:p>
    <w:p>
      <w:pPr>
        <w:autoSpaceDN w:val="0"/>
        <w:rPr>
          <w:bCs/>
          <w:szCs w:val="21"/>
        </w:rPr>
      </w:pPr>
      <w:r>
        <w:rPr>
          <w:bCs/>
          <w:szCs w:val="21"/>
        </w:rPr>
        <w:t xml:space="preserve">        "detectors": [</w:t>
      </w:r>
    </w:p>
    <w:p>
      <w:pPr>
        <w:autoSpaceDN w:val="0"/>
        <w:rPr>
          <w:bCs/>
          <w:szCs w:val="21"/>
        </w:rPr>
      </w:pPr>
      <w:r>
        <w:rPr>
          <w:bCs/>
          <w:szCs w:val="21"/>
        </w:rPr>
        <w:t xml:space="preserve">            {</w:t>
      </w:r>
    </w:p>
    <w:p>
      <w:pPr>
        <w:autoSpaceDN w:val="0"/>
        <w:rPr>
          <w:bCs/>
          <w:szCs w:val="21"/>
        </w:rPr>
      </w:pPr>
      <w:r>
        <w:rPr>
          <w:bCs/>
          <w:szCs w:val="21"/>
        </w:rPr>
        <w:t xml:space="preserve">                "detectorId": "G11",</w:t>
      </w:r>
    </w:p>
    <w:p>
      <w:pPr>
        <w:autoSpaceDN w:val="0"/>
        <w:rPr>
          <w:bCs/>
          <w:szCs w:val="21"/>
        </w:rPr>
      </w:pPr>
      <w:r>
        <w:rPr>
          <w:bCs/>
          <w:szCs w:val="21"/>
        </w:rPr>
        <w:t xml:space="preserve">                "type": "Gamma"</w:t>
      </w:r>
    </w:p>
    <w:p>
      <w:pPr>
        <w:autoSpaceDN w:val="0"/>
        <w:rPr>
          <w:bCs/>
          <w:szCs w:val="21"/>
        </w:rPr>
      </w:pPr>
      <w:r>
        <w:rPr>
          <w:bCs/>
          <w:szCs w:val="21"/>
        </w:rPr>
        <w:t xml:space="preserve">            }</w:t>
      </w:r>
    </w:p>
    <w:p>
      <w:pPr>
        <w:autoSpaceDN w:val="0"/>
        <w:rPr>
          <w:bCs/>
          <w:szCs w:val="21"/>
        </w:rPr>
      </w:pPr>
      <w:r>
        <w:rPr>
          <w:bCs/>
          <w:szCs w:val="21"/>
        </w:rPr>
        <w:t xml:space="preserve">        ]</w:t>
      </w:r>
    </w:p>
    <w:p>
      <w:pPr>
        <w:autoSpaceDN w:val="0"/>
        <w:rPr>
          <w:bCs/>
          <w:szCs w:val="21"/>
        </w:rPr>
      </w:pPr>
      <w:r>
        <w:rPr>
          <w:bCs/>
          <w:szCs w:val="21"/>
        </w:rPr>
        <w:t xml:space="preserve">    }</w:t>
      </w:r>
    </w:p>
    <w:p>
      <w:pPr>
        <w:autoSpaceDN w:val="0"/>
        <w:rPr>
          <w:bCs/>
          <w:szCs w:val="21"/>
        </w:rPr>
      </w:pPr>
      <w:r>
        <w:rPr>
          <w:bCs/>
          <w:szCs w:val="21"/>
        </w:rPr>
        <w:t>]</w:t>
      </w:r>
    </w:p>
    <w:p>
      <w:pPr>
        <w:autoSpaceDN w:val="0"/>
        <w:rPr>
          <w:szCs w:val="21"/>
        </w:rPr>
      </w:pPr>
    </w:p>
    <w:p>
      <w:pPr>
        <w:autoSpaceDN w:val="0"/>
        <w:rPr>
          <w:b/>
          <w:bCs/>
          <w:szCs w:val="21"/>
        </w:rPr>
      </w:pPr>
      <w:r>
        <w:rPr>
          <w:rFonts w:hint="eastAsia"/>
          <w:b/>
          <w:bCs/>
          <w:szCs w:val="21"/>
        </w:rPr>
        <w:t>响应正文说明</w:t>
      </w:r>
    </w:p>
    <w:p>
      <w:pPr>
        <w:autoSpaceDN w:val="0"/>
        <w:rPr>
          <w:rStyle w:val="Hyperlink"/>
          <w:color w:val="auto"/>
        </w:rPr>
      </w:pPr>
      <w:hyperlink w:anchor="_辐射探测设备数据模型" w:history="1">
        <w:r>
          <w:rPr>
            <w:rStyle w:val="Hyperlink"/>
            <w:b/>
            <w:bCs/>
            <w:color w:val="auto"/>
            <w:szCs w:val="21"/>
          </w:rPr>
          <w:t xml:space="preserve">7.1.3 </w:t>
        </w:r>
        <w:r>
          <w:rPr>
            <w:rStyle w:val="Hyperlink"/>
            <w:rFonts w:hint="eastAsia"/>
            <w:b/>
            <w:bCs/>
            <w:color w:val="auto"/>
            <w:szCs w:val="21"/>
          </w:rPr>
          <w:t>辐射探测设备数据模型</w:t>
        </w:r>
        <w:r>
          <w:rPr>
            <w:rStyle w:val="Hyperlink"/>
            <w:b/>
            <w:bCs/>
            <w:color w:val="auto"/>
            <w:szCs w:val="21"/>
          </w:rPr>
          <w:t>[]</w:t>
        </w:r>
      </w:hyperlink>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74" w:name="_Toc126335211"/>
      <w:r>
        <w:rPr>
          <w:rFonts w:hint="eastAsia"/>
          <w:szCs w:val="30"/>
        </w:rPr>
        <w:t>查询所有设备状态</w:t>
      </w:r>
      <w:bookmarkEnd w:id="74"/>
    </w:p>
    <w:p>
      <w:pPr>
        <w:autoSpaceDN w:val="0"/>
        <w:rPr>
          <w:szCs w:val="21"/>
        </w:rPr>
      </w:pPr>
      <w:r>
        <w:rPr>
          <w:rFonts w:hint="eastAsia"/>
          <w:szCs w:val="21"/>
        </w:rPr>
        <w:t>提供接口供外部查询所有设备状态。</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/api/v1/devices/all/status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GET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请求正文说明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autoSpaceDN w:val="0"/>
        <w:rPr>
          <w:b/>
          <w:bCs/>
          <w:szCs w:val="21"/>
        </w:rPr>
      </w:pPr>
      <w:r>
        <w:rPr>
          <w:rFonts w:hint="eastAsia"/>
          <w:b/>
          <w:bCs/>
          <w:szCs w:val="21"/>
        </w:rPr>
        <w:t>响应消息</w:t>
      </w:r>
    </w:p>
    <w:p>
      <w:pPr>
        <w:autoSpaceDN w:val="0"/>
        <w:rPr>
          <w:b/>
          <w:bCs/>
          <w:szCs w:val="21"/>
        </w:rPr>
      </w:pPr>
    </w:p>
    <w:p>
      <w:pPr>
        <w:autoSpaceDN w:val="0"/>
        <w:rPr>
          <w:b/>
          <w:bCs/>
          <w:szCs w:val="21"/>
        </w:rPr>
      </w:pPr>
      <w:r>
        <w:rPr>
          <w:b/>
          <w:bCs/>
          <w:szCs w:val="21"/>
        </w:rPr>
        <w:t>HTTPSTATUS200</w:t>
      </w:r>
    </w:p>
    <w:p>
      <w:pPr>
        <w:autoSpaceDN w:val="0"/>
        <w:rPr>
          <w:szCs w:val="21"/>
        </w:rPr>
      </w:pPr>
      <w:r>
        <w:rPr>
          <w:rFonts w:hint="eastAsia"/>
          <w:szCs w:val="21"/>
        </w:rPr>
        <w:t>表示本次请求已被成功处理且响应正文包含业务数据。</w:t>
      </w:r>
    </w:p>
    <w:p>
      <w:pPr>
        <w:autoSpaceDN w:val="0"/>
        <w:rPr>
          <w:szCs w:val="21"/>
        </w:rPr>
      </w:pPr>
    </w:p>
    <w:p>
      <w:pPr>
        <w:autoSpaceDN w:val="0"/>
        <w:rPr>
          <w:b/>
          <w:bCs/>
          <w:szCs w:val="21"/>
        </w:rPr>
      </w:pPr>
      <w:r>
        <w:rPr>
          <w:rFonts w:hint="eastAsia"/>
          <w:b/>
          <w:bCs/>
          <w:szCs w:val="21"/>
        </w:rPr>
        <w:t>响应正文</w:t>
      </w:r>
    </w:p>
    <w:p>
      <w:pPr>
        <w:autoSpaceDN w:val="0"/>
        <w:rPr>
          <w:szCs w:val="21"/>
        </w:rPr>
      </w:pPr>
      <w:r>
        <w:rPr>
          <w:szCs w:val="21"/>
        </w:rPr>
        <w:t>[</w:t>
      </w:r>
    </w:p>
    <w:p>
      <w:pPr>
        <w:autoSpaceDN w:val="0"/>
        <w:rPr>
          <w:szCs w:val="21"/>
        </w:rPr>
      </w:pPr>
      <w:r>
        <w:rPr>
          <w:szCs w:val="21"/>
        </w:rPr>
        <w:t xml:space="preserve">  {</w:t>
      </w:r>
    </w:p>
    <w:p>
      <w:pPr>
        <w:autoSpaceDN w:val="0"/>
        <w:rPr>
          <w:szCs w:val="21"/>
        </w:rPr>
      </w:pPr>
      <w:r>
        <w:rPr>
          <w:szCs w:val="21"/>
        </w:rPr>
        <w:t xml:space="preserve">    "deviceId": "TFNAN-X-181269",</w:t>
      </w:r>
    </w:p>
    <w:p>
      <w:pPr>
        <w:autoSpaceDN w:val="0"/>
        <w:rPr>
          <w:szCs w:val="21"/>
        </w:rPr>
      </w:pPr>
      <w:r>
        <w:rPr>
          <w:szCs w:val="21"/>
        </w:rPr>
        <w:t xml:space="preserve">    "workStatus": "BackgroundMode",</w:t>
      </w:r>
    </w:p>
    <w:p>
      <w:pPr>
        <w:autoSpaceDN w:val="0"/>
        <w:rPr>
          <w:szCs w:val="21"/>
        </w:rPr>
      </w:pPr>
      <w:r>
        <w:rPr>
          <w:szCs w:val="21"/>
        </w:rPr>
        <w:t xml:space="preserve">    "onlineStatus": "Online",</w:t>
      </w:r>
    </w:p>
    <w:p>
      <w:pPr>
        <w:autoSpaceDN w:val="0"/>
        <w:rPr>
          <w:szCs w:val="21"/>
        </w:rPr>
      </w:pPr>
      <w:r>
        <w:rPr>
          <w:szCs w:val="21"/>
        </w:rPr>
        <w:t xml:space="preserve">    "errorStatus": "Normal"</w:t>
      </w:r>
    </w:p>
    <w:p>
      <w:pPr>
        <w:autoSpaceDN w:val="0"/>
        <w:rPr>
          <w:szCs w:val="21"/>
        </w:rPr>
      </w:pPr>
      <w:r>
        <w:rPr>
          <w:szCs w:val="21"/>
        </w:rPr>
        <w:t xml:space="preserve">  }</w:t>
      </w:r>
    </w:p>
    <w:p>
      <w:pPr>
        <w:autoSpaceDN w:val="0"/>
        <w:rPr>
          <w:szCs w:val="21"/>
        </w:rPr>
      </w:pPr>
      <w:r>
        <w:rPr>
          <w:szCs w:val="21"/>
        </w:rPr>
        <w:t>]</w:t>
      </w:r>
    </w:p>
    <w:p>
      <w:pPr>
        <w:autoSpaceDN w:val="0"/>
        <w:rPr>
          <w:szCs w:val="21"/>
        </w:rPr>
      </w:pPr>
    </w:p>
    <w:p>
      <w:pPr>
        <w:autoSpaceDN w:val="0"/>
        <w:rPr>
          <w:b/>
          <w:bCs/>
          <w:szCs w:val="21"/>
        </w:rPr>
      </w:pPr>
      <w:r>
        <w:rPr>
          <w:rFonts w:hint="eastAsia"/>
          <w:b/>
          <w:bCs/>
          <w:szCs w:val="21"/>
        </w:rPr>
        <w:t>响应正文说明</w:t>
      </w:r>
    </w:p>
    <w:p>
      <w:pPr>
        <w:autoSpaceDN w:val="0"/>
        <w:rPr>
          <w:rStyle w:val="Hyperlink"/>
          <w:color w:val="auto"/>
        </w:rPr>
      </w:pPr>
      <w:hyperlink w:anchor="_设备状态数据模型" w:history="1">
        <w:r>
          <w:rPr>
            <w:rStyle w:val="Hyperlink"/>
            <w:b/>
            <w:bCs/>
            <w:color w:val="auto"/>
            <w:szCs w:val="21"/>
          </w:rPr>
          <w:t xml:space="preserve">7.1.4 </w:t>
        </w:r>
        <w:r>
          <w:rPr>
            <w:rStyle w:val="Hyperlink"/>
            <w:rFonts w:hint="eastAsia"/>
            <w:b/>
            <w:bCs/>
            <w:color w:val="auto"/>
            <w:szCs w:val="21"/>
          </w:rPr>
          <w:t>辐射探测设备状态数据模型</w:t>
        </w:r>
        <w:r>
          <w:rPr>
            <w:rStyle w:val="Hyperlink"/>
            <w:b/>
            <w:bCs/>
            <w:color w:val="auto"/>
            <w:szCs w:val="21"/>
          </w:rPr>
          <w:t>[]</w:t>
        </w:r>
      </w:hyperlink>
    </w:p>
    <w:p>
      <w:pPr>
        <w:autoSpaceDN w:val="0"/>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75" w:name="_Toc126335212"/>
      <w:r>
        <w:rPr>
          <w:rFonts w:hint="eastAsia"/>
          <w:szCs w:val="30"/>
        </w:rPr>
        <w:t>查询指定设备状态</w:t>
      </w:r>
      <w:bookmarkEnd w:id="75"/>
    </w:p>
    <w:p>
      <w:pPr>
        <w:autoSpaceDN w:val="0"/>
        <w:rPr>
          <w:szCs w:val="21"/>
        </w:rPr>
      </w:pPr>
      <w:r>
        <w:rPr>
          <w:rFonts w:hint="eastAsia"/>
          <w:szCs w:val="21"/>
        </w:rPr>
        <w:t>提供接口供外部查询指定设备状态。</w:t>
      </w:r>
    </w:p>
    <w:p>
      <w:pPr>
        <w:autoSpaceDN w:val="0"/>
        <w:rPr>
          <w:szCs w:val="21"/>
        </w:rPr>
      </w:pPr>
    </w:p>
    <w:p>
      <w:pPr>
        <w:autoSpaceDN w:val="0"/>
        <w:rPr>
          <w:b/>
          <w:bCs/>
          <w:szCs w:val="21"/>
        </w:rPr>
      </w:pPr>
      <w:r>
        <w:rPr>
          <w:rFonts w:hint="eastAsia"/>
          <w:b/>
          <w:bCs/>
          <w:szCs w:val="21"/>
        </w:rPr>
        <w:t>服务端地址</w:t>
      </w:r>
    </w:p>
    <w:p>
      <w:pPr>
        <w:autoSpaceDN w:val="0"/>
        <w:rPr>
          <w:szCs w:val="21"/>
        </w:rPr>
      </w:pPr>
      <w:r>
        <w:rPr>
          <w:szCs w:val="21"/>
        </w:rPr>
        <w:t>/api/v1/devices/{deviceId}/status</w:t>
      </w:r>
    </w:p>
    <w:p>
      <w:pPr>
        <w:autoSpaceDN w:val="0"/>
        <w:rPr>
          <w:szCs w:val="21"/>
        </w:rPr>
      </w:pPr>
    </w:p>
    <w:p>
      <w:pPr>
        <w:autoSpaceDN w:val="0"/>
        <w:rPr>
          <w:b/>
          <w:bCs/>
          <w:szCs w:val="21"/>
        </w:rPr>
      </w:pPr>
      <w:r>
        <w:rPr>
          <w:rFonts w:hint="eastAsia"/>
          <w:b/>
          <w:bCs/>
          <w:szCs w:val="21"/>
        </w:rPr>
        <w:t>请求方式</w:t>
      </w:r>
    </w:p>
    <w:p>
      <w:pPr>
        <w:autoSpaceDN w:val="0"/>
        <w:rPr>
          <w:szCs w:val="21"/>
        </w:rPr>
      </w:pPr>
      <w:r>
        <w:rPr>
          <w:szCs w:val="21"/>
        </w:rPr>
        <w:t>GET</w:t>
      </w:r>
    </w:p>
    <w:p>
      <w:pPr>
        <w:autoSpaceDN w:val="0"/>
        <w:rPr>
          <w:szCs w:val="21"/>
        </w:rPr>
      </w:pPr>
    </w:p>
    <w:p>
      <w:pPr>
        <w:autoSpaceDN w:val="0"/>
        <w:rPr>
          <w:b/>
          <w:bCs/>
          <w:szCs w:val="21"/>
        </w:rPr>
      </w:pPr>
      <w:r>
        <w:rPr>
          <w:b/>
          <w:bCs/>
          <w:szCs w:val="21"/>
        </w:rPr>
        <w:t>URL</w:t>
      </w:r>
      <w:r>
        <w:rPr>
          <w:rFonts w:hint="eastAsia"/>
          <w:b/>
          <w:bCs/>
          <w:szCs w:val="21"/>
        </w:rPr>
        <w:t>参数</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设备</w:t>
            </w:r>
            <w:r>
              <w:rPr>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是</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请求头</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b/>
          <w:bCs/>
          <w:szCs w:val="21"/>
        </w:rPr>
      </w:pPr>
    </w:p>
    <w:p>
      <w:pPr>
        <w:autoSpaceDN w:val="0"/>
        <w:rPr>
          <w:b/>
          <w:bCs/>
          <w:szCs w:val="21"/>
        </w:rPr>
      </w:pPr>
      <w:r>
        <w:rPr>
          <w:rFonts w:hint="eastAsia"/>
          <w:b/>
          <w:bCs/>
          <w:szCs w:val="21"/>
        </w:rPr>
        <w:t>请求正文</w:t>
      </w:r>
    </w:p>
    <w:p>
      <w:pPr>
        <w:autoSpaceDN w:val="0"/>
        <w:rPr>
          <w:szCs w:val="21"/>
        </w:rPr>
      </w:pPr>
      <w:r>
        <w:rPr>
          <w:rFonts w:hint="eastAsia"/>
          <w:szCs w:val="21"/>
        </w:rPr>
        <w:t>无</w:t>
      </w:r>
    </w:p>
    <w:p>
      <w:pPr>
        <w:autoSpaceDN w:val="0"/>
        <w:rPr>
          <w:szCs w:val="21"/>
        </w:rPr>
      </w:pPr>
    </w:p>
    <w:p>
      <w:pPr>
        <w:autoSpaceDN w:val="0"/>
        <w:rPr>
          <w:b/>
          <w:bCs/>
          <w:szCs w:val="21"/>
        </w:rPr>
      </w:pPr>
      <w:r>
        <w:rPr>
          <w:rFonts w:hint="eastAsia"/>
          <w:b/>
          <w:bCs/>
          <w:szCs w:val="21"/>
        </w:rPr>
        <w:t>请求正文说明</w:t>
      </w: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74"/>
        <w:gridCol w:w="2074"/>
        <w:gridCol w:w="2074"/>
        <w:gridCol w:w="2074"/>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c>
          <w:tcPr>
            <w:tcW w:w="207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必填项</w:t>
            </w:r>
          </w:p>
        </w:tc>
      </w:tr>
      <w:tr>
        <w:tblPrEx>
          <w:jc w:val="left"/>
          <w:tblInd w:w="0" w:type="dxa"/>
          <w:tblCellMar>
            <w:top w:w="0" w:type="dxa"/>
            <w:left w:w="108" w:type="dxa"/>
            <w:bottom w:w="0" w:type="dxa"/>
            <w:right w:w="108" w:type="dxa"/>
          </w:tblCellMar>
        </w:tblPrEx>
        <w:trPr>
          <w:jc w:val="left"/>
        </w:trPr>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074"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autoSpaceDN w:val="0"/>
        <w:rPr>
          <w:b/>
          <w:bCs/>
          <w:szCs w:val="21"/>
        </w:rPr>
      </w:pPr>
      <w:r>
        <w:rPr>
          <w:rFonts w:hint="eastAsia"/>
          <w:b/>
          <w:bCs/>
          <w:szCs w:val="21"/>
        </w:rPr>
        <w:t>响应消息</w:t>
      </w:r>
    </w:p>
    <w:p>
      <w:pPr>
        <w:autoSpaceDN w:val="0"/>
        <w:rPr>
          <w:szCs w:val="21"/>
        </w:rPr>
      </w:pPr>
    </w:p>
    <w:p>
      <w:pPr>
        <w:autoSpaceDN w:val="0"/>
        <w:rPr>
          <w:b/>
          <w:bCs/>
          <w:szCs w:val="21"/>
        </w:rPr>
      </w:pPr>
      <w:r>
        <w:rPr>
          <w:b/>
          <w:bCs/>
          <w:szCs w:val="21"/>
        </w:rPr>
        <w:t>HTTPSTATUS200</w:t>
      </w:r>
    </w:p>
    <w:p>
      <w:pPr>
        <w:autoSpaceDN w:val="0"/>
        <w:rPr>
          <w:szCs w:val="21"/>
        </w:rPr>
      </w:pPr>
      <w:r>
        <w:rPr>
          <w:rFonts w:hint="eastAsia"/>
          <w:szCs w:val="21"/>
        </w:rPr>
        <w:t>表示本次请求已被成功处理且响应正文包含业务数据。</w:t>
      </w:r>
    </w:p>
    <w:p>
      <w:pPr>
        <w:autoSpaceDN w:val="0"/>
        <w:rPr>
          <w:szCs w:val="21"/>
        </w:rPr>
      </w:pPr>
    </w:p>
    <w:p>
      <w:pPr>
        <w:autoSpaceDN w:val="0"/>
        <w:rPr>
          <w:b/>
          <w:bCs/>
          <w:szCs w:val="21"/>
        </w:rPr>
      </w:pPr>
      <w:r>
        <w:rPr>
          <w:rFonts w:hint="eastAsia"/>
          <w:b/>
          <w:bCs/>
          <w:szCs w:val="21"/>
        </w:rPr>
        <w:t>响应正文</w:t>
      </w:r>
    </w:p>
    <w:p>
      <w:pPr>
        <w:autoSpaceDN w:val="0"/>
        <w:rPr>
          <w:szCs w:val="21"/>
        </w:rPr>
      </w:pPr>
      <w:r>
        <w:rPr>
          <w:szCs w:val="21"/>
        </w:rPr>
        <w:t>{</w:t>
      </w:r>
    </w:p>
    <w:p>
      <w:pPr>
        <w:autoSpaceDN w:val="0"/>
        <w:rPr>
          <w:szCs w:val="21"/>
        </w:rPr>
      </w:pPr>
      <w:r>
        <w:rPr>
          <w:szCs w:val="21"/>
        </w:rPr>
        <w:t xml:space="preserve">  "deviceId": "TFNAN-X-181269",</w:t>
      </w:r>
    </w:p>
    <w:p>
      <w:pPr>
        <w:autoSpaceDN w:val="0"/>
        <w:rPr>
          <w:szCs w:val="21"/>
        </w:rPr>
      </w:pPr>
      <w:r>
        <w:rPr>
          <w:szCs w:val="21"/>
        </w:rPr>
        <w:t xml:space="preserve">  "workStatus": "BackgroundMode",</w:t>
      </w:r>
    </w:p>
    <w:p>
      <w:pPr>
        <w:autoSpaceDN w:val="0"/>
        <w:rPr>
          <w:szCs w:val="21"/>
        </w:rPr>
      </w:pPr>
      <w:r>
        <w:rPr>
          <w:szCs w:val="21"/>
        </w:rPr>
        <w:t xml:space="preserve">  "onlineStatus": "Online",</w:t>
      </w:r>
    </w:p>
    <w:p>
      <w:pPr>
        <w:autoSpaceDN w:val="0"/>
        <w:rPr>
          <w:szCs w:val="21"/>
        </w:rPr>
      </w:pPr>
      <w:r>
        <w:rPr>
          <w:szCs w:val="21"/>
        </w:rPr>
        <w:t xml:space="preserve">  "errorStatus": "Normal"</w:t>
      </w:r>
    </w:p>
    <w:p>
      <w:pPr>
        <w:autoSpaceDN w:val="0"/>
        <w:rPr>
          <w:szCs w:val="21"/>
        </w:rPr>
      </w:pPr>
      <w:r>
        <w:rPr>
          <w:szCs w:val="21"/>
        </w:rPr>
        <w:t>}</w:t>
      </w:r>
    </w:p>
    <w:p>
      <w:pPr>
        <w:autoSpaceDN w:val="0"/>
        <w:rPr>
          <w:szCs w:val="21"/>
        </w:rPr>
      </w:pPr>
    </w:p>
    <w:p>
      <w:pPr>
        <w:autoSpaceDN w:val="0"/>
        <w:rPr>
          <w:b/>
          <w:bCs/>
          <w:szCs w:val="21"/>
        </w:rPr>
      </w:pPr>
      <w:r>
        <w:rPr>
          <w:rFonts w:hint="eastAsia"/>
          <w:b/>
          <w:bCs/>
          <w:szCs w:val="21"/>
        </w:rPr>
        <w:t>响应正文说明</w:t>
      </w:r>
    </w:p>
    <w:p>
      <w:pPr>
        <w:widowControl/>
        <w:autoSpaceDN w:val="0"/>
        <w:jc w:val="left"/>
        <w:rPr>
          <w:b/>
          <w:bCs/>
          <w:szCs w:val="21"/>
        </w:rPr>
      </w:pPr>
      <w:hyperlink w:anchor="_辐射探测设备状态数据模型" w:history="1">
        <w:r>
          <w:rPr>
            <w:rStyle w:val="Hyperlink"/>
            <w:b/>
            <w:bCs/>
            <w:color w:val="auto"/>
            <w:szCs w:val="21"/>
          </w:rPr>
          <w:t xml:space="preserve">7.1.4 </w:t>
        </w:r>
        <w:r>
          <w:rPr>
            <w:rStyle w:val="Hyperlink"/>
            <w:rFonts w:hint="eastAsia"/>
            <w:b/>
            <w:bCs/>
            <w:color w:val="auto"/>
            <w:szCs w:val="21"/>
          </w:rPr>
          <w:t>辐射探测设备状态数据模型</w:t>
        </w:r>
        <w:r>
          <w:rPr>
            <w:rStyle w:val="Hyperlink"/>
            <w:b/>
            <w:bCs/>
            <w:color w:val="auto"/>
            <w:szCs w:val="21"/>
          </w:rPr>
          <w:t>[]</w:t>
        </w:r>
      </w:hyperlink>
    </w:p>
    <w:p>
      <w:pPr>
        <w:widowControl/>
        <w:autoSpaceDN w:val="0"/>
        <w:jc w:val="left"/>
        <w:rPr>
          <w:b/>
          <w:bCs/>
          <w:szCs w:val="21"/>
        </w:rPr>
      </w:pPr>
    </w:p>
    <w:p>
      <w:pPr>
        <w:pStyle w:val="Heading2"/>
        <w:keepLines/>
        <w:widowControl w:val="0"/>
        <w:numPr>
          <w:ilvl w:val="0"/>
          <w:numId w:val="5"/>
        </w:numPr>
        <w:tabs>
          <w:tab w:val="left" w:pos="0"/>
        </w:tabs>
        <w:autoSpaceDN w:val="0"/>
        <w:spacing w:before="260" w:after="260" w:line="360" w:lineRule="auto"/>
        <w:ind w:left="0" w:firstLine="0"/>
        <w:jc w:val="left"/>
      </w:pPr>
      <w:bookmarkStart w:id="76" w:name="_Toc126335213"/>
      <w:r>
        <w:rPr>
          <w:rFonts w:hint="eastAsia"/>
          <w:szCs w:val="32"/>
        </w:rPr>
        <w:t>异常处理机制</w:t>
      </w:r>
      <w:bookmarkEnd w:id="76"/>
    </w:p>
    <w:p>
      <w:pPr>
        <w:pStyle w:val="Heading3"/>
        <w:keepNext/>
        <w:keepLines/>
        <w:widowControl w:val="0"/>
        <w:numPr>
          <w:ilvl w:val="1"/>
          <w:numId w:val="5"/>
        </w:numPr>
        <w:tabs>
          <w:tab w:val="left" w:pos="0"/>
        </w:tabs>
        <w:autoSpaceDN w:val="0"/>
        <w:spacing w:before="260" w:after="260" w:line="415" w:lineRule="auto"/>
        <w:ind w:left="576" w:hanging="576"/>
        <w:jc w:val="left"/>
        <w:rPr>
          <w:rFonts w:hint="eastAsia"/>
          <w:szCs w:val="30"/>
        </w:rPr>
      </w:pPr>
      <w:bookmarkStart w:id="77" w:name="_Toc126335214"/>
      <w:r>
        <w:rPr>
          <w:rFonts w:hint="eastAsia"/>
          <w:szCs w:val="30"/>
        </w:rPr>
        <w:t>关于接口响应错误消息的说明</w:t>
      </w:r>
      <w:bookmarkEnd w:id="77"/>
    </w:p>
    <w:p>
      <w:pPr>
        <w:widowControl/>
        <w:autoSpaceDN w:val="0"/>
        <w:jc w:val="left"/>
        <w:rPr>
          <w:b/>
          <w:bCs/>
          <w:szCs w:val="21"/>
        </w:rPr>
      </w:pPr>
      <w:r>
        <w:rPr>
          <w:rFonts w:hint="eastAsia"/>
          <w:b/>
          <w:bCs/>
          <w:szCs w:val="21"/>
        </w:rPr>
        <w:t>统一的数据结构</w:t>
      </w:r>
    </w:p>
    <w:p>
      <w:pPr>
        <w:widowControl/>
        <w:autoSpaceDN w:val="0"/>
        <w:jc w:val="left"/>
        <w:rPr>
          <w:szCs w:val="21"/>
        </w:rPr>
      </w:pPr>
      <w:r>
        <w:rPr>
          <w:szCs w:val="21"/>
        </w:rPr>
        <w:t>{</w:t>
      </w:r>
    </w:p>
    <w:p>
      <w:pPr>
        <w:widowControl/>
        <w:autoSpaceDN w:val="0"/>
        <w:jc w:val="left"/>
        <w:rPr>
          <w:szCs w:val="21"/>
        </w:rPr>
      </w:pPr>
      <w:r>
        <w:rPr>
          <w:szCs w:val="21"/>
        </w:rPr>
        <w:t xml:space="preserve">  "error": {</w:t>
      </w:r>
    </w:p>
    <w:p>
      <w:pPr>
        <w:widowControl/>
        <w:autoSpaceDN w:val="0"/>
        <w:jc w:val="left"/>
        <w:rPr>
          <w:szCs w:val="21"/>
        </w:rPr>
      </w:pPr>
      <w:r>
        <w:rPr>
          <w:szCs w:val="21"/>
        </w:rPr>
        <w:t xml:space="preserve">    "code": "DEVICE_CODE_EMPTY",</w:t>
      </w:r>
    </w:p>
    <w:p>
      <w:pPr>
        <w:widowControl/>
        <w:autoSpaceDN w:val="0"/>
        <w:jc w:val="left"/>
        <w:rPr>
          <w:szCs w:val="21"/>
        </w:rPr>
      </w:pPr>
      <w:r>
        <w:rPr>
          <w:szCs w:val="21"/>
        </w:rPr>
        <w:t xml:space="preserve">    "message": "</w:t>
      </w:r>
      <w:r>
        <w:rPr>
          <w:rFonts w:hint="eastAsia"/>
          <w:szCs w:val="21"/>
        </w:rPr>
        <w:t>设备代码为空</w:t>
      </w:r>
      <w:r>
        <w:rPr>
          <w:szCs w:val="21"/>
        </w:rPr>
        <w:t>"</w:t>
      </w:r>
    </w:p>
    <w:p>
      <w:pPr>
        <w:widowControl/>
        <w:autoSpaceDN w:val="0"/>
        <w:jc w:val="left"/>
        <w:rPr>
          <w:szCs w:val="21"/>
        </w:rPr>
      </w:pPr>
      <w:r>
        <w:rPr>
          <w:szCs w:val="21"/>
        </w:rPr>
        <w:t xml:space="preserve">  }</w:t>
      </w:r>
    </w:p>
    <w:p>
      <w:pPr>
        <w:widowControl/>
        <w:autoSpaceDN w:val="0"/>
        <w:jc w:val="left"/>
        <w:rPr>
          <w:szCs w:val="21"/>
        </w:rPr>
      </w:pPr>
      <w:r>
        <w:rPr>
          <w:szCs w:val="21"/>
        </w:rPr>
        <w:t>}</w:t>
      </w:r>
    </w:p>
    <w:p>
      <w:pPr>
        <w:widowControl/>
        <w:autoSpaceDN w:val="0"/>
        <w:jc w:val="left"/>
        <w:rPr>
          <w:szCs w:val="21"/>
        </w:rPr>
      </w:pP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error</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object</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错误消息对象</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ind w:firstLine="210" w:firstLineChars="100"/>
              <w:rPr>
                <w:szCs w:val="21"/>
              </w:rPr>
            </w:pPr>
            <w:r>
              <w:rPr>
                <w:szCs w:val="21"/>
              </w:rPr>
              <w:t>code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错误码</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ind w:firstLine="210" w:firstLineChars="100"/>
              <w:rPr>
                <w:szCs w:val="21"/>
              </w:rPr>
            </w:pPr>
            <w:r>
              <w:rPr>
                <w:szCs w:val="21"/>
              </w:rPr>
              <w:t>message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错误消息文本</w:t>
            </w:r>
          </w:p>
        </w:tc>
      </w:tr>
    </w:tbl>
    <w:p>
      <w:pPr>
        <w:widowControl/>
        <w:autoSpaceDN w:val="0"/>
        <w:jc w:val="left"/>
        <w:rPr>
          <w:szCs w:val="21"/>
        </w:rPr>
      </w:pPr>
    </w:p>
    <w:p>
      <w:pPr>
        <w:widowControl/>
        <w:autoSpaceDN w:val="0"/>
        <w:jc w:val="left"/>
        <w:rPr>
          <w:szCs w:val="21"/>
        </w:rPr>
      </w:pPr>
      <w:r>
        <w:rPr>
          <w:rFonts w:hint="eastAsia"/>
          <w:szCs w:val="21"/>
        </w:rPr>
        <w:t>当</w:t>
      </w:r>
      <w:r>
        <w:rPr>
          <w:szCs w:val="21"/>
        </w:rPr>
        <w:t xml:space="preserve">HTTP STATUS </w:t>
      </w:r>
      <w:r>
        <w:rPr>
          <w:rFonts w:hint="eastAsia"/>
          <w:szCs w:val="21"/>
        </w:rPr>
        <w:t>为</w:t>
      </w:r>
      <w:r>
        <w:rPr>
          <w:szCs w:val="21"/>
        </w:rPr>
        <w:t>400</w:t>
      </w:r>
      <w:r>
        <w:rPr>
          <w:rFonts w:hint="eastAsia"/>
          <w:szCs w:val="21"/>
        </w:rPr>
        <w:t>时，是由于调用方传递的</w:t>
      </w:r>
      <w:r>
        <w:rPr>
          <w:szCs w:val="21"/>
        </w:rPr>
        <w:t>JSON</w:t>
      </w:r>
      <w:r>
        <w:rPr>
          <w:rFonts w:hint="eastAsia"/>
          <w:szCs w:val="21"/>
        </w:rPr>
        <w:t>不符合参数验证规则导致的</w:t>
      </w:r>
    </w:p>
    <w:p>
      <w:pPr>
        <w:widowControl/>
        <w:autoSpaceDN w:val="0"/>
        <w:jc w:val="left"/>
        <w:rPr>
          <w:szCs w:val="21"/>
        </w:rPr>
      </w:pPr>
      <w:r>
        <w:rPr>
          <w:rFonts w:hint="eastAsia"/>
          <w:szCs w:val="21"/>
        </w:rPr>
        <w:t>做为调用方，此时不应重复发起请求也不必将当前请求加入重试队列，调用方应在排除问题自身问题之后再发起新的请求。</w:t>
      </w:r>
    </w:p>
    <w:p>
      <w:pPr>
        <w:widowControl/>
        <w:autoSpaceDN w:val="0"/>
        <w:jc w:val="left"/>
        <w:rPr>
          <w:szCs w:val="21"/>
        </w:rPr>
      </w:pPr>
    </w:p>
    <w:p>
      <w:pPr>
        <w:widowControl/>
        <w:autoSpaceDN w:val="0"/>
        <w:jc w:val="left"/>
        <w:rPr>
          <w:szCs w:val="21"/>
        </w:rPr>
      </w:pPr>
      <w:r>
        <w:rPr>
          <w:rFonts w:hint="eastAsia"/>
          <w:szCs w:val="21"/>
        </w:rPr>
        <w:t>当</w:t>
      </w:r>
      <w:r>
        <w:rPr>
          <w:szCs w:val="21"/>
        </w:rPr>
        <w:t xml:space="preserve">HTTP STATUS </w:t>
      </w:r>
      <w:r>
        <w:rPr>
          <w:rFonts w:hint="eastAsia"/>
          <w:szCs w:val="21"/>
        </w:rPr>
        <w:t>为</w:t>
      </w:r>
      <w:r>
        <w:rPr>
          <w:szCs w:val="21"/>
        </w:rPr>
        <w:t>500</w:t>
      </w:r>
      <w:r>
        <w:rPr>
          <w:rFonts w:hint="eastAsia"/>
          <w:szCs w:val="21"/>
        </w:rPr>
        <w:t>时，是由于服务端在处理业务过程中发生未预料到的异常导致的失败，做为调用方，可以将当前请求加入重试队列。</w:t>
      </w:r>
    </w:p>
    <w:p>
      <w:pPr>
        <w:widowControl/>
        <w:autoSpaceDN w:val="0"/>
        <w:jc w:val="left"/>
        <w:rPr>
          <w:szCs w:val="21"/>
        </w:rPr>
      </w:pPr>
    </w:p>
    <w:p>
      <w:pPr>
        <w:widowControl/>
        <w:autoSpaceDN w:val="0"/>
        <w:jc w:val="left"/>
        <w:rPr>
          <w:szCs w:val="21"/>
        </w:rPr>
      </w:pPr>
      <w:r>
        <w:rPr>
          <w:szCs w:val="21"/>
        </w:rPr>
        <w:br w:type="page"/>
      </w:r>
    </w:p>
    <w:p>
      <w:pPr>
        <w:autoSpaceDN w:val="0"/>
        <w:rPr>
          <w:szCs w:val="21"/>
        </w:rPr>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78" w:name="_Toc126335215"/>
      <w:r>
        <w:rPr>
          <w:szCs w:val="30"/>
        </w:rPr>
        <w:t>HTTP</w:t>
      </w:r>
      <w:r>
        <w:rPr>
          <w:rFonts w:hint="eastAsia"/>
          <w:szCs w:val="30"/>
        </w:rPr>
        <w:t>错误码</w:t>
      </w:r>
      <w:bookmarkEnd w:id="78"/>
    </w:p>
    <w:p>
      <w:pPr>
        <w:autoSpaceDN w:val="0"/>
        <w:rPr>
          <w:szCs w:val="21"/>
        </w:rPr>
      </w:pPr>
    </w:p>
    <w:tbl>
      <w:tblPr>
        <w:tblW w:w="5000" w:type="pct"/>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096"/>
        <w:gridCol w:w="1685"/>
        <w:gridCol w:w="1181"/>
        <w:gridCol w:w="3565"/>
      </w:tblGrid>
      <w:tr>
        <w:tblPrEx>
          <w:tblW w:w="5000" w:type="pct"/>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trHeight w:val="289"/>
          <w:jc w:val="left"/>
        </w:trPr>
        <w:tc>
          <w:tcPr>
            <w:tcW w:w="2096" w:type="dxa"/>
            <w:tcBorders>
              <w:top w:val="single" w:sz="4" w:space="0" w:color="auto"/>
              <w:left w:val="single" w:sz="4" w:space="0" w:color="auto"/>
              <w:bottom w:val="single" w:sz="4" w:space="0" w:color="auto"/>
              <w:right w:val="single" w:sz="4" w:space="0" w:color="auto"/>
            </w:tcBorders>
            <w:shd w:val="clear" w:color="auto" w:fill="4F81BD"/>
          </w:tcPr>
          <w:p>
            <w:pPr>
              <w:autoSpaceDN w:val="0"/>
              <w:ind w:firstLine="305"/>
              <w:rPr>
                <w:rFonts w:ascii="Calibri" w:hAnsi="Calibri"/>
                <w:kern w:val="0"/>
                <w:sz w:val="20"/>
              </w:rPr>
            </w:pPr>
            <w:r>
              <w:rPr>
                <w:rFonts w:ascii="Calibri" w:hAnsi="Calibri" w:hint="eastAsia"/>
                <w:kern w:val="0"/>
                <w:sz w:val="20"/>
              </w:rPr>
              <w:t>错误码</w:t>
            </w:r>
          </w:p>
        </w:tc>
        <w:tc>
          <w:tcPr>
            <w:tcW w:w="1685" w:type="dxa"/>
            <w:tcBorders>
              <w:top w:val="single" w:sz="4" w:space="0" w:color="auto"/>
              <w:left w:val="single" w:sz="4" w:space="0" w:color="auto"/>
              <w:bottom w:val="single" w:sz="4" w:space="0" w:color="auto"/>
              <w:right w:val="single" w:sz="4" w:space="0" w:color="auto"/>
            </w:tcBorders>
            <w:shd w:val="clear" w:color="auto" w:fill="4F81BD"/>
          </w:tcPr>
          <w:p>
            <w:pPr>
              <w:autoSpaceDN w:val="0"/>
              <w:rPr>
                <w:rFonts w:ascii="Calibri" w:hAnsi="Calibri"/>
                <w:kern w:val="0"/>
                <w:sz w:val="20"/>
              </w:rPr>
            </w:pPr>
            <w:r>
              <w:rPr>
                <w:rFonts w:ascii="Calibri" w:hAnsi="Calibri" w:hint="eastAsia"/>
                <w:kern w:val="0"/>
                <w:sz w:val="20"/>
              </w:rPr>
              <w:t>描述</w:t>
            </w:r>
          </w:p>
        </w:tc>
        <w:tc>
          <w:tcPr>
            <w:tcW w:w="1181" w:type="dxa"/>
            <w:tcBorders>
              <w:top w:val="single" w:sz="4" w:space="0" w:color="auto"/>
              <w:left w:val="single" w:sz="4" w:space="0" w:color="auto"/>
              <w:bottom w:val="single" w:sz="4" w:space="0" w:color="auto"/>
              <w:right w:val="single" w:sz="4" w:space="0" w:color="auto"/>
            </w:tcBorders>
            <w:shd w:val="clear" w:color="auto" w:fill="4F81BD"/>
          </w:tcPr>
          <w:p>
            <w:pPr>
              <w:autoSpaceDN w:val="0"/>
              <w:rPr>
                <w:rFonts w:ascii="Calibri" w:hAnsi="Calibri"/>
                <w:kern w:val="0"/>
                <w:sz w:val="20"/>
              </w:rPr>
            </w:pPr>
            <w:r>
              <w:rPr>
                <w:rFonts w:ascii="Calibri" w:hAnsi="Calibri"/>
                <w:kern w:val="0"/>
                <w:sz w:val="20"/>
              </w:rPr>
              <w:t>HTTP</w:t>
            </w:r>
            <w:r>
              <w:rPr>
                <w:rFonts w:ascii="Calibri" w:hAnsi="Calibri" w:hint="eastAsia"/>
                <w:kern w:val="0"/>
                <w:sz w:val="20"/>
              </w:rPr>
              <w:t>状态码</w:t>
            </w:r>
          </w:p>
        </w:tc>
        <w:tc>
          <w:tcPr>
            <w:tcW w:w="3565" w:type="dxa"/>
            <w:tcBorders>
              <w:top w:val="single" w:sz="4" w:space="0" w:color="auto"/>
              <w:left w:val="single" w:sz="4" w:space="0" w:color="auto"/>
              <w:bottom w:val="single" w:sz="4" w:space="0" w:color="auto"/>
              <w:right w:val="single" w:sz="4" w:space="0" w:color="auto"/>
            </w:tcBorders>
            <w:shd w:val="clear" w:color="auto" w:fill="4F81BD"/>
          </w:tcPr>
          <w:p>
            <w:pPr>
              <w:autoSpaceDN w:val="0"/>
              <w:rPr>
                <w:rFonts w:ascii="Calibri" w:hAnsi="Calibri"/>
                <w:kern w:val="0"/>
                <w:sz w:val="20"/>
              </w:rPr>
            </w:pPr>
            <w:r>
              <w:rPr>
                <w:rFonts w:ascii="Calibri" w:hAnsi="Calibri" w:hint="eastAsia"/>
                <w:kern w:val="0"/>
                <w:sz w:val="20"/>
              </w:rPr>
              <w:t>说明</w:t>
            </w:r>
          </w:p>
        </w:tc>
      </w:tr>
      <w:tr>
        <w:tblPrEx>
          <w:tblW w:w="5000" w:type="pct"/>
          <w:jc w:val="left"/>
          <w:tblInd w:w="0" w:type="dxa"/>
          <w:tblCellMar>
            <w:top w:w="0" w:type="dxa"/>
            <w:left w:w="108" w:type="dxa"/>
            <w:bottom w:w="0" w:type="dxa"/>
            <w:right w:w="108" w:type="dxa"/>
          </w:tblCellMar>
        </w:tblPrEx>
        <w:trPr>
          <w:trHeight w:val="277"/>
          <w:jc w:val="left"/>
        </w:trPr>
        <w:tc>
          <w:tcPr>
            <w:tcW w:w="2096" w:type="dxa"/>
            <w:tcBorders>
              <w:top w:val="single" w:sz="8" w:space="0" w:color="4F81BD"/>
              <w:left w:val="single" w:sz="8" w:space="0" w:color="4F81BD"/>
              <w:bottom w:val="single" w:sz="8" w:space="0" w:color="4F81BD"/>
              <w:right w:val="single" w:sz="4" w:space="0" w:color="auto"/>
            </w:tcBorders>
          </w:tcPr>
          <w:p>
            <w:pPr>
              <w:autoSpaceDN w:val="0"/>
              <w:rPr>
                <w:rFonts w:ascii="Arial" w:hAnsi="Arial" w:cs="Arial"/>
                <w:kern w:val="0"/>
                <w:szCs w:val="21"/>
              </w:rPr>
            </w:pPr>
            <w:r>
              <w:rPr>
                <w:rFonts w:ascii="Arial" w:hAnsi="Arial" w:cs="Arial"/>
                <w:kern w:val="0"/>
                <w:szCs w:val="21"/>
              </w:rPr>
              <w:t>ClientNotRegistered</w:t>
            </w:r>
          </w:p>
        </w:tc>
        <w:tc>
          <w:tcPr>
            <w:tcW w:w="1685" w:type="dxa"/>
            <w:tcBorders>
              <w:top w:val="single" w:sz="8" w:space="0" w:color="4F81BD"/>
              <w:left w:val="single" w:sz="4" w:space="0" w:color="auto"/>
              <w:bottom w:val="single" w:sz="8" w:space="0" w:color="4F81BD"/>
              <w:right w:val="single" w:sz="4" w:space="0" w:color="auto"/>
            </w:tcBorders>
          </w:tcPr>
          <w:p>
            <w:pPr>
              <w:autoSpaceDN w:val="0"/>
              <w:rPr>
                <w:rFonts w:ascii="Arial" w:hAnsi="Arial" w:cs="Arial"/>
                <w:bCs/>
                <w:kern w:val="0"/>
                <w:szCs w:val="21"/>
              </w:rPr>
            </w:pPr>
            <w:r>
              <w:rPr>
                <w:rFonts w:ascii="Arial" w:hAnsi="Arial" w:cs="Arial" w:hint="eastAsia"/>
                <w:bCs/>
                <w:kern w:val="0"/>
                <w:szCs w:val="21"/>
              </w:rPr>
              <w:t>入网设备未注册</w:t>
            </w:r>
          </w:p>
        </w:tc>
        <w:tc>
          <w:tcPr>
            <w:tcW w:w="1181" w:type="dxa"/>
            <w:tcBorders>
              <w:top w:val="single" w:sz="8" w:space="0" w:color="4F81BD"/>
              <w:left w:val="single" w:sz="4" w:space="0" w:color="auto"/>
              <w:bottom w:val="single" w:sz="8" w:space="0" w:color="4F81BD"/>
              <w:right w:val="single" w:sz="4" w:space="0" w:color="auto"/>
            </w:tcBorders>
          </w:tcPr>
          <w:p>
            <w:pPr>
              <w:autoSpaceDN w:val="0"/>
              <w:rPr>
                <w:rFonts w:ascii="Arial" w:hAnsi="Arial" w:cs="Arial"/>
                <w:bCs/>
                <w:kern w:val="0"/>
                <w:szCs w:val="21"/>
              </w:rPr>
            </w:pPr>
            <w:r>
              <w:rPr>
                <w:rFonts w:ascii="Arial" w:hAnsi="Arial" w:cs="Arial"/>
                <w:bCs/>
                <w:kern w:val="0"/>
                <w:szCs w:val="21"/>
              </w:rPr>
              <w:t>403</w:t>
            </w:r>
          </w:p>
        </w:tc>
        <w:tc>
          <w:tcPr>
            <w:tcW w:w="3565" w:type="dxa"/>
            <w:tcBorders>
              <w:top w:val="single" w:sz="8" w:space="0" w:color="4F81BD"/>
              <w:left w:val="single" w:sz="4" w:space="0" w:color="auto"/>
              <w:bottom w:val="single" w:sz="8" w:space="0" w:color="4F81BD"/>
              <w:right w:val="single" w:sz="8" w:space="0" w:color="4F81BD"/>
            </w:tcBorders>
          </w:tcPr>
          <w:p>
            <w:pPr>
              <w:autoSpaceDN w:val="0"/>
              <w:rPr>
                <w:rFonts w:ascii="Arial" w:hAnsi="Arial" w:cs="Arial"/>
                <w:bCs/>
                <w:kern w:val="0"/>
                <w:szCs w:val="21"/>
              </w:rPr>
            </w:pPr>
            <w:r>
              <w:rPr>
                <w:rFonts w:ascii="Arial" w:hAnsi="Arial" w:cs="Arial" w:hint="eastAsia"/>
                <w:bCs/>
                <w:kern w:val="0"/>
                <w:szCs w:val="21"/>
              </w:rPr>
              <w:t>入网设备未注册或者标识错误</w:t>
            </w:r>
          </w:p>
        </w:tc>
      </w:tr>
      <w:tr>
        <w:tblPrEx>
          <w:tblW w:w="5000" w:type="pct"/>
          <w:jc w:val="left"/>
          <w:tblInd w:w="0" w:type="dxa"/>
          <w:tblCellMar>
            <w:top w:w="0" w:type="dxa"/>
            <w:left w:w="108" w:type="dxa"/>
            <w:bottom w:w="0" w:type="dxa"/>
            <w:right w:w="108" w:type="dxa"/>
          </w:tblCellMar>
        </w:tblPrEx>
        <w:trPr>
          <w:trHeight w:val="277"/>
          <w:jc w:val="left"/>
        </w:trPr>
        <w:tc>
          <w:tcPr>
            <w:tcW w:w="2096" w:type="dxa"/>
            <w:tcBorders>
              <w:top w:val="single" w:sz="4" w:space="0" w:color="auto"/>
              <w:left w:val="single" w:sz="4" w:space="0" w:color="auto"/>
              <w:bottom w:val="single" w:sz="4" w:space="0" w:color="auto"/>
              <w:right w:val="single" w:sz="4" w:space="0" w:color="auto"/>
            </w:tcBorders>
          </w:tcPr>
          <w:p>
            <w:pPr>
              <w:autoSpaceDN w:val="0"/>
              <w:rPr>
                <w:rFonts w:ascii="Arial" w:hAnsi="Arial" w:cs="Arial"/>
                <w:kern w:val="0"/>
                <w:szCs w:val="21"/>
              </w:rPr>
            </w:pPr>
            <w:r>
              <w:rPr>
                <w:rFonts w:ascii="Arial" w:hAnsi="Arial" w:cs="Arial"/>
                <w:kern w:val="0"/>
                <w:szCs w:val="21"/>
              </w:rPr>
              <w:t>DeviceIdNotExist</w:t>
            </w:r>
          </w:p>
        </w:tc>
        <w:tc>
          <w:tcPr>
            <w:tcW w:w="1685" w:type="dxa"/>
            <w:tcBorders>
              <w:top w:val="single" w:sz="4" w:space="0" w:color="auto"/>
              <w:left w:val="single" w:sz="4" w:space="0" w:color="auto"/>
              <w:bottom w:val="single" w:sz="4" w:space="0" w:color="auto"/>
              <w:right w:val="single" w:sz="4" w:space="0" w:color="auto"/>
            </w:tcBorders>
          </w:tcPr>
          <w:p>
            <w:pPr>
              <w:autoSpaceDN w:val="0"/>
              <w:rPr>
                <w:rFonts w:ascii="Arial" w:hAnsi="Arial" w:cs="Arial"/>
                <w:bCs/>
                <w:kern w:val="0"/>
                <w:szCs w:val="21"/>
              </w:rPr>
            </w:pPr>
            <w:r>
              <w:rPr>
                <w:rFonts w:ascii="Arial" w:hAnsi="Arial" w:cs="Arial" w:hint="eastAsia"/>
                <w:bCs/>
                <w:kern w:val="0"/>
                <w:szCs w:val="21"/>
              </w:rPr>
              <w:t>设备</w:t>
            </w:r>
            <w:r>
              <w:rPr>
                <w:rFonts w:ascii="Arial" w:hAnsi="Arial" w:cs="Arial"/>
                <w:bCs/>
                <w:kern w:val="0"/>
                <w:szCs w:val="21"/>
              </w:rPr>
              <w:t>ID</w:t>
            </w:r>
            <w:r>
              <w:rPr>
                <w:rFonts w:ascii="Arial" w:hAnsi="Arial" w:cs="Arial" w:hint="eastAsia"/>
                <w:bCs/>
                <w:kern w:val="0"/>
                <w:szCs w:val="21"/>
              </w:rPr>
              <w:t>不存在</w:t>
            </w:r>
          </w:p>
        </w:tc>
        <w:tc>
          <w:tcPr>
            <w:tcW w:w="1181" w:type="dxa"/>
            <w:tcBorders>
              <w:top w:val="single" w:sz="4" w:space="0" w:color="auto"/>
              <w:left w:val="single" w:sz="4" w:space="0" w:color="auto"/>
              <w:bottom w:val="single" w:sz="4" w:space="0" w:color="auto"/>
              <w:right w:val="single" w:sz="4" w:space="0" w:color="auto"/>
            </w:tcBorders>
          </w:tcPr>
          <w:p>
            <w:pPr>
              <w:autoSpaceDN w:val="0"/>
              <w:rPr>
                <w:rFonts w:ascii="Arial" w:hAnsi="Arial" w:cs="Arial"/>
                <w:bCs/>
                <w:kern w:val="0"/>
                <w:szCs w:val="21"/>
              </w:rPr>
            </w:pPr>
            <w:r>
              <w:rPr>
                <w:rFonts w:ascii="Arial" w:hAnsi="Arial" w:cs="Arial"/>
                <w:bCs/>
                <w:kern w:val="0"/>
                <w:szCs w:val="21"/>
              </w:rPr>
              <w:t>400</w:t>
            </w:r>
          </w:p>
        </w:tc>
        <w:tc>
          <w:tcPr>
            <w:tcW w:w="3565" w:type="dxa"/>
            <w:tcBorders>
              <w:top w:val="single" w:sz="4" w:space="0" w:color="auto"/>
              <w:left w:val="single" w:sz="4" w:space="0" w:color="auto"/>
              <w:bottom w:val="single" w:sz="4" w:space="0" w:color="auto"/>
              <w:right w:val="single" w:sz="4" w:space="0" w:color="auto"/>
            </w:tcBorders>
          </w:tcPr>
          <w:p>
            <w:pPr>
              <w:autoSpaceDN w:val="0"/>
              <w:rPr>
                <w:rFonts w:ascii="Arial" w:hAnsi="Arial" w:cs="Arial"/>
                <w:bCs/>
                <w:kern w:val="0"/>
                <w:szCs w:val="21"/>
              </w:rPr>
            </w:pPr>
            <w:r>
              <w:rPr>
                <w:rFonts w:ascii="Arial" w:hAnsi="Arial" w:cs="Arial" w:hint="eastAsia"/>
                <w:bCs/>
                <w:kern w:val="0"/>
                <w:szCs w:val="21"/>
              </w:rPr>
              <w:t>设备</w:t>
            </w:r>
            <w:r>
              <w:rPr>
                <w:rFonts w:ascii="Arial" w:hAnsi="Arial" w:cs="Arial"/>
                <w:bCs/>
                <w:kern w:val="0"/>
                <w:szCs w:val="21"/>
              </w:rPr>
              <w:t>ID</w:t>
            </w:r>
            <w:r>
              <w:rPr>
                <w:rFonts w:ascii="Arial" w:hAnsi="Arial" w:cs="Arial" w:hint="eastAsia"/>
                <w:bCs/>
                <w:kern w:val="0"/>
                <w:szCs w:val="21"/>
              </w:rPr>
              <w:t>不存在</w:t>
            </w:r>
          </w:p>
        </w:tc>
      </w:tr>
      <w:tr>
        <w:tblPrEx>
          <w:tblW w:w="5000" w:type="pct"/>
          <w:jc w:val="left"/>
          <w:tblInd w:w="0" w:type="dxa"/>
          <w:tblCellMar>
            <w:top w:w="0" w:type="dxa"/>
            <w:left w:w="108" w:type="dxa"/>
            <w:bottom w:w="0" w:type="dxa"/>
            <w:right w:w="108" w:type="dxa"/>
          </w:tblCellMar>
        </w:tblPrEx>
        <w:trPr>
          <w:trHeight w:val="277"/>
          <w:jc w:val="left"/>
        </w:trPr>
        <w:tc>
          <w:tcPr>
            <w:tcW w:w="2096" w:type="dxa"/>
            <w:tcBorders>
              <w:top w:val="single" w:sz="8" w:space="0" w:color="4F81BD"/>
              <w:left w:val="single" w:sz="8" w:space="0" w:color="4F81BD"/>
              <w:bottom w:val="single" w:sz="8" w:space="0" w:color="4F81BD"/>
              <w:right w:val="single" w:sz="4" w:space="0" w:color="auto"/>
            </w:tcBorders>
          </w:tcPr>
          <w:p>
            <w:pPr>
              <w:autoSpaceDN w:val="0"/>
              <w:rPr>
                <w:rFonts w:ascii="Arial" w:hAnsi="Arial" w:cs="Arial"/>
                <w:kern w:val="0"/>
                <w:szCs w:val="21"/>
              </w:rPr>
            </w:pPr>
            <w:r>
              <w:rPr>
                <w:rFonts w:ascii="Arial" w:hAnsi="Arial" w:cs="Arial"/>
                <w:kern w:val="0"/>
                <w:szCs w:val="21"/>
              </w:rPr>
              <w:t>QueryIdNotExist</w:t>
            </w:r>
          </w:p>
        </w:tc>
        <w:tc>
          <w:tcPr>
            <w:tcW w:w="1685" w:type="dxa"/>
            <w:tcBorders>
              <w:top w:val="single" w:sz="8" w:space="0" w:color="4F81BD"/>
              <w:left w:val="single" w:sz="4" w:space="0" w:color="auto"/>
              <w:bottom w:val="single" w:sz="8" w:space="0" w:color="4F81BD"/>
              <w:right w:val="single" w:sz="4" w:space="0" w:color="auto"/>
            </w:tcBorders>
          </w:tcPr>
          <w:p>
            <w:pPr>
              <w:autoSpaceDN w:val="0"/>
              <w:rPr>
                <w:rFonts w:ascii="Arial" w:hAnsi="Arial" w:cs="Arial"/>
                <w:bCs/>
                <w:kern w:val="0"/>
                <w:szCs w:val="21"/>
              </w:rPr>
            </w:pPr>
            <w:r>
              <w:rPr>
                <w:rFonts w:ascii="Arial" w:hAnsi="Arial" w:cs="Arial" w:hint="eastAsia"/>
                <w:bCs/>
                <w:kern w:val="0"/>
                <w:szCs w:val="21"/>
              </w:rPr>
              <w:t>查询</w:t>
            </w:r>
            <w:r>
              <w:rPr>
                <w:rFonts w:ascii="Arial" w:hAnsi="Arial" w:cs="Arial"/>
                <w:bCs/>
                <w:kern w:val="0"/>
                <w:szCs w:val="21"/>
              </w:rPr>
              <w:t>ID</w:t>
            </w:r>
            <w:r>
              <w:rPr>
                <w:rFonts w:ascii="Arial" w:hAnsi="Arial" w:cs="Arial" w:hint="eastAsia"/>
                <w:bCs/>
                <w:kern w:val="0"/>
                <w:szCs w:val="21"/>
              </w:rPr>
              <w:t>不存在</w:t>
            </w:r>
          </w:p>
        </w:tc>
        <w:tc>
          <w:tcPr>
            <w:tcW w:w="1181" w:type="dxa"/>
            <w:tcBorders>
              <w:top w:val="single" w:sz="8" w:space="0" w:color="4F81BD"/>
              <w:left w:val="single" w:sz="4" w:space="0" w:color="auto"/>
              <w:bottom w:val="single" w:sz="8" w:space="0" w:color="4F81BD"/>
              <w:right w:val="single" w:sz="4" w:space="0" w:color="auto"/>
            </w:tcBorders>
          </w:tcPr>
          <w:p>
            <w:pPr>
              <w:autoSpaceDN w:val="0"/>
              <w:rPr>
                <w:rFonts w:ascii="Arial" w:hAnsi="Arial" w:cs="Arial"/>
                <w:bCs/>
                <w:kern w:val="0"/>
                <w:szCs w:val="21"/>
              </w:rPr>
            </w:pPr>
            <w:r>
              <w:rPr>
                <w:rFonts w:ascii="Arial" w:hAnsi="Arial" w:cs="Arial"/>
                <w:bCs/>
                <w:kern w:val="0"/>
                <w:szCs w:val="21"/>
              </w:rPr>
              <w:t>400</w:t>
            </w:r>
          </w:p>
        </w:tc>
        <w:tc>
          <w:tcPr>
            <w:tcW w:w="3565" w:type="dxa"/>
            <w:tcBorders>
              <w:top w:val="single" w:sz="8" w:space="0" w:color="4F81BD"/>
              <w:left w:val="single" w:sz="4" w:space="0" w:color="auto"/>
              <w:bottom w:val="single" w:sz="8" w:space="0" w:color="4F81BD"/>
              <w:right w:val="single" w:sz="8" w:space="0" w:color="4F81BD"/>
            </w:tcBorders>
          </w:tcPr>
          <w:p>
            <w:pPr>
              <w:autoSpaceDN w:val="0"/>
              <w:rPr>
                <w:rFonts w:ascii="Arial" w:hAnsi="Arial" w:cs="Arial"/>
                <w:bCs/>
                <w:kern w:val="0"/>
                <w:szCs w:val="21"/>
              </w:rPr>
            </w:pPr>
            <w:r>
              <w:rPr>
                <w:rFonts w:ascii="Arial" w:hAnsi="Arial" w:cs="Arial" w:hint="eastAsia"/>
                <w:bCs/>
                <w:kern w:val="0"/>
                <w:szCs w:val="21"/>
              </w:rPr>
              <w:t>查询</w:t>
            </w:r>
            <w:r>
              <w:rPr>
                <w:rFonts w:ascii="Arial" w:hAnsi="Arial" w:cs="Arial"/>
                <w:bCs/>
                <w:kern w:val="0"/>
                <w:szCs w:val="21"/>
              </w:rPr>
              <w:t>ID</w:t>
            </w:r>
            <w:r>
              <w:rPr>
                <w:rFonts w:ascii="Arial" w:hAnsi="Arial" w:cs="Arial" w:hint="eastAsia"/>
                <w:bCs/>
                <w:kern w:val="0"/>
                <w:szCs w:val="21"/>
              </w:rPr>
              <w:t>不存在</w:t>
            </w:r>
          </w:p>
        </w:tc>
      </w:tr>
      <w:tr>
        <w:tblPrEx>
          <w:tblW w:w="5000" w:type="pct"/>
          <w:jc w:val="left"/>
          <w:tblInd w:w="0" w:type="dxa"/>
          <w:tblCellMar>
            <w:top w:w="0" w:type="dxa"/>
            <w:left w:w="108" w:type="dxa"/>
            <w:bottom w:w="0" w:type="dxa"/>
            <w:right w:w="108" w:type="dxa"/>
          </w:tblCellMar>
        </w:tblPrEx>
        <w:trPr>
          <w:trHeight w:val="277"/>
          <w:jc w:val="left"/>
        </w:trPr>
        <w:tc>
          <w:tcPr>
            <w:tcW w:w="2096" w:type="dxa"/>
            <w:tcBorders>
              <w:top w:val="single" w:sz="4" w:space="0" w:color="auto"/>
              <w:left w:val="single" w:sz="4" w:space="0" w:color="auto"/>
              <w:bottom w:val="single" w:sz="4" w:space="0" w:color="auto"/>
              <w:right w:val="single" w:sz="4" w:space="0" w:color="auto"/>
            </w:tcBorders>
          </w:tcPr>
          <w:p>
            <w:pPr>
              <w:autoSpaceDN w:val="0"/>
              <w:rPr>
                <w:rFonts w:ascii="Arial" w:hAnsi="Arial" w:cs="Arial"/>
                <w:kern w:val="0"/>
                <w:szCs w:val="21"/>
              </w:rPr>
            </w:pPr>
            <w:r>
              <w:rPr>
                <w:rFonts w:ascii="Arial" w:hAnsi="Arial" w:cs="Arial"/>
                <w:kern w:val="0"/>
                <w:szCs w:val="21"/>
              </w:rPr>
              <w:t>ParsingError</w:t>
            </w:r>
          </w:p>
        </w:tc>
        <w:tc>
          <w:tcPr>
            <w:tcW w:w="1685" w:type="dxa"/>
            <w:tcBorders>
              <w:top w:val="single" w:sz="4" w:space="0" w:color="auto"/>
              <w:left w:val="single" w:sz="4" w:space="0" w:color="auto"/>
              <w:bottom w:val="single" w:sz="4" w:space="0" w:color="auto"/>
              <w:right w:val="single" w:sz="4" w:space="0" w:color="auto"/>
            </w:tcBorders>
          </w:tcPr>
          <w:p>
            <w:pPr>
              <w:autoSpaceDN w:val="0"/>
              <w:rPr>
                <w:rFonts w:ascii="Arial" w:hAnsi="Arial" w:cs="Arial"/>
                <w:bCs/>
                <w:kern w:val="0"/>
                <w:szCs w:val="21"/>
              </w:rPr>
            </w:pPr>
            <w:r>
              <w:rPr>
                <w:rFonts w:ascii="Arial" w:hAnsi="Arial" w:cs="Arial" w:hint="eastAsia"/>
                <w:bCs/>
                <w:kern w:val="0"/>
                <w:szCs w:val="21"/>
              </w:rPr>
              <w:t>解析错误</w:t>
            </w:r>
          </w:p>
        </w:tc>
        <w:tc>
          <w:tcPr>
            <w:tcW w:w="1181" w:type="dxa"/>
            <w:tcBorders>
              <w:top w:val="single" w:sz="4" w:space="0" w:color="auto"/>
              <w:left w:val="single" w:sz="4" w:space="0" w:color="auto"/>
              <w:bottom w:val="single" w:sz="4" w:space="0" w:color="auto"/>
              <w:right w:val="single" w:sz="4" w:space="0" w:color="auto"/>
            </w:tcBorders>
          </w:tcPr>
          <w:p>
            <w:pPr>
              <w:autoSpaceDN w:val="0"/>
              <w:rPr>
                <w:rFonts w:ascii="Arial" w:hAnsi="Arial" w:cs="Arial"/>
                <w:bCs/>
                <w:kern w:val="0"/>
                <w:szCs w:val="21"/>
              </w:rPr>
            </w:pPr>
            <w:r>
              <w:rPr>
                <w:rFonts w:ascii="Arial" w:hAnsi="Arial" w:cs="Arial"/>
                <w:bCs/>
                <w:kern w:val="0"/>
                <w:szCs w:val="21"/>
              </w:rPr>
              <w:t>400</w:t>
            </w:r>
          </w:p>
        </w:tc>
        <w:tc>
          <w:tcPr>
            <w:tcW w:w="3565" w:type="dxa"/>
            <w:tcBorders>
              <w:top w:val="single" w:sz="4" w:space="0" w:color="auto"/>
              <w:left w:val="single" w:sz="4" w:space="0" w:color="auto"/>
              <w:bottom w:val="single" w:sz="4" w:space="0" w:color="auto"/>
              <w:right w:val="single" w:sz="4" w:space="0" w:color="auto"/>
            </w:tcBorders>
          </w:tcPr>
          <w:p>
            <w:pPr>
              <w:autoSpaceDN w:val="0"/>
              <w:rPr>
                <w:rFonts w:ascii="Arial" w:hAnsi="Arial" w:cs="Arial"/>
                <w:bCs/>
                <w:kern w:val="0"/>
                <w:szCs w:val="21"/>
              </w:rPr>
            </w:pPr>
            <w:r>
              <w:rPr>
                <w:rFonts w:ascii="Arial" w:hAnsi="Arial" w:cs="Arial" w:hint="eastAsia"/>
                <w:bCs/>
                <w:kern w:val="0"/>
                <w:szCs w:val="21"/>
              </w:rPr>
              <w:t>通信内容解析错误</w:t>
            </w:r>
          </w:p>
        </w:tc>
      </w:tr>
      <w:tr>
        <w:tblPrEx>
          <w:tblW w:w="5000" w:type="pct"/>
          <w:jc w:val="left"/>
          <w:tblInd w:w="0" w:type="dxa"/>
          <w:tblCellMar>
            <w:top w:w="0" w:type="dxa"/>
            <w:left w:w="108" w:type="dxa"/>
            <w:bottom w:w="0" w:type="dxa"/>
            <w:right w:w="108" w:type="dxa"/>
          </w:tblCellMar>
        </w:tblPrEx>
        <w:trPr>
          <w:trHeight w:val="277"/>
          <w:jc w:val="left"/>
        </w:trPr>
        <w:tc>
          <w:tcPr>
            <w:tcW w:w="2096" w:type="dxa"/>
            <w:tcBorders>
              <w:top w:val="single" w:sz="8" w:space="0" w:color="4F81BD"/>
              <w:left w:val="single" w:sz="8" w:space="0" w:color="4F81BD"/>
              <w:bottom w:val="single" w:sz="8" w:space="0" w:color="4F81BD"/>
              <w:right w:val="single" w:sz="4" w:space="0" w:color="auto"/>
            </w:tcBorders>
          </w:tcPr>
          <w:p>
            <w:pPr>
              <w:autoSpaceDN w:val="0"/>
              <w:rPr>
                <w:rFonts w:ascii="Arial" w:hAnsi="Arial" w:cs="Arial"/>
                <w:kern w:val="0"/>
                <w:szCs w:val="21"/>
              </w:rPr>
            </w:pPr>
          </w:p>
        </w:tc>
        <w:tc>
          <w:tcPr>
            <w:tcW w:w="1685" w:type="dxa"/>
            <w:tcBorders>
              <w:top w:val="single" w:sz="8" w:space="0" w:color="4F81BD"/>
              <w:left w:val="single" w:sz="4" w:space="0" w:color="auto"/>
              <w:bottom w:val="single" w:sz="8" w:space="0" w:color="4F81BD"/>
              <w:right w:val="single" w:sz="4" w:space="0" w:color="auto"/>
            </w:tcBorders>
          </w:tcPr>
          <w:p>
            <w:pPr>
              <w:autoSpaceDN w:val="0"/>
              <w:rPr>
                <w:rFonts w:ascii="Arial" w:hAnsi="Arial" w:cs="Arial"/>
                <w:bCs/>
                <w:kern w:val="0"/>
                <w:szCs w:val="21"/>
              </w:rPr>
            </w:pPr>
          </w:p>
        </w:tc>
        <w:tc>
          <w:tcPr>
            <w:tcW w:w="1181" w:type="dxa"/>
            <w:tcBorders>
              <w:top w:val="single" w:sz="8" w:space="0" w:color="4F81BD"/>
              <w:left w:val="single" w:sz="4" w:space="0" w:color="auto"/>
              <w:bottom w:val="single" w:sz="8" w:space="0" w:color="4F81BD"/>
              <w:right w:val="single" w:sz="4" w:space="0" w:color="auto"/>
            </w:tcBorders>
          </w:tcPr>
          <w:p>
            <w:pPr>
              <w:autoSpaceDN w:val="0"/>
              <w:rPr>
                <w:rFonts w:ascii="Arial" w:hAnsi="Arial" w:cs="Arial"/>
                <w:bCs/>
                <w:kern w:val="0"/>
                <w:szCs w:val="21"/>
              </w:rPr>
            </w:pPr>
          </w:p>
        </w:tc>
        <w:tc>
          <w:tcPr>
            <w:tcW w:w="3565" w:type="dxa"/>
            <w:tcBorders>
              <w:top w:val="single" w:sz="8" w:space="0" w:color="4F81BD"/>
              <w:left w:val="single" w:sz="4" w:space="0" w:color="auto"/>
              <w:bottom w:val="single" w:sz="8" w:space="0" w:color="4F81BD"/>
              <w:right w:val="single" w:sz="8" w:space="0" w:color="4F81BD"/>
            </w:tcBorders>
          </w:tcPr>
          <w:p>
            <w:pPr>
              <w:autoSpaceDN w:val="0"/>
              <w:rPr>
                <w:rFonts w:ascii="Arial" w:hAnsi="Arial" w:cs="Arial"/>
                <w:bCs/>
                <w:kern w:val="0"/>
                <w:szCs w:val="21"/>
              </w:rPr>
            </w:pPr>
          </w:p>
        </w:tc>
      </w:tr>
    </w:tbl>
    <w:p>
      <w:pPr>
        <w:autoSpaceDN w:val="0"/>
        <w:rPr>
          <w:szCs w:val="21"/>
        </w:rPr>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79" w:name="_Toc126335216"/>
      <w:r>
        <w:rPr>
          <w:rFonts w:hint="eastAsia"/>
          <w:szCs w:val="30"/>
        </w:rPr>
        <w:t>关于重试机制</w:t>
      </w:r>
      <w:bookmarkEnd w:id="79"/>
    </w:p>
    <w:p>
      <w:pPr>
        <w:autoSpaceDN w:val="0"/>
        <w:rPr>
          <w:szCs w:val="21"/>
        </w:rPr>
      </w:pPr>
      <w:r>
        <w:rPr>
          <w:rFonts w:hint="eastAsia"/>
          <w:szCs w:val="21"/>
        </w:rPr>
        <w:t>程序应当建立重试机制，在被调用方服务超时或出现</w:t>
      </w:r>
      <w:r>
        <w:rPr>
          <w:szCs w:val="21"/>
        </w:rPr>
        <w:t>HTTP STATUS 500</w:t>
      </w:r>
      <w:r>
        <w:rPr>
          <w:rFonts w:hint="eastAsia"/>
          <w:szCs w:val="21"/>
        </w:rPr>
        <w:t>错误的情况下，将本次请求加入重试队列，建议间隔</w:t>
      </w:r>
      <w:r>
        <w:rPr>
          <w:szCs w:val="21"/>
        </w:rPr>
        <w:t>10m/20m/40m/80m/160m</w:t>
      </w:r>
      <w:r>
        <w:rPr>
          <w:rFonts w:hint="eastAsia"/>
          <w:szCs w:val="21"/>
        </w:rPr>
        <w:t>进行最多五次重试。如五次仍未得到正确的响应则放弃本次请求。</w:t>
      </w:r>
    </w:p>
    <w:p>
      <w:pPr>
        <w:autoSpaceDN w:val="0"/>
        <w:rPr>
          <w:szCs w:val="21"/>
        </w:rPr>
      </w:pPr>
    </w:p>
    <w:p>
      <w:pPr>
        <w:widowControl/>
        <w:autoSpaceDN w:val="0"/>
        <w:jc w:val="left"/>
        <w:rPr>
          <w:szCs w:val="21"/>
        </w:rPr>
      </w:pPr>
      <w:r>
        <w:rPr>
          <w:szCs w:val="21"/>
        </w:rPr>
        <w:br w:type="page"/>
      </w:r>
    </w:p>
    <w:p>
      <w:pPr>
        <w:pStyle w:val="Heading2"/>
        <w:keepLines/>
        <w:widowControl w:val="0"/>
        <w:numPr>
          <w:ilvl w:val="0"/>
          <w:numId w:val="5"/>
        </w:numPr>
        <w:tabs>
          <w:tab w:val="left" w:pos="0"/>
        </w:tabs>
        <w:autoSpaceDN w:val="0"/>
        <w:spacing w:before="260" w:after="260" w:line="360" w:lineRule="auto"/>
        <w:ind w:left="0" w:firstLine="0"/>
        <w:jc w:val="left"/>
      </w:pPr>
      <w:bookmarkStart w:id="80" w:name="_Toc126335217"/>
      <w:r>
        <w:rPr>
          <w:rFonts w:hint="eastAsia"/>
          <w:szCs w:val="32"/>
        </w:rPr>
        <w:t>附录</w:t>
      </w:r>
      <w:bookmarkEnd w:id="80"/>
    </w:p>
    <w:p>
      <w:pPr>
        <w:pStyle w:val="Heading3"/>
        <w:keepNext/>
        <w:keepLines/>
        <w:widowControl w:val="0"/>
        <w:numPr>
          <w:ilvl w:val="1"/>
          <w:numId w:val="5"/>
        </w:numPr>
        <w:tabs>
          <w:tab w:val="left" w:pos="0"/>
        </w:tabs>
        <w:autoSpaceDN w:val="0"/>
        <w:spacing w:before="260" w:after="260" w:line="415" w:lineRule="auto"/>
        <w:ind w:left="576" w:hanging="576"/>
        <w:jc w:val="left"/>
        <w:rPr>
          <w:rFonts w:hint="eastAsia"/>
          <w:szCs w:val="30"/>
        </w:rPr>
      </w:pPr>
      <w:bookmarkStart w:id="81" w:name="_附录1"/>
      <w:bookmarkStart w:id="82" w:name="_Toc126335218"/>
      <w:bookmarkEnd w:id="81"/>
      <w:r>
        <w:rPr>
          <w:rFonts w:hint="eastAsia"/>
          <w:szCs w:val="30"/>
        </w:rPr>
        <w:t>附录</w:t>
      </w:r>
      <w:r>
        <w:rPr>
          <w:szCs w:val="30"/>
        </w:rPr>
        <w:t>1</w:t>
      </w:r>
      <w:bookmarkEnd w:id="82"/>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83" w:name="_注册入网设备数据模型"/>
      <w:bookmarkStart w:id="84" w:name="_第三方注册"/>
      <w:bookmarkStart w:id="85" w:name="_第三方注册数据模型"/>
      <w:bookmarkStart w:id="86" w:name="_Toc126335219"/>
      <w:bookmarkEnd w:id="83"/>
      <w:bookmarkEnd w:id="84"/>
      <w:bookmarkEnd w:id="85"/>
      <w:r>
        <w:rPr>
          <w:szCs w:val="28"/>
        </w:rPr>
        <w:softHyphen/>
      </w:r>
      <w:r>
        <w:rPr>
          <w:szCs w:val="28"/>
        </w:rPr>
        <w:softHyphen/>
      </w:r>
      <w:r>
        <w:rPr>
          <w:szCs w:val="28"/>
        </w:rPr>
        <w:softHyphen/>
      </w:r>
      <w:r>
        <w:rPr>
          <w:rFonts w:hint="eastAsia"/>
          <w:szCs w:val="28"/>
        </w:rPr>
        <w:t>注册入网设备数据模型</w:t>
      </w:r>
      <w:bookmarkEnd w:id="86"/>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customsCode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隶属关区代码，详见</w:t>
            </w:r>
            <w:hyperlink w:anchor="_隶属关区代码_1" w:history="1">
              <w:r>
                <w:rPr>
                  <w:rStyle w:val="Hyperlink"/>
                  <w:color w:val="auto"/>
                  <w:szCs w:val="21"/>
                </w:rPr>
                <w:t>8</w:t>
              </w:r>
            </w:hyperlink>
            <w:hyperlink w:anchor="_隶属关区代码_1" w:history="1">
              <w:r>
                <w:rPr>
                  <w:rStyle w:val="Hyperlink"/>
                  <w:color w:val="auto"/>
                  <w:szCs w:val="21"/>
                </w:rPr>
                <w:t>.2</w:t>
              </w:r>
            </w:hyperlink>
            <w:hyperlink w:anchor="_隶属关区代码_1" w:history="1">
              <w:r>
                <w:rPr>
                  <w:rStyle w:val="Hyperlink"/>
                  <w:rFonts w:hint="eastAsia"/>
                  <w:color w:val="auto"/>
                  <w:szCs w:val="21"/>
                </w:rPr>
                <w:t>隶属关区代码</w:t>
              </w:r>
            </w:hyperlink>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clientId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uuid</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入网设备唯一标识，厂商自行定义，需要保证在所属直属海关的所有设备中唯一，建议加自定义前缀</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manufacturer</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厂商代码（字典），厂商自行定义</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serviceUrl</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入网设备的服务地址，此地址需要确保接口服务器可以访问</w:t>
            </w:r>
          </w:p>
        </w:tc>
      </w:tr>
    </w:tbl>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rPr>
          <w:rFonts w:cs="Arial"/>
        </w:rPr>
      </w:pPr>
      <w:bookmarkStart w:id="87" w:name="_入网设备注册结果模型"/>
      <w:bookmarkStart w:id="88" w:name="_设备信息"/>
      <w:bookmarkStart w:id="89" w:name="_设备数据模型"/>
      <w:bookmarkStart w:id="90" w:name="_Toc126335220"/>
      <w:bookmarkEnd w:id="87"/>
      <w:bookmarkEnd w:id="88"/>
      <w:bookmarkEnd w:id="89"/>
      <w:r>
        <w:rPr>
          <w:rFonts w:hint="eastAsia"/>
          <w:szCs w:val="28"/>
        </w:rPr>
        <w:t>入网设备注册结果模型</w:t>
      </w:r>
      <w:bookmarkEnd w:id="90"/>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clientId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入网设备唯一标识</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registerTime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注册时间</w:t>
            </w:r>
          </w:p>
        </w:tc>
      </w:tr>
    </w:tbl>
    <w:p>
      <w:pPr>
        <w:autoSpaceDN w:val="0"/>
        <w:rPr>
          <w:szCs w:val="21"/>
        </w:rPr>
      </w:pPr>
      <w:r>
        <w:rPr>
          <w:szCs w:val="21"/>
        </w:rPr>
        <w:softHyphen/>
      </w: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91" w:name="_辐射探测设备数据模型"/>
      <w:bookmarkStart w:id="92" w:name="_Toc126335221"/>
      <w:bookmarkEnd w:id="91"/>
      <w:r>
        <w:rPr>
          <w:rFonts w:hint="eastAsia"/>
          <w:szCs w:val="28"/>
        </w:rPr>
        <w:t>辐射探测设备数据模型</w:t>
      </w:r>
      <w:bookmarkEnd w:id="92"/>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bCs/>
                <w:szCs w:val="21"/>
              </w:rPr>
            </w:pPr>
            <w:r>
              <w:rPr>
                <w:rFonts w:hint="eastAsia"/>
                <w:bCs/>
                <w:szCs w:val="21"/>
              </w:rPr>
              <w:t>设备</w:t>
            </w:r>
            <w:r>
              <w:rPr>
                <w:bCs/>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detectors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探测器参数数据模型" w:history="1">
              <w:r>
                <w:rPr>
                  <w:rStyle w:val="Hyperlink"/>
                  <w:rFonts w:hint="eastAsia"/>
                  <w:color w:val="auto"/>
                  <w:szCs w:val="21"/>
                </w:rPr>
                <w:t>探测器参数数据模型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中子探测器参数</w:t>
            </w:r>
          </w:p>
        </w:tc>
      </w:tr>
    </w:tbl>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rPr>
          <w:rFonts w:cs="Arial"/>
        </w:rPr>
      </w:pPr>
      <w:bookmarkStart w:id="93" w:name="_设备状态数据模型"/>
      <w:bookmarkStart w:id="94" w:name="_辐射探测设备状态数据模型"/>
      <w:bookmarkStart w:id="95" w:name="_Toc126335222"/>
      <w:bookmarkEnd w:id="93"/>
      <w:bookmarkEnd w:id="94"/>
      <w:r>
        <w:rPr>
          <w:szCs w:val="28"/>
        </w:rPr>
        <w:softHyphen/>
      </w:r>
      <w:r>
        <w:rPr>
          <w:rFonts w:hint="eastAsia"/>
          <w:szCs w:val="28"/>
        </w:rPr>
        <w:t>辐射探测设备状态数据模型</w:t>
      </w:r>
      <w:bookmarkEnd w:id="95"/>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bCs/>
                <w:szCs w:val="21"/>
              </w:rPr>
            </w:pPr>
            <w:r>
              <w:rPr>
                <w:rFonts w:hint="eastAsia"/>
                <w:bCs/>
                <w:szCs w:val="21"/>
              </w:rPr>
              <w:t>设备</w:t>
            </w:r>
            <w:r>
              <w:rPr>
                <w:bCs/>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workStatus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工作状态</w:t>
            </w:r>
          </w:p>
          <w:p>
            <w:pPr>
              <w:autoSpaceDN w:val="0"/>
              <w:rPr>
                <w:szCs w:val="21"/>
              </w:rPr>
            </w:pPr>
            <w:r>
              <w:rPr>
                <w:rFonts w:hint="eastAsia"/>
                <w:szCs w:val="21"/>
              </w:rPr>
              <w:t>可选枚举值如下</w:t>
            </w:r>
          </w:p>
          <w:p>
            <w:pPr>
              <w:autoSpaceDN w:val="0"/>
              <w:rPr>
                <w:szCs w:val="21"/>
              </w:rPr>
            </w:pPr>
            <w:r>
              <w:rPr>
                <w:szCs w:val="21"/>
              </w:rPr>
              <w:t>Pause //</w:t>
            </w:r>
            <w:r>
              <w:rPr>
                <w:rFonts w:hint="eastAsia"/>
                <w:szCs w:val="21"/>
              </w:rPr>
              <w:t>暂停</w:t>
            </w:r>
          </w:p>
          <w:p>
            <w:pPr>
              <w:autoSpaceDN w:val="0"/>
              <w:rPr>
                <w:szCs w:val="21"/>
              </w:rPr>
            </w:pPr>
            <w:r>
              <w:rPr>
                <w:szCs w:val="21"/>
              </w:rPr>
              <w:t>PrewarmMode //</w:t>
            </w:r>
            <w:r>
              <w:rPr>
                <w:rFonts w:hint="eastAsia"/>
                <w:szCs w:val="21"/>
              </w:rPr>
              <w:t>预热模式</w:t>
            </w:r>
          </w:p>
          <w:p>
            <w:pPr>
              <w:autoSpaceDN w:val="0"/>
              <w:rPr>
                <w:szCs w:val="21"/>
              </w:rPr>
            </w:pPr>
            <w:r>
              <w:rPr>
                <w:szCs w:val="21"/>
              </w:rPr>
              <w:t>BackgroundMode //</w:t>
            </w:r>
            <w:r>
              <w:rPr>
                <w:rFonts w:hint="eastAsia"/>
                <w:szCs w:val="21"/>
              </w:rPr>
              <w:t>本底模式</w:t>
            </w:r>
          </w:p>
          <w:p>
            <w:pPr>
              <w:autoSpaceDN w:val="0"/>
              <w:rPr>
                <w:szCs w:val="21"/>
              </w:rPr>
            </w:pPr>
            <w:r>
              <w:rPr>
                <w:szCs w:val="21"/>
              </w:rPr>
              <w:t>DetectionMode //</w:t>
            </w:r>
            <w:r>
              <w:rPr>
                <w:rFonts w:hint="eastAsia"/>
                <w:szCs w:val="21"/>
              </w:rPr>
              <w:t>探测模式</w:t>
            </w:r>
          </w:p>
          <w:p>
            <w:pPr>
              <w:autoSpaceDN w:val="0"/>
              <w:rPr>
                <w:szCs w:val="21"/>
              </w:rPr>
            </w:pPr>
            <w:r>
              <w:rPr>
                <w:szCs w:val="21"/>
              </w:rPr>
              <w:t>Stopped  //</w:t>
            </w:r>
            <w:r>
              <w:rPr>
                <w:rFonts w:hint="eastAsia"/>
                <w:szCs w:val="21"/>
              </w:rPr>
              <w:t>已停止</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onlineStatus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在线状态</w:t>
            </w:r>
          </w:p>
          <w:p>
            <w:pPr>
              <w:autoSpaceDN w:val="0"/>
              <w:rPr>
                <w:szCs w:val="21"/>
              </w:rPr>
            </w:pPr>
            <w:r>
              <w:rPr>
                <w:rFonts w:hint="eastAsia"/>
                <w:szCs w:val="21"/>
              </w:rPr>
              <w:t>可选枚举值如下</w:t>
            </w:r>
          </w:p>
          <w:p>
            <w:pPr>
              <w:autoSpaceDN w:val="0"/>
              <w:rPr>
                <w:szCs w:val="21"/>
              </w:rPr>
            </w:pPr>
            <w:r>
              <w:rPr>
                <w:szCs w:val="21"/>
              </w:rPr>
              <w:t>Online //</w:t>
            </w:r>
            <w:r>
              <w:rPr>
                <w:rFonts w:hint="eastAsia"/>
                <w:szCs w:val="21"/>
              </w:rPr>
              <w:t>在线</w:t>
            </w:r>
          </w:p>
          <w:p>
            <w:pPr>
              <w:autoSpaceDN w:val="0"/>
              <w:rPr>
                <w:szCs w:val="21"/>
              </w:rPr>
            </w:pPr>
            <w:r>
              <w:rPr>
                <w:szCs w:val="21"/>
              </w:rPr>
              <w:t>Offline //</w:t>
            </w:r>
            <w:r>
              <w:rPr>
                <w:rFonts w:hint="eastAsia"/>
                <w:szCs w:val="21"/>
              </w:rPr>
              <w:t>离线</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errorStatus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错误状态</w:t>
            </w:r>
          </w:p>
          <w:p>
            <w:pPr>
              <w:autoSpaceDN w:val="0"/>
              <w:rPr>
                <w:szCs w:val="21"/>
              </w:rPr>
            </w:pPr>
            <w:r>
              <w:rPr>
                <w:rFonts w:hint="eastAsia"/>
                <w:szCs w:val="21"/>
              </w:rPr>
              <w:t>可选枚举值如下</w:t>
            </w:r>
          </w:p>
          <w:p>
            <w:pPr>
              <w:autoSpaceDN w:val="0"/>
              <w:rPr>
                <w:szCs w:val="21"/>
              </w:rPr>
            </w:pPr>
            <w:r>
              <w:rPr>
                <w:szCs w:val="21"/>
              </w:rPr>
              <w:t>Normal //</w:t>
            </w:r>
            <w:r>
              <w:rPr>
                <w:rFonts w:hint="eastAsia"/>
                <w:szCs w:val="21"/>
              </w:rPr>
              <w:t>正常状态</w:t>
            </w:r>
          </w:p>
          <w:p>
            <w:pPr>
              <w:autoSpaceDN w:val="0"/>
              <w:rPr>
                <w:szCs w:val="21"/>
              </w:rPr>
            </w:pPr>
            <w:r>
              <w:rPr>
                <w:rFonts w:hint="eastAsia"/>
                <w:szCs w:val="21"/>
              </w:rPr>
              <w:t>其他异常状态代码由设备厂商自己定义</w:t>
            </w:r>
          </w:p>
        </w:tc>
      </w:tr>
    </w:tbl>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rPr>
          <w:rFonts w:cs="Arial"/>
        </w:rPr>
      </w:pPr>
      <w:bookmarkStart w:id="96" w:name="_探测记录数据模型_1"/>
      <w:bookmarkStart w:id="97" w:name="_Toc126335223"/>
      <w:bookmarkEnd w:id="96"/>
      <w:r>
        <w:rPr>
          <w:rFonts w:hint="eastAsia"/>
          <w:szCs w:val="28"/>
        </w:rPr>
        <w:t>探测记录数据模型</w:t>
      </w:r>
      <w:bookmarkEnd w:id="97"/>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bCs/>
                <w:szCs w:val="21"/>
              </w:rPr>
            </w:pPr>
            <w:r>
              <w:rPr>
                <w:rFonts w:hint="eastAsia"/>
                <w:bCs/>
                <w:szCs w:val="21"/>
              </w:rPr>
              <w:t>设备</w:t>
            </w:r>
            <w:r>
              <w:rPr>
                <w:bCs/>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recordId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探测记录</w:t>
            </w:r>
            <w:r>
              <w:rPr>
                <w:szCs w:val="21"/>
              </w:rPr>
              <w:t>ID</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startTime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探测开始时间</w:t>
            </w:r>
          </w:p>
          <w:p>
            <w:pPr>
              <w:autoSpaceDN w:val="0"/>
              <w:rPr>
                <w:szCs w:val="21"/>
              </w:rPr>
            </w:pPr>
            <w:r>
              <w:rPr>
                <w:rFonts w:hint="eastAsia"/>
                <w:szCs w:val="21"/>
              </w:rPr>
              <w:t>时间格式：</w:t>
            </w:r>
            <w:r>
              <w:rPr>
                <w:szCs w:val="21"/>
              </w:rPr>
              <w:t>yyyy-MM-dd HH:mm:ss</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endTime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探测结束时</w:t>
            </w:r>
          </w:p>
          <w:p>
            <w:pPr>
              <w:autoSpaceDN w:val="0"/>
              <w:rPr>
                <w:szCs w:val="21"/>
              </w:rPr>
            </w:pPr>
            <w:r>
              <w:rPr>
                <w:rFonts w:hint="eastAsia"/>
                <w:szCs w:val="21"/>
              </w:rPr>
              <w:t>时间格式：</w:t>
            </w:r>
            <w:r>
              <w:rPr>
                <w:szCs w:val="21"/>
              </w:rPr>
              <w:t>yyyy-MM-dd HH:mm:ss</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lprInfo</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车牌号识别结果</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containerInfo</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集装箱信息模型" w:history="1">
              <w:r>
                <w:rPr>
                  <w:rStyle w:val="Hyperlink"/>
                  <w:rFonts w:hint="eastAsia"/>
                  <w:color w:val="auto"/>
                  <w:szCs w:val="21"/>
                </w:rPr>
                <w:t>集装箱信息模型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集装箱信息</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alarm</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boolean</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本次探测是否报警</w:t>
            </w:r>
          </w:p>
          <w:p>
            <w:pPr>
              <w:autoSpaceDN w:val="0"/>
              <w:rPr>
                <w:szCs w:val="21"/>
              </w:rPr>
            </w:pPr>
            <w:r>
              <w:rPr>
                <w:szCs w:val="21"/>
              </w:rPr>
              <w:t>true - '</w:t>
            </w:r>
            <w:r>
              <w:rPr>
                <w:rFonts w:hint="eastAsia"/>
                <w:szCs w:val="21"/>
              </w:rPr>
              <w:t>发生报警</w:t>
            </w:r>
            <w:r>
              <w:rPr>
                <w:szCs w:val="21"/>
              </w:rPr>
              <w:t>'</w:t>
            </w:r>
          </w:p>
          <w:p>
            <w:pPr>
              <w:autoSpaceDN w:val="0"/>
              <w:rPr>
                <w:szCs w:val="21"/>
              </w:rPr>
            </w:pPr>
            <w:r>
              <w:rPr>
                <w:szCs w:val="21"/>
              </w:rPr>
              <w:t>false - '</w:t>
            </w:r>
            <w:r>
              <w:rPr>
                <w:rFonts w:hint="eastAsia"/>
                <w:szCs w:val="21"/>
              </w:rPr>
              <w:t>未发生报警</w:t>
            </w:r>
            <w:r>
              <w:rPr>
                <w:szCs w:val="21"/>
              </w:rPr>
              <w:t>'</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filePaths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非结构化数据模型" w:history="1">
              <w:r>
                <w:rPr>
                  <w:rStyle w:val="Hyperlink"/>
                  <w:rFonts w:hint="eastAsia"/>
                  <w:color w:val="auto"/>
                  <w:szCs w:val="21"/>
                </w:rPr>
                <w:t>非结构化数据模型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探测过程中产生的非结构化文件的上传路径</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detectionData</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探测数据模型" w:history="1">
              <w:r>
                <w:rPr>
                  <w:rStyle w:val="Hyperlink"/>
                  <w:rFonts w:hint="eastAsia"/>
                  <w:color w:val="auto"/>
                  <w:szCs w:val="21"/>
                </w:rPr>
                <w:t>探测数据模型</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详细的探测数据</w:t>
            </w:r>
          </w:p>
        </w:tc>
      </w:tr>
    </w:tbl>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rPr>
          <w:rFonts w:cs="Arial"/>
        </w:rPr>
      </w:pPr>
      <w:bookmarkStart w:id="98" w:name="_探测记录数据模型"/>
      <w:bookmarkStart w:id="99" w:name="_非结构化文件数据模型"/>
      <w:bookmarkStart w:id="100" w:name="_探测数据模型"/>
      <w:bookmarkStart w:id="101" w:name="_Toc126335224"/>
      <w:bookmarkEnd w:id="98"/>
      <w:bookmarkEnd w:id="99"/>
      <w:bookmarkEnd w:id="100"/>
      <w:r>
        <w:rPr>
          <w:rFonts w:hint="eastAsia"/>
          <w:szCs w:val="28"/>
        </w:rPr>
        <w:t>探测数据</w:t>
      </w:r>
      <w:bookmarkStart w:id="102" w:name="_Hlk11165462"/>
      <w:r>
        <w:rPr>
          <w:rFonts w:hint="eastAsia"/>
          <w:szCs w:val="28"/>
        </w:rPr>
        <w:t>模型</w:t>
      </w:r>
      <w:bookmarkEnd w:id="101"/>
      <w:bookmarkEnd w:id="102"/>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speed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车速</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overspeed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boolean</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是否超速</w:t>
            </w:r>
          </w:p>
          <w:p>
            <w:pPr>
              <w:autoSpaceDN w:val="0"/>
              <w:rPr>
                <w:szCs w:val="21"/>
              </w:rPr>
            </w:pPr>
            <w:r>
              <w:rPr>
                <w:szCs w:val="21"/>
              </w:rPr>
              <w:t>true - '</w:t>
            </w:r>
            <w:r>
              <w:rPr>
                <w:rFonts w:hint="eastAsia"/>
                <w:szCs w:val="21"/>
              </w:rPr>
              <w:t>超速</w:t>
            </w:r>
            <w:r>
              <w:rPr>
                <w:szCs w:val="21"/>
              </w:rPr>
              <w:t>'</w:t>
            </w:r>
          </w:p>
          <w:p>
            <w:pPr>
              <w:autoSpaceDN w:val="0"/>
              <w:rPr>
                <w:szCs w:val="21"/>
              </w:rPr>
            </w:pPr>
            <w:r>
              <w:rPr>
                <w:szCs w:val="21"/>
              </w:rPr>
              <w:t>false - '</w:t>
            </w:r>
            <w:r>
              <w:rPr>
                <w:rFonts w:hint="eastAsia"/>
                <w:szCs w:val="21"/>
              </w:rPr>
              <w:t>未超速</w:t>
            </w:r>
            <w:r>
              <w:rPr>
                <w:szCs w:val="21"/>
              </w:rPr>
              <w:t>'</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timeout</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boolean</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探测是否超时</w:t>
            </w:r>
          </w:p>
          <w:p>
            <w:pPr>
              <w:autoSpaceDN w:val="0"/>
              <w:rPr>
                <w:szCs w:val="21"/>
              </w:rPr>
            </w:pPr>
            <w:r>
              <w:rPr>
                <w:szCs w:val="21"/>
              </w:rPr>
              <w:t>true - '</w:t>
            </w:r>
            <w:r>
              <w:rPr>
                <w:rFonts w:hint="eastAsia"/>
                <w:szCs w:val="21"/>
              </w:rPr>
              <w:t>超时</w:t>
            </w:r>
            <w:r>
              <w:rPr>
                <w:szCs w:val="21"/>
              </w:rPr>
              <w:t>'</w:t>
            </w:r>
          </w:p>
          <w:p>
            <w:pPr>
              <w:autoSpaceDN w:val="0"/>
              <w:rPr>
                <w:szCs w:val="21"/>
              </w:rPr>
            </w:pPr>
            <w:r>
              <w:rPr>
                <w:szCs w:val="21"/>
              </w:rPr>
              <w:t>false - '</w:t>
            </w:r>
            <w:r>
              <w:rPr>
                <w:rFonts w:hint="eastAsia"/>
                <w:szCs w:val="21"/>
              </w:rPr>
              <w:t>未超时</w:t>
            </w:r>
            <w:r>
              <w:rPr>
                <w:szCs w:val="21"/>
              </w:rPr>
              <w:t>'</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gamma</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伽马探测数据模型" w:history="1">
              <w:r>
                <w:rPr>
                  <w:rStyle w:val="Hyperlink"/>
                  <w:rFonts w:hint="eastAsia"/>
                  <w:color w:val="auto"/>
                  <w:szCs w:val="21"/>
                </w:rPr>
                <w:t>伽马探测数据模型</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伽马探测数据明细</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neutron</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中子探测数据模型" w:history="1">
              <w:r>
                <w:rPr>
                  <w:rStyle w:val="Hyperlink"/>
                  <w:rFonts w:hint="eastAsia"/>
                  <w:color w:val="auto"/>
                  <w:szCs w:val="21"/>
                </w:rPr>
                <w:t>中子探测数据模型</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中子探测数据明细</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nuclideInfos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核素数据模型" w:history="1">
              <w:r>
                <w:rPr>
                  <w:rStyle w:val="Hyperlink"/>
                  <w:rFonts w:hint="eastAsia"/>
                  <w:color w:val="auto"/>
                  <w:szCs w:val="21"/>
                </w:rPr>
                <w:t>核素数据模型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识别到的核素明细</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alarmInfos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报警信息模型" w:history="1">
              <w:r>
                <w:rPr>
                  <w:rStyle w:val="Hyperlink"/>
                  <w:rFonts w:hint="eastAsia"/>
                  <w:color w:val="auto"/>
                  <w:szCs w:val="21"/>
                </w:rPr>
                <w:t>报警信息模型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b/>
                <w:bCs/>
                <w:szCs w:val="21"/>
              </w:rPr>
            </w:pPr>
            <w:r>
              <w:rPr>
                <w:rFonts w:hint="eastAsia"/>
                <w:szCs w:val="21"/>
              </w:rPr>
              <w:t>报警信息列表</w:t>
            </w:r>
          </w:p>
        </w:tc>
      </w:tr>
    </w:tbl>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rPr>
          <w:rFonts w:cs="Arial"/>
        </w:rPr>
      </w:pPr>
      <w:bookmarkStart w:id="103" w:name="_中子探测数据模型"/>
      <w:bookmarkStart w:id="104" w:name="_Toc126335225"/>
      <w:bookmarkEnd w:id="103"/>
      <w:r>
        <w:rPr>
          <w:rFonts w:hint="eastAsia"/>
          <w:szCs w:val="28"/>
        </w:rPr>
        <w:t>中子探测数据模型</w:t>
      </w:r>
      <w:bookmarkEnd w:id="104"/>
    </w:p>
    <w:p>
      <w:pPr>
        <w:autoSpaceDN w:val="0"/>
        <w:rPr>
          <w:szCs w:val="21"/>
        </w:rPr>
      </w:pPr>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countingRates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计数率或剂量率数据模型" w:history="1">
              <w:r>
                <w:rPr>
                  <w:rStyle w:val="Hyperlink"/>
                  <w:rFonts w:hint="eastAsia"/>
                  <w:color w:val="auto"/>
                  <w:szCs w:val="21"/>
                </w:rPr>
                <w:t>计数率或剂量率数据模型</w:t>
              </w:r>
            </w:hyperlink>
            <w:r>
              <w:rPr>
                <w:rStyle w:val="Hyperlink"/>
                <w:color w:val="auto"/>
                <w:szCs w:val="21"/>
              </w:rPr>
              <w:t>[]</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总计数率</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detectorRecords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分探测器记录数据模型" w:history="1">
              <w:r>
                <w:rPr>
                  <w:rStyle w:val="Hyperlink"/>
                  <w:rFonts w:hint="eastAsia"/>
                  <w:color w:val="auto"/>
                  <w:szCs w:val="21"/>
                </w:rPr>
                <w:t>分探测器数据模型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分探测器探测数据</w:t>
            </w:r>
          </w:p>
          <w:p>
            <w:pPr>
              <w:autoSpaceDN w:val="0"/>
              <w:rPr>
                <w:szCs w:val="21"/>
              </w:rPr>
            </w:pPr>
          </w:p>
        </w:tc>
      </w:tr>
    </w:tbl>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rPr>
          <w:rFonts w:cs="Arial"/>
        </w:rPr>
      </w:pPr>
      <w:bookmarkStart w:id="105" w:name="_伽马探测数据模型"/>
      <w:bookmarkStart w:id="106" w:name="_Toc126335226"/>
      <w:bookmarkEnd w:id="105"/>
      <w:r>
        <w:rPr>
          <w:rFonts w:hint="eastAsia"/>
          <w:szCs w:val="28"/>
        </w:rPr>
        <w:t>伽马探测数据模型</w:t>
      </w:r>
      <w:bookmarkEnd w:id="106"/>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countingRates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计数率或剂量率数据模型" w:history="1">
              <w:r>
                <w:rPr>
                  <w:rStyle w:val="Hyperlink"/>
                  <w:rFonts w:hint="eastAsia"/>
                  <w:color w:val="auto"/>
                  <w:szCs w:val="21"/>
                </w:rPr>
                <w:t>计数率或剂量率数据模型</w:t>
              </w:r>
            </w:hyperlink>
            <w:r>
              <w:rPr>
                <w:rStyle w:val="Hyperlink"/>
                <w:color w:val="auto"/>
                <w:szCs w:val="21"/>
              </w:rPr>
              <w:t>[]</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总计数率</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detectorRecords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分探测器记录数据模型" w:history="1">
              <w:r>
                <w:rPr>
                  <w:rStyle w:val="Hyperlink"/>
                  <w:rFonts w:hint="eastAsia"/>
                  <w:color w:val="auto"/>
                  <w:szCs w:val="21"/>
                </w:rPr>
                <w:t>分探测器记录数据模型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分探测器探测数据</w:t>
            </w:r>
          </w:p>
        </w:tc>
      </w:tr>
    </w:tbl>
    <w:p>
      <w:pPr>
        <w:autoSpaceDN w:val="0"/>
        <w:rPr>
          <w:szCs w:val="21"/>
        </w:rPr>
      </w:pP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07" w:name="_Toc126335227"/>
      <w:r>
        <w:rPr>
          <w:rFonts w:hint="eastAsia"/>
          <w:szCs w:val="28"/>
        </w:rPr>
        <w:t>探测器数据模型</w:t>
      </w:r>
      <w:bookmarkEnd w:id="107"/>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08" w:name="_探测器参数数据模型"/>
      <w:bookmarkStart w:id="109" w:name="_Toc126335228"/>
      <w:bookmarkEnd w:id="108"/>
      <w:r>
        <w:rPr>
          <w:rFonts w:hint="eastAsia"/>
          <w:szCs w:val="28"/>
        </w:rPr>
        <w:t>探测器参数数据模型</w:t>
      </w:r>
      <w:bookmarkEnd w:id="109"/>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detectorId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探测器</w:t>
            </w:r>
            <w:r>
              <w:rPr>
                <w:szCs w:val="21"/>
              </w:rPr>
              <w:t>ID</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type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探测器类型</w:t>
            </w:r>
          </w:p>
          <w:p>
            <w:pPr>
              <w:autoSpaceDN w:val="0"/>
              <w:rPr>
                <w:szCs w:val="21"/>
              </w:rPr>
            </w:pPr>
            <w:r>
              <w:rPr>
                <w:szCs w:val="21"/>
              </w:rPr>
              <w:t>Gamma //</w:t>
            </w:r>
            <w:r>
              <w:rPr>
                <w:rFonts w:hint="eastAsia"/>
                <w:szCs w:val="21"/>
              </w:rPr>
              <w:t>伽马探测器</w:t>
            </w:r>
          </w:p>
          <w:p>
            <w:pPr>
              <w:autoSpaceDN w:val="0"/>
              <w:rPr>
                <w:szCs w:val="21"/>
              </w:rPr>
            </w:pPr>
            <w:r>
              <w:rPr>
                <w:szCs w:val="21"/>
              </w:rPr>
              <w:t>Neutron//</w:t>
            </w:r>
            <w:r>
              <w:rPr>
                <w:rFonts w:hint="eastAsia"/>
                <w:szCs w:val="21"/>
              </w:rPr>
              <w:t>中子探测器</w:t>
            </w:r>
          </w:p>
          <w:p>
            <w:pPr>
              <w:autoSpaceDN w:val="0"/>
              <w:rPr>
                <w:szCs w:val="21"/>
              </w:rPr>
            </w:pPr>
            <w:r>
              <w:rPr>
                <w:szCs w:val="21"/>
              </w:rPr>
              <w:t>Other //</w:t>
            </w:r>
            <w:r>
              <w:rPr>
                <w:rFonts w:hint="eastAsia"/>
                <w:szCs w:val="21"/>
              </w:rPr>
              <w:t>其它探测器</w:t>
            </w:r>
          </w:p>
        </w:tc>
      </w:tr>
    </w:tbl>
    <w:p>
      <w:pPr>
        <w:autoSpaceDN w:val="0"/>
        <w:rPr>
          <w:szCs w:val="21"/>
        </w:rPr>
      </w:pP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10" w:name="_核素数据模型"/>
      <w:bookmarkStart w:id="111" w:name="_Toc126335229"/>
      <w:bookmarkEnd w:id="110"/>
      <w:r>
        <w:rPr>
          <w:rFonts w:hint="eastAsia"/>
          <w:szCs w:val="28"/>
        </w:rPr>
        <w:t>核素数据模型</w:t>
      </w:r>
      <w:bookmarkEnd w:id="111"/>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category</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核素类型</w:t>
            </w:r>
          </w:p>
          <w:p>
            <w:pPr>
              <w:autoSpaceDN w:val="0"/>
              <w:rPr>
                <w:szCs w:val="21"/>
              </w:rPr>
            </w:pPr>
            <w:r>
              <w:rPr>
                <w:szCs w:val="21"/>
              </w:rPr>
              <w:t>Unknown - '</w:t>
            </w:r>
            <w:r>
              <w:rPr>
                <w:rFonts w:hint="eastAsia"/>
                <w:szCs w:val="21"/>
              </w:rPr>
              <w:t>未知</w:t>
            </w:r>
            <w:r>
              <w:rPr>
                <w:szCs w:val="21"/>
              </w:rPr>
              <w:t>'</w:t>
            </w:r>
          </w:p>
          <w:p>
            <w:pPr>
              <w:autoSpaceDN w:val="0"/>
              <w:rPr>
                <w:szCs w:val="21"/>
              </w:rPr>
            </w:pPr>
            <w:r>
              <w:rPr>
                <w:szCs w:val="21"/>
              </w:rPr>
              <w:t>NORM - '</w:t>
            </w:r>
            <w:r>
              <w:rPr>
                <w:rFonts w:hint="eastAsia"/>
                <w:szCs w:val="21"/>
              </w:rPr>
              <w:t>天然</w:t>
            </w:r>
            <w:r>
              <w:rPr>
                <w:szCs w:val="21"/>
              </w:rPr>
              <w:t>'</w:t>
            </w:r>
          </w:p>
          <w:p>
            <w:pPr>
              <w:autoSpaceDN w:val="0"/>
              <w:rPr>
                <w:szCs w:val="21"/>
              </w:rPr>
            </w:pPr>
            <w:r>
              <w:rPr>
                <w:szCs w:val="21"/>
              </w:rPr>
              <w:t>Medical - '</w:t>
            </w:r>
            <w:r>
              <w:rPr>
                <w:rFonts w:hint="eastAsia"/>
                <w:szCs w:val="21"/>
              </w:rPr>
              <w:t>医用</w:t>
            </w:r>
            <w:r>
              <w:rPr>
                <w:szCs w:val="21"/>
              </w:rPr>
              <w:t>'</w:t>
            </w:r>
          </w:p>
          <w:p>
            <w:pPr>
              <w:autoSpaceDN w:val="0"/>
              <w:rPr>
                <w:szCs w:val="21"/>
              </w:rPr>
            </w:pPr>
            <w:r>
              <w:rPr>
                <w:szCs w:val="21"/>
              </w:rPr>
              <w:t>Industrial - '</w:t>
            </w:r>
            <w:r>
              <w:rPr>
                <w:rFonts w:hint="eastAsia"/>
                <w:szCs w:val="21"/>
              </w:rPr>
              <w:t>工业</w:t>
            </w:r>
            <w:r>
              <w:rPr>
                <w:szCs w:val="21"/>
              </w:rPr>
              <w:t>'</w:t>
            </w:r>
          </w:p>
          <w:p>
            <w:pPr>
              <w:autoSpaceDN w:val="0"/>
              <w:rPr>
                <w:szCs w:val="21"/>
              </w:rPr>
            </w:pPr>
            <w:r>
              <w:rPr>
                <w:szCs w:val="21"/>
              </w:rPr>
              <w:t>SNM - '</w:t>
            </w:r>
            <w:r>
              <w:rPr>
                <w:rFonts w:hint="eastAsia"/>
                <w:szCs w:val="21"/>
              </w:rPr>
              <w:t>特殊核材料</w:t>
            </w:r>
            <w:r>
              <w:rPr>
                <w:szCs w:val="21"/>
              </w:rPr>
              <w:t xml:space="preserve">' </w:t>
            </w:r>
          </w:p>
          <w:p>
            <w:pPr>
              <w:autoSpaceDN w:val="0"/>
              <w:rPr>
                <w:szCs w:val="21"/>
              </w:rPr>
            </w:pPr>
            <w:r>
              <w:rPr>
                <w:szCs w:val="21"/>
              </w:rPr>
              <w:t>OTHER - '</w:t>
            </w:r>
            <w:r>
              <w:rPr>
                <w:rFonts w:hint="eastAsia"/>
                <w:szCs w:val="21"/>
              </w:rPr>
              <w:t>其它</w:t>
            </w:r>
            <w:r>
              <w:rPr>
                <w:szCs w:val="21"/>
              </w:rPr>
              <w:t>'</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name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核素名称</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bCs/>
                <w:szCs w:val="21"/>
              </w:rPr>
            </w:pPr>
            <w:r>
              <w:rPr>
                <w:szCs w:val="21"/>
              </w:rPr>
              <w:t>probability</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integer</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该项核素识别结果的置信度</w:t>
            </w:r>
          </w:p>
          <w:p>
            <w:pPr>
              <w:autoSpaceDN w:val="0"/>
              <w:rPr>
                <w:szCs w:val="21"/>
              </w:rPr>
            </w:pPr>
            <w:r>
              <w:rPr>
                <w:rFonts w:hint="eastAsia"/>
                <w:szCs w:val="21"/>
              </w:rPr>
              <w:t>范围：</w:t>
            </w:r>
            <w:r>
              <w:rPr>
                <w:szCs w:val="21"/>
              </w:rPr>
              <w:t>0~100</w:t>
            </w:r>
          </w:p>
        </w:tc>
      </w:tr>
    </w:tbl>
    <w:p>
      <w:pPr>
        <w:autoSpaceDN w:val="0"/>
        <w:rPr>
          <w:szCs w:val="21"/>
        </w:rPr>
      </w:pP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12" w:name="_计数率或剂量率数据模型"/>
      <w:bookmarkStart w:id="113" w:name="_Toc126335230"/>
      <w:bookmarkEnd w:id="112"/>
      <w:r>
        <w:rPr>
          <w:szCs w:val="28"/>
        </w:rPr>
        <w:softHyphen/>
      </w:r>
      <w:r>
        <w:rPr>
          <w:rFonts w:hint="eastAsia"/>
          <w:szCs w:val="28"/>
        </w:rPr>
        <w:t>计数率或剂量率数据模型</w:t>
      </w:r>
      <w:bookmarkEnd w:id="113"/>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thresholds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double[]</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阈值信息</w:t>
            </w:r>
          </w:p>
          <w:p>
            <w:pPr>
              <w:autoSpaceDN w:val="0"/>
              <w:rPr>
                <w:szCs w:val="21"/>
              </w:rPr>
            </w:pPr>
            <w:r>
              <w:rPr>
                <w:rFonts w:hint="eastAsia"/>
                <w:szCs w:val="21"/>
              </w:rPr>
              <w:t>下标</w:t>
            </w:r>
            <w:r>
              <w:rPr>
                <w:szCs w:val="21"/>
              </w:rPr>
              <w:t>0</w:t>
            </w:r>
            <w:r>
              <w:rPr>
                <w:rFonts w:hint="eastAsia"/>
                <w:szCs w:val="21"/>
              </w:rPr>
              <w:t>填入最低阈值，之后的阈值越来越大</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data</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double[]</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探测数据</w:t>
            </w:r>
          </w:p>
        </w:tc>
      </w:tr>
    </w:tbl>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rPr>
          <w:rFonts w:cs="Arial"/>
        </w:rPr>
      </w:pPr>
      <w:bookmarkStart w:id="114" w:name="_分探测器记录数据模型"/>
      <w:bookmarkStart w:id="115" w:name="_Toc126335231"/>
      <w:bookmarkEnd w:id="114"/>
      <w:r>
        <w:rPr>
          <w:rFonts w:hint="eastAsia"/>
          <w:szCs w:val="28"/>
        </w:rPr>
        <w:t>分探测器数据模型</w:t>
      </w:r>
      <w:bookmarkEnd w:id="115"/>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detectorId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探测器</w:t>
            </w:r>
            <w:r>
              <w:rPr>
                <w:szCs w:val="21"/>
              </w:rPr>
              <w:t>ID</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countingRates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计数率或剂量率数据模型" w:history="1">
              <w:r>
                <w:rPr>
                  <w:rStyle w:val="Hyperlink"/>
                  <w:rFonts w:hint="eastAsia"/>
                  <w:color w:val="auto"/>
                  <w:szCs w:val="21"/>
                </w:rPr>
                <w:t>计数率或剂量率数据模型</w:t>
              </w:r>
              <w:r>
                <w:rPr>
                  <w:rStyle w:val="Hyperlink"/>
                  <w:color w:val="auto"/>
                  <w:szCs w:val="21"/>
                </w:rPr>
                <w:t>[]</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总计数率</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doseRates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hyperlink w:anchor="_计数率或剂量率数据模型" w:history="1">
              <w:r>
                <w:rPr>
                  <w:rStyle w:val="Hyperlink"/>
                  <w:rFonts w:hint="eastAsia"/>
                  <w:color w:val="auto"/>
                  <w:szCs w:val="21"/>
                </w:rPr>
                <w:t>计数率或剂量率数据模型</w:t>
              </w:r>
            </w:hyperlink>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计数率或剂量率数据明细</w:t>
            </w:r>
          </w:p>
          <w:p>
            <w:pPr>
              <w:autoSpaceDN w:val="0"/>
              <w:rPr>
                <w:b/>
                <w:bCs/>
                <w:szCs w:val="21"/>
              </w:rPr>
            </w:pPr>
            <w:r>
              <w:rPr>
                <w:rFonts w:hint="eastAsia"/>
                <w:szCs w:val="21"/>
              </w:rPr>
              <w:t>数值单位：微希沃特</w:t>
            </w:r>
            <w:r>
              <w:rPr>
                <w:szCs w:val="21"/>
              </w:rPr>
              <w:t>/</w:t>
            </w:r>
            <w:r>
              <w:rPr>
                <w:rFonts w:hint="eastAsia"/>
                <w:szCs w:val="21"/>
              </w:rPr>
              <w:t>μ</w:t>
            </w:r>
            <w:r>
              <w:rPr>
                <w:szCs w:val="21"/>
              </w:rPr>
              <w:t>Sv</w:t>
            </w:r>
          </w:p>
          <w:p>
            <w:pPr>
              <w:autoSpaceDN w:val="0"/>
              <w:rPr>
                <w:b/>
                <w:bCs/>
                <w:szCs w:val="21"/>
              </w:rPr>
            </w:pPr>
            <w:r>
              <w:rPr>
                <w:rFonts w:hint="eastAsia"/>
                <w:b/>
                <w:bCs/>
                <w:szCs w:val="21"/>
              </w:rPr>
              <w:t>字段默认值为</w:t>
            </w:r>
            <w:r>
              <w:rPr>
                <w:b/>
                <w:bCs/>
                <w:szCs w:val="21"/>
              </w:rPr>
              <w:t>null</w:t>
            </w:r>
            <w:r>
              <w:rPr>
                <w:rFonts w:hint="eastAsia"/>
                <w:b/>
                <w:bCs/>
                <w:szCs w:val="21"/>
              </w:rPr>
              <w:t>，如果无法提供该项数据保持默认值即可</w:t>
            </w:r>
          </w:p>
          <w:p>
            <w:pPr>
              <w:autoSpaceDN w:val="0"/>
              <w:rPr>
                <w:b/>
                <w:bCs/>
                <w:szCs w:val="21"/>
              </w:rPr>
            </w:pP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spectrumData</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integer[]</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能量累积谱</w:t>
            </w:r>
          </w:p>
          <w:p>
            <w:pPr>
              <w:autoSpaceDN w:val="0"/>
              <w:rPr>
                <w:b/>
                <w:bCs/>
                <w:szCs w:val="21"/>
              </w:rPr>
            </w:pPr>
            <w:r>
              <w:rPr>
                <w:rFonts w:hint="eastAsia"/>
                <w:b/>
                <w:bCs/>
                <w:szCs w:val="21"/>
              </w:rPr>
              <w:t>字段默认值为</w:t>
            </w:r>
            <w:r>
              <w:rPr>
                <w:b/>
                <w:bCs/>
                <w:szCs w:val="21"/>
              </w:rPr>
              <w:t>[</w:t>
            </w:r>
            <w:r>
              <w:rPr>
                <w:szCs w:val="21"/>
              </w:rPr>
              <w:t xml:space="preserve">] </w:t>
            </w:r>
            <w:r>
              <w:rPr>
                <w:rFonts w:hint="eastAsia"/>
                <w:b/>
                <w:bCs/>
                <w:szCs w:val="21"/>
              </w:rPr>
              <w:t>空数组，如果无法提供该项数据保持默认值即可</w:t>
            </w:r>
          </w:p>
          <w:p>
            <w:pPr>
              <w:autoSpaceDN w:val="0"/>
              <w:rPr>
                <w:szCs w:val="21"/>
              </w:rPr>
            </w:pPr>
          </w:p>
        </w:tc>
      </w:tr>
    </w:tbl>
    <w:p>
      <w:pPr>
        <w:autoSpaceDN w:val="0"/>
        <w:rPr>
          <w:szCs w:val="21"/>
        </w:rPr>
      </w:pP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16" w:name="_修改设备运行参数"/>
      <w:bookmarkStart w:id="117" w:name="_修改辐射探测设备运行参数"/>
      <w:bookmarkStart w:id="118" w:name="_Toc126335232"/>
      <w:bookmarkEnd w:id="116"/>
      <w:bookmarkEnd w:id="117"/>
      <w:r>
        <w:rPr>
          <w:rFonts w:hint="eastAsia"/>
          <w:szCs w:val="28"/>
        </w:rPr>
        <w:t>修改辐射探测设备运行参数</w:t>
      </w:r>
      <w:bookmarkEnd w:id="118"/>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设备</w:t>
            </w:r>
            <w:r>
              <w:rPr>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gammaThresholds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double[]</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伽马阈值</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neutronThresholds</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double[]</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中子阈值</w:t>
            </w:r>
          </w:p>
        </w:tc>
      </w:tr>
    </w:tbl>
    <w:p>
      <w:pPr>
        <w:autoSpaceDN w:val="0"/>
        <w:rPr>
          <w:szCs w:val="21"/>
        </w:rPr>
      </w:pP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19" w:name="_非结构化数据模型"/>
      <w:bookmarkStart w:id="120" w:name="_Toc126335233"/>
      <w:bookmarkEnd w:id="119"/>
      <w:r>
        <w:rPr>
          <w:rFonts w:hint="eastAsia"/>
          <w:szCs w:val="28"/>
        </w:rPr>
        <w:t>非结构化数据模型</w:t>
      </w:r>
      <w:bookmarkEnd w:id="120"/>
    </w:p>
    <w:tbl>
      <w:tblPr>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01"/>
        <w:gridCol w:w="1134"/>
        <w:gridCol w:w="6381"/>
      </w:tblGrid>
      <w:tr>
        <w:tblPrEx>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110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1134"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638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Layout w:type="fixed"/>
          <w:tblCellMar>
            <w:top w:w="0" w:type="dxa"/>
            <w:left w:w="108" w:type="dxa"/>
            <w:bottom w:w="0" w:type="dxa"/>
            <w:right w:w="108" w:type="dxa"/>
          </w:tblCellMar>
        </w:tblPrEx>
        <w:trPr>
          <w:jc w:val="left"/>
        </w:trPr>
        <w:tc>
          <w:tcPr>
            <w:tcW w:w="110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fileUrl</w:t>
            </w:r>
          </w:p>
        </w:tc>
        <w:tc>
          <w:tcPr>
            <w:tcW w:w="113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638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文件的访问路径。由入网设备提供</w:t>
            </w:r>
            <w:r>
              <w:rPr>
                <w:szCs w:val="21"/>
              </w:rPr>
              <w:t>http</w:t>
            </w:r>
            <w:r>
              <w:rPr>
                <w:rFonts w:hint="eastAsia"/>
                <w:szCs w:val="21"/>
              </w:rPr>
              <w:t>地址，用于直属接口服务下载对应的文件，此路径需要确保直属接口服务器可以访问</w:t>
            </w:r>
          </w:p>
          <w:p>
            <w:pPr>
              <w:autoSpaceDN w:val="0"/>
              <w:rPr>
                <w:szCs w:val="21"/>
              </w:rPr>
            </w:pPr>
            <w:r>
              <w:rPr>
                <w:rFonts w:hint="eastAsia"/>
                <w:szCs w:val="21"/>
              </w:rPr>
              <w:t>形如：</w:t>
            </w:r>
            <w:r>
              <w:rPr>
                <w:szCs w:val="21"/>
              </w:rPr>
              <w:br/>
              <w:t>http://xxx.xxx.xxx.xxx:8989/2019/01/01/TFNAN-X-180099/123/1.jpg</w:t>
            </w:r>
          </w:p>
        </w:tc>
      </w:tr>
      <w:tr>
        <w:tblPrEx>
          <w:jc w:val="left"/>
          <w:tblInd w:w="0" w:type="dxa"/>
          <w:tblLayout w:type="fixed"/>
          <w:tblCellMar>
            <w:top w:w="0" w:type="dxa"/>
            <w:left w:w="108" w:type="dxa"/>
            <w:bottom w:w="0" w:type="dxa"/>
            <w:right w:w="108" w:type="dxa"/>
          </w:tblCellMar>
        </w:tblPrEx>
        <w:trPr>
          <w:jc w:val="left"/>
        </w:trPr>
        <w:tc>
          <w:tcPr>
            <w:tcW w:w="110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fileName</w:t>
            </w:r>
          </w:p>
        </w:tc>
        <w:tc>
          <w:tcPr>
            <w:tcW w:w="113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638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文件名称</w:t>
            </w:r>
          </w:p>
          <w:p>
            <w:pPr>
              <w:autoSpaceDN w:val="0"/>
              <w:rPr>
                <w:b/>
                <w:bCs/>
                <w:szCs w:val="21"/>
              </w:rPr>
            </w:pPr>
            <w:r>
              <w:rPr>
                <w:rFonts w:hint="eastAsia"/>
                <w:b/>
                <w:bCs/>
                <w:szCs w:val="21"/>
              </w:rPr>
              <w:t>图片格式约定为</w:t>
            </w:r>
            <w:r>
              <w:rPr>
                <w:b/>
                <w:bCs/>
                <w:szCs w:val="21"/>
              </w:rPr>
              <w:t xml:space="preserve">jpg </w:t>
            </w:r>
            <w:r>
              <w:rPr>
                <w:rFonts w:hint="eastAsia"/>
                <w:b/>
                <w:bCs/>
                <w:szCs w:val="21"/>
              </w:rPr>
              <w:t>，视频格式约定为</w:t>
            </w:r>
            <w:r>
              <w:rPr>
                <w:b/>
                <w:bCs/>
                <w:szCs w:val="21"/>
              </w:rPr>
              <w:t>mp4</w:t>
            </w:r>
          </w:p>
        </w:tc>
      </w:tr>
      <w:tr>
        <w:tblPrEx>
          <w:jc w:val="left"/>
          <w:tblInd w:w="0" w:type="dxa"/>
          <w:tblLayout w:type="fixed"/>
          <w:tblCellMar>
            <w:top w:w="0" w:type="dxa"/>
            <w:left w:w="108" w:type="dxa"/>
            <w:bottom w:w="0" w:type="dxa"/>
            <w:right w:w="108" w:type="dxa"/>
          </w:tblCellMar>
        </w:tblPrEx>
        <w:trPr>
          <w:jc w:val="left"/>
        </w:trPr>
        <w:tc>
          <w:tcPr>
            <w:tcW w:w="110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fileType</w:t>
            </w:r>
          </w:p>
        </w:tc>
        <w:tc>
          <w:tcPr>
            <w:tcW w:w="1134"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638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文件类型</w:t>
            </w:r>
          </w:p>
          <w:p>
            <w:pPr>
              <w:autoSpaceDN w:val="0"/>
              <w:rPr>
                <w:szCs w:val="21"/>
              </w:rPr>
            </w:pPr>
            <w:r>
              <w:rPr>
                <w:rFonts w:hint="eastAsia"/>
                <w:szCs w:val="21"/>
              </w:rPr>
              <w:t>可选枚举值如下</w:t>
            </w:r>
          </w:p>
          <w:p>
            <w:pPr>
              <w:autoSpaceDN w:val="0"/>
              <w:rPr>
                <w:szCs w:val="21"/>
              </w:rPr>
            </w:pPr>
            <w:r>
              <w:rPr>
                <w:szCs w:val="21"/>
              </w:rPr>
              <w:t>LPR_IMAGE //</w:t>
            </w:r>
            <w:r>
              <w:rPr>
                <w:rFonts w:hint="eastAsia"/>
                <w:szCs w:val="21"/>
              </w:rPr>
              <w:t>车牌照片</w:t>
            </w:r>
          </w:p>
          <w:p>
            <w:pPr>
              <w:autoSpaceDN w:val="0"/>
              <w:rPr>
                <w:szCs w:val="21"/>
              </w:rPr>
            </w:pPr>
            <w:r>
              <w:rPr>
                <w:szCs w:val="21"/>
              </w:rPr>
              <w:t>CCR_IMAGE //</w:t>
            </w:r>
            <w:r>
              <w:rPr>
                <w:rFonts w:hint="eastAsia"/>
                <w:szCs w:val="21"/>
              </w:rPr>
              <w:t>集装箱照片</w:t>
            </w:r>
          </w:p>
          <w:p>
            <w:pPr>
              <w:autoSpaceDN w:val="0"/>
              <w:rPr>
                <w:szCs w:val="21"/>
              </w:rPr>
            </w:pPr>
            <w:r>
              <w:rPr>
                <w:szCs w:val="21"/>
              </w:rPr>
              <w:t>CCTV_VIDEO //</w:t>
            </w:r>
            <w:r>
              <w:rPr>
                <w:rFonts w:hint="eastAsia"/>
                <w:szCs w:val="21"/>
              </w:rPr>
              <w:t>通道视频。</w:t>
            </w:r>
          </w:p>
        </w:tc>
      </w:tr>
    </w:tbl>
    <w:p>
      <w:pPr>
        <w:widowControl/>
        <w:autoSpaceDN w:val="0"/>
        <w:jc w:val="left"/>
        <w:rPr>
          <w:szCs w:val="21"/>
        </w:rPr>
      </w:pPr>
      <w:r>
        <w:rPr>
          <w:szCs w:val="21"/>
        </w:rPr>
        <w:br w:type="page"/>
      </w: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21" w:name="_报警信息模型"/>
      <w:bookmarkStart w:id="122" w:name="_Toc126335234"/>
      <w:bookmarkEnd w:id="121"/>
      <w:r>
        <w:rPr>
          <w:rFonts w:hint="eastAsia"/>
          <w:szCs w:val="28"/>
        </w:rPr>
        <w:t>报警信息模型</w:t>
      </w:r>
      <w:bookmarkEnd w:id="122"/>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518"/>
        <w:gridCol w:w="2268"/>
        <w:gridCol w:w="3686"/>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268"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3686"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type</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报警类型</w:t>
            </w:r>
          </w:p>
          <w:p>
            <w:pPr>
              <w:autoSpaceDN w:val="0"/>
              <w:rPr>
                <w:szCs w:val="21"/>
              </w:rPr>
            </w:pPr>
            <w:r>
              <w:rPr>
                <w:rFonts w:hint="eastAsia"/>
                <w:szCs w:val="21"/>
              </w:rPr>
              <w:t>可选枚举值如下</w:t>
            </w:r>
          </w:p>
          <w:p>
            <w:pPr>
              <w:autoSpaceDN w:val="0"/>
              <w:rPr>
                <w:szCs w:val="21"/>
              </w:rPr>
            </w:pPr>
            <w:r>
              <w:rPr>
                <w:szCs w:val="21"/>
              </w:rPr>
              <w:t>Gamma //</w:t>
            </w:r>
            <w:r>
              <w:rPr>
                <w:rFonts w:hint="eastAsia"/>
                <w:szCs w:val="21"/>
              </w:rPr>
              <w:t>伽马报警</w:t>
            </w:r>
          </w:p>
          <w:p>
            <w:pPr>
              <w:autoSpaceDN w:val="0"/>
              <w:rPr>
                <w:szCs w:val="21"/>
              </w:rPr>
            </w:pPr>
            <w:r>
              <w:rPr>
                <w:szCs w:val="21"/>
              </w:rPr>
              <w:t>Neutron//</w:t>
            </w:r>
            <w:r>
              <w:rPr>
                <w:rFonts w:hint="eastAsia"/>
                <w:szCs w:val="21"/>
              </w:rPr>
              <w:t>中子报警</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level</w:t>
            </w: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报警级别</w:t>
            </w:r>
          </w:p>
          <w:p>
            <w:pPr>
              <w:autoSpaceDN w:val="0"/>
              <w:rPr>
                <w:szCs w:val="21"/>
              </w:rPr>
            </w:pPr>
            <w:r>
              <w:rPr>
                <w:rFonts w:hint="eastAsia"/>
                <w:szCs w:val="21"/>
              </w:rPr>
              <w:t>可选枚举值如下</w:t>
            </w:r>
          </w:p>
          <w:p>
            <w:pPr>
              <w:autoSpaceDN w:val="0"/>
              <w:rPr>
                <w:szCs w:val="21"/>
              </w:rPr>
            </w:pPr>
            <w:r>
              <w:rPr>
                <w:szCs w:val="21"/>
              </w:rPr>
              <w:t>Low //</w:t>
            </w:r>
            <w:r>
              <w:rPr>
                <w:rFonts w:hint="eastAsia"/>
                <w:szCs w:val="21"/>
              </w:rPr>
              <w:t>低级报警</w:t>
            </w:r>
          </w:p>
          <w:p>
            <w:pPr>
              <w:autoSpaceDN w:val="0"/>
              <w:rPr>
                <w:szCs w:val="21"/>
              </w:rPr>
            </w:pPr>
            <w:r>
              <w:rPr>
                <w:szCs w:val="21"/>
              </w:rPr>
              <w:t>Middle//</w:t>
            </w:r>
            <w:r>
              <w:rPr>
                <w:rFonts w:hint="eastAsia"/>
                <w:szCs w:val="21"/>
              </w:rPr>
              <w:t>中级报警</w:t>
            </w:r>
          </w:p>
          <w:p>
            <w:pPr>
              <w:autoSpaceDN w:val="0"/>
              <w:rPr>
                <w:szCs w:val="21"/>
              </w:rPr>
            </w:pPr>
            <w:r>
              <w:rPr>
                <w:szCs w:val="21"/>
              </w:rPr>
              <w:t>High //</w:t>
            </w:r>
            <w:r>
              <w:rPr>
                <w:rFonts w:hint="eastAsia"/>
                <w:szCs w:val="21"/>
              </w:rPr>
              <w:t>高级报警</w:t>
            </w:r>
          </w:p>
        </w:tc>
      </w:tr>
      <w:tr>
        <w:tblPrEx>
          <w:jc w:val="left"/>
          <w:tblInd w:w="0" w:type="dxa"/>
          <w:tblCellMar>
            <w:top w:w="0" w:type="dxa"/>
            <w:left w:w="108" w:type="dxa"/>
            <w:bottom w:w="0" w:type="dxa"/>
            <w:right w:w="108" w:type="dxa"/>
          </w:tblCellMar>
        </w:tblPrEx>
        <w:trPr>
          <w:jc w:val="left"/>
        </w:trPr>
        <w:tc>
          <w:tcPr>
            <w:tcW w:w="2518"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268"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3686"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autoSpaceDN w:val="0"/>
        <w:rPr>
          <w:szCs w:val="21"/>
        </w:rPr>
      </w:pP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23" w:name="_集装箱信息模型"/>
      <w:bookmarkStart w:id="124" w:name="_Toc126335235"/>
      <w:bookmarkEnd w:id="123"/>
      <w:r>
        <w:rPr>
          <w:szCs w:val="28"/>
        </w:rPr>
        <w:softHyphen/>
      </w:r>
      <w:r>
        <w:rPr>
          <w:rFonts w:hint="eastAsia"/>
          <w:szCs w:val="28"/>
        </w:rPr>
        <w:t>集装箱信息模型</w:t>
      </w:r>
      <w:bookmarkEnd w:id="124"/>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841"/>
        <w:gridCol w:w="2841"/>
        <w:gridCol w:w="2841"/>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84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84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containerNo</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集装箱号</w:t>
            </w:r>
          </w:p>
        </w:tc>
      </w:tr>
      <w:tr>
        <w:tblPrEx>
          <w:jc w:val="left"/>
          <w:tblInd w:w="0" w:type="dxa"/>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category</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集装箱类型</w:t>
            </w:r>
          </w:p>
          <w:p>
            <w:pPr>
              <w:autoSpaceDN w:val="0"/>
              <w:rPr>
                <w:szCs w:val="21"/>
              </w:rPr>
            </w:pPr>
            <w:r>
              <w:rPr>
                <w:szCs w:val="21"/>
              </w:rPr>
              <w:t>standard20 //20</w:t>
            </w:r>
            <w:r>
              <w:rPr>
                <w:rFonts w:hint="eastAsia"/>
                <w:szCs w:val="21"/>
              </w:rPr>
              <w:t>英尺集装箱</w:t>
            </w:r>
          </w:p>
          <w:p>
            <w:pPr>
              <w:autoSpaceDN w:val="0"/>
              <w:rPr>
                <w:szCs w:val="21"/>
              </w:rPr>
            </w:pPr>
            <w:r>
              <w:rPr>
                <w:szCs w:val="21"/>
              </w:rPr>
              <w:t>standard40//40</w:t>
            </w:r>
            <w:r>
              <w:rPr>
                <w:rFonts w:hint="eastAsia"/>
                <w:szCs w:val="21"/>
              </w:rPr>
              <w:t>英尺集装箱</w:t>
            </w:r>
          </w:p>
          <w:p>
            <w:pPr>
              <w:autoSpaceDN w:val="0"/>
              <w:rPr>
                <w:szCs w:val="21"/>
              </w:rPr>
            </w:pPr>
            <w:r>
              <w:rPr>
                <w:szCs w:val="21"/>
              </w:rPr>
              <w:t>other//</w:t>
            </w:r>
            <w:r>
              <w:rPr>
                <w:rFonts w:hint="eastAsia"/>
                <w:szCs w:val="21"/>
              </w:rPr>
              <w:t>其它标准的集装箱</w:t>
            </w:r>
          </w:p>
        </w:tc>
      </w:tr>
      <w:tr>
        <w:tblPrEx>
          <w:jc w:val="left"/>
          <w:tblInd w:w="0" w:type="dxa"/>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location</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集装箱在拖车上的位置</w:t>
            </w:r>
          </w:p>
          <w:p>
            <w:pPr>
              <w:autoSpaceDN w:val="0"/>
              <w:rPr>
                <w:szCs w:val="21"/>
              </w:rPr>
            </w:pPr>
            <w:r>
              <w:rPr>
                <w:szCs w:val="21"/>
              </w:rPr>
              <w:t>front //</w:t>
            </w:r>
            <w:r>
              <w:rPr>
                <w:rFonts w:hint="eastAsia"/>
                <w:szCs w:val="21"/>
              </w:rPr>
              <w:t>前面</w:t>
            </w:r>
          </w:p>
          <w:p>
            <w:pPr>
              <w:autoSpaceDN w:val="0"/>
              <w:rPr>
                <w:szCs w:val="21"/>
              </w:rPr>
            </w:pPr>
            <w:r>
              <w:rPr>
                <w:szCs w:val="21"/>
              </w:rPr>
              <w:t>back //</w:t>
            </w:r>
            <w:r>
              <w:rPr>
                <w:rFonts w:hint="eastAsia"/>
                <w:szCs w:val="21"/>
              </w:rPr>
              <w:t>后面</w:t>
            </w:r>
          </w:p>
        </w:tc>
      </w:tr>
      <w:tr>
        <w:tblPrEx>
          <w:jc w:val="left"/>
          <w:tblInd w:w="0" w:type="dxa"/>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p>
        </w:tc>
      </w:tr>
    </w:tbl>
    <w:p>
      <w:pPr>
        <w:autoSpaceDN w:val="0"/>
        <w:rPr>
          <w:szCs w:val="21"/>
        </w:rPr>
      </w:pPr>
    </w:p>
    <w:p>
      <w:pPr>
        <w:pStyle w:val="Heading4"/>
        <w:keepNext/>
        <w:keepLines/>
        <w:widowControl w:val="0"/>
        <w:numPr>
          <w:ilvl w:val="2"/>
          <w:numId w:val="5"/>
        </w:numPr>
        <w:tabs>
          <w:tab w:val="left" w:pos="0"/>
          <w:tab w:val="left" w:pos="900"/>
          <w:tab w:val="clear" w:pos="2220"/>
        </w:tabs>
        <w:autoSpaceDN w:val="0"/>
        <w:spacing w:before="260" w:after="260" w:line="415" w:lineRule="auto"/>
        <w:ind w:left="1350" w:hanging="720" w:leftChars="300"/>
        <w:jc w:val="left"/>
      </w:pPr>
      <w:bookmarkStart w:id="125" w:name="_设备状态模型"/>
      <w:bookmarkStart w:id="126" w:name="_Toc126335236"/>
      <w:bookmarkEnd w:id="125"/>
      <w:r>
        <w:rPr>
          <w:szCs w:val="28"/>
        </w:rPr>
        <w:softHyphen/>
      </w:r>
      <w:r>
        <w:rPr>
          <w:rFonts w:hint="eastAsia"/>
          <w:szCs w:val="28"/>
        </w:rPr>
        <w:t>设备状态模型</w:t>
      </w:r>
      <w:bookmarkEnd w:id="126"/>
    </w:p>
    <w:tbl>
      <w:tblPr>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2841"/>
        <w:gridCol w:w="2841"/>
        <w:gridCol w:w="2841"/>
      </w:tblGrid>
      <w:tr>
        <w:tblPrEx>
          <w:jc w:val="left"/>
          <w:tblInd w:w="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字段名称</w:t>
            </w:r>
          </w:p>
        </w:tc>
        <w:tc>
          <w:tcPr>
            <w:tcW w:w="284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数据类型</w:t>
            </w:r>
          </w:p>
        </w:tc>
        <w:tc>
          <w:tcPr>
            <w:tcW w:w="2841" w:type="dxa"/>
            <w:tcBorders>
              <w:top w:val="single" w:sz="4" w:space="0" w:color="auto"/>
              <w:left w:val="single" w:sz="4" w:space="0" w:color="auto"/>
              <w:bottom w:val="single" w:sz="4" w:space="0" w:color="auto"/>
              <w:right w:val="single" w:sz="4" w:space="0" w:color="auto"/>
            </w:tcBorders>
            <w:shd w:val="clear" w:color="auto" w:fill="BFBFBF"/>
          </w:tcPr>
          <w:p>
            <w:pPr>
              <w:autoSpaceDN w:val="0"/>
              <w:rPr>
                <w:szCs w:val="21"/>
              </w:rPr>
            </w:pPr>
            <w:r>
              <w:rPr>
                <w:rFonts w:hint="eastAsia"/>
                <w:szCs w:val="21"/>
              </w:rPr>
              <w:t>说明</w:t>
            </w:r>
          </w:p>
        </w:tc>
      </w:tr>
      <w:tr>
        <w:tblPrEx>
          <w:jc w:val="left"/>
          <w:tblInd w:w="0" w:type="dxa"/>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deviceId</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设备</w:t>
            </w:r>
            <w:r>
              <w:rPr>
                <w:szCs w:val="21"/>
              </w:rPr>
              <w:t>ID</w:t>
            </w:r>
            <w:r>
              <w:rPr>
                <w:rFonts w:hint="eastAsia"/>
                <w:bCs/>
                <w:szCs w:val="21"/>
              </w:rPr>
              <w:t>，详见</w:t>
            </w:r>
            <w:hyperlink w:anchor="_隶属关区代码" w:history="1">
              <w:r>
                <w:rPr>
                  <w:rStyle w:val="Hyperlink"/>
                  <w:bCs/>
                  <w:color w:val="auto"/>
                  <w:szCs w:val="21"/>
                </w:rPr>
                <w:t>8</w:t>
              </w:r>
            </w:hyperlink>
            <w:hyperlink w:anchor="_隶属关区代码" w:history="1">
              <w:r>
                <w:rPr>
                  <w:rStyle w:val="Hyperlink"/>
                  <w:bCs/>
                  <w:color w:val="auto"/>
                  <w:szCs w:val="21"/>
                </w:rPr>
                <w:t>.1</w:t>
              </w:r>
            </w:hyperlink>
            <w:hyperlink w:anchor="_隶属关区代码" w:history="1">
              <w:r>
                <w:rPr>
                  <w:rStyle w:val="Hyperlink"/>
                  <w:rFonts w:hint="eastAsia"/>
                  <w:bCs/>
                  <w:color w:val="auto"/>
                  <w:szCs w:val="21"/>
                </w:rPr>
                <w:t>设备</w:t>
              </w:r>
              <w:r>
                <w:rPr>
                  <w:rStyle w:val="Hyperlink"/>
                  <w:bCs/>
                  <w:color w:val="auto"/>
                  <w:szCs w:val="21"/>
                </w:rPr>
                <w:t>ID</w:t>
              </w:r>
            </w:hyperlink>
          </w:p>
        </w:tc>
      </w:tr>
      <w:tr>
        <w:tblPrEx>
          <w:jc w:val="left"/>
          <w:tblInd w:w="0" w:type="dxa"/>
          <w:tblCellMar>
            <w:top w:w="0" w:type="dxa"/>
            <w:left w:w="108" w:type="dxa"/>
            <w:bottom w:w="0" w:type="dxa"/>
            <w:right w:w="108" w:type="dxa"/>
          </w:tblCellMar>
        </w:tblPrEx>
        <w:trPr>
          <w:jc w:val="left"/>
        </w:trPr>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status</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szCs w:val="21"/>
              </w:rPr>
              <w:t>string</w:t>
            </w:r>
          </w:p>
        </w:tc>
        <w:tc>
          <w:tcPr>
            <w:tcW w:w="2841" w:type="dxa"/>
            <w:tcBorders>
              <w:top w:val="single" w:sz="4" w:space="0" w:color="auto"/>
              <w:left w:val="single" w:sz="4" w:space="0" w:color="auto"/>
              <w:bottom w:val="single" w:sz="4" w:space="0" w:color="auto"/>
              <w:right w:val="single" w:sz="4" w:space="0" w:color="auto"/>
            </w:tcBorders>
          </w:tcPr>
          <w:p>
            <w:pPr>
              <w:autoSpaceDN w:val="0"/>
              <w:rPr>
                <w:szCs w:val="21"/>
              </w:rPr>
            </w:pPr>
            <w:r>
              <w:rPr>
                <w:rFonts w:hint="eastAsia"/>
                <w:szCs w:val="21"/>
              </w:rPr>
              <w:t>设备状态</w:t>
            </w:r>
          </w:p>
          <w:p>
            <w:pPr>
              <w:autoSpaceDN w:val="0"/>
              <w:rPr>
                <w:szCs w:val="21"/>
              </w:rPr>
            </w:pPr>
            <w:r>
              <w:rPr>
                <w:rFonts w:hint="eastAsia"/>
                <w:szCs w:val="21"/>
              </w:rPr>
              <w:t>可选枚举值如下</w:t>
            </w:r>
          </w:p>
          <w:p>
            <w:pPr>
              <w:autoSpaceDN w:val="0"/>
              <w:rPr>
                <w:szCs w:val="21"/>
              </w:rPr>
            </w:pPr>
            <w:r>
              <w:rPr>
                <w:szCs w:val="21"/>
              </w:rPr>
              <w:t>Online //</w:t>
            </w:r>
            <w:r>
              <w:rPr>
                <w:rFonts w:hint="eastAsia"/>
                <w:szCs w:val="21"/>
              </w:rPr>
              <w:t>在线</w:t>
            </w:r>
          </w:p>
          <w:p>
            <w:pPr>
              <w:autoSpaceDN w:val="0"/>
              <w:rPr>
                <w:szCs w:val="21"/>
              </w:rPr>
            </w:pPr>
            <w:r>
              <w:rPr>
                <w:szCs w:val="21"/>
              </w:rPr>
              <w:t>Offline //</w:t>
            </w:r>
            <w:r>
              <w:rPr>
                <w:rFonts w:hint="eastAsia"/>
                <w:szCs w:val="21"/>
              </w:rPr>
              <w:t>离线</w:t>
            </w:r>
          </w:p>
        </w:tc>
      </w:tr>
    </w:tbl>
    <w:p>
      <w:pPr>
        <w:autoSpaceDN w:val="0"/>
        <w:rPr>
          <w:szCs w:val="21"/>
        </w:rPr>
      </w:pPr>
    </w:p>
    <w:p>
      <w:pPr>
        <w:autoSpaceDN w:val="0"/>
        <w:rPr>
          <w:szCs w:val="21"/>
        </w:rPr>
      </w:pPr>
    </w:p>
    <w:p>
      <w:pPr>
        <w:autoSpaceDN w:val="0"/>
        <w:rPr>
          <w:szCs w:val="21"/>
        </w:rPr>
      </w:pPr>
    </w:p>
    <w:p>
      <w:pPr>
        <w:pStyle w:val="Heading2"/>
        <w:keepLines/>
        <w:widowControl w:val="0"/>
        <w:numPr>
          <w:ilvl w:val="0"/>
          <w:numId w:val="5"/>
        </w:numPr>
        <w:tabs>
          <w:tab w:val="left" w:pos="0"/>
        </w:tabs>
        <w:autoSpaceDN w:val="0"/>
        <w:spacing w:before="260" w:after="260" w:line="360" w:lineRule="auto"/>
        <w:ind w:left="0" w:firstLine="0"/>
        <w:jc w:val="left"/>
      </w:pPr>
      <w:bookmarkStart w:id="127" w:name="_Toc126335237"/>
      <w:r>
        <w:rPr>
          <w:rFonts w:hint="eastAsia"/>
          <w:szCs w:val="32"/>
        </w:rPr>
        <w:t>说明</w:t>
      </w:r>
      <w:bookmarkEnd w:id="127"/>
    </w:p>
    <w:p>
      <w:pPr>
        <w:pStyle w:val="Heading3"/>
        <w:keepNext/>
        <w:keepLines/>
        <w:widowControl w:val="0"/>
        <w:numPr>
          <w:ilvl w:val="1"/>
          <w:numId w:val="5"/>
        </w:numPr>
        <w:tabs>
          <w:tab w:val="left" w:pos="0"/>
        </w:tabs>
        <w:autoSpaceDN w:val="0"/>
        <w:spacing w:before="260" w:after="260" w:line="415" w:lineRule="auto"/>
        <w:ind w:left="576" w:hanging="576"/>
        <w:jc w:val="left"/>
        <w:rPr>
          <w:rFonts w:hint="eastAsia"/>
          <w:szCs w:val="30"/>
        </w:rPr>
      </w:pPr>
      <w:bookmarkStart w:id="128" w:name="_隶属关区代码"/>
      <w:bookmarkStart w:id="129" w:name="_Toc126335238"/>
      <w:bookmarkEnd w:id="128"/>
      <w:r>
        <w:rPr>
          <w:rFonts w:hint="eastAsia"/>
          <w:szCs w:val="30"/>
        </w:rPr>
        <w:t>设备</w:t>
      </w:r>
      <w:r>
        <w:rPr>
          <w:szCs w:val="30"/>
        </w:rPr>
        <w:t>ID</w:t>
      </w:r>
      <w:bookmarkEnd w:id="129"/>
    </w:p>
    <w:p>
      <w:pPr>
        <w:autoSpaceDN w:val="0"/>
        <w:rPr>
          <w:szCs w:val="21"/>
        </w:rPr>
      </w:pPr>
      <w:r>
        <w:rPr>
          <w:rFonts w:hint="eastAsia"/>
          <w:szCs w:val="21"/>
        </w:rPr>
        <w:t>获取方法：需要海关人员用隶属权限账号登录到《物流监控子系统核辐射探测应用》，在【设备管理</w:t>
      </w:r>
      <w:r>
        <w:rPr>
          <w:szCs w:val="21"/>
        </w:rPr>
        <w:t>&gt;</w:t>
      </w:r>
      <w:r>
        <w:rPr>
          <w:rFonts w:hint="eastAsia"/>
          <w:szCs w:val="21"/>
        </w:rPr>
        <w:t>设备维护】页面中打开对应设备的编辑页面，找到厂商编号。如当前页面没有对应的设备，请先添加。</w:t>
      </w:r>
    </w:p>
    <w:p>
      <w:pPr>
        <w:autoSpaceDN w:val="0"/>
        <w:rPr>
          <w:rFonts w:hint="eastAsia"/>
          <w:szCs w:val="21"/>
        </w:rPr>
      </w:pPr>
      <w:r>
        <w:drawing>
          <wp:inline distT="0" distB="0" distL="85725" distR="85725">
            <wp:extent cx="5334000" cy="2693035"/>
            <wp:effectExtent l="-9524" t="-9524" r="-9524" b="-9524"/>
            <wp:docPr id="16" name="_x0000_i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i1029 18"/>
                    <pic:cNvPicPr/>
                  </pic:nvPicPr>
                  <pic:blipFill>
                    <a:blip xmlns:r="http://schemas.openxmlformats.org/officeDocument/2006/relationships" r:embed="rId12"/>
                    <a:stretch>
                      <a:fillRect/>
                    </a:stretch>
                  </pic:blipFill>
                  <pic:spPr>
                    <a:xfrm>
                      <a:off x="0" y="0"/>
                      <a:ext cx="5334000" cy="2693035"/>
                    </a:xfrm>
                    <a:prstGeom prst="rect">
                      <a:avLst/>
                    </a:prstGeom>
                    <a:noFill/>
                    <a:ln w="9525">
                      <a:noFill/>
                      <a:prstDash val="solid"/>
                      <a:miter lim="0"/>
                    </a:ln>
                  </pic:spPr>
                </pic:pic>
              </a:graphicData>
            </a:graphic>
          </wp:inline>
        </w:drawing>
      </w: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130" w:name="_隶属关区代码_1"/>
      <w:bookmarkStart w:id="131" w:name="_Toc126335239"/>
      <w:bookmarkEnd w:id="130"/>
      <w:r>
        <w:rPr>
          <w:rFonts w:hint="eastAsia"/>
          <w:szCs w:val="30"/>
        </w:rPr>
        <w:t>隶属关区代码</w:t>
      </w:r>
      <w:bookmarkEnd w:id="131"/>
    </w:p>
    <w:p>
      <w:pPr>
        <w:autoSpaceDN w:val="0"/>
        <w:rPr>
          <w:szCs w:val="21"/>
        </w:rPr>
      </w:pPr>
      <w:bookmarkStart w:id="132" w:name="_设备ID"/>
      <w:bookmarkEnd w:id="132"/>
      <w:r>
        <w:rPr>
          <w:rFonts w:hint="eastAsia"/>
          <w:szCs w:val="21"/>
        </w:rPr>
        <w:t>获取方法：因为部分隶属海关部门未维护到《物流监控子系统核辐射探测应用》中，需要海关人员用隶属权限账号登录到《物流监控子系统核辐射探测应用》，在【统计分析</w:t>
      </w:r>
      <w:r>
        <w:rPr>
          <w:szCs w:val="21"/>
        </w:rPr>
        <w:t>&gt;RM</w:t>
      </w:r>
      <w:r>
        <w:rPr>
          <w:rFonts w:hint="eastAsia"/>
          <w:szCs w:val="21"/>
        </w:rPr>
        <w:t>探测数据分析】查看对应的所属海关，并向海关人员获取该海关的关区代码。</w:t>
      </w:r>
    </w:p>
    <w:p>
      <w:pPr>
        <w:autoSpaceDN w:val="0"/>
        <w:rPr>
          <w:rFonts w:hint="eastAsia"/>
          <w:szCs w:val="21"/>
        </w:rPr>
      </w:pPr>
      <w:r>
        <w:drawing>
          <wp:inline distT="0" distB="0" distL="85725" distR="85725">
            <wp:extent cx="5334000" cy="1113155"/>
            <wp:effectExtent l="-9524" t="-9524" r="-9524" b="-9524"/>
            <wp:docPr id="19" name="_x0000_i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_x0000_i1030 21"/>
                    <pic:cNvPicPr/>
                  </pic:nvPicPr>
                  <pic:blipFill>
                    <a:blip xmlns:r="http://schemas.openxmlformats.org/officeDocument/2006/relationships" r:embed="rId13"/>
                    <a:stretch>
                      <a:fillRect/>
                    </a:stretch>
                  </pic:blipFill>
                  <pic:spPr>
                    <a:xfrm>
                      <a:off x="0" y="0"/>
                      <a:ext cx="5334000" cy="1113155"/>
                    </a:xfrm>
                    <a:prstGeom prst="rect">
                      <a:avLst/>
                    </a:prstGeom>
                    <a:noFill/>
                    <a:ln w="9525">
                      <a:noFill/>
                      <a:prstDash val="solid"/>
                      <a:miter lim="0"/>
                    </a:ln>
                  </pic:spPr>
                </pic:pic>
              </a:graphicData>
            </a:graphic>
          </wp:inline>
        </w:drawing>
      </w:r>
    </w:p>
    <w:p>
      <w:pPr>
        <w:autoSpaceDN w:val="0"/>
        <w:rPr>
          <w:szCs w:val="21"/>
        </w:rPr>
      </w:pPr>
    </w:p>
    <w:p>
      <w:pPr>
        <w:pStyle w:val="Heading3"/>
        <w:keepNext/>
        <w:keepLines/>
        <w:widowControl w:val="0"/>
        <w:numPr>
          <w:ilvl w:val="1"/>
          <w:numId w:val="5"/>
        </w:numPr>
        <w:tabs>
          <w:tab w:val="left" w:pos="0"/>
        </w:tabs>
        <w:autoSpaceDN w:val="0"/>
        <w:spacing w:before="260" w:after="260" w:line="415" w:lineRule="auto"/>
        <w:ind w:left="576" w:hanging="576"/>
        <w:jc w:val="left"/>
        <w:rPr>
          <w:szCs w:val="30"/>
        </w:rPr>
      </w:pPr>
      <w:bookmarkStart w:id="133" w:name="_Toc126335240"/>
      <w:r>
        <w:rPr>
          <w:rFonts w:hint="eastAsia"/>
          <w:szCs w:val="30"/>
        </w:rPr>
        <w:t>物流监控子系统核辐射探测应用</w:t>
      </w:r>
      <w:bookmarkEnd w:id="133"/>
    </w:p>
    <w:p>
      <w:pPr>
        <w:autoSpaceDN w:val="0"/>
        <w:rPr>
          <w:szCs w:val="21"/>
        </w:rPr>
      </w:pPr>
      <w:r>
        <w:rPr>
          <w:rFonts w:hint="eastAsia"/>
          <w:szCs w:val="21"/>
        </w:rPr>
        <w:t>地址：</w:t>
      </w:r>
      <w:r>
        <w:rPr>
          <w:szCs w:val="21"/>
        </w:rPr>
        <w:t>http://10.99.46.198:8016</w:t>
      </w:r>
    </w:p>
    <w:p>
      <w:pPr>
        <w:autoSpaceDN w:val="0"/>
        <w:spacing w:line="400" w:lineRule="exact"/>
        <w:ind w:firstLine="560" w:firstLineChars="200"/>
        <w:rPr>
          <w:rFonts w:hint="eastAsia"/>
          <w:bCs/>
          <w:sz w:val="28"/>
          <w:szCs w:val="28"/>
        </w:rPr>
      </w:pPr>
    </w:p>
    <w:p>
      <w:pPr>
        <w:autoSpaceDN w:val="0"/>
        <w:spacing w:line="400" w:lineRule="exact"/>
        <w:ind w:firstLine="560" w:firstLineChars="200"/>
        <w:rPr>
          <w:rFonts w:hint="eastAsia"/>
          <w:bCs/>
          <w:sz w:val="28"/>
          <w:szCs w:val="28"/>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left"/>
        <w:rPr>
          <w:rFonts w:ascii="方正黑体_GBK" w:eastAsia="方正黑体_GBK" w:cs="方正小标宋_GBK" w:hint="eastAsia"/>
          <w:bCs/>
          <w:sz w:val="28"/>
          <w:szCs w:val="28"/>
        </w:rPr>
      </w:pPr>
      <w:r>
        <w:rPr>
          <w:rFonts w:ascii="方正黑体_GBK" w:eastAsia="方正黑体_GBK" w:cs="方正小标宋_GBK" w:hint="eastAsia"/>
          <w:bCs/>
          <w:sz w:val="28"/>
          <w:szCs w:val="28"/>
        </w:rPr>
        <w:t>附件2</w:t>
      </w: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p>
    <w:p>
      <w:pPr>
        <w:pStyle w:val="2105"/>
        <w:spacing w:line="276" w:lineRule="auto"/>
        <w:jc w:val="center"/>
        <w:rPr>
          <w:rFonts w:ascii="方正小标宋_GBK" w:eastAsia="方正小标宋_GBK" w:cs="方正小标宋_GBK" w:hint="eastAsia"/>
          <w:bCs/>
          <w:sz w:val="44"/>
          <w:szCs w:val="44"/>
        </w:rPr>
      </w:pPr>
      <w:r>
        <w:rPr>
          <w:rFonts w:ascii="方正小标宋_GBK" w:eastAsia="方正小标宋_GBK" w:cs="方正小标宋_GBK" w:hint="eastAsia"/>
          <w:bCs/>
          <w:sz w:val="44"/>
          <w:szCs w:val="44"/>
        </w:rPr>
        <w:t>辐射探测设备接入</w:t>
      </w:r>
    </w:p>
    <w:p>
      <w:pPr>
        <w:pStyle w:val="2105"/>
        <w:spacing w:line="276" w:lineRule="auto"/>
        <w:jc w:val="center"/>
        <w:rPr>
          <w:rFonts w:ascii="方正小标宋_GBK" w:eastAsia="方正小标宋_GBK" w:cs="方正小标宋_GBK" w:hint="eastAsia"/>
          <w:bCs/>
          <w:sz w:val="44"/>
          <w:szCs w:val="44"/>
        </w:rPr>
      </w:pPr>
      <w:r>
        <w:rPr>
          <w:rFonts w:ascii="方正小标宋_GBK" w:eastAsia="方正小标宋_GBK" w:cs="方正小标宋_GBK" w:hint="eastAsia"/>
          <w:bCs/>
          <w:sz w:val="44"/>
          <w:szCs w:val="44"/>
        </w:rPr>
        <w:t>海关管理网现场实施指导方案</w:t>
      </w:r>
    </w:p>
    <w:p>
      <w:pPr>
        <w:pStyle w:val="2105"/>
        <w:spacing w:line="276" w:lineRule="auto"/>
        <w:ind w:firstLine="640" w:firstLineChars="200"/>
        <w:rPr>
          <w:rFonts w:ascii="方正仿宋_GBK" w:eastAsia="方正仿宋_GBK" w:hint="eastAsia"/>
          <w:sz w:val="32"/>
          <w:szCs w:val="32"/>
        </w:rPr>
      </w:pPr>
    </w:p>
    <w:p>
      <w:pPr>
        <w:pStyle w:val="TOCHeading"/>
        <w:tabs>
          <w:tab w:val="clear" w:pos="0"/>
          <w:tab w:val="left" w:pos="426"/>
        </w:tabs>
        <w:spacing w:line="276" w:lineRule="auto"/>
        <w:jc w:val="center"/>
      </w:pPr>
      <w:r>
        <w:rPr>
          <w:lang w:val="zh-CN"/>
        </w:rPr>
        <w:br w:type="page"/>
        <w:t>目录</w:t>
      </w:r>
    </w:p>
    <w:p>
      <w:pPr>
        <w:pStyle w:val="TOC1"/>
        <w:tabs>
          <w:tab w:val="right" w:leader="dot" w:pos="8296"/>
        </w:tabs>
        <w:spacing w:line="276" w:lineRule="auto"/>
        <w:rPr>
          <w:rFonts w:ascii="等线" w:eastAsia="等线" w:hint="eastAsia"/>
          <w:b w:val="0"/>
        </w:rPr>
      </w:pPr>
      <w:r>
        <w:rPr>
          <w:b w:val="0"/>
        </w:rPr>
        <w:fldChar w:fldCharType="begin"/>
      </w:r>
      <w:r>
        <w:rPr>
          <w:b w:val="0"/>
        </w:rPr>
        <w:instrText xml:space="preserve"> TOC \o "1-3" \h \z \u </w:instrText>
      </w:r>
      <w:r>
        <w:rPr>
          <w:b w:val="0"/>
        </w:rPr>
        <w:fldChar w:fldCharType="separate"/>
      </w:r>
      <w:hyperlink w:anchor="_Toc40712766" w:history="1">
        <w:r>
          <w:t>一、辐射探测设备接入海关管理网方案</w:t>
          <w:tab/>
        </w:r>
        <w:r>
          <w:fldChar w:fldCharType="begin"/>
        </w:r>
        <w:r>
          <w:instrText xml:space="preserve"> PAGEREF _Toc40712766 \h </w:instrText>
        </w:r>
        <w:r>
          <w:fldChar w:fldCharType="separate"/>
        </w:r>
        <w:r>
          <w:t>1</w:t>
        </w:r>
        <w:r>
          <w:fldChar w:fldCharType="end"/>
        </w:r>
      </w:hyperlink>
    </w:p>
    <w:p>
      <w:pPr>
        <w:pStyle w:val="TOC2"/>
        <w:tabs>
          <w:tab w:val="right" w:leader="dot" w:pos="8296"/>
        </w:tabs>
        <w:spacing w:line="276" w:lineRule="auto"/>
        <w:rPr>
          <w:rFonts w:ascii="等线" w:eastAsia="等线" w:hint="eastAsia"/>
          <w:b/>
        </w:rPr>
      </w:pPr>
      <w:hyperlink w:anchor="_Toc40712767" w:history="1">
        <w:r>
          <w:t>1.1 接入方案一：设备整体接入管理网</w:t>
          <w:tab/>
        </w:r>
        <w:r>
          <w:fldChar w:fldCharType="begin"/>
        </w:r>
        <w:r>
          <w:instrText xml:space="preserve"> PAGEREF _Toc40712767 \h </w:instrText>
        </w:r>
        <w:r>
          <w:fldChar w:fldCharType="separate"/>
        </w:r>
        <w:r>
          <w:t>1</w:t>
        </w:r>
        <w:r>
          <w:fldChar w:fldCharType="end"/>
        </w:r>
      </w:hyperlink>
    </w:p>
    <w:p>
      <w:pPr>
        <w:pStyle w:val="TOC2"/>
        <w:tabs>
          <w:tab w:val="right" w:leader="dot" w:pos="8296"/>
        </w:tabs>
        <w:spacing w:line="276" w:lineRule="auto"/>
        <w:rPr>
          <w:rFonts w:ascii="等线" w:eastAsia="等线" w:hint="eastAsia"/>
          <w:b/>
        </w:rPr>
      </w:pPr>
      <w:hyperlink w:anchor="_Toc40712768" w:history="1">
        <w:r>
          <w:t>1.2 接入方案二：通过安全隔离措施接入管理网（对外接入局域网模式）</w:t>
          <w:tab/>
        </w:r>
        <w:r>
          <w:fldChar w:fldCharType="begin"/>
        </w:r>
        <w:r>
          <w:instrText xml:space="preserve"> PAGEREF _Toc40712768 \h </w:instrText>
        </w:r>
        <w:r>
          <w:fldChar w:fldCharType="separate"/>
        </w:r>
        <w:r>
          <w:t>2</w:t>
        </w:r>
        <w:r>
          <w:fldChar w:fldCharType="end"/>
        </w:r>
      </w:hyperlink>
    </w:p>
    <w:p>
      <w:pPr>
        <w:pStyle w:val="TOC1"/>
        <w:tabs>
          <w:tab w:val="right" w:leader="dot" w:pos="8296"/>
        </w:tabs>
        <w:spacing w:line="276" w:lineRule="auto"/>
        <w:rPr>
          <w:rFonts w:ascii="等线" w:eastAsia="等线" w:hint="eastAsia"/>
          <w:b w:val="0"/>
        </w:rPr>
      </w:pPr>
      <w:hyperlink w:anchor="_Toc40712769" w:history="1">
        <w:r>
          <w:t>二、辐射探测设备入网硬件配置</w:t>
          <w:tab/>
        </w:r>
        <w:r>
          <w:fldChar w:fldCharType="begin"/>
        </w:r>
        <w:r>
          <w:instrText xml:space="preserve"> PAGEREF _Toc40712769 \h </w:instrText>
        </w:r>
        <w:r>
          <w:fldChar w:fldCharType="separate"/>
        </w:r>
        <w:r>
          <w:t>3</w:t>
        </w:r>
        <w:r>
          <w:fldChar w:fldCharType="end"/>
        </w:r>
      </w:hyperlink>
    </w:p>
    <w:p>
      <w:pPr>
        <w:pStyle w:val="TOC2"/>
        <w:tabs>
          <w:tab w:val="right" w:leader="dot" w:pos="8296"/>
        </w:tabs>
        <w:spacing w:line="276" w:lineRule="auto"/>
        <w:rPr>
          <w:rFonts w:ascii="等线" w:eastAsia="等线" w:hint="eastAsia"/>
          <w:b/>
        </w:rPr>
      </w:pPr>
      <w:hyperlink w:anchor="_Toc40712770" w:history="1">
        <w:r>
          <w:t>2.1 增加“入网设备”（服务器）</w:t>
          <w:tab/>
        </w:r>
        <w:r>
          <w:fldChar w:fldCharType="begin"/>
        </w:r>
        <w:r>
          <w:instrText xml:space="preserve"> PAGEREF _Toc40712770 \h </w:instrText>
        </w:r>
        <w:r>
          <w:fldChar w:fldCharType="separate"/>
        </w:r>
        <w:r>
          <w:t>3</w:t>
        </w:r>
        <w:r>
          <w:fldChar w:fldCharType="end"/>
        </w:r>
      </w:hyperlink>
    </w:p>
    <w:p>
      <w:pPr>
        <w:pStyle w:val="TOC2"/>
        <w:tabs>
          <w:tab w:val="right" w:leader="dot" w:pos="8296"/>
        </w:tabs>
        <w:spacing w:line="276" w:lineRule="auto"/>
        <w:rPr>
          <w:rFonts w:ascii="等线" w:eastAsia="等线" w:hint="eastAsia"/>
          <w:b/>
        </w:rPr>
      </w:pPr>
      <w:hyperlink w:anchor="_Toc40712771" w:history="1">
        <w:r>
          <w:t>2.2 利用辐射探测设备的上位机作为“入网设备”</w:t>
          <w:tab/>
        </w:r>
        <w:r>
          <w:fldChar w:fldCharType="begin"/>
        </w:r>
        <w:r>
          <w:instrText xml:space="preserve"> PAGEREF _Toc40712771 \h </w:instrText>
        </w:r>
        <w:r>
          <w:fldChar w:fldCharType="separate"/>
        </w:r>
        <w:r>
          <w:t>4</w:t>
        </w:r>
        <w:r>
          <w:fldChar w:fldCharType="end"/>
        </w:r>
      </w:hyperlink>
    </w:p>
    <w:p>
      <w:pPr>
        <w:pStyle w:val="TOC1"/>
        <w:tabs>
          <w:tab w:val="right" w:leader="dot" w:pos="8296"/>
        </w:tabs>
        <w:spacing w:line="276" w:lineRule="auto"/>
        <w:rPr>
          <w:rFonts w:ascii="等线" w:eastAsia="等线" w:hint="eastAsia"/>
          <w:b w:val="0"/>
        </w:rPr>
      </w:pPr>
      <w:hyperlink w:anchor="_Toc40712772" w:history="1">
        <w:r>
          <w:t>三、辐射探测设备入网具体操作</w:t>
          <w:tab/>
        </w:r>
        <w:r>
          <w:fldChar w:fldCharType="begin"/>
        </w:r>
        <w:r>
          <w:instrText xml:space="preserve"> PAGEREF _Toc40712772 \h </w:instrText>
        </w:r>
        <w:r>
          <w:fldChar w:fldCharType="separate"/>
        </w:r>
        <w:r>
          <w:t>4</w:t>
        </w:r>
        <w:r>
          <w:fldChar w:fldCharType="end"/>
        </w:r>
      </w:hyperlink>
    </w:p>
    <w:p>
      <w:pPr>
        <w:pStyle w:val="TOC2"/>
        <w:tabs>
          <w:tab w:val="right" w:leader="dot" w:pos="8296"/>
        </w:tabs>
        <w:spacing w:line="276" w:lineRule="auto"/>
        <w:rPr>
          <w:rFonts w:ascii="等线" w:eastAsia="等线" w:hint="eastAsia"/>
          <w:b/>
        </w:rPr>
      </w:pPr>
      <w:hyperlink w:anchor="_Toc40712773" w:history="1">
        <w:r>
          <w:t>3.1. 网络带宽环境准备</w:t>
          <w:tab/>
        </w:r>
        <w:r>
          <w:fldChar w:fldCharType="begin"/>
        </w:r>
        <w:r>
          <w:instrText xml:space="preserve"> PAGEREF _Toc40712773 \h </w:instrText>
        </w:r>
        <w:r>
          <w:fldChar w:fldCharType="separate"/>
        </w:r>
        <w:r>
          <w:t>4</w:t>
        </w:r>
        <w:r>
          <w:fldChar w:fldCharType="end"/>
        </w:r>
      </w:hyperlink>
    </w:p>
    <w:p>
      <w:pPr>
        <w:pStyle w:val="TOC2"/>
        <w:tabs>
          <w:tab w:val="right" w:leader="dot" w:pos="8296"/>
        </w:tabs>
        <w:spacing w:line="276" w:lineRule="auto"/>
        <w:rPr>
          <w:rFonts w:ascii="等线" w:eastAsia="等线" w:hint="eastAsia"/>
          <w:b/>
        </w:rPr>
      </w:pPr>
      <w:hyperlink w:anchor="_Toc40712774" w:history="1">
        <w:r>
          <w:t>3.2 信息化环境准备</w:t>
          <w:tab/>
        </w:r>
        <w:r>
          <w:fldChar w:fldCharType="begin"/>
        </w:r>
        <w:r>
          <w:instrText xml:space="preserve"> PAGEREF _Toc40712774 \h </w:instrText>
        </w:r>
        <w:r>
          <w:fldChar w:fldCharType="separate"/>
        </w:r>
        <w:r>
          <w:t>5</w:t>
        </w:r>
        <w:r>
          <w:fldChar w:fldCharType="end"/>
        </w:r>
      </w:hyperlink>
    </w:p>
    <w:p>
      <w:pPr>
        <w:pStyle w:val="TOC2"/>
        <w:tabs>
          <w:tab w:val="right" w:leader="dot" w:pos="8296"/>
        </w:tabs>
        <w:spacing w:line="276" w:lineRule="auto"/>
        <w:rPr>
          <w:rFonts w:ascii="等线" w:eastAsia="等线" w:hint="eastAsia"/>
          <w:b/>
        </w:rPr>
      </w:pPr>
      <w:hyperlink w:anchor="_Toc40712775" w:history="1">
        <w:r>
          <w:t>3.3 入网具体操作</w:t>
          <w:tab/>
        </w:r>
        <w:r>
          <w:fldChar w:fldCharType="begin"/>
        </w:r>
        <w:r>
          <w:instrText xml:space="preserve"> PAGEREF _Toc40712775 \h </w:instrText>
        </w:r>
        <w:r>
          <w:fldChar w:fldCharType="separate"/>
        </w:r>
        <w:r>
          <w:t>5</w:t>
        </w:r>
        <w:r>
          <w:fldChar w:fldCharType="end"/>
        </w:r>
      </w:hyperlink>
    </w:p>
    <w:p>
      <w:pPr>
        <w:tabs>
          <w:tab w:val="left" w:pos="426"/>
        </w:tabs>
        <w:spacing w:line="276" w:lineRule="auto"/>
        <w:rPr>
          <w:rFonts w:hint="eastAsia"/>
        </w:rPr>
        <w:sectPr>
          <w:footerReference w:type="default" r:id="rId14"/>
          <w:pgSz w:w="11906" w:h="16838"/>
          <w:pgMar w:top="1440" w:right="1800" w:bottom="1440" w:left="1800" w:header="851" w:footer="992" w:gutter="0"/>
          <w:pgNumType w:start="1"/>
          <w:cols w:num="1" w:space="720"/>
          <w:titlePg/>
          <w:docGrid w:type="lines" w:linePitch="381" w:charSpace="0"/>
        </w:sectPr>
      </w:pPr>
      <w:r>
        <w:rPr>
          <w:b/>
          <w:szCs w:val="22"/>
        </w:rPr>
        <w:fldChar w:fldCharType="end"/>
      </w:r>
    </w:p>
    <w:p>
      <w:pPr>
        <w:pStyle w:val="Heading2"/>
        <w:keepNext/>
        <w:keepLines/>
        <w:widowControl/>
        <w:numPr>
          <w:ilvl w:val="0"/>
          <w:numId w:val="8"/>
        </w:numPr>
        <w:tabs>
          <w:tab w:val="left" w:pos="0"/>
        </w:tabs>
        <w:spacing w:before="240" w:after="60" w:line="276" w:lineRule="auto"/>
        <w:ind w:left="0" w:firstLine="0"/>
        <w:jc w:val="left"/>
        <w:rPr>
          <w:sz w:val="36"/>
          <w:szCs w:val="28"/>
        </w:rPr>
      </w:pPr>
      <w:bookmarkStart w:id="134" w:name="_Toc489380213"/>
      <w:bookmarkStart w:id="135" w:name="_Toc489380795"/>
      <w:bookmarkStart w:id="136" w:name="_Toc489380890"/>
      <w:bookmarkStart w:id="137" w:name="_Toc489381086"/>
      <w:bookmarkStart w:id="138" w:name="_Toc489381187"/>
      <w:bookmarkStart w:id="139" w:name="_Toc489382363"/>
      <w:bookmarkStart w:id="140" w:name="_Toc489385881"/>
      <w:bookmarkStart w:id="141" w:name="_Toc489387732"/>
      <w:bookmarkStart w:id="142" w:name="_Toc490576699"/>
      <w:bookmarkStart w:id="143" w:name="_Toc490587393"/>
      <w:bookmarkStart w:id="144" w:name="_Toc492663950"/>
      <w:bookmarkStart w:id="145" w:name="_Toc492988506"/>
      <w:bookmarkStart w:id="146" w:name="_Toc493497598"/>
      <w:bookmarkStart w:id="147" w:name="_Toc493663960"/>
      <w:bookmarkStart w:id="148" w:name="_Toc493683540"/>
      <w:bookmarkStart w:id="149" w:name="_Toc500763595"/>
      <w:bookmarkStart w:id="150" w:name="_Toc501642584"/>
      <w:bookmarkStart w:id="151" w:name="_Toc501976995"/>
      <w:bookmarkStart w:id="152" w:name="_Toc502063274"/>
      <w:bookmarkStart w:id="153" w:name="_Toc502064010"/>
      <w:bookmarkStart w:id="154" w:name="_Toc502064098"/>
      <w:bookmarkStart w:id="155" w:name="_Toc510109039"/>
      <w:bookmarkStart w:id="156" w:name="_Toc510109378"/>
      <w:bookmarkStart w:id="157" w:name="_Toc511229592"/>
      <w:bookmarkStart w:id="158" w:name="_Toc515977718"/>
      <w:bookmarkStart w:id="159" w:name="_Toc40712766"/>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r>
        <w:rPr>
          <w:rFonts w:hint="eastAsia"/>
          <w:sz w:val="36"/>
          <w:szCs w:val="28"/>
        </w:rPr>
        <w:t>辐射探测</w:t>
      </w:r>
      <w:r>
        <w:rPr>
          <w:sz w:val="36"/>
          <w:szCs w:val="28"/>
        </w:rPr>
        <w:t>设备接入海关管理网方案</w:t>
      </w:r>
      <w:bookmarkEnd w:id="159"/>
    </w:p>
    <w:p>
      <w:pPr>
        <w:spacing w:before="156" w:after="156" w:line="276" w:lineRule="auto"/>
        <w:ind w:firstLine="420"/>
        <w:rPr>
          <w:rFonts w:ascii="宋体" w:hint="eastAsia"/>
          <w:szCs w:val="28"/>
        </w:rPr>
      </w:pPr>
      <w:r>
        <w:rPr>
          <w:rFonts w:ascii="宋体" w:hint="eastAsia"/>
          <w:szCs w:val="28"/>
        </w:rPr>
        <w:t>为实现辐射探测设备接入海关业务管理网，根据设备安装场所的不同，制定以下两种接入方案。</w:t>
      </w:r>
      <w:bookmarkStart w:id="160" w:name="_Toc500763598"/>
      <w:bookmarkStart w:id="161" w:name="_Toc501642587"/>
      <w:bookmarkStart w:id="162" w:name="_Toc501976998"/>
      <w:bookmarkStart w:id="163" w:name="_Toc502063277"/>
      <w:bookmarkStart w:id="164" w:name="_Toc502064013"/>
      <w:bookmarkStart w:id="165" w:name="_Toc502064101"/>
      <w:bookmarkStart w:id="166" w:name="_Toc510109041"/>
      <w:bookmarkStart w:id="167" w:name="_Toc510109380"/>
      <w:bookmarkStart w:id="168" w:name="_Toc511229594"/>
      <w:bookmarkStart w:id="169" w:name="_Toc515977720"/>
      <w:bookmarkEnd w:id="160"/>
      <w:bookmarkEnd w:id="161"/>
      <w:bookmarkEnd w:id="162"/>
      <w:bookmarkEnd w:id="163"/>
      <w:bookmarkEnd w:id="164"/>
      <w:bookmarkEnd w:id="165"/>
      <w:bookmarkEnd w:id="166"/>
      <w:bookmarkEnd w:id="167"/>
      <w:bookmarkEnd w:id="168"/>
      <w:bookmarkEnd w:id="169"/>
    </w:p>
    <w:p>
      <w:pPr>
        <w:pStyle w:val="Heading3"/>
        <w:keepNext/>
        <w:keepLines w:val="0"/>
        <w:widowControl/>
        <w:numPr>
          <w:ilvl w:val="1"/>
          <w:numId w:val="9"/>
        </w:numPr>
        <w:tabs>
          <w:tab w:val="left" w:pos="0"/>
        </w:tabs>
        <w:spacing w:before="240" w:after="60" w:line="276" w:lineRule="auto"/>
        <w:ind w:left="576" w:hanging="576"/>
        <w:jc w:val="left"/>
        <w:rPr>
          <w:rFonts w:hint="eastAsia"/>
          <w:sz w:val="21"/>
          <w:szCs w:val="21"/>
        </w:rPr>
      </w:pPr>
      <w:bookmarkStart w:id="170" w:name="_Toc489380224"/>
      <w:bookmarkStart w:id="171" w:name="_Toc489380806"/>
      <w:bookmarkStart w:id="172" w:name="_Toc489380901"/>
      <w:bookmarkStart w:id="173" w:name="_Toc489381097"/>
      <w:bookmarkStart w:id="174" w:name="_Toc489381198"/>
      <w:bookmarkStart w:id="175" w:name="_Toc489382371"/>
      <w:bookmarkStart w:id="176" w:name="_Toc489385889"/>
      <w:bookmarkStart w:id="177" w:name="_Toc489387740"/>
      <w:bookmarkStart w:id="178" w:name="_Toc490576707"/>
      <w:bookmarkStart w:id="179" w:name="_Toc490587401"/>
      <w:bookmarkStart w:id="180" w:name="_Toc492663958"/>
      <w:bookmarkStart w:id="181" w:name="_Toc492988514"/>
      <w:bookmarkStart w:id="182" w:name="_Toc493497605"/>
      <w:bookmarkStart w:id="183" w:name="_Toc493663967"/>
      <w:bookmarkStart w:id="184" w:name="_Toc493683543"/>
      <w:bookmarkStart w:id="185" w:name="_Toc40712767"/>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r>
        <w:rPr>
          <w:rFonts w:hint="eastAsia"/>
          <w:sz w:val="21"/>
          <w:szCs w:val="21"/>
        </w:rPr>
        <w:t>1.1 接入方案</w:t>
      </w:r>
      <w:r>
        <w:rPr>
          <w:sz w:val="21"/>
          <w:szCs w:val="21"/>
        </w:rPr>
        <w:t>一</w:t>
      </w:r>
      <w:r>
        <w:rPr>
          <w:rFonts w:hint="eastAsia"/>
          <w:sz w:val="21"/>
          <w:szCs w:val="21"/>
        </w:rPr>
        <w:t>：</w:t>
      </w:r>
      <w:r>
        <w:rPr>
          <w:sz w:val="21"/>
          <w:szCs w:val="21"/>
        </w:rPr>
        <w:t>设备整体接入管理网</w:t>
      </w:r>
      <w:bookmarkEnd w:id="185"/>
    </w:p>
    <w:p>
      <w:pPr>
        <w:spacing w:line="276" w:lineRule="auto"/>
        <w:ind w:left="425"/>
        <w:rPr>
          <w:rFonts w:hint="eastAsia"/>
        </w:rPr>
      </w:pPr>
      <w:r>
        <w:rPr>
          <w:rFonts w:hint="eastAsia"/>
        </w:rPr>
        <w:t>联网结构图</w:t>
      </w:r>
      <w:r>
        <w:t>：</w:t>
      </w:r>
    </w:p>
    <w:p>
      <w:pPr>
        <w:spacing w:line="276" w:lineRule="auto"/>
        <w:ind w:left="425"/>
      </w:pPr>
      <w:r>
        <w:drawing>
          <wp:inline distT="0" distB="0" distL="85725" distR="85725">
            <wp:extent cx="4862195" cy="4085590"/>
            <wp:effectExtent l="-9524" t="-9524" r="-9524" b="-9524"/>
            <wp:docPr id="22" name="_x0000_i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_x0000_i1031 24"/>
                    <pic:cNvPicPr/>
                  </pic:nvPicPr>
                  <pic:blipFill>
                    <a:blip xmlns:r="http://schemas.openxmlformats.org/officeDocument/2006/relationships" r:embed="rId15"/>
                    <a:stretch>
                      <a:fillRect/>
                    </a:stretch>
                  </pic:blipFill>
                  <pic:spPr>
                    <a:xfrm>
                      <a:off x="0" y="0"/>
                      <a:ext cx="4862195" cy="4085590"/>
                    </a:xfrm>
                    <a:prstGeom prst="rect">
                      <a:avLst/>
                    </a:prstGeom>
                    <a:noFill/>
                    <a:ln w="9525">
                      <a:noFill/>
                      <a:prstDash val="solid"/>
                      <a:miter lim="0"/>
                    </a:ln>
                  </pic:spPr>
                </pic:pic>
              </a:graphicData>
            </a:graphic>
          </wp:inline>
        </w:drawing>
      </w:r>
    </w:p>
    <w:p>
      <w:pPr>
        <w:pStyle w:val="2105"/>
        <w:spacing w:line="276" w:lineRule="auto"/>
        <w:rPr>
          <w:rFonts w:hint="eastAsia"/>
        </w:rPr>
      </w:pPr>
      <w:r>
        <w:rPr>
          <w:rFonts w:hint="eastAsia"/>
        </w:rPr>
        <w:t>接入特点</w:t>
      </w:r>
      <w:r>
        <w:t>及要求：</w:t>
      </w:r>
    </w:p>
    <w:p>
      <w:pPr>
        <w:spacing w:before="156" w:after="156" w:line="276" w:lineRule="auto"/>
        <w:rPr>
          <w:rFonts w:ascii="宋体" w:hint="eastAsia"/>
          <w:szCs w:val="28"/>
        </w:rPr>
      </w:pPr>
      <w:r>
        <w:rPr>
          <w:rFonts w:ascii="宋体" w:hint="eastAsia"/>
          <w:szCs w:val="28"/>
        </w:rPr>
        <w:t xml:space="preserve">（1）同一业务现场内的辐射探测设备纳入管理网统一管理，应符合《海关信息系统安全管理规定》相关要求。 </w:t>
      </w:r>
    </w:p>
    <w:p>
      <w:pPr>
        <w:spacing w:before="156" w:after="156" w:line="276" w:lineRule="auto"/>
        <w:rPr>
          <w:rFonts w:ascii="宋体" w:hint="eastAsia"/>
          <w:szCs w:val="28"/>
        </w:rPr>
      </w:pPr>
      <w:r>
        <w:rPr>
          <w:rFonts w:ascii="宋体" w:hint="eastAsia"/>
          <w:szCs w:val="28"/>
        </w:rPr>
        <w:t>（2）各关应为辐射探测设备网络规划独立的网段，划分独立VLAN，开放必要端口（端口号），保证辐射探测设备正常运行不受影响，该网段的IP地址应保持相对稳定。</w:t>
      </w:r>
    </w:p>
    <w:p>
      <w:pPr>
        <w:spacing w:before="156" w:after="156" w:line="276" w:lineRule="auto"/>
        <w:rPr>
          <w:rFonts w:ascii="宋体" w:hint="eastAsia"/>
          <w:szCs w:val="28"/>
        </w:rPr>
      </w:pPr>
      <w:r>
        <w:rPr>
          <w:rFonts w:ascii="宋体" w:hint="eastAsia"/>
          <w:szCs w:val="28"/>
        </w:rPr>
        <w:t>（3）辐射探测设备及相关外围设备(如箱号识别、车牌识别、CCTV等)可以作为整体接入管理网，整个辐射探测设备只暴露一个对外网口，辐射探测设备内部数据流转网络封闭，不存在对外信息点。</w:t>
      </w:r>
    </w:p>
    <w:p>
      <w:pPr>
        <w:spacing w:before="156" w:after="156" w:line="276" w:lineRule="auto"/>
        <w:rPr>
          <w:rFonts w:ascii="宋体" w:hint="eastAsia"/>
          <w:szCs w:val="28"/>
        </w:rPr>
      </w:pPr>
      <w:r>
        <w:rPr>
          <w:rFonts w:ascii="宋体" w:hint="eastAsia"/>
          <w:szCs w:val="28"/>
        </w:rPr>
        <w:t>（4）存在开放内部网络的辐射探测系统，内部网络中每一个网络终端均设置为管理网内静态IP。</w:t>
      </w:r>
    </w:p>
    <w:p>
      <w:pPr>
        <w:spacing w:before="156" w:after="156" w:line="276" w:lineRule="auto"/>
        <w:rPr>
          <w:rFonts w:ascii="宋体" w:hint="eastAsia"/>
          <w:szCs w:val="28"/>
        </w:rPr>
      </w:pPr>
      <w:r>
        <w:rPr>
          <w:rFonts w:ascii="宋体" w:hint="eastAsia"/>
          <w:szCs w:val="28"/>
        </w:rPr>
        <w:t>（5）辐射探测设备使用海关统一IP地址后，设备应用软件需进行重新调试，与业务系统做好对接。各关部署辐射探测“入网设备”应充分考虑磁盘空间、性能、网络等因素，确保系统整体部署和连接的稳定性。</w:t>
      </w:r>
    </w:p>
    <w:p>
      <w:pPr>
        <w:pStyle w:val="Heading3"/>
        <w:keepNext/>
        <w:keepLines w:val="0"/>
        <w:widowControl/>
        <w:numPr>
          <w:ilvl w:val="1"/>
          <w:numId w:val="9"/>
        </w:numPr>
        <w:tabs>
          <w:tab w:val="left" w:pos="0"/>
        </w:tabs>
        <w:spacing w:before="240" w:after="60" w:line="276" w:lineRule="auto"/>
        <w:ind w:left="576" w:hanging="576"/>
        <w:jc w:val="left"/>
        <w:rPr>
          <w:rFonts w:hint="eastAsia"/>
          <w:sz w:val="21"/>
          <w:szCs w:val="21"/>
        </w:rPr>
      </w:pPr>
      <w:bookmarkStart w:id="186" w:name="_Toc40712768"/>
      <w:r>
        <w:rPr>
          <w:rFonts w:hint="eastAsia"/>
          <w:sz w:val="21"/>
          <w:szCs w:val="21"/>
        </w:rPr>
        <w:t>1.2 接入方案二：通过</w:t>
      </w:r>
      <w:r>
        <w:rPr>
          <w:sz w:val="21"/>
          <w:szCs w:val="21"/>
        </w:rPr>
        <w:t>安全隔离</w:t>
      </w:r>
      <w:r>
        <w:rPr>
          <w:rFonts w:hint="eastAsia"/>
          <w:sz w:val="21"/>
          <w:szCs w:val="21"/>
        </w:rPr>
        <w:t>措施</w:t>
      </w:r>
      <w:r>
        <w:rPr>
          <w:sz w:val="21"/>
          <w:szCs w:val="21"/>
        </w:rPr>
        <w:t>接入管理网</w:t>
      </w:r>
      <w:r>
        <w:rPr>
          <w:rFonts w:hint="eastAsia"/>
          <w:sz w:val="21"/>
          <w:szCs w:val="21"/>
        </w:rPr>
        <w:t>（对外</w:t>
      </w:r>
      <w:r>
        <w:rPr>
          <w:sz w:val="21"/>
          <w:szCs w:val="21"/>
        </w:rPr>
        <w:t>接入局域网模式</w:t>
      </w:r>
      <w:r>
        <w:rPr>
          <w:rFonts w:hint="eastAsia"/>
          <w:sz w:val="21"/>
          <w:szCs w:val="21"/>
        </w:rPr>
        <w:t>）</w:t>
      </w:r>
      <w:bookmarkEnd w:id="186"/>
    </w:p>
    <w:p>
      <w:pPr>
        <w:spacing w:before="156" w:after="156" w:line="276" w:lineRule="auto"/>
        <w:ind w:left="420"/>
        <w:rPr>
          <w:rFonts w:ascii="宋体" w:hint="eastAsia"/>
          <w:szCs w:val="28"/>
        </w:rPr>
      </w:pPr>
      <w:r>
        <w:rPr>
          <w:rFonts w:ascii="宋体" w:hint="eastAsia"/>
          <w:szCs w:val="28"/>
        </w:rPr>
        <w:t>联网结构图:</w:t>
      </w:r>
    </w:p>
    <w:p>
      <w:pPr>
        <w:spacing w:line="276" w:lineRule="auto"/>
        <w:ind w:left="425"/>
        <w:rPr>
          <w:rFonts w:ascii="宋体" w:hint="eastAsia"/>
          <w:szCs w:val="28"/>
        </w:rPr>
      </w:pPr>
      <w:r>
        <w:drawing>
          <wp:inline distT="0" distB="0" distL="85725" distR="85725">
            <wp:extent cx="4368165" cy="3197225"/>
            <wp:effectExtent l="-9524" t="-9524" r="-9524" b="-9524"/>
            <wp:docPr id="25" name="_x0000_i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_x0000_i1032 27"/>
                    <pic:cNvPicPr/>
                  </pic:nvPicPr>
                  <pic:blipFill>
                    <a:blip xmlns:r="http://schemas.openxmlformats.org/officeDocument/2006/relationships" r:embed="rId16"/>
                    <a:stretch>
                      <a:fillRect/>
                    </a:stretch>
                  </pic:blipFill>
                  <pic:spPr>
                    <a:xfrm>
                      <a:off x="0" y="0"/>
                      <a:ext cx="4368165" cy="3197225"/>
                    </a:xfrm>
                    <a:prstGeom prst="rect">
                      <a:avLst/>
                    </a:prstGeom>
                    <a:noFill/>
                    <a:ln w="9525">
                      <a:noFill/>
                      <a:prstDash val="solid"/>
                      <a:miter lim="0"/>
                    </a:ln>
                  </pic:spPr>
                </pic:pic>
              </a:graphicData>
            </a:graphic>
          </wp:inline>
        </w:drawing>
      </w:r>
    </w:p>
    <w:p>
      <w:pPr>
        <w:spacing w:before="156" w:after="156" w:line="276" w:lineRule="auto"/>
        <w:ind w:firstLine="420"/>
        <w:rPr>
          <w:rFonts w:ascii="宋体" w:hint="eastAsia"/>
          <w:szCs w:val="28"/>
        </w:rPr>
      </w:pPr>
      <w:r>
        <w:rPr>
          <w:rFonts w:ascii="宋体" w:hint="eastAsia"/>
          <w:szCs w:val="28"/>
        </w:rPr>
        <w:t>对于海关管辖场所外的辐射探测设备，需通过对外接入局域网接入海关业务管理网，部署要求如下：</w:t>
      </w:r>
    </w:p>
    <w:p>
      <w:pPr>
        <w:spacing w:before="156" w:after="156" w:line="276" w:lineRule="auto"/>
        <w:ind w:left="420"/>
        <w:rPr>
          <w:rFonts w:ascii="宋体" w:hint="eastAsia"/>
          <w:szCs w:val="28"/>
        </w:rPr>
      </w:pPr>
      <w:r>
        <w:rPr>
          <w:rFonts w:ascii="宋体" w:hint="eastAsia"/>
          <w:szCs w:val="28"/>
        </w:rPr>
        <w:t>（1）安全管理要求。按照《海关信息系统跨网传输指导方案》中外部网络与对外接入局域网边界以及管理网与对外接入局域网边界跨网要求进行安全接入。</w:t>
      </w:r>
    </w:p>
    <w:p>
      <w:pPr>
        <w:spacing w:before="156" w:after="156" w:line="276" w:lineRule="auto"/>
        <w:ind w:left="420"/>
        <w:rPr>
          <w:rFonts w:ascii="宋体" w:hint="eastAsia"/>
          <w:szCs w:val="28"/>
        </w:rPr>
      </w:pPr>
      <w:r>
        <w:rPr>
          <w:rFonts w:ascii="宋体" w:hint="eastAsia"/>
          <w:szCs w:val="28"/>
        </w:rPr>
        <w:t>（2）系统通过跨网方式接入管理网后应与辐射探测应用系统做好对接，部署过程中应充分考虑服务器、网络等状况，确保系统整体部署和连接的稳定性</w:t>
      </w:r>
      <w:r>
        <w:rPr>
          <w:rFonts w:ascii="宋体" w:hint="eastAsia"/>
          <w:szCs w:val="21"/>
        </w:rPr>
        <w:t>。</w:t>
      </w:r>
    </w:p>
    <w:p>
      <w:pPr>
        <w:pStyle w:val="Heading2"/>
        <w:keepLines/>
        <w:widowControl/>
        <w:numPr>
          <w:ilvl w:val="0"/>
          <w:numId w:val="9"/>
        </w:numPr>
        <w:tabs>
          <w:tab w:val="left" w:pos="0"/>
        </w:tabs>
        <w:spacing w:before="240" w:after="60" w:line="276" w:lineRule="auto"/>
        <w:ind w:left="0" w:firstLine="0"/>
        <w:jc w:val="left"/>
        <w:rPr>
          <w:sz w:val="28"/>
          <w:szCs w:val="28"/>
        </w:rPr>
      </w:pPr>
      <w:bookmarkStart w:id="187" w:name="_Toc40712769"/>
      <w:r>
        <w:rPr>
          <w:rFonts w:hint="eastAsia"/>
          <w:sz w:val="28"/>
          <w:szCs w:val="28"/>
        </w:rPr>
        <w:t>二、辐射探测设备入网硬件配置</w:t>
      </w:r>
      <w:bookmarkEnd w:id="187"/>
    </w:p>
    <w:p>
      <w:pPr>
        <w:spacing w:before="156" w:after="156" w:line="276" w:lineRule="auto"/>
        <w:ind w:firstLine="420"/>
        <w:rPr>
          <w:rFonts w:ascii="宋体" w:hint="eastAsia"/>
          <w:szCs w:val="28"/>
        </w:rPr>
      </w:pPr>
      <w:r>
        <w:rPr>
          <w:rFonts w:ascii="宋体" w:hint="eastAsia"/>
          <w:szCs w:val="28"/>
        </w:rPr>
        <w:t>根据《核辐射探测应用基础设施服务安装部署手册》中软件部署需求，设备入网硬件配置方式分为两种：</w:t>
      </w:r>
    </w:p>
    <w:p>
      <w:pPr>
        <w:pStyle w:val="Heading3"/>
        <w:keepNext/>
        <w:keepLines w:val="0"/>
        <w:widowControl/>
        <w:numPr>
          <w:ilvl w:val="1"/>
          <w:numId w:val="9"/>
        </w:numPr>
        <w:tabs>
          <w:tab w:val="left" w:pos="0"/>
        </w:tabs>
        <w:spacing w:before="240" w:after="60" w:line="276" w:lineRule="auto"/>
        <w:ind w:left="576" w:hanging="576"/>
        <w:jc w:val="left"/>
        <w:rPr>
          <w:sz w:val="21"/>
          <w:szCs w:val="21"/>
        </w:rPr>
      </w:pPr>
      <w:bookmarkStart w:id="188" w:name="_Toc40712770"/>
      <w:r>
        <w:rPr>
          <w:rFonts w:hint="eastAsia"/>
          <w:sz w:val="21"/>
          <w:szCs w:val="21"/>
        </w:rPr>
        <w:t>2</w:t>
      </w:r>
      <w:r>
        <w:rPr>
          <w:sz w:val="21"/>
          <w:szCs w:val="21"/>
        </w:rPr>
        <w:t xml:space="preserve">.1 </w:t>
      </w:r>
      <w:r>
        <w:rPr>
          <w:rFonts w:hint="eastAsia"/>
          <w:sz w:val="21"/>
          <w:szCs w:val="21"/>
        </w:rPr>
        <w:t>增加“入网设备”（服务器）</w:t>
      </w:r>
      <w:bookmarkEnd w:id="188"/>
    </w:p>
    <w:p>
      <w:pPr>
        <w:spacing w:before="156" w:after="156" w:line="276" w:lineRule="auto"/>
        <w:ind w:firstLine="420"/>
      </w:pPr>
      <w:r>
        <w:rPr>
          <w:rFonts w:hint="eastAsia"/>
        </w:rPr>
        <w:t>辐射探测</w:t>
      </w:r>
      <w:r>
        <w:t>设备</w:t>
      </w:r>
      <w:r>
        <w:rPr>
          <w:rFonts w:hint="eastAsia"/>
        </w:rPr>
        <w:t>无上位机或上位机配置低无法满足业务应用需求</w:t>
      </w:r>
      <w:r>
        <w:t>，需要</w:t>
      </w:r>
      <w:r>
        <w:rPr>
          <w:rFonts w:hint="eastAsia"/>
        </w:rPr>
        <w:t>配置</w:t>
      </w:r>
      <w:r>
        <w:t>一台</w:t>
      </w:r>
      <w:r>
        <w:rPr>
          <w:rFonts w:hint="eastAsia"/>
        </w:rPr>
        <w:t>“入网设备”，用于</w:t>
      </w:r>
      <w:r>
        <w:t>连接辐射探测设备</w:t>
      </w:r>
      <w:r>
        <w:rPr>
          <w:rFonts w:hint="eastAsia"/>
        </w:rPr>
        <w:t>及</w:t>
      </w:r>
      <w:r>
        <w:t>接入海关管理网</w:t>
      </w:r>
      <w:r>
        <w:rPr>
          <w:rFonts w:hint="eastAsia"/>
        </w:rPr>
        <w:t>。</w:t>
      </w:r>
    </w:p>
    <w:p>
      <w:pPr>
        <w:spacing w:before="156" w:after="156" w:line="276" w:lineRule="auto"/>
        <w:ind w:firstLine="420"/>
        <w:rPr>
          <w:rFonts w:hint="eastAsia"/>
        </w:rPr>
      </w:pPr>
      <w:r>
        <w:rPr>
          <w:rFonts w:hint="eastAsia"/>
        </w:rPr>
        <w:t>1、“入网设备”建议配置</w:t>
      </w:r>
      <w:r>
        <w:t>如下，</w:t>
      </w:r>
      <w:r>
        <w:rPr>
          <w:rFonts w:hint="eastAsia"/>
        </w:rPr>
        <w:t>需要</w:t>
      </w:r>
      <w:r>
        <w:t>业务现场自行筹备。</w:t>
      </w:r>
      <w:r>
        <w:rPr>
          <w:rFonts w:hint="eastAsia"/>
        </w:rPr>
        <w:t>此“入网设备”可以同时</w:t>
      </w:r>
      <w:r>
        <w:t>最多接入</w:t>
      </w:r>
      <w:r>
        <w:rPr>
          <w:rFonts w:hint="eastAsia"/>
        </w:rPr>
        <w:t>5台</w:t>
      </w:r>
      <w:r>
        <w:t>辐射探测</w:t>
      </w:r>
      <w:r>
        <w:rPr>
          <w:rFonts w:hint="eastAsia"/>
        </w:rPr>
        <w:t>设备</w:t>
      </w:r>
      <w:r>
        <w:t>，如同一</w:t>
      </w:r>
      <w:r>
        <w:rPr>
          <w:rFonts w:hint="eastAsia"/>
        </w:rPr>
        <w:t>业务</w:t>
      </w:r>
      <w:r>
        <w:t>现场超过</w:t>
      </w:r>
      <w:r>
        <w:rPr>
          <w:rFonts w:hint="eastAsia"/>
        </w:rPr>
        <w:t>5台</w:t>
      </w:r>
      <w:r>
        <w:t>辐射探测设备</w:t>
      </w:r>
      <w:r>
        <w:rPr>
          <w:rFonts w:hint="eastAsia"/>
        </w:rPr>
        <w:t>可</w:t>
      </w:r>
      <w:r>
        <w:t>进行横向扩展。</w:t>
      </w:r>
    </w:p>
    <w:tbl>
      <w:tblPr>
        <w:tblW w:w="8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35"/>
        <w:gridCol w:w="4536"/>
        <w:gridCol w:w="708"/>
        <w:gridCol w:w="2089"/>
      </w:tblGrid>
      <w:tr>
        <w:tblPrEx>
          <w:tblW w:w="8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07"/>
          <w:jc w:val="center"/>
        </w:trPr>
        <w:tc>
          <w:tcPr>
            <w:tcW w:w="1135" w:type="dxa"/>
            <w:shd w:val="clear" w:color="auto" w:fill="auto"/>
            <w:vAlign w:val="center"/>
          </w:tcPr>
          <w:p>
            <w:pPr>
              <w:pStyle w:val="2105"/>
              <w:spacing w:line="276" w:lineRule="auto"/>
            </w:pPr>
            <w:r>
              <w:rPr>
                <w:rFonts w:hint="eastAsia"/>
              </w:rPr>
              <w:t>名称</w:t>
            </w:r>
          </w:p>
        </w:tc>
        <w:tc>
          <w:tcPr>
            <w:tcW w:w="4536" w:type="dxa"/>
            <w:shd w:val="clear" w:color="auto" w:fill="auto"/>
            <w:vAlign w:val="center"/>
          </w:tcPr>
          <w:p>
            <w:pPr>
              <w:pStyle w:val="2105"/>
              <w:spacing w:line="276" w:lineRule="auto"/>
            </w:pPr>
            <w:r>
              <w:rPr>
                <w:rFonts w:hint="eastAsia"/>
              </w:rPr>
              <w:t>规格、型号、服务</w:t>
            </w:r>
          </w:p>
        </w:tc>
        <w:tc>
          <w:tcPr>
            <w:tcW w:w="708" w:type="dxa"/>
            <w:shd w:val="clear" w:color="auto" w:fill="auto"/>
            <w:vAlign w:val="center"/>
          </w:tcPr>
          <w:p>
            <w:pPr>
              <w:pStyle w:val="2105"/>
              <w:spacing w:line="276" w:lineRule="auto"/>
            </w:pPr>
            <w:r>
              <w:rPr>
                <w:rFonts w:hint="eastAsia"/>
              </w:rPr>
              <w:t>单位</w:t>
            </w:r>
          </w:p>
        </w:tc>
        <w:tc>
          <w:tcPr>
            <w:tcW w:w="2089" w:type="dxa"/>
            <w:vAlign w:val="center"/>
          </w:tcPr>
          <w:p>
            <w:pPr>
              <w:pStyle w:val="2105"/>
              <w:spacing w:line="276" w:lineRule="auto"/>
            </w:pPr>
            <w:r>
              <w:rPr>
                <w:rFonts w:hint="eastAsia"/>
              </w:rPr>
              <w:t>说明</w:t>
            </w:r>
          </w:p>
        </w:tc>
      </w:tr>
      <w:tr>
        <w:tblPrEx>
          <w:tblW w:w="8468" w:type="dxa"/>
          <w:jc w:val="center"/>
          <w:tblCellMar>
            <w:top w:w="0" w:type="dxa"/>
            <w:left w:w="108" w:type="dxa"/>
            <w:bottom w:w="0" w:type="dxa"/>
            <w:right w:w="108" w:type="dxa"/>
          </w:tblCellMar>
        </w:tblPrEx>
        <w:trPr>
          <w:trHeight w:val="1787"/>
          <w:jc w:val="center"/>
        </w:trPr>
        <w:tc>
          <w:tcPr>
            <w:tcW w:w="1135" w:type="dxa"/>
            <w:vMerge w:val="restart"/>
            <w:shd w:val="clear" w:color="auto" w:fill="auto"/>
            <w:vAlign w:val="center"/>
          </w:tcPr>
          <w:p>
            <w:pPr>
              <w:pStyle w:val="2105"/>
              <w:spacing w:line="276" w:lineRule="auto"/>
            </w:pPr>
            <w:r>
              <w:rPr>
                <w:rFonts w:hint="eastAsia"/>
              </w:rPr>
              <w:t>入网设备</w:t>
            </w:r>
          </w:p>
        </w:tc>
        <w:tc>
          <w:tcPr>
            <w:tcW w:w="4536" w:type="dxa"/>
            <w:tcBorders>
              <w:top w:val="single" w:sz="4" w:space="0" w:color="auto"/>
              <w:left w:val="single" w:sz="4" w:space="0" w:color="auto"/>
              <w:right w:val="single" w:sz="4" w:space="0" w:color="auto"/>
            </w:tcBorders>
            <w:shd w:val="clear" w:color="auto" w:fill="auto"/>
            <w:vAlign w:val="center"/>
          </w:tcPr>
          <w:p>
            <w:pPr>
              <w:pStyle w:val="2105"/>
              <w:spacing w:line="276" w:lineRule="auto"/>
            </w:pPr>
            <w:r>
              <w:rPr>
                <w:rFonts w:hint="eastAsia"/>
              </w:rPr>
              <w:t xml:space="preserve"> Dell Precision T5810</w:t>
            </w:r>
          </w:p>
          <w:p>
            <w:pPr>
              <w:pStyle w:val="2105"/>
              <w:spacing w:line="276" w:lineRule="auto"/>
            </w:pPr>
            <w:r>
              <w:rPr>
                <w:rFonts w:hint="eastAsia"/>
              </w:rPr>
              <w:t>CPU：至强 E5-1620 v3 4核 3.5GHz 10M /内存：8GB DDR4/硬盘：500GB SATA3 7200RPM/光驱：DVD+/-RW/显卡：2 GB NVIDIA Quadro K620 1个DP &amp; 1个DVI-I/USB键盘 英文/光电鼠标/机箱尺寸：414mmx172.6mmx471mm</w:t>
            </w:r>
            <w:r>
              <w:t xml:space="preserve"> </w:t>
            </w:r>
          </w:p>
        </w:tc>
        <w:tc>
          <w:tcPr>
            <w:tcW w:w="708" w:type="dxa"/>
            <w:tcBorders>
              <w:top w:val="single" w:sz="4" w:space="0" w:color="auto"/>
              <w:left w:val="single" w:sz="4" w:space="0" w:color="auto"/>
              <w:right w:val="single" w:sz="4" w:space="0" w:color="auto"/>
            </w:tcBorders>
            <w:shd w:val="clear" w:color="auto" w:fill="auto"/>
            <w:vAlign w:val="center"/>
          </w:tcPr>
          <w:p>
            <w:pPr>
              <w:pStyle w:val="2105"/>
              <w:spacing w:line="276" w:lineRule="auto"/>
              <w:jc w:val="center"/>
            </w:pPr>
            <w:r>
              <w:rPr>
                <w:rFonts w:hint="eastAsia"/>
              </w:rPr>
              <w:t>套</w:t>
            </w:r>
          </w:p>
        </w:tc>
        <w:tc>
          <w:tcPr>
            <w:tcW w:w="2089" w:type="dxa"/>
            <w:vAlign w:val="center"/>
          </w:tcPr>
          <w:p>
            <w:pPr>
              <w:pStyle w:val="2105"/>
              <w:spacing w:line="276" w:lineRule="auto"/>
            </w:pPr>
            <w:r>
              <w:rPr>
                <w:rFonts w:hint="eastAsia"/>
              </w:rPr>
              <w:t>推荐配置要求。</w:t>
            </w:r>
          </w:p>
          <w:p>
            <w:pPr>
              <w:pStyle w:val="2105"/>
              <w:spacing w:line="276" w:lineRule="auto"/>
            </w:pPr>
            <w:r>
              <w:rPr>
                <w:rFonts w:hint="eastAsia"/>
              </w:rPr>
              <w:t>仅设备端无符合条件的入网设备时，需增配本项</w:t>
            </w:r>
          </w:p>
        </w:tc>
      </w:tr>
      <w:tr>
        <w:tblPrEx>
          <w:tblW w:w="8468" w:type="dxa"/>
          <w:jc w:val="center"/>
          <w:tblCellMar>
            <w:top w:w="0" w:type="dxa"/>
            <w:left w:w="108" w:type="dxa"/>
            <w:bottom w:w="0" w:type="dxa"/>
            <w:right w:w="108" w:type="dxa"/>
          </w:tblCellMar>
        </w:tblPrEx>
        <w:trPr>
          <w:trHeight w:val="240"/>
          <w:jc w:val="center"/>
        </w:trPr>
        <w:tc>
          <w:tcPr>
            <w:tcW w:w="1135" w:type="dxa"/>
            <w:vMerge/>
            <w:shd w:val="clear" w:color="auto" w:fill="auto"/>
            <w:vAlign w:val="center"/>
          </w:tcPr>
          <w:p/>
        </w:tc>
        <w:tc>
          <w:tcPr>
            <w:tcW w:w="4536" w:type="dxa"/>
            <w:tcBorders>
              <w:top w:val="single" w:sz="4" w:space="0" w:color="auto"/>
              <w:left w:val="single" w:sz="4" w:space="0" w:color="auto"/>
              <w:right w:val="single" w:sz="4" w:space="0" w:color="auto"/>
            </w:tcBorders>
            <w:shd w:val="clear" w:color="auto" w:fill="auto"/>
            <w:vAlign w:val="center"/>
          </w:tcPr>
          <w:p>
            <w:pPr>
              <w:pStyle w:val="2105"/>
              <w:spacing w:line="276" w:lineRule="auto"/>
              <w:rPr>
                <w:rFonts w:hint="eastAsia"/>
              </w:rPr>
            </w:pPr>
            <w:r>
              <w:rPr>
                <w:rFonts w:hint="eastAsia"/>
              </w:rPr>
              <w:t>操作</w:t>
            </w:r>
            <w:r>
              <w:t>系统</w:t>
            </w:r>
          </w:p>
        </w:tc>
        <w:tc>
          <w:tcPr>
            <w:tcW w:w="708" w:type="dxa"/>
            <w:tcBorders>
              <w:top w:val="single" w:sz="4" w:space="0" w:color="auto"/>
              <w:left w:val="single" w:sz="4" w:space="0" w:color="auto"/>
              <w:right w:val="single" w:sz="4" w:space="0" w:color="auto"/>
            </w:tcBorders>
            <w:shd w:val="clear" w:color="auto" w:fill="auto"/>
            <w:vAlign w:val="center"/>
          </w:tcPr>
          <w:p>
            <w:pPr>
              <w:pStyle w:val="2105"/>
              <w:spacing w:line="276" w:lineRule="auto"/>
              <w:jc w:val="center"/>
              <w:rPr>
                <w:rFonts w:hint="eastAsia"/>
              </w:rPr>
            </w:pPr>
            <w:r>
              <w:rPr>
                <w:rFonts w:hint="eastAsia"/>
              </w:rPr>
              <w:t>套</w:t>
            </w:r>
          </w:p>
        </w:tc>
        <w:tc>
          <w:tcPr>
            <w:tcW w:w="2089" w:type="dxa"/>
            <w:vAlign w:val="center"/>
          </w:tcPr>
          <w:p>
            <w:pPr>
              <w:pStyle w:val="2105"/>
              <w:spacing w:line="276" w:lineRule="auto"/>
              <w:rPr>
                <w:rFonts w:hint="eastAsia"/>
              </w:rPr>
            </w:pPr>
            <w:r>
              <w:rPr>
                <w:rFonts w:hint="eastAsia"/>
              </w:rPr>
              <w:t>海关</w:t>
            </w:r>
            <w:r>
              <w:t>版</w:t>
            </w:r>
            <w:r>
              <w:rPr>
                <w:rFonts w:hint="eastAsia"/>
              </w:rPr>
              <w:t>WIN7系统</w:t>
            </w:r>
          </w:p>
        </w:tc>
      </w:tr>
    </w:tbl>
    <w:p>
      <w:pPr>
        <w:pStyle w:val="2105"/>
        <w:spacing w:line="276" w:lineRule="auto"/>
      </w:pPr>
    </w:p>
    <w:p>
      <w:pPr>
        <w:pStyle w:val="2105"/>
        <w:spacing w:line="276" w:lineRule="auto"/>
        <w:ind w:firstLine="420" w:firstLineChars="200"/>
      </w:pPr>
      <w:r>
        <w:rPr>
          <w:rFonts w:hint="eastAsia"/>
        </w:rPr>
        <w:t>2、“入网设备”最低配置要求：需满足可安装双网卡、安装</w:t>
      </w:r>
      <w:r>
        <w:t>WIN7</w:t>
      </w:r>
      <w:r>
        <w:rPr>
          <w:rFonts w:hint="eastAsia"/>
        </w:rPr>
        <w:t>操作系统。具体由各海关筹备。最低配置情况下，“入网设备”可以同时最多接入</w:t>
      </w:r>
      <w:r>
        <w:t>1</w:t>
      </w:r>
      <w:r>
        <w:rPr>
          <w:rFonts w:hint="eastAsia"/>
        </w:rPr>
        <w:t>台辐射探测设备。</w:t>
      </w:r>
    </w:p>
    <w:tbl>
      <w:tblPr>
        <w:tblW w:w="8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35"/>
        <w:gridCol w:w="4536"/>
        <w:gridCol w:w="708"/>
        <w:gridCol w:w="2089"/>
      </w:tblGrid>
      <w:tr>
        <w:tblPrEx>
          <w:tblW w:w="8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07"/>
          <w:jc w:val="center"/>
        </w:trPr>
        <w:tc>
          <w:tcPr>
            <w:tcW w:w="1135" w:type="dxa"/>
            <w:shd w:val="clear" w:color="auto" w:fill="auto"/>
            <w:vAlign w:val="center"/>
          </w:tcPr>
          <w:p>
            <w:pPr>
              <w:pStyle w:val="2105"/>
              <w:spacing w:line="276" w:lineRule="auto"/>
            </w:pPr>
            <w:r>
              <w:rPr>
                <w:rFonts w:hint="eastAsia"/>
              </w:rPr>
              <w:t>名称</w:t>
            </w:r>
          </w:p>
        </w:tc>
        <w:tc>
          <w:tcPr>
            <w:tcW w:w="4536" w:type="dxa"/>
            <w:shd w:val="clear" w:color="auto" w:fill="auto"/>
            <w:vAlign w:val="center"/>
          </w:tcPr>
          <w:p>
            <w:pPr>
              <w:pStyle w:val="2105"/>
              <w:spacing w:line="276" w:lineRule="auto"/>
            </w:pPr>
            <w:r>
              <w:rPr>
                <w:rFonts w:hint="eastAsia"/>
              </w:rPr>
              <w:t>规格、型号、服务</w:t>
            </w:r>
          </w:p>
        </w:tc>
        <w:tc>
          <w:tcPr>
            <w:tcW w:w="708" w:type="dxa"/>
            <w:shd w:val="clear" w:color="auto" w:fill="auto"/>
            <w:vAlign w:val="center"/>
          </w:tcPr>
          <w:p>
            <w:pPr>
              <w:pStyle w:val="2105"/>
              <w:spacing w:line="276" w:lineRule="auto"/>
            </w:pPr>
            <w:r>
              <w:rPr>
                <w:rFonts w:hint="eastAsia"/>
              </w:rPr>
              <w:t>单位</w:t>
            </w:r>
          </w:p>
        </w:tc>
        <w:tc>
          <w:tcPr>
            <w:tcW w:w="2089" w:type="dxa"/>
            <w:vAlign w:val="center"/>
          </w:tcPr>
          <w:p>
            <w:pPr>
              <w:pStyle w:val="2105"/>
              <w:spacing w:line="276" w:lineRule="auto"/>
            </w:pPr>
            <w:r>
              <w:rPr>
                <w:rFonts w:hint="eastAsia"/>
              </w:rPr>
              <w:t>说明</w:t>
            </w:r>
          </w:p>
        </w:tc>
      </w:tr>
      <w:tr>
        <w:tblPrEx>
          <w:tblW w:w="8468" w:type="dxa"/>
          <w:jc w:val="center"/>
          <w:tblCellMar>
            <w:top w:w="0" w:type="dxa"/>
            <w:left w:w="108" w:type="dxa"/>
            <w:bottom w:w="0" w:type="dxa"/>
            <w:right w:w="108" w:type="dxa"/>
          </w:tblCellMar>
        </w:tblPrEx>
        <w:trPr>
          <w:trHeight w:val="1787"/>
          <w:jc w:val="center"/>
        </w:trPr>
        <w:tc>
          <w:tcPr>
            <w:tcW w:w="1135" w:type="dxa"/>
            <w:vMerge w:val="restart"/>
            <w:shd w:val="clear" w:color="auto" w:fill="auto"/>
            <w:vAlign w:val="center"/>
          </w:tcPr>
          <w:p>
            <w:pPr>
              <w:pStyle w:val="2105"/>
              <w:spacing w:line="276" w:lineRule="auto"/>
            </w:pPr>
            <w:r>
              <w:rPr>
                <w:rFonts w:hint="eastAsia"/>
              </w:rPr>
              <w:t>入网设备</w:t>
            </w:r>
          </w:p>
        </w:tc>
        <w:tc>
          <w:tcPr>
            <w:tcW w:w="4536" w:type="dxa"/>
            <w:tcBorders>
              <w:top w:val="single" w:sz="4" w:space="0" w:color="auto"/>
              <w:left w:val="single" w:sz="4" w:space="0" w:color="auto"/>
              <w:right w:val="single" w:sz="4" w:space="0" w:color="auto"/>
            </w:tcBorders>
            <w:shd w:val="clear" w:color="auto" w:fill="auto"/>
            <w:vAlign w:val="center"/>
          </w:tcPr>
          <w:p>
            <w:pPr>
              <w:pStyle w:val="2105"/>
              <w:spacing w:line="276" w:lineRule="auto"/>
            </w:pPr>
            <w:r>
              <w:rPr>
                <w:rFonts w:hint="eastAsia"/>
              </w:rPr>
              <w:t>CPU：I</w:t>
            </w:r>
            <w:r>
              <w:t>5</w:t>
            </w:r>
            <w:r>
              <w:rPr>
                <w:rFonts w:hint="eastAsia"/>
              </w:rPr>
              <w:t xml:space="preserve"> </w:t>
            </w:r>
            <w:r>
              <w:t xml:space="preserve">7500 </w:t>
            </w:r>
            <w:r>
              <w:rPr>
                <w:rFonts w:hint="eastAsia"/>
              </w:rPr>
              <w:t>3.</w:t>
            </w:r>
            <w:r>
              <w:t>9</w:t>
            </w:r>
            <w:r>
              <w:rPr>
                <w:rFonts w:hint="eastAsia"/>
              </w:rPr>
              <w:t>GHz</w:t>
            </w:r>
            <w:r>
              <w:t xml:space="preserve"> </w:t>
            </w:r>
            <w:r>
              <w:rPr>
                <w:rFonts w:hint="eastAsia"/>
              </w:rPr>
              <w:t>内存：8GB DDR4/</w:t>
            </w:r>
          </w:p>
          <w:p>
            <w:pPr>
              <w:pStyle w:val="2105"/>
              <w:spacing w:line="276" w:lineRule="auto"/>
            </w:pPr>
            <w:r>
              <w:rPr>
                <w:rFonts w:hint="eastAsia"/>
              </w:rPr>
              <w:t>硬盘：500GB SATA3 7200RPM/</w:t>
            </w:r>
          </w:p>
          <w:p>
            <w:pPr>
              <w:pStyle w:val="2105"/>
              <w:spacing w:line="276" w:lineRule="auto"/>
            </w:pPr>
            <w:r>
              <w:rPr>
                <w:rFonts w:hint="eastAsia"/>
              </w:rPr>
              <w:t>光驱：DVD+/-RW/</w:t>
            </w:r>
          </w:p>
          <w:p>
            <w:pPr>
              <w:pStyle w:val="2105"/>
              <w:spacing w:line="276" w:lineRule="auto"/>
            </w:pPr>
            <w:r>
              <w:rPr>
                <w:rFonts w:hint="eastAsia"/>
              </w:rPr>
              <w:t xml:space="preserve">显卡：集成显卡 </w:t>
            </w:r>
            <w:r>
              <w:t xml:space="preserve">  </w:t>
            </w:r>
            <w:r>
              <w:rPr>
                <w:rFonts w:hint="eastAsia"/>
              </w:rPr>
              <w:t>USB键盘 英文/光电鼠标/</w:t>
            </w:r>
            <w:r>
              <w:t xml:space="preserve"> </w:t>
            </w:r>
          </w:p>
          <w:p>
            <w:pPr>
              <w:pStyle w:val="2105"/>
              <w:spacing w:line="276" w:lineRule="auto"/>
            </w:pPr>
            <w:r>
              <w:rPr>
                <w:rFonts w:hint="eastAsia"/>
              </w:rPr>
              <w:t>具有独立P</w:t>
            </w:r>
            <w:r>
              <w:t>CIE</w:t>
            </w:r>
            <w:r>
              <w:rPr>
                <w:rFonts w:hint="eastAsia"/>
              </w:rPr>
              <w:t>插槽。</w:t>
            </w:r>
          </w:p>
          <w:p>
            <w:pPr>
              <w:pStyle w:val="2105"/>
              <w:spacing w:line="276" w:lineRule="auto"/>
              <w:rPr>
                <w:rFonts w:hint="eastAsia"/>
              </w:rPr>
            </w:pPr>
            <w:r>
              <w:rPr>
                <w:rFonts w:hint="eastAsia"/>
              </w:rPr>
              <w:t>如：D</w:t>
            </w:r>
            <w:r>
              <w:t>ELL Optiplex3060</w:t>
            </w:r>
          </w:p>
        </w:tc>
        <w:tc>
          <w:tcPr>
            <w:tcW w:w="708" w:type="dxa"/>
            <w:tcBorders>
              <w:top w:val="single" w:sz="4" w:space="0" w:color="auto"/>
              <w:left w:val="single" w:sz="4" w:space="0" w:color="auto"/>
              <w:right w:val="single" w:sz="4" w:space="0" w:color="auto"/>
            </w:tcBorders>
            <w:shd w:val="clear" w:color="auto" w:fill="auto"/>
            <w:vAlign w:val="center"/>
          </w:tcPr>
          <w:p>
            <w:pPr>
              <w:pStyle w:val="2105"/>
              <w:spacing w:line="276" w:lineRule="auto"/>
              <w:jc w:val="center"/>
            </w:pPr>
            <w:r>
              <w:rPr>
                <w:rFonts w:hint="eastAsia"/>
              </w:rPr>
              <w:t>套</w:t>
            </w:r>
          </w:p>
        </w:tc>
        <w:tc>
          <w:tcPr>
            <w:tcW w:w="2089" w:type="dxa"/>
            <w:vAlign w:val="center"/>
          </w:tcPr>
          <w:p>
            <w:pPr>
              <w:pStyle w:val="2105"/>
              <w:spacing w:line="276" w:lineRule="auto"/>
            </w:pPr>
            <w:r>
              <w:rPr>
                <w:rFonts w:hint="eastAsia"/>
              </w:rPr>
              <w:t>最低配置要求。</w:t>
            </w:r>
          </w:p>
          <w:p>
            <w:pPr>
              <w:pStyle w:val="2105"/>
              <w:spacing w:line="276" w:lineRule="auto"/>
            </w:pPr>
            <w:r>
              <w:rPr>
                <w:rFonts w:hint="eastAsia"/>
              </w:rPr>
              <w:t>仅设备端无符合条件的入网设备时，需增配本项</w:t>
            </w:r>
          </w:p>
        </w:tc>
      </w:tr>
      <w:tr>
        <w:tblPrEx>
          <w:tblW w:w="8468" w:type="dxa"/>
          <w:jc w:val="center"/>
          <w:tblCellMar>
            <w:top w:w="0" w:type="dxa"/>
            <w:left w:w="108" w:type="dxa"/>
            <w:bottom w:w="0" w:type="dxa"/>
            <w:right w:w="108" w:type="dxa"/>
          </w:tblCellMar>
        </w:tblPrEx>
        <w:trPr>
          <w:trHeight w:val="240"/>
          <w:jc w:val="center"/>
        </w:trPr>
        <w:tc>
          <w:tcPr>
            <w:tcW w:w="1135" w:type="dxa"/>
            <w:vMerge/>
            <w:shd w:val="clear" w:color="auto" w:fill="auto"/>
            <w:vAlign w:val="center"/>
          </w:tcPr>
          <w:p/>
        </w:tc>
        <w:tc>
          <w:tcPr>
            <w:tcW w:w="4536" w:type="dxa"/>
            <w:tcBorders>
              <w:top w:val="single" w:sz="4" w:space="0" w:color="auto"/>
              <w:left w:val="single" w:sz="4" w:space="0" w:color="auto"/>
              <w:right w:val="single" w:sz="4" w:space="0" w:color="auto"/>
            </w:tcBorders>
            <w:shd w:val="clear" w:color="auto" w:fill="auto"/>
            <w:vAlign w:val="center"/>
          </w:tcPr>
          <w:p>
            <w:pPr>
              <w:pStyle w:val="2105"/>
              <w:spacing w:line="276" w:lineRule="auto"/>
              <w:rPr>
                <w:rFonts w:hint="eastAsia"/>
              </w:rPr>
            </w:pPr>
            <w:r>
              <w:rPr>
                <w:rFonts w:hint="eastAsia"/>
              </w:rPr>
              <w:t>操作</w:t>
            </w:r>
            <w:r>
              <w:t>系统</w:t>
            </w:r>
          </w:p>
        </w:tc>
        <w:tc>
          <w:tcPr>
            <w:tcW w:w="708" w:type="dxa"/>
            <w:tcBorders>
              <w:top w:val="single" w:sz="4" w:space="0" w:color="auto"/>
              <w:left w:val="single" w:sz="4" w:space="0" w:color="auto"/>
              <w:right w:val="single" w:sz="4" w:space="0" w:color="auto"/>
            </w:tcBorders>
            <w:shd w:val="clear" w:color="auto" w:fill="auto"/>
            <w:vAlign w:val="center"/>
          </w:tcPr>
          <w:p>
            <w:pPr>
              <w:pStyle w:val="2105"/>
              <w:spacing w:line="276" w:lineRule="auto"/>
              <w:jc w:val="center"/>
              <w:rPr>
                <w:rFonts w:hint="eastAsia"/>
              </w:rPr>
            </w:pPr>
            <w:r>
              <w:rPr>
                <w:rFonts w:hint="eastAsia"/>
              </w:rPr>
              <w:t>套</w:t>
            </w:r>
          </w:p>
        </w:tc>
        <w:tc>
          <w:tcPr>
            <w:tcW w:w="2089" w:type="dxa"/>
            <w:vAlign w:val="center"/>
          </w:tcPr>
          <w:p>
            <w:pPr>
              <w:pStyle w:val="2105"/>
              <w:spacing w:line="276" w:lineRule="auto"/>
              <w:rPr>
                <w:rFonts w:hint="eastAsia"/>
              </w:rPr>
            </w:pPr>
            <w:r>
              <w:rPr>
                <w:rFonts w:hint="eastAsia"/>
              </w:rPr>
              <w:t>海关</w:t>
            </w:r>
            <w:r>
              <w:t>版</w:t>
            </w:r>
            <w:r>
              <w:rPr>
                <w:rFonts w:hint="eastAsia"/>
              </w:rPr>
              <w:t>WIN7系统</w:t>
            </w:r>
          </w:p>
        </w:tc>
      </w:tr>
    </w:tbl>
    <w:p>
      <w:pPr>
        <w:pStyle w:val="2105"/>
        <w:spacing w:line="276" w:lineRule="auto"/>
        <w:rPr>
          <w:rFonts w:hint="eastAsia"/>
        </w:rPr>
      </w:pPr>
    </w:p>
    <w:p>
      <w:pPr>
        <w:pStyle w:val="Heading3"/>
        <w:keepNext/>
        <w:keepLines w:val="0"/>
        <w:widowControl/>
        <w:numPr>
          <w:ilvl w:val="1"/>
          <w:numId w:val="9"/>
        </w:numPr>
        <w:tabs>
          <w:tab w:val="left" w:pos="0"/>
        </w:tabs>
        <w:spacing w:before="240" w:after="60" w:line="276" w:lineRule="auto"/>
        <w:ind w:left="576" w:hanging="576"/>
        <w:jc w:val="left"/>
        <w:rPr>
          <w:rFonts w:hint="eastAsia"/>
          <w:sz w:val="21"/>
          <w:szCs w:val="21"/>
        </w:rPr>
      </w:pPr>
      <w:bookmarkStart w:id="189" w:name="_Toc40712771"/>
      <w:r>
        <w:rPr>
          <w:rFonts w:hint="eastAsia"/>
          <w:sz w:val="21"/>
          <w:szCs w:val="21"/>
        </w:rPr>
        <w:t>2</w:t>
      </w:r>
      <w:r>
        <w:rPr>
          <w:sz w:val="21"/>
          <w:szCs w:val="21"/>
        </w:rPr>
        <w:t xml:space="preserve">.2 </w:t>
      </w:r>
      <w:r>
        <w:rPr>
          <w:rFonts w:hint="eastAsia"/>
          <w:sz w:val="21"/>
          <w:szCs w:val="21"/>
        </w:rPr>
        <w:t>利用辐射探测设备的上位机作为“入网设备”</w:t>
      </w:r>
      <w:bookmarkEnd w:id="189"/>
    </w:p>
    <w:p>
      <w:pPr>
        <w:spacing w:before="156" w:after="156" w:line="276" w:lineRule="auto"/>
        <w:ind w:firstLine="420"/>
        <w:rPr>
          <w:rFonts w:hint="eastAsia"/>
        </w:rPr>
      </w:pPr>
      <w:r>
        <w:rPr>
          <w:rFonts w:hint="eastAsia"/>
        </w:rPr>
        <w:t>利用</w:t>
      </w:r>
      <w:r>
        <w:t>辐射探测</w:t>
      </w:r>
      <w:r>
        <w:rPr>
          <w:rFonts w:hint="eastAsia"/>
        </w:rPr>
        <w:t>设备</w:t>
      </w:r>
      <w:r>
        <w:t>现有的上位机</w:t>
      </w:r>
      <w:r>
        <w:rPr>
          <w:rFonts w:hint="eastAsia"/>
        </w:rPr>
        <w:t>作为“入网设备”，用于连接辐射探测设备及接入海关管理网，此“入网设备”可以同时最多接入</w:t>
      </w:r>
      <w:r>
        <w:t>1</w:t>
      </w:r>
      <w:r>
        <w:rPr>
          <w:rFonts w:hint="eastAsia"/>
        </w:rPr>
        <w:t>台辐射探测设备。如</w:t>
      </w:r>
      <w:r>
        <w:t>地方关已在此上位机上安装了地方</w:t>
      </w:r>
      <w:r>
        <w:rPr>
          <w:rFonts w:hint="eastAsia"/>
        </w:rPr>
        <w:t>海</w:t>
      </w:r>
      <w:r>
        <w:t>关版的辐射探测</w:t>
      </w:r>
      <w:r>
        <w:rPr>
          <w:rFonts w:hint="eastAsia"/>
        </w:rPr>
        <w:t>设备</w:t>
      </w:r>
      <w:r>
        <w:t>相关应用程序，建议</w:t>
      </w:r>
      <w:r>
        <w:rPr>
          <w:rFonts w:hint="eastAsia"/>
        </w:rPr>
        <w:t>增加</w:t>
      </w:r>
      <w:r>
        <w:rPr>
          <w:rFonts w:ascii="宋体" w:hint="eastAsia"/>
          <w:szCs w:val="28"/>
        </w:rPr>
        <w:t>“入网设备”，防止多种应用之间不兼容的问题。</w:t>
      </w:r>
    </w:p>
    <w:p>
      <w:pPr>
        <w:pStyle w:val="Heading2"/>
        <w:keepLines/>
        <w:widowControl/>
        <w:numPr>
          <w:ilvl w:val="0"/>
          <w:numId w:val="9"/>
        </w:numPr>
        <w:tabs>
          <w:tab w:val="left" w:pos="0"/>
        </w:tabs>
        <w:spacing w:before="240" w:after="60" w:line="276" w:lineRule="auto"/>
        <w:ind w:left="0" w:firstLine="0"/>
        <w:jc w:val="left"/>
        <w:rPr>
          <w:rFonts w:hint="eastAsia"/>
          <w:sz w:val="28"/>
          <w:szCs w:val="28"/>
        </w:rPr>
      </w:pPr>
      <w:bookmarkStart w:id="190" w:name="_Toc40712772"/>
      <w:r>
        <w:rPr>
          <w:rFonts w:hint="eastAsia"/>
          <w:sz w:val="28"/>
          <w:szCs w:val="28"/>
        </w:rPr>
        <w:t>三、辐射探测</w:t>
      </w:r>
      <w:r>
        <w:rPr>
          <w:sz w:val="28"/>
          <w:szCs w:val="28"/>
        </w:rPr>
        <w:t>设备</w:t>
      </w:r>
      <w:r>
        <w:rPr>
          <w:rFonts w:hint="eastAsia"/>
          <w:sz w:val="28"/>
          <w:szCs w:val="28"/>
        </w:rPr>
        <w:t>入网具体</w:t>
      </w:r>
      <w:r>
        <w:rPr>
          <w:sz w:val="28"/>
          <w:szCs w:val="28"/>
        </w:rPr>
        <w:t>操作</w:t>
      </w:r>
      <w:bookmarkEnd w:id="190"/>
    </w:p>
    <w:p>
      <w:pPr>
        <w:pStyle w:val="Heading3"/>
        <w:keepNext/>
        <w:keepLines w:val="0"/>
        <w:widowControl/>
        <w:numPr>
          <w:ilvl w:val="1"/>
          <w:numId w:val="9"/>
        </w:numPr>
        <w:tabs>
          <w:tab w:val="left" w:pos="0"/>
        </w:tabs>
        <w:spacing w:before="240" w:after="60" w:line="276" w:lineRule="auto"/>
        <w:ind w:left="576" w:hanging="576"/>
        <w:jc w:val="left"/>
        <w:rPr>
          <w:rFonts w:hint="eastAsia"/>
          <w:sz w:val="21"/>
          <w:szCs w:val="21"/>
        </w:rPr>
      </w:pPr>
      <w:bookmarkStart w:id="191" w:name="_Toc40712773"/>
      <w:r>
        <w:rPr>
          <w:rFonts w:hint="eastAsia"/>
          <w:sz w:val="21"/>
          <w:szCs w:val="21"/>
        </w:rPr>
        <w:t>3.1. 网络带宽</w:t>
      </w:r>
      <w:r>
        <w:rPr>
          <w:sz w:val="21"/>
          <w:szCs w:val="21"/>
        </w:rPr>
        <w:t>环境准备</w:t>
      </w:r>
      <w:bookmarkEnd w:id="191"/>
    </w:p>
    <w:p>
      <w:pPr>
        <w:spacing w:before="156" w:after="156" w:line="276" w:lineRule="auto"/>
        <w:ind w:firstLine="420"/>
        <w:rPr>
          <w:rFonts w:ascii="宋体" w:hint="eastAsia"/>
          <w:szCs w:val="28"/>
        </w:rPr>
      </w:pPr>
      <w:r>
        <w:rPr>
          <w:rFonts w:ascii="宋体" w:hint="eastAsia"/>
          <w:szCs w:val="28"/>
        </w:rPr>
        <w:t>设备接入的网络应保证数据可以稳定传输；数据丢包率应小于5%；数据包响应时间小于20ms。</w:t>
      </w:r>
    </w:p>
    <w:p>
      <w:pPr>
        <w:pStyle w:val="5100"/>
        <w:autoSpaceDN w:val="0"/>
        <w:spacing w:line="276" w:lineRule="auto"/>
        <w:ind w:firstLine="420" w:firstLineChars="200"/>
        <w:rPr>
          <w:rFonts w:ascii="宋体" w:hAnsi="宋体"/>
          <w:szCs w:val="28"/>
        </w:rPr>
      </w:pPr>
      <w:r>
        <w:rPr>
          <w:rFonts w:ascii="宋体" w:hAnsi="宋体" w:hint="eastAsia"/>
          <w:szCs w:val="28"/>
        </w:rPr>
        <w:t>使用Ping命令向网关请求数据包，时间长度大于1.5分钟；期间数据包响应平均时间应小于20ms；数据包超时数量应小于5个。</w:t>
      </w:r>
    </w:p>
    <w:p>
      <w:pPr>
        <w:pStyle w:val="5100"/>
        <w:autoSpaceDN w:val="0"/>
        <w:spacing w:line="276" w:lineRule="auto"/>
        <w:ind w:firstLine="420" w:firstLineChars="200"/>
        <w:rPr>
          <w:rFonts w:ascii="宋体" w:hAnsi="宋体"/>
          <w:szCs w:val="28"/>
        </w:rPr>
      </w:pPr>
      <w:r>
        <w:rPr>
          <w:rFonts w:ascii="宋体" w:hAnsi="宋体" w:hint="eastAsia"/>
          <w:szCs w:val="28"/>
        </w:rPr>
        <w:t>各</w:t>
      </w:r>
      <w:r>
        <w:rPr>
          <w:rFonts w:ascii="宋体" w:hAnsi="宋体"/>
          <w:szCs w:val="28"/>
        </w:rPr>
        <w:t>系列产品</w:t>
      </w:r>
      <w:r>
        <w:rPr>
          <w:rFonts w:ascii="宋体" w:hAnsi="宋体" w:hint="eastAsia"/>
          <w:szCs w:val="28"/>
        </w:rPr>
        <w:t>带宽</w:t>
      </w:r>
      <w:r>
        <w:rPr>
          <w:rFonts w:ascii="宋体" w:hAnsi="宋体"/>
          <w:szCs w:val="28"/>
        </w:rPr>
        <w:t>要求如下表：</w:t>
      </w:r>
    </w:p>
    <w:p>
      <w:pPr>
        <w:pStyle w:val="5100"/>
        <w:autoSpaceDN w:val="0"/>
        <w:spacing w:line="276" w:lineRule="auto"/>
        <w:ind w:firstLine="420" w:firstLineChars="200"/>
        <w:rPr>
          <w:sz w:val="24"/>
        </w:rPr>
      </w:pPr>
      <w:r>
        <w:rPr>
          <w:rFonts w:ascii="宋体" w:hAnsi="宋体" w:hint="eastAsia"/>
          <w:szCs w:val="28"/>
        </w:rPr>
        <w:t>辐射探测设备在各个现场的外设系统的配置情况均有所不同；因此将不同设备及外设进行分开统计。根据实际部署的系统配置情况判断所需要的网络带宽。</w:t>
      </w:r>
    </w:p>
    <w:p>
      <w:pPr>
        <w:pStyle w:val="5100"/>
        <w:autoSpaceDN w:val="0"/>
        <w:spacing w:line="276" w:lineRule="auto"/>
        <w:ind w:firstLine="420" w:firstLineChars="200"/>
        <w:rPr>
          <w:rFonts w:ascii="宋体" w:hAnsi="宋体"/>
          <w:szCs w:val="28"/>
        </w:rPr>
      </w:pPr>
      <w:r>
        <w:rPr>
          <w:rFonts w:ascii="宋体" w:hAnsi="宋体" w:hint="eastAsia"/>
          <w:szCs w:val="28"/>
        </w:rPr>
        <w:t>辐射探测设备一代（标准型系列设备，含：RM0300/1000/2000/3000）</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19"/>
        <w:gridCol w:w="1559"/>
        <w:gridCol w:w="851"/>
        <w:gridCol w:w="992"/>
        <w:gridCol w:w="992"/>
        <w:gridCol w:w="985"/>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84"/>
          <w:jc w:val="center"/>
        </w:trPr>
        <w:tc>
          <w:tcPr>
            <w:tcW w:w="1019" w:type="dxa"/>
            <w:vMerge w:val="restart"/>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设备类型</w:t>
            </w:r>
          </w:p>
        </w:tc>
        <w:tc>
          <w:tcPr>
            <w:tcW w:w="1559" w:type="dxa"/>
            <w:vMerge w:val="restart"/>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数据项</w:t>
            </w:r>
          </w:p>
        </w:tc>
        <w:tc>
          <w:tcPr>
            <w:tcW w:w="851" w:type="dxa"/>
            <w:vMerge w:val="restart"/>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数据包</w:t>
            </w:r>
          </w:p>
        </w:tc>
        <w:tc>
          <w:tcPr>
            <w:tcW w:w="2969" w:type="dxa"/>
            <w:gridSpan w:val="3"/>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网络有限带宽传输时间要求</w:t>
            </w:r>
          </w:p>
        </w:tc>
      </w:tr>
      <w:tr>
        <w:tblPrEx>
          <w:jc w:val="center"/>
          <w:tblCellMar>
            <w:top w:w="0" w:type="dxa"/>
            <w:left w:w="108" w:type="dxa"/>
            <w:bottom w:w="0" w:type="dxa"/>
            <w:right w:w="108" w:type="dxa"/>
          </w:tblCellMar>
        </w:tblPrEx>
        <w:trPr>
          <w:trHeight w:val="584"/>
          <w:jc w:val="center"/>
        </w:trPr>
        <w:tc>
          <w:tcPr>
            <w:tcW w:w="1019" w:type="dxa"/>
            <w:vMerge/>
            <w:shd w:val="clear" w:color="auto" w:fill="auto"/>
            <w:vAlign w:val="center"/>
          </w:tcPr>
          <w:p/>
        </w:tc>
        <w:tc>
          <w:tcPr>
            <w:tcW w:w="1559" w:type="dxa"/>
            <w:vMerge/>
            <w:tcBorders>
              <w:top w:val="single" w:sz="4" w:space="0" w:color="auto"/>
              <w:left w:val="single" w:sz="4" w:space="0" w:color="auto"/>
              <w:right w:val="single" w:sz="4" w:space="0" w:color="auto"/>
            </w:tcBorders>
            <w:shd w:val="clear" w:color="auto" w:fill="auto"/>
            <w:vAlign w:val="center"/>
          </w:tcPr>
          <w:p/>
        </w:tc>
        <w:tc>
          <w:tcPr>
            <w:tcW w:w="851" w:type="dxa"/>
            <w:vMerge/>
            <w:tcBorders>
              <w:top w:val="single" w:sz="4" w:space="0" w:color="auto"/>
              <w:left w:val="single" w:sz="4" w:space="0" w:color="auto"/>
              <w:right w:val="single" w:sz="4" w:space="0" w:color="auto"/>
            </w:tcBorders>
            <w:shd w:val="clear" w:color="auto" w:fill="auto"/>
            <w:vAlign w:val="center"/>
          </w:tcP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&lt;3秒</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&lt;10秒</w:t>
            </w:r>
          </w:p>
        </w:tc>
        <w:tc>
          <w:tcPr>
            <w:tcW w:w="985" w:type="dxa"/>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&lt;30秒</w:t>
            </w:r>
          </w:p>
        </w:tc>
      </w:tr>
      <w:tr>
        <w:tblPrEx>
          <w:jc w:val="center"/>
          <w:tblCellMar>
            <w:top w:w="0" w:type="dxa"/>
            <w:left w:w="108" w:type="dxa"/>
            <w:bottom w:w="0" w:type="dxa"/>
            <w:right w:w="108" w:type="dxa"/>
          </w:tblCellMar>
        </w:tblPrEx>
        <w:trPr>
          <w:trHeight w:val="584"/>
          <w:jc w:val="center"/>
        </w:trPr>
        <w:tc>
          <w:tcPr>
            <w:tcW w:w="1019" w:type="dxa"/>
            <w:vMerge w:val="restart"/>
            <w:shd w:val="clear" w:color="auto" w:fill="auto"/>
            <w:vAlign w:val="center"/>
          </w:tcPr>
          <w:p>
            <w:pPr>
              <w:spacing w:line="276" w:lineRule="auto"/>
              <w:jc w:val="center"/>
              <w:rPr>
                <w:rFonts w:ascii="等线" w:eastAsia="等线" w:hint="eastAsia"/>
                <w:sz w:val="18"/>
                <w:szCs w:val="18"/>
              </w:rPr>
            </w:pPr>
            <w:r>
              <w:rPr>
                <w:rFonts w:ascii="等线" w:eastAsia="等线" w:hint="eastAsia"/>
                <w:sz w:val="18"/>
                <w:szCs w:val="18"/>
              </w:rPr>
              <w:t>标准型系列</w:t>
            </w:r>
          </w:p>
        </w:tc>
        <w:tc>
          <w:tcPr>
            <w:tcW w:w="1559"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设备数据</w:t>
            </w:r>
          </w:p>
        </w:tc>
        <w:tc>
          <w:tcPr>
            <w:tcW w:w="851"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20KB/S</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0.16Mb/S</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0.16Mb/S</w:t>
            </w:r>
          </w:p>
        </w:tc>
        <w:tc>
          <w:tcPr>
            <w:tcW w:w="985" w:type="dxa"/>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0.16Mb/S</w:t>
            </w:r>
          </w:p>
        </w:tc>
      </w:tr>
      <w:tr>
        <w:tblPrEx>
          <w:jc w:val="center"/>
          <w:tblCellMar>
            <w:top w:w="0" w:type="dxa"/>
            <w:left w:w="108" w:type="dxa"/>
            <w:bottom w:w="0" w:type="dxa"/>
            <w:right w:w="108" w:type="dxa"/>
          </w:tblCellMar>
        </w:tblPrEx>
        <w:trPr>
          <w:trHeight w:val="584"/>
          <w:jc w:val="center"/>
        </w:trPr>
        <w:tc>
          <w:tcPr>
            <w:tcW w:w="1019" w:type="dxa"/>
            <w:vMerge/>
            <w:shd w:val="clear" w:color="auto" w:fill="auto"/>
            <w:vAlign w:val="center"/>
          </w:tcPr>
          <w:p/>
        </w:tc>
        <w:tc>
          <w:tcPr>
            <w:tcW w:w="1559"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抓拍(jpg)</w:t>
            </w:r>
          </w:p>
        </w:tc>
        <w:tc>
          <w:tcPr>
            <w:tcW w:w="851"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350KB</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2.76Mb/S</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1Mb/S</w:t>
            </w:r>
          </w:p>
        </w:tc>
        <w:tc>
          <w:tcPr>
            <w:tcW w:w="985" w:type="dxa"/>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0.3Mb/S</w:t>
            </w:r>
          </w:p>
        </w:tc>
      </w:tr>
      <w:tr>
        <w:tblPrEx>
          <w:jc w:val="center"/>
          <w:tblCellMar>
            <w:top w:w="0" w:type="dxa"/>
            <w:left w:w="108" w:type="dxa"/>
            <w:bottom w:w="0" w:type="dxa"/>
            <w:right w:w="108" w:type="dxa"/>
          </w:tblCellMar>
        </w:tblPrEx>
        <w:trPr>
          <w:trHeight w:val="584"/>
          <w:jc w:val="center"/>
        </w:trPr>
        <w:tc>
          <w:tcPr>
            <w:tcW w:w="1019" w:type="dxa"/>
            <w:vMerge/>
            <w:shd w:val="clear" w:color="auto" w:fill="auto"/>
            <w:vAlign w:val="center"/>
          </w:tcPr>
          <w:p/>
        </w:tc>
        <w:tc>
          <w:tcPr>
            <w:tcW w:w="1559"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录像10秒（avi）</w:t>
            </w:r>
          </w:p>
        </w:tc>
        <w:tc>
          <w:tcPr>
            <w:tcW w:w="851"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5.2MB</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42Mb/S</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14Mb/S</w:t>
            </w:r>
          </w:p>
        </w:tc>
        <w:tc>
          <w:tcPr>
            <w:tcW w:w="985" w:type="dxa"/>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5Mb/S</w:t>
            </w:r>
          </w:p>
        </w:tc>
      </w:tr>
      <w:tr>
        <w:tblPrEx>
          <w:jc w:val="center"/>
          <w:tblCellMar>
            <w:top w:w="0" w:type="dxa"/>
            <w:left w:w="108" w:type="dxa"/>
            <w:bottom w:w="0" w:type="dxa"/>
            <w:right w:w="108" w:type="dxa"/>
          </w:tblCellMar>
        </w:tblPrEx>
        <w:trPr>
          <w:trHeight w:val="584"/>
          <w:jc w:val="center"/>
        </w:trPr>
        <w:tc>
          <w:tcPr>
            <w:tcW w:w="1019" w:type="dxa"/>
            <w:vMerge/>
            <w:shd w:val="clear" w:color="auto" w:fill="auto"/>
            <w:vAlign w:val="center"/>
          </w:tcPr>
          <w:p/>
        </w:tc>
        <w:tc>
          <w:tcPr>
            <w:tcW w:w="1559"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箱号(jpg)</w:t>
            </w:r>
          </w:p>
        </w:tc>
        <w:tc>
          <w:tcPr>
            <w:tcW w:w="851"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480KB</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3.75Mb/S</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1.3Mb/S</w:t>
            </w:r>
          </w:p>
        </w:tc>
        <w:tc>
          <w:tcPr>
            <w:tcW w:w="985" w:type="dxa"/>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0.4Mb/S</w:t>
            </w:r>
          </w:p>
        </w:tc>
      </w:tr>
      <w:tr>
        <w:tblPrEx>
          <w:jc w:val="center"/>
          <w:tblCellMar>
            <w:top w:w="0" w:type="dxa"/>
            <w:left w:w="108" w:type="dxa"/>
            <w:bottom w:w="0" w:type="dxa"/>
            <w:right w:w="108" w:type="dxa"/>
          </w:tblCellMar>
        </w:tblPrEx>
        <w:trPr>
          <w:trHeight w:val="584"/>
          <w:jc w:val="center"/>
        </w:trPr>
        <w:tc>
          <w:tcPr>
            <w:tcW w:w="3429" w:type="dxa"/>
            <w:gridSpan w:val="3"/>
            <w:shd w:val="clear" w:color="auto" w:fill="auto"/>
            <w:vAlign w:val="center"/>
          </w:tcPr>
          <w:p>
            <w:pPr>
              <w:spacing w:line="276" w:lineRule="auto"/>
              <w:jc w:val="center"/>
              <w:rPr>
                <w:rFonts w:ascii="等线" w:eastAsia="等线" w:hint="eastAsia"/>
                <w:sz w:val="18"/>
                <w:szCs w:val="18"/>
              </w:rPr>
            </w:pPr>
            <w:r>
              <w:rPr>
                <w:rFonts w:ascii="等线" w:eastAsia="等线" w:hint="eastAsia"/>
                <w:sz w:val="18"/>
                <w:szCs w:val="18"/>
              </w:rPr>
              <w:t>网络带宽汇总</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49Mb/S</w:t>
            </w:r>
          </w:p>
        </w:tc>
        <w:tc>
          <w:tcPr>
            <w:tcW w:w="992"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16.5Mb/S</w:t>
            </w:r>
          </w:p>
        </w:tc>
        <w:tc>
          <w:tcPr>
            <w:tcW w:w="985" w:type="dxa"/>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6Mb/S</w:t>
            </w:r>
          </w:p>
        </w:tc>
      </w:tr>
    </w:tbl>
    <w:p>
      <w:pPr>
        <w:pStyle w:val="5100"/>
        <w:autoSpaceDN w:val="0"/>
        <w:spacing w:line="276" w:lineRule="auto"/>
        <w:ind w:firstLine="420" w:firstLineChars="200"/>
        <w:rPr>
          <w:rFonts w:ascii="宋体" w:hAnsi="宋体"/>
          <w:szCs w:val="28"/>
        </w:rPr>
      </w:pPr>
      <w:r>
        <w:rPr>
          <w:rFonts w:ascii="宋体" w:hAnsi="宋体" w:hint="eastAsia"/>
          <w:szCs w:val="28"/>
        </w:rPr>
        <w:t>辐射探测设备二代（NH系列设备，含：RM0300NH/1000NH/2000NH/3000NH）</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37"/>
        <w:gridCol w:w="1637"/>
        <w:gridCol w:w="837"/>
        <w:gridCol w:w="987"/>
        <w:gridCol w:w="987"/>
        <w:gridCol w:w="987"/>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51"/>
          <w:jc w:val="center"/>
        </w:trPr>
        <w:tc>
          <w:tcPr>
            <w:tcW w:w="937" w:type="dxa"/>
            <w:vMerge w:val="restart"/>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设备类型</w:t>
            </w:r>
          </w:p>
        </w:tc>
        <w:tc>
          <w:tcPr>
            <w:tcW w:w="1637" w:type="dxa"/>
            <w:vMerge w:val="restart"/>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数据项</w:t>
            </w:r>
          </w:p>
        </w:tc>
        <w:tc>
          <w:tcPr>
            <w:tcW w:w="837" w:type="dxa"/>
            <w:vMerge w:val="restart"/>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数据包</w:t>
            </w:r>
          </w:p>
        </w:tc>
        <w:tc>
          <w:tcPr>
            <w:tcW w:w="2961" w:type="dxa"/>
            <w:gridSpan w:val="3"/>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网络有限带宽传输时间要求</w:t>
            </w:r>
          </w:p>
        </w:tc>
      </w:tr>
      <w:tr>
        <w:tblPrEx>
          <w:jc w:val="center"/>
          <w:tblCellMar>
            <w:top w:w="0" w:type="dxa"/>
            <w:left w:w="108" w:type="dxa"/>
            <w:bottom w:w="0" w:type="dxa"/>
            <w:right w:w="108" w:type="dxa"/>
          </w:tblCellMar>
        </w:tblPrEx>
        <w:trPr>
          <w:trHeight w:val="551"/>
          <w:jc w:val="center"/>
        </w:trPr>
        <w:tc>
          <w:tcPr>
            <w:tcW w:w="937" w:type="dxa"/>
            <w:vMerge/>
            <w:shd w:val="clear" w:color="auto" w:fill="auto"/>
            <w:vAlign w:val="center"/>
          </w:tcPr>
          <w:p/>
        </w:tc>
        <w:tc>
          <w:tcPr>
            <w:tcW w:w="1637" w:type="dxa"/>
            <w:vMerge/>
            <w:tcBorders>
              <w:top w:val="single" w:sz="4" w:space="0" w:color="auto"/>
              <w:left w:val="single" w:sz="4" w:space="0" w:color="auto"/>
              <w:right w:val="single" w:sz="4" w:space="0" w:color="auto"/>
            </w:tcBorders>
            <w:shd w:val="clear" w:color="auto" w:fill="auto"/>
            <w:vAlign w:val="center"/>
          </w:tcPr>
          <w:p/>
        </w:tc>
        <w:tc>
          <w:tcPr>
            <w:tcW w:w="837" w:type="dxa"/>
            <w:vMerge/>
            <w:tcBorders>
              <w:top w:val="single" w:sz="4" w:space="0" w:color="auto"/>
              <w:left w:val="single" w:sz="4" w:space="0" w:color="auto"/>
              <w:right w:val="single" w:sz="4" w:space="0" w:color="auto"/>
            </w:tcBorders>
            <w:shd w:val="clear" w:color="auto" w:fill="auto"/>
            <w:vAlign w:val="center"/>
          </w:tcP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&lt;3秒</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&lt;10秒</w:t>
            </w:r>
          </w:p>
        </w:tc>
        <w:tc>
          <w:tcPr>
            <w:tcW w:w="987" w:type="dxa"/>
            <w:shd w:val="clear" w:color="auto" w:fill="auto"/>
            <w:vAlign w:val="center"/>
          </w:tcPr>
          <w:p>
            <w:pPr>
              <w:spacing w:line="276" w:lineRule="auto"/>
              <w:jc w:val="center"/>
              <w:rPr>
                <w:rFonts w:ascii="等线" w:eastAsia="等线" w:hint="eastAsia"/>
                <w:b/>
                <w:sz w:val="18"/>
                <w:szCs w:val="18"/>
              </w:rPr>
            </w:pPr>
            <w:r>
              <w:rPr>
                <w:rFonts w:ascii="等线" w:eastAsia="等线" w:hint="eastAsia"/>
                <w:b/>
                <w:sz w:val="18"/>
                <w:szCs w:val="18"/>
              </w:rPr>
              <w:t>&lt;30秒</w:t>
            </w:r>
          </w:p>
        </w:tc>
      </w:tr>
      <w:tr>
        <w:tblPrEx>
          <w:jc w:val="center"/>
          <w:tblCellMar>
            <w:top w:w="0" w:type="dxa"/>
            <w:left w:w="108" w:type="dxa"/>
            <w:bottom w:w="0" w:type="dxa"/>
            <w:right w:w="108" w:type="dxa"/>
          </w:tblCellMar>
        </w:tblPrEx>
        <w:trPr>
          <w:trHeight w:val="551"/>
          <w:jc w:val="center"/>
        </w:trPr>
        <w:tc>
          <w:tcPr>
            <w:tcW w:w="937" w:type="dxa"/>
            <w:vMerge w:val="restart"/>
            <w:shd w:val="clear" w:color="auto" w:fill="auto"/>
            <w:vAlign w:val="center"/>
          </w:tcPr>
          <w:p>
            <w:pPr>
              <w:spacing w:line="276" w:lineRule="auto"/>
              <w:jc w:val="center"/>
              <w:rPr>
                <w:rFonts w:ascii="等线" w:eastAsia="等线" w:hint="eastAsia"/>
                <w:sz w:val="18"/>
                <w:szCs w:val="18"/>
              </w:rPr>
            </w:pPr>
            <w:r>
              <w:rPr>
                <w:rFonts w:ascii="等线" w:eastAsia="等线" w:hint="eastAsia"/>
                <w:sz w:val="18"/>
                <w:szCs w:val="18"/>
              </w:rPr>
              <w:t>NH系列</w:t>
            </w:r>
          </w:p>
        </w:tc>
        <w:tc>
          <w:tcPr>
            <w:tcW w:w="1637"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设备数据</w:t>
            </w:r>
          </w:p>
        </w:tc>
        <w:tc>
          <w:tcPr>
            <w:tcW w:w="83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30KB/S</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0.24Mb/S</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0.24Mb/S</w:t>
            </w:r>
          </w:p>
        </w:tc>
        <w:tc>
          <w:tcPr>
            <w:tcW w:w="987" w:type="dxa"/>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0.24Mb/S</w:t>
            </w:r>
          </w:p>
        </w:tc>
      </w:tr>
      <w:tr>
        <w:tblPrEx>
          <w:jc w:val="center"/>
          <w:tblCellMar>
            <w:top w:w="0" w:type="dxa"/>
            <w:left w:w="108" w:type="dxa"/>
            <w:bottom w:w="0" w:type="dxa"/>
            <w:right w:w="108" w:type="dxa"/>
          </w:tblCellMar>
        </w:tblPrEx>
        <w:trPr>
          <w:trHeight w:val="563"/>
          <w:jc w:val="center"/>
        </w:trPr>
        <w:tc>
          <w:tcPr>
            <w:tcW w:w="937" w:type="dxa"/>
            <w:vMerge/>
            <w:shd w:val="clear" w:color="auto" w:fill="auto"/>
            <w:vAlign w:val="center"/>
          </w:tcPr>
          <w:p/>
        </w:tc>
        <w:tc>
          <w:tcPr>
            <w:tcW w:w="1637"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抓拍(jpg)</w:t>
            </w:r>
          </w:p>
        </w:tc>
        <w:tc>
          <w:tcPr>
            <w:tcW w:w="83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350KB</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2.76Mb/S</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0.9Mb/S</w:t>
            </w:r>
          </w:p>
        </w:tc>
        <w:tc>
          <w:tcPr>
            <w:tcW w:w="987" w:type="dxa"/>
            <w:shd w:val="clear" w:color="auto" w:fill="auto"/>
            <w:vAlign w:val="center"/>
          </w:tcPr>
          <w:p>
            <w:pPr>
              <w:spacing w:line="276" w:lineRule="auto"/>
              <w:jc w:val="right"/>
              <w:rPr>
                <w:sz w:val="18"/>
                <w:szCs w:val="18"/>
              </w:rPr>
            </w:pPr>
            <w:r>
              <w:rPr>
                <w:rFonts w:ascii="等线" w:eastAsia="等线" w:hint="eastAsia"/>
                <w:sz w:val="18"/>
                <w:szCs w:val="18"/>
              </w:rPr>
              <w:t>0.3Mb/S</w:t>
            </w:r>
          </w:p>
        </w:tc>
      </w:tr>
      <w:tr>
        <w:tblPrEx>
          <w:jc w:val="center"/>
          <w:tblCellMar>
            <w:top w:w="0" w:type="dxa"/>
            <w:left w:w="108" w:type="dxa"/>
            <w:bottom w:w="0" w:type="dxa"/>
            <w:right w:w="108" w:type="dxa"/>
          </w:tblCellMar>
        </w:tblPrEx>
        <w:trPr>
          <w:trHeight w:val="551"/>
          <w:jc w:val="center"/>
        </w:trPr>
        <w:tc>
          <w:tcPr>
            <w:tcW w:w="937" w:type="dxa"/>
            <w:vMerge/>
            <w:shd w:val="clear" w:color="auto" w:fill="auto"/>
            <w:vAlign w:val="center"/>
          </w:tcPr>
          <w:p/>
        </w:tc>
        <w:tc>
          <w:tcPr>
            <w:tcW w:w="1637"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录像10秒（avi）</w:t>
            </w:r>
          </w:p>
        </w:tc>
        <w:tc>
          <w:tcPr>
            <w:tcW w:w="83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6.28MB</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50Mb/S</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sz w:val="18"/>
                <w:szCs w:val="18"/>
              </w:rPr>
            </w:pPr>
            <w:r>
              <w:rPr>
                <w:rFonts w:ascii="等线" w:eastAsia="等线" w:hint="eastAsia"/>
                <w:sz w:val="18"/>
                <w:szCs w:val="18"/>
              </w:rPr>
              <w:t>17Mb/S</w:t>
            </w:r>
          </w:p>
        </w:tc>
        <w:tc>
          <w:tcPr>
            <w:tcW w:w="987" w:type="dxa"/>
            <w:shd w:val="clear" w:color="auto" w:fill="auto"/>
            <w:vAlign w:val="center"/>
          </w:tcPr>
          <w:p>
            <w:pPr>
              <w:spacing w:line="276" w:lineRule="auto"/>
              <w:jc w:val="right"/>
              <w:rPr>
                <w:sz w:val="18"/>
                <w:szCs w:val="18"/>
              </w:rPr>
            </w:pPr>
            <w:r>
              <w:rPr>
                <w:rFonts w:ascii="等线" w:eastAsia="等线" w:hint="eastAsia"/>
                <w:sz w:val="18"/>
                <w:szCs w:val="18"/>
              </w:rPr>
              <w:t>6Mb/S</w:t>
            </w:r>
          </w:p>
        </w:tc>
      </w:tr>
      <w:tr>
        <w:tblPrEx>
          <w:jc w:val="center"/>
          <w:tblCellMar>
            <w:top w:w="0" w:type="dxa"/>
            <w:left w:w="108" w:type="dxa"/>
            <w:bottom w:w="0" w:type="dxa"/>
            <w:right w:w="108" w:type="dxa"/>
          </w:tblCellMar>
        </w:tblPrEx>
        <w:trPr>
          <w:trHeight w:val="563"/>
          <w:jc w:val="center"/>
        </w:trPr>
        <w:tc>
          <w:tcPr>
            <w:tcW w:w="937" w:type="dxa"/>
            <w:vMerge/>
            <w:shd w:val="clear" w:color="auto" w:fill="auto"/>
            <w:vAlign w:val="center"/>
          </w:tcPr>
          <w:p/>
        </w:tc>
        <w:tc>
          <w:tcPr>
            <w:tcW w:w="1637" w:type="dxa"/>
            <w:tcBorders>
              <w:top w:val="single" w:sz="4" w:space="0" w:color="auto"/>
              <w:left w:val="single" w:sz="4" w:space="0" w:color="auto"/>
              <w:right w:val="single" w:sz="4" w:space="0" w:color="auto"/>
            </w:tcBorders>
            <w:shd w:val="clear" w:color="auto" w:fill="auto"/>
            <w:vAlign w:val="center"/>
          </w:tcPr>
          <w:p>
            <w:pPr>
              <w:spacing w:line="276" w:lineRule="auto"/>
              <w:rPr>
                <w:rFonts w:ascii="等线" w:eastAsia="等线" w:hint="eastAsia"/>
                <w:sz w:val="18"/>
                <w:szCs w:val="18"/>
              </w:rPr>
            </w:pPr>
            <w:r>
              <w:rPr>
                <w:rFonts w:ascii="等线" w:eastAsia="等线" w:hint="eastAsia"/>
                <w:sz w:val="18"/>
                <w:szCs w:val="18"/>
              </w:rPr>
              <w:t>箱号(jpg)</w:t>
            </w:r>
          </w:p>
        </w:tc>
        <w:tc>
          <w:tcPr>
            <w:tcW w:w="83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3.36MB</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27Mb/S</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sz w:val="18"/>
                <w:szCs w:val="18"/>
              </w:rPr>
            </w:pPr>
            <w:r>
              <w:rPr>
                <w:rFonts w:ascii="等线" w:eastAsia="等线" w:hint="eastAsia"/>
                <w:sz w:val="18"/>
                <w:szCs w:val="18"/>
              </w:rPr>
              <w:t>9Mb/S</w:t>
            </w:r>
          </w:p>
        </w:tc>
        <w:tc>
          <w:tcPr>
            <w:tcW w:w="987" w:type="dxa"/>
            <w:shd w:val="clear" w:color="auto" w:fill="auto"/>
            <w:vAlign w:val="center"/>
          </w:tcPr>
          <w:p>
            <w:pPr>
              <w:spacing w:line="276" w:lineRule="auto"/>
              <w:jc w:val="right"/>
              <w:rPr>
                <w:sz w:val="18"/>
                <w:szCs w:val="18"/>
              </w:rPr>
            </w:pPr>
            <w:r>
              <w:rPr>
                <w:rFonts w:ascii="等线" w:eastAsia="等线" w:hint="eastAsia"/>
                <w:sz w:val="18"/>
                <w:szCs w:val="18"/>
              </w:rPr>
              <w:t>3Mb/S</w:t>
            </w:r>
          </w:p>
        </w:tc>
      </w:tr>
      <w:tr>
        <w:tblPrEx>
          <w:jc w:val="center"/>
          <w:tblCellMar>
            <w:top w:w="0" w:type="dxa"/>
            <w:left w:w="108" w:type="dxa"/>
            <w:bottom w:w="0" w:type="dxa"/>
            <w:right w:w="108" w:type="dxa"/>
          </w:tblCellMar>
        </w:tblPrEx>
        <w:trPr>
          <w:trHeight w:val="541"/>
          <w:jc w:val="center"/>
        </w:trPr>
        <w:tc>
          <w:tcPr>
            <w:tcW w:w="3411" w:type="dxa"/>
            <w:gridSpan w:val="3"/>
            <w:shd w:val="clear" w:color="auto" w:fill="auto"/>
            <w:vAlign w:val="center"/>
          </w:tcPr>
          <w:p>
            <w:pPr>
              <w:spacing w:line="276" w:lineRule="auto"/>
              <w:jc w:val="center"/>
              <w:rPr>
                <w:rFonts w:ascii="等线" w:eastAsia="等线" w:hint="eastAsia"/>
                <w:sz w:val="18"/>
                <w:szCs w:val="18"/>
              </w:rPr>
            </w:pPr>
            <w:r>
              <w:rPr>
                <w:rFonts w:ascii="等线" w:eastAsia="等线" w:hint="eastAsia"/>
                <w:sz w:val="18"/>
                <w:szCs w:val="18"/>
              </w:rPr>
              <w:t>网络带宽汇总</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80Mb/s</w:t>
            </w:r>
          </w:p>
        </w:tc>
        <w:tc>
          <w:tcPr>
            <w:tcW w:w="987" w:type="dxa"/>
            <w:tcBorders>
              <w:top w:val="single" w:sz="4" w:space="0" w:color="auto"/>
              <w:left w:val="single" w:sz="4" w:space="0" w:color="auto"/>
              <w:right w:val="single" w:sz="4" w:space="0" w:color="auto"/>
            </w:tcBorders>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28Mb/S</w:t>
            </w:r>
          </w:p>
        </w:tc>
        <w:tc>
          <w:tcPr>
            <w:tcW w:w="987" w:type="dxa"/>
            <w:shd w:val="clear" w:color="auto" w:fill="auto"/>
            <w:vAlign w:val="center"/>
          </w:tcPr>
          <w:p>
            <w:pPr>
              <w:spacing w:line="276" w:lineRule="auto"/>
              <w:jc w:val="right"/>
              <w:rPr>
                <w:rFonts w:ascii="等线" w:eastAsia="等线" w:hint="eastAsia"/>
                <w:sz w:val="18"/>
                <w:szCs w:val="18"/>
              </w:rPr>
            </w:pPr>
            <w:r>
              <w:rPr>
                <w:rFonts w:ascii="等线" w:eastAsia="等线" w:hint="eastAsia"/>
                <w:sz w:val="18"/>
                <w:szCs w:val="18"/>
              </w:rPr>
              <w:t>9.5Mb/S</w:t>
            </w:r>
          </w:p>
        </w:tc>
      </w:tr>
    </w:tbl>
    <w:p>
      <w:pPr>
        <w:pStyle w:val="2105"/>
        <w:spacing w:line="276" w:lineRule="auto"/>
      </w:pPr>
    </w:p>
    <w:p>
      <w:pPr>
        <w:pStyle w:val="Heading3"/>
        <w:keepNext/>
        <w:keepLines w:val="0"/>
        <w:widowControl/>
        <w:numPr>
          <w:ilvl w:val="1"/>
          <w:numId w:val="9"/>
        </w:numPr>
        <w:tabs>
          <w:tab w:val="left" w:pos="0"/>
        </w:tabs>
        <w:spacing w:before="240" w:after="60" w:line="276" w:lineRule="auto"/>
        <w:ind w:left="576" w:hanging="576"/>
        <w:jc w:val="left"/>
        <w:rPr>
          <w:rFonts w:hint="eastAsia"/>
          <w:sz w:val="21"/>
          <w:szCs w:val="21"/>
        </w:rPr>
      </w:pPr>
      <w:bookmarkStart w:id="192" w:name="_Toc40712774"/>
      <w:r>
        <w:rPr>
          <w:rFonts w:hint="eastAsia"/>
          <w:sz w:val="21"/>
          <w:szCs w:val="21"/>
        </w:rPr>
        <w:t>3.2 信息</w:t>
      </w:r>
      <w:r>
        <w:rPr>
          <w:sz w:val="21"/>
          <w:szCs w:val="21"/>
        </w:rPr>
        <w:t>化环境准备</w:t>
      </w:r>
      <w:bookmarkEnd w:id="192"/>
    </w:p>
    <w:p>
      <w:pPr>
        <w:pStyle w:val="5100"/>
        <w:autoSpaceDN w:val="0"/>
        <w:spacing w:line="276" w:lineRule="auto"/>
        <w:ind w:firstLine="420" w:firstLineChars="200"/>
        <w:rPr>
          <w:rFonts w:ascii="宋体" w:hAnsi="宋体" w:hint="eastAsia"/>
          <w:szCs w:val="28"/>
        </w:rPr>
      </w:pPr>
      <w:r>
        <w:rPr>
          <w:rFonts w:ascii="宋体" w:hAnsi="宋体" w:hint="eastAsia"/>
          <w:szCs w:val="28"/>
        </w:rPr>
        <w:t>辐射探测设备接入</w:t>
      </w:r>
      <w:r>
        <w:rPr>
          <w:rFonts w:ascii="宋体" w:hAnsi="宋体"/>
          <w:szCs w:val="28"/>
        </w:rPr>
        <w:t>管理网络需要</w:t>
      </w:r>
      <w:r>
        <w:rPr>
          <w:rFonts w:ascii="宋体" w:hAnsi="宋体" w:hint="eastAsia"/>
          <w:szCs w:val="28"/>
        </w:rPr>
        <w:t>具备</w:t>
      </w:r>
      <w:r>
        <w:rPr>
          <w:rFonts w:ascii="宋体" w:hAnsi="宋体"/>
          <w:szCs w:val="28"/>
        </w:rPr>
        <w:t>以下信息化环境</w:t>
      </w:r>
      <w:r>
        <w:rPr>
          <w:rFonts w:ascii="宋体" w:hAnsi="宋体" w:hint="eastAsia"/>
          <w:szCs w:val="28"/>
        </w:rPr>
        <w:t>：</w:t>
      </w:r>
      <w:r>
        <w:rPr>
          <w:rFonts w:ascii="宋体" w:hAnsi="宋体"/>
          <w:szCs w:val="28"/>
        </w:rPr>
        <w:t xml:space="preserve"> </w:t>
      </w:r>
    </w:p>
    <w:p>
      <w:pPr>
        <w:pStyle w:val="5100"/>
        <w:autoSpaceDN w:val="0"/>
        <w:spacing w:line="276" w:lineRule="auto"/>
        <w:ind w:firstLine="420" w:firstLineChars="200"/>
        <w:rPr>
          <w:rFonts w:ascii="宋体" w:hAnsi="宋体" w:hint="eastAsia"/>
          <w:szCs w:val="28"/>
        </w:rPr>
      </w:pPr>
      <w:r>
        <w:rPr>
          <w:rFonts w:ascii="宋体" w:hAnsi="宋体" w:hint="eastAsia"/>
          <w:szCs w:val="28"/>
        </w:rPr>
        <w:t>（1）辐射探测设备附近具备接入网路的信息点，且完成</w:t>
      </w:r>
      <w:r>
        <w:rPr>
          <w:rFonts w:ascii="宋体" w:hAnsi="宋体"/>
          <w:szCs w:val="28"/>
        </w:rPr>
        <w:t>了综合布线工作，</w:t>
      </w:r>
      <w:r>
        <w:rPr>
          <w:rFonts w:ascii="宋体" w:hAnsi="宋体" w:hint="eastAsia"/>
          <w:szCs w:val="28"/>
        </w:rPr>
        <w:t>该信息点能够连接辐射探测设备</w:t>
      </w:r>
      <w:r>
        <w:rPr>
          <w:rFonts w:ascii="宋体" w:hAnsi="宋体"/>
          <w:szCs w:val="28"/>
        </w:rPr>
        <w:t>的</w:t>
      </w:r>
      <w:r>
        <w:rPr>
          <w:rFonts w:ascii="宋体" w:hAnsi="宋体" w:hint="eastAsia"/>
          <w:szCs w:val="28"/>
        </w:rPr>
        <w:t>“入网设备”或接入海关管理网；</w:t>
      </w:r>
    </w:p>
    <w:p>
      <w:pPr>
        <w:pStyle w:val="5100"/>
        <w:autoSpaceDN w:val="0"/>
        <w:spacing w:line="276" w:lineRule="auto"/>
        <w:ind w:firstLine="420" w:firstLineChars="200"/>
        <w:rPr>
          <w:rFonts w:ascii="宋体" w:hAnsi="宋体" w:hint="eastAsia"/>
          <w:szCs w:val="28"/>
        </w:rPr>
      </w:pPr>
      <w:r>
        <w:rPr>
          <w:rFonts w:ascii="宋体" w:hAnsi="宋体" w:hint="eastAsia"/>
          <w:szCs w:val="28"/>
        </w:rPr>
        <w:t>（2）现场具体存放辐射探测</w:t>
      </w:r>
      <w:r>
        <w:rPr>
          <w:rFonts w:ascii="宋体" w:hAnsi="宋体"/>
          <w:szCs w:val="28"/>
        </w:rPr>
        <w:t>设备</w:t>
      </w:r>
      <w:r>
        <w:rPr>
          <w:rFonts w:ascii="宋体" w:hAnsi="宋体" w:hint="eastAsia"/>
          <w:szCs w:val="28"/>
        </w:rPr>
        <w:t>“入网设备”的室内</w:t>
      </w:r>
      <w:r>
        <w:rPr>
          <w:rFonts w:ascii="宋体" w:hAnsi="宋体"/>
          <w:szCs w:val="28"/>
        </w:rPr>
        <w:t>空间</w:t>
      </w:r>
      <w:r>
        <w:rPr>
          <w:rFonts w:ascii="宋体" w:hAnsi="宋体" w:hint="eastAsia"/>
          <w:szCs w:val="28"/>
        </w:rPr>
        <w:t>或</w:t>
      </w:r>
      <w:r>
        <w:rPr>
          <w:rFonts w:ascii="宋体" w:hAnsi="宋体"/>
          <w:szCs w:val="28"/>
        </w:rPr>
        <w:t>机柜</w:t>
      </w:r>
      <w:r>
        <w:rPr>
          <w:rFonts w:ascii="宋体" w:hAnsi="宋体" w:hint="eastAsia"/>
          <w:szCs w:val="28"/>
        </w:rPr>
        <w:t>，可</w:t>
      </w:r>
      <w:r>
        <w:rPr>
          <w:rFonts w:ascii="宋体" w:hAnsi="宋体"/>
          <w:szCs w:val="28"/>
        </w:rPr>
        <w:t>根据现场网络部署情况进行调整</w:t>
      </w:r>
      <w:r>
        <w:rPr>
          <w:rFonts w:ascii="宋体" w:hAnsi="宋体" w:hint="eastAsia"/>
          <w:szCs w:val="28"/>
        </w:rPr>
        <w:t>；</w:t>
      </w:r>
    </w:p>
    <w:p>
      <w:pPr>
        <w:pStyle w:val="5100"/>
        <w:autoSpaceDN w:val="0"/>
        <w:spacing w:line="276" w:lineRule="auto"/>
        <w:ind w:firstLine="420" w:firstLineChars="200"/>
        <w:rPr>
          <w:rFonts w:ascii="宋体" w:hAnsi="宋体" w:hint="eastAsia"/>
          <w:szCs w:val="28"/>
        </w:rPr>
      </w:pPr>
      <w:r>
        <w:rPr>
          <w:rFonts w:ascii="宋体" w:hAnsi="宋体" w:hint="eastAsia"/>
          <w:szCs w:val="28"/>
        </w:rPr>
        <w:t>（3）设备所属关区信息化部门要</w:t>
      </w:r>
      <w:r>
        <w:rPr>
          <w:rFonts w:ascii="宋体" w:hAnsi="宋体"/>
          <w:szCs w:val="28"/>
        </w:rPr>
        <w:t>根据</w:t>
      </w:r>
      <w:r>
        <w:rPr>
          <w:rFonts w:ascii="宋体" w:hAnsi="宋体" w:hint="eastAsia"/>
          <w:szCs w:val="28"/>
        </w:rPr>
        <w:t>当地辐射探测</w:t>
      </w:r>
      <w:r>
        <w:rPr>
          <w:rFonts w:ascii="宋体" w:hAnsi="宋体"/>
          <w:szCs w:val="28"/>
        </w:rPr>
        <w:t>设备</w:t>
      </w:r>
      <w:r>
        <w:rPr>
          <w:rFonts w:ascii="宋体" w:hAnsi="宋体" w:hint="eastAsia"/>
          <w:szCs w:val="28"/>
        </w:rPr>
        <w:t>接入</w:t>
      </w:r>
      <w:r>
        <w:rPr>
          <w:rFonts w:ascii="宋体" w:hAnsi="宋体"/>
          <w:szCs w:val="28"/>
        </w:rPr>
        <w:t>管理网的方案进行对应的网络规划，</w:t>
      </w:r>
      <w:r>
        <w:rPr>
          <w:rFonts w:ascii="宋体" w:hAnsi="宋体" w:hint="eastAsia"/>
          <w:szCs w:val="28"/>
        </w:rPr>
        <w:t>为“入网设备”分配IP地址，并进行辐射探测</w:t>
      </w:r>
      <w:r>
        <w:rPr>
          <w:rFonts w:ascii="宋体" w:hAnsi="宋体"/>
          <w:szCs w:val="28"/>
        </w:rPr>
        <w:t>设备</w:t>
      </w:r>
      <w:r>
        <w:rPr>
          <w:rFonts w:ascii="宋体" w:hAnsi="宋体" w:hint="eastAsia"/>
          <w:szCs w:val="28"/>
        </w:rPr>
        <w:t>入网测试。</w:t>
      </w:r>
    </w:p>
    <w:p>
      <w:pPr>
        <w:pStyle w:val="Heading3"/>
        <w:keepNext/>
        <w:keepLines w:val="0"/>
        <w:widowControl/>
        <w:numPr>
          <w:ilvl w:val="1"/>
          <w:numId w:val="9"/>
        </w:numPr>
        <w:tabs>
          <w:tab w:val="left" w:pos="0"/>
        </w:tabs>
        <w:spacing w:before="240" w:after="60" w:line="276" w:lineRule="auto"/>
        <w:ind w:left="576" w:hanging="576"/>
        <w:jc w:val="left"/>
        <w:rPr>
          <w:rFonts w:hint="eastAsia"/>
          <w:sz w:val="21"/>
          <w:szCs w:val="21"/>
        </w:rPr>
      </w:pPr>
      <w:bookmarkStart w:id="193" w:name="_Toc40712775"/>
      <w:r>
        <w:rPr>
          <w:rFonts w:hint="eastAsia"/>
          <w:sz w:val="21"/>
          <w:szCs w:val="21"/>
        </w:rPr>
        <w:t>3.3</w:t>
      </w:r>
      <w:r>
        <w:rPr>
          <w:sz w:val="21"/>
          <w:szCs w:val="21"/>
        </w:rPr>
        <w:t xml:space="preserve"> </w:t>
      </w:r>
      <w:r>
        <w:rPr>
          <w:rFonts w:hint="eastAsia"/>
          <w:sz w:val="21"/>
          <w:szCs w:val="21"/>
        </w:rPr>
        <w:t>入网</w:t>
      </w:r>
      <w:bookmarkStart w:id="194" w:name="_Toc502063293"/>
      <w:bookmarkStart w:id="195" w:name="_Toc502064029"/>
      <w:bookmarkStart w:id="196" w:name="_Toc502064117"/>
      <w:bookmarkStart w:id="197" w:name="_Toc510109055"/>
      <w:bookmarkStart w:id="198" w:name="_Toc510109394"/>
      <w:bookmarkStart w:id="199" w:name="_Toc511229619"/>
      <w:bookmarkStart w:id="200" w:name="_Toc515977744"/>
      <w:bookmarkStart w:id="201" w:name="_Toc501642596"/>
      <w:bookmarkStart w:id="202" w:name="_Toc501977014"/>
      <w:bookmarkEnd w:id="194"/>
      <w:bookmarkEnd w:id="195"/>
      <w:bookmarkEnd w:id="196"/>
      <w:bookmarkEnd w:id="197"/>
      <w:bookmarkEnd w:id="198"/>
      <w:bookmarkEnd w:id="199"/>
      <w:bookmarkEnd w:id="200"/>
      <w:bookmarkEnd w:id="201"/>
      <w:bookmarkEnd w:id="202"/>
      <w:r>
        <w:rPr>
          <w:rFonts w:hint="eastAsia"/>
          <w:sz w:val="21"/>
          <w:szCs w:val="21"/>
        </w:rPr>
        <w:t>具体</w:t>
      </w:r>
      <w:r>
        <w:rPr>
          <w:sz w:val="21"/>
          <w:szCs w:val="21"/>
        </w:rPr>
        <w:t>操作</w:t>
      </w:r>
      <w:bookmarkEnd w:id="193"/>
    </w:p>
    <w:p>
      <w:pPr>
        <w:pStyle w:val="5100"/>
        <w:autoSpaceDN w:val="0"/>
        <w:spacing w:line="276" w:lineRule="auto"/>
        <w:rPr>
          <w:rFonts w:ascii="宋体" w:hAnsi="宋体" w:hint="eastAsia"/>
          <w:szCs w:val="28"/>
        </w:rPr>
      </w:pPr>
      <w:r>
        <w:rPr>
          <w:rFonts w:ascii="宋体" w:hAnsi="宋体" w:hint="eastAsia"/>
          <w:szCs w:val="28"/>
        </w:rPr>
        <w:t>1、“入网设备”硬件升级</w:t>
      </w:r>
      <w:r>
        <w:rPr>
          <w:rFonts w:ascii="宋体" w:hAnsi="宋体"/>
          <w:szCs w:val="28"/>
        </w:rPr>
        <w:t>改造</w:t>
      </w:r>
    </w:p>
    <w:p>
      <w:pPr>
        <w:pStyle w:val="5100"/>
        <w:autoSpaceDN w:val="0"/>
        <w:spacing w:line="276" w:lineRule="auto"/>
        <w:ind w:firstLine="420" w:firstLineChars="200"/>
        <w:rPr>
          <w:rFonts w:ascii="宋体" w:hAnsi="宋体"/>
          <w:szCs w:val="28"/>
        </w:rPr>
      </w:pPr>
      <w:r>
        <w:rPr>
          <w:rFonts w:ascii="宋体" w:hAnsi="宋体" w:hint="eastAsia"/>
          <w:szCs w:val="28"/>
        </w:rPr>
        <w:t>如“入网设备”操作系统是win</w:t>
      </w:r>
      <w:r>
        <w:rPr>
          <w:rFonts w:ascii="宋体" w:hAnsi="宋体"/>
          <w:szCs w:val="28"/>
        </w:rPr>
        <w:t>7</w:t>
      </w:r>
      <w:r>
        <w:rPr>
          <w:rFonts w:ascii="宋体" w:hAnsi="宋体" w:hint="eastAsia"/>
          <w:szCs w:val="28"/>
        </w:rPr>
        <w:t>以上系统，则直接安装</w:t>
      </w:r>
      <w:r>
        <w:rPr>
          <w:rFonts w:ascii="宋体" w:hAnsi="宋体"/>
          <w:szCs w:val="28"/>
        </w:rPr>
        <w:t>网卡</w:t>
      </w:r>
      <w:r>
        <w:rPr>
          <w:rFonts w:ascii="宋体" w:hAnsi="宋体" w:hint="eastAsia"/>
          <w:szCs w:val="28"/>
        </w:rPr>
        <w:t>，</w:t>
      </w:r>
      <w:r>
        <w:rPr>
          <w:rFonts w:ascii="宋体" w:hAnsi="宋体"/>
          <w:szCs w:val="28"/>
        </w:rPr>
        <w:t>并</w:t>
      </w:r>
      <w:r>
        <w:rPr>
          <w:rFonts w:ascii="宋体" w:hAnsi="宋体" w:hint="eastAsia"/>
          <w:szCs w:val="28"/>
        </w:rPr>
        <w:t>安装</w:t>
      </w:r>
      <w:r>
        <w:rPr>
          <w:rFonts w:ascii="宋体" w:hAnsi="宋体"/>
          <w:szCs w:val="28"/>
        </w:rPr>
        <w:t>网卡驱动</w:t>
      </w:r>
      <w:r>
        <w:rPr>
          <w:rFonts w:ascii="宋体" w:hAnsi="宋体" w:hint="eastAsia"/>
          <w:szCs w:val="28"/>
        </w:rPr>
        <w:t>；</w:t>
      </w:r>
    </w:p>
    <w:p>
      <w:pPr>
        <w:pStyle w:val="5100"/>
        <w:autoSpaceDN w:val="0"/>
        <w:spacing w:line="276" w:lineRule="auto"/>
        <w:ind w:firstLine="420" w:firstLineChars="200"/>
        <w:rPr>
          <w:rFonts w:ascii="宋体" w:hAnsi="宋体"/>
          <w:szCs w:val="28"/>
        </w:rPr>
      </w:pPr>
      <w:r>
        <w:rPr>
          <w:rFonts w:ascii="宋体" w:hAnsi="宋体"/>
          <w:szCs w:val="28"/>
        </w:rPr>
        <w:t>如</w:t>
      </w:r>
      <w:r>
        <w:rPr>
          <w:rFonts w:ascii="宋体" w:hAnsi="宋体" w:hint="eastAsia"/>
          <w:szCs w:val="28"/>
        </w:rPr>
        <w:t>入网设备操作系统是</w:t>
      </w:r>
      <w:r>
        <w:rPr>
          <w:rFonts w:ascii="宋体" w:hAnsi="宋体"/>
          <w:szCs w:val="28"/>
        </w:rPr>
        <w:t>WIN XP</w:t>
      </w:r>
      <w:r>
        <w:rPr>
          <w:rFonts w:ascii="宋体" w:hAnsi="宋体" w:hint="eastAsia"/>
          <w:szCs w:val="28"/>
        </w:rPr>
        <w:t>系统，则先升级为WIN7</w:t>
      </w:r>
      <w:r>
        <w:rPr>
          <w:rFonts w:ascii="宋体" w:hAnsi="宋体"/>
          <w:szCs w:val="28"/>
        </w:rPr>
        <w:t xml:space="preserve"> </w:t>
      </w:r>
      <w:r>
        <w:rPr>
          <w:rFonts w:ascii="宋体" w:hAnsi="宋体" w:hint="eastAsia"/>
          <w:szCs w:val="28"/>
        </w:rPr>
        <w:t>以上系统，再安装网卡，并安装网卡驱动。</w:t>
      </w:r>
    </w:p>
    <w:p>
      <w:pPr>
        <w:pStyle w:val="5100"/>
        <w:autoSpaceDN w:val="0"/>
        <w:spacing w:line="276" w:lineRule="auto"/>
        <w:rPr>
          <w:rFonts w:ascii="宋体" w:hAnsi="宋体" w:hint="eastAsia"/>
          <w:szCs w:val="28"/>
        </w:rPr>
      </w:pPr>
      <w:r>
        <w:rPr>
          <w:rFonts w:ascii="宋体" w:hAnsi="宋体" w:hint="eastAsia"/>
          <w:szCs w:val="28"/>
        </w:rPr>
        <w:t>2、</w:t>
      </w:r>
      <w:r>
        <w:rPr>
          <w:rFonts w:ascii="宋体" w:hAnsi="宋体"/>
          <w:szCs w:val="28"/>
        </w:rPr>
        <w:t>杀毒软件</w:t>
      </w:r>
      <w:r>
        <w:rPr>
          <w:rFonts w:ascii="宋体" w:hAnsi="宋体" w:hint="eastAsia"/>
          <w:szCs w:val="28"/>
        </w:rPr>
        <w:t>安装</w:t>
      </w:r>
    </w:p>
    <w:p>
      <w:pPr>
        <w:pStyle w:val="5100"/>
        <w:autoSpaceDN w:val="0"/>
        <w:spacing w:line="276" w:lineRule="auto"/>
        <w:ind w:firstLine="420" w:firstLineChars="200"/>
        <w:rPr>
          <w:rFonts w:ascii="宋体" w:hAnsi="宋体" w:hint="eastAsia"/>
          <w:szCs w:val="28"/>
        </w:rPr>
      </w:pPr>
      <w:r>
        <w:rPr>
          <w:rFonts w:ascii="宋体" w:hAnsi="宋体" w:hint="eastAsia"/>
          <w:szCs w:val="28"/>
        </w:rPr>
        <w:t>根据辐射探测</w:t>
      </w:r>
      <w:r>
        <w:rPr>
          <w:rFonts w:ascii="宋体" w:hAnsi="宋体"/>
          <w:szCs w:val="28"/>
        </w:rPr>
        <w:t>设备接入管理的方式不同，</w:t>
      </w:r>
      <w:r>
        <w:rPr>
          <w:rFonts w:ascii="宋体" w:hAnsi="宋体" w:hint="eastAsia"/>
          <w:szCs w:val="28"/>
        </w:rPr>
        <w:t>选择</w:t>
      </w:r>
      <w:r>
        <w:rPr>
          <w:rFonts w:ascii="宋体" w:hAnsi="宋体"/>
          <w:szCs w:val="28"/>
        </w:rPr>
        <w:t>是否</w:t>
      </w:r>
      <w:r>
        <w:rPr>
          <w:rFonts w:ascii="宋体" w:hAnsi="宋体" w:hint="eastAsia"/>
          <w:szCs w:val="28"/>
        </w:rPr>
        <w:t>在“入网设备”中</w:t>
      </w:r>
      <w:r>
        <w:rPr>
          <w:rFonts w:ascii="宋体" w:hAnsi="宋体"/>
          <w:szCs w:val="28"/>
        </w:rPr>
        <w:t>安装</w:t>
      </w:r>
      <w:r>
        <w:rPr>
          <w:rFonts w:ascii="宋体" w:hAnsi="宋体" w:hint="eastAsia"/>
          <w:szCs w:val="28"/>
        </w:rPr>
        <w:t>海关</w:t>
      </w:r>
      <w:r>
        <w:rPr>
          <w:rFonts w:ascii="宋体" w:hAnsi="宋体"/>
          <w:szCs w:val="28"/>
        </w:rPr>
        <w:t>杀毒软件。</w:t>
      </w:r>
      <w:r>
        <w:rPr>
          <w:rFonts w:ascii="宋体" w:hAnsi="宋体" w:hint="eastAsia"/>
          <w:szCs w:val="28"/>
        </w:rPr>
        <w:t>选择</w:t>
      </w:r>
      <w:r>
        <w:rPr>
          <w:rFonts w:ascii="宋体" w:hAnsi="宋体"/>
          <w:b/>
          <w:szCs w:val="28"/>
        </w:rPr>
        <w:t>接入方案一</w:t>
      </w:r>
      <w:r>
        <w:rPr>
          <w:rFonts w:ascii="宋体" w:hAnsi="宋体" w:hint="eastAsia"/>
          <w:szCs w:val="28"/>
        </w:rPr>
        <w:t>，“入网设备”需要</w:t>
      </w:r>
      <w:r>
        <w:rPr>
          <w:rFonts w:ascii="宋体" w:hAnsi="宋体"/>
          <w:szCs w:val="28"/>
        </w:rPr>
        <w:t>安装海关</w:t>
      </w:r>
      <w:r>
        <w:rPr>
          <w:rFonts w:ascii="宋体" w:hAnsi="宋体" w:hint="eastAsia"/>
          <w:szCs w:val="28"/>
        </w:rPr>
        <w:t>杀毒软件，需要将设备配套软件及集成所需的软件或服务器，加入杀毒软件白名单，允许访问网络，开放所需端口等；</w:t>
      </w:r>
      <w:r>
        <w:rPr>
          <w:rFonts w:ascii="宋体" w:hAnsi="宋体"/>
          <w:szCs w:val="28"/>
        </w:rPr>
        <w:t>选择</w:t>
      </w:r>
      <w:r>
        <w:rPr>
          <w:rFonts w:ascii="宋体" w:hAnsi="宋体"/>
          <w:b/>
          <w:szCs w:val="28"/>
        </w:rPr>
        <w:t>接入方案二</w:t>
      </w:r>
      <w:r>
        <w:rPr>
          <w:rFonts w:ascii="宋体" w:hAnsi="宋体"/>
          <w:szCs w:val="28"/>
        </w:rPr>
        <w:t>，</w:t>
      </w:r>
      <w:r>
        <w:rPr>
          <w:rFonts w:ascii="宋体" w:hAnsi="宋体" w:hint="eastAsia"/>
          <w:szCs w:val="28"/>
        </w:rPr>
        <w:t>“入网设备”无需</w:t>
      </w:r>
      <w:r>
        <w:rPr>
          <w:rFonts w:ascii="宋体" w:hAnsi="宋体"/>
          <w:szCs w:val="28"/>
        </w:rPr>
        <w:t>安装</w:t>
      </w:r>
      <w:r>
        <w:rPr>
          <w:rFonts w:ascii="宋体" w:hAnsi="宋体" w:hint="eastAsia"/>
          <w:szCs w:val="28"/>
        </w:rPr>
        <w:t>海关</w:t>
      </w:r>
      <w:r>
        <w:rPr>
          <w:rFonts w:ascii="宋体" w:hAnsi="宋体"/>
          <w:szCs w:val="28"/>
        </w:rPr>
        <w:t>杀毒软件（</w:t>
      </w:r>
      <w:r>
        <w:rPr>
          <w:rFonts w:ascii="宋体" w:hAnsi="宋体" w:hint="eastAsia"/>
          <w:szCs w:val="28"/>
        </w:rPr>
        <w:t>具体</w:t>
      </w:r>
      <w:r>
        <w:rPr>
          <w:rFonts w:ascii="宋体" w:hAnsi="宋体"/>
          <w:szCs w:val="28"/>
        </w:rPr>
        <w:t>由</w:t>
      </w:r>
      <w:r>
        <w:rPr>
          <w:rFonts w:ascii="宋体" w:hAnsi="宋体" w:hint="eastAsia"/>
          <w:szCs w:val="28"/>
        </w:rPr>
        <w:t>地方</w:t>
      </w:r>
      <w:r>
        <w:rPr>
          <w:rFonts w:ascii="宋体" w:hAnsi="宋体"/>
          <w:szCs w:val="28"/>
        </w:rPr>
        <w:t>信息化部门确定）</w:t>
      </w:r>
      <w:r>
        <w:rPr>
          <w:rFonts w:ascii="宋体" w:hAnsi="宋体" w:hint="eastAsia"/>
          <w:szCs w:val="28"/>
        </w:rPr>
        <w:t>。</w:t>
      </w:r>
    </w:p>
    <w:p>
      <w:pPr>
        <w:pStyle w:val="5100"/>
        <w:autoSpaceDN w:val="0"/>
        <w:spacing w:line="276" w:lineRule="auto"/>
        <w:rPr>
          <w:rFonts w:ascii="宋体" w:hAnsi="宋体"/>
          <w:szCs w:val="28"/>
        </w:rPr>
      </w:pPr>
      <w:r>
        <w:rPr>
          <w:rFonts w:ascii="宋体" w:hAnsi="宋体"/>
          <w:szCs w:val="28"/>
        </w:rPr>
        <w:t>3</w:t>
      </w:r>
      <w:r>
        <w:rPr>
          <w:rFonts w:ascii="宋体" w:hAnsi="宋体" w:hint="eastAsia"/>
          <w:szCs w:val="28"/>
        </w:rPr>
        <w:t>、辐射探测应用</w:t>
      </w:r>
      <w:r>
        <w:rPr>
          <w:rFonts w:ascii="宋体" w:hAnsi="宋体"/>
          <w:szCs w:val="28"/>
        </w:rPr>
        <w:t>程序升级</w:t>
      </w:r>
    </w:p>
    <w:p>
      <w:pPr>
        <w:pStyle w:val="5100"/>
        <w:autoSpaceDN w:val="0"/>
        <w:spacing w:line="276" w:lineRule="auto"/>
        <w:ind w:firstLine="420" w:firstLineChars="200"/>
        <w:rPr>
          <w:rFonts w:ascii="宋体" w:hAnsi="宋体"/>
          <w:szCs w:val="28"/>
        </w:rPr>
      </w:pPr>
      <w:r>
        <w:rPr>
          <w:rFonts w:ascii="宋体" w:hAnsi="宋体" w:hint="eastAsia"/>
          <w:szCs w:val="28"/>
        </w:rPr>
        <w:t>如“入网设备”选择使用原</w:t>
      </w:r>
      <w:r>
        <w:rPr>
          <w:rFonts w:ascii="宋体" w:hAnsi="宋体"/>
          <w:szCs w:val="28"/>
        </w:rPr>
        <w:t>辐射探测设备上位机，需要进行</w:t>
      </w:r>
      <w:r>
        <w:rPr>
          <w:rFonts w:ascii="宋体" w:hAnsi="宋体" w:hint="eastAsia"/>
          <w:szCs w:val="28"/>
        </w:rPr>
        <w:t>辐射探测设备</w:t>
      </w:r>
      <w:r>
        <w:rPr>
          <w:rFonts w:ascii="宋体" w:hAnsi="宋体"/>
          <w:szCs w:val="28"/>
        </w:rPr>
        <w:t>应用程序</w:t>
      </w:r>
      <w:r>
        <w:rPr>
          <w:rFonts w:ascii="宋体" w:hAnsi="宋体" w:hint="eastAsia"/>
          <w:szCs w:val="28"/>
        </w:rPr>
        <w:t>（辐射探测设备</w:t>
      </w:r>
      <w:r>
        <w:rPr>
          <w:rFonts w:ascii="宋体" w:hAnsi="宋体"/>
          <w:szCs w:val="28"/>
        </w:rPr>
        <w:t>自带</w:t>
      </w:r>
      <w:r>
        <w:rPr>
          <w:rFonts w:ascii="宋体" w:hAnsi="宋体" w:hint="eastAsia"/>
          <w:szCs w:val="28"/>
        </w:rPr>
        <w:t>IAC软件）</w:t>
      </w:r>
      <w:r>
        <w:rPr>
          <w:rFonts w:ascii="宋体" w:hAnsi="宋体"/>
          <w:szCs w:val="28"/>
        </w:rPr>
        <w:t>升级</w:t>
      </w:r>
      <w:r>
        <w:rPr>
          <w:rFonts w:ascii="宋体" w:hAnsi="宋体" w:hint="eastAsia"/>
          <w:szCs w:val="28"/>
        </w:rPr>
        <w:t>，为防止因非专业人员升级导致操作系统、I</w:t>
      </w:r>
      <w:r>
        <w:rPr>
          <w:rFonts w:ascii="宋体" w:hAnsi="宋体"/>
          <w:szCs w:val="28"/>
        </w:rPr>
        <w:t>AC</w:t>
      </w:r>
      <w:r>
        <w:rPr>
          <w:rFonts w:ascii="宋体" w:hAnsi="宋体" w:hint="eastAsia"/>
          <w:szCs w:val="28"/>
        </w:rPr>
        <w:t>软件、数据库等损坏或配置错误，具体升级原则上应联系厂商当地工程服务人员进行实施。完成</w:t>
      </w:r>
      <w:r>
        <w:rPr>
          <w:rFonts w:ascii="宋体" w:hAnsi="宋体"/>
          <w:szCs w:val="28"/>
        </w:rPr>
        <w:t>上述操作后，需要</w:t>
      </w:r>
      <w:r>
        <w:rPr>
          <w:rFonts w:ascii="宋体" w:hAnsi="宋体" w:hint="eastAsia"/>
          <w:szCs w:val="28"/>
        </w:rPr>
        <w:t>对</w:t>
      </w:r>
      <w:r>
        <w:rPr>
          <w:rFonts w:ascii="宋体" w:hAnsi="宋体"/>
          <w:szCs w:val="28"/>
        </w:rPr>
        <w:t>辐射探测设备进行</w:t>
      </w:r>
      <w:r>
        <w:rPr>
          <w:rFonts w:ascii="宋体" w:hAnsi="宋体" w:hint="eastAsia"/>
          <w:szCs w:val="28"/>
        </w:rPr>
        <w:t>测试，确认</w:t>
      </w:r>
      <w:r>
        <w:rPr>
          <w:rFonts w:ascii="宋体" w:hAnsi="宋体"/>
          <w:szCs w:val="28"/>
        </w:rPr>
        <w:t>设备</w:t>
      </w:r>
      <w:r>
        <w:rPr>
          <w:rFonts w:ascii="宋体" w:hAnsi="宋体" w:hint="eastAsia"/>
          <w:szCs w:val="28"/>
        </w:rPr>
        <w:t>能够</w:t>
      </w:r>
      <w:r>
        <w:rPr>
          <w:rFonts w:ascii="宋体" w:hAnsi="宋体"/>
          <w:szCs w:val="28"/>
        </w:rPr>
        <w:t>正常使用</w:t>
      </w:r>
      <w:r>
        <w:rPr>
          <w:rFonts w:ascii="宋体" w:hAnsi="宋体" w:hint="eastAsia"/>
          <w:szCs w:val="28"/>
        </w:rPr>
        <w:t>；</w:t>
      </w:r>
      <w:r>
        <w:rPr>
          <w:rFonts w:ascii="宋体" w:hAnsi="宋体"/>
          <w:szCs w:val="28"/>
        </w:rPr>
        <w:t>并</w:t>
      </w:r>
      <w:r>
        <w:rPr>
          <w:rFonts w:ascii="宋体" w:hAnsi="宋体" w:hint="eastAsia"/>
          <w:szCs w:val="28"/>
        </w:rPr>
        <w:t>在“入网设备”上</w:t>
      </w:r>
      <w:r>
        <w:rPr>
          <w:rFonts w:ascii="宋体" w:hAnsi="宋体"/>
          <w:szCs w:val="28"/>
        </w:rPr>
        <w:t>进行入网测试，具体</w:t>
      </w:r>
      <w:r>
        <w:rPr>
          <w:rFonts w:ascii="宋体" w:hAnsi="宋体" w:hint="eastAsia"/>
          <w:szCs w:val="28"/>
        </w:rPr>
        <w:t>入网测试</w:t>
      </w:r>
      <w:r>
        <w:rPr>
          <w:rFonts w:ascii="宋体" w:hAnsi="宋体"/>
          <w:szCs w:val="28"/>
        </w:rPr>
        <w:t>方法由</w:t>
      </w:r>
      <w:r>
        <w:rPr>
          <w:rFonts w:ascii="宋体" w:hAnsi="宋体" w:hint="eastAsia"/>
          <w:szCs w:val="28"/>
        </w:rPr>
        <w:t>海关</w:t>
      </w:r>
      <w:r>
        <w:rPr>
          <w:rFonts w:ascii="宋体" w:hAnsi="宋体"/>
          <w:szCs w:val="28"/>
        </w:rPr>
        <w:t>现场信息化部门提供。</w:t>
      </w:r>
    </w:p>
    <w:p>
      <w:pPr>
        <w:rPr>
          <w:rFonts w:eastAsia="宋体"/>
          <w:color w:val="0000FF"/>
          <w:sz w:val="28"/>
          <w:szCs w:val="36"/>
          <w:highlight w:val="white"/>
          <w:lang w:val="en-US" w:eastAsia="zh-CN"/>
        </w:rPr>
      </w:pPr>
      <w:bookmarkEnd w:id="42"/>
    </w:p>
    <w:p>
      <w:pPr>
        <w:pStyle w:val="Heading1"/>
      </w:pPr>
      <w:r>
        <w:rPr>
          <w:highlight w:val="white"/>
        </w:rPr>
        <w:br w:type="page"/>
      </w:r>
      <w:bookmarkStart w:id="203"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203"/>
    </w:p>
    <w:p>
      <w:bookmarkStart w:id="204"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8"/>
        <w:gridCol w:w="732"/>
        <w:gridCol w:w="7301"/>
        <w:gridCol w:w="24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8" w:type="dxa"/>
          </w:tcPr>
          <w:p>
            <w:r>
              <w:t>主客观项</w:t>
            </w:r>
          </w:p>
        </w:tc>
        <w:tc>
          <w:tcPr>
            <w:tcW w:w="732" w:type="dxa"/>
          </w:tcPr>
          <w:p>
            <w:r>
              <w:t>评审因素</w:t>
            </w:r>
          </w:p>
        </w:tc>
        <w:tc>
          <w:tcPr>
            <w:tcW w:w="7301" w:type="dxa"/>
          </w:tcPr>
          <w:p>
            <w:r>
              <w:t>评分标准说明</w:t>
            </w:r>
          </w:p>
        </w:tc>
        <w:tc>
          <w:tcPr>
            <w:tcW w:w="248"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8" w:type="dxa"/>
          </w:tcPr>
          <w:p>
            <w:r>
              <w:t>价格分</w:t>
            </w:r>
          </w:p>
        </w:tc>
        <w:tc>
          <w:tcPr>
            <w:tcW w:w="732" w:type="dxa"/>
            <w:tcBorders>
              <w:top w:val="single" w:sz="4" w:space="0" w:color="auto"/>
              <w:left w:val="single" w:sz="4" w:space="0" w:color="auto"/>
              <w:right w:val="single" w:sz="4" w:space="0" w:color="auto"/>
            </w:tcBorders>
          </w:tcPr>
          <w:p>
            <w:r>
              <w:t>价格评审</w:t>
            </w:r>
          </w:p>
        </w:tc>
        <w:tc>
          <w:tcPr>
            <w:tcW w:w="7301"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248"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8" w:type="dxa"/>
            <w:vMerge w:val="restart"/>
          </w:tcPr>
          <w:p>
            <w:r>
              <w:t>商务部分</w:t>
            </w:r>
          </w:p>
        </w:tc>
        <w:tc>
          <w:tcPr>
            <w:tcW w:w="732" w:type="dxa"/>
            <w:tcBorders>
              <w:top w:val="single" w:sz="4" w:space="0" w:color="auto"/>
              <w:left w:val="single" w:sz="4" w:space="0" w:color="auto"/>
              <w:right w:val="single" w:sz="4" w:space="0" w:color="auto"/>
            </w:tcBorders>
          </w:tcPr>
          <w:p>
            <w:r>
              <w:t>制造商综合实力</w:t>
            </w:r>
          </w:p>
        </w:tc>
        <w:tc>
          <w:tcPr>
            <w:tcW w:w="7301" w:type="dxa"/>
            <w:tcBorders>
              <w:top w:val="single" w:sz="4" w:space="0" w:color="auto"/>
              <w:left w:val="single" w:sz="4" w:space="0" w:color="auto"/>
              <w:right w:val="single" w:sz="4" w:space="0" w:color="auto"/>
            </w:tcBorders>
          </w:tcPr>
          <w:p>
            <w:r>
              <w:t>1.提供所有投标产品制造商的质量管理体系认证证书的得1分，否则得0分；  2.提供所有投标产品制造商的健康管理体系认证证书的得1分，否则得0分；  3.提供所有投标产品制造商的环境管理体系认证证书的得1分，否则得0分；</w:t>
            </w:r>
          </w:p>
        </w:tc>
        <w:tc>
          <w:tcPr>
            <w:tcW w:w="24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投标人的销售业绩</w:t>
            </w:r>
          </w:p>
        </w:tc>
        <w:tc>
          <w:tcPr>
            <w:tcW w:w="7301" w:type="dxa"/>
            <w:tcBorders>
              <w:top w:val="single" w:sz="4" w:space="0" w:color="auto"/>
              <w:left w:val="single" w:sz="4" w:space="0" w:color="auto"/>
              <w:right w:val="single" w:sz="4" w:space="0" w:color="auto"/>
            </w:tcBorders>
          </w:tcPr>
          <w:p>
            <w:r>
              <w:t>须提供与本项目投标产品同品牌同类型产品的销售业绩，每提供1份有效合同得1分，最多得5分。 注1.上述销售业绩指与本项目投标货物同品牌同类型产品的销售业绩。  注2.合同签订时间须为2021年10月1日起至本项目招标公告发布之日止。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注5.合同买方（甲方）须为实际最终使用单位，卖方（乙方）须为投标人，如买方为销售或经销类公司（平台），则该业绩不予认可。 不符合上述要求或未按要求提供有效证明文件的业绩在评审时将不予以承认。</w:t>
            </w:r>
          </w:p>
        </w:tc>
        <w:tc>
          <w:tcPr>
            <w:tcW w:w="248"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质量保证书</w:t>
            </w:r>
          </w:p>
        </w:tc>
        <w:tc>
          <w:tcPr>
            <w:tcW w:w="7301" w:type="dxa"/>
            <w:tcBorders>
              <w:top w:val="single" w:sz="4" w:space="0" w:color="auto"/>
              <w:left w:val="single" w:sz="4" w:space="0" w:color="auto"/>
              <w:right w:val="single" w:sz="4" w:space="0" w:color="auto"/>
            </w:tcBorders>
          </w:tcPr>
          <w:p>
            <w:r>
              <w:t>提供所有投标产品制造商出具的质量保证书（须保证所提供产品为制造商原产正品并对产品品质做出承诺和保证，加盖所有投标产品制造商公章）的得1分，否则得0分。</w:t>
            </w:r>
          </w:p>
        </w:tc>
        <w:tc>
          <w:tcPr>
            <w:tcW w:w="248"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投标文件制作质量</w:t>
            </w:r>
          </w:p>
        </w:tc>
        <w:tc>
          <w:tcPr>
            <w:tcW w:w="7301" w:type="dxa"/>
            <w:tcBorders>
              <w:top w:val="single" w:sz="4" w:space="0" w:color="auto"/>
              <w:left w:val="single" w:sz="4" w:space="0" w:color="auto"/>
              <w:right w:val="single" w:sz="4" w:space="0" w:color="auto"/>
            </w:tcBorders>
          </w:tcPr>
          <w:p>
            <w:r>
              <w:t>1.投标人标书按照招标文件要求编写，有目录索引、页码无错乱、标题、编号、正文、表格等排版规范得1 分，否则得0分。 2.投标文件内容详实、应答明确、对招标文件响应程度完整的得1分；内容较完整、编写质量一般得0.5分；否则得0分。</w:t>
            </w:r>
          </w:p>
        </w:tc>
        <w:tc>
          <w:tcPr>
            <w:tcW w:w="248" w:type="dxa"/>
          </w:tcPr>
          <w:p>
            <w:r>
              <w:t>区间打分(0-2)</w:t>
            </w:r>
          </w:p>
        </w:tc>
      </w:tr>
      <w:tr>
        <w:tblPrEx>
          <w:tblW w:w="5000" w:type="pct"/>
          <w:jc w:val="left"/>
          <w:tblInd w:w="0" w:type="dxa"/>
          <w:tblCellMar>
            <w:top w:w="0" w:type="dxa"/>
            <w:left w:w="108" w:type="dxa"/>
            <w:bottom w:w="0" w:type="dxa"/>
            <w:right w:w="108" w:type="dxa"/>
          </w:tblCellMar>
        </w:tblPrEx>
        <w:trPr>
          <w:jc w:val="left"/>
        </w:trPr>
        <w:tc>
          <w:tcPr>
            <w:tcW w:w="248" w:type="dxa"/>
            <w:vMerge w:val="restart"/>
          </w:tcPr>
          <w:p>
            <w:r>
              <w:t>技术部分</w:t>
            </w:r>
          </w:p>
        </w:tc>
        <w:tc>
          <w:tcPr>
            <w:tcW w:w="732" w:type="dxa"/>
            <w:tcBorders>
              <w:top w:val="single" w:sz="4" w:space="0" w:color="auto"/>
              <w:left w:val="single" w:sz="4" w:space="0" w:color="auto"/>
              <w:right w:val="single" w:sz="4" w:space="0" w:color="auto"/>
            </w:tcBorders>
          </w:tcPr>
          <w:p>
            <w:r>
              <w:t>一般技术指标及配置响应情况</w:t>
            </w:r>
          </w:p>
        </w:tc>
        <w:tc>
          <w:tcPr>
            <w:tcW w:w="7301"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投标人的一般主要技术指标及配置响应完全满足招标文件技术要求，应答无负偏离的得17分，每有1项不满足的扣1分。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248" w:type="dxa"/>
          </w:tcPr>
          <w:p>
            <w:r>
              <w:t>区间打分(0-17)</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▲技术指标及配置响应情况</w:t>
            </w:r>
          </w:p>
        </w:tc>
        <w:tc>
          <w:tcPr>
            <w:tcW w:w="7301" w:type="dxa"/>
            <w:tcBorders>
              <w:top w:val="single" w:sz="4" w:space="0" w:color="auto"/>
              <w:left w:val="single" w:sz="4" w:space="0" w:color="auto"/>
              <w:right w:val="single" w:sz="4" w:space="0" w:color="auto"/>
            </w:tcBorders>
          </w:tcPr>
          <w:p>
            <w:r>
              <w:t xml:space="preserve">投标人的▲号“主要技术指标及配置”响应完全满足招标文件技术要求，应答无负偏离的得28分，每有1项不满足的扣2分。    注：对于投标人响应满足投标文件中规定的▲号“主要技术指标” 的，其中项目需求书中有明确要求的按要求提供证明材料；没有明确要求的，必须提供制造商公开发布的资料或具有CMA（或CNAS）认证的第三方检测机构出具的检测报告，公开发布资料和检测报告需加盖制造商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和检测报告在投标文件中的页码；所有官网资料，自投标之日起须在网站上至少保留三个月，以供查询及作为质疑、投诉处理依据；如不提供或经查询网址内容与投标文件不一致、缺失，视为未提供公开发布资料）。 </w:t>
            </w:r>
          </w:p>
        </w:tc>
        <w:tc>
          <w:tcPr>
            <w:tcW w:w="248" w:type="dxa"/>
          </w:tcPr>
          <w:p>
            <w:r>
              <w:t>区间打分(0-28)</w:t>
            </w:r>
          </w:p>
        </w:tc>
      </w:tr>
      <w:tr>
        <w:tblPrEx>
          <w:tblW w:w="5000" w:type="pct"/>
          <w:jc w:val="left"/>
          <w:tblInd w:w="0" w:type="dxa"/>
          <w:tblCellMar>
            <w:top w:w="0" w:type="dxa"/>
            <w:left w:w="108" w:type="dxa"/>
            <w:bottom w:w="0" w:type="dxa"/>
            <w:right w:w="108" w:type="dxa"/>
          </w:tblCellMar>
        </w:tblPrEx>
        <w:trPr>
          <w:jc w:val="left"/>
        </w:trPr>
        <w:tc>
          <w:tcPr>
            <w:tcW w:w="248" w:type="dxa"/>
            <w:vMerge w:val="restart"/>
          </w:tcPr>
          <w:p>
            <w:r>
              <w:t>服务部分</w:t>
            </w:r>
          </w:p>
        </w:tc>
        <w:tc>
          <w:tcPr>
            <w:tcW w:w="732" w:type="dxa"/>
            <w:tcBorders>
              <w:top w:val="single" w:sz="4" w:space="0" w:color="auto"/>
              <w:left w:val="single" w:sz="4" w:space="0" w:color="auto"/>
              <w:right w:val="single" w:sz="4" w:space="0" w:color="auto"/>
            </w:tcBorders>
          </w:tcPr>
          <w:p>
            <w:r>
              <w:t>技术培训方案及培训服务承诺函</w:t>
            </w:r>
          </w:p>
        </w:tc>
        <w:tc>
          <w:tcPr>
            <w:tcW w:w="7301" w:type="dxa"/>
            <w:tcBorders>
              <w:top w:val="single" w:sz="4" w:space="0" w:color="auto"/>
              <w:left w:val="single" w:sz="4" w:space="0" w:color="auto"/>
              <w:right w:val="single" w:sz="4" w:space="0" w:color="auto"/>
            </w:tcBorders>
          </w:tcPr>
          <w:p>
            <w:r>
              <w:t>对于承诺的技术培训服务，应提供相应的技术培训服务承诺函。 根据培训方式、内容、培训水平及人数，以及项目实施中的技术交流等制定有针对性的技术培训方案。  培训方案详实合理，内容全面，方式灵活，层次分明，能切实保障培训效率和效果得2分； 方案内容合理性、可操作性一般，培训方式比较单一得1分； 其余得0.5分； 此项缺失得0分。</w:t>
            </w:r>
          </w:p>
        </w:tc>
        <w:tc>
          <w:tcPr>
            <w:tcW w:w="248" w:type="dxa"/>
          </w:tcPr>
          <w:p>
            <w:r>
              <w:t>区间打分(0-2)</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项目整体实施方案</w:t>
            </w:r>
          </w:p>
        </w:tc>
        <w:tc>
          <w:tcPr>
            <w:tcW w:w="7301" w:type="dxa"/>
            <w:tcBorders>
              <w:top w:val="single" w:sz="4" w:space="0" w:color="auto"/>
              <w:left w:val="single" w:sz="4" w:space="0" w:color="auto"/>
              <w:right w:val="single" w:sz="4" w:space="0" w:color="auto"/>
            </w:tcBorders>
          </w:tcPr>
          <w:p>
            <w:r>
              <w:t>实施方案包括但不限于：实施步骤，交货安排，设备调试，质量保证，应急预案等内容。 实施方案措施具体详细，完善，合理，思路清晰优于采购需求，得3分；  实施方案思路清晰，措施较详细，完善，合理，满足采购需求，得2分；  实施方案思路清晰，措施欠合理，基本满足采购需求，得1分；  未提供或完全不满足采购需求，得0分。</w:t>
            </w:r>
          </w:p>
        </w:tc>
        <w:tc>
          <w:tcPr>
            <w:tcW w:w="248" w:type="dxa"/>
          </w:tcPr>
          <w:p>
            <w:r>
              <w:t>区间打分(0-3)</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售后服务承诺函</w:t>
            </w:r>
          </w:p>
        </w:tc>
        <w:tc>
          <w:tcPr>
            <w:tcW w:w="7301" w:type="dxa"/>
            <w:tcBorders>
              <w:top w:val="single" w:sz="4" w:space="0" w:color="auto"/>
              <w:left w:val="single" w:sz="4" w:space="0" w:color="auto"/>
              <w:right w:val="single" w:sz="4" w:space="0" w:color="auto"/>
            </w:tcBorders>
          </w:tcPr>
          <w:p>
            <w:r>
              <w:t>提供制造商针对本项目的售后服务承诺函（函中内容包括但不限于项目名称、项目编号、承诺内容等要素，加盖所有投标产品制造商公章、投标人公章），且承诺完全满足招标文件（除维修响应时间）规定的售后服务要求的，得1分。承诺函要素不全或承诺内容不完全覆盖招标文件要求的，得0分。</w:t>
            </w:r>
          </w:p>
        </w:tc>
        <w:tc>
          <w:tcPr>
            <w:tcW w:w="248"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维修响应承诺函</w:t>
            </w:r>
          </w:p>
        </w:tc>
        <w:tc>
          <w:tcPr>
            <w:tcW w:w="7301" w:type="dxa"/>
            <w:tcBorders>
              <w:top w:val="single" w:sz="4" w:space="0" w:color="auto"/>
              <w:left w:val="single" w:sz="4" w:space="0" w:color="auto"/>
              <w:right w:val="single" w:sz="4" w:space="0" w:color="auto"/>
            </w:tcBorders>
          </w:tcPr>
          <w:p>
            <w:r>
              <w:t xml:space="preserve">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1分。承诺函要素不全或承诺内容不完全覆盖招标文件要求的，得0分。 </w:t>
            </w:r>
          </w:p>
        </w:tc>
        <w:tc>
          <w:tcPr>
            <w:tcW w:w="248"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售后服务方案</w:t>
            </w:r>
          </w:p>
        </w:tc>
        <w:tc>
          <w:tcPr>
            <w:tcW w:w="7301" w:type="dxa"/>
            <w:tcBorders>
              <w:top w:val="single" w:sz="4" w:space="0" w:color="auto"/>
              <w:left w:val="single" w:sz="4" w:space="0" w:color="auto"/>
              <w:right w:val="single" w:sz="4" w:space="0" w:color="auto"/>
            </w:tcBorders>
          </w:tcPr>
          <w:p>
            <w:r>
              <w:t>根据售后服务体系、安装调试及免费保修服务承诺、应用技术支持、以及质保期外服务方案及服务网点、人员、备品备件、易损配件及主要消耗品的备件情况等方面。    1.售后服务方案和承诺优于项目需求，技术支持及售后服务内容全面，可行性强，针对性强，得3分；售后服务方案和承诺基本满足项目需求，技术支持及售后服务内容完整，有一定的可行性和针对性，得2分；有方案但内容缺失多、可行性差的得1分；未提供方案的得0分。   2.提供质保期外产品主要零、部、配件及易损件、消耗品价格清单，配件齐全、价格合理得2分；其余得1分；未提供得0分。</w:t>
            </w:r>
          </w:p>
        </w:tc>
        <w:tc>
          <w:tcPr>
            <w:tcW w:w="248"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248" w:type="dxa"/>
            <w:vMerge/>
          </w:tcPr>
          <w:p/>
        </w:tc>
        <w:tc>
          <w:tcPr>
            <w:tcW w:w="732" w:type="dxa"/>
            <w:tcBorders>
              <w:top w:val="single" w:sz="4" w:space="0" w:color="auto"/>
              <w:left w:val="single" w:sz="4" w:space="0" w:color="auto"/>
              <w:right w:val="single" w:sz="4" w:space="0" w:color="auto"/>
            </w:tcBorders>
          </w:tcPr>
          <w:p>
            <w:r>
              <w:t>质保增值服务</w:t>
            </w:r>
          </w:p>
        </w:tc>
        <w:tc>
          <w:tcPr>
            <w:tcW w:w="7301" w:type="dxa"/>
            <w:tcBorders>
              <w:top w:val="single" w:sz="4" w:space="0" w:color="auto"/>
              <w:left w:val="single" w:sz="4" w:space="0" w:color="auto"/>
              <w:right w:val="single" w:sz="4" w:space="0" w:color="auto"/>
            </w:tcBorders>
          </w:tcPr>
          <w:p>
            <w:r>
              <w:t>在满足招标文件要求的基础上，质保期每增加1个月得0.1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tcW w:w="248" w:type="dxa"/>
          </w:tcPr>
          <w:p>
            <w:r>
              <w:t>区间打分(0-2)</w:t>
            </w:r>
          </w:p>
        </w:tc>
      </w:tr>
    </w:tbl>
    <w:p>
      <w:pPr>
        <w:pStyle w:val="49100"/>
        <w:rPr>
          <w:rFonts w:ascii="Times New Roman" w:eastAsia="宋体" w:hAnsi="Times New Roman"/>
          <w:color w:val="0000FF"/>
          <w:sz w:val="28"/>
          <w:szCs w:val="32"/>
          <w:lang w:val="en-US" w:eastAsia="zh-CN"/>
        </w:rPr>
      </w:pPr>
      <w:bookmarkEnd w:id="204"/>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17"/>
          <w:headerReference w:type="default" r:id="rId18"/>
          <w:footerReference w:type="even" r:id="rId19"/>
          <w:headerReference w:type="first" r:id="rId20"/>
          <w:footerReference w:type="first" r:id="rId21"/>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205"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205"/>
    </w:p>
    <w:p>
      <w:pPr>
        <w:jc w:val="center"/>
        <w:rPr>
          <w:rFonts w:eastAsia="方正小标宋_GBK"/>
          <w:color w:val="000000"/>
          <w:sz w:val="36"/>
          <w:szCs w:val="36"/>
        </w:rPr>
      </w:pPr>
      <w:r>
        <w:rPr>
          <w:rFonts w:eastAsia="方正小标宋_GBK"/>
          <w:color w:val="000000"/>
          <w:sz w:val="44"/>
        </w:rPr>
        <w:t xml:space="preserve">     </w:t>
      </w:r>
      <w:bookmarkStart w:id="206" w:name="插入_TBWJGS_CONTRACT"/>
      <w:r>
        <w:rPr>
          <w:rFonts w:eastAsia="方正小标宋_GBK"/>
          <w:color w:val="000000"/>
          <w:sz w:val="36"/>
          <w:szCs w:val="36"/>
        </w:rPr>
        <w:t>海关总署货物类政府采购项目合同书（范本）</w:t>
      </w:r>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1"/>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1"/>
        <w:ind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pStyle w:val="2311"/>
        <w:ind w:firstLine="640" w:firstLineChars="200"/>
        <w:rPr>
          <w:rFonts w:hint="eastAsia"/>
          <w:color w:val="000000"/>
        </w:rPr>
      </w:pPr>
      <w:r>
        <w:rPr>
          <w:rFonts w:hint="eastAsia"/>
          <w:color w:val="000000"/>
        </w:rPr>
        <w:t>（三）履约保证金有效期：（根据招标文件要求填写</w:t>
      </w:r>
      <w:r>
        <w:rPr>
          <w:color w:val="000000"/>
        </w:rPr>
        <w:t>）。</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完成交货或安装调试。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甲方要求完成卸货，以双方签署设备到货验收签收单为准，交货时应一并交付货物的有关单证。货物从生产厂运至海关指定地点的运输、劳务及相关保险的办理由乙方负责并承担相应费用。</w:t>
      </w:r>
    </w:p>
    <w:p>
      <w:pPr>
        <w:pStyle w:val="1812"/>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和制造商协同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没有因乙方的行为或疏忽而产生</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货物在正确安装、正常使用和保养条件下，在其使用寿命期内具有满意的性能。在货物最终交付验收后不少于合同规定或乙方承诺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）供应商</w:t>
      </w:r>
      <w:r>
        <w:rPr>
          <w:color w:val="000000"/>
        </w:rPr>
        <w:t>（制造商）在质量保证期内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未在甲方要求的10日内或甲方同意的期限内，按照上述任何一种方式采取补救措施，甲方有权</w:t>
      </w:r>
      <w:r>
        <w:rPr>
          <w:rFonts w:hint="eastAsia"/>
          <w:color w:val="000000"/>
        </w:rPr>
        <w:t>解除</w:t>
      </w:r>
      <w:r>
        <w:rPr>
          <w:color w:val="000000"/>
        </w:rPr>
        <w:t>合同，扣除全部履约保证金并要求乙方退回甲方已支付的货款，并视损失情况根据《中华人民共和国民法典（合同编）》有关规定追究其相关责任，赔偿甲方（用户）的全部损失。</w:t>
      </w:r>
    </w:p>
    <w:p>
      <w:pPr>
        <w:pStyle w:val="1302"/>
        <w:ind w:firstLine="640" w:firstLineChars="200"/>
        <w:rPr>
          <w:color w:val="000000"/>
        </w:rPr>
      </w:pPr>
      <w:r>
        <w:rPr>
          <w:color w:val="000000"/>
        </w:rPr>
        <w:t>3.对于未能按合同要求提供服务或被证实未提供应当承担的服务的，甲方有权要求限期整改。无合理理由不进行整改的视为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w:t>
      </w:r>
      <w:r>
        <w:rPr>
          <w:rFonts w:hint="eastAsia"/>
          <w:color w:val="000000"/>
        </w:rPr>
        <w:t>赔偿费按每周迟交</w:t>
      </w:r>
      <w:r>
        <w:rPr>
          <w:color w:val="000000"/>
        </w:rPr>
        <w:t>货物</w:t>
      </w:r>
      <w:r>
        <w:rPr>
          <w:rFonts w:hint="eastAsia"/>
          <w:color w:val="000000"/>
        </w:rPr>
        <w:t>价格或未提供服务费用的百分之零点五（0.5%）计收，直到交货或提供服务为止。但误期赔偿费的最高限额不超过误期货物或服务合同价格的百分之</w:t>
      </w:r>
      <w:r>
        <w:rPr>
          <w:color w:val="000000"/>
        </w:rPr>
        <w:t>十</w:t>
      </w:r>
      <w:r>
        <w:rPr>
          <w:rFonts w:hint="eastAsia"/>
          <w:color w:val="000000"/>
        </w:rPr>
        <w:t>（10%）。一周按七（7）天计算，不足七（7）天按一周计算。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152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异议的期限和方法</w:t>
      </w:r>
    </w:p>
    <w:p>
      <w:pPr>
        <w:pStyle w:val="6012"/>
        <w:ind w:firstLine="640" w:firstLineChars="200"/>
        <w:rPr>
          <w:color w:val="000000"/>
        </w:rPr>
      </w:pPr>
      <w:r>
        <w:rPr>
          <w:color w:val="000000"/>
        </w:rPr>
        <w:t>（一）异议期限自质量保证期开始之日起3个月内。如果属于产品设计、材料、工艺或其他潜在的质量缺陷，甲方（用户）以书面形式提出异议及其处理意见。</w:t>
      </w:r>
    </w:p>
    <w:p>
      <w:pPr>
        <w:pStyle w:val="6012"/>
        <w:ind w:firstLine="640" w:firstLineChars="200"/>
        <w:rPr>
          <w:color w:val="000000"/>
        </w:rPr>
      </w:pPr>
      <w:r>
        <w:rPr>
          <w:color w:val="000000"/>
        </w:rPr>
        <w:t>（二）乙方接到甲方（用户）书面异议及其处理意见后，应在10日内到甲方（用户）项目现场处理，否则即视为默认甲方（用户）提出的异议和处理意见。</w:t>
      </w:r>
    </w:p>
    <w:p>
      <w:pPr>
        <w:pStyle w:val="6012"/>
        <w:ind w:firstLine="640" w:firstLineChars="200"/>
        <w:rPr>
          <w:rFonts w:hint="eastAsia"/>
          <w:b/>
          <w:bCs/>
          <w:color w:val="000000"/>
        </w:rPr>
      </w:pPr>
      <w:r>
        <w:rPr>
          <w:rFonts w:hint="eastAsia"/>
          <w:b/>
          <w:bCs/>
          <w:color w:val="000000"/>
        </w:rPr>
        <w:t>第十</w:t>
      </w:r>
      <w:r>
        <w:rPr>
          <w:b/>
          <w:bCs/>
          <w:color w:val="000000"/>
        </w:rPr>
        <w:t>三</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十四</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货物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提供的货物存在前述担保货物或权利负担，甲方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第十六条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九</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207" w:name="孔子"/>
      <w:bookmarkEnd w:id="207"/>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二十二</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四</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w:t>
      </w:r>
      <w:r>
        <w:rPr>
          <w:rFonts w:eastAsia="方正仿宋_GBK" w:cs="宋体"/>
          <w:snapToGrid w:val="0"/>
          <w:kern w:val="0"/>
          <w:sz w:val="32"/>
          <w:szCs w:val="32"/>
          <w:u w:val="single"/>
          <w:lang w:bidi="ar-SA"/>
        </w:rPr>
        <w:t>XX</w:t>
      </w:r>
      <w:r>
        <w:rPr>
          <w:rFonts w:eastAsia="方正仿宋_GBK" w:cs="宋体" w:hint="eastAsia"/>
          <w:snapToGrid w:val="0"/>
          <w:kern w:val="0"/>
          <w:sz w:val="32"/>
          <w:szCs w:val="32"/>
          <w:lang w:bidi="ar-SA"/>
        </w:rPr>
        <w:t>海关</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p>
    <w:p>
      <w:pPr>
        <w:ind w:firstLine="420" w:firstLineChars="200"/>
        <w:rPr>
          <w:rFonts w:hint="eastAsia"/>
          <w:color w:val="000000"/>
        </w:rPr>
      </w:pPr>
    </w:p>
    <w:p>
      <w:pPr>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ind w:firstLine="420" w:firstLineChars="200"/>
        <w:rPr>
          <w:color w:val="000000"/>
        </w:rPr>
      </w:pPr>
      <w:r>
        <w:rPr>
          <w:color w:val="000000"/>
        </w:rPr>
        <w:t>附件三：技术偏离表</w:t>
      </w:r>
    </w:p>
    <w:p>
      <w:pPr>
        <w:ind w:firstLine="420" w:firstLineChars="200"/>
        <w:rPr>
          <w:rFonts w:hint="eastAsia"/>
          <w:color w:val="000000"/>
        </w:rPr>
      </w:pPr>
      <w:r>
        <w:rPr>
          <w:color w:val="000000"/>
        </w:rPr>
        <w:t>附件四：</w:t>
      </w:r>
      <w:r>
        <w:rPr>
          <w:rFonts w:hint="eastAsia"/>
          <w:color w:val="000000"/>
        </w:rPr>
        <w:t>货物分配</w:t>
      </w:r>
      <w:r>
        <w:rPr>
          <w:color w:val="000000"/>
        </w:rPr>
        <w:t>清单</w:t>
      </w:r>
    </w:p>
    <w:p>
      <w:pPr>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ind w:firstLine="719"/>
        <w:rPr>
          <w:color w:val="000000"/>
        </w:rPr>
      </w:pPr>
      <w:r>
        <w:rPr>
          <w:color w:val="000000"/>
        </w:rPr>
        <w:t>附件六：技术培训方案</w:t>
      </w:r>
    </w:p>
    <w:p>
      <w:pPr>
        <w:ind w:firstLine="719"/>
        <w:rPr>
          <w:color w:val="000000"/>
        </w:rPr>
      </w:pPr>
      <w:r>
        <w:rPr>
          <w:color w:val="000000"/>
        </w:rPr>
        <w:t>附件七：</w:t>
      </w:r>
      <w:r>
        <w:rPr>
          <w:rFonts w:hint="eastAsia"/>
          <w:color w:val="000000"/>
        </w:rPr>
        <w:t>技术支持及售后服务方案</w:t>
      </w:r>
    </w:p>
    <w:p>
      <w:pPr>
        <w:ind w:firstLine="719"/>
        <w:rPr>
          <w:color w:val="000000"/>
        </w:rPr>
      </w:pPr>
      <w:r>
        <w:rPr>
          <w:color w:val="000000"/>
        </w:rPr>
        <w:t>附件八：设备到货验收报告</w:t>
      </w:r>
    </w:p>
    <w:p>
      <w:pPr>
        <w:rPr>
          <w:color w:val="000000"/>
        </w:rPr>
      </w:pPr>
      <w:r>
        <w:rPr>
          <w:color w:val="000000"/>
        </w:rPr>
        <w:t>（附件一、二、三、五、六、七内容与投标/响应文件一致。）</w:t>
      </w:r>
    </w:p>
    <w:p>
      <w:pPr>
        <w:rPr>
          <w:color w:val="000000"/>
        </w:rPr>
      </w:pPr>
    </w:p>
    <w:p>
      <w:pPr>
        <w:rPr>
          <w:rFonts w:hint="eastAsia"/>
          <w:color w:val="000000"/>
        </w:rPr>
      </w:pPr>
      <w:r>
        <w:rPr>
          <w:rFonts w:hint="eastAsia"/>
          <w:color w:val="000000"/>
        </w:rPr>
        <w:t>甲方（公章</w:t>
      </w:r>
      <w:r>
        <w:rPr>
          <w:snapToGrid w:val="0"/>
          <w:kern w:val="0"/>
          <w:szCs w:val="32"/>
        </w:rPr>
        <w:t>或合同章</w:t>
      </w:r>
      <w:r>
        <w:rPr>
          <w:rFonts w:hint="eastAsia"/>
          <w:color w:val="000000"/>
        </w:rPr>
        <w:t xml:space="preserve">）：            </w:t>
      </w:r>
      <w:r>
        <w:rPr>
          <w:color w:val="000000"/>
        </w:rPr>
        <w:t xml:space="preserve"> </w:t>
      </w:r>
      <w:r>
        <w:rPr>
          <w:rFonts w:hint="eastAsia"/>
          <w:color w:val="000000"/>
        </w:rPr>
        <w:t>乙方（公章</w:t>
      </w:r>
      <w:r>
        <w:rPr>
          <w:snapToGrid w:val="0"/>
          <w:kern w:val="0"/>
          <w:szCs w:val="32"/>
        </w:rPr>
        <w:t>或合同章</w:t>
      </w:r>
      <w:r>
        <w:rPr>
          <w:rFonts w:hint="eastAsia"/>
          <w:color w:val="000000"/>
        </w:rPr>
        <w:t>）：</w:t>
      </w:r>
    </w:p>
    <w:p>
      <w:pPr>
        <w:rPr>
          <w:color w:val="000000"/>
        </w:rPr>
      </w:pPr>
      <w:r>
        <w:rPr>
          <w:rFonts w:hint="eastAsia"/>
          <w:color w:val="000000"/>
        </w:rPr>
        <w:t>法定代表人</w:t>
      </w:r>
      <w:r>
        <w:rPr>
          <w:color w:val="000000"/>
        </w:rPr>
        <w:t xml:space="preserve">                        </w:t>
      </w:r>
      <w:r>
        <w:rPr>
          <w:rFonts w:hint="eastAsia"/>
          <w:color w:val="000000"/>
        </w:rPr>
        <w:t>法定代表人</w:t>
      </w:r>
    </w:p>
    <w:p>
      <w:pPr>
        <w:rPr>
          <w:rFonts w:hint="eastAsia"/>
          <w:color w:val="000000"/>
        </w:rPr>
      </w:pPr>
      <w:r>
        <w:rPr>
          <w:rFonts w:hint="eastAsia"/>
          <w:color w:val="000000"/>
        </w:rPr>
        <w:t>或授权签字人（签字）：             或授权签字人（签字）：</w:t>
      </w:r>
    </w:p>
    <w:p>
      <w:pPr>
        <w:rPr>
          <w:rFonts w:hint="eastAsia"/>
          <w:color w:val="000000"/>
        </w:rPr>
      </w:pPr>
    </w:p>
    <w:p>
      <w:pPr>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rPr>
          <w:rFonts w:hint="eastAsia"/>
          <w:color w:val="000000"/>
        </w:rPr>
      </w:pPr>
      <w:r>
        <w:rPr>
          <w:rFonts w:hint="eastAsia"/>
          <w:color w:val="000000"/>
        </w:rPr>
        <w:t>联系人:                            联系人：</w:t>
      </w:r>
    </w:p>
    <w:p>
      <w:pPr>
        <w:rPr>
          <w:color w:val="000000"/>
        </w:rPr>
      </w:pPr>
      <w:r>
        <w:rPr>
          <w:rFonts w:hint="eastAsia"/>
          <w:color w:val="000000"/>
        </w:rPr>
        <w:t>电话:</w:t>
      </w:r>
      <w:r>
        <w:rPr>
          <w:color w:val="000000"/>
        </w:rPr>
        <w:t xml:space="preserve">     </w:t>
      </w:r>
      <w:r>
        <w:rPr>
          <w:rFonts w:hint="eastAsia"/>
          <w:color w:val="000000"/>
        </w:rPr>
        <w:t xml:space="preserve">                         电话：</w:t>
      </w:r>
    </w:p>
    <w:p>
      <w:pPr>
        <w:rPr>
          <w:rFonts w:hint="eastAsia"/>
          <w:color w:val="000000"/>
        </w:rPr>
      </w:pPr>
      <w:r>
        <w:rPr>
          <w:color w:val="000000"/>
        </w:rPr>
        <w:t>地址：                             地址：</w:t>
      </w:r>
    </w:p>
    <w:p>
      <w:pPr>
        <w:pStyle w:val="50710"/>
        <w:tabs>
          <w:tab w:val="left" w:pos="2760"/>
        </w:tabs>
        <w:spacing w:line="560" w:lineRule="exact"/>
        <w:jc w:val="left"/>
        <w:rPr>
          <w:rFonts w:eastAsia="方正仿宋_GBK"/>
          <w:b/>
          <w:snapToGrid w:val="0"/>
          <w:kern w:val="0"/>
          <w:sz w:val="32"/>
          <w:szCs w:val="32"/>
        </w:rPr>
      </w:pP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jc w:val="center"/>
        <w:rPr>
          <w:rFonts w:eastAsia="方正小标宋_GBK"/>
          <w:color w:val="0000FF"/>
          <w:sz w:val="44"/>
        </w:rPr>
      </w:pPr>
      <w:bookmarkEnd w:id="206"/>
    </w:p>
    <w:p/>
    <w:p/>
    <w:p/>
    <w:p/>
    <w:p/>
    <w:p>
      <w:pPr>
        <w:pStyle w:val="Heading1"/>
        <w:rPr>
          <w:rFonts w:hint="eastAsia"/>
          <w:highlight w:val="white"/>
        </w:rPr>
      </w:pPr>
      <w:r>
        <w:rPr>
          <w:rFonts w:hint="eastAsia"/>
          <w:highlight w:val="white"/>
        </w:rPr>
        <w:br w:type="page"/>
      </w:r>
      <w:bookmarkStart w:id="208" w:name="_Toc47661360"/>
      <w:r>
        <w:rPr>
          <w:rFonts w:hint="eastAsia"/>
          <w:highlight w:val="white"/>
        </w:rPr>
        <w:t>第六部分  投标文件格式</w:t>
      </w:r>
      <w:bookmarkEnd w:id="208"/>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209"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1"/>
        <w:ind w:firstLine="210" w:firstLineChars="100"/>
        <w:rPr>
          <w:rFonts w:ascii="微软雅黑" w:eastAsia="微软雅黑" w:cs="微软雅黑" w:hint="eastAsia"/>
          <w:sz w:val="21"/>
          <w:szCs w:val="21"/>
        </w:rPr>
      </w:pPr>
      <w:bookmarkStart w:id="210" w:name="_Ref462505451"/>
      <w:bookmarkStart w:id="211"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210"/>
      <w:bookmarkEnd w:id="211"/>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10"/>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212" w:name="_Toc499068169"/>
      <w:bookmarkStart w:id="213" w:name="_Toc46196323"/>
      <w:bookmarkStart w:id="214" w:name="_Toc485990833"/>
      <w:r>
        <w:rPr>
          <w:rFonts w:ascii="宋体" w:eastAsia="宋体" w:hint="eastAsia"/>
          <w:szCs w:val="32"/>
          <w:lang w:eastAsia="zh-CN"/>
        </w:rPr>
        <w:t>投标函</w:t>
      </w:r>
      <w:bookmarkEnd w:id="212"/>
      <w:bookmarkEnd w:id="213"/>
      <w:bookmarkEnd w:id="214"/>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215" w:name="_Toc499068185"/>
      <w:bookmarkStart w:id="216" w:name="_Toc485990851"/>
      <w:r>
        <w:rPr>
          <w:rFonts w:ascii="宋体" w:eastAsia="宋体" w:hint="eastAsia"/>
          <w:szCs w:val="32"/>
          <w:lang w:eastAsia="zh-CN"/>
        </w:rPr>
        <w:t>技术偏离表</w:t>
      </w:r>
      <w:bookmarkEnd w:id="215"/>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216"/>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217" w:name="_Toc499068185_0"/>
      <w:r>
        <w:rPr>
          <w:rFonts w:ascii="宋体" w:eastAsia="宋体" w:hint="eastAsia"/>
          <w:szCs w:val="32"/>
          <w:lang w:eastAsia="zh-CN"/>
        </w:rPr>
        <w:t>技术偏离表</w:t>
      </w:r>
      <w:bookmarkEnd w:id="217"/>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项目团队人员的从业人员资格证书以及上述员工距开标之日X个月任意1个月的缴纳社保证明（未提供的不予认定）；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209"/>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方正黑体_GBK"/>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华文细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华文细黑"/>
    <w:panose1 w:val="02010609060101010101"/>
    <w:charset w:val="86"/>
    <w:family w:val="modern"/>
    <w:pitch w:val="variable"/>
    <w:sig w:usb0="800002BF" w:usb1="38CF7CFA" w:usb2="00000016" w:usb3="00000000" w:csb0="00040001" w:csb1="00000000"/>
  </w:font>
  <w:font w:name="Symbol">
    <w:altName w:val="DejaVu Sans"/>
    <w:panose1 w:val="05050102010706020507"/>
    <w:charset w:val="02"/>
    <w:family w:val="roman"/>
    <w:pitch w:val="variable"/>
    <w:sig w:usb0="00000000" w:usb1="10000000" w:usb2="00000000" w:usb3="00000000" w:csb0="80000000" w:csb1="00000000"/>
  </w:font>
  <w:font w:name="方正小标宋_GBK">
    <w:panose1 w:val="03000509000000000000"/>
    <w:charset w:val="86"/>
    <w:family w:val="script"/>
    <w:pitch w:val="variable"/>
    <w:sig w:usb0="00000001" w:usb1="080E0000" w:usb2="00000000" w:usb3="00000000" w:csb0="00040000"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swiss"/>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608965</wp:posOffset>
              </wp:positionV>
              <wp:extent cx="452246" cy="423863"/>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52246" cy="423863"/>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35.61pt;height:33.38pt;margin-top:47.9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jc w:val="center"/>
    </w:pPr>
    <w:r>
      <w:rPr>
        <w:lang w:val="zh-CN"/>
      </w:rPr>
      <w:t xml:space="preserve"> </w:t>
    </w:r>
  </w:p>
  <w:p>
    <w:pPr>
      <w:pStyle w:val="Foote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B9E5649"/>
    <w:multiLevelType w:val="multilevel"/>
    <w:tmpl w:val="F7039720"/>
    <w:lvl w:ilvl="0">
      <w:start w:val="1"/>
      <w:numFmt w:val="decimal"/>
      <w:lvlText w:val="%1"/>
      <w:lvlJc w:val="left"/>
      <w:pPr>
        <w:tabs>
          <w:tab w:val="num" w:pos="0"/>
        </w:tabs>
        <w:ind w:left="0" w:firstLine="0"/>
      </w:pPr>
      <w:rPr>
        <w:rFonts w:hint="eastAsia"/>
        <w:i w:val="0"/>
      </w:rPr>
    </w:lvl>
    <w:lvl w:ilvl="1">
      <w:start w:val="1"/>
      <w:numFmt w:val="decimal"/>
      <w:lvlText w:val="%1.%2"/>
      <w:lvlJc w:val="left"/>
      <w:pPr>
        <w:tabs>
          <w:tab w:val="num" w:pos="0"/>
        </w:tabs>
        <w:ind w:left="576" w:hanging="576"/>
      </w:pPr>
      <w:rPr>
        <w:rFonts w:ascii="Times New Roman" w:hAnsi="Times New Roman" w:cs="Times New Roman" w:hint="eastAsia"/>
        <w:b w:val="0"/>
        <w:bCs w:val="0"/>
        <w:i w:val="0"/>
        <w:iCs w:val="0"/>
        <w:caps w:val="0"/>
        <w:smallCaps w:val="0"/>
        <w:strike w:val="0"/>
        <w:dstrike w:val="0"/>
        <w:outline w:val="0"/>
        <w:shadow w:val="0"/>
        <w:emboss w:val="0"/>
        <w:imprint w:val="0"/>
        <w:snapToGrid w:val="0"/>
        <w:vanish w:val="0"/>
        <w:color w:val="000000"/>
        <w:spacing w:val="0"/>
        <w:w w:val="100"/>
        <w:kern w:val="0"/>
        <w:position w:val="0"/>
        <w:szCs w:val="2"/>
        <w:u w:val="none"/>
        <w:vertAlign w:val="baseline"/>
      </w:rPr>
    </w:lvl>
    <w:lvl w:ilvl="2">
      <w:start w:val="1"/>
      <w:numFmt w:val="decimal"/>
      <w:lvlText w:val="%1.%2.%3"/>
      <w:lvlJc w:val="left"/>
      <w:pPr>
        <w:tabs>
          <w:tab w:val="num" w:pos="0"/>
        </w:tabs>
        <w:ind w:left="720" w:hanging="720"/>
      </w:pPr>
      <w:rPr>
        <w:rFonts w:hint="eastAsia"/>
      </w:rPr>
    </w:lvl>
    <w:lvl w:ilvl="3">
      <w:start w:val="1"/>
      <w:numFmt w:val="decimal"/>
      <w:lvlText w:val="%1.%2.%3.%4"/>
      <w:lvlJc w:val="left"/>
      <w:pPr>
        <w:tabs>
          <w:tab w:val="num" w:pos="0"/>
        </w:tabs>
        <w:ind w:left="864" w:hanging="864"/>
      </w:pPr>
      <w:rPr>
        <w:rFonts w:hint="eastAsia"/>
      </w:rPr>
    </w:lvl>
    <w:lvl w:ilvl="4">
      <w:start w:val="1"/>
      <w:numFmt w:val="decimal"/>
      <w:lvlText w:val="%1.%2.%3.%4.%5"/>
      <w:lvlJc w:val="left"/>
      <w:pPr>
        <w:tabs>
          <w:tab w:val="num" w:pos="0"/>
        </w:tabs>
        <w:ind w:left="1008" w:hanging="1008"/>
      </w:pPr>
      <w:rPr>
        <w:rFonts w:hint="eastAsia"/>
      </w:rPr>
    </w:lvl>
    <w:lvl w:ilvl="5">
      <w:start w:val="1"/>
      <w:numFmt w:val="decimal"/>
      <w:lvlText w:val="%1.%2.%3.%4.%5.%6"/>
      <w:lvlJc w:val="left"/>
      <w:pPr>
        <w:tabs>
          <w:tab w:val="num" w:pos="0"/>
        </w:tabs>
        <w:ind w:left="1152" w:hanging="1152"/>
      </w:pPr>
      <w:rPr>
        <w:rFonts w:hint="eastAsia"/>
      </w:rPr>
    </w:lvl>
    <w:lvl w:ilvl="6">
      <w:start w:val="1"/>
      <w:numFmt w:val="decimal"/>
      <w:lvlText w:val="%1.%2.%3.%4.%5.%6.%7"/>
      <w:lvlJc w:val="left"/>
      <w:pPr>
        <w:tabs>
          <w:tab w:val="num" w:pos="0"/>
        </w:tabs>
        <w:ind w:left="1296" w:hanging="1296"/>
      </w:pPr>
      <w:rPr>
        <w:rFonts w:hint="eastAsia"/>
      </w:rPr>
    </w:lvl>
    <w:lvl w:ilvl="7">
      <w:start w:val="1"/>
      <w:numFmt w:val="decimal"/>
      <w:lvlText w:val="%1.%2.%3.%4.%5.%6.%7.%8"/>
      <w:lvlJc w:val="left"/>
      <w:pPr>
        <w:tabs>
          <w:tab w:val="num" w:pos="0"/>
        </w:tabs>
        <w:ind w:left="1440" w:hanging="1440"/>
      </w:pPr>
      <w:rPr>
        <w:rFonts w:hint="eastAsia"/>
      </w:rPr>
    </w:lvl>
    <w:lvl w:ilvl="8">
      <w:start w:val="1"/>
      <w:numFmt w:val="decimal"/>
      <w:lvlText w:val="%1.%2.%3.%4.%5.%6.%7.%8.%9"/>
      <w:lvlJc w:val="left"/>
      <w:pPr>
        <w:tabs>
          <w:tab w:val="num" w:pos="0"/>
        </w:tabs>
        <w:ind w:left="1584" w:hanging="1584"/>
      </w:pPr>
      <w:rPr>
        <w:rFonts w:hint="eastAsia"/>
      </w:rPr>
    </w:lvl>
  </w:abstractNum>
  <w:abstractNum w:abstractNumId="11">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3">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5">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6">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1B91528D"/>
    <w:multiLevelType w:val="multilevel"/>
    <w:tmpl w:val="1B91528D"/>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8">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2CF14902"/>
    <w:multiLevelType w:val="hybridMultilevel"/>
    <w:tmpl w:val="99549960"/>
    <w:lvl w:ilvl="0">
      <w:start w:val="1"/>
      <w:numFmt w:val="japaneseCounting"/>
      <w:lvlText w:val="%1、"/>
      <w:lvlJc w:val="left"/>
      <w:pPr>
        <w:ind w:left="750" w:hanging="7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366E4A18"/>
    <w:multiLevelType w:val="hybridMultilevel"/>
    <w:tmpl w:val="1060AA36"/>
    <w:lvl w:ilvl="0">
      <w:start w:val="1"/>
      <w:numFmt w:val="decimal"/>
      <w:lvlText w:val="%1、"/>
      <w:lvlJc w:val="left"/>
      <w:pPr>
        <w:tabs>
          <w:tab w:val="num" w:pos="720"/>
        </w:tabs>
        <w:ind w:left="360" w:hanging="360"/>
      </w:pPr>
      <w:rPr>
        <w:caps w:val="0"/>
        <w:smallCaps w:val="0"/>
      </w:rPr>
    </w:lvl>
    <w:lvl w:ilvl="1">
      <w:start w:val="1"/>
      <w:numFmt w:val="lowerLetter"/>
      <w:lvlText w:val="%2)"/>
      <w:lvlJc w:val="left"/>
      <w:pPr>
        <w:tabs>
          <w:tab w:val="num" w:pos="1440"/>
        </w:tabs>
        <w:ind w:left="840" w:hanging="420"/>
      </w:pPr>
    </w:lvl>
    <w:lvl w:ilvl="2">
      <w:start w:val="1"/>
      <w:numFmt w:val="lowerRoman"/>
      <w:lvlText w:val="%3."/>
      <w:lvlJc w:val="right"/>
      <w:pPr>
        <w:tabs>
          <w:tab w:val="num" w:pos="2160"/>
        </w:tabs>
        <w:ind w:left="1260" w:hanging="420"/>
      </w:pPr>
    </w:lvl>
    <w:lvl w:ilvl="3">
      <w:start w:val="1"/>
      <w:numFmt w:val="decimal"/>
      <w:lvlText w:val="%4."/>
      <w:lvlJc w:val="left"/>
      <w:pPr>
        <w:tabs>
          <w:tab w:val="num" w:pos="2880"/>
        </w:tabs>
        <w:ind w:left="1680" w:hanging="420"/>
      </w:pPr>
    </w:lvl>
    <w:lvl w:ilvl="4">
      <w:start w:val="1"/>
      <w:numFmt w:val="lowerLetter"/>
      <w:lvlText w:val="%5)"/>
      <w:lvlJc w:val="left"/>
      <w:pPr>
        <w:tabs>
          <w:tab w:val="num" w:pos="3600"/>
        </w:tabs>
        <w:ind w:left="2100" w:hanging="420"/>
      </w:pPr>
    </w:lvl>
    <w:lvl w:ilvl="5">
      <w:start w:val="1"/>
      <w:numFmt w:val="lowerRoman"/>
      <w:lvlText w:val="%6."/>
      <w:lvlJc w:val="right"/>
      <w:pPr>
        <w:tabs>
          <w:tab w:val="num" w:pos="4320"/>
        </w:tabs>
        <w:ind w:left="2520" w:hanging="420"/>
      </w:pPr>
    </w:lvl>
    <w:lvl w:ilvl="6">
      <w:start w:val="1"/>
      <w:numFmt w:val="decimal"/>
      <w:lvlText w:val="%7."/>
      <w:lvlJc w:val="left"/>
      <w:pPr>
        <w:tabs>
          <w:tab w:val="num" w:pos="5040"/>
        </w:tabs>
        <w:ind w:left="2940" w:hanging="420"/>
      </w:pPr>
    </w:lvl>
    <w:lvl w:ilvl="7">
      <w:start w:val="1"/>
      <w:numFmt w:val="lowerLetter"/>
      <w:lvlText w:val="%8)"/>
      <w:lvlJc w:val="left"/>
      <w:pPr>
        <w:tabs>
          <w:tab w:val="num" w:pos="5760"/>
        </w:tabs>
        <w:ind w:left="3360" w:hanging="420"/>
      </w:pPr>
    </w:lvl>
    <w:lvl w:ilvl="8">
      <w:start w:val="1"/>
      <w:numFmt w:val="lowerRoman"/>
      <w:lvlText w:val="%9."/>
      <w:lvlJc w:val="right"/>
      <w:pPr>
        <w:tabs>
          <w:tab w:val="num" w:pos="6480"/>
        </w:tabs>
        <w:ind w:left="3780" w:hanging="420"/>
      </w:pPr>
    </w:lvl>
  </w:abstractNum>
  <w:abstractNum w:abstractNumId="21">
    <w:nsid w:val="44582D9F"/>
    <w:multiLevelType w:val="multilevel"/>
    <w:tmpl w:val="44582D9F"/>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2">
    <w:nsid w:val="55C07924"/>
    <w:multiLevelType w:val="multilevel"/>
    <w:tmpl w:val="55C07924"/>
    <w:lvl w:ilvl="0">
      <w:start w:val="1"/>
      <w:numFmt w:val="decimal"/>
      <w:pStyle w:val="Heading1"/>
      <w:lvlText w:val="%1"/>
      <w:lvlJc w:val="left"/>
      <w:pPr>
        <w:tabs>
          <w:tab w:val="num" w:pos="720"/>
        </w:tabs>
        <w:ind w:left="0" w:firstLine="0"/>
      </w:pPr>
      <w:rPr>
        <w:i w:val="0"/>
        <w:caps w:val="0"/>
        <w:smallCaps w:val="0"/>
      </w:rPr>
    </w:lvl>
    <w:lvl w:ilvl="1">
      <w:start w:val="1"/>
      <w:numFmt w:val="decimal"/>
      <w:pStyle w:val="Heading2"/>
      <w:lvlText w:val="%1.%2"/>
      <w:lvlJc w:val="left"/>
      <w:pPr>
        <w:tabs>
          <w:tab w:val="num" w:pos="1440"/>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color w:val="000000"/>
        <w:spacing w:val="0"/>
        <w:w w:val="100"/>
        <w:kern w:val="0"/>
        <w:position w:val="0"/>
        <w:szCs w:val="2"/>
        <w:u w:val="none"/>
        <w:vertAlign w:val="baseline"/>
      </w:rPr>
    </w:lvl>
    <w:lvl w:ilvl="2">
      <w:start w:val="1"/>
      <w:numFmt w:val="decimal"/>
      <w:pStyle w:val="Heading3"/>
      <w:lvlText w:val="%1.%2.%3"/>
      <w:lvlJc w:val="left"/>
      <w:pPr>
        <w:tabs>
          <w:tab w:val="num" w:pos="2160"/>
        </w:tabs>
        <w:ind w:left="720" w:hanging="720"/>
      </w:pPr>
      <w:rPr>
        <w:caps w:val="0"/>
        <w:smallCaps w:val="0"/>
      </w:rPr>
    </w:lvl>
    <w:lvl w:ilvl="3">
      <w:start w:val="1"/>
      <w:numFmt w:val="decimal"/>
      <w:pStyle w:val="Heading4"/>
      <w:lvlText w:val="%1.%2.%3.%4"/>
      <w:lvlJc w:val="left"/>
      <w:pPr>
        <w:tabs>
          <w:tab w:val="num" w:pos="2880"/>
        </w:tabs>
        <w:ind w:left="864" w:hanging="864"/>
      </w:pPr>
      <w:rPr>
        <w:caps w:val="0"/>
        <w:smallCaps w:val="0"/>
      </w:rPr>
    </w:lvl>
    <w:lvl w:ilvl="4">
      <w:start w:val="1"/>
      <w:numFmt w:val="decimal"/>
      <w:pStyle w:val="Heading5"/>
      <w:lvlText w:val="%1.%2.%3.%4.%5"/>
      <w:lvlJc w:val="left"/>
      <w:pPr>
        <w:tabs>
          <w:tab w:val="num" w:pos="3600"/>
        </w:tabs>
        <w:ind w:left="1008" w:hanging="1008"/>
      </w:pPr>
      <w:rPr>
        <w:caps w:val="0"/>
        <w:smallCaps w:val="0"/>
      </w:rPr>
    </w:lvl>
    <w:lvl w:ilvl="5">
      <w:start w:val="1"/>
      <w:numFmt w:val="decimal"/>
      <w:pStyle w:val="Heading6"/>
      <w:lvlText w:val="%1.%2.%3.%4.%5.%6"/>
      <w:lvlJc w:val="left"/>
      <w:pPr>
        <w:tabs>
          <w:tab w:val="num" w:pos="4320"/>
        </w:tabs>
        <w:ind w:left="1152" w:hanging="1152"/>
      </w:pPr>
      <w:rPr>
        <w:caps w:val="0"/>
        <w:smallCaps w:val="0"/>
      </w:rPr>
    </w:lvl>
    <w:lvl w:ilvl="6">
      <w:start w:val="1"/>
      <w:numFmt w:val="decimal"/>
      <w:pStyle w:val="Heading7"/>
      <w:lvlText w:val="%1.%2.%3.%4.%5.%6.%7"/>
      <w:lvlJc w:val="left"/>
      <w:pPr>
        <w:tabs>
          <w:tab w:val="num" w:pos="5040"/>
        </w:tabs>
        <w:ind w:left="1296" w:hanging="1296"/>
      </w:pPr>
      <w:rPr>
        <w:caps w:val="0"/>
        <w:smallCaps w:val="0"/>
      </w:rPr>
    </w:lvl>
    <w:lvl w:ilvl="7">
      <w:start w:val="1"/>
      <w:numFmt w:val="decimal"/>
      <w:pStyle w:val="Heading8"/>
      <w:lvlText w:val="%1.%2.%3.%4.%5.%6.%7.%8"/>
      <w:lvlJc w:val="left"/>
      <w:pPr>
        <w:tabs>
          <w:tab w:val="num" w:pos="5760"/>
        </w:tabs>
        <w:ind w:left="1440" w:hanging="1440"/>
      </w:pPr>
      <w:rPr>
        <w:caps w:val="0"/>
        <w:smallCaps w:val="0"/>
      </w:rPr>
    </w:lvl>
    <w:lvl w:ilvl="8">
      <w:start w:val="1"/>
      <w:numFmt w:val="decimal"/>
      <w:pStyle w:val="Heading9"/>
      <w:lvlText w:val="%1.%2.%3.%4.%5.%6.%7.%8.%9"/>
      <w:lvlJc w:val="left"/>
      <w:pPr>
        <w:tabs>
          <w:tab w:val="num" w:pos="6480"/>
        </w:tabs>
        <w:ind w:left="1584" w:hanging="1584"/>
      </w:pPr>
      <w:rPr>
        <w:caps w:val="0"/>
        <w:smallCaps w:val="0"/>
      </w:rPr>
    </w:lvl>
  </w:abstractNum>
  <w:abstractNum w:abstractNumId="23">
    <w:nsid w:val="5DDE4961"/>
    <w:multiLevelType w:val="multilevel"/>
    <w:tmpl w:val="5DDE4961"/>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4">
    <w:nsid w:val="64814649"/>
    <w:multiLevelType w:val="singleLevel"/>
    <w:tmpl w:val="64814649"/>
    <w:lvl w:ilvl="0">
      <w:start w:val="2"/>
      <w:numFmt w:val="chineseCounting"/>
      <w:suff w:val="nothing"/>
      <w:lvlText w:val="%1、"/>
      <w:lvlJc w:val="left"/>
    </w:lvl>
  </w:abstractNum>
  <w:abstractNum w:abstractNumId="25">
    <w:nsid w:val="67FC07D5"/>
    <w:multiLevelType w:val="hybridMultilevel"/>
    <w:tmpl w:val="B1B865E6"/>
    <w:lvl w:ilvl="0">
      <w:start w:val="1"/>
      <w:numFmt w:val="decimal"/>
      <w:lvlText w:val="%1．"/>
      <w:lvlJc w:val="left"/>
      <w:pPr>
        <w:tabs>
          <w:tab w:val="num" w:pos="720"/>
        </w:tabs>
        <w:ind w:left="360" w:hanging="360"/>
      </w:pPr>
      <w:rPr>
        <w:caps w:val="0"/>
        <w:smallCaps w:val="0"/>
      </w:rPr>
    </w:lvl>
    <w:lvl w:ilvl="1">
      <w:start w:val="1"/>
      <w:numFmt w:val="lowerLetter"/>
      <w:lvlText w:val="%2)"/>
      <w:lvlJc w:val="left"/>
      <w:pPr>
        <w:tabs>
          <w:tab w:val="num" w:pos="1440"/>
        </w:tabs>
        <w:ind w:left="840" w:hanging="420"/>
      </w:pPr>
    </w:lvl>
    <w:lvl w:ilvl="2">
      <w:start w:val="1"/>
      <w:numFmt w:val="lowerRoman"/>
      <w:lvlText w:val="%3."/>
      <w:lvlJc w:val="right"/>
      <w:pPr>
        <w:tabs>
          <w:tab w:val="num" w:pos="2160"/>
        </w:tabs>
        <w:ind w:left="1260" w:hanging="420"/>
      </w:pPr>
    </w:lvl>
    <w:lvl w:ilvl="3">
      <w:start w:val="1"/>
      <w:numFmt w:val="decimal"/>
      <w:lvlText w:val="%4."/>
      <w:lvlJc w:val="left"/>
      <w:pPr>
        <w:tabs>
          <w:tab w:val="num" w:pos="2880"/>
        </w:tabs>
        <w:ind w:left="1680" w:hanging="420"/>
      </w:pPr>
    </w:lvl>
    <w:lvl w:ilvl="4">
      <w:start w:val="1"/>
      <w:numFmt w:val="lowerLetter"/>
      <w:lvlText w:val="%5)"/>
      <w:lvlJc w:val="left"/>
      <w:pPr>
        <w:tabs>
          <w:tab w:val="num" w:pos="3600"/>
        </w:tabs>
        <w:ind w:left="2100" w:hanging="420"/>
      </w:pPr>
    </w:lvl>
    <w:lvl w:ilvl="5">
      <w:start w:val="1"/>
      <w:numFmt w:val="lowerRoman"/>
      <w:lvlText w:val="%6."/>
      <w:lvlJc w:val="right"/>
      <w:pPr>
        <w:tabs>
          <w:tab w:val="num" w:pos="4320"/>
        </w:tabs>
        <w:ind w:left="2520" w:hanging="420"/>
      </w:pPr>
    </w:lvl>
    <w:lvl w:ilvl="6">
      <w:start w:val="1"/>
      <w:numFmt w:val="decimal"/>
      <w:lvlText w:val="%7."/>
      <w:lvlJc w:val="left"/>
      <w:pPr>
        <w:tabs>
          <w:tab w:val="num" w:pos="5040"/>
        </w:tabs>
        <w:ind w:left="2940" w:hanging="420"/>
      </w:pPr>
    </w:lvl>
    <w:lvl w:ilvl="7">
      <w:start w:val="1"/>
      <w:numFmt w:val="lowerLetter"/>
      <w:lvlText w:val="%8)"/>
      <w:lvlJc w:val="left"/>
      <w:pPr>
        <w:tabs>
          <w:tab w:val="num" w:pos="5760"/>
        </w:tabs>
        <w:ind w:left="3360" w:hanging="420"/>
      </w:pPr>
    </w:lvl>
    <w:lvl w:ilvl="8">
      <w:start w:val="1"/>
      <w:numFmt w:val="lowerRoman"/>
      <w:lvlText w:val="%9."/>
      <w:lvlJc w:val="right"/>
      <w:pPr>
        <w:tabs>
          <w:tab w:val="num" w:pos="6480"/>
        </w:tabs>
        <w:ind w:left="3780" w:hanging="420"/>
      </w:pPr>
    </w:lvl>
  </w:abstractNum>
  <w:abstractNum w:abstractNumId="26">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7">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lvlOverride w:ilvl="0">
      <w:startOverride w:val="561650400"/>
      <w:lvl w:ilvl="0">
        <w:start w:val="0"/>
        <w:numFmt w:val="decimal"/>
        <w:lvlText w:val="%1、"/>
        <w:lvlJc w:val="left"/>
        <w:pPr>
          <w:tabs>
            <w:tab w:val="num" w:pos="0"/>
          </w:tabs>
          <w:ind w:left="360" w:hanging="360"/>
        </w:pPr>
        <w:rPr>
          <w:rFonts w:hint="default"/>
        </w:rPr>
      </w:lvl>
    </w:lvlOverride>
    <w:lvlOverride w:ilvl="1">
      <w:startOverride w:val="561651024"/>
      <w:lvl w:ilvl="1">
        <w:start w:val="0"/>
        <w:numFmt w:val="lowerLetter"/>
        <w:lvlText w:val="%2)"/>
        <w:lvlJc w:val="left"/>
        <w:pPr>
          <w:tabs>
            <w:tab w:val="num" w:pos="0"/>
          </w:tabs>
          <w:ind w:left="840" w:hanging="420"/>
        </w:pPr>
      </w:lvl>
    </w:lvlOverride>
    <w:lvlOverride w:ilvl="2">
      <w:startOverride w:val="561651072"/>
      <w:lvl w:ilvl="2">
        <w:start w:val="0"/>
        <w:numFmt w:val="lowerRoman"/>
        <w:lvlText w:val="%3."/>
        <w:lvlJc w:val="right"/>
        <w:pPr>
          <w:tabs>
            <w:tab w:val="num" w:pos="0"/>
          </w:tabs>
          <w:ind w:left="1260" w:hanging="420"/>
        </w:pPr>
      </w:lvl>
    </w:lvlOverride>
    <w:lvlOverride w:ilvl="3">
      <w:startOverride w:val="561651456"/>
      <w:lvl w:ilvl="3">
        <w:start w:val="0"/>
        <w:numFmt w:val="decimal"/>
        <w:lvlText w:val="%4."/>
        <w:lvlJc w:val="left"/>
        <w:pPr>
          <w:tabs>
            <w:tab w:val="num" w:pos="0"/>
          </w:tabs>
          <w:ind w:left="1680" w:hanging="420"/>
        </w:pPr>
      </w:lvl>
    </w:lvlOverride>
    <w:lvlOverride w:ilvl="4">
      <w:startOverride w:val="561650256"/>
      <w:lvl w:ilvl="4">
        <w:start w:val="0"/>
        <w:numFmt w:val="lowerLetter"/>
        <w:lvlText w:val="%5)"/>
        <w:lvlJc w:val="left"/>
        <w:pPr>
          <w:tabs>
            <w:tab w:val="num" w:pos="0"/>
          </w:tabs>
          <w:ind w:left="2100" w:hanging="420"/>
        </w:pPr>
      </w:lvl>
    </w:lvlOverride>
    <w:lvlOverride w:ilvl="5">
      <w:startOverride w:val="561651168"/>
      <w:lvl w:ilvl="5">
        <w:start w:val="0"/>
        <w:numFmt w:val="lowerRoman"/>
        <w:lvlText w:val="%6."/>
        <w:lvlJc w:val="right"/>
        <w:pPr>
          <w:tabs>
            <w:tab w:val="num" w:pos="0"/>
          </w:tabs>
          <w:ind w:left="2520" w:hanging="420"/>
        </w:pPr>
      </w:lvl>
    </w:lvlOverride>
    <w:lvlOverride w:ilvl="6">
      <w:startOverride w:val="561650928"/>
      <w:lvl w:ilvl="6">
        <w:start w:val="0"/>
        <w:numFmt w:val="decimal"/>
        <w:lvlText w:val="%7."/>
        <w:lvlJc w:val="left"/>
        <w:pPr>
          <w:tabs>
            <w:tab w:val="num" w:pos="0"/>
          </w:tabs>
          <w:ind w:left="2940" w:hanging="420"/>
        </w:pPr>
      </w:lvl>
    </w:lvlOverride>
    <w:lvlOverride w:ilvl="7">
      <w:startOverride w:val="587614704"/>
      <w:lvl w:ilvl="7">
        <w:start w:val="0"/>
        <w:numFmt w:val="lowerLetter"/>
        <w:lvlText w:val="%8)"/>
        <w:lvlJc w:val="left"/>
        <w:pPr>
          <w:tabs>
            <w:tab w:val="num" w:pos="0"/>
          </w:tabs>
          <w:ind w:left="3360" w:hanging="420"/>
        </w:pPr>
      </w:lvl>
    </w:lvlOverride>
    <w:lvlOverride w:ilvl="8">
      <w:startOverride w:val="561650160"/>
      <w:lvl w:ilvl="8">
        <w:start w:val="0"/>
        <w:numFmt w:val="lowerRoman"/>
        <w:lvlText w:val="%9."/>
        <w:lvlJc w:val="right"/>
        <w:pPr>
          <w:tabs>
            <w:tab w:val="num" w:pos="0"/>
          </w:tabs>
          <w:ind w:left="3780" w:hanging="420"/>
        </w:pPr>
      </w:lvl>
    </w:lvlOverride>
  </w:num>
  <w:num w:numId="3">
    <w:abstractNumId w:val="20"/>
    <w:lvlOverride w:ilvl="0">
      <w:startOverride w:val="561651216"/>
      <w:lvl w:ilvl="0">
        <w:start w:val="0"/>
        <w:numFmt w:val="decimal"/>
        <w:lvlText w:val="%1、"/>
        <w:lvlJc w:val="left"/>
        <w:pPr>
          <w:tabs>
            <w:tab w:val="num" w:pos="720"/>
          </w:tabs>
          <w:ind w:left="360" w:hanging="360"/>
        </w:pPr>
        <w:rPr>
          <w:caps w:val="0"/>
          <w:smallCaps w:val="0"/>
        </w:rPr>
      </w:lvl>
    </w:lvlOverride>
    <w:lvlOverride w:ilvl="1">
      <w:startOverride w:val="561650880"/>
      <w:lvl w:ilvl="1">
        <w:start w:val="0"/>
        <w:numFmt w:val="lowerLetter"/>
        <w:lvlText w:val="%2)"/>
        <w:lvlJc w:val="left"/>
        <w:pPr>
          <w:tabs>
            <w:tab w:val="num" w:pos="1440"/>
          </w:tabs>
          <w:ind w:left="840" w:hanging="420"/>
        </w:pPr>
      </w:lvl>
    </w:lvlOverride>
    <w:lvlOverride w:ilvl="2">
      <w:startOverride w:val="561651264"/>
      <w:lvl w:ilvl="2">
        <w:start w:val="0"/>
        <w:numFmt w:val="lowerRoman"/>
        <w:lvlText w:val="%3."/>
        <w:lvlJc w:val="right"/>
        <w:pPr>
          <w:tabs>
            <w:tab w:val="num" w:pos="2160"/>
          </w:tabs>
          <w:ind w:left="1260" w:hanging="420"/>
        </w:pPr>
      </w:lvl>
    </w:lvlOverride>
    <w:lvlOverride w:ilvl="3">
      <w:startOverride w:val="587614752"/>
      <w:lvl w:ilvl="3">
        <w:start w:val="0"/>
        <w:numFmt w:val="decimal"/>
        <w:lvlText w:val="%4."/>
        <w:lvlJc w:val="left"/>
        <w:pPr>
          <w:tabs>
            <w:tab w:val="num" w:pos="2880"/>
          </w:tabs>
          <w:ind w:left="1680" w:hanging="420"/>
        </w:pPr>
      </w:lvl>
    </w:lvlOverride>
    <w:lvlOverride w:ilvl="4">
      <w:startOverride w:val="587614512"/>
      <w:lvl w:ilvl="4">
        <w:start w:val="0"/>
        <w:numFmt w:val="lowerLetter"/>
        <w:lvlText w:val="%5)"/>
        <w:lvlJc w:val="left"/>
        <w:pPr>
          <w:tabs>
            <w:tab w:val="num" w:pos="3600"/>
          </w:tabs>
          <w:ind w:left="2100" w:hanging="420"/>
        </w:pPr>
      </w:lvl>
    </w:lvlOverride>
    <w:lvlOverride w:ilvl="5">
      <w:startOverride w:val="587614656"/>
      <w:lvl w:ilvl="5">
        <w:start w:val="0"/>
        <w:numFmt w:val="lowerRoman"/>
        <w:lvlText w:val="%6."/>
        <w:lvlJc w:val="right"/>
        <w:pPr>
          <w:tabs>
            <w:tab w:val="num" w:pos="4320"/>
          </w:tabs>
          <w:ind w:left="2520" w:hanging="420"/>
        </w:pPr>
      </w:lvl>
    </w:lvlOverride>
    <w:lvlOverride w:ilvl="6">
      <w:startOverride w:val="587614560"/>
      <w:lvl w:ilvl="6">
        <w:start w:val="0"/>
        <w:numFmt w:val="decimal"/>
        <w:lvlText w:val="%7."/>
        <w:lvlJc w:val="left"/>
        <w:pPr>
          <w:tabs>
            <w:tab w:val="num" w:pos="5040"/>
          </w:tabs>
          <w:ind w:left="2940" w:hanging="420"/>
        </w:pPr>
      </w:lvl>
    </w:lvlOverride>
    <w:lvlOverride w:ilvl="7">
      <w:startOverride w:val="561648912"/>
      <w:lvl w:ilvl="7">
        <w:start w:val="0"/>
        <w:numFmt w:val="lowerLetter"/>
        <w:lvlText w:val="%8)"/>
        <w:lvlJc w:val="left"/>
        <w:pPr>
          <w:tabs>
            <w:tab w:val="num" w:pos="5760"/>
          </w:tabs>
          <w:ind w:left="3360" w:hanging="420"/>
        </w:pPr>
      </w:lvl>
    </w:lvlOverride>
    <w:lvlOverride w:ilvl="8">
      <w:startOverride w:val="463687968"/>
      <w:lvl w:ilvl="8">
        <w:start w:val="0"/>
        <w:numFmt w:val="lowerRoman"/>
        <w:lvlText w:val="%9."/>
        <w:lvlJc w:val="right"/>
        <w:pPr>
          <w:tabs>
            <w:tab w:val="num" w:pos="6480"/>
          </w:tabs>
          <w:ind w:left="3780" w:hanging="420"/>
        </w:pPr>
      </w:lvl>
    </w:lvlOverride>
  </w:num>
  <w:num w:numId="4">
    <w:abstractNumId w:val="25"/>
    <w:lvlOverride w:ilvl="0">
      <w:startOverride w:val="587614272"/>
      <w:lvl w:ilvl="0">
        <w:start w:val="0"/>
        <w:numFmt w:val="decimal"/>
        <w:lvlText w:val="%1．"/>
        <w:lvlJc w:val="left"/>
        <w:pPr>
          <w:tabs>
            <w:tab w:val="num" w:pos="720"/>
          </w:tabs>
          <w:ind w:left="360" w:hanging="360"/>
        </w:pPr>
        <w:rPr>
          <w:caps w:val="0"/>
          <w:smallCaps w:val="0"/>
        </w:rPr>
      </w:lvl>
    </w:lvlOverride>
    <w:lvlOverride w:ilvl="1">
      <w:startOverride w:val="587612304"/>
      <w:lvl w:ilvl="1">
        <w:start w:val="0"/>
        <w:numFmt w:val="lowerLetter"/>
        <w:lvlText w:val="%2)"/>
        <w:lvlJc w:val="left"/>
        <w:pPr>
          <w:tabs>
            <w:tab w:val="num" w:pos="1440"/>
          </w:tabs>
          <w:ind w:left="840" w:hanging="420"/>
        </w:pPr>
      </w:lvl>
    </w:lvlOverride>
    <w:lvlOverride w:ilvl="2">
      <w:startOverride w:val="587612256"/>
      <w:lvl w:ilvl="2">
        <w:start w:val="0"/>
        <w:numFmt w:val="lowerRoman"/>
        <w:lvlText w:val="%3."/>
        <w:lvlJc w:val="right"/>
        <w:pPr>
          <w:tabs>
            <w:tab w:val="num" w:pos="2160"/>
          </w:tabs>
          <w:ind w:left="1260" w:hanging="420"/>
        </w:pPr>
      </w:lvl>
    </w:lvlOverride>
    <w:lvlOverride w:ilvl="3">
      <w:startOverride w:val="587612352"/>
      <w:lvl w:ilvl="3">
        <w:start w:val="0"/>
        <w:numFmt w:val="decimal"/>
        <w:lvlText w:val="%4."/>
        <w:lvlJc w:val="left"/>
        <w:pPr>
          <w:tabs>
            <w:tab w:val="num" w:pos="2880"/>
          </w:tabs>
          <w:ind w:left="1680" w:hanging="420"/>
        </w:pPr>
      </w:lvl>
    </w:lvlOverride>
    <w:lvlOverride w:ilvl="4">
      <w:startOverride w:val="587612400"/>
      <w:lvl w:ilvl="4">
        <w:start w:val="0"/>
        <w:numFmt w:val="lowerLetter"/>
        <w:lvlText w:val="%5)"/>
        <w:lvlJc w:val="left"/>
        <w:pPr>
          <w:tabs>
            <w:tab w:val="num" w:pos="3600"/>
          </w:tabs>
          <w:ind w:left="2100" w:hanging="420"/>
        </w:pPr>
      </w:lvl>
    </w:lvlOverride>
    <w:lvlOverride w:ilvl="5">
      <w:startOverride w:val="79063728"/>
      <w:lvl w:ilvl="5">
        <w:start w:val="0"/>
        <w:numFmt w:val="lowerRoman"/>
        <w:lvlText w:val="%6."/>
        <w:lvlJc w:val="right"/>
        <w:pPr>
          <w:tabs>
            <w:tab w:val="num" w:pos="4320"/>
          </w:tabs>
          <w:ind w:left="2520" w:hanging="420"/>
        </w:pPr>
      </w:lvl>
    </w:lvlOverride>
    <w:lvlOverride w:ilvl="6">
      <w:startOverride w:val="89450704"/>
      <w:lvl w:ilvl="6">
        <w:start w:val="0"/>
        <w:numFmt w:val="decimal"/>
        <w:lvlText w:val="%7."/>
        <w:lvlJc w:val="left"/>
        <w:pPr>
          <w:tabs>
            <w:tab w:val="num" w:pos="5040"/>
          </w:tabs>
          <w:ind w:left="2940" w:hanging="420"/>
        </w:pPr>
      </w:lvl>
    </w:lvlOverride>
    <w:lvlOverride w:ilvl="7">
      <w:startOverride w:val="89450848"/>
      <w:lvl w:ilvl="7">
        <w:start w:val="0"/>
        <w:numFmt w:val="lowerLetter"/>
        <w:lvlText w:val="%8)"/>
        <w:lvlJc w:val="left"/>
        <w:pPr>
          <w:tabs>
            <w:tab w:val="num" w:pos="5760"/>
          </w:tabs>
          <w:ind w:left="3360" w:hanging="420"/>
        </w:pPr>
      </w:lvl>
    </w:lvlOverride>
    <w:lvlOverride w:ilvl="8">
      <w:startOverride w:val="89450944"/>
      <w:lvl w:ilvl="8">
        <w:start w:val="0"/>
        <w:numFmt w:val="lowerRoman"/>
        <w:lvlText w:val="%9."/>
        <w:lvlJc w:val="right"/>
        <w:pPr>
          <w:tabs>
            <w:tab w:val="num" w:pos="6480"/>
          </w:tabs>
          <w:ind w:left="3780" w:hanging="420"/>
        </w:pPr>
      </w:lvl>
    </w:lvlOverride>
  </w:num>
  <w:num w:numId="5">
    <w:abstractNumId w:val="22"/>
    <w:lvlOverride w:ilvl="0">
      <w:startOverride w:val="561651408"/>
      <w:lvl w:ilvl="0">
        <w:start w:val="0"/>
        <w:numFmt w:val="decimal"/>
        <w:lvlText w:val="%1"/>
        <w:lvlJc w:val="left"/>
        <w:pPr>
          <w:tabs>
            <w:tab w:val="num" w:pos="720"/>
          </w:tabs>
          <w:ind w:left="0" w:firstLine="0"/>
        </w:pPr>
        <w:rPr>
          <w:i w:val="0"/>
          <w:caps w:val="0"/>
          <w:smallCaps w:val="0"/>
        </w:rPr>
      </w:lvl>
    </w:lvlOverride>
    <w:lvlOverride w:ilvl="1">
      <w:startOverride w:val="561650688"/>
      <w:lvl w:ilvl="1">
        <w:start w:val="0"/>
        <w:numFmt w:val="decimal"/>
        <w:lvlText w:val="%1.%2"/>
        <w:lvlJc w:val="left"/>
        <w:pPr>
          <w:tabs>
            <w:tab w:val="num" w:pos="1440"/>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color w:val="000000"/>
          <w:spacing w:val="0"/>
          <w:w w:val="100"/>
          <w:kern w:val="0"/>
          <w:position w:val="0"/>
          <w:szCs w:val="2"/>
          <w:u w:val="none"/>
          <w:vertAlign w:val="baseline"/>
        </w:rPr>
      </w:lvl>
    </w:lvlOverride>
    <w:lvlOverride w:ilvl="2">
      <w:startOverride w:val="561650640"/>
      <w:lvl w:ilvl="2">
        <w:start w:val="0"/>
        <w:numFmt w:val="decimal"/>
        <w:lvlText w:val="%1.%2.%3"/>
        <w:lvlJc w:val="left"/>
        <w:pPr>
          <w:tabs>
            <w:tab w:val="num" w:pos="2160"/>
          </w:tabs>
          <w:ind w:left="720" w:hanging="720"/>
        </w:pPr>
        <w:rPr>
          <w:caps w:val="0"/>
          <w:smallCaps w:val="0"/>
        </w:rPr>
      </w:lvl>
    </w:lvlOverride>
    <w:lvlOverride w:ilvl="3">
      <w:startOverride w:val="561650496"/>
      <w:lvl w:ilvl="3">
        <w:start w:val="0"/>
        <w:numFmt w:val="decimal"/>
        <w:lvlText w:val="%1.%2.%3.%4"/>
        <w:lvlJc w:val="left"/>
        <w:pPr>
          <w:tabs>
            <w:tab w:val="num" w:pos="2880"/>
          </w:tabs>
          <w:ind w:left="864" w:hanging="864"/>
        </w:pPr>
        <w:rPr>
          <w:caps w:val="0"/>
          <w:smallCaps w:val="0"/>
        </w:rPr>
      </w:lvl>
    </w:lvlOverride>
    <w:lvlOverride w:ilvl="4">
      <w:startOverride w:val="561650448"/>
      <w:lvl w:ilvl="4">
        <w:start w:val="0"/>
        <w:numFmt w:val="decimal"/>
        <w:lvlText w:val="%1.%2.%3.%4.%5"/>
        <w:lvlJc w:val="left"/>
        <w:pPr>
          <w:tabs>
            <w:tab w:val="num" w:pos="3600"/>
          </w:tabs>
          <w:ind w:left="1008" w:hanging="1008"/>
        </w:pPr>
        <w:rPr>
          <w:caps w:val="0"/>
          <w:smallCaps w:val="0"/>
        </w:rPr>
      </w:lvl>
    </w:lvlOverride>
    <w:lvlOverride w:ilvl="5">
      <w:startOverride w:val="561651504"/>
      <w:lvl w:ilvl="5">
        <w:start w:val="0"/>
        <w:numFmt w:val="decimal"/>
        <w:lvlText w:val="%1.%2.%3.%4.%5.%6"/>
        <w:lvlJc w:val="left"/>
        <w:pPr>
          <w:tabs>
            <w:tab w:val="num" w:pos="4320"/>
          </w:tabs>
          <w:ind w:left="1152" w:hanging="1152"/>
        </w:pPr>
        <w:rPr>
          <w:caps w:val="0"/>
          <w:smallCaps w:val="0"/>
        </w:rPr>
      </w:lvl>
    </w:lvlOverride>
    <w:lvlOverride w:ilvl="6">
      <w:startOverride w:val="561650112"/>
      <w:lvl w:ilvl="6">
        <w:start w:val="0"/>
        <w:numFmt w:val="decimal"/>
        <w:lvlText w:val="%1.%2.%3.%4.%5.%6.%7"/>
        <w:lvlJc w:val="left"/>
        <w:pPr>
          <w:tabs>
            <w:tab w:val="num" w:pos="5040"/>
          </w:tabs>
          <w:ind w:left="1296" w:hanging="1296"/>
        </w:pPr>
        <w:rPr>
          <w:caps w:val="0"/>
          <w:smallCaps w:val="0"/>
        </w:rPr>
      </w:lvl>
    </w:lvlOverride>
    <w:lvlOverride w:ilvl="7">
      <w:startOverride w:val="561651312"/>
      <w:lvl w:ilvl="7">
        <w:start w:val="0"/>
        <w:numFmt w:val="decimal"/>
        <w:lvlText w:val="%1.%2.%3.%4.%5.%6.%7.%8"/>
        <w:lvlJc w:val="left"/>
        <w:pPr>
          <w:tabs>
            <w:tab w:val="num" w:pos="5760"/>
          </w:tabs>
          <w:ind w:left="1440" w:hanging="1440"/>
        </w:pPr>
        <w:rPr>
          <w:caps w:val="0"/>
          <w:smallCaps w:val="0"/>
        </w:rPr>
      </w:lvl>
    </w:lvlOverride>
    <w:lvlOverride w:ilvl="8">
      <w:startOverride w:val="561651120"/>
      <w:lvl w:ilvl="8">
        <w:start w:val="0"/>
        <w:numFmt w:val="decimal"/>
        <w:lvlText w:val="%1.%2.%3.%4.%5.%6.%7.%8.%9"/>
        <w:lvlJc w:val="left"/>
        <w:pPr>
          <w:tabs>
            <w:tab w:val="num" w:pos="6480"/>
          </w:tabs>
          <w:ind w:left="1584" w:hanging="1584"/>
        </w:pPr>
        <w:rPr>
          <w:caps w:val="0"/>
          <w:smallCaps w:val="0"/>
        </w:rPr>
      </w:lvl>
    </w:lvlOverride>
  </w:num>
  <w:num w:numId="6">
    <w:abstractNumId w:val="21"/>
    <w:lvlOverride w:ilvl="0">
      <w:startOverride w:val="89538848"/>
      <w:lvl w:ilvl="0">
        <w:start w:val="0"/>
        <w:numFmt w:val="decimal"/>
        <w:lvlText w:val="%1."/>
        <w:lvlJc w:val="left"/>
        <w:pPr>
          <w:tabs>
            <w:tab w:val="num" w:pos="0"/>
          </w:tabs>
          <w:ind w:left="360" w:hanging="360"/>
        </w:pPr>
        <w:rPr>
          <w:rFonts w:hint="default"/>
        </w:rPr>
      </w:lvl>
    </w:lvlOverride>
    <w:lvlOverride w:ilvl="1">
      <w:startOverride w:val="240999904"/>
      <w:lvl w:ilvl="1">
        <w:start w:val="0"/>
        <w:numFmt w:val="lowerLetter"/>
        <w:lvlText w:val="%2)"/>
        <w:lvlJc w:val="left"/>
        <w:pPr>
          <w:tabs>
            <w:tab w:val="num" w:pos="0"/>
          </w:tabs>
          <w:ind w:left="840" w:hanging="420"/>
        </w:pPr>
      </w:lvl>
    </w:lvlOverride>
    <w:lvlOverride w:ilvl="2">
      <w:startOverride w:val="241000000"/>
      <w:lvl w:ilvl="2">
        <w:start w:val="0"/>
        <w:numFmt w:val="lowerRoman"/>
        <w:lvlText w:val="%3."/>
        <w:lvlJc w:val="right"/>
        <w:pPr>
          <w:tabs>
            <w:tab w:val="num" w:pos="0"/>
          </w:tabs>
          <w:ind w:left="1260" w:hanging="420"/>
        </w:pPr>
      </w:lvl>
    </w:lvlOverride>
    <w:lvlOverride w:ilvl="3">
      <w:startOverride w:val="241113968"/>
      <w:lvl w:ilvl="3">
        <w:start w:val="0"/>
        <w:numFmt w:val="decimal"/>
        <w:lvlText w:val="%4."/>
        <w:lvlJc w:val="left"/>
        <w:pPr>
          <w:tabs>
            <w:tab w:val="num" w:pos="0"/>
          </w:tabs>
          <w:ind w:left="1680" w:hanging="420"/>
        </w:pPr>
      </w:lvl>
    </w:lvlOverride>
    <w:lvlOverride w:ilvl="4">
      <w:startOverride w:val="241114016"/>
      <w:lvl w:ilvl="4">
        <w:start w:val="0"/>
        <w:numFmt w:val="lowerLetter"/>
        <w:lvlText w:val="%5)"/>
        <w:lvlJc w:val="left"/>
        <w:pPr>
          <w:tabs>
            <w:tab w:val="num" w:pos="0"/>
          </w:tabs>
          <w:ind w:left="2100" w:hanging="420"/>
        </w:pPr>
      </w:lvl>
    </w:lvlOverride>
    <w:lvlOverride w:ilvl="5">
      <w:startOverride w:val="241114064"/>
      <w:lvl w:ilvl="5">
        <w:start w:val="0"/>
        <w:numFmt w:val="lowerRoman"/>
        <w:lvlText w:val="%6."/>
        <w:lvlJc w:val="right"/>
        <w:pPr>
          <w:tabs>
            <w:tab w:val="num" w:pos="0"/>
          </w:tabs>
          <w:ind w:left="2520" w:hanging="420"/>
        </w:pPr>
      </w:lvl>
    </w:lvlOverride>
    <w:lvlOverride w:ilvl="6">
      <w:startOverride w:val="421378688"/>
      <w:lvl w:ilvl="6">
        <w:start w:val="0"/>
        <w:numFmt w:val="decimal"/>
        <w:lvlText w:val="%7."/>
        <w:lvlJc w:val="left"/>
        <w:pPr>
          <w:tabs>
            <w:tab w:val="num" w:pos="0"/>
          </w:tabs>
          <w:ind w:left="2940" w:hanging="420"/>
        </w:pPr>
      </w:lvl>
    </w:lvlOverride>
    <w:lvlOverride w:ilvl="7">
      <w:startOverride w:val="429263728"/>
      <w:lvl w:ilvl="7">
        <w:start w:val="0"/>
        <w:numFmt w:val="lowerLetter"/>
        <w:lvlText w:val="%8)"/>
        <w:lvlJc w:val="left"/>
        <w:pPr>
          <w:tabs>
            <w:tab w:val="num" w:pos="0"/>
          </w:tabs>
          <w:ind w:left="3360" w:hanging="420"/>
        </w:pPr>
      </w:lvl>
    </w:lvlOverride>
    <w:lvlOverride w:ilvl="8">
      <w:startOverride w:val="458122512"/>
      <w:lvl w:ilvl="8">
        <w:start w:val="0"/>
        <w:numFmt w:val="lowerRoman"/>
        <w:lvlText w:val="%9."/>
        <w:lvlJc w:val="right"/>
        <w:pPr>
          <w:tabs>
            <w:tab w:val="num" w:pos="0"/>
          </w:tabs>
          <w:ind w:left="3780" w:hanging="420"/>
        </w:pPr>
      </w:lvl>
    </w:lvlOverride>
  </w:num>
  <w:num w:numId="7">
    <w:abstractNumId w:val="23"/>
    <w:lvlOverride w:ilvl="0">
      <w:startOverride w:val="458211328"/>
      <w:lvl w:ilvl="0">
        <w:start w:val="0"/>
        <w:numFmt w:val="decimal"/>
        <w:lvlText w:val="%1."/>
        <w:lvlJc w:val="left"/>
        <w:pPr>
          <w:tabs>
            <w:tab w:val="num" w:pos="0"/>
          </w:tabs>
          <w:ind w:left="360" w:hanging="360"/>
        </w:pPr>
        <w:rPr>
          <w:rFonts w:hint="default"/>
        </w:rPr>
      </w:lvl>
    </w:lvlOverride>
    <w:lvlOverride w:ilvl="1">
      <w:startOverride w:val="458211808"/>
      <w:lvl w:ilvl="1">
        <w:start w:val="0"/>
        <w:numFmt w:val="lowerLetter"/>
        <w:lvlText w:val="%2)"/>
        <w:lvlJc w:val="left"/>
        <w:pPr>
          <w:tabs>
            <w:tab w:val="num" w:pos="0"/>
          </w:tabs>
          <w:ind w:left="840" w:hanging="420"/>
        </w:pPr>
      </w:lvl>
    </w:lvlOverride>
    <w:lvlOverride w:ilvl="2">
      <w:startOverride w:val="458211904"/>
      <w:lvl w:ilvl="2">
        <w:start w:val="0"/>
        <w:numFmt w:val="lowerRoman"/>
        <w:lvlText w:val="%3."/>
        <w:lvlJc w:val="right"/>
        <w:pPr>
          <w:tabs>
            <w:tab w:val="num" w:pos="0"/>
          </w:tabs>
          <w:ind w:left="1260" w:hanging="420"/>
        </w:pPr>
      </w:lvl>
    </w:lvlOverride>
    <w:lvlOverride w:ilvl="3">
      <w:startOverride w:val="458211952"/>
      <w:lvl w:ilvl="3">
        <w:start w:val="0"/>
        <w:numFmt w:val="decimal"/>
        <w:lvlText w:val="%4."/>
        <w:lvlJc w:val="left"/>
        <w:pPr>
          <w:tabs>
            <w:tab w:val="num" w:pos="0"/>
          </w:tabs>
          <w:ind w:left="1680" w:hanging="420"/>
        </w:pPr>
      </w:lvl>
    </w:lvlOverride>
    <w:lvlOverride w:ilvl="4">
      <w:startOverride w:val="458213872"/>
      <w:lvl w:ilvl="4">
        <w:start w:val="0"/>
        <w:numFmt w:val="lowerLetter"/>
        <w:lvlText w:val="%5)"/>
        <w:lvlJc w:val="left"/>
        <w:pPr>
          <w:tabs>
            <w:tab w:val="num" w:pos="0"/>
          </w:tabs>
          <w:ind w:left="2100" w:hanging="420"/>
        </w:pPr>
      </w:lvl>
    </w:lvlOverride>
    <w:lvlOverride w:ilvl="5">
      <w:startOverride w:val="458213968"/>
      <w:lvl w:ilvl="5">
        <w:start w:val="0"/>
        <w:numFmt w:val="lowerRoman"/>
        <w:lvlText w:val="%6."/>
        <w:lvlJc w:val="right"/>
        <w:pPr>
          <w:tabs>
            <w:tab w:val="num" w:pos="0"/>
          </w:tabs>
          <w:ind w:left="2520" w:hanging="420"/>
        </w:pPr>
      </w:lvl>
    </w:lvlOverride>
    <w:lvlOverride w:ilvl="6">
      <w:startOverride w:val="458214352"/>
      <w:lvl w:ilvl="6">
        <w:start w:val="0"/>
        <w:numFmt w:val="decimal"/>
        <w:lvlText w:val="%7."/>
        <w:lvlJc w:val="left"/>
        <w:pPr>
          <w:tabs>
            <w:tab w:val="num" w:pos="0"/>
          </w:tabs>
          <w:ind w:left="2940" w:hanging="420"/>
        </w:pPr>
      </w:lvl>
    </w:lvlOverride>
    <w:lvlOverride w:ilvl="7">
      <w:startOverride w:val="458214592"/>
      <w:lvl w:ilvl="7">
        <w:start w:val="0"/>
        <w:numFmt w:val="lowerLetter"/>
        <w:lvlText w:val="%8)"/>
        <w:lvlJc w:val="left"/>
        <w:pPr>
          <w:tabs>
            <w:tab w:val="num" w:pos="0"/>
          </w:tabs>
          <w:ind w:left="3360" w:hanging="420"/>
        </w:pPr>
      </w:lvl>
    </w:lvlOverride>
    <w:lvlOverride w:ilvl="8">
      <w:startOverride w:val="458215264"/>
      <w:lvl w:ilvl="8">
        <w:start w:val="0"/>
        <w:numFmt w:val="lowerRoman"/>
        <w:lvlText w:val="%9."/>
        <w:lvlJc w:val="right"/>
        <w:pPr>
          <w:tabs>
            <w:tab w:val="num" w:pos="0"/>
          </w:tabs>
          <w:ind w:left="3780" w:hanging="420"/>
        </w:pPr>
      </w:lvl>
    </w:lvlOverride>
  </w:num>
  <w:num w:numId="8">
    <w:abstractNumId w:val="19"/>
  </w:num>
  <w:num w:numId="9">
    <w:abstractNumId w:val="10"/>
  </w:num>
  <w:num w:numId="10">
    <w:abstractNumId w:val="24"/>
  </w:num>
  <w:num w:numId="11">
    <w:abstractNumId w:val="4"/>
    <w:lvlOverride w:ilvl="0">
      <w:lvl w:ilvl="0">
        <w:start w:val="1"/>
        <w:numFmt w:val="decimal"/>
        <w:lvlText w:val="（"/>
        <w:lvlJc w:val="left"/>
        <w:pPr>
          <w:tabs>
            <w:tab w:val="num" w:pos="0"/>
          </w:tabs>
          <w:ind w:left="0" w:firstLine="0"/>
        </w:pPr>
      </w:lvl>
    </w:lvlOverride>
    <w:lvlOverride w:ilvl="1">
      <w:lvl w:ilvl="1">
        <w:start w:val="1"/>
        <w:numFmt w:val="decimal"/>
        <w:lvlText w:val=")"/>
        <w:lvlJc w:val="left"/>
        <w:pPr>
          <w:tabs>
            <w:tab w:val="num" w:pos="0"/>
          </w:tabs>
          <w:ind w:left="0" w:firstLine="0"/>
        </w:pPr>
      </w:lvl>
    </w:lvlOverride>
    <w:lvlOverride w:ilvl="2">
      <w:lvl w:ilvl="2">
        <w:start w:val="1"/>
        <w:numFmt w:val="decimal"/>
        <w:lvlText w:val="."/>
        <w:lvlJc w:val="right"/>
        <w:pPr>
          <w:tabs>
            <w:tab w:val="num" w:pos="0"/>
          </w:tabs>
          <w:ind w:left="0" w:firstLine="0"/>
        </w:pPr>
      </w:lvl>
    </w:lvlOverride>
    <w:lvlOverride w:ilvl="3">
      <w:lvl w:ilvl="3">
        <w:start w:val="1"/>
        <w:numFmt w:val="decimal"/>
        <w:lvlText w:val="."/>
        <w:lvlJc w:val="left"/>
        <w:pPr>
          <w:tabs>
            <w:tab w:val="num" w:pos="0"/>
          </w:tabs>
          <w:ind w:left="0" w:firstLine="0"/>
        </w:pPr>
      </w:lvl>
    </w:lvlOverride>
    <w:lvlOverride w:ilvl="4">
      <w:lvl w:ilvl="4">
        <w:start w:val="1"/>
        <w:numFmt w:val="decimal"/>
        <w:lvlText w:val=")"/>
        <w:lvlJc w:val="left"/>
        <w:pPr>
          <w:tabs>
            <w:tab w:val="num" w:pos="0"/>
          </w:tabs>
          <w:ind w:left="0" w:firstLine="0"/>
        </w:pPr>
      </w:lvl>
    </w:lvlOverride>
    <w:lvlOverride w:ilvl="5">
      <w:lvl w:ilvl="5">
        <w:start w:val="1"/>
        <w:numFmt w:val="decimal"/>
        <w:lvlText w:val="."/>
        <w:lvlJc w:val="right"/>
        <w:pPr>
          <w:tabs>
            <w:tab w:val="num" w:pos="0"/>
          </w:tabs>
          <w:ind w:left="0" w:firstLine="0"/>
        </w:pPr>
      </w:lvl>
    </w:lvlOverride>
    <w:lvlOverride w:ilvl="6">
      <w:lvl w:ilvl="6">
        <w:start w:val="1"/>
        <w:numFmt w:val="decimal"/>
        <w:lvlText w:val="."/>
        <w:lvlJc w:val="left"/>
        <w:pPr>
          <w:tabs>
            <w:tab w:val="num" w:pos="0"/>
          </w:tabs>
          <w:ind w:left="0" w:firstLine="0"/>
        </w:pPr>
      </w:lvl>
    </w:lvlOverride>
    <w:lvlOverride w:ilvl="7">
      <w:lvl w:ilvl="7">
        <w:start w:val="1"/>
        <w:numFmt w:val="decimal"/>
        <w:lvlText w:val=")"/>
        <w:lvlJc w:val="left"/>
        <w:pPr>
          <w:tabs>
            <w:tab w:val="num" w:pos="0"/>
          </w:tabs>
          <w:ind w:left="0" w:firstLine="0"/>
        </w:pPr>
      </w:lvl>
    </w:lvlOverride>
    <w:lvlOverride w:ilvl="8">
      <w:lvl w:ilvl="8">
        <w:start w:val="1"/>
        <w:numFmt w:val="decimal"/>
        <w:lvlText w:val="."/>
        <w:lvlJc w:val="right"/>
        <w:pPr>
          <w:tabs>
            <w:tab w:val="num" w:pos="0"/>
          </w:tabs>
          <w:ind w:left="0" w:firstLine="0"/>
        </w:pPr>
      </w:lvl>
    </w:lvlOverride>
  </w:num>
  <w:num w:numId="12">
    <w:abstractNumId w:val="28"/>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3">
    <w:abstractNumId w:val="27"/>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14">
    <w:abstractNumId w:val="15"/>
    <w:lvlOverride w:ilvl="0">
      <w:lvl w:ilvl="0">
        <w:start w:val="1"/>
        <w:numFmt w:val="bullet"/>
        <w:lvlText w:val="l"/>
        <w:lvlJc w:val="left"/>
        <w:pPr>
          <w:tabs>
            <w:tab w:val="num" w:pos="1200"/>
          </w:tabs>
          <w:ind w:left="1200" w:hanging="360"/>
        </w:pPr>
        <w:rPr>
          <w:rFonts w:ascii="Wingdings" w:hAnsi="Wingdings" w:hint="default"/>
        </w:rPr>
      </w:lvl>
    </w:lvlOverride>
  </w:num>
  <w:num w:numId="15">
    <w:abstractNumId w:val="12"/>
    <w:lvlOverride w:ilvl="0">
      <w:lvl w:ilvl="0">
        <w:start w:val="1"/>
        <w:numFmt w:val="decimal"/>
        <w:lvlText w:val="%1."/>
        <w:lvlJc w:val="left"/>
        <w:pPr>
          <w:tabs>
            <w:tab w:val="num" w:pos="1200"/>
          </w:tabs>
          <w:ind w:left="1200" w:hanging="360"/>
        </w:pPr>
      </w:lvl>
    </w:lvlOverride>
  </w:num>
  <w:num w:numId="16">
    <w:abstractNumId w:val="13"/>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17">
    <w:abstractNumId w:val="2"/>
  </w:num>
  <w:num w:numId="18">
    <w:abstractNumId w:val="6"/>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9">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20">
    <w:abstractNumId w:val="16"/>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1">
    <w:abstractNumId w:val="5"/>
  </w:num>
  <w:num w:numId="22">
    <w:abstractNumId w:val="1"/>
  </w:num>
  <w:num w:numId="23">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4">
    <w:abstractNumId w:val="18"/>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5">
    <w:abstractNumId w:val="29"/>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6">
    <w:abstractNumId w:val="3"/>
  </w:num>
  <w:num w:numId="27">
    <w:abstractNumId w:val="14"/>
    <w:lvlOverride w:ilvl="0">
      <w:lvl w:ilvl="0">
        <w:start w:val="1"/>
        <w:numFmt w:val="bullet"/>
        <w:lvlText w:val="l"/>
        <w:lvlJc w:val="left"/>
        <w:pPr>
          <w:tabs>
            <w:tab w:val="num" w:pos="1620"/>
          </w:tabs>
          <w:ind w:left="1620" w:hanging="360"/>
        </w:pPr>
        <w:rPr>
          <w:rFonts w:ascii="Wingdings" w:hAnsi="Wingdings" w:hint="default"/>
        </w:rPr>
      </w:lvl>
    </w:lvlOverride>
  </w:num>
  <w:num w:numId="28">
    <w:abstractNumId w:val="11"/>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9">
    <w:abstractNumId w:val="26"/>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30">
    <w:abstractNumId w:val="7"/>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30"/>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11"/>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11"/>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11"/>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11"/>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11"/>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11"/>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12"/>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13"/>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14"/>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15"/>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6"/>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346">
    <w:name w:val="正文346"/>
    <w:pPr>
      <w:widowControl w:val="0"/>
      <w:jc w:val="both"/>
    </w:pPr>
    <w:rPr>
      <w:rFonts w:ascii="Calibri" w:eastAsia="宋体" w:hAnsi="Calibri" w:cs="Times New Roman"/>
      <w:kern w:val="2"/>
      <w:sz w:val="21"/>
      <w:szCs w:val="24"/>
      <w:lang w:val="en-US" w:bidi="ar-SA"/>
    </w:rPr>
  </w:style>
  <w:style w:type="paragraph" w:customStyle="1" w:styleId="125">
    <w:name w:val="纯文本125"/>
    <w:pPr>
      <w:widowControl w:val="0"/>
      <w:jc w:val="both"/>
    </w:pPr>
    <w:rPr>
      <w:rFonts w:ascii="宋体" w:eastAsia="宋体" w:hAnsi="Times New Roman" w:cs="Courier New"/>
      <w:kern w:val="2"/>
      <w:sz w:val="21"/>
      <w:szCs w:val="21"/>
      <w:lang w:val="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44010">
    <w:name w:val="样式 440 10 磅"/>
    <w:next w:val="11131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bidi="ar-SA"/>
    </w:rPr>
  </w:style>
  <w:style w:type="paragraph" w:customStyle="1" w:styleId="664">
    <w:name w:val="正文664"/>
    <w:pPr>
      <w:widowControl w:val="0"/>
      <w:jc w:val="both"/>
    </w:pPr>
    <w:rPr>
      <w:rFonts w:ascii="Calibri" w:eastAsia="宋体" w:hAnsi="Calibri" w:cs="Times New Roman"/>
      <w:kern w:val="2"/>
      <w:sz w:val="21"/>
      <w:szCs w:val="24"/>
      <w:lang w:val="en-US" w:bidi="ar-SA"/>
    </w:rPr>
  </w:style>
  <w:style w:type="paragraph" w:customStyle="1" w:styleId="750">
    <w:name w:val="正文750"/>
    <w:pPr>
      <w:widowControl w:val="0"/>
      <w:jc w:val="both"/>
    </w:pPr>
    <w:rPr>
      <w:rFonts w:ascii="Calibri" w:eastAsia="宋体" w:hAnsi="Calibri" w:cs="Times New Roman"/>
      <w:kern w:val="2"/>
      <w:sz w:val="21"/>
      <w:szCs w:val="24"/>
      <w:lang w:val="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bidi="ar-SA"/>
    </w:rPr>
  </w:style>
  <w:style w:type="paragraph" w:customStyle="1" w:styleId="22">
    <w:name w:val="正文22"/>
    <w:pPr>
      <w:widowControl w:val="0"/>
      <w:jc w:val="both"/>
    </w:pPr>
    <w:rPr>
      <w:rFonts w:ascii="Calibri" w:eastAsia="宋体" w:hAnsi="Calibri" w:cs="Times New Roman"/>
      <w:kern w:val="2"/>
      <w:sz w:val="21"/>
      <w:szCs w:val="22"/>
      <w:lang w:val="en-US"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118">
    <w:name w:val="纯文本118"/>
    <w:pPr>
      <w:widowControl w:val="0"/>
      <w:jc w:val="both"/>
    </w:pPr>
    <w:rPr>
      <w:rFonts w:ascii="宋体" w:eastAsia="宋体" w:hAnsi="Times New Roman" w:cs="Courier New"/>
      <w:kern w:val="2"/>
      <w:sz w:val="21"/>
      <w:szCs w:val="21"/>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44410">
    <w:name w:val="样式 444 10 磅"/>
    <w:next w:val="392"/>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bidi="ar-SA"/>
    </w:rPr>
  </w:style>
  <w:style w:type="paragraph" w:customStyle="1" w:styleId="911">
    <w:name w:val="正文911"/>
    <w:pPr>
      <w:widowControl w:val="0"/>
      <w:jc w:val="both"/>
    </w:pPr>
    <w:rPr>
      <w:rFonts w:ascii="Calibri" w:eastAsia="宋体" w:hAnsi="Calibri" w:cs="Times New Roman"/>
      <w:kern w:val="2"/>
      <w:sz w:val="21"/>
      <w:szCs w:val="24"/>
      <w:lang w:val="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101">
    <w:name w:val="样式1_0"/>
    <w:basedOn w:val="3"/>
    <w:pPr>
      <w:numPr>
        <w:ilvl w:val="0"/>
        <w:numId w:val="18"/>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bidi="ar-SA"/>
    </w:rPr>
  </w:style>
  <w:style w:type="paragraph" w:customStyle="1" w:styleId="1105">
    <w:name w:val="正文1105"/>
    <w:pPr>
      <w:widowControl w:val="0"/>
      <w:jc w:val="both"/>
    </w:pPr>
    <w:rPr>
      <w:rFonts w:ascii="Calibri" w:eastAsia="宋体" w:hAnsi="Calibri" w:cs="Times New Roman"/>
      <w:kern w:val="2"/>
      <w:sz w:val="21"/>
      <w:szCs w:val="24"/>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826">
    <w:name w:val="正文826"/>
    <w:pPr>
      <w:widowControl w:val="0"/>
      <w:jc w:val="both"/>
    </w:pPr>
    <w:rPr>
      <w:rFonts w:ascii="Calibri" w:eastAsia="宋体" w:hAnsi="Calibri" w:cs="Times New Roman"/>
      <w:kern w:val="2"/>
      <w:sz w:val="21"/>
      <w:szCs w:val="22"/>
      <w:lang w:val="en-US" w:bidi="ar-SA"/>
    </w:rPr>
  </w:style>
  <w:style w:type="paragraph" w:customStyle="1" w:styleId="401">
    <w:name w:val="正文401"/>
    <w:pPr>
      <w:widowControl w:val="0"/>
      <w:jc w:val="both"/>
    </w:pPr>
    <w:rPr>
      <w:rFonts w:ascii="Calibri" w:eastAsia="宋体" w:hAnsi="Calibri" w:cs="Times New Roman"/>
      <w:kern w:val="2"/>
      <w:sz w:val="21"/>
      <w:szCs w:val="24"/>
      <w:lang w:val="en-US"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39810">
    <w:name w:val="样式 398 10 磅"/>
    <w:pPr>
      <w:widowControl w:val="0"/>
      <w:jc w:val="both"/>
    </w:pPr>
    <w:rPr>
      <w:rFonts w:ascii="宋体" w:eastAsia="宋体" w:hAnsi="Times New Roman" w:cs="Times New Roman"/>
      <w:kern w:val="2"/>
      <w:sz w:val="21"/>
      <w:szCs w:val="21"/>
      <w:lang w:val="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24">
    <w:name w:val="修订2"/>
    <w:next w:val="TOC7"/>
    <w:rPr>
      <w:rFonts w:ascii="Calibri" w:eastAsia="宋体" w:hAnsi="Calibri" w:cs="Times New Roman"/>
      <w:kern w:val="2"/>
      <w:sz w:val="21"/>
      <w:szCs w:val="22"/>
      <w:lang w:val="en-US"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10">
    <w:name w:val="正文1110"/>
    <w:pPr>
      <w:widowControl w:val="0"/>
      <w:jc w:val="both"/>
    </w:pPr>
    <w:rPr>
      <w:rFonts w:ascii="Calibri" w:eastAsia="宋体" w:hAnsi="Calibri" w:cs="Times New Roman"/>
      <w:kern w:val="2"/>
      <w:sz w:val="21"/>
      <w:szCs w:val="24"/>
      <w:lang w:val="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160">
    <w:name w:val="纯文本16"/>
    <w:pPr>
      <w:widowControl w:val="0"/>
      <w:jc w:val="both"/>
    </w:pPr>
    <w:rPr>
      <w:rFonts w:ascii="宋体" w:eastAsia="宋体" w:hAnsi="Times New Roman" w:cs="Courier New"/>
      <w:kern w:val="2"/>
      <w:sz w:val="21"/>
      <w:szCs w:val="21"/>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442">
    <w:name w:val="正文442"/>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112">
    <w:name w:val="正文112"/>
    <w:pPr>
      <w:widowControl w:val="0"/>
      <w:jc w:val="both"/>
    </w:pPr>
    <w:rPr>
      <w:rFonts w:ascii="Calibri" w:eastAsia="宋体" w:hAnsi="Calibri" w:cs="Times New Roman"/>
      <w:kern w:val="2"/>
      <w:sz w:val="21"/>
      <w:szCs w:val="24"/>
      <w:lang w:val="en-US" w:bidi="ar-SA"/>
    </w:rPr>
  </w:style>
  <w:style w:type="paragraph" w:customStyle="1" w:styleId="606">
    <w:name w:val="正文606"/>
    <w:pPr>
      <w:widowControl w:val="0"/>
      <w:jc w:val="both"/>
    </w:pPr>
    <w:rPr>
      <w:rFonts w:ascii="Calibri" w:eastAsia="宋体" w:hAnsi="Calibri" w:cs="Times New Roman"/>
      <w:kern w:val="2"/>
      <w:sz w:val="21"/>
      <w:szCs w:val="24"/>
      <w:lang w:val="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6">
    <w:name w:val="正文6"/>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91710">
    <w:name w:val="样式 1917 10 磅"/>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191610">
    <w:name w:val="样式 1916 10 磅"/>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bidi="ar-SA"/>
    </w:rPr>
  </w:style>
  <w:style w:type="paragraph" w:customStyle="1" w:styleId="457">
    <w:name w:val="正文457"/>
    <w:pPr>
      <w:widowControl w:val="0"/>
      <w:jc w:val="both"/>
    </w:pPr>
    <w:rPr>
      <w:rFonts w:ascii="Calibri" w:eastAsia="宋体" w:hAnsi="Calibri" w:cs="Times New Roman"/>
      <w:kern w:val="2"/>
      <w:sz w:val="21"/>
      <w:szCs w:val="24"/>
      <w:lang w:val="en-US"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910">
    <w:name w:val="纯文本91"/>
    <w:pPr>
      <w:widowControl w:val="0"/>
      <w:jc w:val="both"/>
    </w:pPr>
    <w:rPr>
      <w:rFonts w:ascii="宋体" w:eastAsia="宋体" w:hAnsi="Times New Roman" w:cs="Courier New"/>
      <w:kern w:val="2"/>
      <w:sz w:val="21"/>
      <w:szCs w:val="21"/>
      <w:lang w:val="en-US"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1141">
    <w:name w:val="正文1141"/>
    <w:pPr>
      <w:widowControl w:val="0"/>
      <w:jc w:val="both"/>
    </w:pPr>
    <w:rPr>
      <w:rFonts w:ascii="Calibri" w:eastAsia="宋体" w:hAnsi="Calibri" w:cs="Times New Roman"/>
      <w:kern w:val="2"/>
      <w:sz w:val="21"/>
      <w:szCs w:val="24"/>
      <w:lang w:val="en-US"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740">
    <w:name w:val="纯文本74"/>
    <w:pPr>
      <w:widowControl w:val="0"/>
      <w:jc w:val="both"/>
    </w:pPr>
    <w:rPr>
      <w:rFonts w:ascii="宋体" w:eastAsia="宋体" w:hAnsi="Times New Roman"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18">
    <w:name w:val="列表1"/>
    <w:next w:val="3"/>
    <w:pPr>
      <w:widowControl w:val="0"/>
      <w:numPr>
        <w:ilvl w:val="0"/>
        <w:numId w:val="19"/>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57">
    <w:name w:val="纯文本57"/>
    <w:pPr>
      <w:widowControl w:val="0"/>
      <w:jc w:val="both"/>
    </w:pPr>
    <w:rPr>
      <w:rFonts w:ascii="宋体" w:eastAsia="宋体" w:hAnsi="Times New Roman" w:cs="Courier New"/>
      <w:kern w:val="2"/>
      <w:sz w:val="21"/>
      <w:szCs w:val="21"/>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35">
    <w:name w:val="正文635"/>
    <w:pPr>
      <w:widowControl w:val="0"/>
      <w:jc w:val="both"/>
    </w:pPr>
    <w:rPr>
      <w:rFonts w:ascii="Calibri" w:eastAsia="宋体" w:hAnsi="Calibri" w:cs="Times New Roman"/>
      <w:kern w:val="2"/>
      <w:sz w:val="21"/>
      <w:szCs w:val="24"/>
      <w:lang w:val="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20"/>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bidi="ar-SA"/>
    </w:rPr>
  </w:style>
  <w:style w:type="paragraph" w:customStyle="1" w:styleId="194">
    <w:name w:val="正文194"/>
    <w:pPr>
      <w:widowControl w:val="0"/>
      <w:jc w:val="both"/>
    </w:pPr>
    <w:rPr>
      <w:rFonts w:ascii="Calibri" w:eastAsia="宋体" w:hAnsi="Calibri" w:cs="Times New Roman"/>
      <w:kern w:val="2"/>
      <w:sz w:val="21"/>
      <w:szCs w:val="24"/>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52">
    <w:name w:val="正文文本5"/>
    <w:pPr>
      <w:widowControl w:val="0"/>
      <w:jc w:val="both"/>
    </w:pPr>
    <w:rPr>
      <w:rFonts w:ascii="Calibri" w:eastAsia="宋体" w:hAnsi="Calibri" w:cs="Times New Roman"/>
      <w:kern w:val="2"/>
      <w:sz w:val="28"/>
      <w:szCs w:val="22"/>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106">
    <w:name w:val="纯文本106"/>
    <w:pPr>
      <w:widowControl w:val="0"/>
      <w:jc w:val="both"/>
    </w:pPr>
    <w:rPr>
      <w:rFonts w:ascii="宋体" w:eastAsia="宋体" w:hAnsi="Times New Roman" w:cs="Courier New"/>
      <w:kern w:val="2"/>
      <w:sz w:val="21"/>
      <w:szCs w:val="21"/>
      <w:lang w:val="en-US" w:bidi="ar-SA"/>
    </w:rPr>
  </w:style>
  <w:style w:type="paragraph" w:customStyle="1" w:styleId="184410">
    <w:name w:val="样式 1844 10 磅"/>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251">
    <w:name w:val="正文125"/>
    <w:pPr>
      <w:widowControl w:val="0"/>
      <w:jc w:val="both"/>
    </w:pPr>
    <w:rPr>
      <w:rFonts w:ascii="Calibri" w:eastAsia="宋体" w:hAnsi="Calibri" w:cs="Times New Roman"/>
      <w:kern w:val="2"/>
      <w:sz w:val="21"/>
      <w:szCs w:val="24"/>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730">
    <w:name w:val="正文730"/>
    <w:pPr>
      <w:widowControl w:val="0"/>
      <w:jc w:val="both"/>
    </w:pPr>
    <w:rPr>
      <w:rFonts w:ascii="Calibri" w:eastAsia="宋体" w:hAnsi="Calibri" w:cs="Times New Roman"/>
      <w:kern w:val="2"/>
      <w:sz w:val="21"/>
      <w:szCs w:val="24"/>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485">
    <w:name w:val="正文485"/>
    <w:pPr>
      <w:widowControl w:val="0"/>
      <w:jc w:val="both"/>
    </w:pPr>
    <w:rPr>
      <w:rFonts w:ascii="Calibri" w:eastAsia="宋体" w:hAnsi="Calibri" w:cs="Times New Roman"/>
      <w:kern w:val="2"/>
      <w:sz w:val="21"/>
      <w:szCs w:val="24"/>
      <w:lang w:val="en-US"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400">
    <w:name w:val="纯文本40"/>
    <w:pPr>
      <w:widowControl w:val="0"/>
      <w:jc w:val="both"/>
    </w:pPr>
    <w:rPr>
      <w:rFonts w:ascii="宋体" w:eastAsia="宋体" w:hAnsi="Times New Roman" w:cs="Courier New"/>
      <w:kern w:val="2"/>
      <w:sz w:val="21"/>
      <w:szCs w:val="21"/>
      <w:lang w:val="en-US" w:bidi="ar-SA"/>
    </w:rPr>
  </w:style>
  <w:style w:type="paragraph" w:customStyle="1" w:styleId="574">
    <w:name w:val="正文574"/>
    <w:pPr>
      <w:widowControl w:val="0"/>
      <w:jc w:val="both"/>
    </w:pPr>
    <w:rPr>
      <w:rFonts w:ascii="Calibri" w:eastAsia="宋体" w:hAnsi="Calibri" w:cs="Times New Roman"/>
      <w:kern w:val="2"/>
      <w:sz w:val="21"/>
      <w:szCs w:val="24"/>
      <w:lang w:val="en-US"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53">
    <w:name w:val="批注文字5"/>
    <w:pPr>
      <w:widowControl w:val="0"/>
      <w:jc w:val="both"/>
    </w:pPr>
    <w:rPr>
      <w:rFonts w:ascii="Calibri" w:eastAsia="宋体" w:hAnsi="Calibri" w:cs="Times New Roman"/>
      <w:kern w:val="2"/>
      <w:sz w:val="24"/>
      <w:szCs w:val="28"/>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bidi="ar-SA"/>
    </w:rPr>
  </w:style>
  <w:style w:type="paragraph" w:customStyle="1" w:styleId="43910">
    <w:name w:val="样式 439 10 磅"/>
    <w:next w:val="5721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bidi="ar-SA"/>
    </w:rPr>
  </w:style>
  <w:style w:type="paragraph" w:customStyle="1" w:styleId="1001">
    <w:name w:val="正文100"/>
    <w:pPr>
      <w:widowControl w:val="0"/>
      <w:jc w:val="both"/>
    </w:pPr>
    <w:rPr>
      <w:rFonts w:ascii="Calibri" w:eastAsia="宋体" w:hAnsi="Calibri" w:cs="Times New Roman"/>
      <w:kern w:val="2"/>
      <w:sz w:val="21"/>
      <w:szCs w:val="24"/>
      <w:lang w:val="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387">
    <w:name w:val="正文387"/>
    <w:pPr>
      <w:widowControl w:val="0"/>
      <w:jc w:val="both"/>
    </w:pPr>
    <w:rPr>
      <w:rFonts w:ascii="Calibri" w:eastAsia="宋体" w:hAnsi="Calibri" w:cs="Times New Roman"/>
      <w:kern w:val="2"/>
      <w:sz w:val="21"/>
      <w:szCs w:val="24"/>
      <w:lang w:val="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721">
    <w:name w:val="正文721"/>
    <w:pPr>
      <w:widowControl w:val="0"/>
      <w:jc w:val="both"/>
    </w:pPr>
    <w:rPr>
      <w:rFonts w:ascii="Calibri" w:eastAsia="宋体" w:hAnsi="Calibri" w:cs="Times New Roman"/>
      <w:kern w:val="2"/>
      <w:sz w:val="21"/>
      <w:szCs w:val="24"/>
      <w:lang w:val="en-US" w:bidi="ar-SA"/>
    </w:rPr>
  </w:style>
  <w:style w:type="paragraph" w:customStyle="1" w:styleId="58">
    <w:name w:val="正文58"/>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602">
    <w:name w:val="纯文本60"/>
    <w:pPr>
      <w:widowControl w:val="0"/>
      <w:jc w:val="both"/>
    </w:pPr>
    <w:rPr>
      <w:rFonts w:ascii="宋体" w:eastAsia="宋体" w:hAnsi="Times New Roman" w:cs="Courier New"/>
      <w:kern w:val="2"/>
      <w:sz w:val="21"/>
      <w:szCs w:val="21"/>
      <w:lang w:val="en-US"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369">
    <w:name w:val="正文369"/>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898">
    <w:name w:val="正文898"/>
    <w:pPr>
      <w:widowControl w:val="0"/>
      <w:jc w:val="both"/>
    </w:pPr>
    <w:rPr>
      <w:rFonts w:ascii="Calibri" w:eastAsia="宋体" w:hAnsi="Calibri" w:cs="Times New Roman"/>
      <w:kern w:val="2"/>
      <w:sz w:val="21"/>
      <w:szCs w:val="22"/>
      <w:lang w:val="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632">
    <w:name w:val="正文632"/>
    <w:pPr>
      <w:widowControl w:val="0"/>
      <w:jc w:val="both"/>
    </w:pPr>
    <w:rPr>
      <w:rFonts w:ascii="Calibri" w:eastAsia="宋体" w:hAnsi="Calibri" w:cs="Times New Roman"/>
      <w:kern w:val="2"/>
      <w:sz w:val="21"/>
      <w:szCs w:val="24"/>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900">
    <w:name w:val="纯文本90"/>
    <w:pPr>
      <w:widowControl w:val="0"/>
      <w:jc w:val="both"/>
    </w:pPr>
    <w:rPr>
      <w:rFonts w:ascii="宋体" w:eastAsia="宋体" w:hAnsi="Times New Roman" w:cs="Courier New"/>
      <w:kern w:val="2"/>
      <w:sz w:val="21"/>
      <w:szCs w:val="21"/>
      <w:lang w:val="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231">
    <w:name w:val="正文231"/>
    <w:pPr>
      <w:widowControl w:val="0"/>
      <w:jc w:val="both"/>
    </w:pPr>
    <w:rPr>
      <w:rFonts w:ascii="Calibri" w:eastAsia="宋体" w:hAnsi="Calibri" w:cs="Times New Roman"/>
      <w:kern w:val="2"/>
      <w:sz w:val="21"/>
      <w:szCs w:val="24"/>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545">
    <w:name w:val="正文545"/>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21"/>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bidi="ar-SA"/>
    </w:rPr>
  </w:style>
  <w:style w:type="paragraph" w:customStyle="1" w:styleId="1201">
    <w:name w:val="正文120"/>
    <w:pPr>
      <w:widowControl w:val="0"/>
      <w:jc w:val="both"/>
    </w:pPr>
    <w:rPr>
      <w:rFonts w:ascii="Calibri" w:eastAsia="宋体" w:hAnsi="Calibri" w:cs="Times New Roman"/>
      <w:kern w:val="2"/>
      <w:sz w:val="21"/>
      <w:szCs w:val="24"/>
      <w:lang w:val="en-US" w:bidi="ar-SA"/>
    </w:rPr>
  </w:style>
  <w:style w:type="paragraph" w:customStyle="1" w:styleId="184510">
    <w:name w:val="样式 1845 10 磅"/>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711">
    <w:name w:val="样式 7 11 磅"/>
    <w:pPr>
      <w:widowControl w:val="0"/>
      <w:ind w:left="105"/>
    </w:pPr>
    <w:rPr>
      <w:rFonts w:ascii="宋体" w:eastAsia="宋体" w:hAnsi="Times New Roman" w:cs="宋体"/>
      <w:sz w:val="22"/>
      <w:szCs w:val="22"/>
      <w:lang w:val="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93">
    <w:name w:val="正文93"/>
    <w:pPr>
      <w:widowControl w:val="0"/>
      <w:jc w:val="both"/>
    </w:pPr>
    <w:rPr>
      <w:rFonts w:ascii="Calibri" w:eastAsia="宋体" w:hAnsi="Calibri" w:cs="Times New Roman"/>
      <w:kern w:val="2"/>
      <w:sz w:val="21"/>
      <w:szCs w:val="24"/>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645">
    <w:name w:val="正文645"/>
    <w:pPr>
      <w:widowControl w:val="0"/>
      <w:jc w:val="both"/>
    </w:pPr>
    <w:rPr>
      <w:rFonts w:ascii="Calibri" w:eastAsia="宋体" w:hAnsi="Calibri" w:cs="Times New Roman"/>
      <w:kern w:val="2"/>
      <w:sz w:val="21"/>
      <w:szCs w:val="24"/>
      <w:lang w:val="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22"/>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bidi="ar-SA"/>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322">
    <w:name w:val="正文322"/>
    <w:pPr>
      <w:widowControl w:val="0"/>
      <w:jc w:val="both"/>
    </w:pPr>
    <w:rPr>
      <w:rFonts w:ascii="Calibri" w:eastAsia="宋体" w:hAnsi="Calibri" w:cs="Times New Roman"/>
      <w:kern w:val="2"/>
      <w:sz w:val="21"/>
      <w:szCs w:val="24"/>
      <w:lang w:val="en-US"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bidi="ar-SA"/>
    </w:rPr>
  </w:style>
  <w:style w:type="paragraph" w:customStyle="1" w:styleId="172">
    <w:name w:val="正文172"/>
    <w:pPr>
      <w:widowControl w:val="0"/>
      <w:jc w:val="both"/>
    </w:pPr>
    <w:rPr>
      <w:rFonts w:ascii="Calibri" w:eastAsia="宋体" w:hAnsi="Calibri" w:cs="Times New Roman"/>
      <w:kern w:val="2"/>
      <w:sz w:val="21"/>
      <w:szCs w:val="24"/>
      <w:lang w:val="en-US" w:bidi="ar-SA"/>
    </w:rPr>
  </w:style>
  <w:style w:type="paragraph" w:customStyle="1" w:styleId="599">
    <w:name w:val="正文599"/>
    <w:pPr>
      <w:widowControl w:val="0"/>
      <w:jc w:val="both"/>
    </w:pPr>
    <w:rPr>
      <w:rFonts w:ascii="Calibri" w:eastAsia="宋体" w:hAnsi="Calibri" w:cs="Times New Roman"/>
      <w:kern w:val="2"/>
      <w:sz w:val="21"/>
      <w:szCs w:val="24"/>
      <w:lang w:val="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40910">
    <w:name w:val="样式 409 10 磅"/>
    <w:pPr>
      <w:widowControl w:val="0"/>
      <w:jc w:val="both"/>
    </w:pPr>
    <w:rPr>
      <w:rFonts w:ascii="宋体" w:eastAsia="宋体" w:hAnsi="Times New Roman" w:cs="Times New Roman"/>
      <w:kern w:val="2"/>
      <w:sz w:val="21"/>
      <w:szCs w:val="21"/>
      <w:lang w:val="en-US"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bidi="ar-SA"/>
    </w:rPr>
  </w:style>
  <w:style w:type="paragraph" w:customStyle="1" w:styleId="2600">
    <w:name w:val="正文260"/>
    <w:pPr>
      <w:widowControl w:val="0"/>
      <w:jc w:val="both"/>
    </w:pPr>
    <w:rPr>
      <w:rFonts w:ascii="Calibri" w:eastAsia="宋体" w:hAnsi="Calibri" w:cs="Times New Roman"/>
      <w:kern w:val="2"/>
      <w:sz w:val="21"/>
      <w:szCs w:val="24"/>
      <w:lang w:val="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9100">
    <w:name w:val="正文910"/>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a17">
    <w:name w:val="图案编号"/>
    <w:basedOn w:val="3"/>
    <w:pPr>
      <w:numPr>
        <w:ilvl w:val="0"/>
        <w:numId w:val="23"/>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24"/>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132">
    <w:name w:val="纯文本132"/>
    <w:pPr>
      <w:widowControl w:val="0"/>
      <w:jc w:val="both"/>
    </w:pPr>
    <w:rPr>
      <w:rFonts w:ascii="宋体" w:eastAsia="宋体" w:hAnsi="Times New Roman"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501">
    <w:name w:val="标题 5_0"/>
    <w:basedOn w:val="41"/>
    <w:pPr>
      <w:numPr>
        <w:ilvl w:val="4"/>
        <w:numId w:val="2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bidi="ar-SA"/>
    </w:rPr>
  </w:style>
  <w:style w:type="paragraph" w:customStyle="1" w:styleId="136">
    <w:name w:val="正文136"/>
    <w:pPr>
      <w:widowControl w:val="0"/>
      <w:jc w:val="both"/>
    </w:pPr>
    <w:rPr>
      <w:rFonts w:ascii="Calibri" w:eastAsia="宋体" w:hAnsi="Calibri" w:cs="Times New Roman"/>
      <w:kern w:val="2"/>
      <w:sz w:val="21"/>
      <w:szCs w:val="24"/>
      <w:lang w:val="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bidi="ar-SA"/>
    </w:rPr>
  </w:style>
  <w:style w:type="paragraph" w:customStyle="1" w:styleId="166">
    <w:name w:val="正文166"/>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Times New Roman" w:cs="Times New Roman"/>
      <w:kern w:val="2"/>
      <w:sz w:val="21"/>
      <w:szCs w:val="21"/>
      <w:lang w:val="en-US" w:bidi="ar-SA"/>
    </w:rPr>
  </w:style>
  <w:style w:type="paragraph" w:customStyle="1" w:styleId="1440">
    <w:name w:val="正文144"/>
    <w:pPr>
      <w:widowControl w:val="0"/>
      <w:jc w:val="both"/>
    </w:pPr>
    <w:rPr>
      <w:rFonts w:ascii="Calibri" w:eastAsia="宋体" w:hAnsi="Calibri" w:cs="Times New Roman"/>
      <w:kern w:val="2"/>
      <w:sz w:val="21"/>
      <w:szCs w:val="24"/>
      <w:lang w:val="en-US"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079">
    <w:name w:val="正文1079"/>
    <w:pPr>
      <w:widowControl w:val="0"/>
      <w:jc w:val="both"/>
    </w:pPr>
    <w:rPr>
      <w:rFonts w:ascii="Calibri" w:eastAsia="宋体" w:hAnsi="Calibri" w:cs="Times New Roman"/>
      <w:kern w:val="2"/>
      <w:sz w:val="21"/>
      <w:szCs w:val="22"/>
      <w:lang w:val="en-US"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317">
    <w:name w:val="正文317"/>
    <w:pPr>
      <w:widowControl w:val="0"/>
      <w:jc w:val="both"/>
    </w:pPr>
    <w:rPr>
      <w:rFonts w:ascii="Calibri" w:eastAsia="宋体" w:hAnsi="Calibri" w:cs="Times New Roman"/>
      <w:kern w:val="2"/>
      <w:sz w:val="21"/>
      <w:szCs w:val="24"/>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bidi="ar-SA"/>
    </w:rPr>
  </w:style>
  <w:style w:type="paragraph" w:customStyle="1" w:styleId="135">
    <w:name w:val="正文135"/>
    <w:pPr>
      <w:widowControl w:val="0"/>
      <w:jc w:val="both"/>
    </w:pPr>
    <w:rPr>
      <w:rFonts w:ascii="Calibri" w:eastAsia="宋体" w:hAnsi="Calibri" w:cs="Times New Roman"/>
      <w:kern w:val="2"/>
      <w:sz w:val="21"/>
      <w:szCs w:val="24"/>
      <w:lang w:val="en-US" w:bidi="ar-SA"/>
    </w:rPr>
  </w:style>
  <w:style w:type="paragraph" w:customStyle="1" w:styleId="107">
    <w:name w:val="纯文本107"/>
    <w:pPr>
      <w:widowControl w:val="0"/>
      <w:jc w:val="both"/>
    </w:pPr>
    <w:rPr>
      <w:rFonts w:ascii="宋体" w:eastAsia="宋体" w:hAnsi="Times New Roman" w:cs="Courier New"/>
      <w:kern w:val="2"/>
      <w:sz w:val="21"/>
      <w:szCs w:val="21"/>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bidi="ar-SA"/>
    </w:rPr>
  </w:style>
  <w:style w:type="paragraph" w:customStyle="1" w:styleId="94">
    <w:name w:val="纯文本94"/>
    <w:pPr>
      <w:widowControl w:val="0"/>
      <w:jc w:val="both"/>
    </w:pPr>
    <w:rPr>
      <w:rFonts w:ascii="宋体" w:eastAsia="宋体" w:hAnsi="Times New Roman" w:cs="Courier New"/>
      <w:kern w:val="2"/>
      <w:sz w:val="21"/>
      <w:szCs w:val="21"/>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202">
    <w:name w:val="纯文本120"/>
    <w:pPr>
      <w:widowControl w:val="0"/>
      <w:jc w:val="both"/>
    </w:pPr>
    <w:rPr>
      <w:rFonts w:ascii="宋体" w:eastAsia="宋体" w:hAnsi="Times New Roman" w:cs="Courier New"/>
      <w:kern w:val="2"/>
      <w:sz w:val="21"/>
      <w:szCs w:val="21"/>
      <w:lang w:val="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36">
    <w:name w:val="纯文本36"/>
    <w:pPr>
      <w:widowControl w:val="0"/>
      <w:jc w:val="both"/>
    </w:pPr>
    <w:rPr>
      <w:rFonts w:ascii="宋体" w:eastAsia="宋体" w:hAnsi="Times New Roman" w:cs="Courier New"/>
      <w:kern w:val="2"/>
      <w:sz w:val="21"/>
      <w:szCs w:val="21"/>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393">
    <w:name w:val="正文393"/>
    <w:pPr>
      <w:widowControl w:val="0"/>
      <w:jc w:val="both"/>
    </w:pPr>
    <w:rPr>
      <w:rFonts w:ascii="Calibri" w:eastAsia="宋体" w:hAnsi="Calibri" w:cs="Times New Roman"/>
      <w:kern w:val="2"/>
      <w:sz w:val="21"/>
      <w:szCs w:val="24"/>
      <w:lang w:val="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95">
    <w:name w:val="纯文本95"/>
    <w:pPr>
      <w:widowControl w:val="0"/>
      <w:jc w:val="both"/>
    </w:pPr>
    <w:rPr>
      <w:rFonts w:ascii="宋体" w:eastAsia="宋体" w:hAnsi="Times New Roman" w:cs="Courier New"/>
      <w:kern w:val="2"/>
      <w:sz w:val="21"/>
      <w:szCs w:val="21"/>
      <w:lang w:val="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520">
    <w:name w:val="正文520"/>
    <w:pPr>
      <w:widowControl w:val="0"/>
      <w:jc w:val="both"/>
    </w:pPr>
    <w:rPr>
      <w:rFonts w:ascii="Calibri" w:eastAsia="宋体" w:hAnsi="Calibri" w:cs="Times New Roman"/>
      <w:kern w:val="2"/>
      <w:sz w:val="21"/>
      <w:szCs w:val="24"/>
      <w:lang w:val="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511">
    <w:name w:val="样式 5 11 磅"/>
    <w:rPr>
      <w:rFonts w:ascii="Calibri" w:eastAsia="宋体" w:hAnsi="Calibri" w:cs="Times New Roman"/>
      <w:sz w:val="22"/>
      <w:szCs w:val="22"/>
      <w:lang w:val="en-US" w:bidi="ar-SA"/>
    </w:rPr>
  </w:style>
  <w:style w:type="paragraph" w:customStyle="1" w:styleId="1034">
    <w:name w:val="正文1034"/>
    <w:rPr>
      <w:rFonts w:ascii="Calibri" w:eastAsia="宋体" w:hAnsi="Calibri" w:cs="Times New Roman"/>
      <w:kern w:val="2"/>
      <w:sz w:val="21"/>
      <w:szCs w:val="21"/>
      <w:lang w:val="en-US"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710">
    <w:name w:val="样式 437 10 磅"/>
    <w:next w:val="1202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bidi="ar-SA"/>
    </w:rPr>
  </w:style>
  <w:style w:type="paragraph" w:customStyle="1" w:styleId="820">
    <w:name w:val="正文82"/>
    <w:pPr>
      <w:widowControl w:val="0"/>
      <w:jc w:val="both"/>
    </w:pPr>
    <w:rPr>
      <w:rFonts w:ascii="Calibri" w:eastAsia="宋体" w:hAnsi="Calibri" w:cs="Times New Roman"/>
      <w:kern w:val="2"/>
      <w:sz w:val="21"/>
      <w:szCs w:val="24"/>
      <w:lang w:val="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4510">
    <w:name w:val="正文451"/>
    <w:pPr>
      <w:widowControl w:val="0"/>
      <w:jc w:val="both"/>
    </w:pPr>
    <w:rPr>
      <w:rFonts w:ascii="Calibri" w:eastAsia="宋体" w:hAnsi="Calibri" w:cs="Times New Roman"/>
      <w:kern w:val="2"/>
      <w:sz w:val="21"/>
      <w:szCs w:val="24"/>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bidi="ar-SA"/>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bidi="ar-SA"/>
    </w:rPr>
  </w:style>
  <w:style w:type="paragraph" w:customStyle="1" w:styleId="7110">
    <w:name w:val="正文711"/>
    <w:pPr>
      <w:widowControl w:val="0"/>
      <w:jc w:val="both"/>
    </w:pPr>
    <w:rPr>
      <w:rFonts w:ascii="Calibri" w:eastAsia="宋体" w:hAnsi="Calibri" w:cs="Times New Roman"/>
      <w:kern w:val="2"/>
      <w:sz w:val="21"/>
      <w:szCs w:val="24"/>
      <w:lang w:val="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302">
    <w:name w:val="正文302"/>
    <w:pPr>
      <w:widowControl w:val="0"/>
      <w:jc w:val="both"/>
    </w:pPr>
    <w:rPr>
      <w:rFonts w:ascii="Calibri" w:eastAsia="宋体" w:hAnsi="Calibri" w:cs="Times New Roman"/>
      <w:kern w:val="2"/>
      <w:sz w:val="21"/>
      <w:szCs w:val="24"/>
      <w:lang w:val="en-US" w:bidi="ar-SA"/>
    </w:rPr>
  </w:style>
  <w:style w:type="paragraph" w:customStyle="1" w:styleId="97">
    <w:name w:val="纯文本97"/>
    <w:pPr>
      <w:widowControl w:val="0"/>
      <w:jc w:val="both"/>
    </w:pPr>
    <w:rPr>
      <w:rFonts w:ascii="宋体" w:eastAsia="宋体" w:hAnsi="Times New Roman" w:cs="Courier New"/>
      <w:kern w:val="2"/>
      <w:sz w:val="21"/>
      <w:szCs w:val="21"/>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44210">
    <w:name w:val="样式 442 10 磅"/>
    <w:next w:val="a21"/>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44910">
    <w:name w:val="样式 449 10 磅"/>
    <w:next w:val="4801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bidi="ar-SA"/>
    </w:rPr>
  </w:style>
  <w:style w:type="paragraph" w:customStyle="1" w:styleId="45510">
    <w:name w:val="样式 455 10 磅"/>
    <w:next w:val="12581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2"/>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bidi="ar-SA"/>
    </w:rPr>
  </w:style>
  <w:style w:type="paragraph" w:customStyle="1" w:styleId="000">
    <w:name w:val="纯文本_0_0"/>
    <w:pPr>
      <w:widowControl w:val="0"/>
      <w:jc w:val="both"/>
    </w:pPr>
    <w:rPr>
      <w:rFonts w:ascii="宋体" w:eastAsia="方正黑体_GBK" w:hAnsi="宋体" w:cs="Times New Roman"/>
      <w:kern w:val="2"/>
      <w:sz w:val="21"/>
      <w:szCs w:val="21"/>
      <w:lang w:val="en-US" w:bidi="ar-SA"/>
    </w:rPr>
  </w:style>
  <w:style w:type="paragraph" w:customStyle="1" w:styleId="8101">
    <w:name w:val="样式 8 10 磅1"/>
    <w:pPr>
      <w:widowControl w:val="0"/>
      <w:jc w:val="both"/>
    </w:pPr>
    <w:rPr>
      <w:rFonts w:ascii="Calibri" w:eastAsia="宋体" w:hAnsi="Calibri" w:cs="Times New Roman"/>
      <w:kern w:val="2"/>
      <w:sz w:val="21"/>
      <w:szCs w:val="22"/>
      <w:lang w:val="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533">
    <w:name w:val="正文533"/>
    <w:pPr>
      <w:widowControl w:val="0"/>
      <w:jc w:val="both"/>
    </w:pPr>
    <w:rPr>
      <w:rFonts w:ascii="Calibri" w:eastAsia="宋体" w:hAnsi="Calibri" w:cs="Times New Roman"/>
      <w:kern w:val="2"/>
      <w:sz w:val="21"/>
      <w:szCs w:val="24"/>
      <w:lang w:val="en-US"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81">
    <w:name w:val="正文38"/>
    <w:pPr>
      <w:widowControl w:val="0"/>
      <w:jc w:val="both"/>
    </w:pPr>
    <w:rPr>
      <w:rFonts w:ascii="Calibri" w:eastAsia="宋体" w:hAnsi="Calibri" w:cs="Times New Roman"/>
      <w:kern w:val="2"/>
      <w:sz w:val="21"/>
      <w:szCs w:val="22"/>
      <w:lang w:val="en-US" w:bidi="ar-SA"/>
    </w:rPr>
  </w:style>
  <w:style w:type="paragraph" w:customStyle="1" w:styleId="191410">
    <w:name w:val="样式 1914 10 磅"/>
    <w:pPr>
      <w:widowControl w:val="0"/>
      <w:numPr>
        <w:ilvl w:val="0"/>
        <w:numId w:val="26"/>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280">
    <w:name w:val="纯文本128"/>
    <w:pPr>
      <w:widowControl w:val="0"/>
      <w:jc w:val="both"/>
    </w:pPr>
    <w:rPr>
      <w:rFonts w:ascii="宋体" w:eastAsia="宋体" w:hAnsi="Times New Roman" w:cs="Courier New"/>
      <w:kern w:val="2"/>
      <w:sz w:val="21"/>
      <w:szCs w:val="21"/>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713">
    <w:name w:val="正文71"/>
    <w:pPr>
      <w:widowControl w:val="0"/>
      <w:jc w:val="both"/>
    </w:pPr>
    <w:rPr>
      <w:rFonts w:ascii="Calibri" w:eastAsia="宋体" w:hAnsi="Calibri" w:cs="Times New Roman"/>
      <w:kern w:val="2"/>
      <w:sz w:val="21"/>
      <w:szCs w:val="24"/>
      <w:lang w:val="en-US" w:bidi="ar-SA"/>
    </w:rPr>
  </w:style>
  <w:style w:type="paragraph" w:customStyle="1" w:styleId="326">
    <w:name w:val="正文326"/>
    <w:pPr>
      <w:widowControl w:val="0"/>
      <w:jc w:val="both"/>
    </w:pPr>
    <w:rPr>
      <w:rFonts w:ascii="Calibri" w:eastAsia="宋体" w:hAnsi="Calibri" w:cs="Times New Roman"/>
      <w:kern w:val="2"/>
      <w:sz w:val="21"/>
      <w:szCs w:val="24"/>
      <w:lang w:val="en-US"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4100">
    <w:name w:val="正文410"/>
    <w:pPr>
      <w:widowControl w:val="0"/>
      <w:jc w:val="both"/>
    </w:pPr>
    <w:rPr>
      <w:rFonts w:ascii="Calibri" w:eastAsia="宋体" w:hAnsi="Calibri" w:cs="Times New Roman"/>
      <w:kern w:val="2"/>
      <w:sz w:val="21"/>
      <w:szCs w:val="24"/>
      <w:lang w:val="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1002">
    <w:name w:val="纯文本100"/>
    <w:pPr>
      <w:widowControl w:val="0"/>
      <w:jc w:val="both"/>
    </w:pPr>
    <w:rPr>
      <w:rFonts w:ascii="宋体" w:eastAsia="宋体" w:hAnsi="Times New Roman" w:cs="Courier New"/>
      <w:kern w:val="2"/>
      <w:sz w:val="21"/>
      <w:szCs w:val="21"/>
      <w:lang w:val="en-US"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970">
    <w:name w:val="正文97"/>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862">
    <w:name w:val="正文86"/>
    <w:pPr>
      <w:widowControl w:val="0"/>
      <w:jc w:val="both"/>
    </w:pPr>
    <w:rPr>
      <w:rFonts w:ascii="Calibri" w:eastAsia="宋体" w:hAnsi="Calibri" w:cs="Times New Roman"/>
      <w:kern w:val="2"/>
      <w:sz w:val="21"/>
      <w:szCs w:val="24"/>
      <w:lang w:val="en-US"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41410">
    <w:name w:val="样式 414 10 磅"/>
    <w:pPr>
      <w:widowControl w:val="0"/>
      <w:jc w:val="both"/>
    </w:pPr>
    <w:rPr>
      <w:rFonts w:ascii="宋体" w:eastAsia="宋体" w:hAnsi="Times New Roman" w:cs="Times New Roman"/>
      <w:kern w:val="2"/>
      <w:sz w:val="21"/>
      <w:szCs w:val="21"/>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290">
    <w:name w:val="正文290"/>
    <w:pPr>
      <w:widowControl w:val="0"/>
      <w:jc w:val="both"/>
    </w:pPr>
    <w:rPr>
      <w:rFonts w:ascii="Calibri" w:eastAsia="宋体" w:hAnsi="Calibri" w:cs="Times New Roman"/>
      <w:kern w:val="2"/>
      <w:sz w:val="21"/>
      <w:szCs w:val="24"/>
      <w:lang w:val="en-US"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bidi="ar-SA"/>
    </w:rPr>
  </w:style>
  <w:style w:type="paragraph" w:customStyle="1" w:styleId="190">
    <w:name w:val="正文19"/>
    <w:pPr>
      <w:widowControl w:val="0"/>
      <w:jc w:val="both"/>
    </w:pPr>
    <w:rPr>
      <w:rFonts w:ascii="Calibri" w:eastAsia="宋体" w:hAnsi="Calibri" w:cs="Times New Roman"/>
      <w:kern w:val="2"/>
      <w:sz w:val="21"/>
      <w:szCs w:val="22"/>
      <w:lang w:val="en-US" w:bidi="ar-SA"/>
    </w:rPr>
  </w:style>
  <w:style w:type="paragraph" w:customStyle="1" w:styleId="1121">
    <w:name w:val="纯文本112"/>
    <w:pPr>
      <w:widowControl w:val="0"/>
      <w:jc w:val="both"/>
    </w:pPr>
    <w:rPr>
      <w:rFonts w:ascii="宋体" w:eastAsia="宋体" w:hAnsi="Times New Roman" w:cs="Courier New"/>
      <w:kern w:val="2"/>
      <w:sz w:val="21"/>
      <w:szCs w:val="21"/>
      <w:lang w:val="en-US" w:bidi="ar-SA"/>
    </w:rPr>
  </w:style>
  <w:style w:type="paragraph" w:customStyle="1" w:styleId="1135">
    <w:name w:val="正文1135"/>
    <w:pPr>
      <w:widowControl w:val="0"/>
      <w:jc w:val="both"/>
    </w:pPr>
    <w:rPr>
      <w:rFonts w:ascii="Calibri" w:eastAsia="宋体" w:hAnsi="Calibri" w:cs="Times New Roman"/>
      <w:kern w:val="2"/>
      <w:sz w:val="21"/>
      <w:szCs w:val="24"/>
      <w:lang w:val="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bidi="ar-SA"/>
    </w:rPr>
  </w:style>
  <w:style w:type="paragraph" w:customStyle="1" w:styleId="504">
    <w:name w:val="正文504"/>
    <w:pPr>
      <w:widowControl w:val="0"/>
      <w:jc w:val="both"/>
    </w:pPr>
    <w:rPr>
      <w:rFonts w:ascii="Calibri" w:eastAsia="宋体" w:hAnsi="Calibri" w:cs="Times New Roman"/>
      <w:kern w:val="2"/>
      <w:sz w:val="21"/>
      <w:szCs w:val="24"/>
      <w:lang w:val="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053">
    <w:name w:val="正文1053"/>
    <w:rPr>
      <w:rFonts w:ascii="Calibri" w:eastAsia="宋体" w:hAnsi="Calibri" w:cs="Times New Roman"/>
      <w:kern w:val="2"/>
      <w:sz w:val="21"/>
      <w:szCs w:val="21"/>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3">
    <w:name w:val="无间隔1"/>
    <w:pPr>
      <w:spacing w:line="360" w:lineRule="auto"/>
    </w:pPr>
    <w:rPr>
      <w:rFonts w:ascii="Calibri" w:eastAsia="宋体" w:hAnsi="Calibri" w:cs="Times New Roman"/>
      <w:kern w:val="2"/>
      <w:sz w:val="22"/>
      <w:szCs w:val="28"/>
      <w:lang w:val="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bidi="ar-SA"/>
    </w:rPr>
  </w:style>
  <w:style w:type="paragraph" w:customStyle="1" w:styleId="1172">
    <w:name w:val="正文1172"/>
    <w:pPr>
      <w:widowControl w:val="0"/>
      <w:jc w:val="both"/>
    </w:pPr>
    <w:rPr>
      <w:rFonts w:ascii="Calibri" w:eastAsia="宋体" w:hAnsi="Calibri" w:cs="Times New Roman"/>
      <w:kern w:val="2"/>
      <w:sz w:val="21"/>
      <w:szCs w:val="24"/>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Char1CharCharChar">
    <w:name w:val="Char1 Char Char Char"/>
    <w:basedOn w:val="Normal"/>
    <w:pPr>
      <w:numPr>
        <w:ilvl w:val="0"/>
        <w:numId w:val="27"/>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513">
    <w:name w:val="批注主题5"/>
    <w:pPr>
      <w:widowControl w:val="0"/>
      <w:jc w:val="both"/>
    </w:pPr>
    <w:rPr>
      <w:rFonts w:ascii="Calibri" w:eastAsia="宋体" w:hAnsi="Calibri" w:cs="Times New Roman"/>
      <w:b/>
      <w:bCs/>
      <w:kern w:val="2"/>
      <w:sz w:val="21"/>
      <w:szCs w:val="22"/>
      <w:lang w:val="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4320">
    <w:name w:val="正文432"/>
    <w:pPr>
      <w:widowControl w:val="0"/>
      <w:jc w:val="both"/>
    </w:pPr>
    <w:rPr>
      <w:rFonts w:ascii="Calibri" w:eastAsia="宋体" w:hAnsi="Calibri" w:cs="Times New Roman"/>
      <w:kern w:val="2"/>
      <w:sz w:val="21"/>
      <w:szCs w:val="24"/>
      <w:lang w:val="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23">
    <w:name w:val="正文523"/>
    <w:pPr>
      <w:widowControl w:val="0"/>
      <w:jc w:val="both"/>
    </w:pPr>
    <w:rPr>
      <w:rFonts w:ascii="Calibri" w:eastAsia="宋体" w:hAnsi="Calibri" w:cs="Times New Roman"/>
      <w:kern w:val="2"/>
      <w:sz w:val="21"/>
      <w:szCs w:val="24"/>
      <w:lang w:val="en-US"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bidi="ar-SA"/>
    </w:rPr>
  </w:style>
  <w:style w:type="paragraph" w:customStyle="1" w:styleId="591">
    <w:name w:val="正文59"/>
    <w:pPr>
      <w:widowControl w:val="0"/>
      <w:jc w:val="both"/>
    </w:pPr>
    <w:rPr>
      <w:rFonts w:ascii="Calibri" w:eastAsia="宋体" w:hAnsi="Calibri" w:cs="Times New Roman"/>
      <w:kern w:val="2"/>
      <w:sz w:val="21"/>
      <w:szCs w:val="24"/>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853">
    <w:name w:val="正文853"/>
    <w:pPr>
      <w:widowControl w:val="0"/>
      <w:jc w:val="both"/>
    </w:pPr>
    <w:rPr>
      <w:rFonts w:ascii="Calibri" w:eastAsia="宋体" w:hAnsi="Calibri" w:cs="Times New Roman"/>
      <w:kern w:val="2"/>
      <w:sz w:val="21"/>
      <w:szCs w:val="22"/>
      <w:lang w:val="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944">
    <w:name w:val="正文944"/>
    <w:pPr>
      <w:widowControl w:val="0"/>
      <w:jc w:val="both"/>
    </w:pPr>
    <w:rPr>
      <w:rFonts w:ascii="Calibri" w:eastAsia="宋体" w:hAnsi="Calibri" w:cs="Times New Roman"/>
      <w:kern w:val="2"/>
      <w:sz w:val="21"/>
      <w:szCs w:val="24"/>
      <w:lang w:val="en-US"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5130">
    <w:name w:val="正文513"/>
    <w:pPr>
      <w:widowControl w:val="0"/>
      <w:jc w:val="both"/>
    </w:pPr>
    <w:rPr>
      <w:rFonts w:ascii="Calibri" w:eastAsia="宋体" w:hAnsi="Calibri" w:cs="Times New Roman"/>
      <w:kern w:val="2"/>
      <w:sz w:val="21"/>
      <w:szCs w:val="24"/>
      <w:lang w:val="en-US"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273">
    <w:name w:val="纯文本27"/>
    <w:pPr>
      <w:widowControl w:val="0"/>
      <w:jc w:val="both"/>
    </w:pPr>
    <w:rPr>
      <w:rFonts w:ascii="宋体" w:eastAsia="宋体" w:hAnsi="Times New Roman" w:cs="Courier New"/>
      <w:kern w:val="2"/>
      <w:sz w:val="21"/>
      <w:szCs w:val="21"/>
      <w:lang w:val="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1009">
    <w:name w:val="正文1009"/>
    <w:pPr>
      <w:widowControl w:val="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bidi="ar-SA"/>
    </w:rPr>
  </w:style>
  <w:style w:type="paragraph" w:customStyle="1" w:styleId="951">
    <w:name w:val="正文951"/>
    <w:pPr>
      <w:widowControl w:val="0"/>
      <w:jc w:val="both"/>
    </w:pPr>
    <w:rPr>
      <w:rFonts w:ascii="Calibri" w:eastAsia="宋体" w:hAnsi="Calibri" w:cs="Times New Roman"/>
      <w:kern w:val="2"/>
      <w:sz w:val="21"/>
      <w:szCs w:val="22"/>
      <w:lang w:val="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bidi="ar-SA"/>
    </w:rPr>
  </w:style>
  <w:style w:type="paragraph" w:customStyle="1" w:styleId="514">
    <w:name w:val="纯文本51"/>
    <w:pPr>
      <w:widowControl w:val="0"/>
      <w:jc w:val="both"/>
    </w:pPr>
    <w:rPr>
      <w:rFonts w:ascii="宋体" w:eastAsia="宋体" w:hAnsi="Times New Roman" w:cs="Courier New"/>
      <w:kern w:val="2"/>
      <w:sz w:val="21"/>
      <w:szCs w:val="21"/>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062">
    <w:name w:val="正文106"/>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bidi="ar-SA"/>
    </w:rPr>
  </w:style>
  <w:style w:type="paragraph" w:customStyle="1" w:styleId="325">
    <w:name w:val="纯文本32"/>
    <w:pPr>
      <w:widowControl w:val="0"/>
      <w:jc w:val="both"/>
    </w:pPr>
    <w:rPr>
      <w:rFonts w:ascii="宋体" w:eastAsia="宋体" w:hAnsi="Times New Roman" w:cs="Courier New"/>
      <w:kern w:val="2"/>
      <w:sz w:val="21"/>
      <w:szCs w:val="21"/>
      <w:lang w:val="en-US" w:bidi="ar-SA"/>
    </w:rPr>
  </w:style>
  <w:style w:type="paragraph" w:customStyle="1" w:styleId="1183">
    <w:name w:val="正文118"/>
    <w:pPr>
      <w:widowControl w:val="0"/>
      <w:jc w:val="both"/>
    </w:pPr>
    <w:rPr>
      <w:rFonts w:ascii="Calibri" w:eastAsia="宋体" w:hAnsi="Calibri" w:cs="Times New Roman"/>
      <w:kern w:val="2"/>
      <w:sz w:val="21"/>
      <w:szCs w:val="24"/>
      <w:lang w:val="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3240">
    <w:name w:val="正文324"/>
    <w:pPr>
      <w:widowControl w:val="0"/>
      <w:jc w:val="both"/>
    </w:pPr>
    <w:rPr>
      <w:rFonts w:ascii="Calibri" w:eastAsia="宋体" w:hAnsi="Calibri" w:cs="Times New Roman"/>
      <w:kern w:val="2"/>
      <w:sz w:val="21"/>
      <w:szCs w:val="24"/>
      <w:lang w:val="en-US"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8200">
    <w:name w:val="正文820"/>
    <w:pPr>
      <w:widowControl w:val="0"/>
      <w:jc w:val="both"/>
    </w:pPr>
    <w:rPr>
      <w:rFonts w:ascii="Calibri" w:eastAsia="宋体" w:hAnsi="Calibri" w:cs="Times New Roman"/>
      <w:kern w:val="2"/>
      <w:sz w:val="21"/>
      <w:szCs w:val="22"/>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bidi="ar-SA"/>
    </w:rPr>
  </w:style>
  <w:style w:type="paragraph" w:customStyle="1" w:styleId="193">
    <w:name w:val="正文193"/>
    <w:pPr>
      <w:widowControl w:val="0"/>
      <w:jc w:val="both"/>
    </w:pPr>
    <w:rPr>
      <w:rFonts w:ascii="Calibri" w:eastAsia="宋体" w:hAnsi="Calibri" w:cs="Times New Roman"/>
      <w:kern w:val="2"/>
      <w:sz w:val="21"/>
      <w:szCs w:val="24"/>
      <w:lang w:val="en-US" w:bidi="ar-SA"/>
    </w:rPr>
  </w:style>
  <w:style w:type="paragraph" w:customStyle="1" w:styleId="a25">
    <w:name w:val="公式样式 变量"/>
    <w:rPr>
      <w:rFonts w:ascii="Calibri" w:eastAsia="宋体" w:hAnsi="Calibri" w:cs="Times New Roman"/>
      <w:i/>
      <w:iCs/>
      <w:kern w:val="2"/>
      <w:sz w:val="20"/>
      <w:szCs w:val="28"/>
      <w:lang w:val="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2120">
    <w:name w:val="正文212"/>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6030">
    <w:name w:val="正文603"/>
    <w:pPr>
      <w:widowControl w:val="0"/>
      <w:jc w:val="both"/>
    </w:pPr>
    <w:rPr>
      <w:rFonts w:ascii="Calibri" w:eastAsia="宋体" w:hAnsi="Calibri" w:cs="Times New Roman"/>
      <w:kern w:val="2"/>
      <w:sz w:val="21"/>
      <w:szCs w:val="24"/>
      <w:lang w:val="en-US"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301">
    <w:name w:val="目录 3_0"/>
    <w:next w:val="3"/>
    <w:pPr>
      <w:widowControl w:val="0"/>
      <w:numPr>
        <w:ilvl w:val="0"/>
        <w:numId w:val="28"/>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654">
    <w:name w:val="正文654"/>
    <w:pPr>
      <w:widowControl w:val="0"/>
      <w:jc w:val="both"/>
    </w:pPr>
    <w:rPr>
      <w:rFonts w:ascii="Calibri" w:eastAsia="宋体" w:hAnsi="Calibri" w:cs="Times New Roman"/>
      <w:kern w:val="2"/>
      <w:sz w:val="21"/>
      <w:szCs w:val="24"/>
      <w:lang w:val="en-US"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bidi="ar-SA"/>
    </w:rPr>
  </w:style>
  <w:style w:type="paragraph" w:customStyle="1" w:styleId="671">
    <w:name w:val="正文671"/>
    <w:pPr>
      <w:widowControl w:val="0"/>
      <w:jc w:val="both"/>
    </w:pPr>
    <w:rPr>
      <w:rFonts w:ascii="Calibri" w:eastAsia="宋体" w:hAnsi="Calibri" w:cs="Times New Roman"/>
      <w:kern w:val="2"/>
      <w:sz w:val="21"/>
      <w:szCs w:val="24"/>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44710">
    <w:name w:val="样式 447 10 磅"/>
    <w:next w:val="604"/>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960">
    <w:name w:val="纯文本96"/>
    <w:pPr>
      <w:widowControl w:val="0"/>
      <w:jc w:val="both"/>
    </w:pPr>
    <w:rPr>
      <w:rFonts w:ascii="宋体" w:eastAsia="宋体" w:hAnsi="Times New Roman" w:cs="Courier New"/>
      <w:kern w:val="2"/>
      <w:sz w:val="21"/>
      <w:szCs w:val="21"/>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241">
    <w:name w:val="正文241"/>
    <w:pPr>
      <w:widowControl w:val="0"/>
      <w:jc w:val="both"/>
    </w:pPr>
    <w:rPr>
      <w:rFonts w:ascii="Calibri" w:eastAsia="宋体" w:hAnsi="Calibri" w:cs="Times New Roman"/>
      <w:kern w:val="2"/>
      <w:sz w:val="21"/>
      <w:szCs w:val="24"/>
      <w:lang w:val="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bidi="ar-SA"/>
    </w:rPr>
  </w:style>
  <w:style w:type="paragraph" w:customStyle="1" w:styleId="1171">
    <w:name w:val="纯文本117"/>
    <w:pPr>
      <w:widowControl w:val="0"/>
      <w:jc w:val="both"/>
    </w:pPr>
    <w:rPr>
      <w:rFonts w:ascii="宋体" w:eastAsia="宋体" w:hAnsi="Times New Roman" w:cs="Courier New"/>
      <w:kern w:val="2"/>
      <w:sz w:val="21"/>
      <w:szCs w:val="21"/>
      <w:lang w:val="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bidi="ar-SA"/>
    </w:rPr>
  </w:style>
  <w:style w:type="paragraph" w:customStyle="1" w:styleId="871">
    <w:name w:val="正文871"/>
    <w:pPr>
      <w:widowControl w:val="0"/>
      <w:jc w:val="both"/>
    </w:pPr>
    <w:rPr>
      <w:rFonts w:ascii="Calibri" w:eastAsia="宋体" w:hAnsi="Calibri" w:cs="Times New Roman"/>
      <w:kern w:val="2"/>
      <w:sz w:val="21"/>
      <w:szCs w:val="22"/>
      <w:lang w:val="en-US"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6110">
    <w:name w:val="样式 6 11 磅"/>
    <w:rPr>
      <w:rFonts w:ascii="Calibri" w:eastAsia="宋体" w:hAnsi="Calibri" w:cs="Times New Roman"/>
      <w:sz w:val="22"/>
      <w:szCs w:val="22"/>
      <w:lang w:val="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72">
    <w:name w:val="正文67"/>
    <w:pPr>
      <w:widowControl w:val="0"/>
      <w:jc w:val="both"/>
    </w:pPr>
    <w:rPr>
      <w:rFonts w:ascii="Calibri" w:eastAsia="宋体" w:hAnsi="Calibri" w:cs="Times New Roman"/>
      <w:kern w:val="2"/>
      <w:sz w:val="21"/>
      <w:szCs w:val="24"/>
      <w:lang w:val="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27"/>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477">
    <w:name w:val="正文477"/>
    <w:pPr>
      <w:widowControl w:val="0"/>
      <w:jc w:val="both"/>
    </w:pPr>
    <w:rPr>
      <w:rFonts w:ascii="Calibri" w:eastAsia="宋体" w:hAnsi="Calibri" w:cs="Times New Roman"/>
      <w:kern w:val="2"/>
      <w:sz w:val="21"/>
      <w:szCs w:val="24"/>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277">
    <w:name w:val="正文277"/>
    <w:pPr>
      <w:widowControl w:val="0"/>
      <w:jc w:val="both"/>
    </w:pPr>
    <w:rPr>
      <w:rFonts w:ascii="Calibri" w:eastAsia="宋体" w:hAnsi="Calibri" w:cs="Times New Roman"/>
      <w:kern w:val="2"/>
      <w:sz w:val="21"/>
      <w:szCs w:val="24"/>
      <w:lang w:val="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1114">
    <w:name w:val="纯文本111"/>
    <w:pPr>
      <w:widowControl w:val="0"/>
      <w:jc w:val="both"/>
    </w:pPr>
    <w:rPr>
      <w:rFonts w:ascii="宋体" w:eastAsia="宋体" w:hAnsi="Times New Roman" w:cs="Courier New"/>
      <w:kern w:val="2"/>
      <w:sz w:val="21"/>
      <w:szCs w:val="21"/>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233">
    <w:name w:val="正文23"/>
    <w:pPr>
      <w:widowControl w:val="0"/>
      <w:jc w:val="both"/>
    </w:pPr>
    <w:rPr>
      <w:rFonts w:ascii="Calibri" w:eastAsia="宋体" w:hAnsi="Calibri" w:cs="Times New Roman"/>
      <w:kern w:val="2"/>
      <w:sz w:val="21"/>
      <w:szCs w:val="24"/>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91310">
    <w:name w:val="样式 1913 10 磅"/>
    <w:pPr>
      <w:widowControl w:val="0"/>
      <w:numPr>
        <w:ilvl w:val="0"/>
        <w:numId w:val="26"/>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bidi="ar-SA"/>
    </w:rPr>
  </w:style>
  <w:style w:type="paragraph" w:customStyle="1" w:styleId="4400">
    <w:name w:val="正文440"/>
    <w:pPr>
      <w:widowControl w:val="0"/>
      <w:jc w:val="both"/>
    </w:pPr>
    <w:rPr>
      <w:rFonts w:ascii="Calibri" w:eastAsia="宋体" w:hAnsi="Calibri" w:cs="Times New Roman"/>
      <w:kern w:val="2"/>
      <w:sz w:val="21"/>
      <w:szCs w:val="24"/>
      <w:lang w:val="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505">
    <w:name w:val="纯文本50"/>
    <w:pPr>
      <w:widowControl w:val="0"/>
      <w:jc w:val="both"/>
    </w:pPr>
    <w:rPr>
      <w:rFonts w:ascii="宋体" w:eastAsia="宋体" w:hAnsi="Times New Roman" w:cs="Courier New"/>
      <w:kern w:val="2"/>
      <w:sz w:val="21"/>
      <w:szCs w:val="21"/>
      <w:lang w:val="en-US" w:bidi="ar-SA"/>
    </w:rPr>
  </w:style>
  <w:style w:type="paragraph" w:customStyle="1" w:styleId="192">
    <w:name w:val="纯文本19"/>
    <w:pPr>
      <w:widowControl w:val="0"/>
      <w:jc w:val="both"/>
    </w:pPr>
    <w:rPr>
      <w:rFonts w:ascii="宋体" w:eastAsia="宋体" w:hAnsi="Times New Roman" w:cs="Courier New"/>
      <w:kern w:val="2"/>
      <w:sz w:val="21"/>
      <w:szCs w:val="21"/>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bidi="ar-SA"/>
    </w:rPr>
  </w:style>
  <w:style w:type="paragraph" w:customStyle="1" w:styleId="416">
    <w:name w:val="正文4"/>
    <w:pPr>
      <w:widowControl w:val="0"/>
      <w:jc w:val="both"/>
    </w:pPr>
    <w:rPr>
      <w:rFonts w:ascii="Calibri" w:eastAsia="宋体" w:hAnsi="Calibri" w:cs="Times New Roman"/>
      <w:kern w:val="2"/>
      <w:sz w:val="21"/>
      <w:szCs w:val="22"/>
      <w:lang w:val="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0100">
    <w:name w:val="正文1010"/>
    <w:pPr>
      <w:widowControl w:val="0"/>
      <w:jc w:val="both"/>
    </w:pPr>
    <w:rPr>
      <w:rFonts w:ascii="Calibri" w:eastAsia="宋体" w:hAnsi="Calibri" w:cs="Times New Roman"/>
      <w:kern w:val="2"/>
      <w:sz w:val="21"/>
      <w:szCs w:val="22"/>
      <w:lang w:val="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743">
    <w:name w:val="正文74"/>
    <w:pPr>
      <w:widowControl w:val="0"/>
      <w:jc w:val="both"/>
    </w:pPr>
    <w:rPr>
      <w:rFonts w:ascii="Calibri" w:eastAsia="宋体" w:hAnsi="Calibri" w:cs="Times New Roman"/>
      <w:kern w:val="2"/>
      <w:sz w:val="21"/>
      <w:szCs w:val="24"/>
      <w:lang w:val="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411">
    <w:name w:val="正文141"/>
    <w:pPr>
      <w:widowControl w:val="0"/>
      <w:jc w:val="both"/>
    </w:pPr>
    <w:rPr>
      <w:rFonts w:ascii="Calibri" w:eastAsia="宋体" w:hAnsi="Calibri" w:cs="Times New Roman"/>
      <w:kern w:val="2"/>
      <w:sz w:val="21"/>
      <w:szCs w:val="24"/>
      <w:lang w:val="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1140">
    <w:name w:val="纯文本114"/>
    <w:pPr>
      <w:widowControl w:val="0"/>
      <w:jc w:val="both"/>
    </w:pPr>
    <w:rPr>
      <w:rFonts w:ascii="宋体" w:eastAsia="宋体" w:hAnsi="Times New Roman" w:cs="Courier New"/>
      <w:kern w:val="2"/>
      <w:sz w:val="21"/>
      <w:szCs w:val="21"/>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162">
    <w:name w:val="表格1"/>
    <w:pPr>
      <w:widowControl w:val="0"/>
      <w:jc w:val="center"/>
    </w:pPr>
    <w:rPr>
      <w:rFonts w:ascii="Calibri" w:eastAsia="宋体" w:hAnsi="Calibri" w:cs="Times New Roman"/>
      <w:kern w:val="2"/>
      <w:sz w:val="24"/>
      <w:szCs w:val="28"/>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bidi="ar-SA"/>
    </w:rPr>
  </w:style>
  <w:style w:type="paragraph" w:customStyle="1" w:styleId="1080">
    <w:name w:val="纯文本108"/>
    <w:pPr>
      <w:widowControl w:val="0"/>
      <w:jc w:val="both"/>
    </w:pPr>
    <w:rPr>
      <w:rFonts w:ascii="宋体" w:eastAsia="宋体" w:hAnsi="Times New Roman" w:cs="Courier New"/>
      <w:kern w:val="2"/>
      <w:sz w:val="21"/>
      <w:szCs w:val="21"/>
      <w:lang w:val="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174">
    <w:name w:val="正文17"/>
    <w:pPr>
      <w:widowControl w:val="0"/>
      <w:jc w:val="both"/>
    </w:pPr>
    <w:rPr>
      <w:rFonts w:ascii="Calibri" w:eastAsia="宋体" w:hAnsi="Calibri" w:cs="Times New Roman"/>
      <w:kern w:val="2"/>
      <w:sz w:val="21"/>
      <w:szCs w:val="22"/>
      <w:lang w:val="en-US" w:bidi="ar-SA"/>
    </w:rPr>
  </w:style>
  <w:style w:type="paragraph" w:customStyle="1" w:styleId="720">
    <w:name w:val="纯文本72"/>
    <w:pPr>
      <w:widowControl w:val="0"/>
      <w:jc w:val="both"/>
    </w:pPr>
    <w:rPr>
      <w:rFonts w:ascii="宋体" w:eastAsia="宋体" w:hAnsi="Times New Roman" w:cs="Courier New"/>
      <w:kern w:val="2"/>
      <w:sz w:val="21"/>
      <w:szCs w:val="21"/>
      <w:lang w:val="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1155">
    <w:name w:val="正文1155"/>
    <w:pPr>
      <w:widowControl w:val="0"/>
      <w:jc w:val="both"/>
    </w:pPr>
    <w:rPr>
      <w:rFonts w:ascii="Calibri" w:eastAsia="方正仿宋_GBK" w:hAnsi="Calibri" w:cs="Times New Roman"/>
      <w:kern w:val="2"/>
      <w:sz w:val="32"/>
      <w:szCs w:val="28"/>
      <w:lang w:val="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200">
    <w:name w:val="正文320"/>
    <w:pPr>
      <w:widowControl w:val="0"/>
      <w:jc w:val="both"/>
    </w:pPr>
    <w:rPr>
      <w:rFonts w:ascii="Calibri" w:eastAsia="宋体" w:hAnsi="Calibri" w:cs="Times New Roman"/>
      <w:kern w:val="2"/>
      <w:sz w:val="21"/>
      <w:szCs w:val="24"/>
      <w:lang w:val="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hAnsi="Times New Roman" w:cs="Courier New"/>
      <w:kern w:val="2"/>
      <w:sz w:val="21"/>
      <w:szCs w:val="21"/>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bidi="ar-SA"/>
    </w:rPr>
  </w:style>
  <w:style w:type="paragraph" w:customStyle="1" w:styleId="220">
    <w:name w:val="纯文本22"/>
    <w:pPr>
      <w:widowControl w:val="0"/>
      <w:jc w:val="both"/>
    </w:pPr>
    <w:rPr>
      <w:rFonts w:ascii="宋体" w:eastAsia="宋体" w:hAnsi="Times New Roman" w:cs="Courier New"/>
      <w:kern w:val="2"/>
      <w:sz w:val="21"/>
      <w:szCs w:val="21"/>
      <w:lang w:val="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164">
    <w:name w:val="页码1"/>
    <w:rPr>
      <w:rFonts w:ascii="Calibri" w:eastAsia="微软雅黑" w:hAnsi="Calibri" w:cs="Times New Roman"/>
      <w:kern w:val="2"/>
      <w:sz w:val="20"/>
      <w:szCs w:val="28"/>
      <w:lang w:val="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1153">
    <w:name w:val="纯文本115"/>
    <w:pPr>
      <w:widowControl w:val="0"/>
      <w:jc w:val="both"/>
    </w:pPr>
    <w:rPr>
      <w:rFonts w:ascii="宋体" w:eastAsia="宋体" w:hAnsi="Times New Roman" w:cs="Courier New"/>
      <w:kern w:val="2"/>
      <w:sz w:val="21"/>
      <w:szCs w:val="21"/>
      <w:lang w:val="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2">
    <w:name w:val="纯文本38"/>
    <w:pPr>
      <w:widowControl w:val="0"/>
      <w:jc w:val="both"/>
    </w:pPr>
    <w:rPr>
      <w:rFonts w:ascii="宋体" w:eastAsia="宋体" w:hAnsi="Times New Roman" w:cs="Courier New"/>
      <w:kern w:val="2"/>
      <w:sz w:val="21"/>
      <w:szCs w:val="21"/>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371">
    <w:name w:val="正文371"/>
    <w:pPr>
      <w:widowControl w:val="0"/>
      <w:jc w:val="both"/>
    </w:pPr>
    <w:rPr>
      <w:rFonts w:ascii="Calibri" w:eastAsia="宋体" w:hAnsi="Calibri" w:cs="Times New Roman"/>
      <w:kern w:val="2"/>
      <w:sz w:val="21"/>
      <w:szCs w:val="24"/>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965">
    <w:name w:val="正文96"/>
    <w:pPr>
      <w:widowControl w:val="0"/>
      <w:jc w:val="both"/>
    </w:pPr>
    <w:rPr>
      <w:rFonts w:ascii="Calibri" w:eastAsia="宋体" w:hAnsi="Calibri" w:cs="Times New Roman"/>
      <w:kern w:val="2"/>
      <w:sz w:val="21"/>
      <w:szCs w:val="24"/>
      <w:lang w:val="en-US" w:bidi="ar-SA"/>
    </w:rPr>
  </w:style>
  <w:style w:type="paragraph" w:customStyle="1" w:styleId="673">
    <w:name w:val="纯文本67"/>
    <w:pPr>
      <w:widowControl w:val="0"/>
      <w:jc w:val="both"/>
    </w:pPr>
    <w:rPr>
      <w:rFonts w:ascii="宋体" w:eastAsia="宋体" w:hAnsi="Times New Roman" w:cs="Courier New"/>
      <w:kern w:val="2"/>
      <w:sz w:val="21"/>
      <w:szCs w:val="21"/>
      <w:lang w:val="en-US"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556">
    <w:name w:val="正文556"/>
    <w:pPr>
      <w:widowControl w:val="0"/>
      <w:jc w:val="both"/>
    </w:pPr>
    <w:rPr>
      <w:rFonts w:ascii="Calibri" w:eastAsia="宋体" w:hAnsi="Calibri" w:cs="Times New Roman"/>
      <w:kern w:val="2"/>
      <w:sz w:val="21"/>
      <w:szCs w:val="24"/>
      <w:lang w:val="en-US"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990">
    <w:name w:val="正文990"/>
    <w:pPr>
      <w:widowControl w:val="0"/>
      <w:jc w:val="both"/>
    </w:pPr>
    <w:rPr>
      <w:rFonts w:ascii="Calibri" w:eastAsia="宋体" w:hAnsi="Calibri" w:cs="Times New Roman"/>
      <w:kern w:val="2"/>
      <w:sz w:val="21"/>
      <w:szCs w:val="22"/>
      <w:lang w:val="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bidi="ar-SA"/>
    </w:rPr>
  </w:style>
  <w:style w:type="paragraph" w:customStyle="1" w:styleId="11530">
    <w:name w:val="正文1153"/>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bidi="ar-SA"/>
    </w:rPr>
  </w:style>
  <w:style w:type="paragraph" w:customStyle="1" w:styleId="4150">
    <w:name w:val="正文415"/>
    <w:pPr>
      <w:widowControl w:val="0"/>
      <w:jc w:val="both"/>
    </w:pPr>
    <w:rPr>
      <w:rFonts w:ascii="Calibri" w:eastAsia="宋体" w:hAnsi="Calibri" w:cs="Times New Roman"/>
      <w:kern w:val="2"/>
      <w:sz w:val="21"/>
      <w:szCs w:val="24"/>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90">
    <w:name w:val="纯文本109"/>
    <w:pPr>
      <w:widowControl w:val="0"/>
      <w:jc w:val="both"/>
    </w:pPr>
    <w:rPr>
      <w:rFonts w:ascii="宋体" w:eastAsia="宋体" w:hAnsi="Times New Roman" w:cs="Courier New"/>
      <w:kern w:val="2"/>
      <w:sz w:val="21"/>
      <w:szCs w:val="21"/>
      <w:lang w:val="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bidi="ar-SA"/>
    </w:rPr>
  </w:style>
  <w:style w:type="paragraph" w:customStyle="1" w:styleId="616">
    <w:name w:val="样式 标题 6 + (西文) 宋体"/>
    <w:pPr>
      <w:keepNext/>
      <w:keepLines/>
      <w:widowControl w:val="0"/>
      <w:numPr>
        <w:ilvl w:val="5"/>
        <w:numId w:val="29"/>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bidi="ar-SA"/>
    </w:rPr>
  </w:style>
  <w:style w:type="paragraph" w:customStyle="1" w:styleId="221">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2"/>
    <w:pPr>
      <w:widowControl w:val="0"/>
      <w:jc w:val="both"/>
    </w:pPr>
    <w:rPr>
      <w:rFonts w:ascii="Calibri" w:eastAsia="宋体" w:hAnsi="Calibri" w:cs="Times New Roman"/>
      <w:kern w:val="2"/>
      <w:sz w:val="21"/>
      <w:szCs w:val="24"/>
      <w:lang w:val="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837">
    <w:name w:val="正文837"/>
    <w:pPr>
      <w:widowControl w:val="0"/>
      <w:jc w:val="both"/>
    </w:pPr>
    <w:rPr>
      <w:rFonts w:ascii="Calibri" w:eastAsia="宋体" w:hAnsi="Calibri" w:cs="Times New Roman"/>
      <w:kern w:val="2"/>
      <w:sz w:val="21"/>
      <w:szCs w:val="22"/>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1800">
    <w:name w:val="正文180"/>
    <w:pPr>
      <w:widowControl w:val="0"/>
      <w:jc w:val="both"/>
    </w:pPr>
    <w:rPr>
      <w:rFonts w:ascii="Calibri" w:eastAsia="宋体" w:hAnsi="Calibri" w:cs="Times New Roman"/>
      <w:kern w:val="2"/>
      <w:sz w:val="21"/>
      <w:szCs w:val="24"/>
      <w:lang w:val="en-US"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4910">
    <w:name w:val="正文491"/>
    <w:pPr>
      <w:widowControl w:val="0"/>
      <w:jc w:val="both"/>
    </w:pPr>
    <w:rPr>
      <w:rFonts w:ascii="Calibri" w:eastAsia="宋体" w:hAnsi="Calibri" w:cs="Times New Roman"/>
      <w:kern w:val="2"/>
      <w:sz w:val="21"/>
      <w:szCs w:val="24"/>
      <w:lang w:val="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41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bidi="ar-SA"/>
    </w:rPr>
  </w:style>
  <w:style w:type="paragraph" w:customStyle="1" w:styleId="6600">
    <w:name w:val="正文660"/>
    <w:pPr>
      <w:widowControl w:val="0"/>
      <w:jc w:val="both"/>
    </w:pPr>
    <w:rPr>
      <w:rFonts w:ascii="Calibri" w:eastAsia="宋体" w:hAnsi="Calibri" w:cs="Times New Roman"/>
      <w:kern w:val="2"/>
      <w:sz w:val="21"/>
      <w:szCs w:val="24"/>
      <w:lang w:val="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0300">
    <w:name w:val="正文1030"/>
    <w:rPr>
      <w:rFonts w:ascii="Calibri" w:eastAsia="宋体" w:hAnsi="Calibri" w:cs="Times New Roman"/>
      <w:kern w:val="2"/>
      <w:sz w:val="21"/>
      <w:szCs w:val="21"/>
      <w:lang w:val="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112">
    <w:name w:val="正文411"/>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bidi="ar-SA"/>
    </w:rPr>
  </w:style>
  <w:style w:type="paragraph" w:customStyle="1" w:styleId="10900">
    <w:name w:val="正文1090"/>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bidi="ar-SA"/>
    </w:rPr>
  </w:style>
  <w:style w:type="paragraph" w:customStyle="1" w:styleId="872">
    <w:name w:val="正文872"/>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bidi="ar-SA"/>
    </w:rPr>
  </w:style>
  <w:style w:type="paragraph" w:customStyle="1" w:styleId="1027">
    <w:name w:val="正文1027"/>
    <w:rPr>
      <w:rFonts w:ascii="Calibri" w:eastAsia="宋体" w:hAnsi="Calibri" w:cs="Times New Roman"/>
      <w:kern w:val="2"/>
      <w:sz w:val="21"/>
      <w:szCs w:val="21"/>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74">
    <w:name w:val="正文87"/>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1920">
    <w:name w:val="正文192"/>
    <w:pPr>
      <w:widowControl w:val="0"/>
      <w:jc w:val="both"/>
    </w:pPr>
    <w:rPr>
      <w:rFonts w:ascii="Calibri" w:eastAsia="宋体" w:hAnsi="Calibri" w:cs="Times New Roman"/>
      <w:kern w:val="2"/>
      <w:sz w:val="21"/>
      <w:szCs w:val="24"/>
      <w:lang w:val="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bidi="ar-SA"/>
    </w:rPr>
  </w:style>
  <w:style w:type="paragraph" w:customStyle="1" w:styleId="294">
    <w:name w:val="纯文本29"/>
    <w:pPr>
      <w:widowControl w:val="0"/>
      <w:jc w:val="both"/>
    </w:pPr>
    <w:rPr>
      <w:rFonts w:ascii="宋体" w:eastAsia="宋体" w:hAnsi="Times New Roman" w:cs="Courier New"/>
      <w:kern w:val="2"/>
      <w:sz w:val="21"/>
      <w:szCs w:val="21"/>
      <w:lang w:val="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5410">
    <w:name w:val="正文541"/>
    <w:pPr>
      <w:widowControl w:val="0"/>
      <w:jc w:val="both"/>
    </w:pPr>
    <w:rPr>
      <w:rFonts w:ascii="Calibri" w:eastAsia="宋体" w:hAnsi="Calibri" w:cs="Times New Roman"/>
      <w:kern w:val="2"/>
      <w:sz w:val="21"/>
      <w:szCs w:val="24"/>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24">
    <w:name w:val="纯文本10"/>
    <w:pPr>
      <w:widowControl w:val="0"/>
      <w:jc w:val="both"/>
    </w:pPr>
    <w:rPr>
      <w:rFonts w:ascii="宋体" w:eastAsia="宋体" w:hAnsi="Times New Roman" w:cs="Courier New"/>
      <w:kern w:val="2"/>
      <w:sz w:val="21"/>
      <w:szCs w:val="21"/>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bidi="ar-SA"/>
    </w:rPr>
  </w:style>
  <w:style w:type="paragraph" w:customStyle="1" w:styleId="11210">
    <w:name w:val="正文1121"/>
    <w:pPr>
      <w:widowControl w:val="0"/>
      <w:jc w:val="both"/>
    </w:pPr>
    <w:rPr>
      <w:rFonts w:ascii="Calibri" w:eastAsia="宋体" w:hAnsi="Calibri" w:cs="Times New Roman"/>
      <w:kern w:val="2"/>
      <w:sz w:val="21"/>
      <w:szCs w:val="24"/>
      <w:lang w:val="en-US"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47010">
    <w:name w:val="样式 470 10 磅"/>
    <w:pPr>
      <w:widowControl w:val="0"/>
      <w:jc w:val="both"/>
    </w:pPr>
    <w:rPr>
      <w:rFonts w:ascii="等线" w:eastAsia="等线" w:hAnsi="Times New Roman" w:cs="Arial"/>
      <w:kern w:val="2"/>
      <w:sz w:val="21"/>
      <w:szCs w:val="22"/>
      <w:lang w:val="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1123">
    <w:name w:val="正文1123"/>
    <w:pPr>
      <w:widowControl w:val="0"/>
      <w:jc w:val="both"/>
    </w:pPr>
    <w:rPr>
      <w:rFonts w:ascii="Calibri" w:eastAsia="宋体" w:hAnsi="Calibri" w:cs="Times New Roman"/>
      <w:kern w:val="2"/>
      <w:sz w:val="21"/>
      <w:szCs w:val="24"/>
      <w:lang w:val="en-US" w:bidi="ar-SA"/>
    </w:rPr>
  </w:style>
  <w:style w:type="paragraph" w:customStyle="1" w:styleId="186210">
    <w:name w:val="样式 1862 10 磅"/>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1370">
    <w:name w:val="正文137"/>
    <w:pPr>
      <w:widowControl w:val="0"/>
      <w:jc w:val="both"/>
    </w:pPr>
    <w:rPr>
      <w:rFonts w:ascii="Calibri" w:eastAsia="宋体" w:hAnsi="Calibri" w:cs="Times New Roman"/>
      <w:kern w:val="2"/>
      <w:sz w:val="21"/>
      <w:szCs w:val="24"/>
      <w:lang w:val="en-US" w:bidi="ar-SA"/>
    </w:rPr>
  </w:style>
  <w:style w:type="paragraph" w:customStyle="1" w:styleId="1420">
    <w:name w:val="正文142"/>
    <w:pPr>
      <w:widowControl w:val="0"/>
      <w:jc w:val="both"/>
    </w:pPr>
    <w:rPr>
      <w:rFonts w:ascii="Calibri" w:eastAsia="宋体" w:hAnsi="Calibri" w:cs="Times New Roman"/>
      <w:kern w:val="2"/>
      <w:sz w:val="21"/>
      <w:szCs w:val="24"/>
      <w:lang w:val="en-US" w:bidi="ar-SA"/>
    </w:rPr>
  </w:style>
  <w:style w:type="paragraph" w:customStyle="1" w:styleId="783">
    <w:name w:val="正文783"/>
    <w:pPr>
      <w:widowControl w:val="0"/>
      <w:jc w:val="both"/>
    </w:pPr>
    <w:rPr>
      <w:rFonts w:ascii="Calibri" w:eastAsia="宋体" w:hAnsi="Calibri" w:cs="Times New Roman"/>
      <w:kern w:val="2"/>
      <w:sz w:val="21"/>
      <w:szCs w:val="24"/>
      <w:lang w:val="en-US"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779">
    <w:name w:val="纯文本77"/>
    <w:pPr>
      <w:widowControl w:val="0"/>
      <w:jc w:val="both"/>
    </w:pPr>
    <w:rPr>
      <w:rFonts w:ascii="宋体" w:eastAsia="宋体" w:hAnsi="Times New Roman" w:cs="Courier New"/>
      <w:kern w:val="2"/>
      <w:sz w:val="21"/>
      <w:szCs w:val="21"/>
      <w:lang w:val="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923">
    <w:name w:val="纯文本9"/>
    <w:pPr>
      <w:widowControl w:val="0"/>
      <w:jc w:val="both"/>
    </w:pPr>
    <w:rPr>
      <w:rFonts w:ascii="宋体" w:eastAsia="宋体" w:hAnsi="Times New Roman" w:cs="Courier New"/>
      <w:kern w:val="2"/>
      <w:sz w:val="21"/>
      <w:szCs w:val="21"/>
      <w:lang w:val="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bidi="ar-SA"/>
    </w:rPr>
  </w:style>
  <w:style w:type="paragraph" w:customStyle="1" w:styleId="4311">
    <w:name w:val="正文431"/>
    <w:pPr>
      <w:widowControl w:val="0"/>
      <w:jc w:val="both"/>
    </w:pPr>
    <w:rPr>
      <w:rFonts w:ascii="Calibri" w:eastAsia="宋体" w:hAnsi="Calibri" w:cs="Times New Roman"/>
      <w:kern w:val="2"/>
      <w:sz w:val="21"/>
      <w:szCs w:val="24"/>
      <w:lang w:val="en-US"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bidi="ar-SA"/>
    </w:rPr>
  </w:style>
  <w:style w:type="paragraph" w:customStyle="1" w:styleId="10460">
    <w:name w:val="正文1046"/>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bidi="ar-SA"/>
    </w:rPr>
  </w:style>
  <w:style w:type="paragraph" w:customStyle="1" w:styleId="9120">
    <w:name w:val="正文912"/>
    <w:pPr>
      <w:widowControl w:val="0"/>
      <w:jc w:val="both"/>
    </w:pPr>
    <w:rPr>
      <w:rFonts w:ascii="Calibri" w:eastAsia="宋体" w:hAnsi="Calibri" w:cs="Times New Roman"/>
      <w:kern w:val="2"/>
      <w:sz w:val="21"/>
      <w:szCs w:val="24"/>
      <w:lang w:val="en-US"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7800">
    <w:name w:val="正文780"/>
    <w:pPr>
      <w:widowControl w:val="0"/>
      <w:jc w:val="both"/>
    </w:pPr>
    <w:rPr>
      <w:rFonts w:ascii="Calibri" w:eastAsia="宋体" w:hAnsi="Calibri" w:cs="Times New Roman"/>
      <w:kern w:val="2"/>
      <w:sz w:val="21"/>
      <w:szCs w:val="24"/>
      <w:lang w:val="en-US" w:bidi="ar-SA"/>
    </w:rPr>
  </w:style>
  <w:style w:type="paragraph" w:customStyle="1" w:styleId="11730">
    <w:name w:val="正文1173"/>
    <w:pPr>
      <w:widowControl w:val="0"/>
      <w:jc w:val="both"/>
    </w:pPr>
    <w:rPr>
      <w:rFonts w:ascii="Calibri" w:eastAsia="宋体" w:hAnsi="Calibri" w:cs="Times New Roman"/>
      <w:kern w:val="2"/>
      <w:sz w:val="21"/>
      <w:szCs w:val="22"/>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852">
    <w:name w:val="纯文本85"/>
    <w:pPr>
      <w:widowControl w:val="0"/>
      <w:jc w:val="both"/>
    </w:pPr>
    <w:rPr>
      <w:rFonts w:ascii="宋体" w:eastAsia="宋体" w:hAnsi="Times New Roman" w:cs="Courier New"/>
      <w:kern w:val="2"/>
      <w:sz w:val="21"/>
      <w:szCs w:val="21"/>
      <w:lang w:val="en-US" w:bidi="ar-SA"/>
    </w:rPr>
  </w:style>
  <w:style w:type="paragraph" w:customStyle="1" w:styleId="264">
    <w:name w:val="正文26"/>
    <w:pPr>
      <w:widowControl w:val="0"/>
      <w:jc w:val="both"/>
    </w:pPr>
    <w:rPr>
      <w:rFonts w:ascii="Calibri" w:eastAsia="宋体" w:hAnsi="Calibri" w:cs="Times New Roman"/>
      <w:kern w:val="2"/>
      <w:sz w:val="21"/>
      <w:szCs w:val="22"/>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5350">
    <w:name w:val="正文535"/>
    <w:pPr>
      <w:widowControl w:val="0"/>
      <w:jc w:val="both"/>
    </w:pPr>
    <w:rPr>
      <w:rFonts w:ascii="Calibri" w:eastAsia="宋体" w:hAnsi="Calibri" w:cs="Times New Roman"/>
      <w:kern w:val="2"/>
      <w:sz w:val="21"/>
      <w:szCs w:val="24"/>
      <w:lang w:val="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2640">
    <w:name w:val="正文264"/>
    <w:pPr>
      <w:widowControl w:val="0"/>
      <w:jc w:val="both"/>
    </w:pPr>
    <w:rPr>
      <w:rFonts w:ascii="Calibri" w:eastAsia="宋体" w:hAnsi="Calibri" w:cs="Times New Roman"/>
      <w:kern w:val="2"/>
      <w:sz w:val="21"/>
      <w:szCs w:val="24"/>
      <w:lang w:val="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bidi="ar-SA"/>
    </w:rPr>
  </w:style>
  <w:style w:type="paragraph" w:customStyle="1" w:styleId="368">
    <w:name w:val="正文36"/>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3950">
    <w:name w:val="正文395"/>
    <w:pPr>
      <w:widowControl w:val="0"/>
      <w:jc w:val="both"/>
    </w:pPr>
    <w:rPr>
      <w:rFonts w:ascii="Calibri" w:eastAsia="宋体" w:hAnsi="Calibri" w:cs="Times New Roman"/>
      <w:kern w:val="2"/>
      <w:sz w:val="21"/>
      <w:szCs w:val="24"/>
      <w:lang w:val="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bidi="ar-SA"/>
    </w:rPr>
  </w:style>
  <w:style w:type="paragraph" w:customStyle="1" w:styleId="9250">
    <w:name w:val="正文925"/>
    <w:pPr>
      <w:widowControl w:val="0"/>
      <w:jc w:val="both"/>
    </w:pPr>
    <w:rPr>
      <w:rFonts w:ascii="Calibri" w:eastAsia="宋体" w:hAnsi="Calibri" w:cs="Times New Roman"/>
      <w:kern w:val="2"/>
      <w:sz w:val="21"/>
      <w:szCs w:val="24"/>
      <w:lang w:val="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bidi="ar-SA"/>
    </w:rPr>
  </w:style>
  <w:style w:type="paragraph" w:customStyle="1" w:styleId="50810">
    <w:name w:val="样式 508 10 磅"/>
    <w:pPr>
      <w:widowControl w:val="0"/>
      <w:jc w:val="both"/>
    </w:pPr>
    <w:rPr>
      <w:rFonts w:ascii="等线" w:eastAsia="等线" w:hAnsi="Times New Roman" w:cs="Arial"/>
      <w:kern w:val="2"/>
      <w:sz w:val="21"/>
      <w:szCs w:val="22"/>
      <w:lang w:val="en-US" w:bidi="ar-SA"/>
    </w:rPr>
  </w:style>
  <w:style w:type="paragraph" w:customStyle="1" w:styleId="45010">
    <w:name w:val="样式 450 10 磅"/>
    <w:next w:val="158"/>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2270">
    <w:name w:val="正文227"/>
    <w:pPr>
      <w:widowControl w:val="0"/>
      <w:jc w:val="both"/>
    </w:pPr>
    <w:rPr>
      <w:rFonts w:ascii="Calibri" w:eastAsia="宋体" w:hAnsi="Calibri" w:cs="Times New Roman"/>
      <w:kern w:val="2"/>
      <w:sz w:val="21"/>
      <w:szCs w:val="24"/>
      <w:lang w:val="en-US" w:bidi="ar-SA"/>
    </w:rPr>
  </w:style>
  <w:style w:type="paragraph" w:customStyle="1" w:styleId="11710">
    <w:name w:val="正文1171"/>
    <w:pPr>
      <w:widowControl w:val="0"/>
      <w:jc w:val="both"/>
    </w:pPr>
    <w:rPr>
      <w:rFonts w:ascii="Calibri" w:eastAsia="宋体" w:hAnsi="Calibri" w:cs="Times New Roman"/>
      <w:kern w:val="2"/>
      <w:sz w:val="21"/>
      <w:szCs w:val="24"/>
      <w:lang w:val="en-US" w:bidi="ar-SA"/>
    </w:rPr>
  </w:style>
  <w:style w:type="paragraph" w:customStyle="1" w:styleId="754">
    <w:name w:val="正文754"/>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580">
    <w:name w:val="纯文本58"/>
    <w:pPr>
      <w:widowControl w:val="0"/>
      <w:jc w:val="both"/>
    </w:pPr>
    <w:rPr>
      <w:rFonts w:ascii="宋体" w:eastAsia="宋体" w:hAnsi="Times New Roman" w:cs="Courier New"/>
      <w:kern w:val="2"/>
      <w:sz w:val="21"/>
      <w:szCs w:val="21"/>
      <w:lang w:val="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815">
    <w:name w:val="正文81"/>
    <w:pPr>
      <w:widowControl w:val="0"/>
      <w:jc w:val="both"/>
    </w:pPr>
    <w:rPr>
      <w:rFonts w:ascii="Calibri" w:eastAsia="宋体" w:hAnsi="Calibri" w:cs="Times New Roman"/>
      <w:kern w:val="2"/>
      <w:sz w:val="21"/>
      <w:szCs w:val="24"/>
      <w:lang w:val="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普通(网站)1"/>
    <w:pPr>
      <w:widowControl w:val="0"/>
      <w:jc w:val="both"/>
    </w:pPr>
    <w:rPr>
      <w:rFonts w:ascii="Calibri" w:eastAsia="宋体" w:hAnsi="Calibri" w:cs="Times New Roman"/>
      <w:kern w:val="2"/>
      <w:sz w:val="24"/>
      <w:szCs w:val="22"/>
      <w:lang w:val="en-US" w:bidi="ar-SA"/>
    </w:rPr>
  </w:style>
  <w:style w:type="paragraph" w:customStyle="1" w:styleId="8620">
    <w:name w:val="正文862"/>
    <w:pPr>
      <w:widowControl w:val="0"/>
      <w:jc w:val="both"/>
    </w:pPr>
    <w:rPr>
      <w:rFonts w:ascii="Calibri" w:eastAsia="宋体" w:hAnsi="Calibri" w:cs="Times New Roman"/>
      <w:kern w:val="2"/>
      <w:sz w:val="21"/>
      <w:szCs w:val="22"/>
      <w:lang w:val="en-US"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bidi="ar-SA"/>
    </w:rPr>
  </w:style>
  <w:style w:type="paragraph" w:customStyle="1" w:styleId="10011">
    <w:name w:val="正文1001"/>
    <w:pPr>
      <w:widowControl w:val="0"/>
      <w:jc w:val="both"/>
    </w:pPr>
    <w:rPr>
      <w:rFonts w:ascii="Calibri" w:eastAsia="宋体" w:hAnsi="Calibri" w:cs="Times New Roman"/>
      <w:kern w:val="2"/>
      <w:sz w:val="21"/>
      <w:szCs w:val="24"/>
      <w:lang w:val="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bidi="ar-SA"/>
    </w:rPr>
  </w:style>
  <w:style w:type="paragraph" w:customStyle="1" w:styleId="a38">
    <w:name w:val="公式样式 符号"/>
    <w:rPr>
      <w:rFonts w:ascii="Calibri" w:eastAsia="宋体" w:hAnsi="Calibri" w:cs="Times New Roman"/>
      <w:kern w:val="2"/>
      <w:sz w:val="20"/>
      <w:szCs w:val="28"/>
      <w:lang w:val="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5212">
    <w:name w:val="正文52"/>
    <w:pPr>
      <w:widowControl w:val="0"/>
      <w:jc w:val="both"/>
    </w:pPr>
    <w:rPr>
      <w:rFonts w:ascii="Calibri" w:eastAsia="宋体" w:hAnsi="Calibri" w:cs="Times New Roman"/>
      <w:kern w:val="2"/>
      <w:sz w:val="21"/>
      <w:szCs w:val="22"/>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707">
    <w:name w:val="纯文本70"/>
    <w:pPr>
      <w:widowControl w:val="0"/>
      <w:jc w:val="both"/>
    </w:pPr>
    <w:rPr>
      <w:rFonts w:ascii="宋体" w:eastAsia="宋体" w:hAnsi="Times New Roman" w:cs="Courier New"/>
      <w:kern w:val="2"/>
      <w:sz w:val="21"/>
      <w:szCs w:val="21"/>
      <w:lang w:val="en-US"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3820">
    <w:name w:val="正文382"/>
    <w:pPr>
      <w:widowControl w:val="0"/>
      <w:jc w:val="both"/>
    </w:pPr>
    <w:rPr>
      <w:rFonts w:ascii="Calibri" w:eastAsia="宋体" w:hAnsi="Calibri" w:cs="Times New Roman"/>
      <w:kern w:val="2"/>
      <w:sz w:val="21"/>
      <w:szCs w:val="24"/>
      <w:lang w:val="en-US" w:bidi="ar-SA"/>
    </w:rPr>
  </w:style>
  <w:style w:type="paragraph" w:customStyle="1" w:styleId="5270">
    <w:name w:val="正文52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2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1321">
    <w:name w:val="正文132"/>
    <w:pPr>
      <w:widowControl w:val="0"/>
      <w:jc w:val="both"/>
    </w:pPr>
    <w:rPr>
      <w:rFonts w:ascii="Calibri" w:eastAsia="宋体" w:hAnsi="Calibri" w:cs="Times New Roman"/>
      <w:kern w:val="2"/>
      <w:sz w:val="21"/>
      <w:szCs w:val="24"/>
      <w:lang w:val="en-US" w:bidi="ar-SA"/>
    </w:rPr>
  </w:style>
  <w:style w:type="paragraph" w:customStyle="1" w:styleId="4113">
    <w:name w:val="正文41"/>
    <w:pPr>
      <w:widowControl w:val="0"/>
      <w:jc w:val="both"/>
    </w:pPr>
    <w:rPr>
      <w:rFonts w:ascii="Calibri" w:eastAsia="宋体" w:hAnsi="Calibri" w:cs="Times New Roman"/>
      <w:kern w:val="2"/>
      <w:sz w:val="21"/>
      <w:szCs w:val="22"/>
      <w:lang w:val="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719">
    <w:name w:val="正文7"/>
    <w:pPr>
      <w:widowControl w:val="0"/>
      <w:jc w:val="both"/>
    </w:pPr>
    <w:rPr>
      <w:rFonts w:ascii="Calibri" w:eastAsia="宋体" w:hAnsi="Calibri" w:cs="Times New Roman"/>
      <w:kern w:val="2"/>
      <w:sz w:val="21"/>
      <w:szCs w:val="24"/>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1740">
    <w:name w:val="正文174"/>
    <w:pPr>
      <w:widowControl w:val="0"/>
      <w:jc w:val="both"/>
    </w:pPr>
    <w:rPr>
      <w:rFonts w:ascii="Calibri" w:eastAsia="宋体" w:hAnsi="Calibri" w:cs="Times New Roman"/>
      <w:kern w:val="2"/>
      <w:sz w:val="21"/>
      <w:szCs w:val="24"/>
      <w:lang w:val="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9700">
    <w:name w:val="正文970"/>
    <w:pPr>
      <w:widowControl w:val="0"/>
      <w:jc w:val="both"/>
    </w:pPr>
    <w:rPr>
      <w:rFonts w:ascii="Calibri" w:eastAsia="宋体" w:hAnsi="Calibri" w:cs="Times New Roman"/>
      <w:kern w:val="2"/>
      <w:sz w:val="21"/>
      <w:szCs w:val="22"/>
      <w:lang w:val="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5111">
    <w:name w:val="正文5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1600">
    <w:name w:val="正文160"/>
    <w:pPr>
      <w:widowControl w:val="0"/>
      <w:jc w:val="both"/>
    </w:pPr>
    <w:rPr>
      <w:rFonts w:ascii="Calibri" w:eastAsia="宋体" w:hAnsi="Calibri" w:cs="Times New Roman"/>
      <w:kern w:val="2"/>
      <w:sz w:val="21"/>
      <w:szCs w:val="24"/>
      <w:lang w:val="en-US" w:bidi="ar-SA"/>
    </w:rPr>
  </w:style>
  <w:style w:type="paragraph" w:customStyle="1" w:styleId="7011">
    <w:name w:val="正文70"/>
    <w:pPr>
      <w:widowControl w:val="0"/>
      <w:jc w:val="both"/>
    </w:pPr>
    <w:rPr>
      <w:rFonts w:ascii="Calibri" w:eastAsia="宋体" w:hAnsi="Calibri" w:cs="Times New Roman"/>
      <w:kern w:val="2"/>
      <w:sz w:val="21"/>
      <w:szCs w:val="24"/>
      <w:lang w:val="en-US" w:bidi="ar-SA"/>
    </w:rPr>
  </w:style>
  <w:style w:type="paragraph" w:customStyle="1" w:styleId="5070">
    <w:name w:val="正文507"/>
    <w:pPr>
      <w:widowControl w:val="0"/>
      <w:jc w:val="both"/>
    </w:pPr>
    <w:rPr>
      <w:rFonts w:ascii="Calibri" w:eastAsia="宋体" w:hAnsi="Calibri" w:cs="Times New Roman"/>
      <w:kern w:val="2"/>
      <w:sz w:val="21"/>
      <w:szCs w:val="24"/>
      <w:lang w:val="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345">
    <w:name w:val="批注主题3"/>
    <w:pPr>
      <w:widowControl w:val="0"/>
      <w:jc w:val="both"/>
    </w:pPr>
    <w:rPr>
      <w:rFonts w:ascii="Calibri" w:eastAsia="宋体" w:hAnsi="Calibri" w:cs="Times New Roman"/>
      <w:b/>
      <w:bCs/>
      <w:kern w:val="2"/>
      <w:sz w:val="21"/>
      <w:szCs w:val="22"/>
      <w:lang w:val="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bidi="ar-SA"/>
    </w:rPr>
  </w:style>
  <w:style w:type="paragraph" w:customStyle="1" w:styleId="7360">
    <w:name w:val="正文736"/>
    <w:pPr>
      <w:widowControl w:val="0"/>
      <w:jc w:val="both"/>
    </w:pPr>
    <w:rPr>
      <w:rFonts w:ascii="Calibri" w:eastAsia="宋体" w:hAnsi="Calibri" w:cs="Times New Roman"/>
      <w:kern w:val="2"/>
      <w:sz w:val="21"/>
      <w:szCs w:val="24"/>
      <w:lang w:val="en-US" w:bidi="ar-SA"/>
    </w:rPr>
  </w:style>
  <w:style w:type="paragraph" w:customStyle="1" w:styleId="8150">
    <w:name w:val="正文815"/>
    <w:pPr>
      <w:widowControl w:val="0"/>
      <w:jc w:val="both"/>
    </w:pPr>
    <w:rPr>
      <w:rFonts w:ascii="Calibri" w:eastAsia="宋体" w:hAnsi="Calibri" w:cs="Times New Roman"/>
      <w:kern w:val="2"/>
      <w:sz w:val="21"/>
      <w:szCs w:val="22"/>
      <w:lang w:val="en-US"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76">
    <w:name w:val="正文376"/>
    <w:pPr>
      <w:widowControl w:val="0"/>
      <w:jc w:val="both"/>
    </w:pPr>
    <w:rPr>
      <w:rFonts w:ascii="Calibri" w:eastAsia="宋体" w:hAnsi="Calibri" w:cs="Times New Roman"/>
      <w:kern w:val="2"/>
      <w:sz w:val="21"/>
      <w:szCs w:val="24"/>
      <w:lang w:val="en-US" w:bidi="ar-SA"/>
    </w:rPr>
  </w:style>
  <w:style w:type="paragraph" w:customStyle="1" w:styleId="a39">
    <w:name w:val="列项——"/>
    <w:pPr>
      <w:widowControl w:val="0"/>
      <w:numPr>
        <w:ilvl w:val="0"/>
        <w:numId w:val="30"/>
      </w:numPr>
      <w:tabs>
        <w:tab w:val="left" w:pos="420"/>
        <w:tab w:val="left" w:pos="4080"/>
      </w:tabs>
      <w:jc w:val="both"/>
    </w:pPr>
    <w:rPr>
      <w:rFonts w:ascii="宋体" w:eastAsia="宋体" w:hAnsi="Times New Roman" w:cs="Times New Roman"/>
      <w:kern w:val="2"/>
      <w:sz w:val="21"/>
      <w:szCs w:val="28"/>
      <w:lang w:val="en-US" w:bidi="ar-SA"/>
    </w:rPr>
  </w:style>
  <w:style w:type="paragraph" w:customStyle="1" w:styleId="5400">
    <w:name w:val="正文540"/>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4080">
    <w:name w:val="正文408"/>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bidi="ar-SA"/>
    </w:rPr>
  </w:style>
  <w:style w:type="paragraph" w:customStyle="1" w:styleId="12210">
    <w:name w:val="纯文本122"/>
    <w:pPr>
      <w:widowControl w:val="0"/>
      <w:jc w:val="both"/>
    </w:pPr>
    <w:rPr>
      <w:rFonts w:ascii="宋体" w:eastAsia="宋体" w:hAnsi="Times New Roman" w:cs="Courier New"/>
      <w:kern w:val="2"/>
      <w:sz w:val="21"/>
      <w:szCs w:val="21"/>
      <w:lang w:val="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7140">
    <w:name w:val="正文714"/>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bidi="ar-SA"/>
    </w:rPr>
  </w:style>
  <w:style w:type="paragraph" w:customStyle="1" w:styleId="2811">
    <w:name w:val="正文281"/>
    <w:pPr>
      <w:widowControl w:val="0"/>
      <w:jc w:val="both"/>
    </w:pPr>
    <w:rPr>
      <w:rFonts w:ascii="Calibri" w:eastAsia="宋体" w:hAnsi="Calibri" w:cs="Times New Roman"/>
      <w:kern w:val="2"/>
      <w:sz w:val="21"/>
      <w:szCs w:val="24"/>
      <w:lang w:val="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3700">
    <w:name w:val="正文370"/>
    <w:pPr>
      <w:widowControl w:val="0"/>
      <w:jc w:val="both"/>
    </w:pPr>
    <w:rPr>
      <w:rFonts w:ascii="Calibri" w:eastAsia="宋体" w:hAnsi="Calibri" w:cs="Times New Roman"/>
      <w:kern w:val="2"/>
      <w:sz w:val="21"/>
      <w:szCs w:val="24"/>
      <w:lang w:val="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bidi="ar-SA"/>
    </w:rPr>
  </w:style>
  <w:style w:type="paragraph" w:customStyle="1" w:styleId="10060">
    <w:name w:val="正文1006"/>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3320">
    <w:name w:val="正文332"/>
    <w:pPr>
      <w:widowControl w:val="0"/>
      <w:jc w:val="both"/>
    </w:pPr>
    <w:rPr>
      <w:rFonts w:ascii="Calibri" w:eastAsia="宋体" w:hAnsi="Calibri" w:cs="Times New Roman"/>
      <w:kern w:val="2"/>
      <w:sz w:val="21"/>
      <w:szCs w:val="24"/>
      <w:lang w:val="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bidi="ar-SA"/>
    </w:rPr>
  </w:style>
  <w:style w:type="paragraph" w:customStyle="1" w:styleId="7211">
    <w:name w:val="正文72"/>
    <w:pPr>
      <w:widowControl w:val="0"/>
      <w:jc w:val="both"/>
    </w:pPr>
    <w:rPr>
      <w:rFonts w:ascii="Calibri" w:eastAsia="宋体" w:hAnsi="Calibri" w:cs="Times New Roman"/>
      <w:kern w:val="2"/>
      <w:sz w:val="21"/>
      <w:szCs w:val="24"/>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546">
    <w:name w:val="正文5"/>
    <w:pPr>
      <w:widowControl w:val="0"/>
      <w:jc w:val="both"/>
    </w:pPr>
    <w:rPr>
      <w:rFonts w:ascii="Calibri" w:eastAsia="宋体" w:hAnsi="Calibri" w:cs="Times New Roman"/>
      <w:kern w:val="2"/>
      <w:sz w:val="21"/>
      <w:szCs w:val="24"/>
      <w:lang w:val="en-US"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8411">
    <w:name w:val="正文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60">
    <w:name w:val="正文1036"/>
    <w:rPr>
      <w:rFonts w:ascii="Calibri" w:eastAsia="宋体" w:hAnsi="Calibri" w:cs="Times New Roman"/>
      <w:kern w:val="2"/>
      <w:sz w:val="21"/>
      <w:szCs w:val="21"/>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760">
    <w:name w:val="正文576"/>
    <w:pPr>
      <w:widowControl w:val="0"/>
      <w:jc w:val="both"/>
    </w:pPr>
    <w:rPr>
      <w:rFonts w:ascii="Calibri" w:eastAsia="宋体" w:hAnsi="Calibri" w:cs="Times New Roman"/>
      <w:kern w:val="2"/>
      <w:sz w:val="21"/>
      <w:szCs w:val="24"/>
      <w:lang w:val="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43810">
    <w:name w:val="样式 438 10 磅"/>
    <w:next w:val="1163"/>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bidi="ar-SA"/>
    </w:rPr>
  </w:style>
  <w:style w:type="paragraph" w:customStyle="1" w:styleId="995">
    <w:name w:val="正文99"/>
    <w:pPr>
      <w:widowControl w:val="0"/>
      <w:jc w:val="both"/>
    </w:pPr>
    <w:rPr>
      <w:rFonts w:ascii="Calibri" w:eastAsia="宋体" w:hAnsi="Calibri" w:cs="Times New Roman"/>
      <w:kern w:val="2"/>
      <w:sz w:val="21"/>
      <w:szCs w:val="24"/>
      <w:lang w:val="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712">
    <w:name w:val="纯文本17"/>
    <w:pPr>
      <w:widowControl w:val="0"/>
      <w:jc w:val="both"/>
    </w:pPr>
    <w:rPr>
      <w:rFonts w:ascii="宋体" w:eastAsia="宋体" w:hAnsi="Times New Roman" w:cs="Courier New"/>
      <w:kern w:val="2"/>
      <w:sz w:val="21"/>
      <w:szCs w:val="21"/>
      <w:lang w:val="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bidi="ar-SA"/>
    </w:rPr>
  </w:style>
  <w:style w:type="paragraph" w:customStyle="1" w:styleId="467">
    <w:name w:val="纯文本46"/>
    <w:pPr>
      <w:widowControl w:val="0"/>
      <w:jc w:val="both"/>
    </w:pPr>
    <w:rPr>
      <w:rFonts w:ascii="宋体" w:eastAsia="宋体" w:hAnsi="Times New Roman" w:cs="Courier New"/>
      <w:kern w:val="2"/>
      <w:sz w:val="21"/>
      <w:szCs w:val="21"/>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9650">
    <w:name w:val="正文965"/>
    <w:pPr>
      <w:widowControl w:val="0"/>
      <w:jc w:val="both"/>
    </w:pPr>
    <w:rPr>
      <w:rFonts w:ascii="Calibri" w:eastAsia="宋体" w:hAnsi="Calibri" w:cs="Times New Roman"/>
      <w:kern w:val="2"/>
      <w:sz w:val="21"/>
      <w:szCs w:val="22"/>
      <w:lang w:val="en-US" w:bidi="ar-SA"/>
    </w:rPr>
  </w:style>
  <w:style w:type="paragraph" w:customStyle="1" w:styleId="2400">
    <w:name w:val="正文240"/>
    <w:pPr>
      <w:widowControl w:val="0"/>
      <w:jc w:val="both"/>
    </w:pPr>
    <w:rPr>
      <w:rFonts w:ascii="Calibri" w:eastAsia="宋体" w:hAnsi="Calibri" w:cs="Times New Roman"/>
      <w:kern w:val="2"/>
      <w:sz w:val="21"/>
      <w:szCs w:val="24"/>
      <w:lang w:val="en-US" w:bidi="ar-SA"/>
    </w:rPr>
  </w:style>
  <w:style w:type="paragraph" w:customStyle="1" w:styleId="9560">
    <w:name w:val="正文956"/>
    <w:pPr>
      <w:widowControl w:val="0"/>
      <w:jc w:val="both"/>
    </w:pPr>
    <w:rPr>
      <w:rFonts w:ascii="Calibri" w:eastAsia="宋体" w:hAnsi="Calibri" w:cs="Times New Roman"/>
      <w:kern w:val="2"/>
      <w:sz w:val="21"/>
      <w:szCs w:val="22"/>
      <w:lang w:val="en-US" w:bidi="ar-SA"/>
    </w:rPr>
  </w:style>
  <w:style w:type="paragraph" w:customStyle="1" w:styleId="41210">
    <w:name w:val="样式 412 10 磅"/>
    <w:pPr>
      <w:widowControl w:val="0"/>
      <w:jc w:val="both"/>
    </w:pPr>
    <w:rPr>
      <w:rFonts w:ascii="宋体" w:eastAsia="宋体" w:hAnsi="Times New Roman" w:cs="Times New Roman"/>
      <w:kern w:val="2"/>
      <w:sz w:val="21"/>
      <w:szCs w:val="21"/>
      <w:lang w:val="en-US"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137">
    <w:name w:val="1"/>
    <w:pPr>
      <w:ind w:firstLine="200"/>
      <w:jc w:val="both"/>
    </w:pPr>
    <w:rPr>
      <w:rFonts w:ascii="宋体" w:eastAsia="宋体" w:hAnsi="Times New Roman" w:cs="Calibri"/>
      <w:kern w:val="2"/>
      <w:sz w:val="28"/>
      <w:szCs w:val="28"/>
      <w:lang w:val="en-US" w:bidi="ar-SA"/>
    </w:rPr>
  </w:style>
  <w:style w:type="paragraph" w:customStyle="1" w:styleId="9950">
    <w:name w:val="正文995"/>
    <w:pPr>
      <w:widowControl w:val="0"/>
      <w:jc w:val="both"/>
    </w:pPr>
    <w:rPr>
      <w:rFonts w:ascii="Calibri" w:eastAsia="宋体" w:hAnsi="Calibri" w:cs="Times New Roman"/>
      <w:kern w:val="2"/>
      <w:sz w:val="21"/>
      <w:szCs w:val="24"/>
      <w:lang w:val="en-US"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1600">
    <w:name w:val="正文1160"/>
    <w:pPr>
      <w:widowControl w:val="0"/>
      <w:jc w:val="both"/>
    </w:pPr>
    <w:rPr>
      <w:rFonts w:ascii="Calibri" w:eastAsia="方正仿宋_GBK" w:hAnsi="Calibri" w:cs="Times New Roman"/>
      <w:kern w:val="2"/>
      <w:sz w:val="32"/>
      <w:szCs w:val="28"/>
      <w:lang w:val="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9"/>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9180">
    <w:name w:val="正文918"/>
    <w:pPr>
      <w:widowControl w:val="0"/>
      <w:jc w:val="both"/>
    </w:pPr>
    <w:rPr>
      <w:rFonts w:ascii="Calibri" w:eastAsia="宋体" w:hAnsi="Calibri" w:cs="Times New Roman"/>
      <w:kern w:val="2"/>
      <w:sz w:val="21"/>
      <w:szCs w:val="24"/>
      <w:lang w:val="en-US" w:bidi="ar-SA"/>
    </w:rPr>
  </w:style>
  <w:style w:type="paragraph" w:customStyle="1" w:styleId="348">
    <w:name w:val="正文3"/>
    <w:pPr>
      <w:widowControl w:val="0"/>
      <w:jc w:val="both"/>
    </w:pPr>
    <w:rPr>
      <w:rFonts w:ascii="Calibri" w:eastAsia="宋体" w:hAnsi="Calibri" w:cs="Times New Roman"/>
      <w:kern w:val="2"/>
      <w:sz w:val="21"/>
      <w:szCs w:val="22"/>
      <w:lang w:val="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bidi="ar-SA"/>
    </w:rPr>
  </w:style>
  <w:style w:type="paragraph" w:customStyle="1" w:styleId="6811">
    <w:name w:val="纯文本68"/>
    <w:pPr>
      <w:widowControl w:val="0"/>
      <w:jc w:val="both"/>
    </w:pPr>
    <w:rPr>
      <w:rFonts w:ascii="宋体" w:eastAsia="宋体" w:hAnsi="Times New Roman" w:cs="Courier New"/>
      <w:kern w:val="2"/>
      <w:sz w:val="21"/>
      <w:szCs w:val="21"/>
      <w:lang w:val="en-US" w:bidi="ar-SA"/>
    </w:rPr>
  </w:style>
  <w:style w:type="paragraph" w:customStyle="1" w:styleId="1315">
    <w:name w:val="纯文本13"/>
    <w:pPr>
      <w:widowControl w:val="0"/>
      <w:jc w:val="both"/>
    </w:pPr>
    <w:rPr>
      <w:rFonts w:ascii="宋体" w:eastAsia="宋体" w:hAnsi="Times New Roman" w:cs="Courier New"/>
      <w:kern w:val="2"/>
      <w:sz w:val="21"/>
      <w:szCs w:val="21"/>
      <w:lang w:val="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bidi="ar-SA"/>
    </w:rPr>
  </w:style>
  <w:style w:type="paragraph" w:customStyle="1" w:styleId="997">
    <w:name w:val="纯文本99"/>
    <w:pPr>
      <w:widowControl w:val="0"/>
      <w:jc w:val="both"/>
    </w:pPr>
    <w:rPr>
      <w:rFonts w:ascii="宋体" w:eastAsia="宋体" w:hAnsi="Times New Roman" w:cs="Courier New"/>
      <w:kern w:val="2"/>
      <w:sz w:val="21"/>
      <w:szCs w:val="21"/>
      <w:lang w:val="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bidi="ar-SA"/>
    </w:rPr>
  </w:style>
  <w:style w:type="paragraph" w:customStyle="1" w:styleId="139100">
    <w:name w:val="13910"/>
    <w:next w:val="TOC5"/>
    <w:pPr>
      <w:jc w:val="both"/>
    </w:pPr>
    <w:rPr>
      <w:rFonts w:ascii="Calibri" w:eastAsia="宋体" w:hAnsi="Calibri" w:cs="Times New Roman"/>
      <w:kern w:val="2"/>
      <w:sz w:val="21"/>
      <w:szCs w:val="21"/>
      <w:lang w:val="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bidi="ar-SA"/>
    </w:rPr>
  </w:style>
  <w:style w:type="paragraph" w:customStyle="1" w:styleId="1514">
    <w:name w:val="纯文本15"/>
    <w:pPr>
      <w:widowControl w:val="0"/>
      <w:jc w:val="both"/>
    </w:pPr>
    <w:rPr>
      <w:rFonts w:ascii="宋体" w:eastAsia="宋体" w:hAnsi="Times New Roman" w:cs="Courier New"/>
      <w:kern w:val="2"/>
      <w:sz w:val="21"/>
      <w:szCs w:val="21"/>
      <w:lang w:val="en-US"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8230">
    <w:name w:val="正文823"/>
    <w:pPr>
      <w:widowControl w:val="0"/>
      <w:jc w:val="both"/>
    </w:pPr>
    <w:rPr>
      <w:rFonts w:ascii="Calibri" w:eastAsia="宋体" w:hAnsi="Calibri"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9330">
    <w:name w:val="正文933"/>
    <w:pPr>
      <w:widowControl w:val="0"/>
      <w:jc w:val="both"/>
    </w:pPr>
    <w:rPr>
      <w:rFonts w:ascii="Calibri" w:eastAsia="宋体" w:hAnsi="Calibri" w:cs="Times New Roman"/>
      <w:kern w:val="2"/>
      <w:sz w:val="21"/>
      <w:szCs w:val="24"/>
      <w:lang w:val="en-US" w:bidi="ar-SA"/>
    </w:rPr>
  </w:style>
  <w:style w:type="paragraph" w:customStyle="1" w:styleId="5311">
    <w:name w:val="纯文本53"/>
    <w:pPr>
      <w:widowControl w:val="0"/>
      <w:jc w:val="both"/>
    </w:pPr>
    <w:rPr>
      <w:rFonts w:ascii="宋体" w:eastAsia="宋体" w:hAnsi="Times New Roman" w:cs="Courier New"/>
      <w:kern w:val="2"/>
      <w:sz w:val="21"/>
      <w:szCs w:val="21"/>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280">
    <w:name w:val="正文112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bidi="ar-SA"/>
    </w:rPr>
  </w:style>
  <w:style w:type="paragraph" w:customStyle="1" w:styleId="1840">
    <w:name w:val="正文184"/>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bidi="ar-SA"/>
    </w:rPr>
  </w:style>
  <w:style w:type="paragraph" w:customStyle="1" w:styleId="1612">
    <w:name w:val="正文16"/>
    <w:pPr>
      <w:widowControl w:val="0"/>
      <w:jc w:val="both"/>
    </w:pPr>
    <w:rPr>
      <w:rFonts w:ascii="Calibri" w:eastAsia="宋体" w:hAnsi="Calibri" w:cs="Times New Roman"/>
      <w:kern w:val="2"/>
      <w:sz w:val="21"/>
      <w:szCs w:val="22"/>
      <w:lang w:val="en-US"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bidi="ar-SA"/>
    </w:rPr>
  </w:style>
  <w:style w:type="paragraph" w:customStyle="1" w:styleId="9230">
    <w:name w:val="正文923"/>
    <w:pPr>
      <w:widowControl w:val="0"/>
      <w:jc w:val="both"/>
    </w:pPr>
    <w:rPr>
      <w:rFonts w:ascii="Calibri" w:eastAsia="宋体" w:hAnsi="Calibri" w:cs="Times New Roman"/>
      <w:kern w:val="2"/>
      <w:sz w:val="21"/>
      <w:szCs w:val="24"/>
      <w:lang w:val="en-US" w:bidi="ar-SA"/>
    </w:rPr>
  </w:style>
  <w:style w:type="paragraph" w:customStyle="1" w:styleId="1185">
    <w:name w:val="正文11"/>
    <w:pPr>
      <w:widowControl w:val="0"/>
      <w:jc w:val="both"/>
    </w:pPr>
    <w:rPr>
      <w:rFonts w:ascii="Calibri" w:eastAsia="宋体" w:hAnsi="Calibri" w:cs="Times New Roman"/>
      <w:kern w:val="2"/>
      <w:sz w:val="21"/>
      <w:szCs w:val="22"/>
      <w:lang w:val="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bidi="ar-SA"/>
    </w:rPr>
  </w:style>
  <w:style w:type="paragraph" w:customStyle="1" w:styleId="6390">
    <w:name w:val="正文639"/>
    <w:pPr>
      <w:widowControl w:val="0"/>
      <w:jc w:val="both"/>
    </w:pPr>
    <w:rPr>
      <w:rFonts w:ascii="Calibri" w:eastAsia="宋体" w:hAnsi="Calibri" w:cs="Times New Roman"/>
      <w:kern w:val="2"/>
      <w:sz w:val="21"/>
      <w:szCs w:val="24"/>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bidi="ar-SA"/>
    </w:rPr>
  </w:style>
  <w:style w:type="paragraph" w:customStyle="1" w:styleId="5680">
    <w:name w:val="正文568"/>
    <w:pPr>
      <w:widowControl w:val="0"/>
      <w:jc w:val="both"/>
    </w:pPr>
    <w:rPr>
      <w:rFonts w:ascii="Calibri" w:eastAsia="宋体" w:hAnsi="Calibri" w:cs="Times New Roman"/>
      <w:kern w:val="2"/>
      <w:sz w:val="21"/>
      <w:szCs w:val="24"/>
      <w:lang w:val="en-US" w:bidi="ar-SA"/>
    </w:rPr>
  </w:style>
  <w:style w:type="paragraph" w:customStyle="1" w:styleId="7070">
    <w:name w:val="正文707"/>
    <w:pPr>
      <w:widowControl w:val="0"/>
      <w:jc w:val="both"/>
    </w:pPr>
    <w:rPr>
      <w:rFonts w:ascii="Calibri" w:eastAsia="宋体" w:hAnsi="Calibri" w:cs="Times New Roman"/>
      <w:kern w:val="2"/>
      <w:sz w:val="21"/>
      <w:szCs w:val="24"/>
      <w:lang w:val="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bidi="ar-SA"/>
    </w:rPr>
  </w:style>
  <w:style w:type="paragraph" w:customStyle="1" w:styleId="3400">
    <w:name w:val="正文340"/>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3520">
    <w:name w:val="正文352"/>
    <w:pPr>
      <w:widowControl w:val="0"/>
      <w:jc w:val="both"/>
    </w:pPr>
    <w:rPr>
      <w:rFonts w:ascii="Calibri" w:eastAsia="宋体" w:hAnsi="Calibri" w:cs="Times New Roman"/>
      <w:kern w:val="2"/>
      <w:sz w:val="21"/>
      <w:szCs w:val="24"/>
      <w:lang w:val="en-US" w:bidi="ar-SA"/>
    </w:rPr>
  </w:style>
  <w:style w:type="paragraph" w:customStyle="1" w:styleId="4190">
    <w:name w:val="正文419"/>
    <w:pPr>
      <w:widowControl w:val="0"/>
      <w:jc w:val="both"/>
    </w:pPr>
    <w:rPr>
      <w:rFonts w:ascii="Calibri" w:eastAsia="宋体" w:hAnsi="Calibri" w:cs="Times New Roman"/>
      <w:kern w:val="2"/>
      <w:sz w:val="21"/>
      <w:szCs w:val="24"/>
      <w:lang w:val="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2540">
    <w:name w:val="正文254"/>
    <w:pPr>
      <w:widowControl w:val="0"/>
      <w:jc w:val="both"/>
    </w:pPr>
    <w:rPr>
      <w:rFonts w:ascii="Calibri" w:eastAsia="宋体" w:hAnsi="Calibri" w:cs="Times New Roman"/>
      <w:kern w:val="2"/>
      <w:sz w:val="21"/>
      <w:szCs w:val="24"/>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6630">
    <w:name w:val="正文663"/>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0540">
    <w:name w:val="正文1054"/>
    <w:rPr>
      <w:rFonts w:ascii="Calibri" w:eastAsia="宋体" w:hAnsi="Calibri" w:cs="Times New Roman"/>
      <w:kern w:val="2"/>
      <w:sz w:val="21"/>
      <w:szCs w:val="21"/>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410">
    <w:name w:val="样式 454 10 磅"/>
    <w:next w:val="169"/>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bidi="ar-SA"/>
    </w:rPr>
  </w:style>
  <w:style w:type="paragraph" w:customStyle="1" w:styleId="6260">
    <w:name w:val="正文62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bidi="ar-SA"/>
    </w:rPr>
  </w:style>
  <w:style w:type="paragraph" w:customStyle="1" w:styleId="47110">
    <w:name w:val="样式 471 10 磅"/>
    <w:pPr>
      <w:widowControl w:val="0"/>
      <w:jc w:val="both"/>
    </w:pPr>
    <w:rPr>
      <w:rFonts w:ascii="等线" w:eastAsia="等线" w:hAnsi="Times New Roman" w:cs="Arial"/>
      <w:kern w:val="2"/>
      <w:sz w:val="21"/>
      <w:szCs w:val="22"/>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8870">
    <w:name w:val="正文887"/>
    <w:pPr>
      <w:widowControl w:val="0"/>
      <w:jc w:val="both"/>
    </w:pPr>
    <w:rPr>
      <w:rFonts w:ascii="Calibri" w:eastAsia="宋体" w:hAnsi="Calibri" w:cs="Times New Roman"/>
      <w:kern w:val="2"/>
      <w:sz w:val="21"/>
      <w:szCs w:val="22"/>
      <w:lang w:val="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bidi="ar-SA"/>
    </w:rPr>
  </w:style>
  <w:style w:type="paragraph" w:customStyle="1" w:styleId="7611">
    <w:name w:val="正文761"/>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7000">
    <w:name w:val="正文700"/>
    <w:pPr>
      <w:widowControl w:val="0"/>
      <w:jc w:val="both"/>
    </w:pPr>
    <w:rPr>
      <w:rFonts w:ascii="Calibri" w:eastAsia="宋体" w:hAnsi="Calibri" w:cs="Times New Roman"/>
      <w:kern w:val="2"/>
      <w:sz w:val="21"/>
      <w:szCs w:val="24"/>
      <w:lang w:val="en-US" w:bidi="ar-SA"/>
    </w:rPr>
  </w:style>
  <w:style w:type="paragraph" w:customStyle="1" w:styleId="6411">
    <w:name w:val="纯文本64"/>
    <w:pPr>
      <w:widowControl w:val="0"/>
      <w:jc w:val="both"/>
    </w:pPr>
    <w:rPr>
      <w:rFonts w:ascii="宋体" w:eastAsia="宋体" w:hAnsi="Times New Roman" w:cs="Courier New"/>
      <w:kern w:val="2"/>
      <w:sz w:val="21"/>
      <w:szCs w:val="21"/>
      <w:lang w:val="en-US" w:bidi="ar-SA"/>
    </w:rPr>
  </w:style>
  <w:style w:type="paragraph" w:customStyle="1" w:styleId="7511">
    <w:name w:val="正文751"/>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bidi="ar-SA"/>
    </w:rPr>
  </w:style>
  <w:style w:type="paragraph" w:customStyle="1" w:styleId="8112">
    <w:name w:val="纯文本81"/>
    <w:pPr>
      <w:widowControl w:val="0"/>
      <w:jc w:val="both"/>
    </w:pPr>
    <w:rPr>
      <w:rFonts w:ascii="宋体" w:eastAsia="宋体" w:hAnsi="Times New Roman" w:cs="Courier New"/>
      <w:kern w:val="2"/>
      <w:sz w:val="21"/>
      <w:szCs w:val="21"/>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bidi="ar-SA"/>
    </w:rPr>
  </w:style>
  <w:style w:type="paragraph" w:customStyle="1" w:styleId="8380">
    <w:name w:val="正文838"/>
    <w:pPr>
      <w:widowControl w:val="0"/>
      <w:jc w:val="both"/>
    </w:pPr>
    <w:rPr>
      <w:rFonts w:ascii="Calibri" w:eastAsia="宋体" w:hAnsi="Calibri" w:cs="Times New Roman"/>
      <w:kern w:val="2"/>
      <w:sz w:val="21"/>
      <w:szCs w:val="22"/>
      <w:lang w:val="en-US" w:bidi="ar-SA"/>
    </w:rPr>
  </w:style>
  <w:style w:type="paragraph" w:customStyle="1" w:styleId="11320">
    <w:name w:val="正文1132"/>
    <w:pPr>
      <w:widowControl w:val="0"/>
      <w:jc w:val="both"/>
    </w:pPr>
    <w:rPr>
      <w:rFonts w:ascii="Calibri" w:eastAsia="宋体" w:hAnsi="Calibri" w:cs="Times New Roman"/>
      <w:kern w:val="2"/>
      <w:sz w:val="21"/>
      <w:szCs w:val="24"/>
      <w:lang w:val="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656">
    <w:name w:val="正文656"/>
    <w:pPr>
      <w:widowControl w:val="0"/>
      <w:jc w:val="both"/>
    </w:pPr>
    <w:rPr>
      <w:rFonts w:ascii="Calibri" w:eastAsia="宋体" w:hAnsi="Calibri" w:cs="Times New Roman"/>
      <w:kern w:val="2"/>
      <w:sz w:val="21"/>
      <w:szCs w:val="24"/>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7560">
    <w:name w:val="正文756"/>
    <w:pPr>
      <w:widowControl w:val="0"/>
      <w:jc w:val="both"/>
    </w:pPr>
    <w:rPr>
      <w:rFonts w:ascii="Calibri" w:eastAsia="宋体" w:hAnsi="Calibri" w:cs="Times New Roman"/>
      <w:kern w:val="2"/>
      <w:sz w:val="21"/>
      <w:szCs w:val="24"/>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7312">
    <w:name w:val="纯文本73"/>
    <w:pPr>
      <w:widowControl w:val="0"/>
      <w:jc w:val="both"/>
    </w:pPr>
    <w:rPr>
      <w:rFonts w:ascii="宋体" w:eastAsia="宋体" w:hAnsi="Times New Roman" w:cs="Courier New"/>
      <w:kern w:val="2"/>
      <w:sz w:val="21"/>
      <w:szCs w:val="21"/>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bidi="ar-SA"/>
    </w:rPr>
  </w:style>
  <w:style w:type="paragraph" w:customStyle="1" w:styleId="9420">
    <w:name w:val="正文942"/>
    <w:pPr>
      <w:widowControl w:val="0"/>
      <w:jc w:val="both"/>
    </w:pPr>
    <w:rPr>
      <w:rFonts w:ascii="Calibri" w:eastAsia="方正仿宋_GBK" w:hAnsi="Calibri" w:cs="Times New Roman"/>
      <w:kern w:val="2"/>
      <w:sz w:val="32"/>
      <w:szCs w:val="28"/>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9111">
    <w:name w:val="样式 9 11 磅"/>
    <w:rPr>
      <w:rFonts w:ascii="Calibri" w:eastAsia="宋体" w:hAnsi="Calibri" w:cs="Times New Roman"/>
      <w:sz w:val="22"/>
      <w:szCs w:val="22"/>
      <w:lang w:val="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0"/>
    <w:rPr>
      <w:rFonts w:ascii="Calibri" w:eastAsia="宋体" w:hAnsi="Calibri" w:cs="Times New Roman"/>
      <w:sz w:val="22"/>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bidi="ar-SA"/>
    </w:rPr>
  </w:style>
  <w:style w:type="paragraph" w:customStyle="1" w:styleId="3115">
    <w:name w:val="正文文本 31"/>
    <w:rPr>
      <w:rFonts w:ascii="宋体" w:eastAsia="宋体" w:hAnsi="Times New Roman" w:cs="宋体"/>
      <w:kern w:val="2"/>
      <w:sz w:val="24"/>
      <w:szCs w:val="24"/>
      <w:lang w:val="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10911">
    <w:name w:val="正文109"/>
    <w:pPr>
      <w:widowControl w:val="0"/>
      <w:jc w:val="both"/>
    </w:pPr>
    <w:rPr>
      <w:rFonts w:ascii="Calibri" w:eastAsia="宋体" w:hAnsi="Calibri" w:cs="Times New Roman"/>
      <w:kern w:val="2"/>
      <w:sz w:val="21"/>
      <w:szCs w:val="24"/>
      <w:lang w:val="en-US" w:bidi="ar-SA"/>
    </w:rPr>
  </w:style>
  <w:style w:type="paragraph" w:customStyle="1" w:styleId="7130">
    <w:name w:val="正文713"/>
    <w:pPr>
      <w:widowControl w:val="0"/>
      <w:jc w:val="both"/>
    </w:pPr>
    <w:rPr>
      <w:rFonts w:ascii="Calibri" w:eastAsia="宋体" w:hAnsi="Calibri" w:cs="Times New Roman"/>
      <w:kern w:val="2"/>
      <w:sz w:val="21"/>
      <w:szCs w:val="24"/>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bidi="ar-SA"/>
    </w:rPr>
  </w:style>
  <w:style w:type="paragraph" w:customStyle="1" w:styleId="3330">
    <w:name w:val="正文333"/>
    <w:pPr>
      <w:widowControl w:val="0"/>
      <w:jc w:val="both"/>
    </w:pPr>
    <w:rPr>
      <w:rFonts w:ascii="Calibri" w:eastAsia="宋体" w:hAnsi="Calibri" w:cs="Times New Roman"/>
      <w:kern w:val="2"/>
      <w:sz w:val="21"/>
      <w:szCs w:val="24"/>
      <w:lang w:val="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820">
    <w:name w:val="正文182"/>
    <w:pPr>
      <w:widowControl w:val="0"/>
      <w:jc w:val="both"/>
    </w:pPr>
    <w:rPr>
      <w:rFonts w:ascii="Calibri" w:eastAsia="宋体" w:hAnsi="Calibri" w:cs="Times New Roman"/>
      <w:kern w:val="2"/>
      <w:sz w:val="21"/>
      <w:szCs w:val="24"/>
      <w:lang w:val="en-US"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370">
    <w:name w:val="正文23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4114">
    <w:name w:val="正文_4_1"/>
    <w:next w:val="a8"/>
    <w:pPr>
      <w:widowControl w:val="0"/>
      <w:jc w:val="both"/>
    </w:pPr>
    <w:rPr>
      <w:rFonts w:ascii="Calibri" w:eastAsia="宋体" w:hAnsi="Calibri" w:cs="Times New Roman"/>
      <w:kern w:val="2"/>
      <w:sz w:val="21"/>
      <w:szCs w:val="22"/>
      <w:lang w:val="en-US" w:bidi="ar-SA"/>
    </w:rPr>
  </w:style>
  <w:style w:type="paragraph" w:customStyle="1" w:styleId="5880">
    <w:name w:val="正文588"/>
    <w:pPr>
      <w:widowControl w:val="0"/>
      <w:jc w:val="both"/>
    </w:pPr>
    <w:rPr>
      <w:rFonts w:ascii="Calibri" w:eastAsia="宋体" w:hAnsi="Calibri" w:cs="Times New Roman"/>
      <w:kern w:val="2"/>
      <w:sz w:val="21"/>
      <w:szCs w:val="24"/>
      <w:lang w:val="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bidi="ar-SA"/>
    </w:rPr>
  </w:style>
  <w:style w:type="paragraph" w:customStyle="1" w:styleId="6330">
    <w:name w:val="正文633"/>
    <w:pPr>
      <w:widowControl w:val="0"/>
      <w:jc w:val="both"/>
    </w:pPr>
    <w:rPr>
      <w:rFonts w:ascii="Calibri" w:eastAsia="宋体" w:hAnsi="Calibri" w:cs="Times New Roman"/>
      <w:kern w:val="2"/>
      <w:sz w:val="21"/>
      <w:szCs w:val="24"/>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45210">
    <w:name w:val="样式 452 10 磅"/>
    <w:next w:val="1075"/>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191510">
    <w:name w:val="样式 1915 10 磅"/>
    <w:pPr>
      <w:widowControl w:val="0"/>
      <w:numPr>
        <w:ilvl w:val="0"/>
        <w:numId w:val="26"/>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bidi="ar-SA"/>
    </w:rPr>
  </w:style>
  <w:style w:type="paragraph" w:customStyle="1" w:styleId="4211">
    <w:name w:val="纯文本42"/>
    <w:pPr>
      <w:widowControl w:val="0"/>
      <w:jc w:val="both"/>
    </w:pPr>
    <w:rPr>
      <w:rFonts w:ascii="宋体" w:eastAsia="宋体" w:hAnsi="Times New Roman" w:cs="Courier New"/>
      <w:kern w:val="2"/>
      <w:sz w:val="21"/>
      <w:szCs w:val="21"/>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1540">
    <w:name w:val="正文1154"/>
    <w:pPr>
      <w:widowControl w:val="0"/>
      <w:jc w:val="both"/>
    </w:pPr>
    <w:rPr>
      <w:rFonts w:ascii="Calibri" w:eastAsia="方正仿宋_GBK" w:hAnsi="Calibri" w:cs="Times New Roman"/>
      <w:kern w:val="2"/>
      <w:sz w:val="32"/>
      <w:szCs w:val="28"/>
      <w:lang w:val="en-US" w:bidi="ar-SA"/>
    </w:rPr>
  </w:style>
  <w:style w:type="paragraph" w:customStyle="1" w:styleId="4800">
    <w:name w:val="正文480"/>
    <w:pPr>
      <w:widowControl w:val="0"/>
      <w:jc w:val="both"/>
    </w:pPr>
    <w:rPr>
      <w:rFonts w:ascii="Calibri" w:eastAsia="宋体" w:hAnsi="Calibri" w:cs="Times New Roman"/>
      <w:kern w:val="2"/>
      <w:sz w:val="21"/>
      <w:szCs w:val="24"/>
      <w:lang w:val="en-US" w:bidi="ar-SA"/>
    </w:rPr>
  </w:style>
  <w:style w:type="paragraph" w:customStyle="1" w:styleId="4911">
    <w:name w:val="纯文本49"/>
    <w:pPr>
      <w:widowControl w:val="0"/>
      <w:jc w:val="both"/>
    </w:pPr>
    <w:rPr>
      <w:rFonts w:ascii="宋体" w:eastAsia="宋体" w:hAnsi="Times New Roman" w:cs="Courier New"/>
      <w:kern w:val="2"/>
      <w:sz w:val="21"/>
      <w:szCs w:val="21"/>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1317">
    <w:name w:val="纯文本131"/>
    <w:pPr>
      <w:widowControl w:val="0"/>
      <w:jc w:val="both"/>
    </w:pPr>
    <w:rPr>
      <w:rFonts w:ascii="宋体" w:eastAsia="宋体" w:hAnsi="Times New Roman" w:cs="Courier New"/>
      <w:kern w:val="2"/>
      <w:sz w:val="21"/>
      <w:szCs w:val="21"/>
      <w:lang w:val="en-US" w:bidi="ar-SA"/>
    </w:rPr>
  </w:style>
  <w:style w:type="paragraph" w:customStyle="1" w:styleId="4260">
    <w:name w:val="正文426"/>
    <w:pPr>
      <w:widowControl w:val="0"/>
      <w:jc w:val="both"/>
    </w:pPr>
    <w:rPr>
      <w:rFonts w:ascii="Calibri" w:eastAsia="宋体" w:hAnsi="Calibri" w:cs="Times New Roman"/>
      <w:kern w:val="2"/>
      <w:sz w:val="21"/>
      <w:szCs w:val="24"/>
      <w:lang w:val="en-US" w:bidi="ar-SA"/>
    </w:rPr>
  </w:style>
  <w:style w:type="paragraph" w:customStyle="1" w:styleId="3450">
    <w:name w:val="正文345"/>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bidi="ar-SA"/>
    </w:rPr>
  </w:style>
  <w:style w:type="paragraph" w:customStyle="1" w:styleId="3680">
    <w:name w:val="正文368"/>
    <w:pPr>
      <w:widowControl w:val="0"/>
      <w:jc w:val="both"/>
    </w:pPr>
    <w:rPr>
      <w:rFonts w:ascii="Calibri" w:eastAsia="宋体" w:hAnsi="Calibri" w:cs="Times New Roman"/>
      <w:kern w:val="2"/>
      <w:sz w:val="21"/>
      <w:szCs w:val="24"/>
      <w:lang w:val="en-US" w:bidi="ar-SA"/>
    </w:rPr>
  </w:style>
  <w:style w:type="paragraph" w:customStyle="1" w:styleId="3740">
    <w:name w:val="正文374"/>
    <w:pPr>
      <w:widowControl w:val="0"/>
      <w:jc w:val="both"/>
    </w:pPr>
    <w:rPr>
      <w:rFonts w:ascii="Calibri" w:eastAsia="宋体" w:hAnsi="Calibri" w:cs="Times New Roman"/>
      <w:kern w:val="2"/>
      <w:sz w:val="21"/>
      <w:szCs w:val="24"/>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17"/>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bidi="ar-SA"/>
    </w:rPr>
  </w:style>
  <w:style w:type="paragraph" w:customStyle="1" w:styleId="4001">
    <w:name w:val="正文400"/>
    <w:pPr>
      <w:widowControl w:val="0"/>
      <w:jc w:val="both"/>
    </w:pPr>
    <w:rPr>
      <w:rFonts w:ascii="Calibri" w:eastAsia="宋体" w:hAnsi="Calibri" w:cs="Times New Roman"/>
      <w:kern w:val="2"/>
      <w:sz w:val="21"/>
      <w:szCs w:val="24"/>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8080">
    <w:name w:val="正文808"/>
    <w:pPr>
      <w:widowControl w:val="0"/>
      <w:jc w:val="both"/>
    </w:pPr>
    <w:rPr>
      <w:rFonts w:ascii="Calibri" w:eastAsia="宋体" w:hAnsi="Calibri" w:cs="Times New Roman"/>
      <w:kern w:val="2"/>
      <w:sz w:val="21"/>
      <w:szCs w:val="22"/>
      <w:lang w:val="en-US"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ListParagraph">
    <w:name w:val="List Paragraph"/>
    <w:basedOn w:val="Normal"/>
    <w:pPr>
      <w:ind w:firstLine="200" w:firstLineChars="200"/>
    </w:pPr>
    <w:rPr>
      <w:rFonts w:ascii="Calibri" w:hAnsi="Calibri"/>
      <w:szCs w:val="22"/>
    </w:rPr>
  </w:style>
  <w:style w:type="paragraph" w:customStyle="1" w:styleId="2105">
    <w:name w:val="样式 2 10 磅5"/>
    <w:pPr>
      <w:widowControl w:val="0"/>
      <w:jc w:val="both"/>
    </w:pPr>
    <w:rPr>
      <w:rFonts w:ascii="Times New Roman" w:eastAsia="宋体" w:hAnsi="Times New Roman" w:cs="Times New Roman"/>
      <w:kern w:val="2"/>
      <w:sz w:val="21"/>
      <w:szCs w:val="24"/>
      <w:lang w:val="en-US" w:eastAsia="zh-CN" w:bidi="ar-SA"/>
    </w:rPr>
  </w:style>
  <w:style w:type="paragraph" w:styleId="TOCHeading">
    <w:name w:val="TOC Heading"/>
    <w:basedOn w:val="Heading1"/>
    <w:next w:val="Normal"/>
    <w:pPr>
      <w:tabs>
        <w:tab w:val="clear" w:pos="0"/>
      </w:tabs>
      <w:spacing w:before="340" w:beforeAutospacing="0" w:after="330" w:afterAutospacing="0" w:line="578" w:lineRule="auto"/>
      <w:jc w:val="both"/>
      <w:outlineLvl w:val="9"/>
    </w:pPr>
    <w:rPr>
      <w:bCs/>
      <w:sz w:val="44"/>
      <w:szCs w:val="44"/>
    </w:rPr>
  </w:style>
  <w:style w:type="paragraph" w:customStyle="1" w:styleId="194710">
    <w:name w:val="样式 194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spacing w:after="160" w:line="259" w:lineRule="auto"/>
      <w:jc w:val="both"/>
    </w:pPr>
    <w:rPr>
      <w:rFonts w:ascii="Times New Roman" w:eastAsia="宋体" w:hAnsi="Times New Roman" w:cs="Times New Roman"/>
      <w:kern w:val="2"/>
      <w:sz w:val="21"/>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1521">
    <w:name w:val="正文_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0">
    <w:name w:val="样式 35 10 磅_0"/>
    <w:pPr>
      <w:widowControl w:val="0"/>
      <w:jc w:val="both"/>
    </w:pPr>
    <w:rPr>
      <w:rFonts w:ascii="Times New Roman" w:eastAsia="宋体" w:hAnsi="Times New Roman" w:cs="Times New Roman"/>
      <w:kern w:val="2"/>
      <w:sz w:val="21"/>
      <w:szCs w:val="22"/>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footer" Target="footer2.xml" /><Relationship Id="rId15" Type="http://schemas.openxmlformats.org/officeDocument/2006/relationships/image" Target="media/image7.png" /><Relationship Id="rId16" Type="http://schemas.openxmlformats.org/officeDocument/2006/relationships/image" Target="media/image8.jpeg" /><Relationship Id="rId17" Type="http://schemas.openxmlformats.org/officeDocument/2006/relationships/header" Target="header2.xml" /><Relationship Id="rId18" Type="http://schemas.openxmlformats.org/officeDocument/2006/relationships/header" Target="header3.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footer" Target="footer4.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1.jpe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sectPr/>
    <sectPr/>
  </customProps>
</customData>
</file>

<file path=customXml/itemProps1.xml><?xml version="1.0" encoding="utf-8"?>
<ds:datastoreItem xmlns:ds="http://schemas.openxmlformats.org/officeDocument/2006/customXml" ds:itemID="{CDD43888-195E-452E-9B20-3B05DE151F44}">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14094905</TotalTime>
  <Pages>124</Pages>
  <Words>0</Words>
  <Characters>44658</Characters>
  <Application>Microsoft Office Word</Application>
  <DocSecurity>0</DocSecurity>
  <Lines>0</Lines>
  <Paragraphs>1566</Paragraphs>
  <ScaleCrop>false</ScaleCrop>
  <Company>ms</Company>
  <LinksUpToDate>false</LinksUpToDate>
  <CharactersWithSpaces>59545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wu_xiaolu</cp:lastModifiedBy>
  <cp:revision>6</cp:revision>
  <cp:lastPrinted>2020-06-24T09:06:00Z</cp:lastPrinted>
  <dcterms:created xsi:type="dcterms:W3CDTF">2021-11-24T16:33:00Z</dcterms:created>
  <dcterms:modified xsi:type="dcterms:W3CDTF">2024-09-27T07:49:30Z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