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CG2024-WT-GK-HW-077</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拉萨海关2024年公务用车（第三次招标）采购项目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2024年09月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拉萨海关2024年公务用车（第三次招标）采购项目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CG2024-WT-GK-HW-077</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拉萨海关2024年公务用车（第三次招标）采购项目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本项目预算金额合计总金额人民币2,970,000.00元，其中包1人民币2,970,000.00元。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拉萨海关公务用车（越野车）采购项目</w:t>
            </w:r>
          </w:p>
        </w:tc>
        <w:tc>
          <w:tcPr>
            <w:tcW w:w="652" w:type="dxa"/>
          </w:tcPr>
          <w:p>
            <w:pPr>
              <w:spacing w:after="120" w:line="240" w:lineRule="auto"/>
              <w:rPr>
                <w:rFonts w:ascii="宋体"/>
                <w:b/>
                <w:color w:val="0000FF"/>
                <w:sz w:val="24"/>
                <w:highlight w:val="white"/>
              </w:rPr>
            </w:pPr>
            <w:r>
              <w:t>6</w:t>
            </w:r>
          </w:p>
        </w:tc>
        <w:tc>
          <w:tcPr>
            <w:tcW w:w="1271" w:type="dxa"/>
          </w:tcPr>
          <w:p>
            <w:pPr>
              <w:spacing w:after="120" w:line="240" w:lineRule="auto"/>
              <w:rPr>
                <w:rFonts w:ascii="宋体"/>
                <w:b/>
                <w:color w:val="0000FF"/>
                <w:sz w:val="24"/>
                <w:highlight w:val="white"/>
              </w:rPr>
            </w:pPr>
            <w:r>
              <w:t>495,000.00</w:t>
            </w:r>
          </w:p>
        </w:tc>
        <w:tc>
          <w:tcPr>
            <w:tcW w:w="1271" w:type="dxa"/>
            <w:vAlign w:val="center"/>
          </w:tcPr>
          <w:p>
            <w:pPr>
              <w:spacing w:after="120" w:line="240" w:lineRule="auto"/>
              <w:rPr>
                <w:rFonts w:ascii="宋体"/>
                <w:b/>
                <w:color w:val="0000FF"/>
                <w:sz w:val="24"/>
                <w:highlight w:val="white"/>
              </w:rPr>
            </w:pPr>
            <w:r>
              <w:t>2024年11月30日前</w:t>
            </w:r>
          </w:p>
        </w:tc>
        <w:tc>
          <w:tcPr>
            <w:tcW w:w="1073" w:type="dxa"/>
            <w:vAlign w:val="center"/>
          </w:tcPr>
          <w:p>
            <w:pPr>
              <w:spacing w:after="120" w:line="240" w:lineRule="auto"/>
              <w:rPr>
                <w:rFonts w:ascii="宋体"/>
                <w:b/>
                <w:color w:val="0000FF"/>
                <w:sz w:val="24"/>
                <w:highlight w:val="white"/>
              </w:rPr>
            </w:pPr>
            <w:r>
              <w:t>拉萨海关指定地点</w:t>
            </w:r>
          </w:p>
        </w:tc>
        <w:tc>
          <w:tcPr>
            <w:tcW w:w="1037" w:type="dxa"/>
            <w:vAlign w:val="center"/>
          </w:tcPr>
          <w:p>
            <w:pPr>
              <w:spacing w:after="120" w:line="240" w:lineRule="auto"/>
              <w:rPr>
                <w:rFonts w:ascii="宋体" w:hint="eastAsia"/>
                <w:b/>
                <w:color w:val="0000FF"/>
                <w:sz w:val="24"/>
                <w:highlight w:val="white"/>
              </w:rPr>
            </w:pPr>
            <w:r>
              <w:t>中标供应商应提供至少三年或10万公里质保</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3.本项目预算金额2970000元为含车辆购置税的价格。</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2024-09-19 00:00:00</w:t>
      </w:r>
      <w:bookmarkEnd w:id="20"/>
      <w:r>
        <w:rPr>
          <w:rFonts w:ascii="宋体" w:hint="eastAsia"/>
          <w:sz w:val="24"/>
        </w:rPr>
        <w:t>至</w:t>
      </w:r>
      <w:bookmarkStart w:id="21" w:name="公告_signUpLastTime"/>
      <w:r>
        <w:rPr>
          <w:rFonts w:ascii="宋体" w:hint="eastAsia"/>
          <w:sz w:val="24"/>
        </w:rPr>
        <w:t>2024-09-26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2024-10-16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2024-10-16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于2024-05-28</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拉萨海关</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本项目预算金额合计总金额人民币2,970,000.00元，其中包1人民币2,970,000.00元。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2,970,000.00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无</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拉萨海关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（4）★投标人提供投标产品满足项目需求书第三部分“采购需求”中所有星号（★）条款要求的证明材料（详见项目需求书）。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ind w:firstLine="560" w:firstLineChars="200"/>
        <w:jc w:val="both"/>
        <w:rPr>
          <w:rFonts w:ascii="方正楷体_GBK" w:eastAsia="方正楷体_GBK" w:cs="Arial" w:hint="eastAsia"/>
          <w:b/>
          <w:bCs/>
          <w:sz w:val="28"/>
          <w:szCs w:val="28"/>
        </w:rPr>
      </w:pPr>
      <w:bookmarkStart w:id="42" w:name="插入_采购需求书"/>
      <w:r>
        <w:rPr>
          <w:rFonts w:ascii="方正楷体_GBK" w:eastAsia="方正楷体_GBK" w:cs="Arial" w:hint="eastAsia"/>
          <w:b/>
          <w:bCs/>
          <w:sz w:val="28"/>
          <w:szCs w:val="28"/>
          <w:lang w:bidi="ar-SA"/>
        </w:rPr>
        <w:t>重要提示：本项目需求书属内部资料，供应商负有保密义务，未经采购人或采购机构同意，不得向任何与此项目无关的第三方透露。</w:t>
      </w:r>
    </w:p>
    <w:p>
      <w:pPr>
        <w:ind w:firstLine="560" w:firstLineChars="200"/>
        <w:jc w:val="both"/>
        <w:rPr>
          <w:rFonts w:ascii="方正楷体_GBK" w:eastAsia="方正楷体_GBK" w:cs="Arial" w:hint="eastAsia"/>
          <w:b/>
          <w:bCs/>
          <w:sz w:val="28"/>
          <w:szCs w:val="28"/>
        </w:rPr>
      </w:pPr>
      <w:r>
        <w:rPr>
          <w:rFonts w:ascii="方正楷体_GBK" w:eastAsia="方正楷体_GBK" w:cs="Arial" w:hint="eastAsia"/>
          <w:b/>
          <w:bCs/>
          <w:sz w:val="28"/>
          <w:szCs w:val="28"/>
          <w:lang w:bidi="ar-SA"/>
        </w:rPr>
        <w:t>带“★”的为必须满足内容，否则作为无效投标处理，不予接受；带“▲”的为重要内容，不满足将严重影响评分；其他技术或服务内容不满足的将影响一般评分。</w:t>
      </w:r>
    </w:p>
    <w:p/>
    <w:p>
      <w:pPr>
        <w:pStyle w:val="18210"/>
        <w:spacing w:line="560" w:lineRule="exact"/>
        <w:ind w:firstLine="640" w:firstLineChars="200"/>
        <w:jc w:val="left"/>
        <w:rPr>
          <w:rFonts w:ascii="方正黑体_GBK" w:eastAsia="方正黑体_GBK" w:hint="eastAsia"/>
          <w:sz w:val="32"/>
          <w:szCs w:val="32"/>
        </w:rPr>
      </w:pPr>
      <w:r>
        <w:rPr>
          <w:rFonts w:ascii="方正黑体_GBK" w:eastAsia="方正黑体_GBK" w:hint="eastAsia"/>
          <w:sz w:val="32"/>
          <w:szCs w:val="32"/>
        </w:rPr>
        <w:t>一、项目背景介绍</w:t>
      </w:r>
    </w:p>
    <w:p>
      <w:pPr>
        <w:pStyle w:val="10102"/>
        <w:autoSpaceDN w:val="0"/>
        <w:spacing w:line="560" w:lineRule="exact"/>
        <w:ind w:firstLine="640" w:firstLineChars="200"/>
        <w:jc w:val="left"/>
        <w:rPr>
          <w:rFonts w:ascii="方正楷体_GBK" w:eastAsia="方正楷体_GBK" w:hint="eastAsia"/>
          <w:b/>
          <w:sz w:val="32"/>
          <w:szCs w:val="32"/>
        </w:rPr>
      </w:pPr>
      <w:r>
        <w:rPr>
          <w:rFonts w:ascii="方正楷体_GBK" w:eastAsia="方正楷体_GBK" w:hint="eastAsia"/>
          <w:b/>
          <w:sz w:val="32"/>
          <w:szCs w:val="32"/>
        </w:rPr>
        <w:t>1.项目基本情况</w:t>
      </w:r>
    </w:p>
    <w:p>
      <w:pPr>
        <w:pStyle w:val="10102"/>
        <w:autoSpaceDN w:val="0"/>
        <w:spacing w:line="560" w:lineRule="exact"/>
        <w:ind w:firstLine="640" w:firstLineChars="200"/>
        <w:jc w:val="left"/>
        <w:rPr>
          <w:rFonts w:ascii="Times New Roman" w:eastAsia="方正仿宋_GBK" w:hAnsi="Times New Roman"/>
          <w:b/>
          <w:sz w:val="32"/>
          <w:szCs w:val="32"/>
        </w:rPr>
      </w:pPr>
      <w:r>
        <w:rPr>
          <w:rFonts w:ascii="Times New Roman" w:eastAsia="方正仿宋_GBK" w:hAnsi="Times New Roman"/>
          <w:b/>
          <w:sz w:val="32"/>
          <w:szCs w:val="32"/>
        </w:rPr>
        <w:t>1.1项目名称和预算金额</w:t>
      </w:r>
    </w:p>
    <w:p>
      <w:pPr>
        <w:pStyle w:val="10102"/>
        <w:autoSpaceDN w:val="0"/>
        <w:spacing w:line="560" w:lineRule="exact"/>
        <w:ind w:firstLine="640" w:firstLineChars="200"/>
        <w:jc w:val="left"/>
        <w:rPr>
          <w:rFonts w:ascii="Times New Roman" w:eastAsia="方正仿宋_GBK" w:hAnsi="Times New Roman"/>
          <w:spacing w:val="-8"/>
          <w:sz w:val="32"/>
          <w:szCs w:val="32"/>
        </w:rPr>
      </w:pPr>
      <w:r>
        <w:rPr>
          <w:rFonts w:ascii="Times New Roman" w:eastAsia="方正仿宋_GBK" w:hAnsi="Times New Roman"/>
          <w:spacing w:val="-8"/>
          <w:sz w:val="32"/>
          <w:szCs w:val="32"/>
        </w:rPr>
        <w:t>项目名称：2024年拉萨海关公务用车采购项目（第三次招标）</w:t>
      </w:r>
    </w:p>
    <w:p>
      <w:pPr>
        <w:pStyle w:val="10102"/>
        <w:autoSpaceDN w:val="0"/>
        <w:spacing w:line="560" w:lineRule="exact"/>
        <w:ind w:firstLine="640" w:firstLineChars="200"/>
        <w:jc w:val="left"/>
        <w:rPr>
          <w:rFonts w:ascii="Times New Roman" w:eastAsia="方正仿宋_GBK" w:hAnsi="Times New Roman"/>
          <w:sz w:val="32"/>
          <w:szCs w:val="32"/>
        </w:rPr>
      </w:pPr>
      <w:r>
        <w:rPr>
          <w:rFonts w:ascii="Times New Roman" w:eastAsia="方正仿宋_GBK" w:hAnsi="Times New Roman"/>
          <w:sz w:val="32"/>
          <w:szCs w:val="32"/>
        </w:rPr>
        <w:t>预算金额：2970000元（含车辆购置税）</w:t>
      </w:r>
    </w:p>
    <w:tbl>
      <w:tblPr>
        <w:tblW w:w="91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2"/>
        <w:gridCol w:w="2520"/>
        <w:gridCol w:w="1285"/>
        <w:gridCol w:w="2121"/>
        <w:gridCol w:w="2340"/>
      </w:tblGrid>
      <w:tr>
        <w:tblPrEx>
          <w:tblW w:w="91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33"/>
          <w:jc w:val="left"/>
        </w:trPr>
        <w:tc>
          <w:tcPr>
            <w:tcW w:w="842" w:type="dxa"/>
            <w:vAlign w:val="center"/>
          </w:tcPr>
          <w:p>
            <w:pPr>
              <w:pStyle w:val="10102"/>
              <w:autoSpaceDN w:val="0"/>
              <w:spacing w:line="560" w:lineRule="exact"/>
              <w:jc w:val="center"/>
              <w:rPr>
                <w:rFonts w:ascii="Times New Roman" w:eastAsia="方正仿宋_GBK" w:hAnsi="Times New Roman"/>
                <w:b/>
                <w:sz w:val="28"/>
                <w:szCs w:val="28"/>
              </w:rPr>
            </w:pPr>
            <w:r>
              <w:rPr>
                <w:rFonts w:ascii="Times New Roman" w:eastAsia="方正仿宋_GBK" w:hAnsi="Times New Roman"/>
                <w:b/>
                <w:sz w:val="28"/>
                <w:szCs w:val="28"/>
              </w:rPr>
              <w:t>序号</w:t>
            </w:r>
          </w:p>
        </w:tc>
        <w:tc>
          <w:tcPr>
            <w:tcW w:w="2520" w:type="dxa"/>
            <w:vAlign w:val="center"/>
          </w:tcPr>
          <w:p>
            <w:pPr>
              <w:pStyle w:val="10102"/>
              <w:autoSpaceDN w:val="0"/>
              <w:spacing w:line="560" w:lineRule="exact"/>
              <w:jc w:val="center"/>
              <w:rPr>
                <w:rFonts w:ascii="Times New Roman" w:eastAsia="方正仿宋_GBK" w:hAnsi="Times New Roman"/>
                <w:b/>
                <w:sz w:val="28"/>
                <w:szCs w:val="28"/>
              </w:rPr>
            </w:pPr>
            <w:r>
              <w:rPr>
                <w:rFonts w:ascii="Times New Roman" w:eastAsia="方正仿宋_GBK" w:hAnsi="Times New Roman"/>
                <w:b/>
                <w:sz w:val="28"/>
                <w:szCs w:val="28"/>
              </w:rPr>
              <w:t>设备名称</w:t>
            </w:r>
          </w:p>
        </w:tc>
        <w:tc>
          <w:tcPr>
            <w:tcW w:w="1285" w:type="dxa"/>
            <w:vAlign w:val="center"/>
          </w:tcPr>
          <w:p>
            <w:pPr>
              <w:pStyle w:val="10102"/>
              <w:autoSpaceDN w:val="0"/>
              <w:spacing w:line="560" w:lineRule="exact"/>
              <w:jc w:val="center"/>
              <w:rPr>
                <w:rFonts w:ascii="Times New Roman" w:eastAsia="方正仿宋_GBK" w:hAnsi="Times New Roman"/>
                <w:b/>
                <w:sz w:val="28"/>
                <w:szCs w:val="28"/>
              </w:rPr>
            </w:pPr>
            <w:r>
              <w:rPr>
                <w:rFonts w:ascii="Times New Roman" w:eastAsia="方正仿宋_GBK" w:hAnsi="Times New Roman"/>
                <w:b/>
                <w:sz w:val="28"/>
                <w:szCs w:val="28"/>
              </w:rPr>
              <w:t>数量（台）</w:t>
            </w:r>
          </w:p>
        </w:tc>
        <w:tc>
          <w:tcPr>
            <w:tcW w:w="2121" w:type="dxa"/>
            <w:vAlign w:val="center"/>
          </w:tcPr>
          <w:p>
            <w:pPr>
              <w:pStyle w:val="10102"/>
              <w:autoSpaceDN w:val="0"/>
              <w:spacing w:line="560" w:lineRule="exact"/>
              <w:jc w:val="center"/>
              <w:rPr>
                <w:rFonts w:ascii="Times New Roman" w:eastAsia="方正仿宋_GBK" w:hAnsi="Times New Roman"/>
                <w:b/>
                <w:sz w:val="28"/>
                <w:szCs w:val="28"/>
              </w:rPr>
            </w:pPr>
            <w:r>
              <w:rPr>
                <w:rFonts w:ascii="Times New Roman" w:eastAsia="方正仿宋_GBK" w:hAnsi="Times New Roman"/>
                <w:b/>
                <w:sz w:val="28"/>
                <w:szCs w:val="28"/>
              </w:rPr>
              <w:t>单价（万元）</w:t>
            </w:r>
          </w:p>
        </w:tc>
        <w:tc>
          <w:tcPr>
            <w:tcW w:w="2340" w:type="dxa"/>
            <w:vAlign w:val="center"/>
          </w:tcPr>
          <w:p>
            <w:pPr>
              <w:pStyle w:val="10102"/>
              <w:autoSpaceDN w:val="0"/>
              <w:spacing w:line="560" w:lineRule="exact"/>
              <w:jc w:val="center"/>
              <w:rPr>
                <w:rFonts w:ascii="Times New Roman" w:eastAsia="方正仿宋_GBK" w:hAnsi="Times New Roman"/>
                <w:b/>
                <w:sz w:val="28"/>
                <w:szCs w:val="28"/>
              </w:rPr>
            </w:pPr>
            <w:r>
              <w:rPr>
                <w:rFonts w:ascii="Times New Roman" w:eastAsia="方正仿宋_GBK" w:hAnsi="Times New Roman"/>
                <w:b/>
                <w:sz w:val="28"/>
                <w:szCs w:val="28"/>
              </w:rPr>
              <w:t>总价（万元）</w:t>
            </w:r>
          </w:p>
        </w:tc>
      </w:tr>
      <w:tr>
        <w:tblPrEx>
          <w:tblW w:w="9108" w:type="dxa"/>
          <w:jc w:val="left"/>
          <w:tblInd w:w="0" w:type="dxa"/>
          <w:tblLayout w:type="fixed"/>
          <w:tblCellMar>
            <w:top w:w="0" w:type="dxa"/>
            <w:left w:w="108" w:type="dxa"/>
            <w:bottom w:w="0" w:type="dxa"/>
            <w:right w:w="108" w:type="dxa"/>
          </w:tblCellMar>
        </w:tblPrEx>
        <w:trPr>
          <w:jc w:val="left"/>
        </w:trPr>
        <w:tc>
          <w:tcPr>
            <w:tcW w:w="842" w:type="dxa"/>
            <w:vAlign w:val="center"/>
          </w:tcPr>
          <w:p>
            <w:pPr>
              <w:pStyle w:val="10102"/>
              <w:autoSpaceDN w:val="0"/>
              <w:spacing w:line="560" w:lineRule="exact"/>
              <w:ind w:firstLine="280" w:firstLineChars="100"/>
              <w:jc w:val="center"/>
              <w:rPr>
                <w:rFonts w:ascii="Times New Roman" w:eastAsia="方正仿宋_GBK" w:hAnsi="Times New Roman"/>
                <w:sz w:val="28"/>
                <w:szCs w:val="28"/>
              </w:rPr>
            </w:pPr>
            <w:r>
              <w:rPr>
                <w:rFonts w:ascii="Times New Roman" w:eastAsia="方正仿宋_GBK" w:hAnsi="Times New Roman" w:hint="eastAsia"/>
                <w:sz w:val="28"/>
                <w:szCs w:val="28"/>
              </w:rPr>
              <w:t>1</w:t>
            </w:r>
          </w:p>
        </w:tc>
        <w:tc>
          <w:tcPr>
            <w:tcW w:w="2520" w:type="dxa"/>
            <w:tcBorders>
              <w:top w:val="single" w:sz="4" w:space="0" w:color="auto"/>
              <w:left w:val="single" w:sz="4" w:space="0" w:color="auto"/>
              <w:right w:val="single" w:sz="4" w:space="0" w:color="auto"/>
            </w:tcBorders>
            <w:vAlign w:val="center"/>
          </w:tcPr>
          <w:p>
            <w:pPr>
              <w:pStyle w:val="10102"/>
              <w:widowControl/>
              <w:spacing w:line="560" w:lineRule="exact"/>
              <w:jc w:val="center"/>
              <w:textAlignment w:val="center"/>
              <w:rPr>
                <w:rFonts w:ascii="方正仿宋_GBK" w:eastAsia="方正仿宋_GBK" w:hint="eastAsia"/>
                <w:sz w:val="24"/>
                <w:szCs w:val="24"/>
              </w:rPr>
            </w:pPr>
            <w:r>
              <w:rPr>
                <w:rFonts w:ascii="方正仿宋_GBK" w:eastAsia="方正仿宋_GBK" w:hint="eastAsia"/>
                <w:kern w:val="0"/>
                <w:sz w:val="24"/>
                <w:szCs w:val="24"/>
              </w:rPr>
              <w:t>越野车</w:t>
            </w:r>
          </w:p>
        </w:tc>
        <w:tc>
          <w:tcPr>
            <w:tcW w:w="1285" w:type="dxa"/>
            <w:tcBorders>
              <w:top w:val="single" w:sz="4" w:space="0" w:color="auto"/>
              <w:left w:val="single" w:sz="4" w:space="0" w:color="auto"/>
              <w:right w:val="single" w:sz="4" w:space="0" w:color="auto"/>
            </w:tcBorders>
            <w:vAlign w:val="center"/>
          </w:tcPr>
          <w:p>
            <w:pPr>
              <w:pStyle w:val="10102"/>
              <w:autoSpaceDN w:val="0"/>
              <w:spacing w:line="56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6</w:t>
            </w:r>
          </w:p>
        </w:tc>
        <w:tc>
          <w:tcPr>
            <w:tcW w:w="2121" w:type="dxa"/>
            <w:tcBorders>
              <w:top w:val="single" w:sz="4" w:space="0" w:color="auto"/>
              <w:left w:val="single" w:sz="4" w:space="0" w:color="auto"/>
              <w:right w:val="single" w:sz="4" w:space="0" w:color="auto"/>
            </w:tcBorders>
            <w:vAlign w:val="center"/>
          </w:tcPr>
          <w:p>
            <w:pPr>
              <w:pStyle w:val="10102"/>
              <w:tabs>
                <w:tab w:val="center" w:pos="4153"/>
                <w:tab w:val="right" w:pos="8306"/>
              </w:tabs>
              <w:autoSpaceDN w:val="0"/>
              <w:snapToGrid w:val="0"/>
              <w:spacing w:line="560" w:lineRule="exact"/>
              <w:ind w:firstLine="560" w:firstLineChars="200"/>
              <w:rPr>
                <w:rFonts w:ascii="Times New Roman" w:eastAsia="方正仿宋_GBK" w:hAnsi="Times New Roman"/>
                <w:sz w:val="28"/>
                <w:szCs w:val="28"/>
                <w:shd w:val="solid" w:color="FFFFFF" w:fill="FFFFFF"/>
              </w:rPr>
            </w:pPr>
            <w:r>
              <w:rPr>
                <w:rFonts w:ascii="Times New Roman" w:eastAsia="方正仿宋_GBK" w:hAnsi="Times New Roman" w:hint="eastAsia"/>
                <w:sz w:val="28"/>
                <w:szCs w:val="28"/>
                <w:shd w:val="solid" w:color="FFFFFF" w:fill="FFFFFF"/>
              </w:rPr>
              <w:t>49.</w:t>
            </w:r>
            <w:r>
              <w:rPr>
                <w:rFonts w:ascii="Times New Roman" w:eastAsia="方正仿宋_GBK" w:hAnsi="Times New Roman"/>
                <w:sz w:val="28"/>
                <w:szCs w:val="28"/>
                <w:shd w:val="solid" w:color="FFFFFF" w:fill="FFFFFF"/>
              </w:rPr>
              <w:t>5</w:t>
            </w:r>
          </w:p>
        </w:tc>
        <w:tc>
          <w:tcPr>
            <w:tcW w:w="2340" w:type="dxa"/>
            <w:vAlign w:val="center"/>
          </w:tcPr>
          <w:p>
            <w:pPr>
              <w:pStyle w:val="10102"/>
              <w:tabs>
                <w:tab w:val="center" w:pos="4153"/>
                <w:tab w:val="right" w:pos="8306"/>
              </w:tabs>
              <w:autoSpaceDN w:val="0"/>
              <w:snapToGrid w:val="0"/>
              <w:spacing w:line="560" w:lineRule="exact"/>
              <w:ind w:firstLine="560" w:firstLineChars="200"/>
              <w:rPr>
                <w:rFonts w:ascii="Times New Roman" w:eastAsia="方正仿宋_GBK" w:hAnsi="Times New Roman"/>
                <w:sz w:val="28"/>
                <w:szCs w:val="28"/>
                <w:shd w:val="solid" w:color="FFFFFF" w:fill="FFFFFF"/>
              </w:rPr>
            </w:pPr>
            <w:r>
              <w:rPr>
                <w:rFonts w:ascii="Times New Roman" w:eastAsia="方正仿宋_GBK" w:hAnsi="Times New Roman"/>
                <w:sz w:val="28"/>
                <w:szCs w:val="28"/>
                <w:shd w:val="solid" w:color="FFFFFF" w:fill="FFFFFF"/>
              </w:rPr>
              <w:t>297</w:t>
            </w:r>
          </w:p>
        </w:tc>
      </w:tr>
      <w:tr>
        <w:tblPrEx>
          <w:tblW w:w="9108" w:type="dxa"/>
          <w:jc w:val="left"/>
          <w:tblInd w:w="0" w:type="dxa"/>
          <w:tblLayout w:type="fixed"/>
          <w:tblCellMar>
            <w:top w:w="0" w:type="dxa"/>
            <w:left w:w="108" w:type="dxa"/>
            <w:bottom w:w="0" w:type="dxa"/>
            <w:right w:w="108" w:type="dxa"/>
          </w:tblCellMar>
        </w:tblPrEx>
        <w:trPr>
          <w:jc w:val="left"/>
        </w:trPr>
        <w:tc>
          <w:tcPr>
            <w:tcW w:w="3362" w:type="dxa"/>
            <w:gridSpan w:val="2"/>
            <w:vAlign w:val="center"/>
          </w:tcPr>
          <w:p>
            <w:pPr>
              <w:pStyle w:val="10102"/>
              <w:autoSpaceDN w:val="0"/>
              <w:spacing w:line="560" w:lineRule="exact"/>
              <w:ind w:firstLine="560" w:firstLineChars="200"/>
              <w:jc w:val="center"/>
              <w:rPr>
                <w:rFonts w:ascii="Times New Roman" w:eastAsia="方正仿宋_GBK" w:hAnsi="Times New Roman"/>
                <w:sz w:val="28"/>
                <w:szCs w:val="28"/>
              </w:rPr>
            </w:pPr>
            <w:r>
              <w:rPr>
                <w:rFonts w:ascii="Times New Roman" w:eastAsia="方正仿宋_GBK" w:hAnsi="Times New Roman"/>
                <w:sz w:val="28"/>
                <w:szCs w:val="28"/>
              </w:rPr>
              <w:t>合计</w:t>
            </w:r>
          </w:p>
        </w:tc>
        <w:tc>
          <w:tcPr>
            <w:tcW w:w="1285" w:type="dxa"/>
            <w:tcBorders>
              <w:top w:val="single" w:sz="4" w:space="0" w:color="auto"/>
              <w:left w:val="single" w:sz="4" w:space="0" w:color="auto"/>
              <w:right w:val="single" w:sz="4" w:space="0" w:color="auto"/>
            </w:tcBorders>
            <w:vAlign w:val="center"/>
          </w:tcPr>
          <w:p>
            <w:pPr>
              <w:pStyle w:val="10102"/>
              <w:spacing w:line="560" w:lineRule="exact"/>
              <w:ind w:firstLine="560" w:firstLineChars="200"/>
              <w:rPr>
                <w:rFonts w:ascii="Times New Roman" w:eastAsia="方正仿宋_GBK" w:hAnsi="Times New Roman"/>
                <w:sz w:val="24"/>
                <w:szCs w:val="24"/>
              </w:rPr>
            </w:pPr>
            <w:r>
              <w:rPr>
                <w:rFonts w:ascii="Times New Roman" w:eastAsia="方正仿宋_GBK" w:hAnsi="Times New Roman"/>
                <w:sz w:val="28"/>
                <w:szCs w:val="28"/>
              </w:rPr>
              <w:t>6</w:t>
            </w:r>
          </w:p>
        </w:tc>
        <w:tc>
          <w:tcPr>
            <w:tcW w:w="2121" w:type="dxa"/>
            <w:tcBorders>
              <w:top w:val="single" w:sz="4" w:space="0" w:color="auto"/>
              <w:left w:val="single" w:sz="4" w:space="0" w:color="auto"/>
              <w:right w:val="single" w:sz="4" w:space="0" w:color="auto"/>
            </w:tcBorders>
            <w:vAlign w:val="center"/>
          </w:tcPr>
          <w:p>
            <w:pPr>
              <w:pStyle w:val="10102"/>
              <w:spacing w:line="560" w:lineRule="exact"/>
              <w:ind w:firstLine="560" w:firstLineChars="200"/>
              <w:rPr>
                <w:rFonts w:ascii="Times New Roman" w:eastAsia="方正仿宋_GBK" w:hAnsi="Times New Roman"/>
                <w:sz w:val="24"/>
                <w:szCs w:val="24"/>
              </w:rPr>
            </w:pPr>
            <w:r>
              <w:rPr>
                <w:rFonts w:ascii="Times New Roman" w:eastAsia="方正仿宋_GBK" w:hAnsi="Times New Roman" w:hint="eastAsia"/>
                <w:sz w:val="28"/>
                <w:szCs w:val="28"/>
                <w:shd w:val="solid" w:color="FFFFFF" w:fill="FFFFFF"/>
              </w:rPr>
              <w:t>49.5</w:t>
            </w:r>
          </w:p>
        </w:tc>
        <w:tc>
          <w:tcPr>
            <w:tcW w:w="2340" w:type="dxa"/>
            <w:vAlign w:val="center"/>
          </w:tcPr>
          <w:p>
            <w:pPr>
              <w:pStyle w:val="10102"/>
              <w:spacing w:line="56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297</w:t>
            </w:r>
          </w:p>
        </w:tc>
      </w:tr>
    </w:tbl>
    <w:p>
      <w:pPr>
        <w:pStyle w:val="10102"/>
        <w:autoSpaceDN w:val="0"/>
        <w:spacing w:line="560" w:lineRule="exact"/>
        <w:ind w:left="0" w:firstLine="640" w:firstLineChars="200"/>
        <w:jc w:val="left"/>
        <w:rPr>
          <w:rFonts w:ascii="Times New Roman" w:eastAsia="方正仿宋_GBK" w:hAnsi="Times New Roman" w:hint="eastAsia"/>
          <w:b/>
          <w:sz w:val="32"/>
          <w:szCs w:val="32"/>
        </w:rPr>
      </w:pPr>
      <w:r>
        <w:rPr>
          <w:rFonts w:ascii="Times New Roman" w:eastAsia="方正仿宋_GBK" w:hAnsi="Times New Roman"/>
          <w:b/>
          <w:sz w:val="32"/>
          <w:szCs w:val="32"/>
        </w:rPr>
        <w:t>1.2采购项目的功能和目标</w:t>
      </w:r>
      <w:bookmarkStart w:id="43" w:name="_GoBack"/>
      <w:bookmarkEnd w:id="43"/>
    </w:p>
    <w:p>
      <w:pPr>
        <w:pStyle w:val="10102"/>
        <w:autoSpaceDN w:val="0"/>
        <w:spacing w:line="560" w:lineRule="exact"/>
        <w:ind w:firstLine="640" w:firstLineChars="200"/>
        <w:jc w:val="left"/>
        <w:rPr>
          <w:rFonts w:eastAsia="方正仿宋_GBK"/>
          <w:bCs/>
          <w:sz w:val="32"/>
          <w:szCs w:val="32"/>
        </w:rPr>
      </w:pPr>
      <w:r>
        <w:rPr>
          <w:rFonts w:eastAsia="方正仿宋_GBK" w:hint="eastAsia"/>
          <w:bCs/>
          <w:sz w:val="32"/>
          <w:szCs w:val="32"/>
          <w:lang w:bidi="ar-SA"/>
        </w:rPr>
        <w:t>拉萨关区位于青藏高原，海拔高、</w:t>
      </w:r>
      <w:r>
        <w:rPr>
          <w:rFonts w:eastAsia="方正仿宋_GBK"/>
          <w:bCs/>
          <w:sz w:val="32"/>
          <w:szCs w:val="32"/>
          <w:lang w:bidi="ar-SA"/>
        </w:rPr>
        <w:t>基础设施较为落后。</w:t>
      </w:r>
      <w:r>
        <w:rPr>
          <w:rFonts w:eastAsia="方正仿宋_GBK" w:hint="eastAsia"/>
          <w:bCs/>
          <w:sz w:val="32"/>
          <w:szCs w:val="32"/>
          <w:lang w:bidi="ar-SA"/>
        </w:rPr>
        <w:t>西藏区内除机场高速外，全区公路均为国道、省道，</w:t>
      </w:r>
      <w:r>
        <w:rPr>
          <w:rFonts w:eastAsia="方正仿宋_GBK"/>
          <w:bCs/>
          <w:sz w:val="32"/>
          <w:szCs w:val="32"/>
          <w:lang w:bidi="ar-SA"/>
        </w:rPr>
        <w:t>秋冬季节冰雪覆盖路段较多，春夏季节暴雨、泥石流频发，气候复杂多变，</w:t>
      </w:r>
      <w:r>
        <w:rPr>
          <w:rFonts w:eastAsia="方正仿宋_GBK" w:hint="eastAsia"/>
          <w:bCs/>
          <w:sz w:val="32"/>
          <w:szCs w:val="32"/>
          <w:lang w:bidi="ar-SA"/>
        </w:rPr>
        <w:t>地震等时有发生，</w:t>
      </w:r>
      <w:r>
        <w:rPr>
          <w:rFonts w:eastAsia="方正仿宋_GBK"/>
          <w:bCs/>
          <w:sz w:val="32"/>
          <w:szCs w:val="32"/>
          <w:lang w:bidi="ar-SA"/>
        </w:rPr>
        <w:t>行车路况常年较差，</w:t>
      </w:r>
      <w:r>
        <w:rPr>
          <w:rFonts w:eastAsia="方正仿宋_GBK" w:hint="eastAsia"/>
          <w:bCs/>
          <w:sz w:val="32"/>
          <w:szCs w:val="32"/>
          <w:lang w:bidi="ar-SA"/>
        </w:rPr>
        <w:t>基础环境恶劣。</w:t>
      </w:r>
      <w:r>
        <w:rPr>
          <w:rFonts w:eastAsia="方正仿宋_GBK"/>
          <w:bCs/>
          <w:sz w:val="32"/>
          <w:szCs w:val="32"/>
          <w:lang w:bidi="ar-SA"/>
        </w:rPr>
        <w:t>拉萨关区公务用车大部分为长途出行，车辆行驶于海拔3000米-5000米以上的高海拔地区，因</w:t>
      </w:r>
      <w:r>
        <w:rPr>
          <w:rFonts w:eastAsia="方正仿宋_GBK" w:hint="eastAsia"/>
          <w:bCs/>
          <w:sz w:val="32"/>
          <w:szCs w:val="32"/>
          <w:lang w:bidi="ar-SA"/>
        </w:rPr>
        <w:t>气压低</w:t>
      </w:r>
      <w:r>
        <w:rPr>
          <w:rFonts w:eastAsia="方正仿宋_GBK"/>
          <w:bCs/>
          <w:sz w:val="32"/>
          <w:szCs w:val="32"/>
          <w:lang w:bidi="ar-SA"/>
        </w:rPr>
        <w:t>、氧气少</w:t>
      </w:r>
      <w:r>
        <w:rPr>
          <w:rFonts w:eastAsia="方正仿宋_GBK" w:hint="eastAsia"/>
          <w:bCs/>
          <w:sz w:val="32"/>
          <w:szCs w:val="32"/>
          <w:lang w:bidi="ar-SA"/>
        </w:rPr>
        <w:t>，</w:t>
      </w:r>
      <w:r>
        <w:rPr>
          <w:rFonts w:eastAsia="方正仿宋_GBK"/>
          <w:bCs/>
          <w:sz w:val="32"/>
          <w:szCs w:val="32"/>
          <w:lang w:bidi="ar-SA"/>
        </w:rPr>
        <w:t>车辆</w:t>
      </w:r>
      <w:r>
        <w:rPr>
          <w:rFonts w:eastAsia="方正仿宋_GBK" w:hint="eastAsia"/>
          <w:bCs/>
          <w:sz w:val="32"/>
          <w:szCs w:val="32"/>
          <w:lang w:bidi="ar-SA"/>
        </w:rPr>
        <w:t>发动机燃油燃烧不充分导致</w:t>
      </w:r>
      <w:r>
        <w:rPr>
          <w:rFonts w:eastAsia="方正仿宋_GBK"/>
          <w:bCs/>
          <w:sz w:val="32"/>
          <w:szCs w:val="32"/>
          <w:lang w:bidi="ar-SA"/>
        </w:rPr>
        <w:t>动力不足，正常行驶需较大排气量支持。同时常年行驶高原山区道路，路面崎岖、坡陡弯急，</w:t>
      </w:r>
      <w:r>
        <w:rPr>
          <w:rFonts w:eastAsia="方正仿宋_GBK" w:hint="eastAsia"/>
          <w:bCs/>
          <w:sz w:val="32"/>
          <w:szCs w:val="32"/>
          <w:lang w:bidi="ar-SA"/>
        </w:rPr>
        <w:t>汽车</w:t>
      </w:r>
      <w:r>
        <w:rPr>
          <w:rFonts w:eastAsia="方正仿宋_GBK"/>
          <w:bCs/>
          <w:sz w:val="32"/>
          <w:szCs w:val="32"/>
          <w:lang w:bidi="ar-SA"/>
        </w:rPr>
        <w:t>因</w:t>
      </w:r>
      <w:r>
        <w:rPr>
          <w:rFonts w:eastAsia="方正仿宋_GBK" w:hint="eastAsia"/>
          <w:bCs/>
          <w:sz w:val="32"/>
          <w:szCs w:val="32"/>
          <w:lang w:bidi="ar-SA"/>
        </w:rPr>
        <w:t>制动摩擦频繁</w:t>
      </w:r>
      <w:r>
        <w:rPr>
          <w:rFonts w:eastAsia="方正仿宋_GBK"/>
          <w:bCs/>
          <w:sz w:val="32"/>
          <w:szCs w:val="32"/>
          <w:lang w:bidi="ar-SA"/>
        </w:rPr>
        <w:t>可能导致</w:t>
      </w:r>
      <w:r>
        <w:rPr>
          <w:rFonts w:eastAsia="方正仿宋_GBK" w:hint="eastAsia"/>
          <w:bCs/>
          <w:sz w:val="32"/>
          <w:szCs w:val="32"/>
          <w:lang w:bidi="ar-SA"/>
        </w:rPr>
        <w:t>制动失效，</w:t>
      </w:r>
      <w:r>
        <w:rPr>
          <w:rFonts w:eastAsia="方正仿宋_GBK"/>
          <w:bCs/>
          <w:sz w:val="32"/>
          <w:szCs w:val="32"/>
          <w:lang w:bidi="ar-SA"/>
        </w:rPr>
        <w:t>存在较大</w:t>
      </w:r>
      <w:r>
        <w:rPr>
          <w:rFonts w:eastAsia="方正仿宋_GBK" w:hint="eastAsia"/>
          <w:bCs/>
          <w:sz w:val="32"/>
          <w:szCs w:val="32"/>
          <w:lang w:bidi="ar-SA"/>
        </w:rPr>
        <w:t>行驶安全</w:t>
      </w:r>
      <w:r>
        <w:rPr>
          <w:rFonts w:eastAsia="方正仿宋_GBK"/>
          <w:bCs/>
          <w:sz w:val="32"/>
          <w:szCs w:val="32"/>
          <w:lang w:bidi="ar-SA"/>
        </w:rPr>
        <w:t>风险。加之高海拔造成的低温、多雪路况，对于车辆各部件造成不同程度影响，车辆部件老化速度加快，因此对车辆动力、安全、稳定性能要求较高。本次采购车辆需满足以上运行环境的要求，解决拉萨关区复杂路况下公务用车配备需求。</w:t>
      </w:r>
    </w:p>
    <w:p>
      <w:pPr>
        <w:pStyle w:val="10102"/>
        <w:autoSpaceDN w:val="0"/>
        <w:spacing w:line="560" w:lineRule="exact"/>
        <w:ind w:firstLine="640" w:firstLineChars="200"/>
        <w:jc w:val="left"/>
        <w:rPr>
          <w:rFonts w:ascii="Times New Roman" w:eastAsia="方正仿宋_GBK" w:hAnsi="Times New Roman"/>
          <w:b/>
          <w:sz w:val="32"/>
          <w:szCs w:val="32"/>
        </w:rPr>
      </w:pPr>
      <w:r>
        <w:rPr>
          <w:rFonts w:ascii="Times New Roman" w:eastAsia="方正仿宋_GBK" w:hAnsi="Times New Roman"/>
          <w:b/>
          <w:sz w:val="32"/>
          <w:szCs w:val="32"/>
        </w:rPr>
        <w:t>1.3采购项目需实现的政府采购政策目标</w:t>
      </w:r>
    </w:p>
    <w:p>
      <w:pPr>
        <w:pStyle w:val="10102"/>
        <w:autoSpaceDN w:val="0"/>
        <w:spacing w:line="56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无。</w:t>
      </w:r>
    </w:p>
    <w:p>
      <w:pPr>
        <w:pStyle w:val="10102"/>
        <w:autoSpaceDN w:val="0"/>
        <w:spacing w:line="560" w:lineRule="exact"/>
        <w:ind w:firstLine="640" w:firstLineChars="200"/>
        <w:jc w:val="left"/>
        <w:rPr>
          <w:rFonts w:ascii="Times New Roman" w:eastAsia="方正仿宋_GBK" w:hAnsi="Times New Roman"/>
          <w:b/>
          <w:sz w:val="32"/>
          <w:szCs w:val="32"/>
        </w:rPr>
      </w:pPr>
      <w:r>
        <w:rPr>
          <w:rFonts w:ascii="Times New Roman" w:eastAsia="方正仿宋_GBK" w:hAnsi="Times New Roman"/>
          <w:b/>
          <w:sz w:val="32"/>
          <w:szCs w:val="32"/>
        </w:rPr>
        <w:t>1.4预算绩效目标等内容</w:t>
      </w:r>
    </w:p>
    <w:p>
      <w:pPr>
        <w:pStyle w:val="10102"/>
        <w:autoSpaceDN w:val="0"/>
        <w:spacing w:line="560" w:lineRule="exact"/>
        <w:ind w:firstLine="640" w:firstLineChars="200"/>
        <w:jc w:val="left"/>
        <w:rPr>
          <w:rFonts w:ascii="Times New Roman" w:eastAsia="方正仿宋_GBK" w:hAnsi="Times New Roman"/>
          <w:sz w:val="32"/>
          <w:szCs w:val="32"/>
        </w:rPr>
      </w:pPr>
      <w:r>
        <w:rPr>
          <w:rFonts w:ascii="Times New Roman" w:eastAsia="方正仿宋_GBK" w:hAnsi="Times New Roman"/>
          <w:sz w:val="32"/>
          <w:szCs w:val="32"/>
        </w:rPr>
        <w:t>满足拉萨关区隶属海关业务执法一线越野车使用需求。</w:t>
      </w:r>
    </w:p>
    <w:p>
      <w:pPr>
        <w:pStyle w:val="10102"/>
        <w:autoSpaceDN w:val="0"/>
        <w:spacing w:line="560" w:lineRule="exact"/>
        <w:ind w:firstLine="640" w:firstLineChars="200"/>
        <w:jc w:val="left"/>
        <w:rPr>
          <w:rFonts w:ascii="方正楷体_GBK" w:eastAsia="方正楷体_GBK" w:hint="eastAsia"/>
          <w:b/>
          <w:sz w:val="32"/>
          <w:szCs w:val="32"/>
        </w:rPr>
      </w:pPr>
      <w:r>
        <w:rPr>
          <w:rFonts w:ascii="Times New Roman" w:eastAsia="方正楷体_GBK" w:hAnsi="Times New Roman"/>
          <w:b/>
          <w:sz w:val="32"/>
          <w:szCs w:val="32"/>
        </w:rPr>
        <w:t>2.</w:t>
      </w:r>
      <w:r>
        <w:rPr>
          <w:rFonts w:ascii="方正楷体_GBK" w:eastAsia="方正楷体_GBK" w:hint="eastAsia"/>
          <w:b/>
          <w:sz w:val="32"/>
          <w:szCs w:val="32"/>
        </w:rPr>
        <w:t>需求调查情况</w:t>
      </w:r>
    </w:p>
    <w:p>
      <w:pPr>
        <w:pStyle w:val="10102"/>
        <w:autoSpaceDN w:val="0"/>
        <w:spacing w:line="560" w:lineRule="exact"/>
        <w:ind w:firstLine="640" w:firstLineChars="200"/>
        <w:jc w:val="left"/>
        <w:rPr>
          <w:rFonts w:ascii="Times New Roman" w:eastAsia="方正仿宋_GBK" w:hAnsi="Times New Roman"/>
          <w:sz w:val="32"/>
          <w:szCs w:val="32"/>
        </w:rPr>
      </w:pPr>
      <w:r>
        <w:rPr>
          <w:rFonts w:ascii="Times New Roman" w:eastAsia="方正仿宋_GBK" w:hAnsi="Times New Roman"/>
          <w:sz w:val="32"/>
          <w:szCs w:val="32"/>
        </w:rPr>
        <w:t>否。</w:t>
      </w:r>
    </w:p>
    <w:p>
      <w:pPr>
        <w:pStyle w:val="10102"/>
        <w:autoSpaceDN w:val="0"/>
        <w:spacing w:line="560" w:lineRule="exact"/>
        <w:ind w:firstLine="640" w:firstLineChars="200"/>
        <w:jc w:val="left"/>
        <w:rPr>
          <w:rFonts w:ascii="方正楷体_GBK" w:eastAsia="方正楷体_GBK" w:hint="eastAsia"/>
          <w:b/>
          <w:sz w:val="32"/>
          <w:szCs w:val="32"/>
        </w:rPr>
      </w:pPr>
      <w:r>
        <w:rPr>
          <w:rFonts w:ascii="Times New Roman" w:eastAsia="方正楷体_GBK" w:hAnsi="Times New Roman"/>
          <w:b/>
          <w:sz w:val="32"/>
          <w:szCs w:val="32"/>
        </w:rPr>
        <w:t>3</w:t>
      </w:r>
      <w:r>
        <w:rPr>
          <w:rFonts w:ascii="方正楷体_GBK" w:eastAsia="方正楷体_GBK" w:hint="eastAsia"/>
          <w:b/>
          <w:sz w:val="32"/>
          <w:szCs w:val="32"/>
        </w:rPr>
        <w:t>.公开征求意见情况</w:t>
      </w:r>
    </w:p>
    <w:p>
      <w:pPr>
        <w:pStyle w:val="10102"/>
        <w:autoSpaceDN w:val="0"/>
        <w:spacing w:line="560" w:lineRule="exact"/>
        <w:ind w:firstLine="640" w:firstLineChars="200"/>
        <w:jc w:val="left"/>
        <w:rPr>
          <w:rFonts w:ascii="Times New Roman" w:eastAsia="方正仿宋_GBK" w:hAnsi="Times New Roman"/>
          <w:sz w:val="32"/>
          <w:szCs w:val="32"/>
        </w:rPr>
      </w:pPr>
      <w:r>
        <w:rPr>
          <w:rFonts w:ascii="Times New Roman" w:eastAsia="方正仿宋_GBK" w:hAnsi="Times New Roman"/>
          <w:sz w:val="32"/>
          <w:szCs w:val="32"/>
        </w:rPr>
        <w:t>否。</w:t>
      </w:r>
    </w:p>
    <w:p>
      <w:pPr>
        <w:pStyle w:val="10102"/>
        <w:autoSpaceDN w:val="0"/>
        <w:spacing w:line="560" w:lineRule="exact"/>
        <w:ind w:firstLine="640" w:firstLineChars="200"/>
        <w:jc w:val="left"/>
        <w:rPr>
          <w:rFonts w:ascii="方正楷体_GBK" w:eastAsia="方正楷体_GBK" w:hint="eastAsia"/>
          <w:b/>
          <w:sz w:val="32"/>
          <w:szCs w:val="32"/>
        </w:rPr>
      </w:pPr>
      <w:r>
        <w:rPr>
          <w:rFonts w:ascii="Times New Roman" w:eastAsia="方正楷体_GBK" w:hAnsi="Times New Roman"/>
          <w:b/>
          <w:sz w:val="32"/>
          <w:szCs w:val="32"/>
        </w:rPr>
        <w:t>4</w:t>
      </w:r>
      <w:r>
        <w:rPr>
          <w:rFonts w:ascii="方正楷体_GBK" w:eastAsia="方正楷体_GBK" w:hint="eastAsia"/>
          <w:b/>
          <w:sz w:val="32"/>
          <w:szCs w:val="32"/>
        </w:rPr>
        <w:t>.需求审查情况</w:t>
      </w:r>
    </w:p>
    <w:p>
      <w:pPr>
        <w:pStyle w:val="10102"/>
        <w:autoSpaceDN w:val="0"/>
        <w:spacing w:line="560" w:lineRule="exact"/>
        <w:ind w:firstLine="640" w:firstLineChars="200"/>
        <w:jc w:val="left"/>
        <w:rPr>
          <w:rFonts w:ascii="Times New Roman" w:eastAsia="方正仿宋_GBK" w:hAnsi="Times New Roman"/>
          <w:sz w:val="32"/>
          <w:szCs w:val="32"/>
        </w:rPr>
      </w:pPr>
      <w:r>
        <w:rPr>
          <w:rFonts w:ascii="Times New Roman" w:eastAsia="方正仿宋_GBK" w:hAnsi="Times New Roman"/>
          <w:sz w:val="32"/>
          <w:szCs w:val="32"/>
        </w:rPr>
        <w:t>是。</w:t>
      </w:r>
    </w:p>
    <w:p>
      <w:pPr>
        <w:pStyle w:val="18210"/>
        <w:spacing w:line="560" w:lineRule="exact"/>
        <w:ind w:firstLine="640" w:firstLineChars="200"/>
        <w:jc w:val="left"/>
        <w:rPr>
          <w:rFonts w:ascii="方正黑体_GBK" w:eastAsia="方正黑体_GBK" w:hint="eastAsia"/>
          <w:sz w:val="32"/>
          <w:szCs w:val="32"/>
        </w:rPr>
      </w:pPr>
      <w:r>
        <w:rPr>
          <w:rFonts w:ascii="方正黑体_GBK" w:eastAsia="方正黑体_GBK" w:hint="eastAsia"/>
          <w:sz w:val="32"/>
          <w:szCs w:val="32"/>
        </w:rPr>
        <w:t>二、核心产品</w:t>
      </w:r>
    </w:p>
    <w:p>
      <w:pPr>
        <w:pStyle w:val="10102"/>
        <w:autoSpaceDN w:val="0"/>
        <w:spacing w:line="560" w:lineRule="exact"/>
        <w:ind w:firstLine="640" w:firstLineChars="200"/>
        <w:jc w:val="left"/>
        <w:rPr>
          <w:rFonts w:ascii="Times New Roman" w:eastAsia="方正仿宋_GBK" w:hAnsi="Times New Roman"/>
          <w:kern w:val="0"/>
          <w:sz w:val="32"/>
          <w:szCs w:val="32"/>
        </w:rPr>
      </w:pPr>
      <w:r>
        <w:rPr>
          <w:rFonts w:ascii="Times New Roman" w:eastAsia="方正仿宋_GBK" w:hAnsi="Times New Roman"/>
          <w:bCs/>
          <w:kern w:val="0"/>
          <w:sz w:val="32"/>
          <w:szCs w:val="32"/>
        </w:rPr>
        <w:t>无。</w:t>
      </w:r>
    </w:p>
    <w:p>
      <w:pPr>
        <w:pStyle w:val="18210"/>
        <w:spacing w:line="560" w:lineRule="exact"/>
        <w:ind w:firstLine="640" w:firstLineChars="200"/>
        <w:jc w:val="left"/>
        <w:rPr>
          <w:rFonts w:ascii="方正黑体_GBK" w:eastAsia="方正黑体_GBK" w:hint="eastAsia"/>
          <w:sz w:val="32"/>
          <w:szCs w:val="32"/>
        </w:rPr>
      </w:pPr>
      <w:r>
        <w:rPr>
          <w:rFonts w:ascii="方正黑体_GBK" w:eastAsia="方正黑体_GBK" w:hint="eastAsia"/>
          <w:sz w:val="32"/>
          <w:szCs w:val="32"/>
        </w:rPr>
        <w:t>三、采购需求</w:t>
      </w:r>
    </w:p>
    <w:p>
      <w:pPr>
        <w:pStyle w:val="10102"/>
        <w:spacing w:line="560" w:lineRule="exact"/>
        <w:ind w:firstLine="640" w:firstLineChars="200"/>
        <w:jc w:val="left"/>
        <w:rPr>
          <w:rFonts w:ascii="方正楷体_GBK" w:eastAsia="方正楷体_GBK" w:hint="eastAsia"/>
          <w:b/>
          <w:sz w:val="32"/>
          <w:szCs w:val="32"/>
        </w:rPr>
      </w:pPr>
      <w:r>
        <w:rPr>
          <w:rFonts w:ascii="Times New Roman" w:eastAsia="方正楷体_GBK" w:hAnsi="Times New Roman"/>
          <w:b/>
          <w:sz w:val="32"/>
          <w:szCs w:val="32"/>
        </w:rPr>
        <w:t>1.</w:t>
      </w:r>
      <w:r>
        <w:rPr>
          <w:rFonts w:ascii="方正楷体_GBK" w:eastAsia="方正楷体_GBK" w:hint="eastAsia"/>
          <w:b/>
          <w:sz w:val="32"/>
          <w:szCs w:val="32"/>
        </w:rPr>
        <w:t>主要用途</w:t>
      </w:r>
    </w:p>
    <w:p>
      <w:pPr>
        <w:pStyle w:val="10102"/>
        <w:spacing w:line="560" w:lineRule="exact"/>
        <w:ind w:firstLine="640" w:firstLineChars="200"/>
        <w:jc w:val="left"/>
        <w:rPr>
          <w:rFonts w:ascii="Times New Roman" w:eastAsia="方正仿宋_GBK" w:hAnsi="Times New Roman"/>
          <w:sz w:val="32"/>
          <w:szCs w:val="32"/>
        </w:rPr>
      </w:pPr>
      <w:r>
        <w:rPr>
          <w:rFonts w:ascii="Times New Roman" w:eastAsia="方正仿宋_GBK" w:hAnsi="Times New Roman"/>
          <w:sz w:val="32"/>
          <w:szCs w:val="32"/>
        </w:rPr>
        <w:t>主要</w:t>
      </w:r>
      <w:r>
        <w:rPr>
          <w:rFonts w:ascii="Times New Roman" w:eastAsia="方正仿宋_GBK" w:hAnsi="Times New Roman"/>
          <w:bCs/>
          <w:sz w:val="32"/>
          <w:szCs w:val="32"/>
        </w:rPr>
        <w:t>用于</w:t>
      </w:r>
      <w:r>
        <w:rPr>
          <w:rFonts w:ascii="Times New Roman" w:eastAsia="方正仿宋_GBK" w:hAnsi="Times New Roman" w:hint="eastAsia"/>
          <w:bCs/>
          <w:sz w:val="32"/>
          <w:szCs w:val="32"/>
        </w:rPr>
        <w:t>艰苦边远地区海关日常监管</w:t>
      </w:r>
      <w:r>
        <w:rPr>
          <w:rFonts w:ascii="Times New Roman" w:eastAsia="方正仿宋_GBK" w:hAnsi="Times New Roman"/>
          <w:bCs/>
          <w:sz w:val="32"/>
          <w:szCs w:val="32"/>
        </w:rPr>
        <w:t>。</w:t>
      </w:r>
    </w:p>
    <w:p>
      <w:pPr>
        <w:pStyle w:val="10102"/>
        <w:spacing w:line="560" w:lineRule="exact"/>
        <w:ind w:firstLine="640" w:firstLineChars="200"/>
        <w:jc w:val="left"/>
        <w:rPr>
          <w:rFonts w:ascii="方正楷体_GBK" w:eastAsia="方正楷体_GBK" w:hint="eastAsia"/>
          <w:b/>
          <w:sz w:val="32"/>
          <w:szCs w:val="32"/>
        </w:rPr>
      </w:pPr>
      <w:r>
        <w:rPr>
          <w:rFonts w:ascii="Times New Roman" w:eastAsia="方正楷体_GBK" w:hAnsi="Times New Roman"/>
          <w:b/>
          <w:sz w:val="32"/>
          <w:szCs w:val="32"/>
        </w:rPr>
        <w:t>2.</w:t>
      </w:r>
      <w:r>
        <w:rPr>
          <w:rFonts w:ascii="方正楷体_GBK" w:eastAsia="方正楷体_GBK" w:hint="eastAsia"/>
          <w:b/>
          <w:sz w:val="32"/>
          <w:szCs w:val="32"/>
        </w:rPr>
        <w:t>特殊资质要求</w:t>
      </w:r>
    </w:p>
    <w:p>
      <w:pPr>
        <w:pStyle w:val="10102"/>
        <w:spacing w:line="560" w:lineRule="exact"/>
        <w:ind w:firstLine="640" w:firstLineChars="200"/>
        <w:jc w:val="left"/>
        <w:rPr>
          <w:rFonts w:ascii="Times New Roman" w:eastAsia="方正仿宋_GBK" w:hAnsi="Times New Roman"/>
          <w:sz w:val="32"/>
          <w:szCs w:val="32"/>
        </w:rPr>
      </w:pPr>
      <w:r>
        <w:rPr>
          <w:rFonts w:ascii="Times New Roman" w:eastAsia="方正仿宋_GBK" w:hAnsi="Times New Roman"/>
          <w:bCs/>
          <w:sz w:val="32"/>
          <w:szCs w:val="32"/>
        </w:rPr>
        <w:t>无</w:t>
      </w:r>
      <w:r>
        <w:rPr>
          <w:rFonts w:ascii="Times New Roman" w:eastAsia="方正仿宋_GBK" w:hAnsi="Times New Roman"/>
          <w:sz w:val="32"/>
          <w:szCs w:val="32"/>
        </w:rPr>
        <w:t>。</w:t>
      </w:r>
    </w:p>
    <w:p>
      <w:pPr>
        <w:pStyle w:val="a5"/>
        <w:pBdr>
          <w:top w:val="none" w:sz="0" w:space="0" w:color="auto"/>
          <w:left w:val="none" w:sz="0" w:space="0" w:color="auto"/>
          <w:bottom w:val="none" w:sz="0" w:space="0" w:color="auto"/>
          <w:right w:val="none" w:sz="0" w:space="0" w:color="auto"/>
        </w:pBdr>
        <w:spacing w:before="0" w:after="89" w:line="560" w:lineRule="exact"/>
        <w:ind w:left="130" w:right="0" w:firstLine="640" w:firstLineChars="200"/>
        <w:rPr>
          <w:rFonts w:ascii="方正楷体_GBK" w:eastAsia="方正楷体_GBK" w:hint="eastAsia"/>
          <w:b/>
          <w:bCs/>
          <w:sz w:val="32"/>
          <w:szCs w:val="32"/>
        </w:rPr>
      </w:pPr>
      <w:r>
        <w:rPr>
          <w:rFonts w:ascii="Times New Roman" w:eastAsia="方正楷体_GBK" w:hAnsi="Times New Roman"/>
          <w:b/>
          <w:bCs/>
          <w:sz w:val="32"/>
          <w:szCs w:val="32"/>
        </w:rPr>
        <w:t>3.</w:t>
      </w:r>
      <w:r>
        <w:rPr>
          <w:rFonts w:ascii="方正楷体_GBK" w:eastAsia="方正楷体_GBK" w:hint="eastAsia"/>
          <w:b/>
          <w:bCs/>
          <w:sz w:val="32"/>
          <w:szCs w:val="32"/>
        </w:rPr>
        <w:t>主要技术参数</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★（1）车身结构：非承载式。（提供厂家盖章证明文件或加盖投标人公章或电子签章的承诺函）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（2）尾门开启方式：上掀式或侧开式。（提供厂家盖章证明文件或加盖投标人公章或电子签章的承诺函）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3）车身指标：车身长度（MM）≥4800、车身宽度（MM）≥1900、车身高度（MM）≥1908、轴距（MM）≥2800。需提供所投产品工业和信息化部装备工业发展中心道路机动车辆生产企业及产品信息查询系统（网址：http://app.miit-eidc.org.cn/）“汽车产品技术参数”彩色截图和网址，并加盖投标人公章或电子签章。</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4）发动机及动力参数：排气量（ML）≥2200且排气量（ML）≤3500、发动机最大功率≥200KW。如为增程式混合动力车辆，发动机参数：排气量（ML）≥1450、发动机最大功率≥140KW。需提供所投产品工业和信息化部装备工业发展中心道路机动车辆生产企业及产品信息查询系统（网址：http://app.miit-eidc.org.cn/）“汽车产品技术参数”彩色截图和网址，并加盖投标人公章或电子签章。</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★（5）变速箱参数：手自一体变速箱（AT）。如为增程式混合动力车辆，参数为：配备自动变速箱。</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驱动方式：前置四驱，四驱形式：全时四驱或适时四驱。</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（提供厂家盖章证明文件或加盖投标人公章或电子签章的承诺函）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bdr w:val="none" w:sz="0" w:space="0" w:color="auto"/>
        </w:rPr>
        <w:t>▲</w:t>
      </w:r>
      <w:r>
        <w:rPr>
          <w:rStyle w:val="index8Char"/>
          <w:rFonts w:eastAsia="方正仿宋_GBK" w:hint="eastAsia"/>
          <w:bCs/>
          <w:sz w:val="32"/>
          <w:szCs w:val="32"/>
        </w:rPr>
        <w:t>（6）发动机：进气方式为涡轮增压，发动机形式为四缸及以上。如为增程式混合动力车辆，本项仅要求发动机进气方式为涡轮增压，不要求发动机形式。（提供厂家盖章证明文件或加盖投标人公章或电子签章的承诺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（7）前悬挂形式：双叉臂式独立悬架，后悬架形式：多连杆式非独立悬架或双叉臂式独立悬架。</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（8）驻车制动类型：电子驻车。</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（9）最大满载质量：≥3000(</w:t>
      </w:r>
      <w:r>
        <w:rPr>
          <w:rStyle w:val="index8Char"/>
          <w:rFonts w:eastAsia="方正仿宋_GBK" w:hint="eastAsia"/>
          <w:bCs/>
          <w:sz w:val="32"/>
          <w:szCs w:val="32"/>
          <w:bdr w:val="none" w:sz="0" w:space="0" w:color="auto"/>
        </w:rPr>
        <w:t>kg</w:t>
      </w:r>
      <w:r>
        <w:rPr>
          <w:rStyle w:val="index8Char"/>
          <w:rFonts w:eastAsia="方正仿宋_GBK" w:hint="eastAsia"/>
          <w:bCs/>
          <w:sz w:val="32"/>
          <w:szCs w:val="32"/>
        </w:rPr>
        <w:t>)；整备质量：≦3200(kg)。</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（10）动力参数：最大扭矩≥</w:t>
      </w:r>
      <w:r>
        <w:rPr>
          <w:rStyle w:val="index8Char"/>
          <w:rFonts w:eastAsia="方正仿宋_GBK" w:hint="eastAsia"/>
          <w:bCs/>
          <w:iCs/>
          <w:sz w:val="32"/>
          <w:szCs w:val="32"/>
        </w:rPr>
        <w:t>420N·M</w:t>
      </w:r>
      <w:r>
        <w:rPr>
          <w:rStyle w:val="index8Char"/>
          <w:rFonts w:eastAsia="方正仿宋_GBK" w:hint="eastAsia"/>
          <w:bCs/>
          <w:sz w:val="32"/>
          <w:szCs w:val="32"/>
        </w:rPr>
        <w:t>。</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（11）座位数：5座。</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（12）转向助力：电动助力。</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（13）以下能源类型均可：1.汽油；2.插电式混合动力；3.油电混合动力；4.增程式混合动力。如为插电式混合动力汽车，必须随车配备充电桩。</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Fonts w:ascii="方正楷体_GBK" w:eastAsia="方正楷体_GBK" w:hint="eastAsia"/>
          <w:b/>
          <w:bCs/>
          <w:sz w:val="32"/>
          <w:szCs w:val="32"/>
        </w:rPr>
      </w:pPr>
      <w:r>
        <w:rPr>
          <w:rFonts w:ascii="Times New Roman" w:eastAsia="方正楷体_GBK" w:hAnsi="Times New Roman"/>
          <w:b/>
          <w:bCs/>
          <w:sz w:val="32"/>
          <w:szCs w:val="32"/>
        </w:rPr>
        <w:t>4</w:t>
      </w:r>
      <w:r>
        <w:rPr>
          <w:rFonts w:ascii="方正楷体_GBK" w:eastAsia="方正楷体_GBK" w:hint="eastAsia"/>
          <w:b/>
          <w:bCs/>
          <w:sz w:val="32"/>
          <w:szCs w:val="32"/>
        </w:rPr>
        <w:t>.主要配置</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▲（1）被动安全设置：需配置前排主副驾驶气囊（帘）、前排侧气囊（帘）、前/后头部气囊（帘）。（提供厂家盖章证明文件或加盖投标人公章或电子签章的承诺函）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（2）行车安全参数：车身稳定控制（ESC/ESP/DSC/VSC）、ABS刹车系统。</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（3）车身颜色：白色或黑色。</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（4）环保标准：国VI。</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5）综合工况油耗：≦11L。需提供所投产品工业和信息化部装备工业发展中心道路机动车辆生产企业及产品信息查询系统（网址：http://app.miit-eidc.org.cn/）“汽车产品技术参数”彩色截图和网址，并加盖投标人公章或电子签章。</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▲（6）差速器：前桥差速器、中央差速器、后桥差速器。（提供厂家盖章证明文件或加盖投标人公章或电子签章的承诺函）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（7）油箱容积：≥65L。</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▲（8）被动安全系统：制动力分配（EBD/CBC）、刹车辅助（EBA/BAS/BA）、牵引力控制（ASR/TCS/TRC）。（提供厂家盖章证明文件或加盖投标人公章或电子签章的承诺函）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（9）主动安全系统：车道偏离系统、主动刹车、前方碰撞预警、后方碰撞预警、内置行车记录仪。</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（10）驾驶硬件：前/后驻车雷达、倒车影像。</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（11）驾驶功能：具备辅助驾驶功能。</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（12）车外灯光：近光灯LED、远光灯LED、自适应远近光。</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（13）外后视镜：电动调节、后视镜加热。</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（14）方向盘：多功能方向盘。</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Ansi="Times New Roman" w:hint="eastAsia"/>
          <w:bCs/>
          <w:sz w:val="32"/>
          <w:szCs w:val="32"/>
        </w:rPr>
      </w:pPr>
      <w:r>
        <w:rPr>
          <w:rStyle w:val="index8Char"/>
          <w:rFonts w:eastAsia="方正仿宋_GBK" w:hAnsi="Times New Roman" w:hint="eastAsia"/>
          <w:bCs/>
          <w:sz w:val="32"/>
          <w:szCs w:val="32"/>
        </w:rPr>
        <w:t>（15）座椅材质：真皮、主副驾座椅可调节。</w:t>
      </w:r>
    </w:p>
    <w:p>
      <w:pPr>
        <w:pStyle w:val="a5"/>
        <w:pBdr>
          <w:top w:val="none" w:sz="0" w:space="0" w:color="auto"/>
          <w:left w:val="none" w:sz="0" w:space="0" w:color="auto"/>
          <w:bottom w:val="none" w:sz="0" w:space="0" w:color="auto"/>
          <w:right w:val="none" w:sz="0" w:space="0" w:color="auto"/>
        </w:pBdr>
        <w:spacing w:after="89" w:line="560" w:lineRule="exact"/>
        <w:ind w:left="0" w:firstLine="640" w:firstLineChars="200"/>
        <w:rPr>
          <w:rFonts w:ascii="方正黑体_GBK" w:eastAsia="方正黑体_GBK" w:hint="eastAsia"/>
          <w:bCs/>
          <w:sz w:val="32"/>
          <w:szCs w:val="32"/>
        </w:rPr>
      </w:pPr>
      <w:r>
        <w:rPr>
          <w:rFonts w:ascii="方正黑体_GBK" w:eastAsia="方正黑体_GBK" w:hint="eastAsia"/>
          <w:bCs/>
          <w:sz w:val="32"/>
          <w:szCs w:val="32"/>
        </w:rPr>
        <w:t>四、售后服务要求</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1. 中标车型在西藏具有车辆制造商授权并认定的维修网点，考虑在主要地区城市（拉萨市、林芝市、山南市、日喀则市、阿里地区等）有车辆制造商授权并认定的维修网点，并提供维保人员名单、联系电话等。</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2.保修期限：中标供应商应提供至少三年或10万公里质保。</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3.免费保养服务：除厂家正常保养政策以外，提供多次不低于首保服务要求的保养服务。</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4.中标供应商提供完整的设备技术资料、货物制造商的出厂检验报告、合格证书、说明书等，保证产品和安装材料是新生产、未经过使用的原装原厂正品。如在交付使用前发生设备损坏和不合格，需求单位有权要求退货，因此造成的一切损失由中标供应商承担。</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eastAsia="方正仿宋_GBK" w:hint="eastAsia"/>
          <w:bCs/>
          <w:sz w:val="32"/>
          <w:szCs w:val="32"/>
        </w:rPr>
      </w:pPr>
      <w:r>
        <w:rPr>
          <w:rStyle w:val="index8Char"/>
          <w:rFonts w:eastAsia="方正仿宋_GBK" w:hint="eastAsia"/>
          <w:bCs/>
          <w:sz w:val="32"/>
          <w:szCs w:val="32"/>
        </w:rPr>
        <w:t>5.中标供应商根据合同要求进行系统安装、调试后，由需求单位进行使用性能方面的验收，确保在使用过程内具有满意的性能。如质量不符合要求，供应商应无条件及时更换并不得以任何原因拖延。</w:t>
      </w:r>
    </w:p>
    <w:p>
      <w:pPr>
        <w:pStyle w:val="a5"/>
        <w:pBdr>
          <w:top w:val="none" w:sz="0" w:space="0" w:color="auto"/>
          <w:left w:val="none" w:sz="0" w:space="0" w:color="auto"/>
          <w:bottom w:val="none" w:sz="0" w:space="0" w:color="auto"/>
          <w:right w:val="none" w:sz="0" w:space="0" w:color="auto"/>
        </w:pBdr>
        <w:spacing w:after="89" w:line="560" w:lineRule="exact"/>
        <w:ind w:left="130" w:firstLine="640" w:firstLineChars="200"/>
        <w:rPr>
          <w:rStyle w:val="index8Char"/>
          <w:rFonts w:ascii="Times New Roman" w:eastAsia="方正仿宋_GBK" w:hAnsi="Times New Roman"/>
          <w:bCs/>
          <w:sz w:val="32"/>
          <w:szCs w:val="32"/>
        </w:rPr>
      </w:pPr>
      <w:r>
        <w:rPr>
          <w:rStyle w:val="index8Char"/>
          <w:rFonts w:eastAsia="方正仿宋_GBK" w:hint="eastAsia"/>
          <w:bCs/>
          <w:sz w:val="32"/>
          <w:szCs w:val="32"/>
        </w:rPr>
        <w:t>6.因中标供应商所提供的产品未达到投标文件中技术性能指标的，一律拒收，不予付款，需求单位有权因此终止合同的执行，中标商将自行承担所有经济损失；同时，需求单位将保留向中标供应商因设备延迟到位而造成不良影响追索相应“违约”责任的权利。     </w:t>
      </w:r>
    </w:p>
    <w:p>
      <w:pPr>
        <w:pStyle w:val="a5"/>
        <w:pBdr>
          <w:top w:val="none" w:sz="0" w:space="0" w:color="auto"/>
          <w:left w:val="none" w:sz="0" w:space="0" w:color="auto"/>
          <w:bottom w:val="none" w:sz="0" w:space="0" w:color="auto"/>
          <w:right w:val="none" w:sz="0" w:space="0" w:color="auto"/>
        </w:pBdr>
        <w:spacing w:after="89" w:line="560" w:lineRule="exact"/>
        <w:ind w:left="0" w:firstLine="640" w:firstLineChars="200"/>
        <w:rPr>
          <w:rStyle w:val="index8Char"/>
          <w:rFonts w:ascii="方正黑体_GBK" w:eastAsia="方正黑体_GBK" w:hint="eastAsia"/>
          <w:bCs/>
          <w:sz w:val="32"/>
          <w:szCs w:val="32"/>
        </w:rPr>
      </w:pPr>
      <w:r>
        <w:rPr>
          <w:rStyle w:val="index8Char"/>
          <w:rFonts w:ascii="方正黑体_GBK" w:eastAsia="方正黑体_GBK" w:hint="eastAsia"/>
          <w:bCs/>
          <w:sz w:val="32"/>
          <w:szCs w:val="32"/>
        </w:rPr>
        <w:t>五、培训要求</w:t>
      </w:r>
    </w:p>
    <w:p>
      <w:pPr>
        <w:pStyle w:val="a5"/>
        <w:pBdr>
          <w:top w:val="none" w:sz="0" w:space="0" w:color="auto"/>
          <w:left w:val="none" w:sz="0" w:space="0" w:color="auto"/>
          <w:bottom w:val="none" w:sz="0" w:space="0" w:color="auto"/>
          <w:right w:val="none" w:sz="0" w:space="0" w:color="auto"/>
        </w:pBdr>
        <w:spacing w:line="560" w:lineRule="exact"/>
        <w:ind w:left="130" w:firstLine="640" w:firstLineChars="200"/>
        <w:jc w:val="both"/>
        <w:rPr>
          <w:rStyle w:val="index8Char"/>
          <w:rFonts w:ascii="Times New Roman" w:eastAsia="方正仿宋_GBK" w:hAnsi="Times New Roman"/>
          <w:bCs/>
          <w:sz w:val="32"/>
          <w:szCs w:val="32"/>
        </w:rPr>
      </w:pPr>
      <w:r>
        <w:rPr>
          <w:rStyle w:val="index8Char"/>
          <w:rFonts w:ascii="Times New Roman" w:eastAsia="方正仿宋_GBK" w:hAnsi="Times New Roman" w:hint="eastAsia"/>
          <w:bCs/>
          <w:sz w:val="32"/>
          <w:szCs w:val="32"/>
        </w:rPr>
        <w:t>现场培训：在设备到货后为买方免费提供1次现场培训，培训内容为设备的使用、维护等。培训人员人数不限，培训时间视需求单位需要，原则上不少于2天，</w:t>
      </w:r>
      <w:r>
        <w:rPr>
          <w:rStyle w:val="index8Char"/>
          <w:rFonts w:ascii="Times New Roman" w:eastAsia="方正仿宋_GBK" w:hAnsi="Times New Roman"/>
          <w:bCs/>
          <w:sz w:val="32"/>
          <w:szCs w:val="32"/>
        </w:rPr>
        <w:t>培训费用由乙方承担，</w:t>
      </w:r>
      <w:r>
        <w:rPr>
          <w:rStyle w:val="index8Char"/>
          <w:rFonts w:ascii="Times New Roman" w:eastAsia="方正仿宋_GBK" w:hAnsi="Times New Roman" w:hint="eastAsia"/>
          <w:bCs/>
          <w:sz w:val="32"/>
          <w:szCs w:val="32"/>
        </w:rPr>
        <w:t>确保需求单位用户能正常操作</w:t>
      </w:r>
      <w:r>
        <w:rPr>
          <w:rStyle w:val="index8Char"/>
          <w:rFonts w:ascii="Times New Roman" w:eastAsia="方正仿宋_GBK" w:hAnsi="Times New Roman"/>
          <w:bCs/>
          <w:sz w:val="32"/>
          <w:szCs w:val="32"/>
        </w:rPr>
        <w:t>。</w:t>
      </w:r>
    </w:p>
    <w:p>
      <w:pPr>
        <w:pStyle w:val="a5"/>
        <w:pBdr>
          <w:top w:val="none" w:sz="0" w:space="0" w:color="auto"/>
          <w:left w:val="none" w:sz="0" w:space="0" w:color="auto"/>
          <w:bottom w:val="none" w:sz="0" w:space="0" w:color="auto"/>
          <w:right w:val="none" w:sz="0" w:space="0" w:color="auto"/>
        </w:pBdr>
        <w:spacing w:line="560" w:lineRule="exact"/>
        <w:ind w:left="130" w:firstLine="640" w:firstLineChars="200"/>
        <w:jc w:val="both"/>
        <w:rPr>
          <w:rStyle w:val="index8Char"/>
          <w:rFonts w:ascii="方正黑体_GBK" w:eastAsia="方正黑体_GBK" w:hint="eastAsia"/>
          <w:bCs/>
          <w:sz w:val="32"/>
          <w:szCs w:val="32"/>
        </w:rPr>
      </w:pPr>
      <w:r>
        <w:rPr>
          <w:rStyle w:val="index8Char"/>
          <w:rFonts w:ascii="方正黑体_GBK" w:eastAsia="方正黑体_GBK" w:hint="eastAsia"/>
          <w:bCs/>
          <w:sz w:val="32"/>
          <w:szCs w:val="32"/>
        </w:rPr>
        <w:t>六、主要技术参数及配置条目数量统计</w:t>
      </w:r>
    </w:p>
    <w:p>
      <w:pPr>
        <w:pStyle w:val="BodyText"/>
        <w:pBdr>
          <w:top w:val="none" w:sz="0" w:space="0" w:color="auto"/>
          <w:left w:val="none" w:sz="0" w:space="0" w:color="auto"/>
          <w:bottom w:val="none" w:sz="0" w:space="0" w:color="auto"/>
          <w:right w:val="none" w:sz="0" w:space="0" w:color="auto"/>
        </w:pBdr>
      </w:pPr>
    </w:p>
    <w:tbl>
      <w:tblPr>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hint="eastAsia"/>
                <w:bCs/>
                <w:sz w:val="32"/>
                <w:szCs w:val="32"/>
              </w:rPr>
              <w:t>包号</w:t>
            </w:r>
          </w:p>
        </w:tc>
        <w:tc>
          <w:tcPr>
            <w:tcW w:w="2880" w:type="dxa"/>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hint="eastAsia"/>
                <w:bCs/>
                <w:sz w:val="32"/>
                <w:szCs w:val="32"/>
              </w:rPr>
              <w:t>指标类型</w:t>
            </w:r>
          </w:p>
        </w:tc>
        <w:tc>
          <w:tcPr>
            <w:tcW w:w="4072" w:type="dxa"/>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hint="eastAsia"/>
                <w:bCs/>
                <w:sz w:val="32"/>
                <w:szCs w:val="32"/>
              </w:rPr>
              <w:t>条目数量（个）</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restart"/>
            <w:vAlign w:val="center"/>
          </w:tcPr>
          <w:p>
            <w:pPr>
              <w:pStyle w:val="9101"/>
              <w:widowControl/>
              <w:spacing w:line="400" w:lineRule="exact"/>
              <w:jc w:val="center"/>
              <w:textAlignment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hint="eastAsia"/>
                <w:bCs/>
                <w:sz w:val="32"/>
                <w:szCs w:val="32"/>
              </w:rPr>
              <w:t>01包</w:t>
            </w: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cs="Arial" w:hint="eastAsia"/>
                <w:bCs/>
                <w:sz w:val="32"/>
                <w:szCs w:val="32"/>
                <w:lang w:bidi="ar-SA"/>
              </w:rPr>
              <w:t>★指标</w:t>
            </w:r>
          </w:p>
        </w:tc>
        <w:tc>
          <w:tcPr>
            <w:tcW w:w="4072" w:type="dxa"/>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bCs/>
                <w:sz w:val="32"/>
                <w:szCs w:val="32"/>
              </w:rPr>
              <w:t>4</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hint="eastAsia"/>
                <w:bCs/>
                <w:sz w:val="32"/>
                <w:szCs w:val="32"/>
              </w:rPr>
              <w:t>▲指标</w:t>
            </w:r>
          </w:p>
        </w:tc>
        <w:tc>
          <w:tcPr>
            <w:tcW w:w="4072" w:type="dxa"/>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bCs/>
                <w:sz w:val="32"/>
                <w:szCs w:val="32"/>
              </w:rPr>
              <w:t>4</w:t>
            </w:r>
          </w:p>
        </w:tc>
      </w:tr>
      <w:tr>
        <w:tblPrEx>
          <w:tblW w:w="8571" w:type="dxa"/>
          <w:jc w:val="left"/>
          <w:tblInd w:w="-93"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hint="eastAsia"/>
                <w:bCs/>
                <w:sz w:val="32"/>
                <w:szCs w:val="32"/>
              </w:rPr>
              <w:t>一般指标</w:t>
            </w:r>
          </w:p>
        </w:tc>
        <w:tc>
          <w:tcPr>
            <w:tcW w:w="4072" w:type="dxa"/>
            <w:vAlign w:val="center"/>
          </w:tcPr>
          <w:p>
            <w:pPr>
              <w:pStyle w:val="1510"/>
              <w:widowControl/>
              <w:spacing w:line="400" w:lineRule="exact"/>
              <w:jc w:val="center"/>
              <w:rPr>
                <w:rStyle w:val="index8Char"/>
                <w:rFonts w:ascii="Times New Roman" w:eastAsia="方正仿宋_GBK" w:hAnsi="Times New Roman" w:hint="eastAsia"/>
                <w:bCs/>
                <w:sz w:val="32"/>
                <w:szCs w:val="32"/>
              </w:rPr>
            </w:pPr>
            <w:r>
              <w:rPr>
                <w:rStyle w:val="index8Char"/>
                <w:rFonts w:ascii="Times New Roman" w:eastAsia="方正仿宋_GBK" w:hAnsi="Times New Roman"/>
                <w:bCs/>
                <w:sz w:val="32"/>
                <w:szCs w:val="32"/>
              </w:rPr>
              <w:t>20</w:t>
            </w:r>
          </w:p>
        </w:tc>
      </w:tr>
    </w:tbl>
    <w:p>
      <w:pPr>
        <w:pStyle w:val="BodyText"/>
        <w:pBdr>
          <w:top w:val="none" w:sz="0" w:space="0" w:color="auto"/>
          <w:left w:val="none" w:sz="0" w:space="0" w:color="auto"/>
          <w:bottom w:val="none" w:sz="0" w:space="0" w:color="auto"/>
          <w:right w:val="none" w:sz="0" w:space="0" w:color="auto"/>
        </w:pBdr>
      </w:pPr>
    </w:p>
    <w:p>
      <w:pPr>
        <w:pStyle w:val="291"/>
        <w:pBdr>
          <w:top w:val="none" w:sz="0" w:space="0" w:color="auto"/>
          <w:left w:val="none" w:sz="0" w:space="0" w:color="auto"/>
          <w:bottom w:val="none" w:sz="0" w:space="0" w:color="auto"/>
          <w:right w:val="none" w:sz="0" w:space="0" w:color="auto"/>
        </w:pBdr>
        <w:spacing w:line="560" w:lineRule="exact"/>
        <w:ind w:firstLine="640" w:firstLineChars="200"/>
        <w:jc w:val="both"/>
        <w:rPr>
          <w:rStyle w:val="33610Char"/>
          <w:rFonts w:ascii="Times New Roman" w:eastAsia="方正仿宋_GBK" w:hAnsi="Times New Roman"/>
          <w:bCs/>
          <w:sz w:val="32"/>
          <w:szCs w:val="32"/>
        </w:rPr>
      </w:pPr>
      <w:r>
        <w:rPr>
          <w:rStyle w:val="33610Char"/>
          <w:rFonts w:ascii="方正黑体_GBK" w:eastAsia="方正黑体_GBK" w:hint="eastAsia"/>
          <w:bCs/>
          <w:sz w:val="32"/>
          <w:szCs w:val="32"/>
        </w:rPr>
        <w:t>七、供货要求</w:t>
      </w:r>
    </w:p>
    <w:p>
      <w:pPr>
        <w:pStyle w:val="291"/>
        <w:pBdr>
          <w:top w:val="none" w:sz="0" w:space="0" w:color="auto"/>
          <w:left w:val="none" w:sz="0" w:space="0" w:color="auto"/>
          <w:bottom w:val="none" w:sz="0" w:space="0" w:color="auto"/>
          <w:right w:val="none" w:sz="0" w:space="0" w:color="auto"/>
        </w:pBdr>
        <w:spacing w:line="560" w:lineRule="exact"/>
        <w:ind w:firstLine="640" w:firstLineChars="200"/>
        <w:jc w:val="both"/>
        <w:rPr>
          <w:rStyle w:val="885Char"/>
          <w:rFonts w:ascii="Times New Roman" w:eastAsia="方正仿宋_GBK" w:hAnsi="Times New Roman"/>
          <w:bCs/>
          <w:sz w:val="32"/>
          <w:szCs w:val="32"/>
        </w:rPr>
      </w:pPr>
      <w:r>
        <w:rPr>
          <w:rStyle w:val="543Char"/>
          <w:rFonts w:ascii="Times New Roman" w:eastAsia="方正仿宋_GBK" w:hAnsi="Times New Roman" w:hint="eastAsia"/>
          <w:bCs/>
          <w:sz w:val="32"/>
          <w:szCs w:val="32"/>
        </w:rPr>
        <w:t>★</w:t>
      </w:r>
      <w:r>
        <w:rPr>
          <w:rStyle w:val="33610Char"/>
          <w:rFonts w:ascii="Times New Roman" w:eastAsia="方正仿宋_GBK" w:hAnsi="Times New Roman"/>
          <w:bCs/>
          <w:sz w:val="32"/>
          <w:szCs w:val="32"/>
        </w:rPr>
        <w:t>交货时间</w:t>
      </w:r>
      <w:r>
        <w:rPr>
          <w:rStyle w:val="33610Char"/>
          <w:rFonts w:ascii="Times New Roman" w:eastAsia="方正仿宋_GBK" w:hAnsi="Times New Roman" w:hint="eastAsia"/>
          <w:bCs/>
          <w:sz w:val="32"/>
          <w:szCs w:val="32"/>
        </w:rPr>
        <w:t>：</w:t>
      </w:r>
      <w:r>
        <w:rPr>
          <w:rStyle w:val="885Char"/>
          <w:rFonts w:ascii="Times New Roman" w:eastAsia="方正仿宋_GBK" w:hAnsi="Times New Roman"/>
          <w:bCs/>
          <w:sz w:val="32"/>
          <w:szCs w:val="32"/>
        </w:rPr>
        <w:t>2024年11月30日前。</w:t>
      </w:r>
    </w:p>
    <w:p>
      <w:pPr>
        <w:pStyle w:val="291"/>
        <w:pBdr>
          <w:top w:val="none" w:sz="0" w:space="0" w:color="auto"/>
          <w:left w:val="none" w:sz="0" w:space="0" w:color="auto"/>
          <w:bottom w:val="none" w:sz="0" w:space="0" w:color="auto"/>
          <w:right w:val="none" w:sz="0" w:space="0" w:color="auto"/>
        </w:pBdr>
        <w:spacing w:line="560" w:lineRule="exact"/>
        <w:ind w:firstLine="640" w:firstLineChars="200"/>
        <w:jc w:val="both"/>
        <w:rPr>
          <w:rFonts w:ascii="方正仿宋_GBK" w:eastAsia="方正仿宋_GBK" w:cs="Arial" w:hint="eastAsia"/>
          <w:sz w:val="32"/>
          <w:szCs w:val="32"/>
        </w:rPr>
      </w:pPr>
      <w:r>
        <w:rPr>
          <w:rStyle w:val="125Char"/>
          <w:rFonts w:ascii="Times New Roman" w:eastAsia="方正仿宋_GBK" w:hAnsi="Times New Roman" w:hint="eastAsia"/>
          <w:bCs/>
          <w:sz w:val="32"/>
          <w:szCs w:val="32"/>
        </w:rPr>
        <w:t>★</w:t>
      </w:r>
      <w:r>
        <w:rPr>
          <w:rStyle w:val="33610Char"/>
          <w:rFonts w:ascii="Times New Roman" w:eastAsia="方正仿宋_GBK" w:hAnsi="Times New Roman"/>
          <w:bCs/>
          <w:sz w:val="32"/>
          <w:szCs w:val="32"/>
        </w:rPr>
        <w:t>交货地点：拉萨海关指定地点。</w:t>
      </w:r>
    </w:p>
    <w:p>
      <w:pPr>
        <w:rPr>
          <w:rFonts w:eastAsia="宋体"/>
          <w:color w:val="0000FF"/>
          <w:sz w:val="28"/>
          <w:szCs w:val="36"/>
          <w:highlight w:val="white"/>
          <w:lang w:val="en-US" w:eastAsia="zh-CN"/>
        </w:rPr>
      </w:pPr>
      <w:bookmarkEnd w:id="42"/>
    </w:p>
    <w:p>
      <w:pPr>
        <w:pStyle w:val="Heading1"/>
      </w:pPr>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bookmarkStart w:id="4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40"/>
        <w:gridCol w:w="937"/>
        <w:gridCol w:w="6911"/>
        <w:gridCol w:w="341"/>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340" w:type="dxa"/>
          </w:tcPr>
          <w:p>
            <w:r>
              <w:t>主客观项</w:t>
            </w:r>
          </w:p>
        </w:tc>
        <w:tc>
          <w:tcPr>
            <w:tcW w:w="937" w:type="dxa"/>
          </w:tcPr>
          <w:p>
            <w:r>
              <w:t>评审因素</w:t>
            </w:r>
          </w:p>
        </w:tc>
        <w:tc>
          <w:tcPr>
            <w:tcW w:w="6911" w:type="dxa"/>
          </w:tcPr>
          <w:p>
            <w:r>
              <w:t>评分标准说明</w:t>
            </w:r>
          </w:p>
        </w:tc>
        <w:tc>
          <w:tcPr>
            <w:tcW w:w="341" w:type="dxa"/>
          </w:tcPr>
          <w:p>
            <w:r>
              <w:t>分值范围</w:t>
            </w:r>
          </w:p>
        </w:tc>
      </w:tr>
      <w:tr>
        <w:tblPrEx>
          <w:tblW w:w="5000" w:type="pct"/>
          <w:jc w:val="left"/>
          <w:tblInd w:w="0" w:type="dxa"/>
          <w:tblCellMar>
            <w:top w:w="0" w:type="dxa"/>
            <w:left w:w="108" w:type="dxa"/>
            <w:bottom w:w="0" w:type="dxa"/>
            <w:right w:w="108" w:type="dxa"/>
          </w:tblCellMar>
        </w:tblPrEx>
        <w:trPr>
          <w:jc w:val="left"/>
        </w:trPr>
        <w:tc>
          <w:tcPr>
            <w:tcW w:w="340" w:type="dxa"/>
          </w:tcPr>
          <w:p>
            <w:r>
              <w:t>价格分</w:t>
            </w:r>
          </w:p>
        </w:tc>
        <w:tc>
          <w:tcPr>
            <w:tcW w:w="937" w:type="dxa"/>
            <w:tcBorders>
              <w:top w:val="single" w:sz="4" w:space="0" w:color="auto"/>
              <w:left w:val="single" w:sz="4" w:space="0" w:color="auto"/>
              <w:right w:val="single" w:sz="4" w:space="0" w:color="auto"/>
            </w:tcBorders>
          </w:tcPr>
          <w:p>
            <w:r>
              <w:t>价格评审</w:t>
            </w:r>
          </w:p>
        </w:tc>
        <w:tc>
          <w:tcPr>
            <w:tcW w:w="6911"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41"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340" w:type="dxa"/>
            <w:vMerge w:val="restart"/>
          </w:tcPr>
          <w:p>
            <w:r>
              <w:t>商务部分</w:t>
            </w:r>
          </w:p>
        </w:tc>
        <w:tc>
          <w:tcPr>
            <w:tcW w:w="937" w:type="dxa"/>
            <w:tcBorders>
              <w:top w:val="single" w:sz="4" w:space="0" w:color="auto"/>
              <w:left w:val="single" w:sz="4" w:space="0" w:color="auto"/>
              <w:right w:val="single" w:sz="4" w:space="0" w:color="auto"/>
            </w:tcBorders>
          </w:tcPr>
          <w:p>
            <w:r>
              <w:t>制造商综合实力</w:t>
            </w:r>
          </w:p>
        </w:tc>
        <w:tc>
          <w:tcPr>
            <w:tcW w:w="6911" w:type="dxa"/>
            <w:tcBorders>
              <w:top w:val="single" w:sz="4" w:space="0" w:color="auto"/>
              <w:left w:val="single" w:sz="4" w:space="0" w:color="auto"/>
              <w:right w:val="single" w:sz="4" w:space="0" w:color="auto"/>
            </w:tcBorders>
          </w:tcPr>
          <w:p>
            <w:r>
              <w:t>1.提供制造商的质量管理体系认证证书的得1分，否则得0分；  2.提供制造商的健康管理体系认证证书的得1分，否则得0分；  3.提供制造商的环境管理体系认证证书的得1分，否则得0分；</w:t>
            </w:r>
          </w:p>
        </w:tc>
        <w:tc>
          <w:tcPr>
            <w:tcW w:w="341" w:type="dxa"/>
          </w:tcPr>
          <w:p>
            <w:r>
              <w:t>区间打分(0-3)</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投标人业绩</w:t>
            </w:r>
          </w:p>
        </w:tc>
        <w:tc>
          <w:tcPr>
            <w:tcW w:w="6911" w:type="dxa"/>
            <w:tcBorders>
              <w:top w:val="single" w:sz="4" w:space="0" w:color="auto"/>
              <w:left w:val="single" w:sz="4" w:space="0" w:color="auto"/>
              <w:right w:val="single" w:sz="4" w:space="0" w:color="auto"/>
            </w:tcBorders>
          </w:tcPr>
          <w:p>
            <w:r>
              <w:t>投标人须提供与本项目同品牌同类型越野车的销售业绩 ，每提供一份有效合同得0.5分，最多得5分。  注1.上述销售业绩指与本项目投标货物同品牌同类型越野车的销售业绩。  注2.合同签订时间须为2021年9月1日起至本项目招标公告发布之日止。  注3.合同销售或服务方（乙方）必须为投标人自身，合同不得遮挡且销售业绩合同中必须至少包含合同双方印章、签字、品牌、型号、数量、签订时间等信息内容（以上内容缺少一项，案例不予承认）。  注4.提供销售业绩合同复印件须字迹清晰，辨识无误。  注5.合同买方（甲方）须为实际最终使用单位或个人，卖方（乙方）须为投标人，如买方为销售或经销类公司（平台），则该业绩不予认可。 不符合上述要求或未按要求提供有效证明文件的业绩在评审时将不予以承认。</w:t>
            </w:r>
          </w:p>
        </w:tc>
        <w:tc>
          <w:tcPr>
            <w:tcW w:w="341"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投标人为制造商</w:t>
            </w:r>
          </w:p>
        </w:tc>
        <w:tc>
          <w:tcPr>
            <w:tcW w:w="6911" w:type="dxa"/>
            <w:tcBorders>
              <w:top w:val="single" w:sz="4" w:space="0" w:color="auto"/>
              <w:left w:val="single" w:sz="4" w:space="0" w:color="auto"/>
              <w:right w:val="single" w:sz="4" w:space="0" w:color="auto"/>
            </w:tcBorders>
          </w:tcPr>
          <w:p>
            <w:r>
              <w:t>投标人为制造商的得1.5分，否则得0分。</w:t>
            </w:r>
          </w:p>
        </w:tc>
        <w:tc>
          <w:tcPr>
            <w:tcW w:w="341" w:type="dxa"/>
          </w:tcPr>
          <w:p>
            <w:r>
              <w:t>勾选打分(0;1.5)</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投标文件编制质量</w:t>
            </w:r>
          </w:p>
        </w:tc>
        <w:tc>
          <w:tcPr>
            <w:tcW w:w="6911" w:type="dxa"/>
            <w:tcBorders>
              <w:top w:val="single" w:sz="4" w:space="0" w:color="auto"/>
              <w:left w:val="single" w:sz="4" w:space="0" w:color="auto"/>
              <w:right w:val="single" w:sz="4" w:space="0" w:color="auto"/>
            </w:tcBorders>
          </w:tcPr>
          <w:p>
            <w:r>
              <w:t>投标文件内容详实、编排有序、结构合理、应答明确、对招标文件响应程度好的得2分；内容较完整、编写质量一般得1分；否则得0分。</w:t>
            </w:r>
          </w:p>
        </w:tc>
        <w:tc>
          <w:tcPr>
            <w:tcW w:w="341" w:type="dxa"/>
          </w:tcPr>
          <w:p>
            <w:r>
              <w:t>区间打分(0-2)</w:t>
            </w:r>
          </w:p>
        </w:tc>
      </w:tr>
      <w:tr>
        <w:tblPrEx>
          <w:tblW w:w="5000" w:type="pct"/>
          <w:jc w:val="left"/>
          <w:tblInd w:w="0" w:type="dxa"/>
          <w:tblCellMar>
            <w:top w:w="0" w:type="dxa"/>
            <w:left w:w="108" w:type="dxa"/>
            <w:bottom w:w="0" w:type="dxa"/>
            <w:right w:w="108" w:type="dxa"/>
          </w:tblCellMar>
        </w:tblPrEx>
        <w:trPr>
          <w:jc w:val="left"/>
        </w:trPr>
        <w:tc>
          <w:tcPr>
            <w:tcW w:w="340" w:type="dxa"/>
            <w:vMerge w:val="restart"/>
          </w:tcPr>
          <w:p>
            <w:r>
              <w:t>技术部分</w:t>
            </w:r>
          </w:p>
        </w:tc>
        <w:tc>
          <w:tcPr>
            <w:tcW w:w="937" w:type="dxa"/>
            <w:tcBorders>
              <w:top w:val="single" w:sz="4" w:space="0" w:color="auto"/>
              <w:left w:val="single" w:sz="4" w:space="0" w:color="auto"/>
              <w:right w:val="single" w:sz="4" w:space="0" w:color="auto"/>
            </w:tcBorders>
          </w:tcPr>
          <w:p>
            <w:r>
              <w:t>一般技术参数及配置响应情况</w:t>
            </w:r>
          </w:p>
        </w:tc>
        <w:tc>
          <w:tcPr>
            <w:tcW w:w="6911" w:type="dxa"/>
            <w:tcBorders>
              <w:top w:val="single" w:sz="4" w:space="0" w:color="auto"/>
              <w:left w:val="single" w:sz="4" w:space="0" w:color="auto"/>
              <w:right w:val="single" w:sz="4" w:space="0" w:color="auto"/>
            </w:tcBorders>
          </w:tcPr>
          <w:p>
            <w:r>
              <w:t>投标人的一般主要技术参数及配置响应完全满足招标文件技术要求，应答无负偏离的得20分，每有1项不满足的扣1分。 注：项目需求书中有明确要求的按要求提供证明材料，如未按要求提供证明材料，评审委员会将对其技术响应不予认可。</w:t>
            </w:r>
          </w:p>
        </w:tc>
        <w:tc>
          <w:tcPr>
            <w:tcW w:w="341" w:type="dxa"/>
          </w:tcPr>
          <w:p>
            <w:r>
              <w:t>区间打分(0-20)</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▲技术参数及配置响应情况</w:t>
            </w:r>
          </w:p>
        </w:tc>
        <w:tc>
          <w:tcPr>
            <w:tcW w:w="6911" w:type="dxa"/>
            <w:tcBorders>
              <w:top w:val="single" w:sz="4" w:space="0" w:color="auto"/>
              <w:left w:val="single" w:sz="4" w:space="0" w:color="auto"/>
              <w:right w:val="single" w:sz="4" w:space="0" w:color="auto"/>
            </w:tcBorders>
          </w:tcPr>
          <w:p>
            <w:r>
              <w:t>投标人的▲主要技术参数及配置响应完全满足招标文件技术要求，应答无负偏离的得12分，每有1项不满足的扣3分。 注：项目需求书中有明确要求的按要求提供证明材料，如未按要求提供证明材料，评审委员会将对其技术响应不予认可。</w:t>
            </w:r>
          </w:p>
        </w:tc>
        <w:tc>
          <w:tcPr>
            <w:tcW w:w="341" w:type="dxa"/>
          </w:tcPr>
          <w:p>
            <w:r>
              <w:t>区间打分(0-12)</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项目整体实施方案</w:t>
            </w:r>
          </w:p>
        </w:tc>
        <w:tc>
          <w:tcPr>
            <w:tcW w:w="6911" w:type="dxa"/>
            <w:tcBorders>
              <w:top w:val="single" w:sz="4" w:space="0" w:color="auto"/>
              <w:left w:val="single" w:sz="4" w:space="0" w:color="auto"/>
              <w:right w:val="single" w:sz="4" w:space="0" w:color="auto"/>
            </w:tcBorders>
          </w:tcPr>
          <w:p>
            <w:r>
              <w:t>根据项目实施方案内容的完整性及进度计划安排的合理性，考虑生产、验收、配送、交货等对业主的有利性以及保证项目顺利实施的其他因素等方面进行综合评审。 实施方案措施具体详细，完善，合理，思路清晰优于采购需求，得5分；  实施方案思路清晰，措施较详细，完善，合理，满足采购需求，得2分；  实施方案思路清晰，措施欠合理，基本满足采购需求，得1分；  未提供或完全不满足采购需求，得0分。</w:t>
            </w:r>
          </w:p>
        </w:tc>
        <w:tc>
          <w:tcPr>
            <w:tcW w:w="341"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340" w:type="dxa"/>
            <w:vMerge w:val="restart"/>
          </w:tcPr>
          <w:p>
            <w:r>
              <w:t>服务部分</w:t>
            </w:r>
          </w:p>
        </w:tc>
        <w:tc>
          <w:tcPr>
            <w:tcW w:w="937" w:type="dxa"/>
            <w:tcBorders>
              <w:top w:val="single" w:sz="4" w:space="0" w:color="auto"/>
              <w:left w:val="single" w:sz="4" w:space="0" w:color="auto"/>
              <w:right w:val="single" w:sz="4" w:space="0" w:color="auto"/>
            </w:tcBorders>
          </w:tcPr>
          <w:p>
            <w:r>
              <w:t>售后服务方案</w:t>
            </w:r>
          </w:p>
        </w:tc>
        <w:tc>
          <w:tcPr>
            <w:tcW w:w="6911" w:type="dxa"/>
            <w:tcBorders>
              <w:top w:val="single" w:sz="4" w:space="0" w:color="auto"/>
              <w:left w:val="single" w:sz="4" w:space="0" w:color="auto"/>
              <w:right w:val="single" w:sz="4" w:space="0" w:color="auto"/>
            </w:tcBorders>
          </w:tcPr>
          <w:p>
            <w:r>
              <w:t>服务方案体系完备、流程清晰、措施得力、标准合理的得5分；有方案，流程和措施等内容基本满足招标文件要求的得2分；有售后服务安排但有与招标文件要求存在很大差距的得1分；无方案的得0分。</w:t>
            </w:r>
          </w:p>
        </w:tc>
        <w:tc>
          <w:tcPr>
            <w:tcW w:w="341"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保养服务</w:t>
            </w:r>
          </w:p>
        </w:tc>
        <w:tc>
          <w:tcPr>
            <w:tcW w:w="6911" w:type="dxa"/>
            <w:tcBorders>
              <w:top w:val="single" w:sz="4" w:space="0" w:color="auto"/>
              <w:left w:val="single" w:sz="4" w:space="0" w:color="auto"/>
              <w:right w:val="single" w:sz="4" w:space="0" w:color="auto"/>
            </w:tcBorders>
          </w:tcPr>
          <w:p>
            <w:r>
              <w:t>除厂家正常保养政策以外，每免费多提供1次不低于首保服务要求的保养服务的加1分，最多加3分。</w:t>
            </w:r>
          </w:p>
        </w:tc>
        <w:tc>
          <w:tcPr>
            <w:tcW w:w="341" w:type="dxa"/>
          </w:tcPr>
          <w:p>
            <w:r>
              <w:t>区间打分(0-3)</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质保期和服务承诺</w:t>
            </w:r>
          </w:p>
        </w:tc>
        <w:tc>
          <w:tcPr>
            <w:tcW w:w="6911" w:type="dxa"/>
            <w:tcBorders>
              <w:top w:val="single" w:sz="4" w:space="0" w:color="auto"/>
              <w:left w:val="single" w:sz="4" w:space="0" w:color="auto"/>
              <w:right w:val="single" w:sz="4" w:space="0" w:color="auto"/>
            </w:tcBorders>
          </w:tcPr>
          <w:p>
            <w:r>
              <w:t>投标货物质保期和服务承诺，在满足招标文件要求的基础上，每增加1年或3万公里的质保期加1分，满分3分。</w:t>
            </w:r>
          </w:p>
        </w:tc>
        <w:tc>
          <w:tcPr>
            <w:tcW w:w="341" w:type="dxa"/>
          </w:tcPr>
          <w:p>
            <w:r>
              <w:t>区间打分(0-3)</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服务网点</w:t>
            </w:r>
          </w:p>
        </w:tc>
        <w:tc>
          <w:tcPr>
            <w:tcW w:w="6911" w:type="dxa"/>
            <w:tcBorders>
              <w:top w:val="single" w:sz="4" w:space="0" w:color="auto"/>
              <w:left w:val="single" w:sz="4" w:space="0" w:color="auto"/>
              <w:right w:val="single" w:sz="4" w:space="0" w:color="auto"/>
            </w:tcBorders>
          </w:tcPr>
          <w:p>
            <w:r>
              <w:t>中标车型在拉萨市、林芝市、山南市、日喀则市、阿里地区等5个地区有制造厂家授权的4S店级别一级维修网点。以上地区每有1个有效维修网点的得0.5分，每个网点须提供厂家授权证明、维保人员名单、联系电话等信息，满分2.5分。</w:t>
            </w:r>
          </w:p>
        </w:tc>
        <w:tc>
          <w:tcPr>
            <w:tcW w:w="341" w:type="dxa"/>
          </w:tcPr>
          <w:p>
            <w:r>
              <w:t>区间打分(0-2.5)</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应急和召回服务</w:t>
            </w:r>
          </w:p>
        </w:tc>
        <w:tc>
          <w:tcPr>
            <w:tcW w:w="6911" w:type="dxa"/>
            <w:tcBorders>
              <w:top w:val="single" w:sz="4" w:space="0" w:color="auto"/>
              <w:left w:val="single" w:sz="4" w:space="0" w:color="auto"/>
              <w:right w:val="single" w:sz="4" w:space="0" w:color="auto"/>
            </w:tcBorders>
          </w:tcPr>
          <w:p>
            <w:r>
              <w:t>应急服务和召回服务方案完全满足或优于招标文件要求，各项措施组织得力、可行性强的得3.5分；有方案，应急、召回等内容基本满足招标文件要求的得2分；有方案但内容与招标文件要求存在很大差距的得1分；无方案的得0分。</w:t>
            </w:r>
          </w:p>
        </w:tc>
        <w:tc>
          <w:tcPr>
            <w:tcW w:w="341" w:type="dxa"/>
          </w:tcPr>
          <w:p>
            <w:r>
              <w:t>区间打分(0-3.5)</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保外维修</w:t>
            </w:r>
          </w:p>
        </w:tc>
        <w:tc>
          <w:tcPr>
            <w:tcW w:w="6911" w:type="dxa"/>
            <w:tcBorders>
              <w:top w:val="single" w:sz="4" w:space="0" w:color="auto"/>
              <w:left w:val="single" w:sz="4" w:space="0" w:color="auto"/>
              <w:right w:val="single" w:sz="4" w:space="0" w:color="auto"/>
            </w:tcBorders>
          </w:tcPr>
          <w:p>
            <w:r>
              <w:t>提供质保期外产品主要零、部、配件及易损件、消耗品价格清单，配件齐全、价格合理得3.5分；配件不全，价格较合理的得2分；其余得1分；未提供得0分。</w:t>
            </w:r>
          </w:p>
        </w:tc>
        <w:tc>
          <w:tcPr>
            <w:tcW w:w="341" w:type="dxa"/>
          </w:tcPr>
          <w:p>
            <w:r>
              <w:t>区间打分(0-3.5)</w:t>
            </w:r>
          </w:p>
        </w:tc>
      </w:tr>
      <w:tr>
        <w:tblPrEx>
          <w:tblW w:w="5000" w:type="pct"/>
          <w:jc w:val="left"/>
          <w:tblInd w:w="0" w:type="dxa"/>
          <w:tblCellMar>
            <w:top w:w="0" w:type="dxa"/>
            <w:left w:w="108" w:type="dxa"/>
            <w:bottom w:w="0" w:type="dxa"/>
            <w:right w:w="108" w:type="dxa"/>
          </w:tblCellMar>
        </w:tblPrEx>
        <w:trPr>
          <w:jc w:val="left"/>
        </w:trPr>
        <w:tc>
          <w:tcPr>
            <w:tcW w:w="340" w:type="dxa"/>
            <w:vMerge/>
          </w:tcPr>
          <w:p/>
        </w:tc>
        <w:tc>
          <w:tcPr>
            <w:tcW w:w="937" w:type="dxa"/>
            <w:tcBorders>
              <w:top w:val="single" w:sz="4" w:space="0" w:color="auto"/>
              <w:left w:val="single" w:sz="4" w:space="0" w:color="auto"/>
              <w:right w:val="single" w:sz="4" w:space="0" w:color="auto"/>
            </w:tcBorders>
          </w:tcPr>
          <w:p>
            <w:r>
              <w:t>培训服务</w:t>
            </w:r>
          </w:p>
        </w:tc>
        <w:tc>
          <w:tcPr>
            <w:tcW w:w="6911" w:type="dxa"/>
            <w:tcBorders>
              <w:top w:val="single" w:sz="4" w:space="0" w:color="auto"/>
              <w:left w:val="single" w:sz="4" w:space="0" w:color="auto"/>
              <w:right w:val="single" w:sz="4" w:space="0" w:color="auto"/>
            </w:tcBorders>
          </w:tcPr>
          <w:p>
            <w:r>
              <w:t>投标人提供承诺函保证所提供的培训内容完全满足招标文件要求的得1分；承诺函内容不完全满足招标文件要求或者未提供培训承诺函的得0分。</w:t>
            </w:r>
          </w:p>
        </w:tc>
        <w:tc>
          <w:tcPr>
            <w:tcW w:w="341" w:type="dxa"/>
          </w:tcPr>
          <w:p>
            <w:r>
              <w:t>勾选打分(0;1)</w:t>
            </w:r>
          </w:p>
        </w:tc>
      </w:tr>
    </w:tbl>
    <w:p>
      <w:pPr>
        <w:pStyle w:val="49100"/>
        <w:rPr>
          <w:rFonts w:ascii="Times New Roman" w:eastAsia="宋体" w:hAnsi="Times New Roman"/>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 xml:space="preserve">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华文细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533018" cy="423863"/>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3863"/>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38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4">
    <w:abstractNumId w:val="20"/>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5">
    <w:abstractNumId w:val="19"/>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6">
    <w:abstractNumId w:val="14"/>
    <w:lvlOverride w:ilvl="0">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lvl w:ilvl="0">
        <w:start w:val="1"/>
        <w:numFmt w:val="decimal"/>
        <w:lvlText w:val="%1."/>
        <w:lvlJc w:val="left"/>
        <w:pPr>
          <w:tabs>
            <w:tab w:val="num" w:pos="1200"/>
          </w:tabs>
          <w:ind w:left="1200" w:hanging="360"/>
        </w:pPr>
      </w:lvl>
    </w:lvlOverride>
  </w:num>
  <w:num w:numId="8">
    <w:abstractNumId w:val="12"/>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9">
    <w:abstractNumId w:val="2"/>
  </w:num>
  <w:num w:numId="10">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6">
    <w:abstractNumId w:val="16"/>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1">
    <w:abstractNumId w:val="18"/>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22">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3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link w:val="index8Char"/>
    <w:pPr>
      <w:ind w:left="1400" w:leftChars="1400"/>
    </w:pPr>
    <w:rPr>
      <w:rFonts w:cs="Times New Roman"/>
      <w:lang w:bidi="ar-SA"/>
    </w:rPr>
  </w:style>
  <w:style w:type="character" w:customStyle="1" w:styleId="index8Char">
    <w:name w:val="index 8 Char"/>
    <w:basedOn w:val="DefaultParagraphFont"/>
    <w:link w:val="Index8"/>
    <w:rPr>
      <w:rFonts w:ascii="Times New Roman" w:eastAsia="宋体" w:hAnsi="Times New Roman" w:cs="Times New Roman"/>
      <w:kern w:val="2"/>
      <w:sz w:val="21"/>
      <w:szCs w:val="24"/>
      <w:lang w:val="en-US"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link w:val="33610Char"/>
    <w:pPr>
      <w:widowControl w:val="0"/>
      <w:jc w:val="both"/>
    </w:pPr>
    <w:rPr>
      <w:rFonts w:ascii="Calibri" w:eastAsia="宋体" w:hAnsi="Calibri" w:cs="Times New Roman"/>
      <w:kern w:val="2"/>
      <w:sz w:val="21"/>
      <w:szCs w:val="22"/>
      <w:lang w:val="en-US" w:bidi="ar-SA"/>
    </w:rPr>
  </w:style>
  <w:style w:type="character" w:customStyle="1" w:styleId="33610Char">
    <w:name w:val="样式 336 10 磅 Char"/>
    <w:basedOn w:val="DefaultParagraphFont"/>
    <w:link w:val="33610"/>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link w:val="543Char"/>
    <w:pPr>
      <w:widowControl w:val="0"/>
      <w:jc w:val="both"/>
    </w:pPr>
    <w:rPr>
      <w:rFonts w:ascii="Calibri" w:eastAsia="宋体" w:hAnsi="Calibri" w:cs="Times New Roman"/>
      <w:kern w:val="2"/>
      <w:sz w:val="21"/>
      <w:szCs w:val="24"/>
      <w:lang w:val="en-US" w:bidi="ar-SA"/>
    </w:rPr>
  </w:style>
  <w:style w:type="character" w:customStyle="1" w:styleId="543Char">
    <w:name w:val="正文543 Char"/>
    <w:basedOn w:val="DefaultParagraphFont"/>
    <w:link w:val="543"/>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link w:val="885Char"/>
    <w:pPr>
      <w:widowControl w:val="0"/>
      <w:jc w:val="both"/>
    </w:pPr>
    <w:rPr>
      <w:rFonts w:ascii="Calibri" w:eastAsia="宋体" w:hAnsi="Calibri" w:cs="Times New Roman"/>
      <w:kern w:val="2"/>
      <w:sz w:val="21"/>
      <w:szCs w:val="22"/>
      <w:lang w:val="en-US" w:bidi="ar-SA"/>
    </w:rPr>
  </w:style>
  <w:style w:type="character" w:customStyle="1" w:styleId="885Char">
    <w:name w:val="正文885 Char"/>
    <w:basedOn w:val="DefaultParagraphFont"/>
    <w:link w:val="885"/>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link w:val="125Char"/>
    <w:pPr>
      <w:widowControl w:val="0"/>
      <w:jc w:val="both"/>
    </w:pPr>
    <w:rPr>
      <w:rFonts w:ascii="宋体" w:eastAsia="宋体" w:hAnsi="Times New Roman" w:cs="Courier New"/>
      <w:kern w:val="2"/>
      <w:sz w:val="21"/>
      <w:szCs w:val="21"/>
      <w:lang w:val="en-US" w:bidi="ar-SA"/>
    </w:rPr>
  </w:style>
  <w:style w:type="character" w:customStyle="1" w:styleId="125Char">
    <w:name w:val="纯文本125 Char"/>
    <w:basedOn w:val="DefaultParagraphFont"/>
    <w:link w:val="125"/>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94A9BDF1-3872-4251-AEF3-70FD2B9EA6DA}">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14094907</TotalTime>
  <Pages>71</Pages>
  <Words>0</Words>
  <Characters>26269</Characters>
  <Application>Microsoft Office Word</Application>
  <DocSecurity>0</DocSecurity>
  <Lines>0</Lines>
  <Paragraphs>796</Paragraphs>
  <ScaleCrop>false</ScaleCrop>
  <Company>ms</Company>
  <LinksUpToDate>false</LinksUpToDate>
  <CharactersWithSpaces>35026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wu_xiaolu</cp:lastModifiedBy>
  <cp:revision>6</cp:revision>
  <cp:lastPrinted>2020-06-24T09:06:00Z</cp:lastPrinted>
  <dcterms:created xsi:type="dcterms:W3CDTF">2021-11-24T16:33:00Z</dcterms:created>
  <dcterms:modified xsi:type="dcterms:W3CDTF">2024-09-11T06:56:41Z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