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CG2024-WT-GK-FW-021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昆明海关2024年陆路边境口岸24小时智慧机检应用采购项目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2024年07月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7</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23</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45</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48</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60</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昆明海关2024年陆路边境口岸24小时智慧机检应用采购项目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CG2024-WT-GK-FW-021</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昆明海关2024年陆路边境口岸24小时智慧机检应用采购项目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本项目预算金额合计总金额人民币7,800,000.00元，其中包1人民币7,800,000.00元。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81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07"/>
        <w:gridCol w:w="734"/>
        <w:gridCol w:w="1529"/>
        <w:gridCol w:w="749"/>
        <w:gridCol w:w="1689"/>
        <w:gridCol w:w="1260"/>
        <w:gridCol w:w="1260"/>
      </w:tblGrid>
      <w:tr>
        <w:tblPrEx>
          <w:tblW w:w="81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08" w:type="dxa"/>
            <w:vAlign w:val="center"/>
          </w:tcPr>
          <w:p>
            <w:pPr>
              <w:pStyle w:val="107"/>
              <w:spacing w:after="120" w:line="240" w:lineRule="auto"/>
              <w:jc w:val="center"/>
              <w:rPr>
                <w:rFonts w:ascii="宋体"/>
                <w:b/>
                <w:color w:val="000000"/>
                <w:sz w:val="24"/>
                <w:highlight w:val="white"/>
              </w:rPr>
            </w:pPr>
            <w:r>
              <w:rPr>
                <w:rFonts w:ascii="宋体"/>
                <w:b/>
                <w:color w:val="000000"/>
                <w:sz w:val="24"/>
                <w:highlight w:val="white"/>
              </w:rPr>
              <w:t>包件号</w:t>
            </w:r>
          </w:p>
        </w:tc>
        <w:tc>
          <w:tcPr>
            <w:tcW w:w="734" w:type="dxa"/>
            <w:vAlign w:val="center"/>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1529" w:type="dxa"/>
            <w:vAlign w:val="center"/>
          </w:tcPr>
          <w:p>
            <w:pPr>
              <w:pStyle w:val="2100"/>
              <w:spacing w:after="120" w:line="240" w:lineRule="auto"/>
              <w:jc w:val="center"/>
              <w:rPr>
                <w:rFonts w:ascii="宋体"/>
                <w:b/>
                <w:color w:val="000000"/>
                <w:sz w:val="24"/>
                <w:highlight w:val="white"/>
              </w:rPr>
            </w:pPr>
            <w:r>
              <w:rPr>
                <w:rFonts w:ascii="宋体" w:hint="eastAsia"/>
                <w:b/>
                <w:color w:val="000000"/>
                <w:sz w:val="24"/>
                <w:szCs w:val="24"/>
                <w:highlight w:val="white"/>
                <w:lang w:val="en-US" w:eastAsia="zh-CN"/>
              </w:rPr>
              <w:t>服务内容</w:t>
            </w:r>
          </w:p>
        </w:tc>
        <w:tc>
          <w:tcPr>
            <w:tcW w:w="749" w:type="dxa"/>
            <w:vAlign w:val="center"/>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1689" w:type="dxa"/>
            <w:vAlign w:val="center"/>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1260" w:type="dxa"/>
            <w:vAlign w:val="center"/>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1260" w:type="dxa"/>
            <w:vAlign w:val="center"/>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128" w:type="dxa"/>
          <w:jc w:val="center"/>
          <w:tblLayout w:type="fixed"/>
          <w:tblCellMar>
            <w:top w:w="0" w:type="dxa"/>
            <w:left w:w="108" w:type="dxa"/>
            <w:bottom w:w="0" w:type="dxa"/>
            <w:right w:w="108" w:type="dxa"/>
          </w:tblCellMar>
        </w:tblPrEx>
        <w:trPr>
          <w:jc w:val="center"/>
        </w:trPr>
        <w:tc>
          <w:tcPr>
            <w:tcW w:w="908" w:type="dxa"/>
            <w:vAlign w:val="center"/>
          </w:tcPr>
          <w:p>
            <w:pPr>
              <w:spacing w:after="120" w:line="240" w:lineRule="auto"/>
              <w:jc w:val="center"/>
              <w:rPr>
                <w:rFonts w:ascii="宋体"/>
                <w:b/>
                <w:color w:val="0000FF"/>
                <w:sz w:val="24"/>
                <w:highlight w:val="white"/>
              </w:rPr>
            </w:pPr>
            <w:r>
              <w:t>包件1</w:t>
            </w:r>
          </w:p>
        </w:tc>
        <w:tc>
          <w:tcPr>
            <w:tcW w:w="734" w:type="dxa"/>
            <w:vAlign w:val="center"/>
          </w:tcPr>
          <w:p>
            <w:pPr>
              <w:spacing w:after="120" w:line="240" w:lineRule="auto"/>
              <w:jc w:val="center"/>
              <w:rPr>
                <w:rFonts w:ascii="宋体"/>
                <w:b/>
                <w:color w:val="0000FF"/>
                <w:sz w:val="24"/>
                <w:highlight w:val="white"/>
              </w:rPr>
            </w:pPr>
            <w:r>
              <w:t>1</w:t>
            </w:r>
          </w:p>
        </w:tc>
        <w:tc>
          <w:tcPr>
            <w:tcW w:w="1529" w:type="dxa"/>
            <w:vAlign w:val="center"/>
          </w:tcPr>
          <w:p>
            <w:pPr>
              <w:spacing w:after="120"/>
              <w:jc w:val="center"/>
              <w:rPr>
                <w:rFonts w:ascii="宋体"/>
                <w:b/>
                <w:color w:val="0000FF"/>
                <w:sz w:val="24"/>
                <w:highlight w:val="white"/>
              </w:rPr>
            </w:pPr>
            <w:r>
              <w:t>昆明海关陆路边境口岸24小时智慧机检应用</w:t>
            </w:r>
            <w:r>
              <w:rPr>
                <w:rFonts w:hint="eastAsia"/>
              </w:rPr>
              <w:t>技术支持服务</w:t>
            </w:r>
          </w:p>
        </w:tc>
        <w:tc>
          <w:tcPr>
            <w:tcW w:w="749" w:type="dxa"/>
            <w:vAlign w:val="center"/>
          </w:tcPr>
          <w:p>
            <w:pPr>
              <w:spacing w:after="120" w:line="240" w:lineRule="auto"/>
              <w:jc w:val="center"/>
              <w:rPr>
                <w:rFonts w:ascii="宋体"/>
                <w:b/>
                <w:color w:val="0000FF"/>
                <w:sz w:val="24"/>
                <w:highlight w:val="white"/>
              </w:rPr>
            </w:pPr>
            <w:r>
              <w:t>1</w:t>
            </w:r>
          </w:p>
        </w:tc>
        <w:tc>
          <w:tcPr>
            <w:tcW w:w="1689" w:type="dxa"/>
            <w:vAlign w:val="center"/>
          </w:tcPr>
          <w:p>
            <w:pPr>
              <w:spacing w:after="120" w:line="240" w:lineRule="auto"/>
              <w:jc w:val="center"/>
              <w:rPr>
                <w:rFonts w:ascii="宋体"/>
                <w:b/>
                <w:color w:val="0000FF"/>
                <w:sz w:val="24"/>
                <w:highlight w:val="white"/>
              </w:rPr>
            </w:pPr>
            <w:r>
              <w:t>项目建设工期为自合同签订起24个月。项目验收合格，提供3年</w:t>
            </w:r>
            <w:r>
              <w:t>免费售后服务。</w:t>
            </w:r>
          </w:p>
        </w:tc>
        <w:tc>
          <w:tcPr>
            <w:tcW w:w="1260" w:type="dxa"/>
            <w:vAlign w:val="center"/>
          </w:tcPr>
          <w:p>
            <w:pPr>
              <w:spacing w:after="120" w:line="240" w:lineRule="auto"/>
              <w:jc w:val="center"/>
              <w:rPr>
                <w:rFonts w:ascii="宋体"/>
                <w:b/>
                <w:color w:val="0000FF"/>
                <w:sz w:val="24"/>
                <w:highlight w:val="white"/>
              </w:rPr>
            </w:pPr>
            <w:r>
              <w:t>海关指定地点</w:t>
            </w:r>
          </w:p>
        </w:tc>
        <w:tc>
          <w:tcPr>
            <w:tcW w:w="1260" w:type="dxa"/>
            <w:vAlign w:val="center"/>
          </w:tcPr>
          <w:p>
            <w:pPr>
              <w:spacing w:after="120" w:line="240" w:lineRule="auto"/>
              <w:jc w:val="center"/>
              <w:rPr>
                <w:rFonts w:ascii="宋体" w:hint="eastAsia"/>
                <w:b/>
                <w:color w:val="0000FF"/>
                <w:sz w:val="24"/>
                <w:highlight w:val="white"/>
              </w:rPr>
            </w:pPr>
            <w:r>
              <w:t>详见项目需求书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9" w:name="公告_industryType"/>
      <w:r>
        <w:rPr>
          <w:rFonts w:ascii="宋体" w:hint="eastAsia"/>
          <w:b/>
          <w:bCs/>
          <w:color w:val="0000FF"/>
          <w:sz w:val="24"/>
          <w:highlight w:val="none"/>
        </w:rPr>
        <w:t>软件和信息技术服务业</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0"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0"/>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1"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1"/>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sz w:val="24"/>
        </w:rPr>
        <w:t>2024-08-07 00:00:00</w:t>
      </w:r>
      <w:bookmarkEnd w:id="12"/>
      <w:r>
        <w:rPr>
          <w:rFonts w:ascii="宋体" w:hint="eastAsia"/>
          <w:sz w:val="24"/>
        </w:rPr>
        <w:t>至</w:t>
      </w:r>
      <w:bookmarkStart w:id="13" w:name="公告_signUpLastTime"/>
      <w:r>
        <w:rPr>
          <w:rFonts w:ascii="宋体" w:hint="eastAsia"/>
          <w:sz w:val="24"/>
        </w:rPr>
        <w:t>2024-08-14 23:59:59</w:t>
      </w:r>
      <w:bookmarkEnd w:id="13"/>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4" w:name="项目公告_bidLastTime_1"/>
      <w:r>
        <w:rPr>
          <w:rFonts w:ascii="宋体" w:hint="eastAsia"/>
          <w:sz w:val="24"/>
        </w:rPr>
        <w:t>2024-08-28 08:30:00</w:t>
      </w:r>
      <w:bookmarkEnd w:id="14"/>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5" w:name="项目公告_openBidTime"/>
      <w:r>
        <w:rPr>
          <w:rFonts w:ascii="宋体" w:hint="eastAsia"/>
          <w:b/>
          <w:bCs/>
          <w:sz w:val="24"/>
        </w:rPr>
        <w:t>2024-08-28 08:30:00</w:t>
      </w:r>
      <w:bookmarkEnd w:id="15"/>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6"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6"/>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hAnsi="Wingdings 2"/>
          <w:b/>
          <w:color w:val="0000FF"/>
          <w:sz w:val="24"/>
          <w:highlight w:val="white"/>
        </w:rPr>
        <w:t>不适用</w:t>
      </w:r>
      <w:bookmarkEnd w:id="17"/>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18" w:name="任务单_publicDate"/>
      <w:r>
        <w:rPr>
          <w:rFonts w:ascii="宋体" w:hint="eastAsia"/>
          <w:b/>
          <w:sz w:val="24"/>
          <w:highlight w:val="white"/>
        </w:rPr>
        <w:t>于2024-05-14</w:t>
      </w:r>
      <w:bookmarkEnd w:id="18"/>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19" w:name="_Toc65406664"/>
      <w:r>
        <w:rPr>
          <w:rFonts w:hint="eastAsia"/>
          <w:highlight w:val="white"/>
        </w:rPr>
        <w:t>第二部分  投标人须知</w:t>
      </w:r>
      <w:bookmarkEnd w:id="19"/>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0" w:name="采购任务单_purchaserOrgName"/>
            <w:r>
              <w:rPr>
                <w:rFonts w:ascii="宋体" w:cs="微软雅黑" w:hint="eastAsia"/>
                <w:bCs/>
                <w:color w:val="0000FF"/>
                <w:sz w:val="24"/>
                <w:highlight w:val="white"/>
                <w:lang w:bidi="ar-SA"/>
              </w:rPr>
              <w:t>昆明海关</w:t>
            </w:r>
            <w:bookmarkEnd w:id="2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1" w:name="项目预算和包件预算"/>
            <w:r>
              <w:rPr>
                <w:rFonts w:ascii="宋体" w:cs="微软雅黑" w:hint="eastAsia"/>
                <w:bCs/>
                <w:color w:val="0000FF"/>
                <w:sz w:val="24"/>
                <w:lang w:bidi="ar-SA"/>
              </w:rPr>
              <w:t>本项目预算金额合计总金额人民币7,800,000.00元，其中包1人民币7,800,000.00元。</w:t>
            </w:r>
            <w:bookmarkEnd w:id="21"/>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2" w:name="项目公告_maxPrice"/>
            <w:r>
              <w:rPr>
                <w:rFonts w:ascii="宋体" w:cs="微软雅黑" w:hint="eastAsia"/>
                <w:color w:val="0000FF"/>
                <w:sz w:val="24"/>
                <w:highlight w:val="white"/>
                <w:lang w:bidi="ar-SA"/>
              </w:rPr>
              <w:t>7,800,000.00</w:t>
            </w:r>
            <w:bookmarkEnd w:id="22"/>
            <w:r>
              <w:rPr>
                <w:rFonts w:ascii="宋体" w:cs="微软雅黑" w:hint="eastAsia"/>
                <w:color w:val="auto"/>
                <w:sz w:val="24"/>
                <w:highlight w:val="white"/>
                <w:lang w:eastAsia="zh-CN" w:bidi="ar-SA"/>
              </w:rPr>
              <w:t>元</w:t>
            </w:r>
            <w:r>
              <w:rPr>
                <w:rFonts w:ascii="宋体" w:cs="微软雅黑" w:hint="eastAsia"/>
                <w:bCs/>
                <w:color w:val="0000FF"/>
                <w:sz w:val="24"/>
                <w:lang w:bidi="ar-SA"/>
              </w:rPr>
              <w:t>，其中包1</w:t>
            </w:r>
            <w:r>
              <w:rPr>
                <w:rFonts w:ascii="宋体" w:cs="微软雅黑"/>
                <w:bCs/>
                <w:color w:val="0000FF"/>
                <w:sz w:val="24"/>
                <w:lang w:bidi="ar-SA"/>
              </w:rPr>
              <w:t>最高限价</w:t>
            </w:r>
            <w:r>
              <w:rPr>
                <w:rFonts w:ascii="宋体" w:cs="微软雅黑" w:hint="eastAsia"/>
                <w:bCs/>
                <w:color w:val="0000FF"/>
                <w:sz w:val="24"/>
                <w:lang w:bidi="ar-SA"/>
              </w:rPr>
              <w:t>人民币7,800,000.00元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3" w:name="投标须知_agentBidding"/>
            <w:r>
              <w:rPr>
                <w:rFonts w:ascii="宋体" w:cs="微软雅黑" w:hint="eastAsia"/>
                <w:color w:val="0000FF"/>
                <w:sz w:val="24"/>
                <w:lang w:bidi="ar-SA"/>
              </w:rPr>
              <w:t>否</w:t>
            </w:r>
            <w:bookmarkEnd w:id="23"/>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4" w:name="投标人须知_canUnion"/>
            <w:r>
              <w:rPr>
                <w:rFonts w:ascii="宋体" w:cs="微软雅黑" w:hint="eastAsia"/>
                <w:bCs/>
                <w:color w:val="0000FF"/>
                <w:sz w:val="24"/>
                <w:lang w:bidi="ar-SA"/>
              </w:rPr>
              <w:t>否</w:t>
            </w:r>
            <w:bookmarkEnd w:id="24"/>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25" w:name="采购任务单_purchaserOrgName_1"/>
      <w:r>
        <w:rPr>
          <w:rFonts w:ascii="宋体" w:hint="eastAsia"/>
          <w:color w:val="0000FF"/>
          <w:sz w:val="24"/>
          <w:lang w:val="en-US" w:eastAsia="zh-CN"/>
        </w:rPr>
        <w:t>昆明海关</w:t>
      </w:r>
      <w:bookmarkEnd w:id="25"/>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6"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（3）投标人提供2021年9月1日起至本项目招标公告发布之日止（以合同签订日期为准），与本项目同类技术支持服务项目业绩相关材料，具体要求详见评分标准（加盖投标人电子签章）。</w:t>
      </w:r>
    </w:p>
    <w:p>
      <w:pPr>
        <w:tabs>
          <w:tab w:val="left" w:pos="0"/>
        </w:tabs>
        <w:autoSpaceDN w:val="0"/>
        <w:spacing w:line="360" w:lineRule="auto"/>
        <w:rPr>
          <w:rFonts w:ascii="Times New Roman" w:hAnsi="Times New Roman"/>
          <w:color w:val="0000FF"/>
          <w:kern w:val="0"/>
          <w:sz w:val="24"/>
          <w:szCs w:val="21"/>
          <w:highlight w:val="white"/>
        </w:rPr>
      </w:pPr>
      <w:r>
        <w:rPr>
          <w:rFonts w:ascii="Times New Roman" w:hAnsi="Times New Roman" w:hint="eastAsia"/>
          <w:color w:val="0000FF"/>
          <w:kern w:val="0"/>
          <w:sz w:val="24"/>
          <w:szCs w:val="21"/>
          <w:highlight w:val="white"/>
        </w:rPr>
        <w:t>（4）投标人满足投标人资格标准的其他必要资格证明文件（如有）（加盖投标人电子签章）。</w:t>
      </w:r>
      <w:bookmarkEnd w:id="26"/>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7"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提供项目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团队人员个人简历、相关领域职称或资质证书及相关领域工作经验情况，以及团队人员距开标之日前6个月内任意一个月的社保证明等材料，并承诺项目周期内实施人员的稳定性（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（3）投标人按要求进行需求分析，提供项目技术方案等，具体要求见第四部分评分标准（加盖投标人电子签章）。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7"/>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8" w:name="服务应答文件服务应答文件"/>
      <w:r>
        <w:rPr>
          <w:rFonts w:ascii="Times New Roman" w:hAnsi="Times New Roman" w:hint="eastAsia"/>
          <w:color w:val="0000FF"/>
          <w:kern w:val="0"/>
          <w:sz w:val="24"/>
          <w:szCs w:val="21"/>
          <w:highlight w:val="white"/>
        </w:rPr>
        <w:t>（1）投标人提供项目实施方案、售后服务方案等，具体要求见第四部分评分标准（加盖投标人电子签章）。</w:t>
      </w:r>
    </w:p>
    <w:p>
      <w:pPr>
        <w:tabs>
          <w:tab w:val="left" w:pos="0"/>
        </w:tabs>
        <w:autoSpaceDN w:val="0"/>
        <w:spacing w:line="360" w:lineRule="auto"/>
        <w:rPr>
          <w:rFonts w:ascii="Times New Roman" w:hAnsi="Times New Roman"/>
          <w:color w:val="0000FF"/>
          <w:kern w:val="0"/>
          <w:sz w:val="24"/>
          <w:szCs w:val="21"/>
          <w:highlight w:val="white"/>
        </w:rPr>
      </w:pPr>
      <w:r>
        <w:rPr>
          <w:rFonts w:ascii="Times New Roman" w:hAnsi="Times New Roman" w:hint="eastAsia"/>
          <w:color w:val="0000FF"/>
          <w:kern w:val="0"/>
          <w:sz w:val="24"/>
          <w:szCs w:val="21"/>
          <w:highlight w:val="white"/>
        </w:rPr>
        <w:t>（2）投标人认为应该提供的证明材料（如有）（加盖投标人电子签章）。</w:t>
      </w:r>
      <w:bookmarkEnd w:id="28"/>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29" w:name="_Toc65406665"/>
      <w:r>
        <w:rPr>
          <w:rFonts w:hint="eastAsia"/>
          <w:lang w:val="en-US" w:eastAsia="zh-CN"/>
        </w:rPr>
        <w:t>第三部分  项目需求书</w:t>
      </w:r>
      <w:bookmarkEnd w:id="29"/>
    </w:p>
    <w:p>
      <w:pPr>
        <w:rPr>
          <w:highlight w:val="white"/>
        </w:rPr>
      </w:pPr>
    </w:p>
    <w:p>
      <w:pPr>
        <w:rPr>
          <w:highlight w:val="white"/>
        </w:rPr>
      </w:pPr>
    </w:p>
    <w:p>
      <w:pPr>
        <w:pStyle w:val="BodyText3"/>
        <w:rPr>
          <w:rFonts w:ascii="宋体" w:eastAsia="宋体"/>
          <w:color w:val="auto"/>
          <w:sz w:val="21"/>
          <w:szCs w:val="21"/>
        </w:rPr>
      </w:pPr>
      <w:bookmarkStart w:id="30" w:name="插入_采购需求书"/>
    </w:p>
    <w:p>
      <w:pPr>
        <w:rPr>
          <w:rFonts w:ascii="宋体" w:eastAsia="宋体"/>
        </w:rPr>
      </w:pPr>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eastAsia="宋体" w:cs="Times New Roman"/>
          <w:b/>
          <w:bCs/>
        </w:rPr>
      </w:pPr>
      <w:r>
        <w:rPr>
          <w:rFonts w:ascii="宋体" w:eastAsia="宋体" w:cs="微软雅黑" w:hint="eastAsia"/>
          <w:b/>
          <w:bCs/>
        </w:rPr>
        <w:t>提交投标文件时，须注明需提供证明材料或承诺函等材料项所在位置（页码）。</w:t>
      </w:r>
    </w:p>
    <w:p>
      <w:pPr>
        <w:pStyle w:val="Heading2"/>
        <w:numPr>
          <w:ilvl w:val="0"/>
          <w:numId w:val="2"/>
        </w:numPr>
        <w:rPr>
          <w:rFonts w:ascii="宋体" w:eastAsia="宋体" w:hint="eastAsia"/>
        </w:rPr>
      </w:pPr>
      <w:bookmarkStart w:id="31" w:name="采购政策落实"/>
      <w:r>
        <w:rPr>
          <w:rFonts w:ascii="宋体" w:eastAsia="宋体"/>
        </w:rPr>
        <w:t>承诺项</w:t>
      </w:r>
    </w:p>
    <w:p>
      <w:pPr>
        <w:pStyle w:val="5912"/>
        <w:rPr>
          <w:rFonts w:ascii="宋体" w:eastAsia="宋体" w:cs="方正仿宋_GBK"/>
          <w:kern w:val="2"/>
        </w:rPr>
      </w:pPr>
      <w:r>
        <w:rPr>
          <w:rFonts w:ascii="宋体" w:eastAsia="宋体" w:cs="方正仿宋_GBK"/>
          <w:kern w:val="2"/>
        </w:rPr>
        <w:t>1.</w:t>
      </w:r>
      <w:r>
        <w:rPr>
          <w:rFonts w:ascii="宋体" w:eastAsia="宋体" w:cs="方正仿宋_GBK" w:hint="eastAsia"/>
          <w:kern w:val="2"/>
        </w:rPr>
        <w:t>行业类型（必填项）：软件和信息技术服务业</w:t>
      </w:r>
    </w:p>
    <w:p>
      <w:pPr>
        <w:pStyle w:val="5912"/>
        <w:rPr>
          <w:rFonts w:ascii="宋体" w:eastAsia="宋体" w:cs="方正仿宋_GBK"/>
          <w:kern w:val="2"/>
        </w:rPr>
      </w:pPr>
      <w:r>
        <w:rPr>
          <w:rFonts w:ascii="宋体" w:eastAsia="宋体" w:cs="方正仿宋_GBK"/>
          <w:kern w:val="2"/>
        </w:rPr>
        <w:t>2.</w:t>
      </w:r>
      <w:r>
        <w:rPr>
          <w:rFonts w:ascii="宋体" w:eastAsia="宋体" w:cs="方正仿宋_GBK" w:hint="eastAsia"/>
          <w:kern w:val="2"/>
        </w:rPr>
        <w:t>项目立项审核情况</w:t>
      </w:r>
    </w:p>
    <w:p>
      <w:pPr>
        <w:pStyle w:val="5912"/>
        <w:rPr>
          <w:rFonts w:ascii="宋体" w:eastAsia="宋体" w:cs="方正仿宋_GBK"/>
          <w:kern w:val="2"/>
        </w:rPr>
      </w:pPr>
      <w:r>
        <w:rPr>
          <w:rFonts w:ascii="宋体" w:eastAsia="宋体" w:cs="方正仿宋_GBK"/>
          <w:kern w:val="2"/>
        </w:rPr>
        <w:t>本项目属于新建、改建或者采用购买服务方式的政务应用程序项目</w:t>
      </w:r>
      <w:r>
        <w:rPr>
          <w:rFonts w:ascii="宋体" w:eastAsia="宋体" w:cs="方正仿宋_GBK" w:hint="eastAsia"/>
          <w:kern w:val="2"/>
        </w:rPr>
        <w:t>：</w:t>
      </w:r>
    </w:p>
    <w:p>
      <w:pPr>
        <w:pStyle w:val="5912"/>
        <w:rPr>
          <w:rFonts w:ascii="宋体" w:eastAsia="宋体" w:cs="方正仿宋_GBK"/>
          <w:kern w:val="2"/>
        </w:rPr>
      </w:pPr>
      <w:r>
        <w:rPr>
          <w:rFonts w:ascii="宋体" w:eastAsia="宋体" w:cs="方正仿宋_GBK" w:hint="eastAsia"/>
          <w:kern w:val="2"/>
        </w:rPr>
        <w:t>（</w:t>
      </w:r>
      <w:r>
        <w:rPr>
          <w:rFonts w:ascii="宋体" w:eastAsia="宋体" w:cs="方正仿宋_GBK"/>
          <w:kern w:val="2"/>
        </w:rPr>
        <w:t>1</w:t>
      </w:r>
      <w:r>
        <w:rPr>
          <w:rFonts w:ascii="宋体" w:eastAsia="宋体" w:cs="方正仿宋_GBK" w:hint="eastAsia"/>
          <w:kern w:val="2"/>
        </w:rPr>
        <w:t>）是否纳入信息化项目审批范围。</w:t>
      </w:r>
      <w:r>
        <w:rPr>
          <w:rFonts w:ascii="MS Mincho" w:eastAsia="MS Mincho" w:cs="MS Mincho" w:hint="eastAsia"/>
          <w:kern w:val="2"/>
        </w:rPr>
        <w:t>☑</w:t>
      </w:r>
      <w:r>
        <w:rPr>
          <w:rFonts w:ascii="宋体" w:eastAsia="宋体" w:cs="方正仿宋_GBK" w:hint="eastAsia"/>
          <w:kern w:val="2"/>
        </w:rPr>
        <w:t>是□否</w:t>
      </w:r>
    </w:p>
    <w:p>
      <w:pPr>
        <w:pStyle w:val="5912"/>
        <w:rPr>
          <w:rFonts w:ascii="宋体" w:eastAsia="宋体" w:cs="方正仿宋_GBK"/>
          <w:kern w:val="2"/>
        </w:rPr>
      </w:pPr>
      <w:r>
        <w:rPr>
          <w:rFonts w:ascii="宋体" w:eastAsia="宋体" w:cs="方正仿宋_GBK" w:hint="eastAsia"/>
          <w:kern w:val="2"/>
        </w:rPr>
        <w:t>（</w:t>
      </w:r>
      <w:r>
        <w:rPr>
          <w:rFonts w:ascii="宋体" w:eastAsia="宋体" w:cs="方正仿宋_GBK"/>
          <w:kern w:val="2"/>
        </w:rPr>
        <w:t>2</w:t>
      </w:r>
      <w:r>
        <w:rPr>
          <w:rFonts w:ascii="宋体" w:eastAsia="宋体" w:cs="方正仿宋_GBK" w:hint="eastAsia"/>
          <w:kern w:val="2"/>
        </w:rPr>
        <w:t>）是否符合信息化数字化规划。</w:t>
      </w:r>
      <w:r>
        <w:rPr>
          <w:rFonts w:ascii="MS Mincho" w:eastAsia="MS Mincho" w:cs="MS Mincho" w:hint="eastAsia"/>
          <w:kern w:val="2"/>
        </w:rPr>
        <w:t>☑</w:t>
      </w:r>
      <w:r>
        <w:rPr>
          <w:rFonts w:ascii="宋体" w:eastAsia="宋体" w:cs="方正仿宋_GBK" w:hint="eastAsia"/>
          <w:kern w:val="2"/>
        </w:rPr>
        <w:t>是□不涉及</w:t>
      </w:r>
    </w:p>
    <w:p>
      <w:pPr>
        <w:pStyle w:val="5912"/>
        <w:rPr>
          <w:rFonts w:ascii="宋体" w:eastAsia="宋体" w:cs="方正仿宋_GBK"/>
          <w:kern w:val="2"/>
        </w:rPr>
      </w:pPr>
      <w:r>
        <w:rPr>
          <w:rFonts w:ascii="宋体" w:eastAsia="宋体" w:cs="方正仿宋_GBK" w:hint="eastAsia"/>
          <w:kern w:val="2"/>
        </w:rPr>
        <w:t>（</w:t>
      </w:r>
      <w:r>
        <w:rPr>
          <w:rFonts w:ascii="宋体" w:eastAsia="宋体" w:cs="方正仿宋_GBK"/>
          <w:kern w:val="2"/>
        </w:rPr>
        <w:t>3</w:t>
      </w:r>
      <w:r>
        <w:rPr>
          <w:rFonts w:ascii="宋体" w:eastAsia="宋体" w:cs="方正仿宋_GBK" w:hint="eastAsia"/>
          <w:kern w:val="2"/>
        </w:rPr>
        <w:t>）是否与已有政务应用程序存在功能交叉重复。□是</w:t>
      </w:r>
      <w:r>
        <w:rPr>
          <w:rFonts w:ascii="MS Mincho" w:eastAsia="MS Mincho" w:cs="MS Mincho" w:hint="eastAsia"/>
          <w:kern w:val="2"/>
        </w:rPr>
        <w:t>☑</w:t>
      </w:r>
      <w:r>
        <w:rPr>
          <w:rFonts w:ascii="宋体" w:eastAsia="宋体" w:cs="方正仿宋_GBK" w:hint="eastAsia"/>
          <w:kern w:val="2"/>
        </w:rPr>
        <w:t>否</w:t>
      </w:r>
    </w:p>
    <w:p>
      <w:pPr>
        <w:pStyle w:val="5912"/>
        <w:rPr>
          <w:rFonts w:ascii="宋体" w:eastAsia="宋体" w:cs="方正仿宋_GBK"/>
          <w:kern w:val="2"/>
        </w:rPr>
      </w:pPr>
      <w:r>
        <w:rPr>
          <w:rFonts w:ascii="宋体" w:eastAsia="宋体" w:cs="方正仿宋_GBK" w:hint="eastAsia"/>
          <w:kern w:val="2"/>
        </w:rPr>
        <w:t>（</w:t>
      </w:r>
      <w:r>
        <w:rPr>
          <w:rFonts w:ascii="宋体" w:eastAsia="宋体" w:cs="方正仿宋_GBK"/>
          <w:kern w:val="2"/>
        </w:rPr>
        <w:t>4</w:t>
      </w:r>
      <w:r>
        <w:rPr>
          <w:rFonts w:ascii="宋体" w:eastAsia="宋体" w:cs="方正仿宋_GBK" w:hint="eastAsia"/>
          <w:kern w:val="2"/>
        </w:rPr>
        <w:t>）是否能作为功能模块嵌入到已有政务应用程序。□是</w:t>
      </w:r>
      <w:r>
        <w:rPr>
          <w:rFonts w:ascii="MS Mincho" w:eastAsia="MS Mincho" w:cs="MS Mincho" w:hint="eastAsia"/>
          <w:kern w:val="2"/>
        </w:rPr>
        <w:t>☑</w:t>
      </w:r>
      <w:r>
        <w:rPr>
          <w:rFonts w:ascii="宋体" w:eastAsia="宋体" w:cs="方正仿宋_GBK" w:hint="eastAsia"/>
          <w:kern w:val="2"/>
        </w:rPr>
        <w:t>不涉及</w:t>
      </w:r>
    </w:p>
    <w:p>
      <w:pPr>
        <w:pStyle w:val="5912"/>
        <w:rPr>
          <w:rFonts w:ascii="宋体" w:eastAsia="宋体" w:cs="方正仿宋_GBK"/>
          <w:kern w:val="2"/>
        </w:rPr>
      </w:pPr>
      <w:r>
        <w:rPr>
          <w:rFonts w:ascii="宋体" w:eastAsia="宋体" w:cs="方正仿宋_GBK" w:hint="eastAsia"/>
          <w:kern w:val="2"/>
        </w:rPr>
        <w:t>（</w:t>
      </w:r>
      <w:r>
        <w:rPr>
          <w:rFonts w:ascii="宋体" w:eastAsia="宋体" w:cs="方正仿宋_GBK"/>
          <w:kern w:val="2"/>
        </w:rPr>
        <w:t>5</w:t>
      </w:r>
      <w:r>
        <w:rPr>
          <w:rFonts w:ascii="宋体" w:eastAsia="宋体" w:cs="方正仿宋_GBK" w:hint="eastAsia"/>
          <w:kern w:val="2"/>
        </w:rPr>
        <w:t>）是否能与相关政务应用程序项目进行协同。</w:t>
      </w:r>
      <w:r>
        <w:rPr>
          <w:rFonts w:ascii="MS Mincho" w:eastAsia="MS Mincho" w:cs="MS Mincho" w:hint="eastAsia"/>
          <w:kern w:val="2"/>
        </w:rPr>
        <w:t>☑</w:t>
      </w:r>
      <w:r>
        <w:rPr>
          <w:rFonts w:ascii="宋体" w:eastAsia="宋体" w:cs="方正仿宋_GBK" w:hint="eastAsia"/>
          <w:kern w:val="2"/>
        </w:rPr>
        <w:t>是□否</w:t>
      </w:r>
    </w:p>
    <w:p>
      <w:pPr>
        <w:pStyle w:val="5912"/>
        <w:rPr>
          <w:rFonts w:ascii="宋体" w:eastAsia="宋体" w:cs="方正仿宋_GBK"/>
          <w:kern w:val="2"/>
        </w:rPr>
      </w:pPr>
      <w:r>
        <w:rPr>
          <w:rFonts w:ascii="宋体" w:eastAsia="宋体" w:cs="方正仿宋_GBK" w:hint="eastAsia"/>
          <w:kern w:val="2"/>
        </w:rPr>
        <w:t>（</w:t>
      </w:r>
      <w:r>
        <w:rPr>
          <w:rFonts w:ascii="宋体" w:eastAsia="宋体" w:cs="方正仿宋_GBK"/>
          <w:kern w:val="2"/>
        </w:rPr>
        <w:t>6</w:t>
      </w:r>
      <w:r>
        <w:rPr>
          <w:rFonts w:ascii="宋体" w:eastAsia="宋体" w:cs="方正仿宋_GBK" w:hint="eastAsia"/>
          <w:kern w:val="2"/>
        </w:rPr>
        <w:t>）是否满足数据管理和共享要求。</w:t>
      </w:r>
      <w:r>
        <w:rPr>
          <w:rFonts w:ascii="MS Mincho" w:eastAsia="MS Mincho" w:cs="MS Mincho" w:hint="eastAsia"/>
          <w:kern w:val="2"/>
        </w:rPr>
        <w:t>☑</w:t>
      </w:r>
      <w:r>
        <w:rPr>
          <w:rFonts w:ascii="宋体" w:eastAsia="宋体" w:cs="方正仿宋_GBK" w:hint="eastAsia"/>
          <w:kern w:val="2"/>
        </w:rPr>
        <w:t>是□否</w:t>
      </w:r>
    </w:p>
    <w:p>
      <w:pPr>
        <w:pStyle w:val="Heading2"/>
        <w:numPr>
          <w:ilvl w:val="0"/>
          <w:numId w:val="2"/>
        </w:numPr>
        <w:rPr>
          <w:rFonts w:ascii="宋体" w:eastAsia="宋体" w:hint="eastAsia"/>
        </w:rPr>
      </w:pPr>
      <w:r>
        <w:rPr>
          <w:rFonts w:ascii="宋体" w:eastAsia="宋体" w:hint="eastAsia"/>
        </w:rPr>
        <w:t>采购政策落实</w:t>
      </w:r>
      <w:bookmarkEnd w:id="31"/>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0"/>
              <w:jc w:val="center"/>
              <w:rPr>
                <w:rFonts w:ascii="宋体" w:cs="Calibri"/>
                <w:b/>
              </w:rPr>
            </w:pPr>
            <w:bookmarkStart w:id="32" w:name="采购政策落实_index"/>
            <w:bookmarkStart w:id="33" w:name="商务需求"/>
            <w:bookmarkEnd w:id="32"/>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b/>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0"/>
              <w:jc w:val="center"/>
              <w:rPr>
                <w:rFonts w:ascii="宋体" w:cs="Calibri"/>
                <w:b/>
              </w:rPr>
            </w:pPr>
            <w:r>
              <w:rPr>
                <w:rFonts w:ascii="宋体" w:cs="Calibri" w:hint="eastAsia"/>
                <w:b/>
                <w:sz w:val="24"/>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
              <w:jc w:val="center"/>
              <w:rPr>
                <w:rFonts w:ascii="宋体" w:cs="Calibri"/>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
              <w:rPr>
                <w:rFonts w:ascii="宋体"/>
                <w:szCs w:val="21"/>
              </w:rPr>
            </w:pPr>
            <w:r>
              <w:rPr>
                <w:rFonts w:ascii="宋体" w:hint="eastAsia"/>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
              <w:jc w:val="left"/>
              <w:rPr>
                <w:rFonts w:ascii="宋体"/>
                <w:szCs w:val="21"/>
              </w:rPr>
            </w:pPr>
            <w:r>
              <w:rPr>
                <w:rFonts w:ascii="宋体" w:hint="eastAsia"/>
                <w:szCs w:val="21"/>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0"/>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2"/>
              <w:rPr>
                <w:rFonts w:ascii="宋体" w:cs="Calibri"/>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0"/>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0"/>
              <w:rPr>
                <w:rFonts w:ascii="宋体" w:cs="Calibri"/>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4100"/>
              <w:rPr>
                <w:rFonts w:ascii="宋体" w:cs="Calibri"/>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0"/>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0"/>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i/>
                <w:iCs/>
                <w:szCs w:val="21"/>
              </w:rPr>
            </w:pPr>
            <w:r>
              <w:rPr>
                <w:rFonts w:ascii="宋体" w:hint="eastAsia"/>
                <w:szCs w:val="21"/>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7"/>
              <w:jc w:val="center"/>
              <w:rPr>
                <w:rFonts w:ascii="宋体" w:cs="Calibri"/>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szCs w:val="21"/>
              </w:rPr>
            </w:pPr>
            <w:r>
              <w:rPr>
                <w:rFonts w:asci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szCs w:val="21"/>
              </w:rPr>
            </w:pPr>
            <w:r>
              <w:rPr>
                <w:rFonts w:ascii="宋体" w:hint="eastAsia"/>
                <w:szCs w:val="21"/>
              </w:rPr>
              <w:t>是，提供《残疾人福利性单位声明函》并加盖单位公章</w:t>
            </w:r>
          </w:p>
        </w:tc>
      </w:tr>
    </w:tbl>
    <w:p/>
    <w:p>
      <w:pPr>
        <w:rPr>
          <w:rFonts w:ascii="宋体" w:eastAsia="宋体"/>
        </w:rPr>
      </w:pPr>
      <w:r>
        <w:rPr>
          <w:rFonts w:ascii="宋体" w:eastAsia="宋体" w:hint="eastAsia"/>
        </w:rPr>
        <w:t>注：</w:t>
      </w:r>
      <w:r>
        <w:rPr>
          <w:rFonts w:ascii="宋体" w:eastAsia="宋体"/>
        </w:rPr>
        <w:t>本项目不专门面向中小微企业、监狱企业、残疾人企业。</w:t>
      </w:r>
    </w:p>
    <w:p>
      <w:pPr>
        <w:pStyle w:val="Heading2"/>
        <w:numPr>
          <w:ilvl w:val="0"/>
          <w:numId w:val="2"/>
        </w:numPr>
        <w:jc w:val="both"/>
        <w:rPr>
          <w:rFonts w:ascii="宋体" w:eastAsia="宋体" w:hint="eastAsia"/>
        </w:rPr>
      </w:pPr>
      <w:r>
        <w:rPr>
          <w:rFonts w:ascii="宋体" w:eastAsia="宋体" w:hint="eastAsia"/>
        </w:rPr>
        <w:t>商务需求</w:t>
      </w:r>
      <w:bookmarkEnd w:id="33"/>
    </w:p>
    <w:tbl>
      <w:tblPr>
        <w:tblW w:w="910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4"/>
        <w:gridCol w:w="2524"/>
        <w:gridCol w:w="5879"/>
      </w:tblGrid>
      <w:tr>
        <w:tblPrEx>
          <w:tblW w:w="910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0"/>
          <w:jc w:val="left"/>
        </w:trPr>
        <w:tc>
          <w:tcPr>
            <w:tcW w:w="704" w:type="dxa"/>
            <w:shd w:val="clear" w:color="A6A6A6" w:fill="A6A6A6"/>
            <w:vAlign w:val="center"/>
          </w:tcPr>
          <w:p>
            <w:pPr>
              <w:ind w:firstLine="0"/>
              <w:jc w:val="center"/>
              <w:rPr>
                <w:rFonts w:ascii="Times New Roman" w:eastAsia="宋体" w:hAnsi="Times New Roman"/>
                <w:b/>
              </w:rPr>
            </w:pPr>
            <w:r>
              <w:rPr>
                <w:rFonts w:ascii="Times New Roman" w:eastAsia="宋体" w:hAnsi="Times New Roman" w:hint="eastAsia"/>
                <w:b/>
              </w:rPr>
              <w:t>序号</w:t>
            </w:r>
          </w:p>
        </w:tc>
        <w:tc>
          <w:tcPr>
            <w:tcW w:w="2524" w:type="dxa"/>
            <w:shd w:val="clear" w:color="A6A6A6" w:fill="A6A6A6"/>
            <w:vAlign w:val="center"/>
          </w:tcPr>
          <w:p>
            <w:pPr>
              <w:ind w:firstLine="0"/>
              <w:jc w:val="center"/>
              <w:rPr>
                <w:rFonts w:ascii="Times New Roman" w:eastAsia="宋体" w:hAnsi="Times New Roman"/>
                <w:b/>
              </w:rPr>
            </w:pPr>
            <w:r>
              <w:rPr>
                <w:rFonts w:ascii="Times New Roman" w:eastAsia="宋体" w:hAnsi="Times New Roman" w:hint="eastAsia"/>
                <w:b/>
              </w:rPr>
              <w:t>内容</w:t>
            </w:r>
          </w:p>
        </w:tc>
        <w:tc>
          <w:tcPr>
            <w:tcW w:w="5879" w:type="dxa"/>
            <w:shd w:val="clear" w:color="A6A6A6" w:fill="A6A6A6"/>
            <w:vAlign w:val="center"/>
          </w:tcPr>
          <w:p>
            <w:pPr>
              <w:ind w:firstLine="0"/>
              <w:jc w:val="center"/>
              <w:rPr>
                <w:rFonts w:ascii="Times New Roman" w:eastAsia="宋体" w:hAnsi="Times New Roman"/>
                <w:b/>
              </w:rPr>
            </w:pPr>
            <w:bookmarkStart w:id="34" w:name="商务需求_Title_说明_Required_Table"/>
            <w:r>
              <w:rPr>
                <w:rFonts w:ascii="Times New Roman" w:eastAsia="宋体" w:hAnsi="Times New Roman" w:hint="eastAsia"/>
                <w:b/>
              </w:rPr>
              <w:t>说明</w:t>
            </w:r>
            <w:bookmarkEnd w:id="34"/>
          </w:p>
        </w:tc>
      </w:tr>
      <w:tr>
        <w:tblPrEx>
          <w:tblW w:w="9107" w:type="dxa"/>
          <w:jc w:val="left"/>
          <w:tblInd w:w="0" w:type="dxa"/>
          <w:tblLayout w:type="fixed"/>
          <w:tblCellMar>
            <w:top w:w="0" w:type="dxa"/>
            <w:left w:w="108" w:type="dxa"/>
            <w:bottom w:w="0" w:type="dxa"/>
            <w:right w:w="108" w:type="dxa"/>
          </w:tblCellMar>
        </w:tblPrEx>
        <w:trPr>
          <w:trHeight w:val="20"/>
          <w:jc w:val="left"/>
        </w:trPr>
        <w:tc>
          <w:tcPr>
            <w:tcW w:w="704" w:type="dxa"/>
            <w:vAlign w:val="center"/>
          </w:tcPr>
          <w:p>
            <w:pPr>
              <w:ind w:firstLine="0"/>
              <w:jc w:val="center"/>
              <w:rPr>
                <w:rFonts w:ascii="Times New Roman" w:eastAsia="宋体" w:hAnsi="Times New Roman"/>
              </w:rPr>
            </w:pPr>
            <w:r>
              <w:rPr>
                <w:rFonts w:ascii="Times New Roman" w:eastAsia="宋体" w:hAnsi="Times New Roman" w:hint="eastAsia"/>
                <w:b/>
              </w:rPr>
              <w:t>1</w:t>
            </w:r>
          </w:p>
        </w:tc>
        <w:tc>
          <w:tcPr>
            <w:tcW w:w="2524" w:type="dxa"/>
            <w:vAlign w:val="center"/>
          </w:tcPr>
          <w:p>
            <w:pPr>
              <w:ind w:firstLine="0"/>
              <w:rPr>
                <w:rFonts w:ascii="Times New Roman" w:eastAsia="宋体" w:hAnsi="Times New Roman"/>
                <w:b/>
              </w:rPr>
            </w:pPr>
            <w:r>
              <w:rPr>
                <w:rFonts w:ascii="Times New Roman" w:eastAsia="宋体" w:hAnsi="Times New Roman" w:hint="eastAsia"/>
                <w:b/>
              </w:rPr>
              <w:t>投标人资质</w:t>
            </w:r>
          </w:p>
        </w:tc>
        <w:tc>
          <w:tcPr>
            <w:tcW w:w="5879" w:type="dxa"/>
            <w:vAlign w:val="center"/>
          </w:tcPr>
          <w:p>
            <w:pPr>
              <w:ind w:firstLine="0"/>
              <w:rPr>
                <w:rFonts w:ascii="Times New Roman" w:eastAsia="宋体" w:hAnsi="Times New Roman"/>
                <w:lang w:bidi="en-US"/>
              </w:rPr>
            </w:pPr>
            <w:r>
              <w:rPr>
                <w:rFonts w:ascii="Times New Roman" w:eastAsia="宋体" w:hAnsi="Times New Roman"/>
                <w:lang w:bidi="en-US"/>
              </w:rPr>
              <w:t>投标人资格条件见招标公告。</w:t>
            </w:r>
          </w:p>
        </w:tc>
      </w:tr>
      <w:tr>
        <w:tblPrEx>
          <w:tblW w:w="9107" w:type="dxa"/>
          <w:jc w:val="left"/>
          <w:tblInd w:w="0" w:type="dxa"/>
          <w:tblLayout w:type="fixed"/>
          <w:tblCellMar>
            <w:top w:w="0" w:type="dxa"/>
            <w:left w:w="108" w:type="dxa"/>
            <w:bottom w:w="0" w:type="dxa"/>
            <w:right w:w="108" w:type="dxa"/>
          </w:tblCellMar>
        </w:tblPrEx>
        <w:trPr>
          <w:trHeight w:val="20"/>
          <w:jc w:val="left"/>
        </w:trPr>
        <w:tc>
          <w:tcPr>
            <w:tcW w:w="704" w:type="dxa"/>
            <w:vAlign w:val="center"/>
          </w:tcPr>
          <w:p>
            <w:pPr>
              <w:ind w:firstLine="0"/>
              <w:jc w:val="center"/>
              <w:rPr>
                <w:rFonts w:ascii="Times New Roman" w:eastAsia="宋体" w:hAnsi="Times New Roman"/>
              </w:rPr>
            </w:pPr>
            <w:r>
              <w:rPr>
                <w:rFonts w:ascii="Times New Roman" w:eastAsia="宋体" w:hAnsi="Times New Roman" w:hint="eastAsia"/>
                <w:b/>
              </w:rPr>
              <w:t>2</w:t>
            </w:r>
          </w:p>
        </w:tc>
        <w:tc>
          <w:tcPr>
            <w:tcW w:w="2524" w:type="dxa"/>
            <w:vAlign w:val="center"/>
          </w:tcPr>
          <w:p>
            <w:pPr>
              <w:ind w:firstLine="0"/>
              <w:rPr>
                <w:rFonts w:ascii="Times New Roman" w:eastAsia="宋体" w:hAnsi="Times New Roman"/>
                <w:b/>
              </w:rPr>
            </w:pPr>
            <w:r>
              <w:rPr>
                <w:rFonts w:ascii="Times New Roman" w:eastAsia="宋体" w:hAnsi="Times New Roman" w:hint="eastAsia"/>
                <w:b/>
              </w:rPr>
              <w:t>投标产品资质</w:t>
            </w:r>
          </w:p>
        </w:tc>
        <w:tc>
          <w:tcPr>
            <w:tcW w:w="5879" w:type="dxa"/>
            <w:vAlign w:val="center"/>
          </w:tcPr>
          <w:p>
            <w:pPr>
              <w:ind w:firstLine="0"/>
              <w:rPr>
                <w:rFonts w:ascii="Times New Roman" w:eastAsia="宋体" w:hAnsi="Times New Roman"/>
                <w:lang w:bidi="en-US"/>
              </w:rPr>
            </w:pPr>
            <w:r>
              <w:rPr>
                <w:rFonts w:ascii="Times New Roman" w:eastAsia="宋体" w:hAnsi="Times New Roman" w:hint="eastAsia"/>
                <w:lang w:bidi="en-US"/>
              </w:rPr>
              <w:t>无</w:t>
            </w:r>
          </w:p>
        </w:tc>
      </w:tr>
      <w:tr>
        <w:tblPrEx>
          <w:tblW w:w="9107" w:type="dxa"/>
          <w:jc w:val="left"/>
          <w:tblInd w:w="0" w:type="dxa"/>
          <w:tblLayout w:type="fixed"/>
          <w:tblCellMar>
            <w:top w:w="0" w:type="dxa"/>
            <w:left w:w="108" w:type="dxa"/>
            <w:bottom w:w="0" w:type="dxa"/>
            <w:right w:w="108" w:type="dxa"/>
          </w:tblCellMar>
        </w:tblPrEx>
        <w:trPr>
          <w:trHeight w:val="20"/>
          <w:jc w:val="left"/>
        </w:trPr>
        <w:tc>
          <w:tcPr>
            <w:tcW w:w="704" w:type="dxa"/>
            <w:vAlign w:val="center"/>
          </w:tcPr>
          <w:p>
            <w:pPr>
              <w:ind w:firstLine="0"/>
              <w:jc w:val="center"/>
              <w:rPr>
                <w:rFonts w:ascii="Times New Roman" w:eastAsia="宋体" w:hAnsi="Times New Roman"/>
                <w:b/>
              </w:rPr>
            </w:pPr>
            <w:r>
              <w:rPr>
                <w:rFonts w:ascii="Times New Roman" w:eastAsia="宋体" w:hAnsi="Times New Roman" w:hint="eastAsia"/>
                <w:b/>
              </w:rPr>
              <w:t>3</w:t>
            </w:r>
          </w:p>
        </w:tc>
        <w:tc>
          <w:tcPr>
            <w:tcW w:w="2524" w:type="dxa"/>
            <w:vAlign w:val="center"/>
          </w:tcPr>
          <w:p>
            <w:pPr>
              <w:ind w:firstLine="0"/>
              <w:rPr>
                <w:rFonts w:ascii="Times New Roman" w:eastAsia="宋体" w:hAnsi="Times New Roman"/>
                <w:b/>
              </w:rPr>
            </w:pPr>
            <w:r>
              <w:rPr>
                <w:rFonts w:ascii="Times New Roman" w:eastAsia="宋体" w:hAnsi="Times New Roman" w:hint="eastAsia"/>
                <w:b/>
              </w:rPr>
              <w:t>核心产品</w:t>
            </w:r>
          </w:p>
        </w:tc>
        <w:tc>
          <w:tcPr>
            <w:tcW w:w="5879" w:type="dxa"/>
            <w:vAlign w:val="center"/>
          </w:tcPr>
          <w:p>
            <w:pPr>
              <w:ind w:firstLine="0"/>
              <w:rPr>
                <w:rFonts w:ascii="Times New Roman" w:eastAsia="宋体" w:hAnsi="Times New Roman"/>
                <w:lang w:bidi="en-US"/>
              </w:rPr>
            </w:pPr>
            <w:r>
              <w:rPr>
                <w:rFonts w:ascii="Times New Roman" w:eastAsia="宋体" w:hAnsi="Times New Roman" w:hint="eastAsia"/>
                <w:lang w:bidi="en-US"/>
              </w:rPr>
              <w:t>无</w:t>
            </w:r>
          </w:p>
        </w:tc>
      </w:tr>
      <w:tr>
        <w:tblPrEx>
          <w:tblW w:w="9107" w:type="dxa"/>
          <w:jc w:val="left"/>
          <w:tblInd w:w="0" w:type="dxa"/>
          <w:tblLayout w:type="fixed"/>
          <w:tblCellMar>
            <w:top w:w="0" w:type="dxa"/>
            <w:left w:w="108" w:type="dxa"/>
            <w:bottom w:w="0" w:type="dxa"/>
            <w:right w:w="108" w:type="dxa"/>
          </w:tblCellMar>
        </w:tblPrEx>
        <w:trPr>
          <w:trHeight w:val="20"/>
          <w:jc w:val="left"/>
        </w:trPr>
        <w:tc>
          <w:tcPr>
            <w:tcW w:w="704" w:type="dxa"/>
            <w:vAlign w:val="center"/>
          </w:tcPr>
          <w:p>
            <w:pPr>
              <w:ind w:firstLine="0"/>
              <w:jc w:val="center"/>
              <w:rPr>
                <w:rFonts w:ascii="Times New Roman" w:eastAsia="宋体" w:hAnsi="Times New Roman"/>
              </w:rPr>
            </w:pPr>
            <w:r>
              <w:rPr>
                <w:rFonts w:ascii="Times New Roman" w:eastAsia="宋体" w:hAnsi="Times New Roman"/>
                <w:b/>
              </w:rPr>
              <w:t>4</w:t>
            </w:r>
          </w:p>
        </w:tc>
        <w:tc>
          <w:tcPr>
            <w:tcW w:w="2524" w:type="dxa"/>
            <w:vAlign w:val="center"/>
          </w:tcPr>
          <w:p>
            <w:pPr>
              <w:ind w:firstLine="0"/>
              <w:rPr>
                <w:rFonts w:ascii="Times New Roman" w:eastAsia="宋体" w:hAnsi="Times New Roman"/>
                <w:b/>
              </w:rPr>
            </w:pPr>
            <w:r>
              <w:rPr>
                <w:rFonts w:ascii="Times New Roman" w:eastAsia="宋体" w:hAnsi="Times New Roman" w:hint="eastAsia"/>
                <w:b/>
              </w:rPr>
              <w:t>信息安全要求</w:t>
            </w:r>
          </w:p>
        </w:tc>
        <w:tc>
          <w:tcPr>
            <w:tcW w:w="5879" w:type="dxa"/>
            <w:vAlign w:val="center"/>
          </w:tcPr>
          <w:p>
            <w:pPr>
              <w:ind w:firstLine="0"/>
              <w:rPr>
                <w:rFonts w:ascii="Times New Roman" w:eastAsia="宋体" w:hAnsi="Times New Roman"/>
                <w:lang w:bidi="en-US"/>
              </w:rPr>
            </w:pPr>
            <w:r>
              <w:rPr>
                <w:rFonts w:ascii="Times New Roman" w:eastAsia="宋体" w:hAnsi="Times New Roman" w:hint="eastAsia"/>
                <w:lang w:bidi="en-US"/>
              </w:rPr>
              <w:t>无</w:t>
            </w:r>
          </w:p>
        </w:tc>
      </w:tr>
      <w:tr>
        <w:tblPrEx>
          <w:tblW w:w="9107" w:type="dxa"/>
          <w:jc w:val="left"/>
          <w:tblInd w:w="0" w:type="dxa"/>
          <w:tblLayout w:type="fixed"/>
          <w:tblCellMar>
            <w:top w:w="0" w:type="dxa"/>
            <w:left w:w="108" w:type="dxa"/>
            <w:bottom w:w="0" w:type="dxa"/>
            <w:right w:w="108" w:type="dxa"/>
          </w:tblCellMar>
        </w:tblPrEx>
        <w:trPr>
          <w:trHeight w:val="20"/>
          <w:jc w:val="left"/>
        </w:trPr>
        <w:tc>
          <w:tcPr>
            <w:tcW w:w="704" w:type="dxa"/>
            <w:vAlign w:val="center"/>
          </w:tcPr>
          <w:p>
            <w:pPr>
              <w:ind w:firstLine="0"/>
              <w:jc w:val="center"/>
              <w:rPr>
                <w:rFonts w:ascii="Times New Roman" w:eastAsia="宋体" w:hAnsi="Times New Roman"/>
              </w:rPr>
            </w:pPr>
            <w:r>
              <w:rPr>
                <w:rFonts w:ascii="Times New Roman" w:eastAsia="宋体" w:hAnsi="Times New Roman"/>
              </w:rPr>
              <w:t>5</w:t>
            </w:r>
          </w:p>
        </w:tc>
        <w:tc>
          <w:tcPr>
            <w:tcW w:w="2524" w:type="dxa"/>
            <w:vAlign w:val="center"/>
          </w:tcPr>
          <w:p>
            <w:pPr>
              <w:ind w:firstLine="0"/>
              <w:rPr>
                <w:rFonts w:ascii="Times New Roman" w:eastAsia="宋体" w:hAnsi="Times New Roman"/>
                <w:b/>
              </w:rPr>
            </w:pPr>
            <w:r>
              <w:rPr>
                <w:rFonts w:ascii="Times New Roman" w:eastAsia="宋体" w:hAnsi="Times New Roman" w:hint="eastAsia"/>
                <w:b/>
              </w:rPr>
              <w:t>是否需要现场考察</w:t>
            </w:r>
          </w:p>
        </w:tc>
        <w:tc>
          <w:tcPr>
            <w:tcW w:w="5879" w:type="dxa"/>
            <w:vAlign w:val="center"/>
          </w:tcPr>
          <w:p>
            <w:pPr>
              <w:ind w:firstLine="0"/>
              <w:rPr>
                <w:rFonts w:ascii="Times New Roman" w:eastAsia="宋体" w:hAnsi="Times New Roman"/>
                <w:lang w:bidi="en-US"/>
              </w:rPr>
            </w:pPr>
            <w:r>
              <w:rPr>
                <w:rFonts w:ascii="Times New Roman" w:eastAsia="宋体" w:hAnsi="Times New Roman" w:hint="eastAsia"/>
                <w:lang w:bidi="en-US"/>
              </w:rPr>
              <w:t>无</w:t>
            </w:r>
          </w:p>
        </w:tc>
      </w:tr>
      <w:tr>
        <w:tblPrEx>
          <w:tblW w:w="9107" w:type="dxa"/>
          <w:jc w:val="left"/>
          <w:tblInd w:w="0" w:type="dxa"/>
          <w:tblLayout w:type="fixed"/>
          <w:tblCellMar>
            <w:top w:w="0" w:type="dxa"/>
            <w:left w:w="108" w:type="dxa"/>
            <w:bottom w:w="0" w:type="dxa"/>
            <w:right w:w="108" w:type="dxa"/>
          </w:tblCellMar>
        </w:tblPrEx>
        <w:trPr>
          <w:trHeight w:val="20"/>
          <w:jc w:val="left"/>
        </w:trPr>
        <w:tc>
          <w:tcPr>
            <w:tcW w:w="704" w:type="dxa"/>
            <w:vAlign w:val="center"/>
          </w:tcPr>
          <w:p>
            <w:pPr>
              <w:ind w:firstLine="0"/>
              <w:jc w:val="center"/>
              <w:rPr>
                <w:rFonts w:ascii="Times New Roman" w:eastAsia="宋体" w:hAnsi="Times New Roman"/>
              </w:rPr>
            </w:pPr>
            <w:r>
              <w:rPr>
                <w:rFonts w:ascii="Times New Roman" w:eastAsia="宋体" w:hAnsi="Times New Roman"/>
              </w:rPr>
              <w:t>6</w:t>
            </w:r>
          </w:p>
        </w:tc>
        <w:tc>
          <w:tcPr>
            <w:tcW w:w="2524" w:type="dxa"/>
            <w:vAlign w:val="center"/>
          </w:tcPr>
          <w:p>
            <w:pPr>
              <w:ind w:firstLine="0"/>
              <w:rPr>
                <w:rFonts w:ascii="Times New Roman" w:eastAsia="宋体" w:hAnsi="Times New Roman"/>
                <w:b/>
              </w:rPr>
            </w:pPr>
            <w:r>
              <w:rPr>
                <w:rFonts w:ascii="Times New Roman" w:eastAsia="宋体" w:hAnsi="Times New Roman" w:hint="eastAsia"/>
                <w:b/>
              </w:rPr>
              <w:t>是否收取履约保证金</w:t>
            </w:r>
          </w:p>
        </w:tc>
        <w:tc>
          <w:tcPr>
            <w:tcW w:w="5879" w:type="dxa"/>
            <w:shd w:val="clear" w:color="auto" w:fill="auto"/>
            <w:vAlign w:val="center"/>
          </w:tcPr>
          <w:p>
            <w:pPr>
              <w:ind w:firstLine="0"/>
              <w:rPr>
                <w:rFonts w:ascii="Times New Roman" w:eastAsia="宋体" w:hAnsi="Times New Roman"/>
                <w:lang w:bidi="en-US"/>
              </w:rPr>
            </w:pPr>
            <w:r>
              <w:rPr>
                <w:rFonts w:ascii="Times New Roman" w:eastAsia="宋体" w:hAnsi="Times New Roman"/>
                <w:lang w:bidi="en-US"/>
              </w:rPr>
              <w:t>以非现金形式提交合同金额的5%的履约保函。</w:t>
            </w:r>
          </w:p>
        </w:tc>
      </w:tr>
      <w:tr>
        <w:tblPrEx>
          <w:tblW w:w="9107" w:type="dxa"/>
          <w:jc w:val="left"/>
          <w:tblInd w:w="0" w:type="dxa"/>
          <w:tblLayout w:type="fixed"/>
          <w:tblCellMar>
            <w:top w:w="0" w:type="dxa"/>
            <w:left w:w="108" w:type="dxa"/>
            <w:bottom w:w="0" w:type="dxa"/>
            <w:right w:w="108" w:type="dxa"/>
          </w:tblCellMar>
        </w:tblPrEx>
        <w:trPr>
          <w:trHeight w:val="20"/>
          <w:jc w:val="left"/>
        </w:trPr>
        <w:tc>
          <w:tcPr>
            <w:tcW w:w="704" w:type="dxa"/>
            <w:vAlign w:val="center"/>
          </w:tcPr>
          <w:p>
            <w:pPr>
              <w:ind w:firstLine="0"/>
              <w:jc w:val="center"/>
              <w:rPr>
                <w:rFonts w:ascii="Times New Roman" w:eastAsia="宋体" w:hAnsi="Times New Roman"/>
              </w:rPr>
            </w:pPr>
            <w:r>
              <w:rPr>
                <w:rFonts w:ascii="Times New Roman" w:eastAsia="宋体" w:hAnsi="Times New Roman"/>
              </w:rPr>
              <w:t>7</w:t>
            </w:r>
          </w:p>
        </w:tc>
        <w:tc>
          <w:tcPr>
            <w:tcW w:w="2524" w:type="dxa"/>
            <w:vAlign w:val="center"/>
          </w:tcPr>
          <w:p>
            <w:pPr>
              <w:ind w:firstLine="0"/>
              <w:rPr>
                <w:rFonts w:ascii="Times New Roman" w:eastAsia="宋体" w:hAnsi="Times New Roman"/>
                <w:b/>
              </w:rPr>
            </w:pPr>
            <w:r>
              <w:rPr>
                <w:rFonts w:ascii="Times New Roman" w:eastAsia="宋体" w:hAnsi="Times New Roman"/>
                <w:b/>
              </w:rPr>
              <w:t>支付方式</w:t>
            </w:r>
          </w:p>
        </w:tc>
        <w:tc>
          <w:tcPr>
            <w:tcW w:w="5879" w:type="dxa"/>
            <w:shd w:val="clear" w:color="auto" w:fill="auto"/>
            <w:vAlign w:val="center"/>
          </w:tcPr>
          <w:p>
            <w:pPr>
              <w:ind w:firstLine="0"/>
              <w:jc w:val="left"/>
              <w:rPr>
                <w:rFonts w:ascii="Times New Roman" w:hAnsi="Times New Roman" w:cs="Times New Roman"/>
              </w:rPr>
            </w:pPr>
            <w:r>
              <w:rPr>
                <w:rFonts w:ascii="Times New Roman" w:eastAsia="宋体" w:hAnsi="Times New Roman" w:cs="Times New Roman"/>
              </w:rPr>
              <w:t>1</w:t>
            </w:r>
            <w:r>
              <w:rPr>
                <w:rFonts w:ascii="Times New Roman" w:eastAsia="宋体" w:hAnsi="Times New Roman" w:cs="Times New Roman" w:hint="eastAsia"/>
              </w:rPr>
              <w:t>、合同签订</w:t>
            </w:r>
            <w:r>
              <w:rPr>
                <w:rFonts w:ascii="宋体" w:eastAsia="宋体" w:cs="宋体" w:hint="eastAsia"/>
              </w:rPr>
              <w:t>之日起</w:t>
            </w:r>
            <w:r>
              <w:rPr>
                <w:rFonts w:ascii="Times New Roman" w:eastAsia="宋体" w:hAnsi="Times New Roman" w:cs="Times New Roman"/>
              </w:rPr>
              <w:t>10</w:t>
            </w:r>
            <w:r>
              <w:rPr>
                <w:rFonts w:ascii="Times New Roman" w:eastAsia="宋体" w:hAnsi="Times New Roman" w:cs="Times New Roman" w:hint="eastAsia"/>
              </w:rPr>
              <w:t>个工作日内</w:t>
            </w:r>
            <w:r>
              <w:rPr>
                <w:rFonts w:ascii="宋体" w:eastAsia="宋体" w:cs="宋体" w:hint="eastAsia"/>
              </w:rPr>
              <w:t>，支付合同总价</w:t>
            </w:r>
            <w:r>
              <w:rPr>
                <w:rFonts w:ascii="Times New Roman" w:eastAsia="宋体" w:hAnsi="Times New Roman" w:cs="Times New Roman"/>
              </w:rPr>
              <w:t>30</w:t>
            </w:r>
            <w:r>
              <w:rPr>
                <w:rFonts w:ascii="Times New Roman" w:hAnsi="Times New Roman" w:cs="Times New Roman"/>
              </w:rPr>
              <w:t>%</w:t>
            </w:r>
            <w:r>
              <w:rPr>
                <w:rFonts w:ascii="宋体" w:eastAsia="宋体" w:cs="宋体" w:hint="eastAsia"/>
              </w:rPr>
              <w:t>合同款。</w:t>
            </w:r>
          </w:p>
          <w:p>
            <w:pPr>
              <w:ind w:firstLine="0"/>
              <w:rPr>
                <w:rFonts w:ascii="Times New Roman" w:hAnsi="Times New Roman" w:cs="Times New Roman"/>
              </w:rPr>
            </w:pPr>
            <w:r>
              <w:rPr>
                <w:rFonts w:ascii="Times New Roman" w:eastAsia="宋体" w:hAnsi="Times New Roman" w:cs="Times New Roman"/>
              </w:rPr>
              <w:t>2</w:t>
            </w:r>
            <w:r>
              <w:rPr>
                <w:rFonts w:ascii="Times New Roman" w:eastAsia="宋体" w:hAnsi="Times New Roman" w:cs="Times New Roman" w:hint="eastAsia"/>
              </w:rPr>
              <w:t>、</w:t>
            </w:r>
            <w:r>
              <w:rPr>
                <w:rFonts w:ascii="宋体" w:eastAsia="宋体" w:cs="宋体" w:hint="eastAsia"/>
              </w:rPr>
              <w:t>完成系统功能开发，具备上线条件之日起</w:t>
            </w:r>
            <w:r>
              <w:rPr>
                <w:rFonts w:ascii="Times New Roman" w:hAnsi="Times New Roman" w:cs="Times New Roman"/>
              </w:rPr>
              <w:t>10</w:t>
            </w:r>
            <w:r>
              <w:rPr>
                <w:rFonts w:ascii="宋体" w:eastAsia="宋体" w:cs="宋体" w:hint="eastAsia"/>
              </w:rPr>
              <w:t>个工作日内，支付合同总价</w:t>
            </w:r>
            <w:r>
              <w:rPr>
                <w:rFonts w:ascii="Times New Roman" w:eastAsia="宋体" w:hAnsi="Times New Roman" w:cs="Times New Roman"/>
              </w:rPr>
              <w:t>50</w:t>
            </w:r>
            <w:r>
              <w:rPr>
                <w:rFonts w:ascii="Times New Roman" w:hAnsi="Times New Roman" w:cs="Times New Roman"/>
              </w:rPr>
              <w:t>%</w:t>
            </w:r>
            <w:r>
              <w:rPr>
                <w:rFonts w:ascii="宋体" w:eastAsia="宋体" w:cs="宋体" w:hint="eastAsia"/>
              </w:rPr>
              <w:t>合同款。</w:t>
            </w:r>
          </w:p>
          <w:p>
            <w:pPr>
              <w:ind w:firstLine="0"/>
              <w:rPr>
                <w:rFonts w:ascii="Times New Roman" w:eastAsia="宋体" w:hAnsi="Times New Roman"/>
                <w:lang w:bidi="en-US"/>
              </w:rPr>
            </w:pPr>
            <w:r>
              <w:rPr>
                <w:rFonts w:ascii="Times New Roman" w:eastAsia="宋体" w:hAnsi="Times New Roman" w:cs="Times New Roman"/>
              </w:rPr>
              <w:t>3</w:t>
            </w:r>
            <w:r>
              <w:rPr>
                <w:rFonts w:ascii="Times New Roman" w:eastAsia="宋体" w:hAnsi="Times New Roman" w:cs="Times New Roman" w:hint="eastAsia"/>
              </w:rPr>
              <w:t>、</w:t>
            </w:r>
            <w:r>
              <w:rPr>
                <w:rFonts w:ascii="宋体" w:eastAsia="宋体" w:cs="宋体" w:hint="eastAsia"/>
              </w:rPr>
              <w:t>完成全部服务内容，经验收通过之日起</w:t>
            </w:r>
            <w:r>
              <w:rPr>
                <w:rFonts w:ascii="Times New Roman" w:hAnsi="Times New Roman" w:cs="Times New Roman"/>
              </w:rPr>
              <w:t>10</w:t>
            </w:r>
            <w:r>
              <w:rPr>
                <w:rFonts w:ascii="宋体" w:eastAsia="宋体" w:cs="宋体" w:hint="eastAsia"/>
              </w:rPr>
              <w:t>个工作日内，支付合同总价</w:t>
            </w:r>
            <w:r>
              <w:rPr>
                <w:rFonts w:ascii="Times New Roman" w:eastAsia="宋体" w:hAnsi="Times New Roman" w:cs="Times New Roman"/>
              </w:rPr>
              <w:t>20</w:t>
            </w:r>
            <w:r>
              <w:rPr>
                <w:rFonts w:ascii="Times New Roman" w:hAnsi="Times New Roman" w:cs="Times New Roman"/>
              </w:rPr>
              <w:t>%</w:t>
            </w:r>
            <w:r>
              <w:rPr>
                <w:rFonts w:ascii="宋体" w:eastAsia="宋体" w:cs="宋体" w:hint="eastAsia"/>
              </w:rPr>
              <w:t>合同款。</w:t>
            </w:r>
          </w:p>
        </w:tc>
      </w:tr>
    </w:tbl>
    <w:p>
      <w:pPr>
        <w:pStyle w:val="Heading2"/>
        <w:numPr>
          <w:ilvl w:val="0"/>
          <w:numId w:val="2"/>
        </w:numPr>
        <w:rPr>
          <w:rFonts w:ascii="宋体" w:eastAsia="宋体" w:hint="eastAsia"/>
        </w:rPr>
      </w:pPr>
      <w:bookmarkStart w:id="35" w:name="项目概述"/>
      <w:r>
        <w:rPr>
          <w:rFonts w:ascii="宋体" w:eastAsia="宋体" w:hint="eastAsia"/>
        </w:rPr>
        <w:t>项目概述</w:t>
      </w:r>
      <w:bookmarkEnd w:id="35"/>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498"/>
        <w:gridCol w:w="5804"/>
      </w:tblGrid>
      <w:tr>
        <w:tblPrEx>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0"/>
          <w:jc w:val="center"/>
        </w:trPr>
        <w:tc>
          <w:tcPr>
            <w:tcW w:w="758" w:type="dxa"/>
            <w:tcBorders>
              <w:top w:val="single" w:sz="4" w:space="0" w:color="auto"/>
              <w:left w:val="single" w:sz="4" w:space="0" w:color="auto"/>
              <w:bottom w:val="single" w:sz="4" w:space="0" w:color="auto"/>
              <w:right w:val="single" w:sz="4" w:space="0" w:color="auto"/>
            </w:tcBorders>
            <w:shd w:val="clear" w:color="auto" w:fill="A6A6A6"/>
            <w:vAlign w:val="center"/>
          </w:tcPr>
          <w:p>
            <w:pPr>
              <w:spacing w:before="120" w:beforeLines="50" w:after="120" w:afterLines="50"/>
              <w:ind w:firstLine="0"/>
              <w:jc w:val="center"/>
              <w:rPr>
                <w:rFonts w:ascii="Times New Roman" w:eastAsia="宋体" w:hAnsi="Times New Roman"/>
                <w:b/>
              </w:rPr>
            </w:pPr>
            <w:r>
              <w:rPr>
                <w:rFonts w:ascii="Times New Roman" w:eastAsia="宋体" w:hAnsi="Times New Roman" w:hint="eastAsia"/>
                <w:b/>
              </w:rPr>
              <w:t>序号</w:t>
            </w:r>
          </w:p>
        </w:tc>
        <w:tc>
          <w:tcPr>
            <w:tcW w:w="2498" w:type="dxa"/>
            <w:tcBorders>
              <w:top w:val="single" w:sz="4" w:space="0" w:color="auto"/>
              <w:left w:val="single" w:sz="4" w:space="0" w:color="auto"/>
              <w:bottom w:val="single" w:sz="4" w:space="0" w:color="auto"/>
              <w:right w:val="single" w:sz="4" w:space="0" w:color="auto"/>
            </w:tcBorders>
            <w:shd w:val="clear" w:color="auto" w:fill="A6A6A6"/>
            <w:vAlign w:val="center"/>
          </w:tcPr>
          <w:p>
            <w:pPr>
              <w:spacing w:before="120" w:beforeLines="50" w:after="120" w:afterLines="50"/>
              <w:ind w:firstLine="0"/>
              <w:jc w:val="center"/>
              <w:rPr>
                <w:rFonts w:ascii="Times New Roman" w:eastAsia="宋体" w:hAnsi="Times New Roman"/>
                <w:b/>
              </w:rPr>
            </w:pPr>
            <w:r>
              <w:rPr>
                <w:rFonts w:ascii="Times New Roman" w:eastAsia="宋体" w:hAnsi="Times New Roman" w:hint="eastAsia"/>
                <w:b/>
              </w:rPr>
              <w:t>内容</w:t>
            </w:r>
          </w:p>
        </w:tc>
        <w:tc>
          <w:tcPr>
            <w:tcW w:w="5804" w:type="dxa"/>
            <w:tcBorders>
              <w:top w:val="single" w:sz="4" w:space="0" w:color="auto"/>
              <w:left w:val="single" w:sz="4" w:space="0" w:color="auto"/>
              <w:bottom w:val="single" w:sz="4" w:space="0" w:color="auto"/>
              <w:right w:val="single" w:sz="4" w:space="0" w:color="auto"/>
            </w:tcBorders>
            <w:shd w:val="clear" w:color="auto" w:fill="A6A6A6"/>
            <w:vAlign w:val="center"/>
          </w:tcPr>
          <w:p>
            <w:pPr>
              <w:spacing w:before="120" w:beforeLines="50" w:after="120" w:afterLines="50"/>
              <w:ind w:firstLine="0"/>
              <w:jc w:val="center"/>
              <w:rPr>
                <w:rFonts w:ascii="Times New Roman" w:eastAsia="宋体" w:hAnsi="Times New Roman"/>
                <w:b/>
              </w:rPr>
            </w:pPr>
            <w:bookmarkStart w:id="36" w:name="项目概述_Title_说明_Required_Table"/>
            <w:r>
              <w:rPr>
                <w:rFonts w:ascii="Times New Roman" w:eastAsia="宋体" w:hAnsi="Times New Roman" w:hint="eastAsia"/>
                <w:b/>
              </w:rPr>
              <w:t>说明</w:t>
            </w:r>
            <w:bookmarkEnd w:id="36"/>
          </w:p>
        </w:tc>
      </w:tr>
      <w:tr>
        <w:tblPrEx>
          <w:tblW w:w="9060" w:type="dxa"/>
          <w:jc w:val="center"/>
          <w:tblLayout w:type="fixed"/>
          <w:tblCellMar>
            <w:top w:w="0" w:type="dxa"/>
            <w:left w:w="108" w:type="dxa"/>
            <w:bottom w:w="0" w:type="dxa"/>
            <w:right w:w="108" w:type="dxa"/>
          </w:tblCellMar>
        </w:tblPrEx>
        <w:trPr>
          <w:trHeight w:val="20"/>
          <w:jc w:val="center"/>
        </w:trPr>
        <w:tc>
          <w:tcPr>
            <w:tcW w:w="758" w:type="dxa"/>
            <w:tcBorders>
              <w:top w:val="single" w:sz="4" w:space="0" w:color="auto"/>
              <w:left w:val="single" w:sz="4" w:space="0" w:color="auto"/>
              <w:bottom w:val="single" w:sz="4" w:space="0" w:color="auto"/>
              <w:right w:val="single" w:sz="4" w:space="0" w:color="auto"/>
            </w:tcBorders>
            <w:vAlign w:val="center"/>
          </w:tcPr>
          <w:p>
            <w:pPr>
              <w:spacing w:before="120" w:beforeLines="50" w:after="120" w:afterLines="50"/>
              <w:ind w:firstLine="0"/>
              <w:jc w:val="center"/>
              <w:rPr>
                <w:rFonts w:ascii="Times New Roman" w:eastAsia="宋体" w:hAnsi="Times New Roman"/>
              </w:rPr>
            </w:pPr>
            <w:r>
              <w:rPr>
                <w:rFonts w:ascii="Times New Roman" w:eastAsia="宋体" w:hAnsi="Times New Roman" w:hint="eastAsia"/>
                <w:b/>
              </w:rPr>
              <w:t>1</w:t>
            </w:r>
          </w:p>
        </w:tc>
        <w:tc>
          <w:tcPr>
            <w:tcW w:w="2498" w:type="dxa"/>
            <w:tcBorders>
              <w:top w:val="single" w:sz="4" w:space="0" w:color="auto"/>
              <w:left w:val="single" w:sz="4" w:space="0" w:color="auto"/>
              <w:bottom w:val="single" w:sz="4" w:space="0" w:color="auto"/>
              <w:right w:val="single" w:sz="4" w:space="0" w:color="auto"/>
            </w:tcBorders>
            <w:vAlign w:val="center"/>
          </w:tcPr>
          <w:p>
            <w:pPr>
              <w:spacing w:before="120" w:beforeLines="50" w:after="120" w:afterLines="50"/>
              <w:ind w:firstLine="0"/>
              <w:jc w:val="center"/>
              <w:rPr>
                <w:rFonts w:ascii="Times New Roman" w:eastAsia="宋体" w:hAnsi="Times New Roman"/>
                <w:b/>
              </w:rPr>
            </w:pPr>
            <w:r>
              <w:rPr>
                <w:rFonts w:ascii="Times New Roman" w:eastAsia="宋体" w:hAnsi="Times New Roman" w:hint="eastAsia"/>
                <w:b/>
              </w:rPr>
              <w:t>项目背景</w:t>
            </w:r>
          </w:p>
        </w:tc>
        <w:tc>
          <w:tcPr>
            <w:tcW w:w="5804" w:type="dxa"/>
            <w:tcBorders>
              <w:top w:val="single" w:sz="4" w:space="0" w:color="auto"/>
              <w:left w:val="single" w:sz="4" w:space="0" w:color="auto"/>
              <w:bottom w:val="single" w:sz="4" w:space="0" w:color="auto"/>
              <w:right w:val="single" w:sz="4" w:space="0" w:color="auto"/>
            </w:tcBorders>
            <w:vAlign w:val="center"/>
          </w:tcPr>
          <w:p>
            <w:pPr>
              <w:pStyle w:val="a46"/>
              <w:spacing w:before="60" w:after="120"/>
              <w:rPr>
                <w:sz w:val="24"/>
                <w:szCs w:val="24"/>
                <w:lang w:bidi="en-US"/>
              </w:rPr>
            </w:pPr>
            <w:r>
              <w:rPr>
                <w:rFonts w:hint="eastAsia"/>
                <w:sz w:val="24"/>
                <w:szCs w:val="24"/>
                <w:lang w:bidi="en-US"/>
              </w:rPr>
              <w:t>以习近平新时代中国特色社会主义思想为指导，深化落实习近平主席提出的“智慧海关、智能边境、智享联通”合作倡议，按照智慧海关“构建四全机制”“实施六化转型”的总体要求，立足云南省边境公路口岸实际，推动云南边境“智慧口岸”建设，充分运用大数据、云计算、人工智能技术等新技术，开展本项目建设。旨在以不断深化改革创新、提高昆明海关大型</w:t>
            </w:r>
            <w:r>
              <w:rPr>
                <w:sz w:val="24"/>
                <w:szCs w:val="24"/>
                <w:lang w:bidi="en-US"/>
              </w:rPr>
              <w:t>H986</w:t>
            </w:r>
            <w:r>
              <w:rPr>
                <w:rFonts w:hint="eastAsia"/>
                <w:sz w:val="24"/>
                <w:szCs w:val="24"/>
                <w:lang w:bidi="en-US"/>
              </w:rPr>
              <w:t>集装箱检查设备（共计</w:t>
            </w:r>
            <w:r>
              <w:rPr>
                <w:sz w:val="24"/>
                <w:szCs w:val="24"/>
                <w:lang w:bidi="en-US"/>
              </w:rPr>
              <w:t>14</w:t>
            </w:r>
            <w:r>
              <w:rPr>
                <w:rFonts w:hint="eastAsia"/>
                <w:sz w:val="24"/>
                <w:szCs w:val="24"/>
                <w:lang w:bidi="en-US"/>
              </w:rPr>
              <w:t>台，不含小型乘用车、铁路火车检查设备，以下简称大型</w:t>
            </w:r>
            <w:r>
              <w:rPr>
                <w:sz w:val="24"/>
                <w:szCs w:val="24"/>
                <w:lang w:bidi="en-US"/>
              </w:rPr>
              <w:t>H986</w:t>
            </w:r>
            <w:r>
              <w:rPr>
                <w:rFonts w:hint="eastAsia"/>
                <w:sz w:val="24"/>
                <w:szCs w:val="24"/>
                <w:lang w:bidi="en-US"/>
              </w:rPr>
              <w:t>设备）机检效能为目标，充分发挥智能审图快速、高效、便捷的优势，结合云南省各口岸业务特点，扩展智能审图的应用范围，推进海关监管设备智慧化、信息化、精准化管理，实现昆明关区陆路边境口岸大型</w:t>
            </w:r>
            <w:r>
              <w:rPr>
                <w:sz w:val="24"/>
                <w:szCs w:val="24"/>
                <w:lang w:bidi="en-US"/>
              </w:rPr>
              <w:t>H986</w:t>
            </w:r>
            <w:r>
              <w:rPr>
                <w:rFonts w:hint="eastAsia"/>
                <w:sz w:val="24"/>
                <w:szCs w:val="24"/>
                <w:lang w:bidi="en-US"/>
              </w:rPr>
              <w:t>设备全业务场景、全设备品牌智能审图应用的全覆盖，达到严密监管与高效运作相统一，打造具有云南特色的机检检查智能化应用体系和配套信息化应用。</w:t>
            </w:r>
          </w:p>
        </w:tc>
      </w:tr>
      <w:tr>
        <w:tblPrEx>
          <w:tblW w:w="9060" w:type="dxa"/>
          <w:jc w:val="center"/>
          <w:tblLayout w:type="fixed"/>
          <w:tblCellMar>
            <w:top w:w="0" w:type="dxa"/>
            <w:left w:w="108" w:type="dxa"/>
            <w:bottom w:w="0" w:type="dxa"/>
            <w:right w:w="108" w:type="dxa"/>
          </w:tblCellMar>
        </w:tblPrEx>
        <w:trPr>
          <w:trHeight w:val="20"/>
          <w:jc w:val="center"/>
        </w:trPr>
        <w:tc>
          <w:tcPr>
            <w:tcW w:w="758" w:type="dxa"/>
            <w:tcBorders>
              <w:top w:val="single" w:sz="4" w:space="0" w:color="auto"/>
              <w:left w:val="single" w:sz="4" w:space="0" w:color="auto"/>
              <w:bottom w:val="single" w:sz="4" w:space="0" w:color="auto"/>
              <w:right w:val="single" w:sz="4" w:space="0" w:color="auto"/>
            </w:tcBorders>
            <w:vAlign w:val="center"/>
          </w:tcPr>
          <w:p>
            <w:pPr>
              <w:spacing w:before="120" w:beforeLines="50" w:after="120" w:afterLines="50"/>
              <w:ind w:firstLine="0"/>
              <w:jc w:val="center"/>
              <w:rPr>
                <w:rFonts w:ascii="Times New Roman" w:eastAsia="宋体" w:hAnsi="Times New Roman"/>
              </w:rPr>
            </w:pPr>
            <w:r>
              <w:rPr>
                <w:rFonts w:ascii="Times New Roman" w:eastAsia="宋体" w:hAnsi="Times New Roman" w:hint="eastAsia"/>
                <w:b/>
              </w:rPr>
              <w:t>2</w:t>
            </w:r>
          </w:p>
        </w:tc>
        <w:tc>
          <w:tcPr>
            <w:tcW w:w="2498" w:type="dxa"/>
            <w:tcBorders>
              <w:top w:val="single" w:sz="4" w:space="0" w:color="auto"/>
              <w:left w:val="single" w:sz="4" w:space="0" w:color="auto"/>
              <w:bottom w:val="single" w:sz="4" w:space="0" w:color="auto"/>
              <w:right w:val="single" w:sz="4" w:space="0" w:color="auto"/>
            </w:tcBorders>
            <w:vAlign w:val="center"/>
          </w:tcPr>
          <w:p>
            <w:pPr>
              <w:spacing w:before="120" w:beforeLines="50" w:after="120" w:afterLines="50"/>
              <w:ind w:firstLine="0"/>
              <w:jc w:val="center"/>
              <w:rPr>
                <w:rFonts w:ascii="Times New Roman" w:eastAsia="宋体" w:hAnsi="Times New Roman"/>
                <w:b/>
              </w:rPr>
            </w:pPr>
            <w:r>
              <w:rPr>
                <w:rFonts w:ascii="Times New Roman" w:eastAsia="宋体" w:hAnsi="Times New Roman" w:hint="eastAsia"/>
                <w:b/>
              </w:rPr>
              <w:t>执行依据</w:t>
            </w:r>
          </w:p>
        </w:tc>
        <w:tc>
          <w:tcPr>
            <w:tcW w:w="5804" w:type="dxa"/>
            <w:tcBorders>
              <w:top w:val="single" w:sz="4" w:space="0" w:color="auto"/>
              <w:left w:val="single" w:sz="4" w:space="0" w:color="auto"/>
              <w:bottom w:val="single" w:sz="4" w:space="0" w:color="auto"/>
              <w:right w:val="single" w:sz="4" w:space="0" w:color="auto"/>
            </w:tcBorders>
            <w:vAlign w:val="center"/>
          </w:tcPr>
          <w:p>
            <w:pPr>
              <w:pStyle w:val="a46"/>
              <w:spacing w:before="60" w:after="120"/>
              <w:rPr>
                <w:rFonts w:ascii="Calibri" w:eastAsia="Calibri" w:hAnsi="Calibri"/>
                <w:sz w:val="24"/>
                <w:szCs w:val="24"/>
                <w:lang w:bidi="en-US"/>
              </w:rPr>
            </w:pPr>
            <w:r>
              <w:rPr>
                <w:rFonts w:hint="eastAsia"/>
                <w:sz w:val="24"/>
                <w:szCs w:val="24"/>
                <w:lang w:bidi="en-US"/>
              </w:rPr>
              <w:t>《海关应用智能审图系统开展监管查验工作操作指南（试行）》（署监发〔</w:t>
            </w:r>
            <w:r>
              <w:rPr>
                <w:sz w:val="24"/>
                <w:szCs w:val="24"/>
                <w:lang w:bidi="en-US"/>
              </w:rPr>
              <w:t>2019</w:t>
            </w:r>
            <w:r>
              <w:rPr>
                <w:rFonts w:hint="eastAsia"/>
                <w:sz w:val="24"/>
                <w:szCs w:val="24"/>
                <w:lang w:bidi="en-US"/>
              </w:rPr>
              <w:t>〕</w:t>
            </w:r>
            <w:r>
              <w:rPr>
                <w:sz w:val="24"/>
                <w:szCs w:val="24"/>
                <w:lang w:bidi="en-US"/>
              </w:rPr>
              <w:t>38</w:t>
            </w:r>
            <w:r>
              <w:rPr>
                <w:rFonts w:hint="eastAsia"/>
                <w:sz w:val="24"/>
                <w:szCs w:val="24"/>
                <w:lang w:bidi="en-US"/>
              </w:rPr>
              <w:t>号）</w:t>
            </w:r>
          </w:p>
          <w:p>
            <w:pPr>
              <w:pStyle w:val="a46"/>
              <w:spacing w:before="60" w:after="120"/>
              <w:rPr>
                <w:rFonts w:ascii="Calibri" w:eastAsia="Calibri" w:hAnsi="Calibri"/>
                <w:sz w:val="24"/>
                <w:szCs w:val="24"/>
                <w:lang w:bidi="en-US"/>
              </w:rPr>
            </w:pPr>
            <w:r>
              <w:rPr>
                <w:rFonts w:hint="eastAsia"/>
                <w:sz w:val="24"/>
                <w:szCs w:val="24"/>
                <w:lang w:bidi="en-US"/>
              </w:rPr>
              <w:t>《海关机检设备智能审图长效工作机制》（科技司便函〔</w:t>
            </w:r>
            <w:r>
              <w:rPr>
                <w:sz w:val="24"/>
                <w:szCs w:val="24"/>
                <w:lang w:bidi="en-US"/>
              </w:rPr>
              <w:t>2020</w:t>
            </w:r>
            <w:r>
              <w:rPr>
                <w:rFonts w:hint="eastAsia"/>
                <w:sz w:val="24"/>
                <w:szCs w:val="24"/>
                <w:lang w:bidi="en-US"/>
              </w:rPr>
              <w:t>〕</w:t>
            </w:r>
            <w:r>
              <w:rPr>
                <w:sz w:val="24"/>
                <w:szCs w:val="24"/>
                <w:lang w:bidi="en-US"/>
              </w:rPr>
              <w:t>16</w:t>
            </w:r>
            <w:r>
              <w:rPr>
                <w:rFonts w:hint="eastAsia"/>
                <w:sz w:val="24"/>
                <w:szCs w:val="24"/>
                <w:lang w:bidi="en-US"/>
              </w:rPr>
              <w:t>号）</w:t>
            </w:r>
          </w:p>
        </w:tc>
      </w:tr>
      <w:tr>
        <w:tblPrEx>
          <w:tblW w:w="9060" w:type="dxa"/>
          <w:jc w:val="center"/>
          <w:tblLayout w:type="fixed"/>
          <w:tblCellMar>
            <w:top w:w="0" w:type="dxa"/>
            <w:left w:w="108" w:type="dxa"/>
            <w:bottom w:w="0" w:type="dxa"/>
            <w:right w:w="108" w:type="dxa"/>
          </w:tblCellMar>
        </w:tblPrEx>
        <w:trPr>
          <w:trHeight w:val="20"/>
          <w:jc w:val="center"/>
        </w:trPr>
        <w:tc>
          <w:tcPr>
            <w:tcW w:w="758" w:type="dxa"/>
            <w:tcBorders>
              <w:top w:val="single" w:sz="4" w:space="0" w:color="auto"/>
              <w:left w:val="single" w:sz="4" w:space="0" w:color="auto"/>
              <w:bottom w:val="single" w:sz="4" w:space="0" w:color="auto"/>
              <w:right w:val="single" w:sz="4" w:space="0" w:color="auto"/>
            </w:tcBorders>
            <w:vAlign w:val="center"/>
          </w:tcPr>
          <w:p>
            <w:pPr>
              <w:spacing w:before="120" w:beforeLines="50" w:after="120" w:afterLines="50"/>
              <w:ind w:firstLine="0"/>
              <w:jc w:val="center"/>
              <w:rPr>
                <w:rFonts w:ascii="Times New Roman" w:eastAsia="宋体" w:hAnsi="Times New Roman"/>
              </w:rPr>
            </w:pPr>
            <w:r>
              <w:rPr>
                <w:rFonts w:ascii="Times New Roman" w:eastAsia="宋体" w:hAnsi="Times New Roman" w:hint="eastAsia"/>
                <w:b/>
              </w:rPr>
              <w:t>3</w:t>
            </w:r>
          </w:p>
        </w:tc>
        <w:tc>
          <w:tcPr>
            <w:tcW w:w="2498" w:type="dxa"/>
            <w:tcBorders>
              <w:top w:val="single" w:sz="4" w:space="0" w:color="auto"/>
              <w:left w:val="single" w:sz="4" w:space="0" w:color="auto"/>
              <w:bottom w:val="single" w:sz="4" w:space="0" w:color="auto"/>
              <w:right w:val="single" w:sz="4" w:space="0" w:color="auto"/>
            </w:tcBorders>
            <w:vAlign w:val="center"/>
          </w:tcPr>
          <w:p>
            <w:pPr>
              <w:spacing w:before="120" w:beforeLines="50" w:after="120" w:afterLines="50"/>
              <w:ind w:firstLine="0"/>
              <w:jc w:val="center"/>
              <w:rPr>
                <w:rFonts w:ascii="Times New Roman" w:hAnsi="Times New Roman"/>
              </w:rPr>
            </w:pPr>
            <w:r>
              <w:rPr>
                <w:rFonts w:ascii="Times New Roman" w:eastAsia="宋体" w:hAnsi="Times New Roman" w:hint="eastAsia"/>
                <w:b/>
              </w:rPr>
              <w:t>项目内容</w:t>
            </w:r>
          </w:p>
        </w:tc>
        <w:tc>
          <w:tcPr>
            <w:tcW w:w="5804" w:type="dxa"/>
            <w:tcBorders>
              <w:top w:val="single" w:sz="4" w:space="0" w:color="auto"/>
              <w:left w:val="single" w:sz="4" w:space="0" w:color="auto"/>
              <w:bottom w:val="single" w:sz="4" w:space="0" w:color="auto"/>
              <w:right w:val="single" w:sz="4" w:space="0" w:color="auto"/>
            </w:tcBorders>
            <w:vAlign w:val="center"/>
          </w:tcPr>
          <w:p>
            <w:pPr>
              <w:pStyle w:val="a46"/>
              <w:spacing w:before="60" w:after="120"/>
              <w:rPr>
                <w:rFonts w:ascii="Calibri" w:eastAsia="Calibri" w:hAnsi="Calibri"/>
                <w:sz w:val="24"/>
                <w:szCs w:val="24"/>
                <w:lang w:bidi="en-US"/>
              </w:rPr>
            </w:pPr>
            <w:r>
              <w:rPr>
                <w:rFonts w:hint="eastAsia"/>
                <w:sz w:val="24"/>
                <w:szCs w:val="24"/>
                <w:lang w:bidi="en-US"/>
              </w:rPr>
              <w:t>本项目建设内容是将大型</w:t>
            </w:r>
            <w:r>
              <w:rPr>
                <w:sz w:val="24"/>
                <w:szCs w:val="24"/>
                <w:lang w:bidi="en-US"/>
              </w:rPr>
              <w:t>H986</w:t>
            </w:r>
            <w:r>
              <w:rPr>
                <w:rFonts w:hint="eastAsia"/>
                <w:sz w:val="24"/>
                <w:szCs w:val="24"/>
                <w:lang w:bidi="en-US"/>
              </w:rPr>
              <w:t>设备智能审图融入昆明关区一般贸易、边民互市等全业务中，结合陆路边境口岸大型</w:t>
            </w:r>
            <w:r>
              <w:rPr>
                <w:sz w:val="24"/>
                <w:szCs w:val="24"/>
                <w:lang w:bidi="en-US"/>
              </w:rPr>
              <w:t>H986</w:t>
            </w:r>
            <w:r>
              <w:rPr>
                <w:rFonts w:hint="eastAsia"/>
                <w:sz w:val="24"/>
                <w:szCs w:val="24"/>
                <w:lang w:bidi="en-US"/>
              </w:rPr>
              <w:t>设备多厂商、多类型、多应用场景的现状，针对性研发能够涵盖云南边境口岸特点，覆盖昆明关区全业务应用场景、全设备品牌的大型</w:t>
            </w:r>
            <w:r>
              <w:rPr>
                <w:sz w:val="24"/>
                <w:szCs w:val="24"/>
                <w:lang w:bidi="en-US"/>
              </w:rPr>
              <w:t>H986</w:t>
            </w:r>
            <w:r>
              <w:rPr>
                <w:rFonts w:hint="eastAsia"/>
                <w:sz w:val="24"/>
                <w:szCs w:val="24"/>
                <w:lang w:bidi="en-US"/>
              </w:rPr>
              <w:t>设备智慧机检应用。实现在前置智能机检环节货物、商品申报信息不完整的情况下，创新商品模糊识别比对功能，完成对安全准入、品名识别、夹藏等全部检查重点的提前自动预判；独创应用“低风险图像智能审图自动验放</w:t>
            </w:r>
            <w:r>
              <w:rPr>
                <w:sz w:val="24"/>
                <w:szCs w:val="24"/>
                <w:lang w:bidi="en-US"/>
              </w:rPr>
              <w:t>+</w:t>
            </w:r>
            <w:r>
              <w:rPr>
                <w:rFonts w:hint="eastAsia"/>
                <w:sz w:val="24"/>
                <w:szCs w:val="24"/>
                <w:lang w:bidi="en-US"/>
              </w:rPr>
              <w:t>高风险图像人工审核”的分级处置方式，在保证有效监管的前提下实现快速通关；构建系统应用，打通海关作业系统中多个应用间的对接，实现算法应用开关分级可控和信息共享，为风险分析以及人工检查等提供有力依据；深入探索研发智能审图未见异常直接放行及发现异常直转人工处置的业务场景模式，进一步解放人力资源。</w:t>
            </w:r>
          </w:p>
        </w:tc>
      </w:tr>
      <w:tr>
        <w:tblPrEx>
          <w:tblW w:w="9060" w:type="dxa"/>
          <w:jc w:val="center"/>
          <w:tblLayout w:type="fixed"/>
          <w:tblCellMar>
            <w:top w:w="0" w:type="dxa"/>
            <w:left w:w="108" w:type="dxa"/>
            <w:bottom w:w="0" w:type="dxa"/>
            <w:right w:w="108" w:type="dxa"/>
          </w:tblCellMar>
        </w:tblPrEx>
        <w:trPr>
          <w:trHeight w:val="20"/>
          <w:jc w:val="center"/>
        </w:trPr>
        <w:tc>
          <w:tcPr>
            <w:tcW w:w="758" w:type="dxa"/>
            <w:tcBorders>
              <w:top w:val="single" w:sz="4" w:space="0" w:color="auto"/>
              <w:left w:val="single" w:sz="4" w:space="0" w:color="auto"/>
              <w:bottom w:val="single" w:sz="4" w:space="0" w:color="auto"/>
              <w:right w:val="single" w:sz="4" w:space="0" w:color="auto"/>
            </w:tcBorders>
            <w:vAlign w:val="center"/>
          </w:tcPr>
          <w:p>
            <w:pPr>
              <w:spacing w:before="120" w:beforeLines="50" w:after="120" w:afterLines="50"/>
              <w:ind w:firstLine="0"/>
              <w:jc w:val="center"/>
              <w:rPr>
                <w:rFonts w:ascii="Times New Roman" w:eastAsia="宋体" w:hAnsi="Times New Roman"/>
              </w:rPr>
            </w:pPr>
            <w:r>
              <w:rPr>
                <w:rFonts w:ascii="Times New Roman" w:eastAsia="宋体" w:hAnsi="Times New Roman" w:hint="eastAsia"/>
              </w:rPr>
              <w:t>4</w:t>
            </w:r>
          </w:p>
        </w:tc>
        <w:tc>
          <w:tcPr>
            <w:tcW w:w="2498" w:type="dxa"/>
            <w:tcBorders>
              <w:top w:val="single" w:sz="4" w:space="0" w:color="auto"/>
              <w:left w:val="single" w:sz="4" w:space="0" w:color="auto"/>
              <w:bottom w:val="single" w:sz="4" w:space="0" w:color="auto"/>
              <w:right w:val="single" w:sz="4" w:space="0" w:color="auto"/>
            </w:tcBorders>
            <w:vAlign w:val="center"/>
          </w:tcPr>
          <w:p>
            <w:pPr>
              <w:spacing w:before="120" w:beforeLines="50" w:after="120" w:afterLines="50"/>
              <w:ind w:firstLine="0"/>
              <w:jc w:val="center"/>
              <w:rPr>
                <w:rFonts w:ascii="Times New Roman" w:eastAsia="宋体" w:hAnsi="Times New Roman"/>
                <w:b/>
              </w:rPr>
            </w:pPr>
            <w:r>
              <w:rPr>
                <w:rFonts w:ascii="Times New Roman" w:eastAsia="宋体" w:hAnsi="Times New Roman" w:hint="eastAsia"/>
                <w:b/>
              </w:rPr>
              <w:t>项目范围</w:t>
            </w:r>
          </w:p>
        </w:tc>
        <w:tc>
          <w:tcPr>
            <w:tcW w:w="5804" w:type="dxa"/>
            <w:tcBorders>
              <w:top w:val="single" w:sz="4" w:space="0" w:color="auto"/>
              <w:left w:val="single" w:sz="4" w:space="0" w:color="auto"/>
              <w:bottom w:val="single" w:sz="4" w:space="0" w:color="auto"/>
              <w:right w:val="single" w:sz="4" w:space="0" w:color="auto"/>
            </w:tcBorders>
            <w:vAlign w:val="center"/>
          </w:tcPr>
          <w:p>
            <w:pPr>
              <w:pStyle w:val="a46"/>
              <w:spacing w:before="60" w:after="120"/>
              <w:rPr>
                <w:rFonts w:ascii="Calibri" w:eastAsia="Calibri" w:hAnsi="Calibri"/>
                <w:sz w:val="24"/>
                <w:szCs w:val="24"/>
                <w:lang w:bidi="en-US"/>
              </w:rPr>
            </w:pPr>
            <w:r>
              <w:rPr>
                <w:rFonts w:hint="eastAsia"/>
                <w:sz w:val="24"/>
                <w:szCs w:val="24"/>
                <w:lang w:bidi="en-US"/>
              </w:rPr>
              <w:t>开发智慧机检应用，并与昆明海关数据中台应用、新一代联网集中审像应用</w:t>
            </w:r>
            <w:r>
              <w:rPr>
                <w:sz w:val="24"/>
                <w:szCs w:val="24"/>
                <w:lang w:bidi="en-US"/>
              </w:rPr>
              <w:t>、海关H4A平台</w:t>
            </w:r>
            <w:r>
              <w:rPr>
                <w:rFonts w:hint="eastAsia"/>
                <w:sz w:val="24"/>
                <w:szCs w:val="24"/>
                <w:lang w:bidi="en-US"/>
              </w:rPr>
              <w:t>进行集成，将智能审图应用到昆明海关陆路边境口岸全业务场景，实现对陆路边境口岸机检全流程作业数据的采集、整理、深度分析及可视化反馈。</w:t>
            </w:r>
          </w:p>
        </w:tc>
      </w:tr>
      <w:tr>
        <w:tblPrEx>
          <w:tblW w:w="9060" w:type="dxa"/>
          <w:jc w:val="center"/>
          <w:tblLayout w:type="fixed"/>
          <w:tblCellMar>
            <w:top w:w="0" w:type="dxa"/>
            <w:left w:w="108" w:type="dxa"/>
            <w:bottom w:w="0" w:type="dxa"/>
            <w:right w:w="108" w:type="dxa"/>
          </w:tblCellMar>
        </w:tblPrEx>
        <w:trPr>
          <w:trHeight w:val="20"/>
          <w:jc w:val="center"/>
        </w:trPr>
        <w:tc>
          <w:tcPr>
            <w:tcW w:w="758" w:type="dxa"/>
            <w:tcBorders>
              <w:top w:val="single" w:sz="4" w:space="0" w:color="auto"/>
              <w:left w:val="single" w:sz="4" w:space="0" w:color="auto"/>
              <w:bottom w:val="single" w:sz="4" w:space="0" w:color="auto"/>
              <w:right w:val="single" w:sz="4" w:space="0" w:color="auto"/>
            </w:tcBorders>
            <w:vAlign w:val="center"/>
          </w:tcPr>
          <w:p>
            <w:pPr>
              <w:spacing w:before="120" w:beforeLines="50" w:after="120" w:afterLines="50"/>
              <w:ind w:firstLine="0"/>
              <w:jc w:val="center"/>
              <w:rPr>
                <w:rFonts w:ascii="Times New Roman" w:eastAsia="宋体" w:hAnsi="Times New Roman"/>
              </w:rPr>
            </w:pPr>
            <w:r>
              <w:rPr>
                <w:rFonts w:ascii="Times New Roman" w:eastAsia="宋体" w:hAnsi="Times New Roman" w:hint="eastAsia"/>
              </w:rPr>
              <w:t>5</w:t>
            </w:r>
          </w:p>
        </w:tc>
        <w:tc>
          <w:tcPr>
            <w:tcW w:w="2498" w:type="dxa"/>
            <w:tcBorders>
              <w:top w:val="single" w:sz="4" w:space="0" w:color="auto"/>
              <w:left w:val="single" w:sz="4" w:space="0" w:color="auto"/>
              <w:bottom w:val="single" w:sz="4" w:space="0" w:color="auto"/>
              <w:right w:val="single" w:sz="4" w:space="0" w:color="auto"/>
            </w:tcBorders>
            <w:vAlign w:val="center"/>
          </w:tcPr>
          <w:p>
            <w:pPr>
              <w:spacing w:before="120" w:beforeLines="50" w:after="120" w:afterLines="50"/>
              <w:ind w:firstLine="0"/>
              <w:jc w:val="center"/>
              <w:rPr>
                <w:rFonts w:ascii="Times New Roman" w:eastAsia="宋体" w:hAnsi="Times New Roman"/>
                <w:b/>
              </w:rPr>
            </w:pPr>
            <w:r>
              <w:rPr>
                <w:rFonts w:ascii="Times New Roman" w:eastAsia="宋体" w:hAnsi="Times New Roman" w:hint="eastAsia"/>
                <w:b/>
              </w:rPr>
              <w:t>需求分析</w:t>
            </w:r>
          </w:p>
        </w:tc>
        <w:tc>
          <w:tcPr>
            <w:tcW w:w="5804" w:type="dxa"/>
            <w:tcBorders>
              <w:top w:val="single" w:sz="4" w:space="0" w:color="auto"/>
              <w:left w:val="single" w:sz="4" w:space="0" w:color="auto"/>
              <w:bottom w:val="single" w:sz="4" w:space="0" w:color="auto"/>
              <w:right w:val="single" w:sz="4" w:space="0" w:color="auto"/>
            </w:tcBorders>
            <w:vAlign w:val="center"/>
          </w:tcPr>
          <w:p>
            <w:pPr>
              <w:pStyle w:val="a46"/>
              <w:spacing w:before="60" w:after="120"/>
              <w:rPr>
                <w:rFonts w:ascii="Calibri" w:eastAsia="Calibri" w:hAnsi="Calibri"/>
                <w:sz w:val="24"/>
                <w:szCs w:val="24"/>
                <w:lang w:bidi="en-US"/>
              </w:rPr>
            </w:pPr>
            <w:r>
              <w:rPr>
                <w:rFonts w:hint="eastAsia"/>
                <w:sz w:val="24"/>
                <w:szCs w:val="24"/>
                <w:lang w:bidi="en-US"/>
              </w:rPr>
              <w:t>1、面向昆明海关的专用智能审图算法</w:t>
            </w:r>
          </w:p>
          <w:p>
            <w:pPr>
              <w:pStyle w:val="a46"/>
              <w:spacing w:before="60" w:after="120"/>
              <w:rPr>
                <w:rFonts w:ascii="Calibri" w:eastAsia="Calibri" w:hAnsi="Calibri"/>
                <w:sz w:val="24"/>
                <w:szCs w:val="24"/>
                <w:lang w:bidi="en-US"/>
              </w:rPr>
            </w:pPr>
            <w:r>
              <w:rPr>
                <w:rFonts w:hint="eastAsia"/>
                <w:sz w:val="24"/>
                <w:szCs w:val="24"/>
                <w:lang w:bidi="en-US"/>
              </w:rPr>
              <w:t>昆明海关陆路边境具有大型H986设备品牌型号多、业务复杂、违禁品拦截要求高等特点，按照设备加速器种类、穿透能力等主要差异将昆明海关当前使用的、已联入集中审像的不同品牌、不同型号的</w:t>
            </w:r>
            <w:r>
              <w:rPr>
                <w:sz w:val="24"/>
                <w:szCs w:val="24"/>
                <w:lang w:bidi="en-US"/>
              </w:rPr>
              <w:t>14</w:t>
            </w:r>
            <w:r>
              <w:rPr>
                <w:rFonts w:hint="eastAsia"/>
                <w:sz w:val="24"/>
                <w:szCs w:val="24"/>
                <w:lang w:bidi="en-US"/>
              </w:rPr>
              <w:t>台</w:t>
            </w:r>
            <w:r>
              <w:rPr>
                <w:sz w:val="24"/>
                <w:szCs w:val="24"/>
                <w:lang w:bidi="en-US"/>
              </w:rPr>
              <w:t>H986</w:t>
            </w:r>
            <w:r>
              <w:rPr>
                <w:rFonts w:hint="eastAsia"/>
                <w:sz w:val="24"/>
                <w:szCs w:val="24"/>
                <w:lang w:bidi="en-US"/>
              </w:rPr>
              <w:t>设备划分为</w:t>
            </w:r>
            <w:r>
              <w:rPr>
                <w:sz w:val="24"/>
                <w:szCs w:val="24"/>
                <w:lang w:bidi="en-US"/>
              </w:rPr>
              <w:t>A</w:t>
            </w:r>
            <w:r>
              <w:rPr>
                <w:rFonts w:hint="eastAsia"/>
                <w:sz w:val="24"/>
                <w:szCs w:val="24"/>
                <w:lang w:bidi="en-US"/>
              </w:rPr>
              <w:t>、</w:t>
            </w:r>
            <w:r>
              <w:rPr>
                <w:sz w:val="24"/>
                <w:szCs w:val="24"/>
                <w:lang w:bidi="en-US"/>
              </w:rPr>
              <w:t>B</w:t>
            </w:r>
            <w:r>
              <w:rPr>
                <w:rFonts w:hint="eastAsia"/>
                <w:sz w:val="24"/>
                <w:szCs w:val="24"/>
                <w:lang w:bidi="en-US"/>
              </w:rPr>
              <w:t>两类设备，其中</w:t>
            </w:r>
            <w:r>
              <w:rPr>
                <w:sz w:val="24"/>
                <w:szCs w:val="24"/>
                <w:lang w:bidi="en-US"/>
              </w:rPr>
              <w:t>A</w:t>
            </w:r>
            <w:r>
              <w:rPr>
                <w:rFonts w:hint="eastAsia"/>
                <w:sz w:val="24"/>
                <w:szCs w:val="24"/>
                <w:lang w:bidi="en-US"/>
              </w:rPr>
              <w:t>类设备安装于瑞丽海关（出口货场）、畹町海关、腾冲海关、西双版纳海关、勐腊海关（互市）、孟连海关（勐阿）、天保海关，加速器为电子回旋加速器、能量7.5MeV；B类设备安装于瑞丽海关（进口货场）、章凤海关、孟定海关、打洛海关、勐腊海关（前置作业）、孟连海关（芒信）、河口海关，加速器为电子直线加速器，能量3/6 MeV。结合A、B两类设备成像差异，研发适配当前设备种类型号的专用智能审图算法，以满足昆明海关陆路口岸智慧机检应用的需要。</w:t>
            </w:r>
          </w:p>
          <w:p>
            <w:pPr>
              <w:pStyle w:val="a46"/>
              <w:spacing w:before="60" w:after="120"/>
              <w:rPr>
                <w:rFonts w:ascii="Calibri" w:eastAsia="Calibri" w:hAnsi="Calibri"/>
                <w:sz w:val="24"/>
                <w:szCs w:val="24"/>
                <w:lang w:bidi="en-US"/>
              </w:rPr>
            </w:pPr>
            <w:r>
              <w:rPr>
                <w:rFonts w:hint="eastAsia"/>
                <w:sz w:val="24"/>
                <w:szCs w:val="24"/>
                <w:lang w:bidi="en-US"/>
              </w:rPr>
              <w:t>2、智慧机检应用建设</w:t>
            </w:r>
          </w:p>
          <w:p>
            <w:pPr>
              <w:pStyle w:val="a46"/>
              <w:spacing w:before="60" w:after="120"/>
              <w:rPr>
                <w:rFonts w:ascii="Calibri" w:eastAsia="Calibri" w:hAnsi="Calibri"/>
                <w:sz w:val="24"/>
                <w:szCs w:val="24"/>
                <w:lang w:bidi="en-US"/>
              </w:rPr>
            </w:pPr>
            <w:bookmarkStart w:id="37" w:name="_Hlk167265969"/>
            <w:r>
              <w:rPr>
                <w:rFonts w:hint="eastAsia"/>
                <w:sz w:val="24"/>
                <w:szCs w:val="24"/>
                <w:lang w:bidi="en-US"/>
              </w:rPr>
              <w:t>（1）将新研发的特色商品智能验证、车体夹藏检测等特色智能审图算法融入现有作业流程。</w:t>
            </w:r>
          </w:p>
          <w:p>
            <w:pPr>
              <w:pStyle w:val="a46"/>
              <w:spacing w:before="60" w:after="120"/>
              <w:rPr>
                <w:rFonts w:ascii="Calibri" w:eastAsia="Calibri" w:hAnsi="Calibri"/>
                <w:sz w:val="24"/>
                <w:szCs w:val="24"/>
                <w:lang w:bidi="en-US"/>
              </w:rPr>
            </w:pPr>
            <w:r>
              <w:rPr>
                <w:rFonts w:hint="eastAsia"/>
                <w:sz w:val="24"/>
                <w:szCs w:val="24"/>
                <w:lang w:bidi="en-US"/>
              </w:rPr>
              <w:t>（2）实现对前置智能机检（边民互市进出境）进出境指令、图像获取及对碰，并调用相关专用智能审图算法对机检图像进行判定识别，实现智能审图径放。</w:t>
            </w:r>
          </w:p>
          <w:p>
            <w:pPr>
              <w:pStyle w:val="a46"/>
              <w:spacing w:before="60" w:after="120"/>
              <w:rPr>
                <w:rFonts w:ascii="Calibri" w:eastAsia="Calibri" w:hAnsi="Calibri"/>
                <w:sz w:val="24"/>
                <w:szCs w:val="24"/>
                <w:lang w:bidi="en-US"/>
              </w:rPr>
            </w:pPr>
            <w:r>
              <w:rPr>
                <w:rFonts w:hint="eastAsia"/>
                <w:sz w:val="24"/>
                <w:szCs w:val="24"/>
                <w:lang w:bidi="en-US"/>
              </w:rPr>
              <w:t>（3）在无申报前提下，实现对前置智能机检筛查（无指令）车辆过机图像获取，并调用相关专用智能审图算法对机检图像进行判定识别，实现无申报条件下对货物（商品）的自动识别及径放功能。</w:t>
            </w:r>
          </w:p>
          <w:p>
            <w:pPr>
              <w:pStyle w:val="a46"/>
              <w:spacing w:before="60" w:after="120"/>
              <w:rPr>
                <w:rFonts w:ascii="Calibri" w:eastAsia="Calibri" w:hAnsi="Calibri"/>
                <w:sz w:val="24"/>
                <w:szCs w:val="24"/>
                <w:lang w:bidi="en-US"/>
              </w:rPr>
            </w:pPr>
            <w:r>
              <w:rPr>
                <w:rFonts w:hint="eastAsia"/>
                <w:sz w:val="24"/>
                <w:szCs w:val="24"/>
                <w:lang w:bidi="en-US"/>
              </w:rPr>
              <w:t>（4）建设与之配套的前置智能机检信息现场处置模块。</w:t>
            </w:r>
          </w:p>
          <w:p>
            <w:pPr>
              <w:pStyle w:val="a46"/>
              <w:spacing w:before="60" w:after="120"/>
              <w:rPr>
                <w:rFonts w:ascii="Calibri" w:eastAsia="Calibri" w:hAnsi="Calibri"/>
                <w:sz w:val="24"/>
                <w:szCs w:val="24"/>
                <w:lang w:bidi="en-US"/>
              </w:rPr>
            </w:pPr>
            <w:bookmarkEnd w:id="37"/>
            <w:r>
              <w:rPr>
                <w:sz w:val="24"/>
                <w:szCs w:val="24"/>
                <w:lang w:bidi="en-US"/>
              </w:rPr>
              <w:t>3</w:t>
            </w:r>
            <w:r>
              <w:rPr>
                <w:rFonts w:hint="eastAsia"/>
                <w:sz w:val="24"/>
                <w:szCs w:val="24"/>
                <w:lang w:bidi="en-US"/>
              </w:rPr>
              <w:t>、数据交互</w:t>
            </w:r>
          </w:p>
          <w:p>
            <w:pPr>
              <w:pStyle w:val="a46"/>
              <w:spacing w:before="60" w:after="120"/>
              <w:rPr>
                <w:rFonts w:ascii="Calibri" w:eastAsia="Calibri" w:hAnsi="Calibri"/>
                <w:sz w:val="24"/>
                <w:szCs w:val="24"/>
                <w:lang w:bidi="en-US"/>
              </w:rPr>
            </w:pPr>
            <w:r>
              <w:rPr>
                <w:rFonts w:hint="eastAsia"/>
                <w:sz w:val="24"/>
                <w:szCs w:val="24"/>
                <w:lang w:bidi="en-US"/>
              </w:rPr>
              <w:t>机检数据交互粘合、打通昆明海关数据中台应用、新一代联网集中审像应用与智慧机检应用的数据通路。实现申报数据订阅获取、机检检查指令接收，申报数据在机检、智能审图系统中落地应用，为智能审图提供申报信息，提升智审应用效果，并将机检结果信息进行反馈以便后续的处置。</w:t>
            </w:r>
          </w:p>
          <w:p>
            <w:pPr>
              <w:pStyle w:val="a46"/>
              <w:spacing w:before="60" w:after="120"/>
              <w:rPr>
                <w:rFonts w:ascii="Calibri" w:eastAsia="Calibri" w:hAnsi="Calibri"/>
                <w:sz w:val="24"/>
                <w:szCs w:val="24"/>
                <w:lang w:bidi="en-US"/>
              </w:rPr>
            </w:pPr>
            <w:r>
              <w:rPr>
                <w:rFonts w:hint="eastAsia"/>
                <w:sz w:val="24"/>
                <w:szCs w:val="24"/>
                <w:lang w:bidi="en-US"/>
              </w:rPr>
              <w:t>4、综合查询统计</w:t>
            </w:r>
          </w:p>
          <w:p>
            <w:pPr>
              <w:pStyle w:val="a46"/>
              <w:spacing w:before="60" w:after="120"/>
              <w:rPr>
                <w:rFonts w:ascii="Calibri" w:eastAsia="Calibri" w:hAnsi="Calibri"/>
                <w:sz w:val="24"/>
                <w:szCs w:val="24"/>
                <w:lang w:bidi="en-US"/>
              </w:rPr>
            </w:pPr>
            <w:r>
              <w:rPr>
                <w:rFonts w:hint="eastAsia"/>
                <w:sz w:val="24"/>
                <w:szCs w:val="24"/>
                <w:lang w:bidi="en-US"/>
              </w:rPr>
              <w:t>系统需将项目中的机检检查数据以及昆明海关特色智能审图应用数据进行整合，实现相关数据的查询统计并提供数据导出功能。</w:t>
            </w:r>
          </w:p>
          <w:p>
            <w:pPr>
              <w:pStyle w:val="a46"/>
              <w:spacing w:before="60" w:after="120"/>
              <w:rPr>
                <w:rFonts w:ascii="Calibri" w:eastAsia="Calibri" w:hAnsi="Calibri"/>
                <w:sz w:val="24"/>
                <w:szCs w:val="24"/>
                <w:lang w:bidi="en-US"/>
              </w:rPr>
            </w:pPr>
            <w:r>
              <w:rPr>
                <w:rFonts w:cs="Times New Roman" w:hint="eastAsia"/>
                <w:sz w:val="24"/>
                <w:szCs w:val="24"/>
                <w:lang w:bidi="en-US"/>
              </w:rPr>
              <w:t>5、</w:t>
            </w:r>
            <w:r>
              <w:rPr>
                <w:rFonts w:hint="eastAsia"/>
                <w:sz w:val="24"/>
                <w:szCs w:val="24"/>
                <w:lang w:bidi="en-US"/>
              </w:rPr>
              <w:t>算法评估</w:t>
            </w:r>
          </w:p>
          <w:p>
            <w:pPr>
              <w:pStyle w:val="a46"/>
              <w:spacing w:before="60" w:after="120"/>
              <w:rPr>
                <w:rFonts w:ascii="Calibri" w:eastAsia="Calibri" w:hAnsi="Calibri" w:cs="Times New Roman"/>
                <w:sz w:val="24"/>
                <w:szCs w:val="24"/>
                <w:lang w:bidi="en-US"/>
              </w:rPr>
            </w:pPr>
            <w:r>
              <w:rPr>
                <w:rFonts w:hint="eastAsia"/>
                <w:sz w:val="24"/>
                <w:szCs w:val="24"/>
                <w:lang w:bidi="en-US"/>
              </w:rPr>
              <w:t>系统应实现对新研发特色算法在不同维度（业务类型、商品类</w:t>
            </w:r>
            <w:r>
              <w:rPr>
                <w:rFonts w:cs="Times New Roman" w:hint="eastAsia"/>
                <w:sz w:val="24"/>
                <w:szCs w:val="24"/>
                <w:lang w:bidi="en-US"/>
              </w:rPr>
              <w:t>型、设备等）不同周期内的应用效果进行验证与评估。</w:t>
            </w:r>
          </w:p>
          <w:p>
            <w:pPr>
              <w:pStyle w:val="a46"/>
              <w:spacing w:before="60" w:after="120"/>
              <w:rPr>
                <w:rFonts w:ascii="Calibri" w:eastAsia="Calibri" w:hAnsi="Calibri"/>
                <w:sz w:val="24"/>
                <w:szCs w:val="24"/>
                <w:lang w:bidi="en-US"/>
              </w:rPr>
            </w:pPr>
            <w:r>
              <w:rPr>
                <w:rFonts w:cs="Times New Roman" w:hint="eastAsia"/>
                <w:sz w:val="24"/>
                <w:szCs w:val="24"/>
                <w:lang w:bidi="en-US"/>
              </w:rPr>
              <w:t>6、</w:t>
            </w:r>
            <w:r>
              <w:rPr>
                <w:rFonts w:hint="eastAsia"/>
                <w:sz w:val="24"/>
                <w:szCs w:val="24"/>
                <w:lang w:bidi="en-US"/>
              </w:rPr>
              <w:t>业务管理</w:t>
            </w:r>
          </w:p>
          <w:p>
            <w:pPr>
              <w:pStyle w:val="a46"/>
              <w:spacing w:before="60" w:after="120"/>
              <w:rPr>
                <w:rFonts w:ascii="Calibri" w:eastAsia="Calibri" w:hAnsi="Calibri"/>
                <w:sz w:val="24"/>
                <w:szCs w:val="24"/>
                <w:lang w:bidi="en-US"/>
              </w:rPr>
            </w:pPr>
            <w:r>
              <w:rPr>
                <w:rFonts w:hint="eastAsia"/>
                <w:sz w:val="24"/>
                <w:szCs w:val="24"/>
                <w:lang w:bidi="en-US"/>
              </w:rPr>
              <w:t>系统应实现对智能审图算法应用相关参数进行分级管理及调整。以实现对不同应用场景实施不同智能审图策略的目标。</w:t>
            </w:r>
          </w:p>
          <w:p>
            <w:pPr>
              <w:pStyle w:val="a46"/>
              <w:spacing w:before="60" w:after="120"/>
              <w:rPr>
                <w:rFonts w:ascii="Calibri" w:eastAsia="Calibri" w:hAnsi="Calibri"/>
                <w:sz w:val="24"/>
                <w:szCs w:val="24"/>
                <w:lang w:bidi="en-US"/>
              </w:rPr>
            </w:pPr>
            <w:r>
              <w:rPr>
                <w:rFonts w:cs="Times New Roman"/>
                <w:sz w:val="24"/>
                <w:szCs w:val="24"/>
                <w:lang w:bidi="en-US"/>
              </w:rPr>
              <w:t>7</w:t>
            </w:r>
            <w:r>
              <w:rPr>
                <w:rFonts w:cs="Times New Roman" w:hint="eastAsia"/>
                <w:sz w:val="24"/>
                <w:szCs w:val="24"/>
                <w:lang w:bidi="en-US"/>
              </w:rPr>
              <w:t>、</w:t>
            </w:r>
            <w:r>
              <w:rPr>
                <w:rFonts w:hint="eastAsia"/>
                <w:sz w:val="24"/>
                <w:szCs w:val="24"/>
                <w:lang w:bidi="en-US"/>
              </w:rPr>
              <w:t>数据可视化展示</w:t>
            </w:r>
          </w:p>
          <w:p>
            <w:pPr>
              <w:pStyle w:val="a46"/>
              <w:spacing w:before="60" w:after="120"/>
              <w:rPr>
                <w:rFonts w:ascii="Calibri" w:eastAsia="Calibri" w:hAnsi="Calibri"/>
                <w:sz w:val="24"/>
                <w:szCs w:val="24"/>
                <w:lang w:bidi="en-US"/>
              </w:rPr>
            </w:pPr>
            <w:r>
              <w:rPr>
                <w:rFonts w:hint="eastAsia"/>
                <w:sz w:val="24"/>
                <w:szCs w:val="24"/>
                <w:lang w:bidi="en-US"/>
              </w:rPr>
              <w:t>系统需实现查询统计与算法评估相关数据的图表可视化与展示功能。</w:t>
            </w:r>
          </w:p>
          <w:p>
            <w:pPr>
              <w:pStyle w:val="a46"/>
              <w:spacing w:before="60" w:after="120"/>
              <w:rPr>
                <w:rFonts w:ascii="Calibri" w:eastAsia="Calibri" w:hAnsi="Calibri"/>
                <w:sz w:val="24"/>
                <w:szCs w:val="24"/>
                <w:lang w:bidi="en-US"/>
              </w:rPr>
            </w:pPr>
            <w:r>
              <w:rPr>
                <w:sz w:val="24"/>
                <w:szCs w:val="24"/>
                <w:lang w:bidi="en-US"/>
              </w:rPr>
              <w:t>8</w:t>
            </w:r>
            <w:r>
              <w:rPr>
                <w:rFonts w:hint="eastAsia"/>
                <w:sz w:val="24"/>
                <w:szCs w:val="24"/>
                <w:lang w:bidi="en-US"/>
              </w:rPr>
              <w:t>、优化完善</w:t>
            </w:r>
          </w:p>
          <w:p>
            <w:pPr>
              <w:pStyle w:val="a46"/>
              <w:spacing w:before="60" w:after="120"/>
              <w:rPr>
                <w:rFonts w:ascii="Calibri" w:eastAsia="Calibri" w:hAnsi="Calibri"/>
                <w:sz w:val="24"/>
                <w:szCs w:val="24"/>
                <w:lang w:bidi="en-US"/>
              </w:rPr>
            </w:pPr>
            <w:r>
              <w:rPr>
                <w:rFonts w:hint="eastAsia"/>
                <w:sz w:val="24"/>
                <w:szCs w:val="24"/>
                <w:lang w:bidi="en-US"/>
              </w:rPr>
              <w:t>根据业务需求，聚焦实际作业场景，持续对智能审图算法及智慧机检应用进行完善与优化。</w:t>
            </w:r>
          </w:p>
        </w:tc>
      </w:tr>
      <w:tr>
        <w:tblPrEx>
          <w:tblW w:w="9060" w:type="dxa"/>
          <w:jc w:val="center"/>
          <w:tblLayout w:type="fixed"/>
          <w:tblCellMar>
            <w:top w:w="0" w:type="dxa"/>
            <w:left w:w="108" w:type="dxa"/>
            <w:bottom w:w="0" w:type="dxa"/>
            <w:right w:w="108" w:type="dxa"/>
          </w:tblCellMar>
        </w:tblPrEx>
        <w:trPr>
          <w:trHeight w:val="20"/>
          <w:jc w:val="center"/>
        </w:trPr>
        <w:tc>
          <w:tcPr>
            <w:tcW w:w="758" w:type="dxa"/>
            <w:tcBorders>
              <w:top w:val="single" w:sz="4" w:space="0" w:color="auto"/>
              <w:left w:val="single" w:sz="4" w:space="0" w:color="auto"/>
              <w:bottom w:val="single" w:sz="4" w:space="0" w:color="auto"/>
              <w:right w:val="single" w:sz="4" w:space="0" w:color="auto"/>
            </w:tcBorders>
            <w:vAlign w:val="center"/>
          </w:tcPr>
          <w:p>
            <w:pPr>
              <w:spacing w:before="120" w:beforeLines="50" w:after="120" w:afterLines="50"/>
              <w:ind w:firstLine="0"/>
              <w:jc w:val="center"/>
              <w:rPr>
                <w:rFonts w:ascii="Times New Roman" w:eastAsia="宋体" w:hAnsi="Times New Roman"/>
              </w:rPr>
            </w:pPr>
            <w:r>
              <w:rPr>
                <w:rFonts w:ascii="Times New Roman" w:eastAsia="宋体" w:hAnsi="Times New Roman" w:hint="eastAsia"/>
              </w:rPr>
              <w:t>6</w:t>
            </w:r>
          </w:p>
        </w:tc>
        <w:tc>
          <w:tcPr>
            <w:tcW w:w="2498" w:type="dxa"/>
            <w:tcBorders>
              <w:top w:val="single" w:sz="4" w:space="0" w:color="auto"/>
              <w:left w:val="single" w:sz="4" w:space="0" w:color="auto"/>
              <w:bottom w:val="single" w:sz="4" w:space="0" w:color="auto"/>
              <w:right w:val="single" w:sz="4" w:space="0" w:color="auto"/>
            </w:tcBorders>
            <w:vAlign w:val="center"/>
          </w:tcPr>
          <w:p>
            <w:pPr>
              <w:spacing w:before="120" w:beforeLines="50" w:after="120" w:afterLines="50"/>
              <w:ind w:firstLine="0"/>
              <w:jc w:val="center"/>
              <w:rPr>
                <w:rFonts w:ascii="Times New Roman" w:eastAsia="宋体" w:hAnsi="Times New Roman"/>
                <w:b/>
              </w:rPr>
            </w:pPr>
            <w:r>
              <w:rPr>
                <w:rFonts w:ascii="Times New Roman" w:eastAsia="宋体" w:hAnsi="Times New Roman" w:hint="eastAsia"/>
                <w:b/>
              </w:rPr>
              <w:t>与前期项目的关系</w:t>
            </w:r>
          </w:p>
        </w:tc>
        <w:tc>
          <w:tcPr>
            <w:tcW w:w="5804" w:type="dxa"/>
            <w:tcBorders>
              <w:top w:val="single" w:sz="4" w:space="0" w:color="auto"/>
              <w:left w:val="single" w:sz="4" w:space="0" w:color="auto"/>
              <w:bottom w:val="single" w:sz="4" w:space="0" w:color="auto"/>
              <w:right w:val="single" w:sz="4" w:space="0" w:color="auto"/>
            </w:tcBorders>
            <w:vAlign w:val="center"/>
          </w:tcPr>
          <w:p>
            <w:pPr>
              <w:pStyle w:val="a46"/>
              <w:spacing w:before="60" w:after="120"/>
              <w:rPr>
                <w:rFonts w:ascii="Calibri" w:eastAsia="Calibri" w:hAnsi="Calibri"/>
                <w:sz w:val="24"/>
                <w:szCs w:val="24"/>
                <w:lang w:bidi="en-US"/>
              </w:rPr>
            </w:pPr>
            <w:r>
              <w:rPr>
                <w:rFonts w:hint="eastAsia"/>
                <w:sz w:val="24"/>
                <w:szCs w:val="24"/>
                <w:lang w:bidi="en-US"/>
              </w:rPr>
              <w:t>1、本项目将基于新的架构或开发语言，根据新的业务需求建设昆明海关陆路边境口岸</w:t>
            </w:r>
            <w:r>
              <w:rPr>
                <w:sz w:val="24"/>
                <w:szCs w:val="24"/>
                <w:lang w:bidi="en-US"/>
              </w:rPr>
              <w:t>24</w:t>
            </w:r>
            <w:r>
              <w:rPr>
                <w:rFonts w:hint="eastAsia"/>
                <w:sz w:val="24"/>
                <w:szCs w:val="24"/>
                <w:lang w:bidi="en-US"/>
              </w:rPr>
              <w:t>小时智慧机检应用。</w:t>
            </w:r>
          </w:p>
          <w:p>
            <w:pPr>
              <w:pStyle w:val="a46"/>
              <w:spacing w:before="60" w:after="120"/>
              <w:rPr>
                <w:sz w:val="24"/>
                <w:szCs w:val="24"/>
                <w:lang w:bidi="en-US"/>
              </w:rPr>
            </w:pPr>
            <w:r>
              <w:rPr>
                <w:sz w:val="24"/>
                <w:szCs w:val="24"/>
                <w:lang w:bidi="en-US"/>
              </w:rPr>
              <w:t>2</w:t>
            </w:r>
            <w:r>
              <w:rPr>
                <w:rFonts w:hint="eastAsia"/>
                <w:sz w:val="24"/>
                <w:szCs w:val="24"/>
                <w:lang w:bidi="en-US"/>
              </w:rPr>
              <w:t>、本项目的建设需与海关现有的昆明海关数据中台应用、新一代联网集中审像应用实现数据交互与系统集成应用，获取边民互市、舱单等相关信息并实现关联。</w:t>
            </w:r>
          </w:p>
          <w:p>
            <w:pPr>
              <w:pStyle w:val="a46"/>
              <w:spacing w:before="60" w:after="120"/>
              <w:rPr>
                <w:rFonts w:ascii="Calibri" w:eastAsia="Calibri" w:hAnsi="Calibri"/>
                <w:sz w:val="24"/>
                <w:szCs w:val="24"/>
                <w:lang w:bidi="en-US"/>
              </w:rPr>
            </w:pPr>
            <w:r>
              <w:rPr>
                <w:rFonts w:ascii="宋体"/>
                <w:sz w:val="24"/>
                <w:szCs w:val="24"/>
                <w:lang w:bidi="en-US"/>
              </w:rPr>
              <w:t>昆明海关数据中台：昆明海关已有的数据中间层服务平台，用于向智慧机检应用提供相关指令、单据信息，并接收智慧机检应用反馈的相关机检结果。</w:t>
            </w:r>
          </w:p>
          <w:p>
            <w:pPr>
              <w:pStyle w:val="a46"/>
              <w:spacing w:before="60" w:after="120"/>
              <w:rPr>
                <w:rFonts w:ascii="Calibri" w:eastAsia="Calibri" w:hAnsi="Calibri"/>
                <w:sz w:val="24"/>
                <w:szCs w:val="24"/>
                <w:lang w:bidi="en-US"/>
              </w:rPr>
            </w:pPr>
            <w:r>
              <w:rPr>
                <w:rFonts w:ascii="宋体" w:hint="eastAsia"/>
                <w:sz w:val="24"/>
                <w:szCs w:val="24"/>
                <w:lang w:bidi="en-US"/>
              </w:rPr>
              <w:t>新一代联网集中审像应用：新一代查验管理系统下用于实现集中审像功能的机检应用系统，对于已经在智慧机检完成扫描的图像，可以在集中审像应用中进行复用，避免二次过机。同时可以在集中审像应用中调用相关新研发特色算法。</w:t>
            </w:r>
          </w:p>
          <w:p>
            <w:pPr>
              <w:pStyle w:val="a46"/>
              <w:spacing w:before="60" w:after="120"/>
              <w:rPr>
                <w:rFonts w:ascii="Calibri" w:eastAsia="Calibri" w:hAnsi="Calibri"/>
                <w:sz w:val="24"/>
                <w:szCs w:val="24"/>
                <w:lang w:bidi="en-US"/>
              </w:rPr>
            </w:pPr>
            <w:r>
              <w:rPr>
                <w:rFonts w:ascii="Calibri" w:eastAsia="Calibri" w:hAnsi="Calibri"/>
                <w:sz w:val="24"/>
                <w:szCs w:val="24"/>
                <w:lang w:bidi="en-US"/>
              </w:rPr>
              <w:t>H4A</w:t>
            </w:r>
            <w:r>
              <w:rPr>
                <w:rFonts w:ascii="宋体" w:hint="eastAsia"/>
                <w:sz w:val="24"/>
                <w:szCs w:val="24"/>
                <w:lang w:bidi="en-US"/>
              </w:rPr>
              <w:t>：海关已有的身份认证、授权平台，用于向智慧机检应用提供授权认证和权限管理。</w:t>
            </w:r>
          </w:p>
        </w:tc>
      </w:tr>
      <w:tr>
        <w:tblPrEx>
          <w:tblW w:w="9060" w:type="dxa"/>
          <w:jc w:val="center"/>
          <w:tblLayout w:type="fixed"/>
          <w:tblCellMar>
            <w:top w:w="0" w:type="dxa"/>
            <w:left w:w="108" w:type="dxa"/>
            <w:bottom w:w="0" w:type="dxa"/>
            <w:right w:w="108" w:type="dxa"/>
          </w:tblCellMar>
        </w:tblPrEx>
        <w:trPr>
          <w:trHeight w:val="20"/>
          <w:jc w:val="center"/>
        </w:trPr>
        <w:tc>
          <w:tcPr>
            <w:tcW w:w="758" w:type="dxa"/>
            <w:tcBorders>
              <w:top w:val="single" w:sz="4" w:space="0" w:color="auto"/>
              <w:left w:val="single" w:sz="4" w:space="0" w:color="auto"/>
              <w:bottom w:val="single" w:sz="4" w:space="0" w:color="auto"/>
              <w:right w:val="single" w:sz="4" w:space="0" w:color="auto"/>
            </w:tcBorders>
            <w:vAlign w:val="center"/>
          </w:tcPr>
          <w:p>
            <w:pPr>
              <w:pStyle w:val="353"/>
              <w:spacing w:before="120" w:beforeLines="50" w:after="120" w:afterLines="50"/>
              <w:ind w:firstLine="0"/>
              <w:jc w:val="center"/>
              <w:rPr>
                <w:rFonts w:ascii="Times New Roman" w:eastAsia="宋体" w:hAnsi="Times New Roman"/>
              </w:rPr>
            </w:pPr>
            <w:r>
              <w:rPr>
                <w:rFonts w:ascii="Times New Roman" w:eastAsia="宋体" w:hAnsi="Times New Roman" w:hint="eastAsia"/>
              </w:rPr>
              <w:t>7</w:t>
            </w:r>
          </w:p>
        </w:tc>
        <w:tc>
          <w:tcPr>
            <w:tcW w:w="2498" w:type="dxa"/>
            <w:tcBorders>
              <w:top w:val="single" w:sz="4" w:space="0" w:color="auto"/>
              <w:left w:val="single" w:sz="4" w:space="0" w:color="auto"/>
              <w:bottom w:val="single" w:sz="4" w:space="0" w:color="auto"/>
              <w:right w:val="single" w:sz="4" w:space="0" w:color="auto"/>
            </w:tcBorders>
            <w:vAlign w:val="center"/>
          </w:tcPr>
          <w:p>
            <w:pPr>
              <w:pStyle w:val="343"/>
              <w:spacing w:before="120" w:beforeLines="50" w:after="120" w:afterLines="50"/>
              <w:ind w:firstLine="0"/>
              <w:jc w:val="center"/>
              <w:rPr>
                <w:rFonts w:ascii="Times New Roman" w:eastAsia="宋体" w:hAnsi="Times New Roman"/>
                <w:b/>
              </w:rPr>
            </w:pPr>
            <w:r>
              <w:rPr>
                <w:rFonts w:ascii="Times New Roman" w:eastAsia="宋体" w:hAnsi="Times New Roman" w:hint="eastAsia"/>
                <w:b/>
              </w:rPr>
              <w:t>项目履约时间</w:t>
            </w:r>
            <w:r>
              <w:rPr>
                <w:rFonts w:hint="eastAsia"/>
              </w:rPr>
              <w:t>★</w:t>
            </w:r>
          </w:p>
        </w:tc>
        <w:tc>
          <w:tcPr>
            <w:tcW w:w="5804" w:type="dxa"/>
            <w:tcBorders>
              <w:top w:val="single" w:sz="4" w:space="0" w:color="auto"/>
              <w:left w:val="single" w:sz="4" w:space="0" w:color="auto"/>
              <w:bottom w:val="single" w:sz="4" w:space="0" w:color="auto"/>
              <w:right w:val="single" w:sz="4" w:space="0" w:color="auto"/>
            </w:tcBorders>
            <w:vAlign w:val="center"/>
          </w:tcPr>
          <w:p>
            <w:pPr>
              <w:pStyle w:val="a46"/>
              <w:spacing w:before="60" w:after="120"/>
              <w:rPr>
                <w:rFonts w:ascii="Calibri" w:eastAsia="Calibri" w:hAnsi="Calibri"/>
                <w:sz w:val="24"/>
                <w:szCs w:val="24"/>
                <w:lang w:bidi="en-US"/>
              </w:rPr>
            </w:pPr>
            <w:r>
              <w:rPr>
                <w:color w:val="000000"/>
                <w:sz w:val="24"/>
                <w:szCs w:val="24"/>
                <w:lang w:bidi="en-US"/>
              </w:rPr>
              <w:t>项目建设工期为自合同签订起24个月。项目验收合格，提供3年免费售后服务。</w:t>
            </w:r>
            <w:r>
              <w:rPr>
                <w:rFonts w:hint="eastAsia"/>
                <w:color w:val="000000"/>
                <w:sz w:val="24"/>
                <w:szCs w:val="24"/>
                <w:lang w:bidi="en-US"/>
              </w:rPr>
              <w:t>提供承诺函并加盖单位公章</w:t>
            </w:r>
            <w:r>
              <w:rPr>
                <w:rFonts w:hint="eastAsia"/>
                <w:sz w:val="24"/>
                <w:szCs w:val="24"/>
                <w:lang w:bidi="en-US"/>
              </w:rPr>
              <w:t>。</w:t>
            </w:r>
          </w:p>
        </w:tc>
      </w:tr>
    </w:tbl>
    <w:p>
      <w:pPr>
        <w:rPr>
          <w:rFonts w:ascii="宋体" w:eastAsia="宋体"/>
        </w:rPr>
      </w:pPr>
    </w:p>
    <w:p>
      <w:pPr>
        <w:pStyle w:val="Heading2"/>
        <w:numPr>
          <w:ilvl w:val="0"/>
          <w:numId w:val="2"/>
        </w:numPr>
        <w:rPr>
          <w:rFonts w:ascii="宋体" w:eastAsia="宋体" w:hint="eastAsia"/>
        </w:rPr>
      </w:pPr>
      <w:bookmarkStart w:id="38" w:name="集成需求"/>
      <w:r>
        <w:rPr>
          <w:rFonts w:ascii="宋体" w:eastAsia="宋体" w:hint="eastAsia"/>
        </w:rPr>
        <w:t>集成需求</w:t>
      </w:r>
      <w:bookmarkEnd w:id="38"/>
    </w:p>
    <w:tbl>
      <w:tblPr>
        <w:tblW w:w="8520"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4"/>
        <w:gridCol w:w="1904"/>
        <w:gridCol w:w="4196"/>
        <w:gridCol w:w="1716"/>
      </w:tblGrid>
      <w:tr>
        <w:tblPrEx>
          <w:tblW w:w="8520"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0"/>
          <w:jc w:val="left"/>
        </w:trPr>
        <w:tc>
          <w:tcPr>
            <w:tcW w:w="704" w:type="dxa"/>
            <w:tcBorders>
              <w:top w:val="single" w:sz="4" w:space="0" w:color="auto"/>
              <w:left w:val="single" w:sz="4" w:space="0" w:color="auto"/>
              <w:bottom w:val="single" w:sz="4" w:space="0" w:color="auto"/>
              <w:right w:val="single" w:sz="4" w:space="0" w:color="auto"/>
            </w:tcBorders>
            <w:shd w:val="clear" w:color="auto" w:fill="A6A6A6"/>
            <w:vAlign w:val="center"/>
          </w:tcPr>
          <w:p>
            <w:pPr>
              <w:ind w:firstLine="0"/>
              <w:jc w:val="center"/>
              <w:rPr>
                <w:rFonts w:ascii="Times New Roman" w:eastAsia="宋体" w:hAnsi="Times New Roman"/>
                <w:b/>
              </w:rPr>
            </w:pPr>
            <w:r>
              <w:rPr>
                <w:rFonts w:ascii="Times New Roman" w:eastAsia="宋体" w:hAnsi="Times New Roman" w:hint="eastAsia"/>
                <w:b/>
              </w:rPr>
              <w:t>序号</w:t>
            </w:r>
          </w:p>
        </w:tc>
        <w:tc>
          <w:tcPr>
            <w:tcW w:w="1904" w:type="dxa"/>
            <w:tcBorders>
              <w:top w:val="single" w:sz="4" w:space="0" w:color="auto"/>
              <w:left w:val="single" w:sz="4" w:space="0" w:color="auto"/>
              <w:bottom w:val="single" w:sz="4" w:space="0" w:color="auto"/>
              <w:right w:val="single" w:sz="4" w:space="0" w:color="auto"/>
            </w:tcBorders>
            <w:shd w:val="clear" w:color="auto" w:fill="A6A6A6"/>
            <w:vAlign w:val="center"/>
          </w:tcPr>
          <w:p>
            <w:pPr>
              <w:ind w:firstLine="0"/>
              <w:jc w:val="center"/>
              <w:rPr>
                <w:rFonts w:ascii="Times New Roman" w:eastAsia="宋体" w:hAnsi="Times New Roman"/>
                <w:b/>
              </w:rPr>
            </w:pPr>
            <w:r>
              <w:rPr>
                <w:rFonts w:ascii="Times New Roman" w:eastAsia="宋体" w:hAnsi="Times New Roman" w:hint="eastAsia"/>
                <w:b/>
              </w:rPr>
              <w:t>内容</w:t>
            </w:r>
          </w:p>
        </w:tc>
        <w:tc>
          <w:tcPr>
            <w:tcW w:w="4196" w:type="dxa"/>
            <w:tcBorders>
              <w:top w:val="single" w:sz="4" w:space="0" w:color="auto"/>
              <w:left w:val="single" w:sz="4" w:space="0" w:color="auto"/>
              <w:bottom w:val="single" w:sz="4" w:space="0" w:color="auto"/>
              <w:right w:val="single" w:sz="4" w:space="0" w:color="auto"/>
            </w:tcBorders>
            <w:shd w:val="clear" w:color="auto" w:fill="A6A6A6"/>
            <w:vAlign w:val="center"/>
          </w:tcPr>
          <w:p>
            <w:pPr>
              <w:ind w:firstLine="0"/>
              <w:jc w:val="center"/>
              <w:rPr>
                <w:rFonts w:ascii="Times New Roman" w:eastAsia="宋体" w:hAnsi="Times New Roman"/>
                <w:b/>
              </w:rPr>
            </w:pPr>
            <w:r>
              <w:rPr>
                <w:rFonts w:ascii="Times New Roman" w:eastAsia="宋体" w:hAnsi="Times New Roman" w:hint="eastAsia"/>
                <w:b/>
              </w:rPr>
              <w:t>说明</w:t>
            </w:r>
          </w:p>
        </w:tc>
        <w:tc>
          <w:tcPr>
            <w:tcW w:w="1716" w:type="dxa"/>
            <w:tcBorders>
              <w:top w:val="single" w:sz="4" w:space="0" w:color="auto"/>
              <w:left w:val="single" w:sz="4" w:space="0" w:color="auto"/>
              <w:bottom w:val="single" w:sz="4" w:space="0" w:color="auto"/>
              <w:right w:val="single" w:sz="4" w:space="0" w:color="auto"/>
            </w:tcBorders>
            <w:shd w:val="clear" w:color="auto" w:fill="A6A6A6"/>
            <w:vAlign w:val="center"/>
          </w:tcPr>
          <w:p>
            <w:pPr>
              <w:ind w:firstLine="0"/>
              <w:jc w:val="center"/>
              <w:rPr>
                <w:rFonts w:ascii="Times New Roman" w:eastAsia="宋体" w:hAnsi="Times New Roman"/>
                <w:b/>
              </w:rPr>
            </w:pPr>
            <w:r>
              <w:rPr>
                <w:rFonts w:ascii="Times New Roman" w:eastAsia="宋体" w:hAnsi="Times New Roman" w:hint="eastAsia"/>
                <w:b/>
              </w:rPr>
              <w:t>证明材料要求</w:t>
            </w:r>
          </w:p>
        </w:tc>
      </w:tr>
      <w:tr>
        <w:tblPrEx>
          <w:tblW w:w="8520" w:type="dxa"/>
          <w:jc w:val="left"/>
          <w:tblInd w:w="0" w:type="dxa"/>
          <w:tblLayout w:type="fixed"/>
          <w:tblCellMar>
            <w:top w:w="0" w:type="dxa"/>
            <w:left w:w="108" w:type="dxa"/>
            <w:bottom w:w="0" w:type="dxa"/>
            <w:right w:w="108" w:type="dxa"/>
          </w:tblCellMar>
        </w:tblPrEx>
        <w:trPr>
          <w:trHeight w:val="20"/>
          <w:jc w:val="left"/>
        </w:trPr>
        <w:tc>
          <w:tcPr>
            <w:tcW w:w="704"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Times New Roman" w:eastAsia="宋体" w:hAnsi="Times New Roman"/>
              </w:rPr>
            </w:pPr>
            <w:r>
              <w:rPr>
                <w:rFonts w:ascii="Times New Roman" w:eastAsia="宋体" w:hAnsi="Times New Roman" w:hint="eastAsia"/>
                <w:b/>
              </w:rPr>
              <w:t>1</w:t>
            </w:r>
          </w:p>
        </w:tc>
        <w:tc>
          <w:tcPr>
            <w:tcW w:w="1904" w:type="dxa"/>
            <w:tcBorders>
              <w:top w:val="single" w:sz="4" w:space="0" w:color="auto"/>
              <w:left w:val="single" w:sz="4" w:space="0" w:color="auto"/>
              <w:bottom w:val="single" w:sz="4" w:space="0" w:color="auto"/>
              <w:right w:val="single" w:sz="4" w:space="0" w:color="auto"/>
            </w:tcBorders>
            <w:vAlign w:val="center"/>
          </w:tcPr>
          <w:p>
            <w:pPr>
              <w:ind w:firstLine="0"/>
              <w:rPr>
                <w:rFonts w:ascii="Times New Roman" w:eastAsia="宋体" w:hAnsi="Times New Roman"/>
                <w:b/>
              </w:rPr>
            </w:pPr>
            <w:r>
              <w:rPr>
                <w:rFonts w:ascii="Times New Roman" w:eastAsia="宋体" w:hAnsi="Times New Roman" w:hint="eastAsia"/>
                <w:b/>
              </w:rPr>
              <w:t>业务需求</w:t>
            </w:r>
          </w:p>
        </w:tc>
        <w:tc>
          <w:tcPr>
            <w:tcW w:w="4196" w:type="dxa"/>
            <w:tcBorders>
              <w:top w:val="single" w:sz="4" w:space="0" w:color="auto"/>
              <w:left w:val="single" w:sz="4" w:space="0" w:color="auto"/>
              <w:bottom w:val="single" w:sz="4" w:space="0" w:color="auto"/>
              <w:right w:val="single" w:sz="4" w:space="0" w:color="auto"/>
            </w:tcBorders>
            <w:vAlign w:val="center"/>
          </w:tcPr>
          <w:p>
            <w:pPr>
              <w:spacing w:line="300" w:lineRule="auto"/>
              <w:ind w:firstLine="0"/>
              <w:rPr>
                <w:rFonts w:ascii="宋体" w:eastAsia="宋体"/>
                <w:lang w:bidi="en-US"/>
              </w:rPr>
            </w:pPr>
            <w:r>
              <w:rPr>
                <w:rFonts w:ascii="宋体" w:eastAsia="宋体" w:cs="宋体" w:hint="eastAsia"/>
                <w:lang w:bidi="en-US"/>
              </w:rPr>
              <w:t>1、本项目</w:t>
            </w:r>
            <w:r>
              <w:rPr>
                <w:rFonts w:ascii="宋体" w:eastAsia="宋体" w:hint="eastAsia"/>
                <w:lang w:bidi="en-US"/>
              </w:rPr>
              <w:t>的建设需与昆明海关数据中台应用、新一代联网集中审像应用、海</w:t>
            </w:r>
            <w:r>
              <w:rPr>
                <w:rFonts w:ascii="Times New Roman" w:eastAsia="宋体" w:hAnsi="Times New Roman" w:cs="Times New Roman"/>
                <w:lang w:bidi="en-US"/>
              </w:rPr>
              <w:t>关H4A平台</w:t>
            </w:r>
            <w:r>
              <w:rPr>
                <w:rFonts w:ascii="宋体" w:eastAsia="宋体" w:hint="eastAsia"/>
                <w:lang w:bidi="en-US"/>
              </w:rPr>
              <w:t>实现数据交互与系统集成交互应用，获取边民互市、舱单等相关信息并实现关联以及用户认证功能。</w:t>
            </w:r>
          </w:p>
          <w:p>
            <w:pPr>
              <w:ind w:firstLine="0"/>
              <w:rPr>
                <w:rFonts w:ascii="宋体" w:eastAsia="宋体" w:cs="宋体"/>
                <w:lang w:bidi="en-US"/>
              </w:rPr>
            </w:pPr>
            <w:r>
              <w:rPr>
                <w:rFonts w:ascii="宋体" w:eastAsia="宋体" w:cs="宋体" w:hint="eastAsia"/>
                <w:lang w:bidi="en-US"/>
              </w:rPr>
              <w:t>2、集成设计需符合海关相关的技术架构要求，各系统之间的数据传输需符合海关数据交换的规范，并根据其他系统的技术特点进行接口设计。</w:t>
            </w:r>
          </w:p>
        </w:tc>
        <w:tc>
          <w:tcPr>
            <w:tcW w:w="1716"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Times New Roman" w:eastAsia="宋体" w:hAnsi="Times New Roman"/>
                <w:lang w:bidi="en-US"/>
              </w:rPr>
            </w:pPr>
            <w:r>
              <w:rPr>
                <w:rFonts w:ascii="Times New Roman" w:eastAsia="宋体" w:hAnsi="Times New Roman" w:hint="eastAsia"/>
                <w:lang w:bidi="en-US"/>
              </w:rPr>
              <w:t>否</w:t>
            </w:r>
          </w:p>
        </w:tc>
      </w:tr>
      <w:tr>
        <w:tblPrEx>
          <w:tblW w:w="8520" w:type="dxa"/>
          <w:jc w:val="left"/>
          <w:tblInd w:w="0" w:type="dxa"/>
          <w:tblLayout w:type="fixed"/>
          <w:tblCellMar>
            <w:top w:w="0" w:type="dxa"/>
            <w:left w:w="108" w:type="dxa"/>
            <w:bottom w:w="0" w:type="dxa"/>
            <w:right w:w="108" w:type="dxa"/>
          </w:tblCellMar>
        </w:tblPrEx>
        <w:trPr>
          <w:trHeight w:val="20"/>
          <w:jc w:val="left"/>
        </w:trPr>
        <w:tc>
          <w:tcPr>
            <w:tcW w:w="704"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Times New Roman" w:eastAsia="宋体" w:hAnsi="Times New Roman"/>
              </w:rPr>
            </w:pPr>
            <w:r>
              <w:rPr>
                <w:rFonts w:ascii="Times New Roman" w:eastAsia="宋体" w:hAnsi="Times New Roman" w:hint="eastAsia"/>
                <w:b/>
              </w:rPr>
              <w:t>2</w:t>
            </w:r>
          </w:p>
        </w:tc>
        <w:tc>
          <w:tcPr>
            <w:tcW w:w="1904" w:type="dxa"/>
            <w:tcBorders>
              <w:top w:val="single" w:sz="4" w:space="0" w:color="auto"/>
              <w:left w:val="single" w:sz="4" w:space="0" w:color="auto"/>
              <w:bottom w:val="single" w:sz="4" w:space="0" w:color="auto"/>
              <w:right w:val="single" w:sz="4" w:space="0" w:color="auto"/>
            </w:tcBorders>
            <w:vAlign w:val="center"/>
          </w:tcPr>
          <w:p>
            <w:pPr>
              <w:ind w:firstLine="0"/>
              <w:rPr>
                <w:rFonts w:ascii="Times New Roman" w:eastAsia="宋体" w:hAnsi="Times New Roman"/>
                <w:b/>
              </w:rPr>
            </w:pPr>
            <w:r>
              <w:rPr>
                <w:rFonts w:ascii="Times New Roman" w:eastAsia="宋体" w:hAnsi="Times New Roman" w:hint="eastAsia"/>
                <w:b/>
              </w:rPr>
              <w:t>技术需求</w:t>
            </w:r>
          </w:p>
        </w:tc>
        <w:tc>
          <w:tcPr>
            <w:tcW w:w="4196" w:type="dxa"/>
            <w:tcBorders>
              <w:top w:val="single" w:sz="4" w:space="0" w:color="auto"/>
              <w:left w:val="single" w:sz="4" w:space="0" w:color="auto"/>
              <w:bottom w:val="single" w:sz="4" w:space="0" w:color="auto"/>
              <w:right w:val="single" w:sz="4" w:space="0" w:color="auto"/>
            </w:tcBorders>
            <w:vAlign w:val="center"/>
          </w:tcPr>
          <w:p>
            <w:pPr>
              <w:ind w:firstLine="0"/>
              <w:rPr>
                <w:rFonts w:ascii="Times New Roman" w:eastAsia="宋体" w:hAnsi="Times New Roman"/>
                <w:lang w:bidi="en-US"/>
              </w:rPr>
            </w:pPr>
            <w:r>
              <w:rPr>
                <w:rFonts w:ascii="Times New Roman" w:eastAsia="宋体" w:hAnsi="Times New Roman" w:hint="eastAsia"/>
                <w:lang w:bidi="en-US"/>
              </w:rPr>
              <w:t>本系统后台数据服务应使用</w:t>
            </w:r>
            <w:r>
              <w:rPr>
                <w:rFonts w:ascii="Times New Roman" w:eastAsia="宋体" w:hAnsi="Times New Roman"/>
                <w:lang w:bidi="en-US"/>
              </w:rPr>
              <w:t>符合</w:t>
            </w:r>
            <w:r>
              <w:rPr>
                <w:rFonts w:ascii="Times New Roman" w:eastAsia="宋体" w:hAnsi="Times New Roman" w:hint="eastAsia"/>
                <w:lang w:bidi="en-US"/>
              </w:rPr>
              <w:t>海关要求的国产化操作系统及数据库，具体软件运行环境如下：</w:t>
            </w:r>
          </w:p>
          <w:p>
            <w:pPr>
              <w:ind w:firstLine="0"/>
              <w:rPr>
                <w:rFonts w:ascii="Times New Roman" w:eastAsia="宋体" w:hAnsi="Times New Roman"/>
                <w:lang w:bidi="en-US"/>
              </w:rPr>
            </w:pPr>
            <w:r>
              <w:rPr>
                <w:rFonts w:ascii="Times New Roman" w:eastAsia="宋体" w:hAnsi="Times New Roman" w:hint="eastAsia"/>
                <w:lang w:bidi="en-US"/>
              </w:rPr>
              <w:t>1、技术路线：Java、Python、C++等，JDK 支持JAVA8及以上版本。</w:t>
            </w:r>
          </w:p>
          <w:p>
            <w:pPr>
              <w:ind w:firstLine="0"/>
              <w:rPr>
                <w:rFonts w:ascii="Times New Roman" w:eastAsia="宋体" w:hAnsi="Times New Roman"/>
                <w:lang w:bidi="en-US"/>
              </w:rPr>
            </w:pPr>
            <w:r>
              <w:rPr>
                <w:rFonts w:ascii="Times New Roman" w:eastAsia="宋体" w:hAnsi="Times New Roman" w:hint="eastAsia"/>
                <w:lang w:bidi="en-US"/>
              </w:rPr>
              <w:t>2、操作系统：</w:t>
            </w:r>
            <w:r>
              <w:rPr>
                <w:rFonts w:ascii="Times New Roman" w:eastAsia="宋体" w:hAnsi="Times New Roman"/>
                <w:lang w:bidi="en-US"/>
              </w:rPr>
              <w:t>国产操作系统。</w:t>
            </w:r>
          </w:p>
          <w:p>
            <w:pPr>
              <w:ind w:firstLine="0"/>
              <w:rPr>
                <w:rFonts w:ascii="Times New Roman" w:eastAsia="宋体" w:hAnsi="Times New Roman"/>
                <w:lang w:bidi="en-US"/>
              </w:rPr>
            </w:pPr>
            <w:r>
              <w:rPr>
                <w:rFonts w:ascii="Times New Roman" w:eastAsia="宋体" w:hAnsi="Times New Roman" w:hint="eastAsia"/>
                <w:lang w:bidi="en-US"/>
              </w:rPr>
              <w:t xml:space="preserve">3、数据库: </w:t>
            </w:r>
            <w:r>
              <w:rPr>
                <w:rFonts w:ascii="Times New Roman" w:eastAsia="宋体" w:hAnsi="Times New Roman"/>
                <w:lang w:bidi="en-US"/>
              </w:rPr>
              <w:t>国产数据库。</w:t>
            </w:r>
          </w:p>
          <w:p>
            <w:pPr>
              <w:ind w:firstLine="0"/>
              <w:rPr>
                <w:rFonts w:ascii="Times New Roman" w:eastAsia="宋体" w:hAnsi="Times New Roman"/>
                <w:lang w:bidi="en-US"/>
              </w:rPr>
            </w:pPr>
            <w:r>
              <w:rPr>
                <w:rFonts w:ascii="Times New Roman" w:eastAsia="宋体" w:hAnsi="Times New Roman" w:hint="eastAsia"/>
                <w:lang w:bidi="en-US"/>
              </w:rPr>
              <w:t>4、组件：支持consul、feign、hystrix、ribbon等微服务组件。</w:t>
            </w:r>
          </w:p>
          <w:p>
            <w:pPr>
              <w:ind w:firstLine="0"/>
              <w:rPr>
                <w:rFonts w:ascii="Times New Roman" w:eastAsia="宋体" w:hAnsi="Times New Roman"/>
                <w:lang w:bidi="en-US"/>
              </w:rPr>
            </w:pPr>
            <w:r>
              <w:rPr>
                <w:rFonts w:ascii="Times New Roman" w:eastAsia="宋体" w:hAnsi="Times New Roman" w:hint="eastAsia"/>
                <w:lang w:bidi="en-US"/>
              </w:rPr>
              <w:t>5、运行网路：海关业务网</w:t>
            </w:r>
          </w:p>
          <w:p>
            <w:pPr>
              <w:ind w:firstLine="0"/>
              <w:rPr>
                <w:rFonts w:ascii="Times New Roman" w:eastAsia="宋体" w:hAnsi="Times New Roman"/>
                <w:lang w:bidi="en-US"/>
              </w:rPr>
            </w:pPr>
            <w:r>
              <w:rPr>
                <w:rFonts w:ascii="Times New Roman" w:eastAsia="宋体" w:hAnsi="Times New Roman" w:hint="eastAsia"/>
                <w:lang w:bidi="en-US"/>
              </w:rPr>
              <w:t>6、物理部署：昆明海关</w:t>
            </w:r>
          </w:p>
        </w:tc>
        <w:tc>
          <w:tcPr>
            <w:tcW w:w="1716"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Times New Roman" w:eastAsia="宋体" w:hAnsi="Times New Roman"/>
                <w:lang w:bidi="en-US"/>
              </w:rPr>
            </w:pPr>
            <w:r>
              <w:rPr>
                <w:rFonts w:ascii="Times New Roman" w:eastAsia="宋体" w:hAnsi="Times New Roman" w:hint="eastAsia"/>
                <w:lang w:bidi="en-US"/>
              </w:rPr>
              <w:t>否</w:t>
            </w:r>
          </w:p>
        </w:tc>
      </w:tr>
      <w:tr>
        <w:tblPrEx>
          <w:tblW w:w="8520" w:type="dxa"/>
          <w:jc w:val="left"/>
          <w:tblInd w:w="0" w:type="dxa"/>
          <w:tblLayout w:type="fixed"/>
          <w:tblCellMar>
            <w:top w:w="0" w:type="dxa"/>
            <w:left w:w="108" w:type="dxa"/>
            <w:bottom w:w="0" w:type="dxa"/>
            <w:right w:w="108" w:type="dxa"/>
          </w:tblCellMar>
        </w:tblPrEx>
        <w:trPr>
          <w:trHeight w:val="20"/>
          <w:jc w:val="left"/>
        </w:trPr>
        <w:tc>
          <w:tcPr>
            <w:tcW w:w="704"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Times New Roman" w:eastAsia="宋体" w:hAnsi="Times New Roman"/>
              </w:rPr>
            </w:pPr>
            <w:r>
              <w:rPr>
                <w:rFonts w:ascii="Times New Roman" w:eastAsia="宋体" w:hAnsi="Times New Roman" w:hint="eastAsia"/>
                <w:b/>
              </w:rPr>
              <w:t>3</w:t>
            </w:r>
          </w:p>
        </w:tc>
        <w:tc>
          <w:tcPr>
            <w:tcW w:w="1904" w:type="dxa"/>
            <w:tcBorders>
              <w:top w:val="single" w:sz="4" w:space="0" w:color="auto"/>
              <w:left w:val="single" w:sz="4" w:space="0" w:color="auto"/>
              <w:bottom w:val="single" w:sz="4" w:space="0" w:color="auto"/>
              <w:right w:val="single" w:sz="4" w:space="0" w:color="auto"/>
            </w:tcBorders>
            <w:vAlign w:val="center"/>
          </w:tcPr>
          <w:p>
            <w:pPr>
              <w:ind w:firstLine="0"/>
              <w:rPr>
                <w:rFonts w:ascii="Times New Roman" w:eastAsia="宋体" w:hAnsi="Times New Roman"/>
                <w:b/>
              </w:rPr>
            </w:pPr>
            <w:r>
              <w:rPr>
                <w:rFonts w:ascii="Times New Roman" w:eastAsia="宋体" w:hAnsi="Times New Roman" w:hint="eastAsia"/>
                <w:b/>
              </w:rPr>
              <w:t>系统需求</w:t>
            </w:r>
          </w:p>
        </w:tc>
        <w:tc>
          <w:tcPr>
            <w:tcW w:w="4196" w:type="dxa"/>
            <w:tcBorders>
              <w:top w:val="single" w:sz="4" w:space="0" w:color="auto"/>
              <w:left w:val="single" w:sz="4" w:space="0" w:color="auto"/>
              <w:bottom w:val="single" w:sz="4" w:space="0" w:color="auto"/>
              <w:right w:val="single" w:sz="4" w:space="0" w:color="auto"/>
            </w:tcBorders>
            <w:vAlign w:val="center"/>
          </w:tcPr>
          <w:p>
            <w:pPr>
              <w:ind w:firstLine="0"/>
              <w:rPr>
                <w:rFonts w:ascii="Times New Roman" w:eastAsia="宋体" w:hAnsi="Times New Roman"/>
                <w:lang w:bidi="en-US"/>
              </w:rPr>
            </w:pPr>
            <w:r>
              <w:rPr>
                <w:rFonts w:ascii="Times New Roman" w:eastAsia="宋体" w:hAnsi="Times New Roman" w:cs="宋体" w:hint="eastAsia"/>
                <w:lang w:bidi="en-US"/>
              </w:rPr>
              <w:t>1、该项目的建设与管理要符合海关工程的有关管理规定、技术架构、标准规范等方</w:t>
            </w:r>
            <w:r>
              <w:rPr>
                <w:rFonts w:ascii="Times New Roman" w:eastAsia="宋体" w:hAnsi="Times New Roman" w:hint="eastAsia"/>
                <w:lang w:bidi="en-US"/>
              </w:rPr>
              <w:t>面要求，符合海关工程集成的设计要求及相关标准规范。</w:t>
            </w:r>
          </w:p>
          <w:p>
            <w:pPr>
              <w:ind w:firstLine="0"/>
              <w:rPr>
                <w:rFonts w:ascii="Times New Roman" w:eastAsia="宋体" w:hAnsi="Times New Roman"/>
                <w:lang w:bidi="en-US"/>
              </w:rPr>
            </w:pPr>
            <w:r>
              <w:rPr>
                <w:rFonts w:ascii="Times New Roman" w:eastAsia="宋体" w:hAnsi="Times New Roman" w:cs="宋体" w:hint="eastAsia"/>
                <w:lang w:bidi="en-US"/>
              </w:rPr>
              <w:t>2、根据业务需求进行标准化的接口设计。</w:t>
            </w:r>
          </w:p>
        </w:tc>
        <w:tc>
          <w:tcPr>
            <w:tcW w:w="1716"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Times New Roman" w:eastAsia="宋体" w:hAnsi="Times New Roman"/>
                <w:lang w:bidi="en-US"/>
              </w:rPr>
            </w:pPr>
            <w:r>
              <w:rPr>
                <w:rFonts w:ascii="Times New Roman" w:eastAsia="宋体" w:hAnsi="Times New Roman" w:hint="eastAsia"/>
                <w:lang w:bidi="en-US"/>
              </w:rPr>
              <w:t>否</w:t>
            </w:r>
          </w:p>
        </w:tc>
      </w:tr>
    </w:tbl>
    <w:p>
      <w:pPr>
        <w:rPr>
          <w:rFonts w:ascii="宋体" w:eastAsia="宋体"/>
        </w:rPr>
      </w:pPr>
    </w:p>
    <w:p>
      <w:pPr>
        <w:pStyle w:val="Heading2"/>
        <w:numPr>
          <w:ilvl w:val="0"/>
          <w:numId w:val="2"/>
        </w:numPr>
        <w:rPr>
          <w:rFonts w:ascii="宋体" w:eastAsia="宋体" w:hint="eastAsia"/>
        </w:rPr>
      </w:pPr>
      <w:bookmarkStart w:id="39" w:name="货物或服务指标要求"/>
      <w:r>
        <w:rPr>
          <w:rFonts w:ascii="宋体" w:eastAsia="宋体" w:hint="eastAsia"/>
        </w:rPr>
        <w:t>货物或服务指标要求</w:t>
      </w:r>
      <w:bookmarkEnd w:id="39"/>
    </w:p>
    <w:p>
      <w:pPr>
        <w:rPr>
          <w:rFonts w:ascii="宋体" w:eastAsia="宋体"/>
        </w:rPr>
      </w:pPr>
      <w:r>
        <w:rPr>
          <w:rFonts w:ascii="宋体" w:eastAsia="宋体" w:hint="eastAsia"/>
        </w:rPr>
        <w:t>参数指标要求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firstLine="0"/>
        <w:rPr>
          <w:rFonts w:ascii="宋体" w:eastAsia="宋体"/>
        </w:rPr>
      </w:pP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71"/>
        <w:gridCol w:w="983"/>
        <w:gridCol w:w="1760"/>
        <w:gridCol w:w="3485"/>
        <w:gridCol w:w="1830"/>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45"/>
          <w:jc w:val="left"/>
        </w:trPr>
        <w:tc>
          <w:tcPr>
            <w:tcW w:w="276" w:type="pct"/>
            <w:shd w:val="clear" w:color="000000" w:fill="A6A6A6"/>
            <w:vAlign w:val="center"/>
          </w:tcPr>
          <w:p>
            <w:pPr>
              <w:widowControl/>
              <w:ind w:firstLine="0"/>
              <w:jc w:val="center"/>
              <w:rPr>
                <w:rFonts w:ascii="Times New Roman" w:eastAsia="宋体" w:hAnsi="Times New Roman" w:cs="宋体"/>
                <w:b/>
                <w:bCs/>
              </w:rPr>
            </w:pPr>
            <w:bookmarkStart w:id="40" w:name="指标明细_index_Required_goodsId"/>
            <w:bookmarkStart w:id="41" w:name="_Hlk166860314"/>
            <w:bookmarkEnd w:id="40"/>
            <w:r>
              <w:rPr>
                <w:rFonts w:ascii="Times New Roman" w:eastAsia="宋体" w:hAnsi="Times New Roman" w:cs="宋体" w:hint="eastAsia"/>
                <w:b/>
                <w:bCs/>
              </w:rPr>
              <w:t>序号</w:t>
            </w:r>
          </w:p>
        </w:tc>
        <w:tc>
          <w:tcPr>
            <w:tcW w:w="576" w:type="pct"/>
            <w:shd w:val="clear" w:color="000000" w:fill="A6A6A6"/>
            <w:vAlign w:val="center"/>
          </w:tcPr>
          <w:p>
            <w:pPr>
              <w:widowControl/>
              <w:ind w:firstLine="0"/>
              <w:jc w:val="center"/>
              <w:rPr>
                <w:rFonts w:ascii="Times New Roman" w:eastAsia="宋体" w:hAnsi="Times New Roman" w:cs="宋体"/>
                <w:b/>
                <w:bCs/>
              </w:rPr>
            </w:pPr>
            <w:r>
              <w:rPr>
                <w:rFonts w:ascii="Times New Roman" w:eastAsia="宋体" w:hAnsi="Times New Roman" w:cs="宋体" w:hint="eastAsia"/>
                <w:b/>
                <w:bCs/>
              </w:rPr>
              <w:t>重要性</w:t>
            </w:r>
          </w:p>
        </w:tc>
        <w:tc>
          <w:tcPr>
            <w:tcW w:w="1032" w:type="pct"/>
            <w:shd w:val="clear" w:color="000000" w:fill="A6A6A6"/>
            <w:vAlign w:val="center"/>
          </w:tcPr>
          <w:p>
            <w:pPr>
              <w:widowControl/>
              <w:ind w:firstLine="0"/>
              <w:jc w:val="center"/>
              <w:rPr>
                <w:rFonts w:ascii="Times New Roman" w:eastAsia="宋体" w:hAnsi="Times New Roman" w:cs="宋体"/>
                <w:b/>
                <w:bCs/>
              </w:rPr>
            </w:pPr>
            <w:r>
              <w:rPr>
                <w:rFonts w:ascii="Times New Roman" w:eastAsia="宋体" w:hAnsi="Times New Roman" w:cs="宋体" w:hint="eastAsia"/>
                <w:b/>
                <w:bCs/>
              </w:rPr>
              <w:t>指标项</w:t>
            </w:r>
          </w:p>
        </w:tc>
        <w:tc>
          <w:tcPr>
            <w:tcW w:w="2043" w:type="pct"/>
            <w:shd w:val="clear" w:color="000000" w:fill="A6A6A6"/>
            <w:vAlign w:val="center"/>
          </w:tcPr>
          <w:p>
            <w:pPr>
              <w:widowControl/>
              <w:spacing w:after="120" w:afterLines="50"/>
              <w:ind w:firstLine="0"/>
              <w:jc w:val="center"/>
              <w:rPr>
                <w:rFonts w:ascii="Times New Roman" w:eastAsia="宋体" w:hAnsi="Times New Roman" w:cs="宋体"/>
                <w:b/>
                <w:bCs/>
              </w:rPr>
            </w:pPr>
            <w:r>
              <w:rPr>
                <w:rFonts w:ascii="Times New Roman" w:eastAsia="宋体" w:hAnsi="Times New Roman" w:cs="宋体" w:hint="eastAsia"/>
                <w:b/>
                <w:bCs/>
              </w:rPr>
              <w:t>指标要求</w:t>
            </w:r>
          </w:p>
        </w:tc>
        <w:tc>
          <w:tcPr>
            <w:tcW w:w="1073" w:type="pct"/>
            <w:shd w:val="clear" w:color="000000" w:fill="A6A6A6"/>
            <w:vAlign w:val="center"/>
          </w:tcPr>
          <w:p>
            <w:pPr>
              <w:widowControl/>
              <w:ind w:firstLine="0"/>
              <w:jc w:val="center"/>
              <w:rPr>
                <w:rFonts w:ascii="Times New Roman" w:eastAsia="宋体" w:hAnsi="Times New Roman" w:cs="宋体"/>
                <w:b/>
                <w:bCs/>
              </w:rPr>
            </w:pPr>
            <w:r>
              <w:rPr>
                <w:rFonts w:ascii="Times New Roman" w:eastAsia="宋体" w:hAnsi="Times New Roman" w:cs="宋体" w:hint="eastAsia"/>
                <w:b/>
                <w:bCs/>
              </w:rPr>
              <w:t>证明材料要求</w:t>
            </w:r>
          </w:p>
        </w:tc>
      </w:tr>
      <w:tr>
        <w:tblPrEx>
          <w:tblW w:w="5000" w:type="pct"/>
          <w:jc w:val="left"/>
          <w:tblInd w:w="0" w:type="dxa"/>
          <w:tblCellMar>
            <w:top w:w="0" w:type="dxa"/>
            <w:left w:w="108" w:type="dxa"/>
            <w:bottom w:w="0" w:type="dxa"/>
            <w:right w:w="108" w:type="dxa"/>
          </w:tblCellMar>
        </w:tblPrEx>
        <w:trPr>
          <w:trHeight w:val="5377"/>
          <w:jc w:val="left"/>
        </w:trPr>
        <w:tc>
          <w:tcPr>
            <w:tcW w:w="276" w:type="pct"/>
            <w:shd w:val="clear" w:color="auto" w:fill="auto"/>
            <w:vAlign w:val="center"/>
          </w:tcPr>
          <w:p>
            <w:pPr>
              <w:pStyle w:val="2104"/>
              <w:keepNext/>
              <w:keepLines/>
              <w:widowControl/>
              <w:numPr>
                <w:ilvl w:val="0"/>
                <w:numId w:val="3"/>
              </w:numPr>
              <w:spacing w:before="340" w:after="330"/>
              <w:contextualSpacing w:val="0"/>
              <w:jc w:val="center"/>
              <w:outlineLvl w:val="0"/>
              <w:rPr>
                <w:rFonts w:ascii="Times New Roman" w:eastAsia="宋体" w:hAnsi="Times New Roman" w:cs="宋体"/>
                <w:bCs/>
              </w:rPr>
            </w:pPr>
          </w:p>
        </w:tc>
        <w:tc>
          <w:tcPr>
            <w:tcW w:w="576" w:type="pct"/>
            <w:shd w:val="clear" w:color="auto" w:fill="auto"/>
            <w:vAlign w:val="center"/>
          </w:tcPr>
          <w:p>
            <w:pPr>
              <w:keepNext/>
              <w:keepLines/>
              <w:widowControl/>
              <w:spacing w:before="340" w:after="330"/>
              <w:ind w:firstLine="0"/>
              <w:jc w:val="center"/>
              <w:outlineLvl w:val="0"/>
              <w:rPr>
                <w:rFonts w:ascii="Times New Roman" w:eastAsia="宋体" w:hAnsi="Times New Roman" w:cs="宋体"/>
                <w:bCs/>
              </w:rPr>
            </w:pPr>
          </w:p>
        </w:tc>
        <w:tc>
          <w:tcPr>
            <w:tcW w:w="1032" w:type="pct"/>
            <w:shd w:val="clear" w:color="auto" w:fill="auto"/>
            <w:vAlign w:val="center"/>
          </w:tcPr>
          <w:p>
            <w:pPr>
              <w:widowControl/>
              <w:ind w:firstLine="0"/>
              <w:rPr>
                <w:rFonts w:ascii="Times New Roman" w:eastAsia="宋体" w:hAnsi="Times New Roman" w:cs="Times New Roman"/>
                <w:bCs/>
              </w:rPr>
            </w:pPr>
            <w:r>
              <w:rPr>
                <w:rFonts w:ascii="Times New Roman" w:eastAsia="宋体" w:hAnsi="Times New Roman" w:cs="Times New Roman" w:hint="eastAsia"/>
                <w:lang w:bidi="en-US"/>
              </w:rPr>
              <w:t>针对</w:t>
            </w:r>
            <w:r>
              <w:rPr>
                <w:rFonts w:ascii="Times New Roman" w:hAnsi="Times New Roman" w:cs="Times New Roman"/>
                <w:lang w:bidi="en-US"/>
              </w:rPr>
              <w:t>A</w:t>
            </w:r>
            <w:r>
              <w:rPr>
                <w:rFonts w:ascii="Times New Roman" w:eastAsia="宋体" w:hAnsi="Times New Roman" w:cs="Times New Roman" w:hint="eastAsia"/>
                <w:lang w:bidi="en-US"/>
              </w:rPr>
              <w:t>类设备图像车体分割算法</w:t>
            </w:r>
          </w:p>
        </w:tc>
        <w:tc>
          <w:tcPr>
            <w:tcW w:w="2043" w:type="pct"/>
            <w:shd w:val="clear" w:color="auto" w:fill="auto"/>
            <w:vAlign w:val="center"/>
          </w:tcPr>
          <w:p>
            <w:pPr>
              <w:pStyle w:val="a46"/>
              <w:spacing w:before="60" w:after="120"/>
              <w:rPr>
                <w:sz w:val="24"/>
                <w:szCs w:val="24"/>
                <w:lang w:bidi="en-US"/>
              </w:rPr>
            </w:pPr>
            <w:r>
              <w:rPr>
                <w:rFonts w:hint="eastAsia"/>
                <w:sz w:val="24"/>
                <w:szCs w:val="24"/>
                <w:lang w:bidi="en-US"/>
              </w:rPr>
              <w:t>1、支持集装箱卡车、厢式货车、油罐车、小型卡车、敞篷卡车、敞篷货车、快检设备无头车</w:t>
            </w:r>
            <w:r>
              <w:rPr>
                <w:sz w:val="24"/>
                <w:szCs w:val="24"/>
                <w:lang w:bidi="en-US"/>
              </w:rPr>
              <w:t>7</w:t>
            </w:r>
            <w:r>
              <w:rPr>
                <w:rFonts w:hint="eastAsia"/>
                <w:sz w:val="24"/>
                <w:szCs w:val="24"/>
                <w:lang w:bidi="en-US"/>
              </w:rPr>
              <w:t>种类型车型。</w:t>
            </w:r>
          </w:p>
          <w:p>
            <w:pPr>
              <w:pStyle w:val="a46"/>
              <w:spacing w:before="60" w:after="120"/>
              <w:rPr>
                <w:sz w:val="24"/>
                <w:szCs w:val="24"/>
                <w:lang w:bidi="en-US"/>
              </w:rPr>
            </w:pPr>
            <w:r>
              <w:rPr>
                <w:sz w:val="24"/>
                <w:szCs w:val="24"/>
                <w:lang w:bidi="en-US"/>
              </w:rPr>
              <w:t>2</w:t>
            </w:r>
            <w:r>
              <w:rPr>
                <w:rFonts w:hint="eastAsia"/>
                <w:sz w:val="24"/>
                <w:szCs w:val="24"/>
                <w:lang w:bidi="en-US"/>
              </w:rPr>
              <w:t>、支持车头、底盘、货物、箱体轮廓、箱体内空气、车体外空气、轮胎、油箱、固定架、冷藏箱、其他区域</w:t>
            </w:r>
            <w:r>
              <w:rPr>
                <w:sz w:val="24"/>
                <w:szCs w:val="24"/>
                <w:lang w:bidi="en-US"/>
              </w:rPr>
              <w:t>11</w:t>
            </w:r>
            <w:r>
              <w:rPr>
                <w:rFonts w:hint="eastAsia"/>
                <w:sz w:val="24"/>
                <w:szCs w:val="24"/>
                <w:lang w:bidi="en-US"/>
              </w:rPr>
              <w:t>个类别的识别。</w:t>
            </w:r>
          </w:p>
          <w:p>
            <w:pPr>
              <w:pStyle w:val="a46"/>
              <w:spacing w:before="60" w:after="120"/>
              <w:rPr>
                <w:sz w:val="24"/>
                <w:szCs w:val="24"/>
                <w:lang w:bidi="en-US"/>
              </w:rPr>
            </w:pPr>
            <w:r>
              <w:rPr>
                <w:sz w:val="24"/>
                <w:szCs w:val="24"/>
                <w:lang w:bidi="en-US"/>
              </w:rPr>
              <w:t>3</w:t>
            </w:r>
            <w:r>
              <w:rPr>
                <w:rFonts w:hint="eastAsia"/>
                <w:sz w:val="24"/>
                <w:szCs w:val="24"/>
                <w:lang w:bidi="en-US"/>
              </w:rPr>
              <w:t>、分割准确率不低于</w:t>
            </w:r>
            <w:r>
              <w:rPr>
                <w:sz w:val="24"/>
                <w:szCs w:val="24"/>
                <w:lang w:bidi="en-US"/>
              </w:rPr>
              <w:t>90%</w:t>
            </w:r>
            <w:r>
              <w:rPr>
                <w:rFonts w:hint="eastAsia"/>
                <w:sz w:val="24"/>
                <w:szCs w:val="24"/>
                <w:lang w:bidi="en-US"/>
              </w:rPr>
              <w:t>。</w:t>
            </w:r>
          </w:p>
          <w:p>
            <w:pPr>
              <w:widowControl/>
              <w:spacing w:after="120" w:afterLines="50"/>
              <w:ind w:firstLine="0"/>
              <w:rPr>
                <w:rFonts w:ascii="Times New Roman" w:eastAsia="宋体" w:hAnsi="Times New Roman" w:cs="Times New Roman"/>
                <w:bCs/>
              </w:rPr>
            </w:pPr>
            <w:r>
              <w:rPr>
                <w:rFonts w:ascii="Times New Roman" w:eastAsia="宋体" w:hAnsi="Times New Roman" w:cs="Times New Roman"/>
                <w:lang w:bidi="en-US"/>
              </w:rPr>
              <w:t>4</w:t>
            </w:r>
            <w:r>
              <w:rPr>
                <w:rFonts w:ascii="Times New Roman" w:eastAsia="宋体" w:hAnsi="Times New Roman" w:cs="Times New Roman" w:hint="eastAsia"/>
                <w:lang w:bidi="en-US"/>
              </w:rPr>
              <w:t>、车型覆盖率不低于</w:t>
            </w:r>
            <w:r>
              <w:rPr>
                <w:rFonts w:ascii="Times New Roman" w:hAnsi="Times New Roman" w:cs="Times New Roman"/>
                <w:lang w:bidi="en-US"/>
              </w:rPr>
              <w:t>95%</w:t>
            </w:r>
            <w:r>
              <w:rPr>
                <w:rFonts w:ascii="Times New Roman" w:eastAsia="宋体" w:hAnsi="Times New Roman" w:cs="Times New Roman" w:hint="eastAsia"/>
                <w:lang w:bidi="en-US"/>
              </w:rPr>
              <w:t>。</w:t>
            </w:r>
          </w:p>
        </w:tc>
        <w:tc>
          <w:tcPr>
            <w:tcW w:w="1073" w:type="pct"/>
            <w:shd w:val="clear" w:color="auto" w:fill="auto"/>
            <w:vAlign w:val="center"/>
          </w:tcPr>
          <w:p>
            <w:pPr>
              <w:widowControl/>
              <w:ind w:firstLine="0"/>
              <w:jc w:val="center"/>
              <w:rPr>
                <w:rFonts w:ascii="Times New Roman" w:eastAsia="宋体" w:hAnsi="Times New Roman" w:cs="Times New Roman"/>
                <w:bCs/>
              </w:rPr>
            </w:pPr>
            <w:r>
              <w:rPr>
                <w:rFonts w:ascii="Times New Roman" w:eastAsia="宋体" w:hAnsi="Times New Roman" w:cs="Times New Roman" w:hint="eastAsia"/>
                <w:lang w:bidi="en-US"/>
              </w:rPr>
              <w:t>否</w:t>
            </w:r>
          </w:p>
        </w:tc>
      </w:tr>
      <w:tr>
        <w:tblPrEx>
          <w:tblW w:w="5000" w:type="pct"/>
          <w:jc w:val="left"/>
          <w:tblInd w:w="0" w:type="dxa"/>
          <w:tblCellMar>
            <w:top w:w="0" w:type="dxa"/>
            <w:left w:w="108" w:type="dxa"/>
            <w:bottom w:w="0" w:type="dxa"/>
            <w:right w:w="108" w:type="dxa"/>
          </w:tblCellMar>
        </w:tblPrEx>
        <w:trPr>
          <w:trHeight w:val="5519"/>
          <w:jc w:val="left"/>
        </w:trPr>
        <w:tc>
          <w:tcPr>
            <w:tcW w:w="276" w:type="pct"/>
            <w:shd w:val="clear" w:color="auto" w:fill="auto"/>
            <w:vAlign w:val="center"/>
          </w:tcPr>
          <w:p>
            <w:pPr>
              <w:pStyle w:val="2104"/>
              <w:keepNext/>
              <w:keepLines/>
              <w:widowControl/>
              <w:numPr>
                <w:ilvl w:val="0"/>
                <w:numId w:val="3"/>
              </w:numPr>
              <w:spacing w:before="340" w:after="330"/>
              <w:contextualSpacing w:val="0"/>
              <w:jc w:val="center"/>
              <w:outlineLvl w:val="0"/>
              <w:rPr>
                <w:rFonts w:ascii="Times New Roman" w:eastAsia="宋体" w:hAnsi="Times New Roman" w:cs="宋体"/>
                <w:bCs/>
              </w:rPr>
            </w:pPr>
          </w:p>
        </w:tc>
        <w:tc>
          <w:tcPr>
            <w:tcW w:w="576" w:type="pct"/>
            <w:shd w:val="clear" w:color="auto" w:fill="auto"/>
            <w:vAlign w:val="center"/>
          </w:tcPr>
          <w:p>
            <w:pPr>
              <w:widowControl/>
              <w:ind w:firstLine="0"/>
              <w:jc w:val="center"/>
              <w:rPr>
                <w:rFonts w:ascii="Times New Roman" w:eastAsia="宋体" w:hAnsi="Times New Roman" w:cs="宋体"/>
                <w:bCs/>
              </w:rPr>
            </w:pPr>
            <w:r>
              <w:rPr>
                <w:rFonts w:ascii="Times New Roman" w:eastAsia="宋体" w:hAnsi="Times New Roman" w:hint="eastAsia"/>
              </w:rPr>
              <w:t>▲</w:t>
            </w:r>
          </w:p>
        </w:tc>
        <w:tc>
          <w:tcPr>
            <w:tcW w:w="1032" w:type="pct"/>
            <w:shd w:val="clear" w:color="auto" w:fill="auto"/>
            <w:vAlign w:val="center"/>
          </w:tcPr>
          <w:p>
            <w:pPr>
              <w:widowControl/>
              <w:ind w:firstLine="0"/>
              <w:rPr>
                <w:rFonts w:ascii="Times New Roman" w:eastAsia="宋体" w:hAnsi="Times New Roman" w:cs="Times New Roman"/>
                <w:bCs/>
              </w:rPr>
            </w:pPr>
            <w:r>
              <w:rPr>
                <w:rFonts w:ascii="Times New Roman" w:eastAsia="宋体" w:hAnsi="Times New Roman" w:cs="Times New Roman" w:hint="eastAsia"/>
                <w:lang w:bidi="en-US"/>
              </w:rPr>
              <w:t>针对</w:t>
            </w:r>
            <w:r>
              <w:rPr>
                <w:rFonts w:ascii="Times New Roman" w:hAnsi="Times New Roman" w:cs="Times New Roman"/>
                <w:lang w:bidi="en-US"/>
              </w:rPr>
              <w:t>A</w:t>
            </w:r>
            <w:r>
              <w:rPr>
                <w:rFonts w:ascii="Times New Roman" w:eastAsia="宋体" w:hAnsi="Times New Roman" w:cs="Times New Roman" w:hint="eastAsia"/>
                <w:lang w:bidi="en-US"/>
              </w:rPr>
              <w:t>类设备图像特色商品前置智能机检验证算法</w:t>
            </w:r>
          </w:p>
        </w:tc>
        <w:tc>
          <w:tcPr>
            <w:tcW w:w="2043" w:type="pct"/>
            <w:shd w:val="clear" w:color="auto" w:fill="auto"/>
            <w:vAlign w:val="center"/>
          </w:tcPr>
          <w:p>
            <w:pPr>
              <w:pStyle w:val="a46"/>
              <w:spacing w:before="60" w:after="120"/>
              <w:rPr>
                <w:sz w:val="24"/>
                <w:szCs w:val="24"/>
                <w:lang w:bidi="en-US"/>
              </w:rPr>
            </w:pPr>
            <w:r>
              <w:rPr>
                <w:rFonts w:hint="eastAsia"/>
                <w:sz w:val="24"/>
                <w:szCs w:val="24"/>
                <w:lang w:bidi="en-US"/>
              </w:rPr>
              <w:t>1、在有申报或概要申报条件下，算法自动判断申报与实际货物是否相符，在不相符时给出报警提示；在无申报条件下，算法提示实际货物是否为特色商品清单中的商品。</w:t>
            </w:r>
          </w:p>
          <w:p>
            <w:pPr>
              <w:pStyle w:val="a46"/>
              <w:spacing w:before="60" w:after="120"/>
              <w:rPr>
                <w:sz w:val="24"/>
                <w:szCs w:val="24"/>
                <w:lang w:bidi="en-US"/>
              </w:rPr>
            </w:pPr>
            <w:r>
              <w:rPr>
                <w:sz w:val="24"/>
                <w:szCs w:val="24"/>
                <w:lang w:bidi="en-US"/>
              </w:rPr>
              <w:t>2</w:t>
            </w:r>
            <w:r>
              <w:rPr>
                <w:rFonts w:hint="eastAsia"/>
                <w:sz w:val="24"/>
                <w:szCs w:val="24"/>
                <w:lang w:bidi="en-US"/>
              </w:rPr>
              <w:t>、针对有申报信息的情况，实现昆明海关特色商品验证算法的实验室检出率不低于</w:t>
            </w:r>
            <w:r>
              <w:rPr>
                <w:sz w:val="24"/>
                <w:szCs w:val="24"/>
                <w:lang w:bidi="en-US"/>
              </w:rPr>
              <w:t>90%</w:t>
            </w:r>
            <w:r>
              <w:rPr>
                <w:rFonts w:hint="eastAsia"/>
                <w:sz w:val="24"/>
                <w:szCs w:val="24"/>
                <w:lang w:bidi="en-US"/>
              </w:rPr>
              <w:t>，商品种类覆盖率不低于</w:t>
            </w:r>
            <w:r>
              <w:rPr>
                <w:sz w:val="24"/>
                <w:szCs w:val="24"/>
                <w:lang w:bidi="en-US"/>
              </w:rPr>
              <w:t>90%</w:t>
            </w:r>
            <w:r>
              <w:rPr>
                <w:rFonts w:hint="eastAsia"/>
                <w:sz w:val="24"/>
                <w:szCs w:val="24"/>
                <w:lang w:bidi="en-US"/>
              </w:rPr>
              <w:t>。</w:t>
            </w:r>
          </w:p>
          <w:p>
            <w:pPr>
              <w:widowControl/>
              <w:spacing w:after="120" w:afterLines="50"/>
              <w:ind w:firstLine="0"/>
              <w:rPr>
                <w:rFonts w:ascii="Times New Roman" w:eastAsia="宋体" w:hAnsi="Times New Roman" w:cs="Times New Roman"/>
                <w:bCs/>
              </w:rPr>
            </w:pPr>
            <w:r>
              <w:rPr>
                <w:rFonts w:ascii="Times New Roman" w:eastAsia="宋体" w:hAnsi="Times New Roman" w:cs="Times New Roman"/>
                <w:lang w:bidi="en-US"/>
              </w:rPr>
              <w:t>3</w:t>
            </w:r>
            <w:r>
              <w:rPr>
                <w:rFonts w:ascii="Times New Roman" w:eastAsia="宋体" w:hAnsi="Times New Roman" w:cs="Times New Roman" w:hint="eastAsia"/>
                <w:lang w:bidi="en-US"/>
              </w:rPr>
              <w:t>、针对无申报或概要申报情况，实现昆明海关特色商品验证算法的实验室检出率不低于</w:t>
            </w:r>
            <w:r>
              <w:rPr>
                <w:rFonts w:ascii="Times New Roman" w:hAnsi="Times New Roman" w:cs="Times New Roman"/>
                <w:lang w:bidi="en-US"/>
              </w:rPr>
              <w:t>85%</w:t>
            </w:r>
            <w:r>
              <w:rPr>
                <w:rFonts w:ascii="Times New Roman" w:eastAsia="宋体" w:hAnsi="Times New Roman" w:cs="Times New Roman" w:hint="eastAsia"/>
                <w:lang w:bidi="en-US"/>
              </w:rPr>
              <w:t>，商品种类覆盖率不低于</w:t>
            </w:r>
            <w:r>
              <w:rPr>
                <w:rFonts w:ascii="Times New Roman" w:hAnsi="Times New Roman" w:cs="Times New Roman"/>
                <w:lang w:bidi="en-US"/>
              </w:rPr>
              <w:t>90%</w:t>
            </w:r>
            <w:r>
              <w:rPr>
                <w:rFonts w:ascii="Times New Roman" w:eastAsia="宋体" w:hAnsi="Times New Roman" w:cs="Times New Roman" w:hint="eastAsia"/>
                <w:lang w:bidi="en-US"/>
              </w:rPr>
              <w:t>。</w:t>
            </w:r>
          </w:p>
        </w:tc>
        <w:tc>
          <w:tcPr>
            <w:tcW w:w="1073" w:type="pct"/>
            <w:shd w:val="clear" w:color="auto" w:fill="auto"/>
            <w:vAlign w:val="center"/>
          </w:tcPr>
          <w:p>
            <w:pPr>
              <w:spacing w:before="120" w:beforeLines="50" w:after="120" w:afterLines="50"/>
              <w:ind w:firstLine="0"/>
              <w:jc w:val="center"/>
              <w:rPr>
                <w:rFonts w:ascii="Times New Roman" w:eastAsia="宋体" w:hAnsi="Times New Roman" w:cs="Times New Roman"/>
                <w:bCs/>
              </w:rPr>
            </w:pPr>
            <w:r>
              <w:rPr>
                <w:rFonts w:ascii="Times New Roman" w:eastAsia="宋体" w:hAnsi="Times New Roman" w:cs="Times New Roman" w:hint="eastAsia"/>
                <w:lang w:bidi="en-US"/>
              </w:rPr>
              <w:t>是</w:t>
            </w:r>
            <w:r>
              <w:rPr>
                <w:rFonts w:ascii="Times New Roman" w:eastAsia="宋体" w:hAnsi="Times New Roman" w:cs="宋体"/>
              </w:rPr>
              <w:t>，提供《承诺函》并加盖单位公章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bCs/>
              </w:rPr>
            </w:pPr>
          </w:p>
        </w:tc>
        <w:tc>
          <w:tcPr>
            <w:tcW w:w="576" w:type="pct"/>
            <w:shd w:val="clear" w:color="auto" w:fill="auto"/>
            <w:vAlign w:val="center"/>
          </w:tcPr>
          <w:p>
            <w:pPr>
              <w:widowControl/>
              <w:ind w:firstLine="0"/>
              <w:jc w:val="center"/>
              <w:rPr>
                <w:rFonts w:ascii="Times New Roman" w:eastAsia="宋体" w:hAnsi="Times New Roman" w:cs="宋体"/>
                <w:bCs/>
              </w:rPr>
            </w:pPr>
            <w:r>
              <w:rPr>
                <w:rFonts w:ascii="Times New Roman" w:eastAsia="宋体" w:hAnsi="Times New Roman" w:hint="eastAsia"/>
              </w:rPr>
              <w:t>▲</w:t>
            </w:r>
          </w:p>
        </w:tc>
        <w:tc>
          <w:tcPr>
            <w:tcW w:w="1032" w:type="pct"/>
            <w:shd w:val="clear" w:color="auto" w:fill="auto"/>
            <w:vAlign w:val="center"/>
          </w:tcPr>
          <w:p>
            <w:pPr>
              <w:widowControl/>
              <w:ind w:firstLine="0"/>
              <w:rPr>
                <w:rFonts w:ascii="Times New Roman" w:eastAsia="宋体" w:hAnsi="Times New Roman" w:cs="Times New Roman"/>
                <w:bCs/>
              </w:rPr>
            </w:pPr>
            <w:r>
              <w:rPr>
                <w:rFonts w:ascii="Times New Roman" w:eastAsia="宋体" w:hAnsi="Times New Roman" w:cs="Times New Roman" w:hint="eastAsia"/>
                <w:lang w:bidi="en-US"/>
              </w:rPr>
              <w:t>针对</w:t>
            </w:r>
            <w:r>
              <w:rPr>
                <w:rFonts w:ascii="Times New Roman" w:hAnsi="Times New Roman" w:cs="Times New Roman"/>
                <w:lang w:bidi="en-US"/>
              </w:rPr>
              <w:t>A</w:t>
            </w:r>
            <w:r>
              <w:rPr>
                <w:rFonts w:ascii="Times New Roman" w:eastAsia="宋体" w:hAnsi="Times New Roman" w:cs="Times New Roman" w:hint="eastAsia"/>
                <w:lang w:bidi="en-US"/>
              </w:rPr>
              <w:t>类设备图像车体夹藏检测算法</w:t>
            </w:r>
          </w:p>
        </w:tc>
        <w:tc>
          <w:tcPr>
            <w:tcW w:w="2043" w:type="pct"/>
            <w:shd w:val="clear" w:color="auto" w:fill="auto"/>
            <w:vAlign w:val="center"/>
          </w:tcPr>
          <w:p>
            <w:pPr>
              <w:pStyle w:val="a46"/>
              <w:spacing w:before="60" w:after="120"/>
              <w:rPr>
                <w:sz w:val="24"/>
                <w:szCs w:val="24"/>
                <w:lang w:bidi="en-US"/>
              </w:rPr>
            </w:pPr>
            <w:r>
              <w:rPr>
                <w:rFonts w:hint="eastAsia"/>
                <w:sz w:val="24"/>
                <w:szCs w:val="24"/>
                <w:lang w:bidi="en-US"/>
              </w:rPr>
              <w:t>1、算法自动标记车体中夹藏物的位置，给出报警提示。</w:t>
            </w:r>
          </w:p>
          <w:p>
            <w:pPr>
              <w:pStyle w:val="a46"/>
              <w:spacing w:before="60" w:after="120"/>
              <w:rPr>
                <w:sz w:val="24"/>
                <w:szCs w:val="24"/>
                <w:lang w:bidi="en-US"/>
              </w:rPr>
            </w:pPr>
            <w:r>
              <w:rPr>
                <w:sz w:val="24"/>
                <w:szCs w:val="24"/>
                <w:lang w:bidi="en-US"/>
              </w:rPr>
              <w:t>2</w:t>
            </w:r>
            <w:r>
              <w:rPr>
                <w:rFonts w:hint="eastAsia"/>
                <w:sz w:val="24"/>
                <w:szCs w:val="24"/>
                <w:lang w:bidi="en-US"/>
              </w:rPr>
              <w:t>、对驾驶室区域最低夹藏检出重量为</w:t>
            </w:r>
            <w:r>
              <w:rPr>
                <w:sz w:val="24"/>
                <w:szCs w:val="24"/>
                <w:lang w:bidi="en-US"/>
              </w:rPr>
              <w:t>7</w:t>
            </w:r>
            <w:r>
              <w:rPr>
                <w:rFonts w:hint="eastAsia"/>
                <w:sz w:val="24"/>
                <w:szCs w:val="24"/>
                <w:lang w:bidi="en-US"/>
              </w:rPr>
              <w:t>公斤，检出率不低于</w:t>
            </w:r>
            <w:r>
              <w:rPr>
                <w:sz w:val="24"/>
                <w:szCs w:val="24"/>
                <w:lang w:bidi="en-US"/>
              </w:rPr>
              <w:t>90%</w:t>
            </w:r>
            <w:r>
              <w:rPr>
                <w:rFonts w:hint="eastAsia"/>
                <w:sz w:val="24"/>
                <w:szCs w:val="24"/>
                <w:lang w:bidi="en-US"/>
              </w:rPr>
              <w:t>。</w:t>
            </w:r>
          </w:p>
          <w:p>
            <w:pPr>
              <w:pStyle w:val="a46"/>
              <w:spacing w:before="60" w:after="120"/>
              <w:rPr>
                <w:sz w:val="24"/>
                <w:szCs w:val="24"/>
                <w:lang w:bidi="en-US"/>
              </w:rPr>
            </w:pPr>
            <w:r>
              <w:rPr>
                <w:sz w:val="24"/>
                <w:szCs w:val="24"/>
                <w:lang w:bidi="en-US"/>
              </w:rPr>
              <w:t>3</w:t>
            </w:r>
            <w:r>
              <w:rPr>
                <w:rFonts w:hint="eastAsia"/>
                <w:sz w:val="24"/>
                <w:szCs w:val="24"/>
                <w:lang w:bidi="en-US"/>
              </w:rPr>
              <w:t>、对底盘区域最低夹藏检出重量为</w:t>
            </w:r>
            <w:r>
              <w:rPr>
                <w:sz w:val="24"/>
                <w:szCs w:val="24"/>
                <w:lang w:bidi="en-US"/>
              </w:rPr>
              <w:t>9</w:t>
            </w:r>
            <w:r>
              <w:rPr>
                <w:rFonts w:hint="eastAsia"/>
                <w:sz w:val="24"/>
                <w:szCs w:val="24"/>
                <w:lang w:bidi="en-US"/>
              </w:rPr>
              <w:t>公斤，实验室检出率不低于</w:t>
            </w:r>
            <w:r>
              <w:rPr>
                <w:sz w:val="24"/>
                <w:szCs w:val="24"/>
                <w:lang w:bidi="en-US"/>
              </w:rPr>
              <w:t>90%</w:t>
            </w:r>
            <w:r>
              <w:rPr>
                <w:rFonts w:hint="eastAsia"/>
                <w:sz w:val="24"/>
                <w:szCs w:val="24"/>
                <w:lang w:bidi="en-US"/>
              </w:rPr>
              <w:t>。</w:t>
            </w:r>
          </w:p>
          <w:p>
            <w:pPr>
              <w:widowControl/>
              <w:spacing w:after="120" w:afterLines="50"/>
              <w:ind w:firstLine="0"/>
              <w:rPr>
                <w:rFonts w:ascii="Times New Roman" w:eastAsia="宋体" w:hAnsi="Times New Roman" w:cs="Times New Roman"/>
                <w:bCs/>
              </w:rPr>
            </w:pPr>
            <w:r>
              <w:rPr>
                <w:rFonts w:ascii="Times New Roman" w:eastAsia="宋体" w:hAnsi="Times New Roman" w:cs="Times New Roman"/>
                <w:lang w:bidi="en-US"/>
              </w:rPr>
              <w:t>4</w:t>
            </w:r>
            <w:r>
              <w:rPr>
                <w:rFonts w:ascii="Times New Roman" w:eastAsia="宋体" w:hAnsi="Times New Roman" w:cs="Times New Roman" w:hint="eastAsia"/>
                <w:lang w:bidi="en-US"/>
              </w:rPr>
              <w:t>、车体夹藏检测综合误报率不超过</w:t>
            </w:r>
            <w:r>
              <w:rPr>
                <w:rFonts w:ascii="Times New Roman" w:hAnsi="Times New Roman" w:cs="Times New Roman"/>
                <w:lang w:bidi="en-US"/>
              </w:rPr>
              <w:t>18%</w:t>
            </w:r>
            <w:r>
              <w:rPr>
                <w:rFonts w:ascii="Times New Roman" w:eastAsia="宋体" w:hAnsi="Times New Roman" w:cs="Times New Roman" w:hint="eastAsia"/>
                <w:lang w:bidi="en-US"/>
              </w:rPr>
              <w:t>。</w:t>
            </w:r>
          </w:p>
        </w:tc>
        <w:tc>
          <w:tcPr>
            <w:tcW w:w="1073" w:type="pct"/>
            <w:shd w:val="clear" w:color="auto" w:fill="auto"/>
            <w:vAlign w:val="center"/>
          </w:tcPr>
          <w:p>
            <w:pPr>
              <w:pStyle w:val="602"/>
              <w:spacing w:before="120" w:beforeLines="50" w:after="120" w:afterLines="50"/>
              <w:ind w:firstLine="0"/>
              <w:jc w:val="center"/>
              <w:rPr>
                <w:rFonts w:ascii="Times New Roman" w:eastAsia="宋体" w:hAnsi="Times New Roman" w:cs="Times New Roman"/>
                <w:bCs/>
              </w:rPr>
            </w:pPr>
            <w:r>
              <w:rPr>
                <w:rFonts w:ascii="Times New Roman" w:eastAsia="宋体" w:hAnsi="Times New Roman" w:cs="Times New Roman" w:hint="eastAsia"/>
                <w:lang w:bidi="en-US"/>
              </w:rPr>
              <w:t>是</w:t>
            </w:r>
            <w:r>
              <w:rPr>
                <w:rFonts w:ascii="Times New Roman" w:eastAsia="宋体" w:hAnsi="Times New Roman" w:cs="宋体"/>
              </w:rPr>
              <w:t>，提供《承诺函》并加盖单位公章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bCs/>
              </w:rPr>
            </w:pPr>
          </w:p>
        </w:tc>
        <w:tc>
          <w:tcPr>
            <w:tcW w:w="576" w:type="pct"/>
            <w:shd w:val="clear" w:color="auto" w:fill="auto"/>
            <w:vAlign w:val="center"/>
          </w:tcPr>
          <w:p>
            <w:pPr>
              <w:widowControl/>
              <w:ind w:firstLine="0"/>
              <w:jc w:val="center"/>
              <w:rPr>
                <w:rFonts w:ascii="Times New Roman" w:eastAsia="宋体" w:hAnsi="Times New Roman" w:cs="宋体"/>
                <w:bCs/>
              </w:rPr>
            </w:pPr>
            <w:r>
              <w:rPr>
                <w:rFonts w:ascii="Times New Roman" w:eastAsia="宋体" w:hAnsi="Times New Roman" w:hint="eastAsia"/>
              </w:rPr>
              <w:t>▲</w:t>
            </w:r>
          </w:p>
        </w:tc>
        <w:tc>
          <w:tcPr>
            <w:tcW w:w="1032" w:type="pct"/>
            <w:shd w:val="clear" w:color="auto" w:fill="auto"/>
            <w:vAlign w:val="center"/>
          </w:tcPr>
          <w:p>
            <w:pPr>
              <w:widowControl/>
              <w:ind w:firstLine="0"/>
              <w:rPr>
                <w:rFonts w:ascii="Times New Roman" w:eastAsia="宋体" w:hAnsi="Times New Roman" w:cs="Times New Roman"/>
                <w:bCs/>
              </w:rPr>
            </w:pPr>
            <w:r>
              <w:rPr>
                <w:rFonts w:ascii="Times New Roman" w:eastAsia="宋体" w:hAnsi="Times New Roman" w:cs="Times New Roman" w:hint="eastAsia"/>
                <w:lang w:bidi="en-US"/>
              </w:rPr>
              <w:t>针对</w:t>
            </w:r>
            <w:r>
              <w:rPr>
                <w:rFonts w:ascii="Times New Roman" w:hAnsi="Times New Roman" w:cs="Times New Roman"/>
                <w:lang w:bidi="en-US"/>
              </w:rPr>
              <w:t>A</w:t>
            </w:r>
            <w:r>
              <w:rPr>
                <w:rFonts w:ascii="Times New Roman" w:eastAsia="宋体" w:hAnsi="Times New Roman" w:cs="Times New Roman" w:hint="eastAsia"/>
                <w:lang w:bidi="en-US"/>
              </w:rPr>
              <w:t>类设备图像货物中瓶装酒检测算法</w:t>
            </w:r>
          </w:p>
        </w:tc>
        <w:tc>
          <w:tcPr>
            <w:tcW w:w="2043" w:type="pct"/>
            <w:shd w:val="clear" w:color="auto" w:fill="auto"/>
            <w:vAlign w:val="center"/>
          </w:tcPr>
          <w:p>
            <w:pPr>
              <w:pStyle w:val="a46"/>
              <w:spacing w:before="60" w:after="120"/>
              <w:rPr>
                <w:sz w:val="24"/>
                <w:szCs w:val="24"/>
                <w:lang w:bidi="en-US"/>
              </w:rPr>
            </w:pPr>
            <w:r>
              <w:rPr>
                <w:rFonts w:hint="eastAsia"/>
                <w:sz w:val="24"/>
                <w:szCs w:val="24"/>
                <w:lang w:bidi="en-US"/>
              </w:rPr>
              <w:t>1、算法自动标记货物中瓶装酒的位置，给出报警提示。</w:t>
            </w:r>
          </w:p>
          <w:p>
            <w:pPr>
              <w:widowControl/>
              <w:spacing w:after="120" w:afterLines="50"/>
              <w:ind w:firstLine="0"/>
              <w:rPr>
                <w:rFonts w:ascii="Times New Roman" w:eastAsia="宋体" w:hAnsi="Times New Roman" w:cs="Times New Roman"/>
                <w:b/>
                <w:bCs/>
              </w:rPr>
            </w:pPr>
            <w:r>
              <w:rPr>
                <w:rFonts w:ascii="Times New Roman" w:eastAsia="宋体" w:hAnsi="Times New Roman" w:cs="Times New Roman"/>
                <w:lang w:bidi="en-US"/>
              </w:rPr>
              <w:t>2</w:t>
            </w:r>
            <w:r>
              <w:rPr>
                <w:rFonts w:ascii="Times New Roman" w:eastAsia="宋体" w:hAnsi="Times New Roman" w:cs="Times New Roman" w:hint="eastAsia"/>
                <w:lang w:bidi="en-US"/>
              </w:rPr>
              <w:t>、对货物中藏匿瓶装酒的最低夹藏检出规格为</w:t>
            </w:r>
            <w:r>
              <w:rPr>
                <w:rFonts w:ascii="Times New Roman" w:hAnsi="Times New Roman" w:cs="Times New Roman"/>
                <w:lang w:bidi="en-US"/>
              </w:rPr>
              <w:t>1</w:t>
            </w:r>
            <w:r>
              <w:rPr>
                <w:rFonts w:ascii="Times New Roman" w:eastAsia="宋体" w:hAnsi="Times New Roman" w:cs="Times New Roman" w:hint="eastAsia"/>
                <w:lang w:bidi="en-US"/>
              </w:rPr>
              <w:t>箱（每箱</w:t>
            </w:r>
            <w:r>
              <w:rPr>
                <w:rFonts w:ascii="Times New Roman" w:hAnsi="Times New Roman" w:cs="Times New Roman"/>
                <w:lang w:bidi="en-US"/>
              </w:rPr>
              <w:t>6</w:t>
            </w:r>
            <w:r>
              <w:rPr>
                <w:rFonts w:ascii="Times New Roman" w:eastAsia="宋体" w:hAnsi="Times New Roman" w:cs="Times New Roman" w:hint="eastAsia"/>
                <w:lang w:bidi="en-US"/>
              </w:rPr>
              <w:t>瓶），实验室检出率不低于</w:t>
            </w:r>
            <w:r>
              <w:rPr>
                <w:rFonts w:ascii="Times New Roman" w:hAnsi="Times New Roman" w:cs="Times New Roman"/>
                <w:lang w:bidi="en-US"/>
              </w:rPr>
              <w:t>90%</w:t>
            </w:r>
            <w:r>
              <w:rPr>
                <w:rFonts w:ascii="Times New Roman" w:eastAsia="宋体" w:hAnsi="Times New Roman" w:cs="Times New Roman" w:hint="eastAsia"/>
                <w:lang w:bidi="en-US"/>
              </w:rPr>
              <w:t>。</w:t>
            </w:r>
          </w:p>
        </w:tc>
        <w:tc>
          <w:tcPr>
            <w:tcW w:w="1073" w:type="pct"/>
            <w:shd w:val="clear" w:color="auto" w:fill="auto"/>
            <w:vAlign w:val="center"/>
          </w:tcPr>
          <w:p>
            <w:pPr>
              <w:pStyle w:val="610"/>
              <w:spacing w:before="120" w:beforeLines="50" w:after="120" w:afterLines="50"/>
              <w:ind w:firstLine="0"/>
              <w:jc w:val="center"/>
              <w:rPr>
                <w:rFonts w:ascii="Times New Roman" w:eastAsia="宋体" w:hAnsi="Times New Roman" w:cs="Times New Roman"/>
                <w:bCs/>
              </w:rPr>
            </w:pPr>
            <w:r>
              <w:rPr>
                <w:rFonts w:ascii="Times New Roman" w:eastAsia="宋体" w:hAnsi="Times New Roman" w:cs="Times New Roman" w:hint="eastAsia"/>
                <w:lang w:bidi="en-US"/>
              </w:rPr>
              <w:t>是</w:t>
            </w:r>
            <w:r>
              <w:rPr>
                <w:rFonts w:ascii="Times New Roman" w:eastAsia="宋体" w:hAnsi="Times New Roman" w:cs="宋体"/>
              </w:rPr>
              <w:t>，提供《承诺函》并加盖单位公章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bCs/>
              </w:rPr>
            </w:pPr>
          </w:p>
        </w:tc>
        <w:tc>
          <w:tcPr>
            <w:tcW w:w="576" w:type="pct"/>
            <w:shd w:val="clear" w:color="auto" w:fill="auto"/>
            <w:vAlign w:val="center"/>
          </w:tcPr>
          <w:p>
            <w:pPr>
              <w:widowControl/>
              <w:ind w:firstLine="0"/>
              <w:jc w:val="center"/>
              <w:rPr>
                <w:rFonts w:ascii="Times New Roman" w:eastAsia="宋体" w:hAnsi="Times New Roman" w:cs="宋体"/>
                <w:bCs/>
              </w:rPr>
            </w:pPr>
            <w:r>
              <w:rPr>
                <w:rFonts w:ascii="Times New Roman" w:eastAsia="宋体" w:hAnsi="Times New Roman" w:hint="eastAsia"/>
              </w:rPr>
              <w:t>▲</w:t>
            </w:r>
          </w:p>
        </w:tc>
        <w:tc>
          <w:tcPr>
            <w:tcW w:w="1032" w:type="pct"/>
            <w:shd w:val="clear" w:color="auto" w:fill="auto"/>
            <w:vAlign w:val="center"/>
          </w:tcPr>
          <w:p>
            <w:pPr>
              <w:widowControl/>
              <w:ind w:firstLine="0"/>
              <w:rPr>
                <w:rFonts w:ascii="Times New Roman" w:eastAsia="宋体" w:hAnsi="Times New Roman" w:cs="Times New Roman"/>
                <w:bCs/>
              </w:rPr>
            </w:pPr>
            <w:r>
              <w:rPr>
                <w:rFonts w:ascii="Times New Roman" w:eastAsia="宋体" w:hAnsi="Times New Roman" w:cs="Times New Roman" w:hint="eastAsia"/>
                <w:lang w:bidi="en-US"/>
              </w:rPr>
              <w:t>针对</w:t>
            </w:r>
            <w:r>
              <w:rPr>
                <w:rFonts w:ascii="Times New Roman" w:hAnsi="Times New Roman" w:cs="Times New Roman"/>
                <w:lang w:bidi="en-US"/>
              </w:rPr>
              <w:t>A</w:t>
            </w:r>
            <w:r>
              <w:rPr>
                <w:rFonts w:ascii="Times New Roman" w:eastAsia="宋体" w:hAnsi="Times New Roman" w:cs="Times New Roman" w:hint="eastAsia"/>
                <w:lang w:bidi="en-US"/>
              </w:rPr>
              <w:t>类设备图像货物中固态异物检测算法</w:t>
            </w:r>
          </w:p>
        </w:tc>
        <w:tc>
          <w:tcPr>
            <w:tcW w:w="2043" w:type="pct"/>
            <w:shd w:val="clear" w:color="auto" w:fill="auto"/>
            <w:vAlign w:val="center"/>
          </w:tcPr>
          <w:p>
            <w:pPr>
              <w:pStyle w:val="a46"/>
              <w:spacing w:before="60" w:after="120"/>
              <w:rPr>
                <w:sz w:val="24"/>
                <w:szCs w:val="24"/>
                <w:lang w:bidi="en-US"/>
              </w:rPr>
            </w:pPr>
            <w:r>
              <w:rPr>
                <w:rFonts w:hint="eastAsia"/>
                <w:sz w:val="24"/>
                <w:szCs w:val="24"/>
                <w:lang w:bidi="en-US"/>
              </w:rPr>
              <w:t>1、算法自动标记货物中固态异物的位置，给出报警提示。</w:t>
            </w:r>
          </w:p>
          <w:p>
            <w:pPr>
              <w:widowControl/>
              <w:spacing w:after="120" w:afterLines="50"/>
              <w:ind w:firstLine="0"/>
              <w:rPr>
                <w:rFonts w:ascii="Times New Roman" w:eastAsia="宋体" w:hAnsi="Times New Roman" w:cs="Times New Roman"/>
                <w:bCs/>
              </w:rPr>
            </w:pPr>
            <w:r>
              <w:rPr>
                <w:rFonts w:ascii="Times New Roman" w:eastAsia="宋体" w:hAnsi="Times New Roman" w:cs="Times New Roman"/>
                <w:lang w:bidi="en-US"/>
              </w:rPr>
              <w:t>2</w:t>
            </w:r>
            <w:r>
              <w:rPr>
                <w:rFonts w:ascii="Times New Roman" w:eastAsia="宋体" w:hAnsi="Times New Roman" w:cs="Times New Roman" w:hint="eastAsia"/>
                <w:lang w:bidi="en-US"/>
              </w:rPr>
              <w:t>、对货物中藏匿固态异物的最小尺寸（即最小长宽高三个维度的最小长度）为</w:t>
            </w:r>
            <w:r>
              <w:rPr>
                <w:rFonts w:ascii="Times New Roman" w:hAnsi="Times New Roman" w:cs="Times New Roman"/>
                <w:lang w:bidi="en-US"/>
              </w:rPr>
              <w:t>40</w:t>
            </w:r>
            <w:r>
              <w:rPr>
                <w:rFonts w:ascii="Times New Roman" w:eastAsia="宋体" w:hAnsi="Times New Roman" w:cs="Times New Roman" w:hint="eastAsia"/>
                <w:lang w:bidi="en-US"/>
              </w:rPr>
              <w:t>厘米，实验室检出率不低于</w:t>
            </w:r>
            <w:r>
              <w:rPr>
                <w:rFonts w:ascii="Times New Roman" w:hAnsi="Times New Roman" w:cs="Times New Roman"/>
                <w:lang w:bidi="en-US"/>
              </w:rPr>
              <w:t>90%</w:t>
            </w:r>
            <w:r>
              <w:rPr>
                <w:rFonts w:ascii="Times New Roman" w:eastAsia="宋体" w:hAnsi="Times New Roman" w:cs="Times New Roman" w:hint="eastAsia"/>
                <w:lang w:bidi="en-US"/>
              </w:rPr>
              <w:t>。</w:t>
            </w:r>
          </w:p>
        </w:tc>
        <w:tc>
          <w:tcPr>
            <w:tcW w:w="1073" w:type="pct"/>
            <w:shd w:val="clear" w:color="auto" w:fill="auto"/>
            <w:vAlign w:val="center"/>
          </w:tcPr>
          <w:p>
            <w:pPr>
              <w:pStyle w:val="62"/>
              <w:spacing w:before="120" w:beforeLines="50" w:after="120" w:afterLines="50"/>
              <w:ind w:firstLine="0"/>
              <w:jc w:val="center"/>
              <w:rPr>
                <w:rFonts w:ascii="Times New Roman" w:eastAsia="宋体" w:hAnsi="Times New Roman" w:cs="Times New Roman"/>
                <w:bCs/>
              </w:rPr>
            </w:pPr>
            <w:r>
              <w:rPr>
                <w:rFonts w:ascii="Times New Roman" w:eastAsia="宋体" w:hAnsi="Times New Roman" w:cs="Times New Roman" w:hint="eastAsia"/>
                <w:lang w:bidi="en-US"/>
              </w:rPr>
              <w:t>是</w:t>
            </w:r>
            <w:r>
              <w:rPr>
                <w:rFonts w:ascii="Times New Roman" w:eastAsia="宋体" w:hAnsi="Times New Roman" w:cs="宋体"/>
              </w:rPr>
              <w:t>，提供《承诺函》并加盖单位公章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bCs/>
              </w:rPr>
            </w:pPr>
          </w:p>
        </w:tc>
        <w:tc>
          <w:tcPr>
            <w:tcW w:w="576" w:type="pct"/>
            <w:shd w:val="clear" w:color="auto" w:fill="auto"/>
            <w:vAlign w:val="center"/>
          </w:tcPr>
          <w:p>
            <w:pPr>
              <w:widowControl/>
              <w:ind w:firstLine="0"/>
              <w:jc w:val="center"/>
              <w:rPr>
                <w:rFonts w:ascii="Times New Roman" w:eastAsia="宋体" w:hAnsi="Times New Roman" w:cs="宋体"/>
                <w:bCs/>
              </w:rPr>
            </w:pPr>
            <w:r>
              <w:rPr>
                <w:rFonts w:ascii="Times New Roman" w:eastAsia="宋体" w:hAnsi="Times New Roman" w:hint="eastAsia"/>
              </w:rPr>
              <w:t>▲</w:t>
            </w:r>
          </w:p>
        </w:tc>
        <w:tc>
          <w:tcPr>
            <w:tcW w:w="1032" w:type="pct"/>
            <w:shd w:val="clear" w:color="auto" w:fill="auto"/>
            <w:vAlign w:val="center"/>
          </w:tcPr>
          <w:p>
            <w:pPr>
              <w:widowControl/>
              <w:ind w:firstLine="0"/>
              <w:rPr>
                <w:rFonts w:ascii="Times New Roman" w:eastAsia="宋体" w:hAnsi="Times New Roman" w:cs="Times New Roman"/>
                <w:bCs/>
              </w:rPr>
            </w:pPr>
            <w:r>
              <w:rPr>
                <w:rFonts w:ascii="Times New Roman" w:eastAsia="宋体" w:hAnsi="Times New Roman" w:cs="Times New Roman" w:hint="eastAsia"/>
                <w:lang w:bidi="en-US"/>
              </w:rPr>
              <w:t>针对</w:t>
            </w:r>
            <w:r>
              <w:rPr>
                <w:rFonts w:ascii="Times New Roman" w:hAnsi="Times New Roman" w:cs="Times New Roman"/>
                <w:lang w:bidi="en-US"/>
              </w:rPr>
              <w:t>A</w:t>
            </w:r>
            <w:r>
              <w:rPr>
                <w:rFonts w:ascii="Times New Roman" w:eastAsia="宋体" w:hAnsi="Times New Roman" w:cs="Times New Roman" w:hint="eastAsia"/>
                <w:lang w:bidi="en-US"/>
              </w:rPr>
              <w:t>类设备图像特殊车型的空箱识别算法</w:t>
            </w:r>
          </w:p>
        </w:tc>
        <w:tc>
          <w:tcPr>
            <w:tcW w:w="2043" w:type="pct"/>
            <w:shd w:val="clear" w:color="auto" w:fill="auto"/>
            <w:vAlign w:val="center"/>
          </w:tcPr>
          <w:p>
            <w:pPr>
              <w:pStyle w:val="a46"/>
              <w:spacing w:before="60" w:after="120"/>
              <w:rPr>
                <w:sz w:val="24"/>
                <w:szCs w:val="24"/>
                <w:lang w:bidi="en-US"/>
              </w:rPr>
            </w:pPr>
            <w:r>
              <w:rPr>
                <w:rFonts w:hint="eastAsia"/>
                <w:sz w:val="24"/>
                <w:szCs w:val="24"/>
                <w:lang w:bidi="en-US"/>
              </w:rPr>
              <w:t>1、算法给出实际过机车辆是否为空箱的判别结果。</w:t>
            </w:r>
          </w:p>
          <w:p>
            <w:pPr>
              <w:widowControl/>
              <w:spacing w:after="120" w:afterLines="50"/>
              <w:ind w:firstLine="0"/>
              <w:rPr>
                <w:rFonts w:ascii="Times New Roman" w:eastAsia="宋体" w:hAnsi="Times New Roman" w:cs="Times New Roman"/>
                <w:bCs/>
              </w:rPr>
            </w:pPr>
            <w:r>
              <w:rPr>
                <w:rFonts w:ascii="Times New Roman" w:eastAsia="宋体" w:hAnsi="Times New Roman" w:cs="Times New Roman"/>
                <w:lang w:bidi="en-US"/>
              </w:rPr>
              <w:t>2</w:t>
            </w:r>
            <w:r>
              <w:rPr>
                <w:rFonts w:ascii="Times New Roman" w:eastAsia="宋体" w:hAnsi="Times New Roman" w:cs="Times New Roman" w:hint="eastAsia"/>
                <w:lang w:bidi="en-US"/>
              </w:rPr>
              <w:t>、针对空箱与非空箱的识别准确率不低于</w:t>
            </w:r>
            <w:r>
              <w:rPr>
                <w:rFonts w:ascii="Times New Roman" w:hAnsi="Times New Roman" w:cs="Times New Roman"/>
                <w:lang w:bidi="en-US"/>
              </w:rPr>
              <w:t>90%</w:t>
            </w:r>
            <w:r>
              <w:rPr>
                <w:rFonts w:ascii="Times New Roman" w:eastAsia="宋体" w:hAnsi="Times New Roman" w:cs="Times New Roman" w:hint="eastAsia"/>
                <w:lang w:bidi="en-US"/>
              </w:rPr>
              <w:t>。</w:t>
            </w:r>
          </w:p>
        </w:tc>
        <w:tc>
          <w:tcPr>
            <w:tcW w:w="1073" w:type="pct"/>
            <w:shd w:val="clear" w:color="auto" w:fill="auto"/>
            <w:vAlign w:val="center"/>
          </w:tcPr>
          <w:p>
            <w:pPr>
              <w:pStyle w:val="630"/>
              <w:spacing w:before="120" w:beforeLines="50" w:after="120" w:afterLines="50"/>
              <w:ind w:left="120" w:firstLine="0"/>
              <w:jc w:val="center"/>
              <w:rPr>
                <w:rFonts w:ascii="Times New Roman" w:eastAsia="宋体" w:hAnsi="Times New Roman" w:cs="Times New Roman"/>
                <w:bCs/>
              </w:rPr>
            </w:pPr>
            <w:r>
              <w:rPr>
                <w:rFonts w:ascii="Times New Roman" w:eastAsia="宋体" w:hAnsi="Times New Roman" w:cs="Times New Roman" w:hint="eastAsia"/>
                <w:lang w:bidi="en-US"/>
              </w:rPr>
              <w:t>是</w:t>
            </w:r>
            <w:r>
              <w:rPr>
                <w:rFonts w:ascii="Times New Roman" w:eastAsia="宋体" w:hAnsi="Times New Roman" w:cs="宋体"/>
              </w:rPr>
              <w:t>，提供《承诺函》并加盖单位公章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bCs/>
              </w:rPr>
            </w:pPr>
          </w:p>
        </w:tc>
        <w:tc>
          <w:tcPr>
            <w:tcW w:w="576" w:type="pct"/>
            <w:shd w:val="clear" w:color="auto" w:fill="auto"/>
            <w:vAlign w:val="center"/>
          </w:tcPr>
          <w:p>
            <w:pPr>
              <w:widowControl/>
              <w:ind w:firstLine="0"/>
              <w:jc w:val="center"/>
              <w:rPr>
                <w:rFonts w:ascii="Times New Roman" w:eastAsia="宋体" w:hAnsi="Times New Roman" w:cs="宋体"/>
                <w:bCs/>
              </w:rPr>
            </w:pPr>
          </w:p>
        </w:tc>
        <w:tc>
          <w:tcPr>
            <w:tcW w:w="1032" w:type="pct"/>
            <w:shd w:val="clear" w:color="auto" w:fill="auto"/>
            <w:vAlign w:val="center"/>
          </w:tcPr>
          <w:p>
            <w:pPr>
              <w:widowControl/>
              <w:ind w:firstLine="0"/>
              <w:rPr>
                <w:rFonts w:ascii="Times New Roman" w:eastAsia="宋体" w:hAnsi="Times New Roman" w:cs="Times New Roman"/>
                <w:bCs/>
              </w:rPr>
            </w:pPr>
            <w:r>
              <w:rPr>
                <w:rFonts w:ascii="Times New Roman" w:eastAsia="宋体" w:hAnsi="Times New Roman" w:cs="Times New Roman" w:hint="eastAsia"/>
                <w:lang w:bidi="en-US"/>
              </w:rPr>
              <w:t>针对</w:t>
            </w:r>
            <w:r>
              <w:rPr>
                <w:rFonts w:ascii="Times New Roman" w:hAnsi="Times New Roman" w:cs="Times New Roman"/>
                <w:lang w:bidi="en-US"/>
              </w:rPr>
              <w:t>B</w:t>
            </w:r>
            <w:r>
              <w:rPr>
                <w:rFonts w:ascii="Times New Roman" w:eastAsia="宋体" w:hAnsi="Times New Roman" w:cs="Times New Roman" w:hint="eastAsia"/>
                <w:lang w:bidi="en-US"/>
              </w:rPr>
              <w:t>类设备图像车体夹藏瓶装酒检测算法</w:t>
            </w:r>
          </w:p>
        </w:tc>
        <w:tc>
          <w:tcPr>
            <w:tcW w:w="2043" w:type="pct"/>
            <w:shd w:val="clear" w:color="auto" w:fill="auto"/>
            <w:vAlign w:val="center"/>
          </w:tcPr>
          <w:p>
            <w:pPr>
              <w:pStyle w:val="a46"/>
              <w:spacing w:before="60" w:after="120"/>
              <w:rPr>
                <w:sz w:val="24"/>
                <w:szCs w:val="24"/>
                <w:lang w:bidi="en-US"/>
              </w:rPr>
            </w:pPr>
            <w:r>
              <w:rPr>
                <w:rFonts w:hint="eastAsia"/>
                <w:sz w:val="24"/>
                <w:szCs w:val="24"/>
                <w:lang w:bidi="en-US"/>
              </w:rPr>
              <w:t>1、算法自动标记车体中瓶装酒的位置，给出报警提示。</w:t>
            </w:r>
          </w:p>
          <w:p>
            <w:pPr>
              <w:widowControl/>
              <w:spacing w:after="120" w:afterLines="50"/>
              <w:ind w:firstLine="0"/>
              <w:rPr>
                <w:rFonts w:ascii="Times New Roman" w:eastAsia="宋体" w:hAnsi="Times New Roman" w:cs="Times New Roman"/>
                <w:bCs/>
              </w:rPr>
            </w:pPr>
            <w:r>
              <w:rPr>
                <w:rFonts w:ascii="Times New Roman" w:eastAsia="宋体" w:hAnsi="Times New Roman" w:cs="Times New Roman"/>
                <w:lang w:bidi="en-US"/>
              </w:rPr>
              <w:t>2</w:t>
            </w:r>
            <w:r>
              <w:rPr>
                <w:rFonts w:ascii="Times New Roman" w:eastAsia="宋体" w:hAnsi="Times New Roman" w:cs="Times New Roman" w:hint="eastAsia"/>
                <w:lang w:bidi="en-US"/>
              </w:rPr>
              <w:t>、对车体中藏匿瓶装酒的最低夹藏检出规格为</w:t>
            </w:r>
            <w:r>
              <w:rPr>
                <w:rFonts w:ascii="Times New Roman" w:hAnsi="Times New Roman" w:cs="Times New Roman"/>
                <w:lang w:bidi="en-US"/>
              </w:rPr>
              <w:t>1</w:t>
            </w:r>
            <w:r>
              <w:rPr>
                <w:rFonts w:ascii="Times New Roman" w:eastAsia="宋体" w:hAnsi="Times New Roman" w:cs="Times New Roman" w:hint="eastAsia"/>
                <w:lang w:bidi="en-US"/>
              </w:rPr>
              <w:t>箱（每箱</w:t>
            </w:r>
            <w:r>
              <w:rPr>
                <w:rFonts w:ascii="Times New Roman" w:hAnsi="Times New Roman" w:cs="Times New Roman"/>
                <w:lang w:bidi="en-US"/>
              </w:rPr>
              <w:t>6</w:t>
            </w:r>
            <w:r>
              <w:rPr>
                <w:rFonts w:ascii="Times New Roman" w:eastAsia="宋体" w:hAnsi="Times New Roman" w:cs="Times New Roman" w:hint="eastAsia"/>
                <w:lang w:bidi="en-US"/>
              </w:rPr>
              <w:t>瓶），实验室检出率均不低于</w:t>
            </w:r>
            <w:r>
              <w:rPr>
                <w:rFonts w:ascii="Times New Roman" w:hAnsi="Times New Roman" w:cs="Times New Roman"/>
                <w:lang w:bidi="en-US"/>
              </w:rPr>
              <w:t>95%</w:t>
            </w:r>
            <w:r>
              <w:rPr>
                <w:rFonts w:ascii="Times New Roman" w:eastAsia="宋体" w:hAnsi="Times New Roman" w:cs="Times New Roman" w:hint="eastAsia"/>
                <w:lang w:bidi="en-US"/>
              </w:rPr>
              <w:t>。</w:t>
            </w:r>
          </w:p>
        </w:tc>
        <w:tc>
          <w:tcPr>
            <w:tcW w:w="1073" w:type="pct"/>
            <w:shd w:val="clear" w:color="auto" w:fill="auto"/>
            <w:vAlign w:val="center"/>
          </w:tcPr>
          <w:p>
            <w:pPr>
              <w:widowControl/>
              <w:ind w:firstLine="0"/>
              <w:jc w:val="center"/>
              <w:rPr>
                <w:rFonts w:ascii="Times New Roman" w:eastAsia="宋体" w:hAnsi="Times New Roman" w:cs="Times New Roman"/>
                <w:bCs/>
              </w:rPr>
            </w:pPr>
            <w:r>
              <w:rPr>
                <w:rFonts w:ascii="Times New Roman" w:eastAsia="宋体" w:hAnsi="Times New Roman" w:cs="Times New Roman" w:hint="eastAsia"/>
                <w:lang w:bidi="en-US"/>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keepNext/>
              <w:keepLines/>
              <w:widowControl/>
              <w:numPr>
                <w:ilvl w:val="0"/>
                <w:numId w:val="3"/>
              </w:numPr>
              <w:spacing w:before="340" w:after="330"/>
              <w:contextualSpacing w:val="0"/>
              <w:jc w:val="center"/>
              <w:outlineLvl w:val="0"/>
              <w:rPr>
                <w:rFonts w:ascii="Times New Roman" w:eastAsia="宋体" w:hAnsi="Times New Roman" w:cs="宋体"/>
                <w:bCs/>
              </w:rPr>
            </w:pPr>
          </w:p>
        </w:tc>
        <w:tc>
          <w:tcPr>
            <w:tcW w:w="576" w:type="pct"/>
            <w:shd w:val="clear" w:color="auto" w:fill="auto"/>
            <w:vAlign w:val="center"/>
          </w:tcPr>
          <w:p>
            <w:pPr>
              <w:widowControl/>
              <w:ind w:firstLine="0"/>
              <w:jc w:val="center"/>
              <w:rPr>
                <w:rFonts w:ascii="Times New Roman" w:eastAsia="宋体" w:hAnsi="Times New Roman" w:cs="宋体"/>
                <w:bCs/>
              </w:rPr>
            </w:pPr>
            <w:r>
              <w:rPr>
                <w:rFonts w:ascii="Times New Roman" w:eastAsia="宋体" w:hAnsi="Times New Roman" w:hint="eastAsia"/>
              </w:rPr>
              <w:t>▲</w:t>
            </w:r>
          </w:p>
        </w:tc>
        <w:tc>
          <w:tcPr>
            <w:tcW w:w="1032" w:type="pct"/>
            <w:shd w:val="clear" w:color="auto" w:fill="auto"/>
            <w:vAlign w:val="center"/>
          </w:tcPr>
          <w:p>
            <w:pPr>
              <w:widowControl/>
              <w:ind w:firstLine="0"/>
              <w:rPr>
                <w:rFonts w:ascii="Times New Roman" w:eastAsia="宋体" w:hAnsi="Times New Roman" w:cs="Times New Roman"/>
                <w:bCs/>
              </w:rPr>
            </w:pPr>
            <w:r>
              <w:rPr>
                <w:rFonts w:ascii="Times New Roman" w:eastAsia="宋体" w:hAnsi="Times New Roman" w:cs="Times New Roman" w:hint="eastAsia"/>
                <w:lang w:bidi="en-US"/>
              </w:rPr>
              <w:t>针对</w:t>
            </w:r>
            <w:r>
              <w:rPr>
                <w:rFonts w:ascii="Times New Roman" w:hAnsi="Times New Roman" w:cs="Times New Roman"/>
                <w:lang w:bidi="en-US"/>
              </w:rPr>
              <w:t>B</w:t>
            </w:r>
            <w:r>
              <w:rPr>
                <w:rFonts w:ascii="Times New Roman" w:eastAsia="宋体" w:hAnsi="Times New Roman" w:cs="Times New Roman" w:hint="eastAsia"/>
                <w:lang w:bidi="en-US"/>
              </w:rPr>
              <w:t>类设备图像车体夹藏检测算法</w:t>
            </w:r>
          </w:p>
        </w:tc>
        <w:tc>
          <w:tcPr>
            <w:tcW w:w="2043" w:type="pct"/>
            <w:shd w:val="clear" w:color="auto" w:fill="auto"/>
            <w:vAlign w:val="center"/>
          </w:tcPr>
          <w:p>
            <w:pPr>
              <w:pStyle w:val="a46"/>
              <w:spacing w:before="60" w:after="120"/>
              <w:rPr>
                <w:sz w:val="24"/>
                <w:szCs w:val="24"/>
                <w:lang w:bidi="en-US"/>
              </w:rPr>
            </w:pPr>
            <w:r>
              <w:rPr>
                <w:rFonts w:hint="eastAsia"/>
                <w:sz w:val="24"/>
                <w:szCs w:val="24"/>
                <w:lang w:bidi="en-US"/>
              </w:rPr>
              <w:t>1、算法自动标记车体中夹藏物的位置，给出报警提示。</w:t>
            </w:r>
          </w:p>
          <w:p>
            <w:pPr>
              <w:pStyle w:val="a46"/>
              <w:spacing w:before="60" w:after="120"/>
              <w:rPr>
                <w:sz w:val="24"/>
                <w:szCs w:val="24"/>
                <w:lang w:bidi="en-US"/>
              </w:rPr>
            </w:pPr>
            <w:r>
              <w:rPr>
                <w:sz w:val="24"/>
                <w:szCs w:val="24"/>
                <w:lang w:bidi="en-US"/>
              </w:rPr>
              <w:t>2</w:t>
            </w:r>
            <w:r>
              <w:rPr>
                <w:rFonts w:hint="eastAsia"/>
                <w:sz w:val="24"/>
                <w:szCs w:val="24"/>
                <w:lang w:bidi="en-US"/>
              </w:rPr>
              <w:t>、对驾驶室区域最低夹藏检出重量为</w:t>
            </w:r>
            <w:r>
              <w:rPr>
                <w:sz w:val="24"/>
                <w:szCs w:val="24"/>
                <w:lang w:bidi="en-US"/>
              </w:rPr>
              <w:t>6</w:t>
            </w:r>
            <w:r>
              <w:rPr>
                <w:rFonts w:hint="eastAsia"/>
                <w:sz w:val="24"/>
                <w:szCs w:val="24"/>
                <w:lang w:bidi="en-US"/>
              </w:rPr>
              <w:t>公斤，检出率不低于</w:t>
            </w:r>
            <w:r>
              <w:rPr>
                <w:sz w:val="24"/>
                <w:szCs w:val="24"/>
                <w:lang w:bidi="en-US"/>
              </w:rPr>
              <w:t>95%</w:t>
            </w:r>
            <w:r>
              <w:rPr>
                <w:rFonts w:hint="eastAsia"/>
                <w:sz w:val="24"/>
                <w:szCs w:val="24"/>
                <w:lang w:bidi="en-US"/>
              </w:rPr>
              <w:t>。</w:t>
            </w:r>
          </w:p>
          <w:p>
            <w:pPr>
              <w:pStyle w:val="a46"/>
              <w:spacing w:before="60" w:after="120"/>
              <w:rPr>
                <w:sz w:val="24"/>
                <w:szCs w:val="24"/>
                <w:lang w:bidi="en-US"/>
              </w:rPr>
            </w:pPr>
            <w:r>
              <w:rPr>
                <w:sz w:val="24"/>
                <w:szCs w:val="24"/>
                <w:lang w:bidi="en-US"/>
              </w:rPr>
              <w:t>3</w:t>
            </w:r>
            <w:r>
              <w:rPr>
                <w:rFonts w:hint="eastAsia"/>
                <w:sz w:val="24"/>
                <w:szCs w:val="24"/>
                <w:lang w:bidi="en-US"/>
              </w:rPr>
              <w:t>、对底盘区域最低夹藏检出重量为</w:t>
            </w:r>
            <w:r>
              <w:rPr>
                <w:sz w:val="24"/>
                <w:szCs w:val="24"/>
                <w:lang w:bidi="en-US"/>
              </w:rPr>
              <w:t>8</w:t>
            </w:r>
            <w:r>
              <w:rPr>
                <w:rFonts w:hint="eastAsia"/>
                <w:sz w:val="24"/>
                <w:szCs w:val="24"/>
                <w:lang w:bidi="en-US"/>
              </w:rPr>
              <w:t>公斤，检出率不低于</w:t>
            </w:r>
            <w:r>
              <w:rPr>
                <w:sz w:val="24"/>
                <w:szCs w:val="24"/>
                <w:lang w:bidi="en-US"/>
              </w:rPr>
              <w:t>90%</w:t>
            </w:r>
            <w:r>
              <w:rPr>
                <w:rFonts w:hint="eastAsia"/>
                <w:sz w:val="24"/>
                <w:szCs w:val="24"/>
                <w:lang w:bidi="en-US"/>
              </w:rPr>
              <w:t>。</w:t>
            </w:r>
          </w:p>
          <w:p>
            <w:pPr>
              <w:widowControl/>
              <w:spacing w:after="120" w:afterLines="50"/>
              <w:ind w:firstLine="0"/>
              <w:rPr>
                <w:rFonts w:ascii="Times New Roman" w:eastAsia="宋体" w:hAnsi="Times New Roman" w:cs="Times New Roman"/>
                <w:bCs/>
              </w:rPr>
            </w:pPr>
            <w:r>
              <w:rPr>
                <w:rFonts w:ascii="Times New Roman" w:eastAsia="宋体" w:hAnsi="Times New Roman" w:cs="Times New Roman"/>
                <w:lang w:bidi="en-US"/>
              </w:rPr>
              <w:t>4</w:t>
            </w:r>
            <w:r>
              <w:rPr>
                <w:rFonts w:ascii="Times New Roman" w:eastAsia="宋体" w:hAnsi="Times New Roman" w:cs="宋体" w:hint="eastAsia"/>
                <w:lang w:bidi="en-US"/>
              </w:rPr>
              <w:t>、</w:t>
            </w:r>
            <w:r>
              <w:rPr>
                <w:rFonts w:ascii="Times New Roman" w:eastAsia="宋体" w:hAnsi="Times New Roman" w:cs="Times New Roman" w:hint="eastAsia"/>
                <w:lang w:bidi="en-US"/>
              </w:rPr>
              <w:t>车体夹藏检测综合误报率不超过</w:t>
            </w:r>
            <w:r>
              <w:rPr>
                <w:rFonts w:ascii="Times New Roman" w:hAnsi="Times New Roman" w:cs="Times New Roman"/>
                <w:lang w:bidi="en-US"/>
              </w:rPr>
              <w:t>15%</w:t>
            </w:r>
            <w:r>
              <w:rPr>
                <w:rFonts w:ascii="Times New Roman" w:eastAsia="宋体" w:hAnsi="Times New Roman" w:cs="Times New Roman" w:hint="eastAsia"/>
                <w:lang w:bidi="en-US"/>
              </w:rPr>
              <w:t>。</w:t>
            </w:r>
          </w:p>
        </w:tc>
        <w:tc>
          <w:tcPr>
            <w:tcW w:w="1073" w:type="pct"/>
            <w:shd w:val="clear" w:color="auto" w:fill="auto"/>
            <w:vAlign w:val="center"/>
          </w:tcPr>
          <w:p>
            <w:pPr>
              <w:pStyle w:val="64"/>
              <w:spacing w:before="120" w:beforeLines="50" w:after="120" w:afterLines="50"/>
              <w:ind w:firstLine="0"/>
              <w:jc w:val="center"/>
              <w:rPr>
                <w:rFonts w:ascii="Times New Roman" w:eastAsia="宋体" w:hAnsi="Times New Roman" w:cs="Times New Roman"/>
                <w:bCs/>
              </w:rPr>
            </w:pPr>
            <w:r>
              <w:rPr>
                <w:rFonts w:ascii="Times New Roman" w:eastAsia="宋体" w:hAnsi="Times New Roman" w:cs="Times New Roman" w:hint="eastAsia"/>
                <w:lang w:bidi="en-US"/>
              </w:rPr>
              <w:t>是</w:t>
            </w:r>
            <w:r>
              <w:rPr>
                <w:rFonts w:ascii="Times New Roman" w:eastAsia="宋体" w:hAnsi="Times New Roman" w:cs="宋体"/>
              </w:rPr>
              <w:t>，提供《承诺函》并加盖单位公章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bCs/>
              </w:rPr>
            </w:pPr>
          </w:p>
        </w:tc>
        <w:tc>
          <w:tcPr>
            <w:tcW w:w="576" w:type="pct"/>
            <w:shd w:val="clear" w:color="auto" w:fill="auto"/>
            <w:vAlign w:val="center"/>
          </w:tcPr>
          <w:p>
            <w:pPr>
              <w:widowControl/>
              <w:ind w:firstLine="0"/>
              <w:jc w:val="center"/>
              <w:rPr>
                <w:rFonts w:ascii="Times New Roman" w:eastAsia="宋体" w:hAnsi="Times New Roman" w:cs="宋体"/>
                <w:bCs/>
              </w:rPr>
            </w:pPr>
            <w:r>
              <w:rPr>
                <w:rFonts w:ascii="Times New Roman" w:eastAsia="宋体" w:hAnsi="Times New Roman" w:hint="eastAsia"/>
              </w:rPr>
              <w:t>▲</w:t>
            </w:r>
          </w:p>
        </w:tc>
        <w:tc>
          <w:tcPr>
            <w:tcW w:w="1032" w:type="pct"/>
            <w:shd w:val="clear" w:color="auto" w:fill="auto"/>
            <w:vAlign w:val="center"/>
          </w:tcPr>
          <w:p>
            <w:pPr>
              <w:widowControl/>
              <w:ind w:firstLine="0"/>
              <w:rPr>
                <w:rFonts w:ascii="Times New Roman" w:eastAsia="宋体" w:hAnsi="Times New Roman" w:cs="Times New Roman"/>
                <w:bCs/>
              </w:rPr>
            </w:pPr>
            <w:r>
              <w:rPr>
                <w:rFonts w:ascii="Times New Roman" w:eastAsia="宋体" w:hAnsi="Times New Roman" w:cs="Times New Roman" w:hint="eastAsia"/>
                <w:lang w:bidi="en-US"/>
              </w:rPr>
              <w:t>针对</w:t>
            </w:r>
            <w:r>
              <w:rPr>
                <w:rFonts w:ascii="Times New Roman" w:hAnsi="Times New Roman" w:cs="Times New Roman"/>
                <w:lang w:bidi="en-US"/>
              </w:rPr>
              <w:t>B</w:t>
            </w:r>
            <w:r>
              <w:rPr>
                <w:rFonts w:ascii="Times New Roman" w:eastAsia="宋体" w:hAnsi="Times New Roman" w:cs="Times New Roman" w:hint="eastAsia"/>
                <w:lang w:bidi="en-US"/>
              </w:rPr>
              <w:t>类设备图像申报商品智能机检验证算法</w:t>
            </w:r>
          </w:p>
        </w:tc>
        <w:tc>
          <w:tcPr>
            <w:tcW w:w="2043" w:type="pct"/>
            <w:shd w:val="clear" w:color="auto" w:fill="auto"/>
            <w:vAlign w:val="center"/>
          </w:tcPr>
          <w:p>
            <w:pPr>
              <w:pStyle w:val="a46"/>
              <w:spacing w:before="60" w:after="120"/>
              <w:rPr>
                <w:sz w:val="24"/>
                <w:szCs w:val="24"/>
                <w:lang w:bidi="en-US"/>
              </w:rPr>
            </w:pPr>
            <w:r>
              <w:rPr>
                <w:rFonts w:hint="eastAsia"/>
                <w:sz w:val="24"/>
                <w:szCs w:val="24"/>
                <w:lang w:bidi="en-US"/>
              </w:rPr>
              <w:t>1、针对有申报信息的情况下，算法自动判断申报与实际货物是否相符，在不相符时给出报警提示。</w:t>
            </w:r>
          </w:p>
          <w:p>
            <w:pPr>
              <w:widowControl/>
              <w:spacing w:after="120" w:afterLines="50"/>
              <w:ind w:firstLine="0"/>
              <w:rPr>
                <w:rFonts w:ascii="Times New Roman" w:eastAsia="宋体" w:hAnsi="Times New Roman" w:cs="Times New Roman"/>
                <w:bCs/>
              </w:rPr>
            </w:pPr>
            <w:r>
              <w:rPr>
                <w:rFonts w:ascii="Times New Roman" w:eastAsia="宋体" w:hAnsi="Times New Roman" w:cs="Times New Roman"/>
                <w:lang w:bidi="en-US"/>
              </w:rPr>
              <w:t>2</w:t>
            </w:r>
            <w:r>
              <w:rPr>
                <w:rFonts w:ascii="Times New Roman" w:eastAsia="宋体" w:hAnsi="Times New Roman" w:cs="Times New Roman" w:hint="eastAsia"/>
                <w:lang w:bidi="en-US"/>
              </w:rPr>
              <w:t>、针对有申报信息的情况，实现昆明海关特色商品验证算法的实验室检出率不低于</w:t>
            </w:r>
            <w:r>
              <w:rPr>
                <w:rFonts w:ascii="Times New Roman" w:hAnsi="Times New Roman" w:cs="Times New Roman"/>
                <w:lang w:bidi="en-US"/>
              </w:rPr>
              <w:t>95%</w:t>
            </w:r>
            <w:r>
              <w:rPr>
                <w:rFonts w:ascii="Times New Roman" w:eastAsia="宋体" w:hAnsi="Times New Roman" w:cs="Times New Roman" w:hint="eastAsia"/>
                <w:lang w:bidi="en-US"/>
              </w:rPr>
              <w:t>，对商品种类覆盖率不低于</w:t>
            </w:r>
            <w:r>
              <w:rPr>
                <w:rFonts w:ascii="Times New Roman" w:hAnsi="Times New Roman" w:cs="Times New Roman"/>
                <w:lang w:bidi="en-US"/>
              </w:rPr>
              <w:t>90%</w:t>
            </w:r>
            <w:r>
              <w:rPr>
                <w:rFonts w:ascii="Times New Roman" w:eastAsia="宋体" w:hAnsi="Times New Roman" w:cs="Times New Roman" w:hint="eastAsia"/>
                <w:lang w:bidi="en-US"/>
              </w:rPr>
              <w:t>。</w:t>
            </w:r>
          </w:p>
        </w:tc>
        <w:tc>
          <w:tcPr>
            <w:tcW w:w="1073" w:type="pct"/>
            <w:shd w:val="clear" w:color="auto" w:fill="auto"/>
            <w:vAlign w:val="center"/>
          </w:tcPr>
          <w:p>
            <w:pPr>
              <w:pStyle w:val="650"/>
              <w:spacing w:before="120" w:beforeLines="50" w:after="120" w:afterLines="50"/>
              <w:ind w:firstLine="0"/>
              <w:jc w:val="center"/>
              <w:rPr>
                <w:rFonts w:ascii="Times New Roman" w:eastAsia="宋体" w:hAnsi="Times New Roman" w:cs="Times New Roman"/>
                <w:bCs/>
              </w:rPr>
            </w:pPr>
            <w:r>
              <w:rPr>
                <w:rFonts w:ascii="Times New Roman" w:eastAsia="宋体" w:hAnsi="Times New Roman" w:cs="Times New Roman" w:hint="eastAsia"/>
                <w:lang w:bidi="en-US"/>
              </w:rPr>
              <w:t>是</w:t>
            </w:r>
            <w:r>
              <w:rPr>
                <w:rFonts w:ascii="Times New Roman" w:eastAsia="宋体" w:hAnsi="Times New Roman" w:cs="宋体"/>
              </w:rPr>
              <w:t>，提供《承诺函》并加盖单位公章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bCs/>
              </w:rPr>
            </w:pPr>
          </w:p>
        </w:tc>
        <w:tc>
          <w:tcPr>
            <w:tcW w:w="576" w:type="pct"/>
            <w:shd w:val="clear" w:color="auto" w:fill="auto"/>
            <w:vAlign w:val="center"/>
          </w:tcPr>
          <w:p>
            <w:pPr>
              <w:widowControl/>
              <w:ind w:firstLine="0"/>
              <w:jc w:val="center"/>
              <w:rPr>
                <w:rFonts w:ascii="Times New Roman" w:eastAsia="宋体" w:hAnsi="Times New Roman" w:cs="宋体"/>
                <w:bCs/>
              </w:rPr>
            </w:pPr>
          </w:p>
        </w:tc>
        <w:tc>
          <w:tcPr>
            <w:tcW w:w="1032" w:type="pct"/>
            <w:shd w:val="clear" w:color="auto" w:fill="auto"/>
            <w:vAlign w:val="center"/>
          </w:tcPr>
          <w:p>
            <w:pPr>
              <w:widowControl/>
              <w:ind w:firstLine="0"/>
              <w:rPr>
                <w:rFonts w:ascii="Times New Roman" w:eastAsia="宋体" w:hAnsi="Times New Roman" w:cs="Times New Roman"/>
                <w:bCs/>
              </w:rPr>
            </w:pPr>
            <w:r>
              <w:rPr>
                <w:rFonts w:ascii="Times New Roman" w:eastAsia="宋体" w:hAnsi="Times New Roman" w:cs="Times New Roman" w:hint="eastAsia"/>
                <w:lang w:bidi="en-US"/>
              </w:rPr>
              <w:t>针对</w:t>
            </w:r>
            <w:r>
              <w:rPr>
                <w:rFonts w:ascii="Times New Roman" w:hAnsi="Times New Roman" w:cs="Times New Roman"/>
                <w:lang w:bidi="en-US"/>
              </w:rPr>
              <w:t>B</w:t>
            </w:r>
            <w:r>
              <w:rPr>
                <w:rFonts w:ascii="Times New Roman" w:eastAsia="宋体" w:hAnsi="Times New Roman" w:cs="Times New Roman" w:hint="eastAsia"/>
                <w:lang w:bidi="en-US"/>
              </w:rPr>
              <w:t>类设备图像无申报商品智能机检验证算法</w:t>
            </w:r>
          </w:p>
        </w:tc>
        <w:tc>
          <w:tcPr>
            <w:tcW w:w="2043" w:type="pct"/>
            <w:shd w:val="clear" w:color="auto" w:fill="auto"/>
            <w:vAlign w:val="center"/>
          </w:tcPr>
          <w:p>
            <w:pPr>
              <w:pStyle w:val="a46"/>
              <w:spacing w:before="60" w:after="120"/>
              <w:rPr>
                <w:sz w:val="24"/>
                <w:szCs w:val="24"/>
                <w:lang w:bidi="en-US"/>
              </w:rPr>
            </w:pPr>
            <w:r>
              <w:rPr>
                <w:rFonts w:hint="eastAsia"/>
                <w:sz w:val="24"/>
                <w:szCs w:val="24"/>
                <w:lang w:bidi="en-US"/>
              </w:rPr>
              <w:t>1、在无申报条件下，算法提示实际货物是否为特色商品清单中的商品。</w:t>
            </w:r>
          </w:p>
          <w:p>
            <w:pPr>
              <w:widowControl/>
              <w:spacing w:after="120" w:afterLines="50"/>
              <w:ind w:firstLine="0"/>
              <w:rPr>
                <w:rFonts w:ascii="Times New Roman" w:eastAsia="宋体" w:hAnsi="Times New Roman" w:cs="Times New Roman"/>
                <w:bCs/>
              </w:rPr>
            </w:pPr>
            <w:r>
              <w:rPr>
                <w:rFonts w:ascii="Times New Roman" w:eastAsia="宋体" w:hAnsi="Times New Roman" w:cs="Times New Roman"/>
                <w:lang w:bidi="en-US"/>
              </w:rPr>
              <w:t>2</w:t>
            </w:r>
            <w:r>
              <w:rPr>
                <w:rFonts w:ascii="Times New Roman" w:eastAsia="宋体" w:hAnsi="Times New Roman" w:cs="Times New Roman" w:hint="eastAsia"/>
                <w:lang w:bidi="en-US"/>
              </w:rPr>
              <w:t>、针对无申报或概要申报情况，实现昆明海关特色商品验证算法的实验室检出率不低于</w:t>
            </w:r>
            <w:r>
              <w:rPr>
                <w:rFonts w:ascii="Times New Roman" w:hAnsi="Times New Roman" w:cs="Times New Roman"/>
                <w:lang w:bidi="en-US"/>
              </w:rPr>
              <w:t>90%</w:t>
            </w:r>
            <w:r>
              <w:rPr>
                <w:rFonts w:ascii="Times New Roman" w:eastAsia="宋体" w:hAnsi="Times New Roman" w:cs="Times New Roman" w:hint="eastAsia"/>
                <w:lang w:bidi="en-US"/>
              </w:rPr>
              <w:t>，对商品种类覆盖率不低于</w:t>
            </w:r>
            <w:r>
              <w:rPr>
                <w:rFonts w:ascii="Times New Roman" w:hAnsi="Times New Roman" w:cs="Times New Roman"/>
                <w:lang w:bidi="en-US"/>
              </w:rPr>
              <w:t>90%</w:t>
            </w:r>
            <w:r>
              <w:rPr>
                <w:rFonts w:ascii="Times New Roman" w:eastAsia="宋体" w:hAnsi="Times New Roman" w:cs="Times New Roman" w:hint="eastAsia"/>
                <w:lang w:bidi="en-US"/>
              </w:rPr>
              <w:t>。</w:t>
            </w:r>
          </w:p>
        </w:tc>
        <w:tc>
          <w:tcPr>
            <w:tcW w:w="1073" w:type="pct"/>
            <w:shd w:val="clear" w:color="auto" w:fill="auto"/>
            <w:vAlign w:val="center"/>
          </w:tcPr>
          <w:p>
            <w:pPr>
              <w:widowControl/>
              <w:ind w:firstLine="0"/>
              <w:jc w:val="center"/>
              <w:rPr>
                <w:rFonts w:ascii="Times New Roman" w:eastAsia="宋体" w:hAnsi="Times New Roman" w:cs="Times New Roman"/>
                <w:bCs/>
              </w:rPr>
            </w:pPr>
            <w:r>
              <w:rPr>
                <w:rFonts w:ascii="Times New Roman" w:eastAsia="宋体" w:hAnsi="Times New Roman" w:cs="Times New Roman" w:hint="eastAsia"/>
                <w:lang w:bidi="en-US"/>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bookmarkStart w:id="42" w:name="_Hlk167265884"/>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前置智能机检处置</w:t>
            </w:r>
            <w:r>
              <w:rPr>
                <w:rFonts w:ascii="Times New Roman" w:eastAsia="宋体" w:hAnsi="Times New Roman" w:cs="Times New Roman"/>
              </w:rPr>
              <w:t>-</w:t>
            </w:r>
            <w:r>
              <w:rPr>
                <w:rFonts w:ascii="Times New Roman" w:eastAsia="宋体" w:hAnsi="Times New Roman" w:cs="宋体" w:hint="eastAsia"/>
              </w:rPr>
              <w:t>边民互市进出境指令获取</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智慧机检应用接收、解析、存储、管理边民互市进出境机检检查指令及随附的申报信息。</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前置智能机检处置</w:t>
            </w:r>
            <w:r>
              <w:rPr>
                <w:rFonts w:ascii="Times New Roman" w:eastAsia="宋体" w:hAnsi="Times New Roman" w:cs="Times New Roman"/>
              </w:rPr>
              <w:t>-</w:t>
            </w:r>
            <w:r>
              <w:rPr>
                <w:rFonts w:ascii="Times New Roman" w:eastAsia="宋体" w:hAnsi="Times New Roman" w:cs="宋体" w:hint="eastAsia"/>
              </w:rPr>
              <w:t>边民互市进出境过机图像获取</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边民互市车辆完成前置智能机检扫描后，系统获取车辆过机图像。</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left"/>
              <w:rPr>
                <w:rFonts w:ascii="Times New Roman" w:eastAsia="宋体" w:hAnsi="Times New Roman" w:cs="宋体"/>
              </w:rPr>
            </w:pPr>
            <w:r>
              <w:rPr>
                <w:rFonts w:ascii="Times New Roman" w:eastAsia="宋体" w:hAnsi="Times New Roman" w:cs="宋体"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w:t>
            </w:r>
            <w:r>
              <w:rPr>
                <w:rFonts w:ascii="Times New Roman" w:eastAsia="宋体" w:hAnsi="Times New Roman" w:cs="Times New Roman"/>
              </w:rPr>
              <w:t>-</w:t>
            </w:r>
            <w:r>
              <w:rPr>
                <w:rFonts w:ascii="Times New Roman" w:eastAsia="宋体" w:hAnsi="Times New Roman" w:cs="宋体" w:hint="eastAsia"/>
              </w:rPr>
              <w:t>边民互市进出境查指令对碰</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智慧机检应用实现机检扫描图像与边民互市进出境机检检查指令的对碰。</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142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left"/>
              <w:rPr>
                <w:rFonts w:ascii="Times New Roman" w:eastAsia="等线" w:hAnsi="Times New Roman" w:cs="Times New Roman"/>
                <w:sz w:val="20"/>
                <w:szCs w:val="20"/>
              </w:rPr>
            </w:pPr>
            <w:r>
              <w:rPr>
                <w:rFonts w:ascii="Times New Roman" w:eastAsia="等线" w:hAnsi="Times New Roman" w:cs="Times New Roman" w:hint="eastAsia"/>
                <w:sz w:val="20"/>
                <w:szCs w:val="20"/>
              </w:rPr>
              <w:t>　</w:t>
            </w:r>
            <w:r>
              <w:rPr>
                <w:rFonts w:ascii="Times New Roman" w:eastAsia="宋体" w:hAnsi="Times New Roman" w:cs="宋体" w:hint="eastAsia"/>
              </w:rPr>
              <w:t>▲</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前置智能机检处置</w:t>
            </w:r>
            <w:r>
              <w:rPr>
                <w:rFonts w:ascii="Times New Roman" w:eastAsia="宋体" w:hAnsi="Times New Roman" w:cs="Times New Roman"/>
              </w:rPr>
              <w:t>-</w:t>
            </w:r>
            <w:r>
              <w:rPr>
                <w:rFonts w:ascii="Times New Roman" w:eastAsia="宋体" w:hAnsi="Times New Roman" w:cs="宋体" w:hint="eastAsia"/>
              </w:rPr>
              <w:t>边民互市进出境智能审图算法调用</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依据边民互市进出境业务类型调用相适应智能审图算法，并根据逻辑输出对应结论。</w:t>
            </w:r>
          </w:p>
          <w:p>
            <w:pPr>
              <w:widowControl/>
              <w:spacing w:after="120" w:afterLines="50"/>
              <w:ind w:firstLine="0"/>
              <w:rPr>
                <w:rFonts w:ascii="Times New Roman" w:eastAsia="宋体" w:hAnsi="Times New Roman" w:cs="宋体"/>
              </w:rPr>
            </w:pPr>
            <w:r>
              <w:rPr>
                <w:rFonts w:ascii="Times New Roman" w:eastAsia="宋体" w:hAnsi="Times New Roman" w:cs="宋体" w:hint="eastAsia"/>
              </w:rPr>
              <w:t>1、根据申报信息、设备类型等信息适配调用特色商品智能验证、禁限品检测、车体夹藏检测等智能审图算法。</w:t>
            </w:r>
          </w:p>
          <w:p>
            <w:pPr>
              <w:ind w:firstLine="0"/>
              <w:rPr>
                <w:rFonts w:ascii="Times New Roman" w:hAnsi="Times New Roman"/>
              </w:rPr>
            </w:pPr>
            <w:r>
              <w:rPr>
                <w:rFonts w:ascii="Times New Roman" w:eastAsia="宋体" w:hAnsi="Times New Roman" w:hint="eastAsia"/>
              </w:rPr>
              <w:t>2</w:t>
            </w:r>
            <w:r>
              <w:rPr>
                <w:rFonts w:ascii="Times New Roman" w:eastAsia="宋体" w:hAnsi="Times New Roman" w:cs="宋体" w:hint="eastAsia"/>
              </w:rPr>
              <w:t>、完成智能检查机算力调度与算法自适应管理。</w:t>
            </w:r>
          </w:p>
        </w:tc>
        <w:tc>
          <w:tcPr>
            <w:tcW w:w="1073" w:type="pct"/>
            <w:shd w:val="clear" w:color="auto" w:fill="auto"/>
            <w:vAlign w:val="center"/>
          </w:tcPr>
          <w:p>
            <w:pPr>
              <w:pStyle w:val="6611"/>
              <w:spacing w:before="120" w:beforeLines="50" w:after="120" w:afterLines="50"/>
              <w:ind w:firstLine="0"/>
              <w:jc w:val="center"/>
              <w:rPr>
                <w:rFonts w:ascii="Times New Roman" w:eastAsia="宋体" w:hAnsi="Times New Roman" w:cs="宋体"/>
              </w:rPr>
            </w:pPr>
            <w:r>
              <w:rPr>
                <w:rFonts w:ascii="Times New Roman" w:eastAsia="宋体" w:hAnsi="Times New Roman" w:cs="Times New Roman" w:hint="eastAsia"/>
                <w:lang w:bidi="en-US"/>
              </w:rPr>
              <w:t>是</w:t>
            </w:r>
            <w:r>
              <w:rPr>
                <w:rFonts w:ascii="Times New Roman" w:eastAsia="宋体" w:hAnsi="Times New Roman" w:cs="宋体"/>
              </w:rPr>
              <w:t>，提供《承诺函》并加盖单位公章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2010"/>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left"/>
              <w:rPr>
                <w:rFonts w:ascii="Times New Roman" w:eastAsia="等线" w:hAnsi="Times New Roman" w:cs="Times New Roman"/>
                <w:sz w:val="20"/>
                <w:szCs w:val="20"/>
              </w:rPr>
            </w:pPr>
            <w:r>
              <w:rPr>
                <w:rFonts w:ascii="Times New Roman" w:eastAsia="等线" w:hAnsi="Times New Roman" w:cs="Times New Roman" w:hint="eastAsia"/>
                <w:sz w:val="20"/>
                <w:szCs w:val="20"/>
              </w:rPr>
              <w:t>　</w:t>
            </w:r>
            <w:r>
              <w:rPr>
                <w:rFonts w:ascii="Times New Roman" w:eastAsia="宋体" w:hAnsi="Times New Roman" w:cs="宋体" w:hint="eastAsia"/>
              </w:rPr>
              <w:t>▲</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前置智能机检处置-边民互市进出境-智能审图算法分析结果</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输出并展示所调用的各项智能审图算法的分项结论，并按照逻辑形成智能审图总结论，以推动后续任务流转并辅助后续人工复核与现场处置。</w:t>
            </w:r>
          </w:p>
          <w:p>
            <w:pPr>
              <w:widowControl/>
              <w:spacing w:after="120" w:afterLines="50"/>
              <w:ind w:firstLine="0"/>
              <w:rPr>
                <w:rFonts w:ascii="Times New Roman" w:eastAsia="宋体" w:hAnsi="Times New Roman" w:cs="宋体"/>
              </w:rPr>
            </w:pPr>
            <w:r>
              <w:rPr>
                <w:rFonts w:ascii="Times New Roman" w:eastAsia="宋体" w:hAnsi="Times New Roman" w:cs="宋体"/>
              </w:rPr>
              <w:t>1、</w:t>
            </w:r>
            <w:r>
              <w:rPr>
                <w:rFonts w:ascii="Times New Roman" w:eastAsia="宋体" w:hAnsi="Times New Roman" w:cs="宋体" w:hint="eastAsia"/>
              </w:rPr>
              <w:t>智能审图总结论：按照逻辑将智能审图分项结论归并为发现异常、未见异常、无法确定三类总结论并展示输出。</w:t>
            </w:r>
          </w:p>
          <w:p>
            <w:pPr>
              <w:ind w:firstLine="0"/>
              <w:rPr>
                <w:rFonts w:ascii="Times New Roman" w:eastAsia="宋体" w:hAnsi="Times New Roman" w:cs="宋体"/>
              </w:rPr>
            </w:pPr>
            <w:r>
              <w:rPr>
                <w:rFonts w:ascii="Times New Roman" w:eastAsia="宋体" w:hAnsi="Times New Roman" w:hint="eastAsia"/>
              </w:rPr>
              <w:t>2</w:t>
            </w:r>
            <w:r>
              <w:rPr>
                <w:rFonts w:ascii="Times New Roman" w:eastAsia="宋体" w:hAnsi="Times New Roman" w:cs="宋体" w:hint="eastAsia"/>
              </w:rPr>
              <w:t>、分项结论：品名识别（是否单货相符）、禁限品识别（是否发现禁限品）、车体夹藏（是否发现禁限品）等分项结论的展示输出。</w:t>
            </w:r>
          </w:p>
          <w:p>
            <w:pPr>
              <w:ind w:firstLine="0"/>
              <w:rPr>
                <w:rFonts w:ascii="Times New Roman" w:hAnsi="Times New Roman"/>
              </w:rPr>
            </w:pPr>
            <w:r>
              <w:rPr>
                <w:rFonts w:ascii="Times New Roman" w:eastAsia="宋体" w:hAnsi="Times New Roman" w:cs="宋体" w:hint="eastAsia"/>
              </w:rPr>
              <w:t>3、在机检图像上以颜色标识智能审图分析出的异常区域，并对异常区域给予相应的文字提示。</w:t>
            </w:r>
          </w:p>
        </w:tc>
        <w:tc>
          <w:tcPr>
            <w:tcW w:w="1073" w:type="pct"/>
            <w:shd w:val="clear" w:color="auto" w:fill="auto"/>
            <w:vAlign w:val="center"/>
          </w:tcPr>
          <w:p>
            <w:pPr>
              <w:pStyle w:val="675"/>
              <w:spacing w:before="120" w:beforeLines="50" w:after="120" w:afterLines="50"/>
              <w:ind w:firstLine="0"/>
              <w:jc w:val="center"/>
              <w:rPr>
                <w:rFonts w:ascii="Times New Roman" w:eastAsia="宋体" w:hAnsi="Times New Roman" w:cs="宋体"/>
              </w:rPr>
            </w:pPr>
            <w:r>
              <w:rPr>
                <w:rFonts w:ascii="Times New Roman" w:eastAsia="宋体" w:hAnsi="Times New Roman" w:cs="Times New Roman" w:hint="eastAsia"/>
                <w:lang w:bidi="en-US"/>
              </w:rPr>
              <w:t>是</w:t>
            </w:r>
            <w:r>
              <w:rPr>
                <w:rFonts w:ascii="Times New Roman" w:eastAsia="宋体" w:hAnsi="Times New Roman" w:cs="宋体"/>
              </w:rPr>
              <w:t>，提供《承诺函》并加盖单位公章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115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宋体" w:hAnsi="Times New Roman" w:cs="宋体"/>
              </w:rPr>
            </w:pP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前置智能机检处置</w:t>
            </w:r>
            <w:r>
              <w:rPr>
                <w:rFonts w:ascii="Times New Roman" w:eastAsia="宋体" w:hAnsi="Times New Roman" w:cs="Times New Roman"/>
              </w:rPr>
              <w:t>-</w:t>
            </w:r>
            <w:r>
              <w:rPr>
                <w:rFonts w:ascii="Times New Roman" w:eastAsia="宋体" w:hAnsi="Times New Roman" w:cs="宋体" w:hint="eastAsia"/>
              </w:rPr>
              <w:t>边民互市进出境</w:t>
            </w:r>
            <w:r>
              <w:rPr>
                <w:rFonts w:ascii="Times New Roman" w:eastAsia="宋体" w:hAnsi="Times New Roman" w:cs="宋体"/>
              </w:rPr>
              <w:t>-智能审图径放</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设置智能审图径放开关，根据智能审图结论实现径放与人工复核等机检查验流程。</w:t>
            </w:r>
          </w:p>
          <w:p>
            <w:pPr>
              <w:widowControl/>
              <w:spacing w:after="120" w:afterLines="50"/>
              <w:ind w:firstLine="0"/>
              <w:rPr>
                <w:rFonts w:ascii="Times New Roman" w:eastAsia="宋体" w:hAnsi="Times New Roman" w:cs="宋体"/>
              </w:rPr>
            </w:pPr>
            <w:r>
              <w:rPr>
                <w:rFonts w:ascii="Times New Roman" w:eastAsia="宋体" w:hAnsi="Times New Roman" w:cs="宋体"/>
              </w:rPr>
              <w:t>1、</w:t>
            </w:r>
            <w:r>
              <w:rPr>
                <w:rFonts w:ascii="Times New Roman" w:eastAsia="宋体" w:hAnsi="Times New Roman" w:cs="宋体" w:hint="eastAsia"/>
              </w:rPr>
              <w:t>径放开关关闭，机检任务完成智能审图分析后，直接转入人工复核作业。</w:t>
            </w:r>
          </w:p>
          <w:p>
            <w:pPr>
              <w:ind w:firstLine="0"/>
              <w:rPr>
                <w:rFonts w:ascii="Times New Roman" w:hAnsi="Times New Roman"/>
              </w:rPr>
            </w:pPr>
            <w:r>
              <w:rPr>
                <w:rFonts w:ascii="Times New Roman" w:eastAsia="宋体" w:hAnsi="Times New Roman" w:hint="eastAsia"/>
              </w:rPr>
              <w:t>2</w:t>
            </w:r>
            <w:r>
              <w:rPr>
                <w:rFonts w:ascii="Times New Roman" w:eastAsia="宋体" w:hAnsi="Times New Roman" w:cs="宋体" w:hint="eastAsia"/>
              </w:rPr>
              <w:t>、径放开关打开，机检任务完成智能审图分析后，依据智能审图结论实施分流：智能审图结论为未见异常的，按比例抽核，未被抽中的图像直接转至现场处置作业流程，抽中的图像转至人工复核作业流程。</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900"/>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w:t>
            </w:r>
            <w:r>
              <w:rPr>
                <w:rFonts w:ascii="Times New Roman" w:eastAsia="宋体" w:hAnsi="Times New Roman" w:cs="Times New Roman"/>
              </w:rPr>
              <w:t>-</w:t>
            </w:r>
            <w:r>
              <w:rPr>
                <w:rFonts w:ascii="Times New Roman" w:eastAsia="宋体" w:hAnsi="Times New Roman" w:cs="宋体" w:hint="eastAsia"/>
              </w:rPr>
              <w:t>公路舱单指令处置</w:t>
            </w:r>
          </w:p>
        </w:tc>
        <w:tc>
          <w:tcPr>
            <w:tcW w:w="2043" w:type="pct"/>
            <w:shd w:val="clear" w:color="auto" w:fill="auto"/>
            <w:vAlign w:val="center"/>
          </w:tcPr>
          <w:p>
            <w:pPr>
              <w:widowControl/>
              <w:spacing w:after="120" w:afterLines="50"/>
              <w:ind w:firstLine="0"/>
              <w:rPr>
                <w:rFonts w:ascii="Times New Roman" w:eastAsia="宋体" w:hAnsi="Times New Roman" w:cs="宋体"/>
              </w:rPr>
            </w:pPr>
            <w:bookmarkStart w:id="43" w:name="_Hlk167266111"/>
            <w:r>
              <w:rPr>
                <w:rFonts w:ascii="Times New Roman" w:eastAsia="宋体" w:hAnsi="Times New Roman" w:cs="宋体" w:hint="eastAsia"/>
              </w:rPr>
              <w:t>将新研发的特色商品智能验证、车体夹藏检测等特色智能审图算法融入现有前置智能机检（公路舱单指令）作业流程</w:t>
            </w:r>
            <w:bookmarkEnd w:id="43"/>
            <w:r>
              <w:rPr>
                <w:rFonts w:ascii="Times New Roman" w:eastAsia="宋体" w:hAnsi="Times New Roman" w:cs="宋体" w:hint="eastAsia"/>
              </w:rPr>
              <w:t>，优化指令逻辑，实现现有前置智能机检（公路舱单指令）智能审图应用效果的有效提升。</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前置智能机检筛查-无指令</w:t>
            </w:r>
            <w:r>
              <w:rPr>
                <w:rFonts w:ascii="Times New Roman" w:eastAsia="宋体" w:hAnsi="Times New Roman" w:cs="Times New Roman"/>
              </w:rPr>
              <w:t>-</w:t>
            </w:r>
            <w:r>
              <w:rPr>
                <w:rFonts w:ascii="Times New Roman" w:eastAsia="宋体" w:hAnsi="Times New Roman" w:cs="宋体" w:hint="eastAsia"/>
              </w:rPr>
              <w:t>车辆过机图像获取</w:t>
            </w:r>
          </w:p>
        </w:tc>
        <w:tc>
          <w:tcPr>
            <w:tcW w:w="2043" w:type="pct"/>
            <w:shd w:val="clear" w:color="auto" w:fill="auto"/>
            <w:vAlign w:val="center"/>
          </w:tcPr>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实现前置智能机检过机图像的获取。</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1080"/>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left"/>
              <w:rPr>
                <w:rFonts w:ascii="Times New Roman" w:eastAsia="方正仿宋_GBK" w:hAnsi="Times New Roman" w:cs="宋体"/>
                <w:b/>
                <w:bCs/>
              </w:rPr>
            </w:pP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前置智能机检筛查-无指令</w:t>
            </w:r>
            <w:r>
              <w:rPr>
                <w:rFonts w:ascii="Times New Roman" w:eastAsia="宋体" w:hAnsi="Times New Roman" w:cs="Times New Roman"/>
              </w:rPr>
              <w:t>-</w:t>
            </w:r>
            <w:r>
              <w:rPr>
                <w:rFonts w:ascii="Times New Roman" w:eastAsia="宋体" w:hAnsi="Times New Roman" w:cs="宋体" w:hint="eastAsia"/>
              </w:rPr>
              <w:t>智能审图算法调用</w:t>
            </w:r>
          </w:p>
        </w:tc>
        <w:tc>
          <w:tcPr>
            <w:tcW w:w="2043" w:type="pct"/>
            <w:shd w:val="clear" w:color="auto" w:fill="auto"/>
            <w:vAlign w:val="center"/>
          </w:tcPr>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调用恰当的智能审图算法库算法，实施智能审图分析，给出智能审图分析结果。</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2010"/>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方正仿宋_GBK" w:hAnsi="Times New Roman" w:cs="宋体"/>
                <w:b/>
                <w:bCs/>
              </w:rPr>
            </w:pP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前置智能机检筛查-无指令</w:t>
            </w:r>
            <w:r>
              <w:rPr>
                <w:rFonts w:ascii="Times New Roman" w:eastAsia="宋体" w:hAnsi="Times New Roman" w:cs="宋体"/>
              </w:rPr>
              <w:t>-智能审图算法分析结果</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1、输出并展示所调用的各项智能审图算法的分项结论，并按照逻辑形成智能审图总结论，以推动后续任务流转并辅助后续人工复核与现场处置。</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2、</w:t>
            </w:r>
            <w:r>
              <w:rPr>
                <w:rFonts w:ascii="Times New Roman" w:eastAsia="宋体" w:hAnsi="Times New Roman" w:cs="宋体"/>
              </w:rPr>
              <w:t>智能审图总结论：按照逻辑将智能审图分项结论归并为发现异常、未见异常、无法确定三类总结论并展示输出</w:t>
            </w:r>
            <w:r>
              <w:rPr>
                <w:rFonts w:ascii="Times New Roman" w:eastAsia="宋体" w:hAnsi="Times New Roman" w:cs="宋体" w:hint="eastAsia"/>
              </w:rPr>
              <w:t>。</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3、分项结论：品名识别（是否单货相符）、禁限品识别（是否发现禁限品）、车体夹藏（是否发现禁限品）等分项结论的展示输出。</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4、在机检图像上以颜色标识智能审图分析出的异常区域，并对异常区域给予相应的文字提示。</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115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宋体" w:hAnsi="Times New Roman" w:cs="宋体"/>
              </w:rPr>
            </w:pP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前置智能机检筛查-无指令</w:t>
            </w:r>
            <w:r>
              <w:rPr>
                <w:rFonts w:ascii="Times New Roman" w:eastAsia="宋体" w:hAnsi="Times New Roman" w:cs="Times New Roman"/>
              </w:rPr>
              <w:t>-</w:t>
            </w:r>
            <w:r>
              <w:rPr>
                <w:rFonts w:ascii="Times New Roman" w:eastAsia="宋体" w:hAnsi="Times New Roman" w:cs="宋体" w:hint="eastAsia"/>
              </w:rPr>
              <w:t>智能审图径放</w:t>
            </w:r>
          </w:p>
        </w:tc>
        <w:tc>
          <w:tcPr>
            <w:tcW w:w="2043" w:type="pct"/>
            <w:shd w:val="clear" w:color="auto" w:fill="auto"/>
            <w:vAlign w:val="center"/>
          </w:tcPr>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设置智能审图径放开关，根据智能审图结论实现径放与人工复核等机检查验流程。</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1、径放开关关闭，机检任务完成智能审图分析后，直接转入人工复核作业。</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2、径放开关打开，机检任务完成智能审图分析后，依据智能审图结论实施分流：智能审图结论为未见异常的，按比例抽核，未被抽中的图像直接转至现场处置作业流程，抽中的图像转至人工复核作业流程。</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前置智能机检筛查（无指令）</w:t>
            </w:r>
            <w:r>
              <w:rPr>
                <w:rFonts w:ascii="Times New Roman" w:eastAsia="宋体" w:hAnsi="Times New Roman" w:cs="Times New Roman"/>
              </w:rPr>
              <w:t>-</w:t>
            </w:r>
            <w:r>
              <w:rPr>
                <w:rFonts w:ascii="Times New Roman" w:eastAsia="宋体" w:hAnsi="Times New Roman" w:cs="宋体" w:hint="eastAsia"/>
              </w:rPr>
              <w:t>后续布控流程对接</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实现流程对接，通过调用无指令机检扫描图像完成后续布控机检检查流程，实现无指令机检与常规布控机检检查流程的无缝衔接，避免重复过机扫描。</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157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前置智能机检人工复核</w:t>
            </w:r>
          </w:p>
        </w:tc>
        <w:tc>
          <w:tcPr>
            <w:tcW w:w="2043" w:type="pct"/>
            <w:shd w:val="clear" w:color="auto" w:fill="auto"/>
            <w:vAlign w:val="center"/>
          </w:tcPr>
          <w:p>
            <w:pPr>
              <w:ind w:firstLine="0"/>
              <w:rPr>
                <w:rFonts w:ascii="Times New Roman" w:hAnsi="Times New Roman"/>
              </w:rPr>
            </w:pPr>
            <w:r>
              <w:rPr>
                <w:rFonts w:ascii="宋体" w:eastAsia="宋体" w:cs="宋体" w:hint="eastAsia"/>
              </w:rPr>
              <w:t>未实现智能审图径放的图像任务，进入人工复核作业流程，完成人工复核作业，人工分析图像并实现对智能审图结果的验证与复核。人工复核结论将作为最终机检结论，推动后续流程。</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前置智能机检结论现场处置任务流转</w:t>
            </w:r>
          </w:p>
        </w:tc>
        <w:tc>
          <w:tcPr>
            <w:tcW w:w="2043" w:type="pct"/>
            <w:shd w:val="clear" w:color="auto" w:fill="auto"/>
            <w:vAlign w:val="center"/>
          </w:tcPr>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利用车牌号、图像号、时间等关键信息作为索引将机检结论推送至现场处置环节，推动现场处置作业。结论未见异常的转入现场放行环节，结论无法确定或发现异常的转入人工检查环节。</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前置智能机检信息现场处置</w:t>
            </w:r>
            <w:r>
              <w:rPr>
                <w:rFonts w:ascii="Times New Roman" w:eastAsia="宋体" w:hAnsi="Times New Roman" w:cs="Times New Roman"/>
              </w:rPr>
              <w:t>-</w:t>
            </w:r>
            <w:r>
              <w:rPr>
                <w:rFonts w:ascii="Times New Roman" w:eastAsia="宋体" w:hAnsi="Times New Roman" w:cs="宋体" w:hint="eastAsia"/>
              </w:rPr>
              <w:t>现场处置记录</w:t>
            </w:r>
          </w:p>
        </w:tc>
        <w:tc>
          <w:tcPr>
            <w:tcW w:w="2043" w:type="pct"/>
            <w:shd w:val="clear" w:color="auto" w:fill="auto"/>
            <w:vAlign w:val="center"/>
          </w:tcPr>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实现在处置现场录入现场处置记录、处置结论的人工详细验证结果和处置结论，并提供必要的机检图像处理功能。</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前置智能机检信息现场处置</w:t>
            </w:r>
            <w:r>
              <w:rPr>
                <w:rFonts w:ascii="Times New Roman" w:eastAsia="宋体" w:hAnsi="Times New Roman" w:cs="Times New Roman"/>
              </w:rPr>
              <w:t>-</w:t>
            </w:r>
            <w:r>
              <w:rPr>
                <w:rFonts w:ascii="Times New Roman" w:eastAsia="宋体" w:hAnsi="Times New Roman" w:cs="宋体" w:hint="eastAsia"/>
              </w:rPr>
              <w:t>现场处置历史查询</w:t>
            </w:r>
          </w:p>
        </w:tc>
        <w:tc>
          <w:tcPr>
            <w:tcW w:w="2043" w:type="pct"/>
            <w:shd w:val="clear" w:color="auto" w:fill="auto"/>
            <w:vAlign w:val="center"/>
          </w:tcPr>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实现根据车牌号、日期等信息，查询、展示已完成现场处置历史数据。</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前置智能机检信息现场处置</w:t>
            </w:r>
            <w:r>
              <w:rPr>
                <w:rFonts w:ascii="Times New Roman" w:eastAsia="宋体" w:hAnsi="Times New Roman" w:cs="Times New Roman"/>
              </w:rPr>
              <w:t>-</w:t>
            </w:r>
            <w:r>
              <w:rPr>
                <w:rFonts w:ascii="Times New Roman" w:eastAsia="宋体" w:hAnsi="Times New Roman" w:cs="宋体" w:hint="eastAsia"/>
              </w:rPr>
              <w:t>智能审图结论人工验证</w:t>
            </w:r>
          </w:p>
        </w:tc>
        <w:tc>
          <w:tcPr>
            <w:tcW w:w="2043" w:type="pct"/>
            <w:shd w:val="clear" w:color="auto" w:fill="auto"/>
            <w:vAlign w:val="center"/>
          </w:tcPr>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现场处置针对智能审图各结论实施人工验证，并将验证信息填报反馈，作为智能审图应用效果评估的基础数据。</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常规机检-一般贸易-新算法适配</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对于常规机检（一般贸易）的在用</w:t>
            </w:r>
            <w:r>
              <w:rPr>
                <w:rFonts w:ascii="Times New Roman" w:eastAsia="宋体" w:hAnsi="Times New Roman" w:cs="宋体"/>
              </w:rPr>
              <w:t>A、B两类设备，适配特色智能审图算法应用。</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常规机检-边民互市进出口-新算法适配</w:t>
            </w:r>
          </w:p>
        </w:tc>
        <w:tc>
          <w:tcPr>
            <w:tcW w:w="2043" w:type="pct"/>
            <w:shd w:val="clear" w:color="auto" w:fill="auto"/>
            <w:vAlign w:val="center"/>
          </w:tcPr>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对于常规机检（边民互市进出口）的在用</w:t>
            </w:r>
            <w:r>
              <w:rPr>
                <w:rFonts w:ascii="Times New Roman" w:eastAsia="宋体" w:hAnsi="Times New Roman" w:cs="宋体"/>
              </w:rPr>
              <w:t>A、B两类设备，适配特色智能审图算法应用。</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172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bookmarkEnd w:id="42"/>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r>
              <w:rPr>
                <w:rFonts w:ascii="Times New Roman" w:eastAsia="宋体" w:hAnsi="Times New Roman" w:cs="宋体" w:hint="eastAsia"/>
              </w:rPr>
              <w:t>▲</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前置智能机检数据查询统计及导出</w:t>
            </w:r>
          </w:p>
        </w:tc>
        <w:tc>
          <w:tcPr>
            <w:tcW w:w="2043" w:type="pct"/>
            <w:shd w:val="clear" w:color="auto" w:fill="auto"/>
            <w:vAlign w:val="center"/>
          </w:tcPr>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实现前置智能机检历史业务数据查询功能，根据任务类型、时间、设备类型等筛选条件查询、统计、展示相关的历史数据，并实现统计结果导出。</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1、涉及的查询统计项应至少涵盖：任务类型、集装箱号</w:t>
            </w:r>
            <w:r>
              <w:rPr>
                <w:rFonts w:ascii="Times New Roman" w:eastAsia="宋体" w:hAnsi="Times New Roman" w:cs="宋体"/>
              </w:rPr>
              <w:t>/车牌号、扫描时间、检查时间、H986设备号、进/出口、审图人员编号、智能审图结论、人工审图复核结论、人工处置结论、业务类型、物理车型、舱单号、货物件数、商品编号、装货地代码、货物包装种类代码、货物毛重、重量单位、货物简要描述等</w:t>
            </w:r>
            <w:r>
              <w:rPr>
                <w:rFonts w:ascii="Times New Roman" w:eastAsia="宋体" w:hAnsi="Times New Roman" w:cs="宋体" w:hint="eastAsia"/>
              </w:rPr>
              <w:t>。</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2、对查询统计结果进行导出，应至少支持导出</w:t>
            </w:r>
            <w:r>
              <w:rPr>
                <w:rFonts w:ascii="Times New Roman" w:eastAsia="宋体" w:hAnsi="Times New Roman" w:cs="宋体"/>
              </w:rPr>
              <w:t>Excel格式。</w:t>
            </w:r>
          </w:p>
        </w:tc>
        <w:tc>
          <w:tcPr>
            <w:tcW w:w="1073" w:type="pct"/>
            <w:shd w:val="clear" w:color="auto" w:fill="auto"/>
            <w:vAlign w:val="center"/>
          </w:tcPr>
          <w:p>
            <w:pPr>
              <w:pStyle w:val="681"/>
              <w:spacing w:before="120" w:beforeLines="50" w:after="120" w:afterLines="50"/>
              <w:ind w:firstLine="0"/>
              <w:jc w:val="center"/>
              <w:rPr>
                <w:rFonts w:ascii="Times New Roman" w:eastAsia="宋体" w:hAnsi="Times New Roman" w:cs="宋体"/>
                <w:b/>
                <w:bCs/>
              </w:rPr>
            </w:pPr>
            <w:r>
              <w:rPr>
                <w:rFonts w:ascii="Times New Roman" w:eastAsia="宋体" w:hAnsi="Times New Roman" w:cs="Times New Roman" w:hint="eastAsia"/>
                <w:lang w:bidi="en-US"/>
              </w:rPr>
              <w:t>是</w:t>
            </w:r>
            <w:r>
              <w:rPr>
                <w:rFonts w:ascii="Times New Roman" w:eastAsia="宋体" w:hAnsi="Times New Roman" w:cs="宋体"/>
              </w:rPr>
              <w:t>，提供《承诺函》并加盖单位公章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229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宋体" w:hAnsi="Times New Roman" w:cs="宋体" w:hint="eastAsia"/>
              </w:rPr>
              <w:t>▲</w:t>
            </w: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智能审图应用查询统计</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依据时间、算法类型、业务类型、设备类型等条件，实现自动统计与人工完善相结合的智能审图算法统计展示。算法统计类型至少包含以下内容：</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1、</w:t>
            </w:r>
            <w:r>
              <w:rPr>
                <w:rFonts w:ascii="Times New Roman" w:eastAsia="宋体" w:hAnsi="Times New Roman" w:cs="宋体"/>
              </w:rPr>
              <w:t>A类设备图像特色商品前置智能机检智能审图算法检出率</w:t>
            </w:r>
            <w:r>
              <w:rPr>
                <w:rFonts w:ascii="Times New Roman" w:eastAsia="宋体" w:hAnsi="Times New Roman" w:cs="宋体" w:hint="eastAsia"/>
              </w:rPr>
              <w:t>。</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2、</w:t>
            </w:r>
            <w:r>
              <w:rPr>
                <w:rFonts w:ascii="Times New Roman" w:eastAsia="宋体" w:hAnsi="Times New Roman" w:cs="宋体"/>
              </w:rPr>
              <w:t>A类设备图像车体夹藏检测算法检出率、误报率</w:t>
            </w:r>
            <w:r>
              <w:rPr>
                <w:rFonts w:ascii="Times New Roman" w:eastAsia="宋体" w:hAnsi="Times New Roman" w:cs="宋体" w:hint="eastAsia"/>
              </w:rPr>
              <w:t>。</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3、</w:t>
            </w:r>
            <w:r>
              <w:rPr>
                <w:rFonts w:ascii="Times New Roman" w:eastAsia="宋体" w:hAnsi="Times New Roman" w:cs="宋体"/>
              </w:rPr>
              <w:t>A类设备图像禁限品检测算法检出率、误报率（瓶装酒和固态异物）</w:t>
            </w:r>
            <w:r>
              <w:rPr>
                <w:rFonts w:ascii="Times New Roman" w:eastAsia="宋体" w:hAnsi="Times New Roman" w:cs="宋体" w:hint="eastAsia"/>
              </w:rPr>
              <w:t>。</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4、</w:t>
            </w:r>
            <w:r>
              <w:rPr>
                <w:rFonts w:ascii="Times New Roman" w:eastAsia="宋体" w:hAnsi="Times New Roman" w:cs="宋体"/>
              </w:rPr>
              <w:t>B类设备图像车体夹藏检测算法检出率、误报率</w:t>
            </w:r>
            <w:r>
              <w:rPr>
                <w:rFonts w:ascii="Times New Roman" w:eastAsia="宋体" w:hAnsi="Times New Roman" w:cs="宋体" w:hint="eastAsia"/>
              </w:rPr>
              <w:t>。</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5、</w:t>
            </w:r>
            <w:r>
              <w:rPr>
                <w:rFonts w:ascii="Times New Roman" w:eastAsia="宋体" w:hAnsi="Times New Roman" w:cs="宋体"/>
              </w:rPr>
              <w:t>B类设备图像特色商品前置智能机检智能审图算法检出率。</w:t>
            </w:r>
          </w:p>
        </w:tc>
        <w:tc>
          <w:tcPr>
            <w:tcW w:w="1073" w:type="pct"/>
            <w:shd w:val="clear" w:color="auto" w:fill="auto"/>
            <w:vAlign w:val="center"/>
          </w:tcPr>
          <w:p>
            <w:pPr>
              <w:pStyle w:val="695"/>
              <w:spacing w:before="120" w:beforeLines="50" w:after="120" w:afterLines="50"/>
              <w:ind w:firstLine="0"/>
              <w:jc w:val="center"/>
              <w:rPr>
                <w:rFonts w:ascii="Times New Roman" w:eastAsia="宋体" w:hAnsi="Times New Roman" w:cs="宋体"/>
                <w:b/>
                <w:bCs/>
              </w:rPr>
            </w:pPr>
            <w:r>
              <w:rPr>
                <w:rFonts w:ascii="Times New Roman" w:eastAsia="宋体" w:hAnsi="Times New Roman" w:cs="Times New Roman" w:hint="eastAsia"/>
                <w:lang w:bidi="en-US"/>
              </w:rPr>
              <w:t>是</w:t>
            </w:r>
            <w:r>
              <w:rPr>
                <w:rFonts w:ascii="Times New Roman" w:eastAsia="宋体" w:hAnsi="Times New Roman" w:cs="宋体"/>
              </w:rPr>
              <w:t>，提供《承诺函》并加盖单位公章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1440"/>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智能审图结果确认</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根据智能审图结论（总结论及分项结论）人工复核结论、现场处置结论等信息，实现对智能审图算法结果综合评判分析，应保证智能审图结果确认功能可以支撑后续的应用评估工作。</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1、实现对人工筛选的清洗，配置不同的统计范围，通过授权实现人工对智能审图统计样本的筛选和清洗，并去除例外图像与无效数据。</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2、实现对人工处置结果、人工复核结果以及算法自评价结果的综合，达到智能审图结果的确认。</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58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智能审图应用评估</w:t>
            </w:r>
          </w:p>
        </w:tc>
        <w:tc>
          <w:tcPr>
            <w:tcW w:w="2043" w:type="pct"/>
            <w:shd w:val="clear" w:color="auto" w:fill="auto"/>
            <w:vAlign w:val="center"/>
          </w:tcPr>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按照指标要求对特色算法在不同维度（业务类型、商品类型、设备等）不同周期内的应用效果是否达到预期进行验证，并支撑后续智能审图应用管理决策，应实现必要的智能审图算法自评价功能。</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172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智能审图应用管理</w:t>
            </w:r>
          </w:p>
        </w:tc>
        <w:tc>
          <w:tcPr>
            <w:tcW w:w="2043" w:type="pct"/>
            <w:shd w:val="clear" w:color="auto" w:fill="auto"/>
            <w:vAlign w:val="center"/>
          </w:tcPr>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实现智能审图应用管理功能：参考智能审图应用评估结果，以设备为基本单位对智能审图算法应用相关参数进行分级管理及调整。以实现对不同业务类型、算法类型、商品类型、设备类型实施不同智能审图策略的基本目标。</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1、智能审图应用参数至少包含智能审图径放开关、智能审图算法生效开关、有效识别商品列表、人工抽核比例等。</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2、两级参数管理，参数设置分为直属关区、隶属关区两级。</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58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宋体" w:hAnsi="Times New Roman" w:cs="宋体" w:hint="eastAsia"/>
              </w:rPr>
              <w:t>▲</w:t>
            </w: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数据可视化及展示</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为提升统计与评估功能的用户友好性与有效性，实现查询统计与评估数据相关的图表可视化与展示功能。</w:t>
            </w:r>
          </w:p>
        </w:tc>
        <w:tc>
          <w:tcPr>
            <w:tcW w:w="1073" w:type="pct"/>
            <w:shd w:val="clear" w:color="auto" w:fill="auto"/>
            <w:vAlign w:val="center"/>
          </w:tcPr>
          <w:p>
            <w:pPr>
              <w:widowControl/>
              <w:spacing w:after="120" w:afterLines="50"/>
              <w:ind w:firstLine="0"/>
              <w:rPr>
                <w:rFonts w:ascii="Times New Roman" w:eastAsia="宋体" w:hAnsi="Times New Roman" w:cs="宋体"/>
                <w:b/>
                <w:bCs/>
              </w:rPr>
            </w:pPr>
            <w:bookmarkStart w:id="44" w:name="_GoBack"/>
            <w:r>
              <w:rPr>
                <w:rFonts w:cs="宋体" w:hint="eastAsia"/>
                <w:lang w:bidi="en-US"/>
              </w:rPr>
              <w:t>是</w:t>
            </w:r>
            <w:r>
              <w:rPr>
                <w:rFonts w:cs="宋体" w:hint="eastAsia"/>
              </w:rPr>
              <w:t>，提供《承诺函》并加盖单位公章。</w:t>
            </w:r>
            <w:bookmarkEnd w:id="44"/>
          </w:p>
        </w:tc>
      </w:tr>
      <w:tr>
        <w:tblPrEx>
          <w:tblW w:w="5000" w:type="pct"/>
          <w:jc w:val="left"/>
          <w:tblInd w:w="0" w:type="dxa"/>
          <w:tblCellMar>
            <w:top w:w="0" w:type="dxa"/>
            <w:left w:w="108" w:type="dxa"/>
            <w:bottom w:w="0" w:type="dxa"/>
            <w:right w:w="108" w:type="dxa"/>
          </w:tblCellMar>
        </w:tblPrEx>
        <w:trPr>
          <w:trHeight w:val="6751"/>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宋体" w:hAnsi="Times New Roman" w:cs="宋体"/>
              </w:rPr>
            </w:pP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智能识别运算单元</w:t>
            </w:r>
          </w:p>
          <w:p>
            <w:pPr>
              <w:widowControl/>
              <w:ind w:firstLine="0"/>
              <w:rPr>
                <w:rFonts w:ascii="Times New Roman" w:eastAsia="宋体" w:hAnsi="Times New Roman" w:cs="宋体"/>
              </w:rPr>
            </w:pPr>
          </w:p>
        </w:tc>
        <w:tc>
          <w:tcPr>
            <w:tcW w:w="2043" w:type="pct"/>
            <w:tcBorders>
              <w:bottom w:val="single" w:sz="4" w:space="0" w:color="auto"/>
            </w:tcBorders>
            <w:shd w:val="clear" w:color="auto" w:fill="auto"/>
            <w:vAlign w:val="center"/>
          </w:tcPr>
          <w:p>
            <w:pPr>
              <w:spacing w:after="120" w:afterLines="50"/>
              <w:ind w:firstLine="0"/>
              <w:rPr>
                <w:rFonts w:ascii="Times New Roman" w:eastAsia="宋体" w:hAnsi="Times New Roman" w:cs="宋体"/>
              </w:rPr>
            </w:pPr>
            <w:r>
              <w:rPr>
                <w:rFonts w:ascii="Times New Roman" w:eastAsia="宋体" w:hAnsi="Times New Roman" w:cs="宋体" w:hint="eastAsia"/>
              </w:rPr>
              <w:t>需</w:t>
            </w:r>
            <w:r>
              <w:rPr>
                <w:rFonts w:ascii="Times New Roman" w:eastAsia="宋体" w:hAnsi="Times New Roman" w:cs="Times New Roman"/>
              </w:rPr>
              <w:t>3</w:t>
            </w:r>
            <w:r>
              <w:rPr>
                <w:rFonts w:ascii="Times New Roman" w:eastAsia="宋体" w:hAnsi="Times New Roman" w:cs="宋体" w:hint="eastAsia"/>
              </w:rPr>
              <w:t>套智能识别运算单元，</w:t>
            </w:r>
            <w:r>
              <w:rPr>
                <w:rFonts w:ascii="Times New Roman" w:eastAsia="宋体" w:hAnsi="Times New Roman" w:cs="宋体"/>
              </w:rPr>
              <w:t>搭载能够运行本项目新研发昆明海关特色智能审图算法所必需的基础运算环境，能够接收H986设备机检图像并通过调用特色智能审图算法对图像进行自动识别分析，同时输出相应的结论信息等，</w:t>
            </w:r>
            <w:r>
              <w:rPr>
                <w:rFonts w:ascii="Times New Roman" w:eastAsia="宋体" w:hAnsi="Times New Roman" w:cs="宋体" w:hint="eastAsia"/>
              </w:rPr>
              <w:t>实现智能审图算法与智慧机检应用适配应用。</w:t>
            </w:r>
          </w:p>
          <w:p>
            <w:pPr>
              <w:widowControl/>
              <w:spacing w:after="120" w:afterLines="50"/>
              <w:ind w:firstLine="0"/>
              <w:rPr>
                <w:rFonts w:ascii="Times New Roman" w:eastAsia="宋体" w:hAnsi="Times New Roman" w:cs="宋体"/>
                <w:b/>
                <w:bCs/>
                <w:color w:val="000000"/>
              </w:rPr>
            </w:pPr>
            <w:r>
              <w:rPr>
                <w:rFonts w:ascii="Times New Roman" w:eastAsia="宋体" w:hAnsi="Times New Roman" w:cs="宋体" w:hint="eastAsia"/>
              </w:rPr>
              <w:t>1、识别速度</w:t>
            </w:r>
            <w:r>
              <w:rPr>
                <w:rFonts w:ascii="Times New Roman" w:eastAsia="宋体" w:hAnsi="Times New Roman" w:cs="Times New Roman"/>
              </w:rPr>
              <w:t>:</w:t>
            </w:r>
            <w:r>
              <w:rPr>
                <w:rFonts w:ascii="Times New Roman" w:eastAsia="宋体" w:hAnsi="Times New Roman" w:cs="宋体"/>
              </w:rPr>
              <w:t>运行新研发昆明海关特色算法时，</w:t>
            </w:r>
            <w:r>
              <w:rPr>
                <w:rFonts w:ascii="Times New Roman" w:eastAsia="宋体" w:hAnsi="Times New Roman" w:cs="宋体" w:hint="eastAsia"/>
              </w:rPr>
              <w:t>平均识别时间不超过</w:t>
            </w:r>
            <w:r>
              <w:rPr>
                <w:rFonts w:ascii="Times New Roman" w:eastAsia="宋体" w:hAnsi="Times New Roman" w:cs="Times New Roman"/>
              </w:rPr>
              <w:t>15s</w:t>
            </w:r>
            <w:r>
              <w:rPr>
                <w:rFonts w:ascii="Times New Roman" w:eastAsia="宋体" w:hAnsi="Times New Roman" w:cs="宋体" w:hint="eastAsia"/>
              </w:rPr>
              <w:t>，年处理机检图像量达到</w:t>
            </w:r>
            <w:r>
              <w:rPr>
                <w:rFonts w:ascii="Times New Roman" w:eastAsia="宋体" w:hAnsi="Times New Roman" w:cs="Times New Roman"/>
              </w:rPr>
              <w:t>100000</w:t>
            </w:r>
            <w:r>
              <w:rPr>
                <w:rFonts w:ascii="Times New Roman" w:eastAsia="宋体" w:hAnsi="Times New Roman" w:cs="宋体" w:hint="eastAsia"/>
              </w:rPr>
              <w:t>幅</w:t>
            </w:r>
            <w:r>
              <w:rPr>
                <w:rFonts w:ascii="Times New Roman" w:eastAsia="宋体" w:hAnsi="Times New Roman" w:cs="Times New Roman"/>
              </w:rPr>
              <w:t>/</w:t>
            </w:r>
            <w:r>
              <w:rPr>
                <w:rFonts w:ascii="Times New Roman" w:eastAsia="宋体" w:hAnsi="Times New Roman" w:cs="宋体" w:hint="eastAsia"/>
              </w:rPr>
              <w:t>套。</w:t>
            </w:r>
          </w:p>
          <w:p>
            <w:pPr>
              <w:widowControl/>
              <w:spacing w:after="120" w:afterLines="50"/>
              <w:ind w:firstLine="0"/>
              <w:rPr>
                <w:rFonts w:ascii="Times New Roman" w:eastAsia="宋体" w:hAnsi="Times New Roman" w:cs="宋体"/>
                <w:b/>
                <w:bCs/>
                <w:color w:val="000000"/>
              </w:rPr>
            </w:pPr>
            <w:r>
              <w:rPr>
                <w:rFonts w:ascii="Times New Roman" w:eastAsia="宋体" w:hAnsi="Times New Roman" w:cs="宋体" w:hint="eastAsia"/>
                <w:color w:val="000000"/>
              </w:rPr>
              <w:t>2、数据接口：</w:t>
            </w:r>
            <w:r>
              <w:rPr>
                <w:rFonts w:ascii="Times New Roman" w:eastAsia="宋体" w:hAnsi="Times New Roman" w:cs="宋体"/>
                <w:color w:val="000000"/>
              </w:rPr>
              <w:t>智能审图调用非结构化数据通讯应采用HTTP通讯方式；结构化数据通讯使用XML格式进行组织，采用WebService通讯方式。并支持新研发昆明海关特色算法包的部署、升级、回滚等操作。</w:t>
            </w:r>
          </w:p>
          <w:p>
            <w:pPr>
              <w:widowControl/>
              <w:spacing w:after="120" w:afterLines="50"/>
              <w:ind w:firstLine="0"/>
              <w:rPr>
                <w:rFonts w:ascii="Times New Roman" w:eastAsia="宋体" w:hAnsi="Times New Roman" w:cs="宋体"/>
                <w:b/>
                <w:bCs/>
                <w:color w:val="000000"/>
              </w:rPr>
            </w:pPr>
            <w:r>
              <w:rPr>
                <w:rFonts w:ascii="Times New Roman" w:eastAsia="宋体" w:hAnsi="Times New Roman" w:cs="宋体" w:hint="eastAsia"/>
                <w:color w:val="000000"/>
              </w:rPr>
              <w:t>3、支持格式：</w:t>
            </w:r>
            <w:r>
              <w:rPr>
                <w:rFonts w:ascii="Times New Roman" w:eastAsia="宋体" w:hAnsi="Times New Roman" w:cs="宋体"/>
                <w:color w:val="000000"/>
              </w:rPr>
              <w:t>至少支持昆明海关在用各类型H986设备开放的16位TIFF图像格式。</w:t>
            </w:r>
          </w:p>
          <w:p>
            <w:pPr>
              <w:widowControl/>
              <w:spacing w:after="120" w:afterLines="50"/>
              <w:ind w:firstLine="0"/>
              <w:rPr>
                <w:rFonts w:ascii="Times New Roman" w:eastAsia="宋体" w:hAnsi="Times New Roman" w:cs="宋体"/>
                <w:color w:val="000000"/>
              </w:rPr>
            </w:pPr>
            <w:r>
              <w:rPr>
                <w:rFonts w:ascii="Times New Roman" w:eastAsia="宋体" w:hAnsi="Times New Roman" w:cs="宋体" w:hint="eastAsia"/>
                <w:color w:val="000000"/>
              </w:rPr>
              <w:t>4、算法适配：支持</w:t>
            </w:r>
            <w:r>
              <w:rPr>
                <w:rFonts w:ascii="Times New Roman" w:eastAsia="宋体" w:hAnsi="Times New Roman" w:cs="宋体"/>
                <w:color w:val="000000"/>
              </w:rPr>
              <w:t>新研发昆明海关特色算法</w:t>
            </w:r>
            <w:r>
              <w:rPr>
                <w:rFonts w:ascii="Times New Roman" w:eastAsia="宋体" w:hAnsi="Times New Roman" w:cs="Times New Roman"/>
                <w:color w:val="000000"/>
              </w:rPr>
              <w:t>7*24</w:t>
            </w:r>
            <w:r>
              <w:rPr>
                <w:rFonts w:ascii="Times New Roman" w:eastAsia="宋体" w:hAnsi="Times New Roman" w:cs="宋体" w:hint="eastAsia"/>
                <w:color w:val="000000"/>
              </w:rPr>
              <w:t>小时稳定工作。</w:t>
            </w:r>
          </w:p>
          <w:p>
            <w:pPr>
              <w:spacing w:after="120" w:afterLines="50"/>
              <w:ind w:firstLine="0"/>
              <w:rPr>
                <w:rFonts w:ascii="Times New Roman" w:eastAsia="宋体" w:hAnsi="Times New Roman" w:cs="宋体"/>
              </w:rPr>
            </w:pPr>
            <w:r>
              <w:rPr>
                <w:rFonts w:ascii="Times New Roman" w:eastAsia="宋体" w:hAnsi="Times New Roman" w:cs="宋体" w:hint="eastAsia"/>
              </w:rPr>
              <w:t>5、运行温度</w:t>
            </w:r>
            <w:r>
              <w:rPr>
                <w:rFonts w:ascii="Times New Roman" w:eastAsia="宋体" w:hAnsi="Times New Roman" w:cs="Times New Roman"/>
              </w:rPr>
              <w:t>/</w:t>
            </w:r>
            <w:r>
              <w:rPr>
                <w:rFonts w:ascii="Times New Roman" w:eastAsia="宋体" w:hAnsi="Times New Roman" w:cs="宋体" w:hint="eastAsia"/>
              </w:rPr>
              <w:t>湿度：</w:t>
            </w:r>
            <w:r>
              <w:rPr>
                <w:rFonts w:ascii="Times New Roman" w:eastAsia="宋体" w:hAnsi="Times New Roman" w:cs="Times New Roman"/>
              </w:rPr>
              <w:t>0</w:t>
            </w:r>
            <w:r>
              <w:rPr>
                <w:rFonts w:ascii="Times New Roman" w:eastAsia="宋体" w:hAnsi="Times New Roman" w:cs="Times New Roman" w:hint="eastAsia"/>
              </w:rPr>
              <w:t>℃</w:t>
            </w:r>
            <w:r>
              <w:rPr>
                <w:rFonts w:ascii="Times New Roman" w:eastAsia="宋体" w:hAnsi="Times New Roman" w:cs="Times New Roman"/>
              </w:rPr>
              <w:t>~+35</w:t>
            </w:r>
            <w:r>
              <w:rPr>
                <w:rFonts w:ascii="Times New Roman" w:eastAsia="宋体" w:hAnsi="Times New Roman" w:cs="Times New Roman" w:hint="eastAsia"/>
              </w:rPr>
              <w:t>℃</w:t>
            </w:r>
            <w:r>
              <w:rPr>
                <w:rFonts w:ascii="Times New Roman" w:eastAsia="宋体" w:hAnsi="Times New Roman" w:cs="Times New Roman"/>
              </w:rPr>
              <w:t xml:space="preserve">/5%~95% </w:t>
            </w:r>
            <w:r>
              <w:rPr>
                <w:rFonts w:ascii="Times New Roman" w:eastAsia="宋体" w:hAnsi="Times New Roman" w:cs="宋体" w:hint="eastAsia"/>
              </w:rPr>
              <w:t>不结露。</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278"/>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tcBorders>
              <w:right w:val="single" w:sz="4" w:space="0" w:color="auto"/>
            </w:tcBorders>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性能需求</w:t>
            </w:r>
          </w:p>
        </w:tc>
        <w:tc>
          <w:tcPr>
            <w:tcW w:w="2043" w:type="pct"/>
            <w:tcBorders>
              <w:top w:val="single" w:sz="4" w:space="0" w:color="auto"/>
              <w:left w:val="single" w:sz="4" w:space="0" w:color="auto"/>
              <w:right w:val="single" w:sz="4" w:space="0" w:color="auto"/>
            </w:tcBorders>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1、流程审批、流转请求，高峰时段性能需求：需支持</w:t>
            </w:r>
            <w:r>
              <w:rPr>
                <w:rFonts w:ascii="Times New Roman" w:eastAsia="宋体" w:hAnsi="Times New Roman" w:cs="Times New Roman"/>
              </w:rPr>
              <w:t>100</w:t>
            </w:r>
            <w:r>
              <w:rPr>
                <w:rFonts w:ascii="Times New Roman" w:eastAsia="宋体" w:hAnsi="Times New Roman" w:cs="宋体" w:hint="eastAsia"/>
              </w:rPr>
              <w:t>个用户并发访问，系统最高支持</w:t>
            </w:r>
            <w:r>
              <w:rPr>
                <w:rFonts w:ascii="Times New Roman" w:eastAsia="宋体" w:hAnsi="Times New Roman" w:cs="Times New Roman"/>
              </w:rPr>
              <w:t>300</w:t>
            </w:r>
            <w:r>
              <w:rPr>
                <w:rFonts w:ascii="Times New Roman" w:eastAsia="宋体" w:hAnsi="Times New Roman" w:cs="宋体" w:hint="eastAsia"/>
              </w:rPr>
              <w:t>用户，</w:t>
            </w:r>
            <w:r>
              <w:rPr>
                <w:rFonts w:ascii="Times New Roman" w:eastAsia="宋体" w:hAnsi="Times New Roman" w:cs="Times New Roman"/>
              </w:rPr>
              <w:t>300</w:t>
            </w:r>
            <w:r>
              <w:rPr>
                <w:rFonts w:ascii="Times New Roman" w:eastAsia="宋体" w:hAnsi="Times New Roman" w:cs="宋体" w:hint="eastAsia"/>
              </w:rPr>
              <w:t>用户并发访问情况下，流转审批、流转请求响应时间应</w:t>
            </w:r>
            <w:r>
              <w:rPr>
                <w:rFonts w:ascii="Times New Roman" w:eastAsia="宋体" w:hAnsi="Times New Roman" w:cs="Times New Roman" w:hint="eastAsia"/>
              </w:rPr>
              <w:t>≤</w:t>
            </w:r>
            <w:r>
              <w:rPr>
                <w:rFonts w:ascii="Times New Roman" w:eastAsia="宋体" w:hAnsi="Times New Roman" w:cs="Times New Roman"/>
              </w:rPr>
              <w:t>7</w:t>
            </w:r>
            <w:r>
              <w:rPr>
                <w:rFonts w:ascii="Times New Roman" w:eastAsia="宋体" w:hAnsi="Times New Roman" w:cs="宋体" w:hint="eastAsia"/>
              </w:rPr>
              <w:t>秒。</w:t>
            </w:r>
            <w:r>
              <w:rPr>
                <w:rFonts w:ascii="Times New Roman" w:eastAsia="宋体" w:hAnsi="Times New Roman" w:cs="Times New Roman"/>
              </w:rPr>
              <w:t>100</w:t>
            </w:r>
            <w:r>
              <w:rPr>
                <w:rFonts w:ascii="Times New Roman" w:eastAsia="宋体" w:hAnsi="Times New Roman" w:cs="宋体" w:hint="eastAsia"/>
              </w:rPr>
              <w:t>个用户并发访问时，在非业务高峰时段，流程审批、流转请求响应时间</w:t>
            </w:r>
            <w:r>
              <w:rPr>
                <w:rFonts w:ascii="Times New Roman" w:eastAsia="宋体" w:hAnsi="Times New Roman" w:cs="Times New Roman" w:hint="eastAsia"/>
              </w:rPr>
              <w:t>≤</w:t>
            </w:r>
            <w:r>
              <w:rPr>
                <w:rFonts w:ascii="Times New Roman" w:eastAsia="宋体" w:hAnsi="Times New Roman" w:cs="Times New Roman"/>
              </w:rPr>
              <w:t>3</w:t>
            </w:r>
            <w:r>
              <w:rPr>
                <w:rFonts w:ascii="Times New Roman" w:eastAsia="宋体" w:hAnsi="Times New Roman" w:cs="宋体" w:hint="eastAsia"/>
              </w:rPr>
              <w:t>秒。</w:t>
            </w:r>
          </w:p>
          <w:p>
            <w:pPr>
              <w:widowControl/>
              <w:spacing w:after="120" w:afterLines="50"/>
              <w:ind w:firstLine="0"/>
              <w:rPr>
                <w:rFonts w:ascii="Times New Roman" w:eastAsia="宋体" w:hAnsi="Times New Roman" w:cs="宋体"/>
              </w:rPr>
            </w:pPr>
            <w:r>
              <w:rPr>
                <w:rFonts w:ascii="Times New Roman" w:eastAsia="宋体" w:hAnsi="Times New Roman" w:cs="宋体"/>
              </w:rPr>
              <w:t>2</w:t>
            </w:r>
            <w:r>
              <w:rPr>
                <w:rFonts w:ascii="Times New Roman" w:eastAsia="宋体" w:hAnsi="Times New Roman" w:cs="宋体" w:hint="eastAsia"/>
              </w:rPr>
              <w:t>、统计分析操作查询请求，根据系统及业务情况分析每月月初、月底为数据上报、数据导出等操作相对频繁高峰期。</w:t>
            </w:r>
          </w:p>
          <w:p>
            <w:pPr>
              <w:spacing w:after="120" w:afterLines="50"/>
              <w:ind w:firstLine="0"/>
              <w:rPr>
                <w:rFonts w:ascii="Times New Roman" w:eastAsia="宋体" w:hAnsi="Times New Roman" w:cs="宋体"/>
              </w:rPr>
            </w:pPr>
            <w:r>
              <w:rPr>
                <w:rFonts w:ascii="Times New Roman" w:eastAsia="宋体" w:hAnsi="Times New Roman" w:cs="宋体" w:hint="eastAsia"/>
              </w:rPr>
              <w:t>高峰时段需支持</w:t>
            </w:r>
            <w:r>
              <w:rPr>
                <w:rFonts w:ascii="Times New Roman" w:eastAsia="宋体" w:hAnsi="Times New Roman" w:cs="Times New Roman"/>
              </w:rPr>
              <w:t>100</w:t>
            </w:r>
            <w:r>
              <w:rPr>
                <w:rFonts w:ascii="Times New Roman" w:eastAsia="宋体" w:hAnsi="Times New Roman" w:cs="宋体" w:hint="eastAsia"/>
              </w:rPr>
              <w:t>个用户并发访问，系统最高支持</w:t>
            </w:r>
            <w:r>
              <w:rPr>
                <w:rFonts w:ascii="Times New Roman" w:eastAsia="宋体" w:hAnsi="Times New Roman" w:cs="Times New Roman"/>
              </w:rPr>
              <w:t>300</w:t>
            </w:r>
            <w:r>
              <w:rPr>
                <w:rFonts w:ascii="Times New Roman" w:eastAsia="宋体" w:hAnsi="Times New Roman" w:cs="宋体" w:hint="eastAsia"/>
              </w:rPr>
              <w:t>用户并发访问。</w:t>
            </w:r>
            <w:r>
              <w:rPr>
                <w:rFonts w:ascii="Times New Roman" w:eastAsia="宋体" w:hAnsi="Times New Roman" w:cs="Times New Roman"/>
              </w:rPr>
              <w:t>100</w:t>
            </w:r>
            <w:r>
              <w:rPr>
                <w:rFonts w:ascii="Times New Roman" w:eastAsia="宋体" w:hAnsi="Times New Roman" w:cs="宋体" w:hint="eastAsia"/>
              </w:rPr>
              <w:t>用户并发情况下，统计分析类操作请求响应</w:t>
            </w:r>
            <w:r>
              <w:rPr>
                <w:rFonts w:ascii="Times New Roman" w:eastAsia="宋体" w:hAnsi="Times New Roman" w:cs="Times New Roman" w:hint="eastAsia"/>
              </w:rPr>
              <w:t>≤</w:t>
            </w:r>
            <w:r>
              <w:rPr>
                <w:rFonts w:ascii="Times New Roman" w:eastAsia="宋体" w:hAnsi="Times New Roman" w:cs="Times New Roman"/>
              </w:rPr>
              <w:t>10</w:t>
            </w:r>
            <w:r>
              <w:rPr>
                <w:rFonts w:ascii="Times New Roman" w:eastAsia="宋体" w:hAnsi="Times New Roman" w:cs="宋体" w:hint="eastAsia"/>
              </w:rPr>
              <w:t>秒；</w:t>
            </w:r>
            <w:r>
              <w:rPr>
                <w:rFonts w:ascii="Times New Roman" w:eastAsia="宋体" w:hAnsi="Times New Roman" w:cs="Times New Roman"/>
              </w:rPr>
              <w:t>30</w:t>
            </w:r>
            <w:r>
              <w:rPr>
                <w:rFonts w:ascii="Times New Roman" w:eastAsia="宋体" w:hAnsi="Times New Roman" w:cs="宋体" w:hint="eastAsia"/>
              </w:rPr>
              <w:t>个用户并发访问时，在非业务高峰时段，统计分析类操作请求响应</w:t>
            </w:r>
            <w:r>
              <w:rPr>
                <w:rFonts w:ascii="Times New Roman" w:eastAsia="宋体" w:hAnsi="Times New Roman" w:cs="Times New Roman" w:hint="eastAsia"/>
              </w:rPr>
              <w:t>≤</w:t>
            </w:r>
            <w:r>
              <w:rPr>
                <w:rFonts w:ascii="Times New Roman" w:eastAsia="宋体" w:hAnsi="Times New Roman" w:cs="Times New Roman"/>
              </w:rPr>
              <w:t>5</w:t>
            </w:r>
            <w:r>
              <w:rPr>
                <w:rFonts w:ascii="Times New Roman" w:eastAsia="宋体" w:hAnsi="Times New Roman" w:cs="宋体" w:hint="eastAsia"/>
              </w:rPr>
              <w:t>秒</w:t>
            </w:r>
            <w:r>
              <w:rPr>
                <w:rFonts w:ascii="Times New Roman" w:eastAsia="宋体" w:hAnsi="Times New Roman" w:cs="Times New Roman"/>
              </w:rPr>
              <w:t>;</w:t>
            </w:r>
          </w:p>
        </w:tc>
        <w:tc>
          <w:tcPr>
            <w:tcW w:w="1073" w:type="pct"/>
            <w:tcBorders>
              <w:left w:val="single" w:sz="4" w:space="0" w:color="auto"/>
            </w:tcBorders>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扩展需求</w:t>
            </w:r>
          </w:p>
        </w:tc>
        <w:tc>
          <w:tcPr>
            <w:tcW w:w="2043" w:type="pct"/>
            <w:tcBorders>
              <w:top w:val="single" w:sz="4" w:space="0" w:color="auto"/>
            </w:tcBorders>
            <w:shd w:val="clear" w:color="auto" w:fill="auto"/>
            <w:vAlign w:val="center"/>
          </w:tcPr>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应充分考虑海关业务未来的改革方向，系统设计应具有一定的前瞻性，充分考虑系统未来升级、扩容、扩充和维护的可行性。</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宋体" w:hint="eastAsia"/>
              </w:rPr>
              <w:t>★</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数据保护需求</w:t>
            </w:r>
          </w:p>
        </w:tc>
        <w:tc>
          <w:tcPr>
            <w:tcW w:w="2043" w:type="pct"/>
            <w:tcBorders>
              <w:top w:val="single" w:sz="4" w:space="0" w:color="auto"/>
            </w:tcBorders>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1、保密性：系统设计首要考虑如何建立整个系统的安全性、保密性，且必须是整体的、全面的。系统必须要提供信息传输保密性、数据完整性、身份识别和认证、防抵赖性等安全保障措施。</w:t>
            </w:r>
          </w:p>
          <w:p>
            <w:pPr>
              <w:widowControl/>
              <w:spacing w:after="120" w:afterLines="50"/>
              <w:ind w:firstLine="0"/>
              <w:rPr>
                <w:rFonts w:ascii="Times New Roman" w:eastAsia="宋体" w:hAnsi="Times New Roman" w:cs="宋体"/>
              </w:rPr>
            </w:pPr>
            <w:r>
              <w:rPr>
                <w:rFonts w:ascii="Times New Roman" w:eastAsia="宋体" w:hAnsi="Times New Roman" w:cs="宋体" w:hint="eastAsia"/>
              </w:rPr>
              <w:t>关键数据及文件在存储时需要进行加密处理，防止数据信息泄露，重要业务数据传输过程中进行加密保护，防止数据在传输过程中信息泄露。</w:t>
            </w:r>
          </w:p>
          <w:p>
            <w:pPr>
              <w:widowControl/>
              <w:spacing w:after="120" w:afterLines="50"/>
              <w:ind w:firstLine="0"/>
              <w:rPr>
                <w:rFonts w:ascii="Times New Roman" w:eastAsia="宋体" w:hAnsi="Times New Roman" w:cs="宋体"/>
              </w:rPr>
            </w:pPr>
            <w:r>
              <w:rPr>
                <w:rFonts w:ascii="Times New Roman" w:eastAsia="宋体" w:hAnsi="Times New Roman" w:cs="宋体" w:hint="eastAsia"/>
              </w:rPr>
              <w:t>2、完整性：系统代码及配置文件中不保存明文口令及数据库连接信息。</w:t>
            </w:r>
          </w:p>
          <w:p>
            <w:pPr>
              <w:widowControl/>
              <w:spacing w:after="120" w:afterLines="50"/>
              <w:ind w:firstLine="0"/>
              <w:rPr>
                <w:rFonts w:ascii="Times New Roman" w:eastAsia="宋体" w:hAnsi="Times New Roman" w:cs="宋体"/>
              </w:rPr>
            </w:pPr>
            <w:r>
              <w:rPr>
                <w:rFonts w:ascii="Times New Roman" w:eastAsia="宋体" w:hAnsi="Times New Roman" w:cs="宋体" w:hint="eastAsia"/>
              </w:rPr>
              <w:t>明确系统需提供数据传输完整性，确保重要数据在传输过程中不被破坏或篡改。</w:t>
            </w:r>
          </w:p>
          <w:p>
            <w:pPr>
              <w:widowControl/>
              <w:spacing w:after="120" w:afterLines="50"/>
              <w:ind w:firstLine="0"/>
              <w:rPr>
                <w:rFonts w:ascii="Times New Roman" w:eastAsia="宋体" w:hAnsi="Times New Roman" w:cs="宋体"/>
              </w:rPr>
            </w:pPr>
            <w:r>
              <w:rPr>
                <w:rFonts w:ascii="Times New Roman" w:eastAsia="宋体" w:hAnsi="Times New Roman" w:cs="宋体" w:hint="eastAsia"/>
              </w:rPr>
              <w:t>3、剩余信息保护需求：系统具有剩余信息保护功能，在用户退出系统时清除本地缓存和遗留的任何身份鉴别信息，包括但不限于用户账号、用户口令、认证令牌、第三方证书等信息。</w:t>
            </w:r>
          </w:p>
          <w:p>
            <w:pPr>
              <w:widowControl/>
              <w:spacing w:after="120" w:afterLines="50"/>
              <w:ind w:firstLine="0"/>
              <w:rPr>
                <w:rFonts w:ascii="Times New Roman" w:eastAsia="宋体" w:hAnsi="Times New Roman" w:cs="宋体"/>
              </w:rPr>
            </w:pPr>
            <w:r>
              <w:rPr>
                <w:rFonts w:ascii="Times New Roman" w:eastAsia="宋体" w:hAnsi="Times New Roman" w:cs="宋体" w:hint="eastAsia"/>
              </w:rPr>
              <w:t>在用户退出系统时对用户操作的敏感数据及其衍生数据的本地缓存内容做到完全清除，对于在上述身份鉴别信息和敏感数据所在的存储空间被释放或重新分配前，系统具备将其中信息完全清除的安全功能。</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rPr>
              <w:t>是，提供《承诺函》并加盖单位公章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数据导出行为监控及预警需求</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导出行为有相关日志记录：用户名称、用户机构、用户</w:t>
            </w:r>
            <w:r>
              <w:rPr>
                <w:rFonts w:ascii="Times New Roman" w:eastAsia="宋体" w:hAnsi="Times New Roman" w:cs="Times New Roman" w:hint="eastAsia"/>
              </w:rPr>
              <w:t>IP</w:t>
            </w:r>
            <w:r>
              <w:rPr>
                <w:rFonts w:ascii="Times New Roman" w:eastAsia="宋体" w:hAnsi="Times New Roman" w:cs="宋体" w:hint="eastAsia"/>
              </w:rPr>
              <w:t>、时间，导出数据超过规定数据量进行相关预警。</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Times New Roman"/>
              </w:rPr>
            </w:pPr>
            <w:r>
              <w:rPr>
                <w:rFonts w:ascii="Times New Roman" w:eastAsia="等线" w:hAnsi="Times New Roman" w:cs="Times New Roman" w:hint="eastAsia"/>
              </w:rPr>
              <w:t>　</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软件容错需求</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对于人机交互、通信接口输入数据部分，通过对人机接口输入或通过通信接口输入的数据格式或长度进行文件大小校验，确保输入数据合法有效。</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hint="eastAsia"/>
              </w:rPr>
              <w:t>否</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宋体"/>
              </w:rPr>
            </w:pPr>
            <w:r>
              <w:rPr>
                <w:rFonts w:ascii="Times New Roman" w:eastAsia="等线" w:hAnsi="Times New Roman" w:cs="宋体" w:hint="eastAsia"/>
              </w:rPr>
              <w:t>★</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数据备份</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本项目需要对涉及重要的查验类业务数据应定期进行本地数据备份及恢复，数据保存六年（在线存储三年，归档存储三年）。</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rPr>
              <w:t>是，提供《承诺函》并加盖单位公章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645"/>
          <w:jc w:val="left"/>
        </w:trPr>
        <w:tc>
          <w:tcPr>
            <w:tcW w:w="276" w:type="pct"/>
            <w:shd w:val="clear" w:color="auto" w:fill="auto"/>
            <w:vAlign w:val="center"/>
          </w:tcPr>
          <w:p>
            <w:pPr>
              <w:pStyle w:val="2104"/>
              <w:widowControl/>
              <w:numPr>
                <w:ilvl w:val="0"/>
                <w:numId w:val="3"/>
              </w:numPr>
              <w:contextualSpacing w:val="0"/>
              <w:jc w:val="center"/>
              <w:rPr>
                <w:rFonts w:ascii="Times New Roman" w:eastAsia="宋体" w:hAnsi="Times New Roman" w:cs="宋体"/>
              </w:rPr>
            </w:pPr>
          </w:p>
        </w:tc>
        <w:tc>
          <w:tcPr>
            <w:tcW w:w="576" w:type="pct"/>
            <w:shd w:val="clear" w:color="auto" w:fill="auto"/>
            <w:vAlign w:val="center"/>
          </w:tcPr>
          <w:p>
            <w:pPr>
              <w:widowControl/>
              <w:ind w:firstLine="0"/>
              <w:jc w:val="center"/>
              <w:rPr>
                <w:rFonts w:ascii="Times New Roman" w:eastAsia="等线" w:hAnsi="Times New Roman" w:cs="宋体"/>
              </w:rPr>
            </w:pPr>
            <w:r>
              <w:rPr>
                <w:rFonts w:ascii="Times New Roman" w:eastAsia="等线" w:hAnsi="Times New Roman" w:cs="宋体" w:hint="eastAsia"/>
              </w:rPr>
              <w:t>★</w:t>
            </w:r>
          </w:p>
        </w:tc>
        <w:tc>
          <w:tcPr>
            <w:tcW w:w="1032" w:type="pct"/>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内控措施</w:t>
            </w:r>
            <w:r>
              <w:rPr>
                <w:rFonts w:ascii="Times New Roman" w:eastAsia="宋体" w:hAnsi="Times New Roman" w:cs="Times New Roman"/>
              </w:rPr>
              <w:t>-</w:t>
            </w:r>
            <w:r>
              <w:rPr>
                <w:rFonts w:ascii="Times New Roman" w:eastAsia="宋体" w:hAnsi="Times New Roman" w:cs="宋体" w:hint="eastAsia"/>
              </w:rPr>
              <w:t>岗位控制</w:t>
            </w:r>
          </w:p>
        </w:tc>
        <w:tc>
          <w:tcPr>
            <w:tcW w:w="2043" w:type="pct"/>
            <w:shd w:val="clear" w:color="auto" w:fill="auto"/>
            <w:vAlign w:val="center"/>
          </w:tcPr>
          <w:p>
            <w:pPr>
              <w:widowControl/>
              <w:spacing w:after="120" w:afterLines="50"/>
              <w:ind w:firstLine="0"/>
              <w:rPr>
                <w:rFonts w:ascii="Times New Roman" w:eastAsia="宋体" w:hAnsi="Times New Roman" w:cs="宋体"/>
              </w:rPr>
            </w:pPr>
            <w:r>
              <w:rPr>
                <w:rFonts w:ascii="Times New Roman" w:eastAsia="等线" w:hAnsi="Times New Roman" w:cs="Times New Roman"/>
              </w:rPr>
              <w:t>1</w:t>
            </w:r>
            <w:r>
              <w:rPr>
                <w:rFonts w:ascii="Times New Roman" w:eastAsia="等线" w:hAnsi="Times New Roman" w:cs="Times New Roman" w:hint="eastAsia"/>
              </w:rPr>
              <w:t>、</w:t>
            </w:r>
            <w:r>
              <w:rPr>
                <w:rFonts w:ascii="Times New Roman" w:eastAsia="宋体" w:hAnsi="Times New Roman" w:cs="Times New Roman" w:hint="eastAsia"/>
              </w:rPr>
              <w:t>最小帐户</w:t>
            </w:r>
            <w:r>
              <w:rPr>
                <w:rFonts w:ascii="Times New Roman" w:eastAsia="宋体" w:hAnsi="Times New Roman" w:cs="宋体" w:hint="eastAsia"/>
              </w:rPr>
              <w:t>。进行严格的帐户有关管理，实施严格的帐户策略；严格控制增加、修改、删除系统中的帐户和群组；删除所有系统上不使用的帐户和群组。</w:t>
            </w:r>
          </w:p>
          <w:p>
            <w:pPr>
              <w:widowControl/>
              <w:spacing w:after="120" w:afterLines="50"/>
              <w:ind w:firstLine="0"/>
              <w:rPr>
                <w:rFonts w:ascii="Times New Roman" w:eastAsia="宋体" w:hAnsi="Times New Roman" w:cs="宋体"/>
              </w:rPr>
            </w:pPr>
            <w:r>
              <w:rPr>
                <w:rFonts w:ascii="Times New Roman" w:eastAsia="等线" w:hAnsi="Times New Roman" w:cs="Times New Roman"/>
              </w:rPr>
              <w:t>2</w:t>
            </w:r>
            <w:r>
              <w:rPr>
                <w:rFonts w:ascii="Times New Roman" w:eastAsia="等线" w:hAnsi="Times New Roman" w:cs="Times New Roman" w:hint="eastAsia"/>
              </w:rPr>
              <w:t>、</w:t>
            </w:r>
            <w:r>
              <w:rPr>
                <w:rFonts w:ascii="Times New Roman" w:eastAsia="宋体" w:hAnsi="Times New Roman" w:cs="Times New Roman" w:hint="eastAsia"/>
              </w:rPr>
              <w:t>最小权限</w:t>
            </w:r>
            <w:r>
              <w:rPr>
                <w:rFonts w:ascii="Times New Roman" w:eastAsia="宋体" w:hAnsi="Times New Roman" w:cs="宋体" w:hint="eastAsia"/>
              </w:rPr>
              <w:t>。尽可能降低系统服务、群组和帐户的权限；对操作系统的授权进行严格控制；禁止不必要的帐户访问不需要的资源。</w:t>
            </w:r>
          </w:p>
          <w:p>
            <w:pPr>
              <w:widowControl/>
              <w:spacing w:after="120" w:afterLines="50"/>
              <w:ind w:firstLine="0"/>
              <w:rPr>
                <w:rFonts w:ascii="Times New Roman" w:eastAsia="宋体" w:hAnsi="Times New Roman" w:cs="宋体"/>
                <w:b/>
                <w:bCs/>
              </w:rPr>
            </w:pPr>
            <w:r>
              <w:rPr>
                <w:rFonts w:ascii="Times New Roman" w:eastAsia="等线" w:hAnsi="Times New Roman" w:cs="Times New Roman"/>
              </w:rPr>
              <w:t>3</w:t>
            </w:r>
            <w:r>
              <w:rPr>
                <w:rFonts w:ascii="Times New Roman" w:eastAsia="等线" w:hAnsi="Times New Roman" w:cs="Times New Roman" w:hint="eastAsia"/>
              </w:rPr>
              <w:t>、</w:t>
            </w:r>
            <w:r>
              <w:rPr>
                <w:rFonts w:ascii="Times New Roman" w:eastAsia="宋体" w:hAnsi="Times New Roman" w:cs="Times New Roman" w:hint="eastAsia"/>
              </w:rPr>
              <w:t>专用原则</w:t>
            </w:r>
            <w:r>
              <w:rPr>
                <w:rFonts w:ascii="Times New Roman" w:eastAsia="宋体" w:hAnsi="Times New Roman" w:cs="宋体" w:hint="eastAsia"/>
              </w:rPr>
              <w:t>。最小服务和组件，尽量避免利用一台主机担当多种服务情况；分区专用，隔离系统、应用和数据所在的分区；区分服务器的用途和角色，禁止安装不必要的服务和组件。</w:t>
            </w:r>
          </w:p>
          <w:p>
            <w:pPr>
              <w:widowControl/>
              <w:spacing w:after="120" w:afterLines="50"/>
              <w:ind w:firstLine="0"/>
              <w:rPr>
                <w:rFonts w:ascii="Times New Roman" w:eastAsia="宋体" w:hAnsi="Times New Roman" w:cs="宋体"/>
                <w:b/>
                <w:bCs/>
              </w:rPr>
            </w:pPr>
            <w:r>
              <w:rPr>
                <w:rFonts w:ascii="Times New Roman" w:eastAsia="等线" w:hAnsi="Times New Roman" w:cs="Times New Roman"/>
              </w:rPr>
              <w:t>4</w:t>
            </w:r>
            <w:r>
              <w:rPr>
                <w:rFonts w:ascii="Times New Roman" w:eastAsia="等线" w:hAnsi="Times New Roman" w:cs="Times New Roman" w:hint="eastAsia"/>
              </w:rPr>
              <w:t>、</w:t>
            </w:r>
            <w:r>
              <w:rPr>
                <w:rFonts w:ascii="Times New Roman" w:eastAsia="宋体" w:hAnsi="Times New Roman" w:cs="Times New Roman" w:hint="eastAsia"/>
              </w:rPr>
              <w:t>审计原则</w:t>
            </w:r>
            <w:r>
              <w:rPr>
                <w:rFonts w:ascii="Times New Roman" w:eastAsia="宋体" w:hAnsi="Times New Roman" w:cs="宋体" w:hint="eastAsia"/>
              </w:rPr>
              <w:t>。通过日志和其他的方法监控对主机的操作行为；对用户的重要用户行为、系统资源的异常使用和重要系统功能的执行等行为进行审计；对关键业务数据的增、删、改、导出等行为进行审计。</w:t>
            </w:r>
          </w:p>
          <w:p>
            <w:pPr>
              <w:widowControl/>
              <w:spacing w:after="120" w:afterLines="50"/>
              <w:ind w:firstLine="0"/>
              <w:rPr>
                <w:rFonts w:ascii="Times New Roman" w:eastAsia="宋体" w:hAnsi="Times New Roman" w:cs="宋体"/>
                <w:b/>
                <w:bCs/>
              </w:rPr>
            </w:pPr>
            <w:r>
              <w:rPr>
                <w:rFonts w:ascii="Times New Roman" w:eastAsia="等线" w:hAnsi="Times New Roman" w:cs="Times New Roman"/>
              </w:rPr>
              <w:t>5</w:t>
            </w:r>
            <w:r>
              <w:rPr>
                <w:rFonts w:ascii="Times New Roman" w:eastAsia="等线" w:hAnsi="Times New Roman" w:cs="Times New Roman" w:hint="eastAsia"/>
              </w:rPr>
              <w:t>、</w:t>
            </w:r>
            <w:r>
              <w:rPr>
                <w:rFonts w:ascii="Times New Roman" w:eastAsia="宋体" w:hAnsi="Times New Roman" w:cs="Times New Roman" w:hint="eastAsia"/>
              </w:rPr>
              <w:t>硬件管理原则</w:t>
            </w:r>
            <w:r>
              <w:rPr>
                <w:rFonts w:ascii="Times New Roman" w:eastAsia="宋体" w:hAnsi="Times New Roman" w:cs="宋体" w:hint="eastAsia"/>
              </w:rPr>
              <w:t>。核心业务的运行平台须在底层进行操作系统加固；硬件基础平台的使用、管理和维护须进行明确的权限划分。</w:t>
            </w:r>
          </w:p>
          <w:p>
            <w:pPr>
              <w:widowControl/>
              <w:spacing w:after="120" w:afterLines="50"/>
              <w:ind w:firstLine="0"/>
              <w:rPr>
                <w:rFonts w:ascii="Times New Roman" w:eastAsia="宋体" w:hAnsi="Times New Roman" w:cs="宋体"/>
              </w:rPr>
            </w:pPr>
            <w:r>
              <w:rPr>
                <w:rFonts w:ascii="Times New Roman" w:eastAsia="宋体" w:hAnsi="Times New Roman" w:cs="宋体" w:hint="eastAsia"/>
              </w:rPr>
              <w:t>6、系统管理要求分级审批、授权使用，按用户层级分为直属海关和隶属海关，所处理的数据按层级不同而范围不同，对应的数据口径也相应调整，按设置直属海关、隶属海关两级的顺序逐级缩小。同时要求在各项业务和管理活动过程和流程中，严格落实内控要求，切实将内控程序、方法和措施全面融入到流程设计中。不同的工作岗位，配合相应授权，实现</w:t>
            </w:r>
            <w:r>
              <w:rPr>
                <w:rFonts w:ascii="Times New Roman" w:eastAsia="宋体" w:hAnsi="Times New Roman" w:cs="Times New Roman"/>
              </w:rPr>
              <w:t>“</w:t>
            </w:r>
            <w:r>
              <w:rPr>
                <w:rFonts w:ascii="Times New Roman" w:eastAsia="宋体" w:hAnsi="Times New Roman" w:cs="宋体" w:hint="eastAsia"/>
              </w:rPr>
              <w:t>在什么岗位做什么事</w:t>
            </w:r>
            <w:r>
              <w:rPr>
                <w:rFonts w:ascii="Times New Roman" w:eastAsia="宋体" w:hAnsi="Times New Roman" w:cs="Times New Roman"/>
              </w:rPr>
              <w:t>”</w:t>
            </w:r>
            <w:r>
              <w:rPr>
                <w:rFonts w:ascii="Times New Roman" w:eastAsia="宋体" w:hAnsi="Times New Roman" w:cs="宋体" w:hint="eastAsia"/>
              </w:rPr>
              <w:t>的基本内控要求。</w:t>
            </w:r>
          </w:p>
          <w:p>
            <w:pPr>
              <w:widowControl/>
              <w:spacing w:after="120" w:afterLines="50"/>
              <w:ind w:firstLine="0"/>
              <w:rPr>
                <w:rFonts w:ascii="Times New Roman" w:eastAsia="宋体" w:hAnsi="Times New Roman" w:cs="Times New Roman"/>
              </w:rPr>
            </w:pPr>
            <w:r>
              <w:rPr>
                <w:rFonts w:ascii="Times New Roman" w:eastAsia="宋体" w:hAnsi="Times New Roman" w:cs="宋体" w:hint="eastAsia"/>
              </w:rPr>
              <w:t>7、授权批准控制：</w:t>
            </w:r>
            <w:r>
              <w:rPr>
                <w:rFonts w:ascii="Times New Roman" w:eastAsia="宋体" w:hAnsi="Times New Roman" w:cs="Times New Roman"/>
              </w:rPr>
              <w:t>系统</w:t>
            </w:r>
            <w:r>
              <w:rPr>
                <w:rFonts w:ascii="Times New Roman" w:eastAsia="宋体" w:hAnsi="Times New Roman" w:cs="Times New Roman" w:hint="eastAsia"/>
              </w:rPr>
              <w:t>的</w:t>
            </w:r>
            <w:r>
              <w:rPr>
                <w:rFonts w:ascii="Times New Roman" w:eastAsia="宋体" w:hAnsi="Times New Roman" w:cs="Times New Roman"/>
              </w:rPr>
              <w:t>安全标准严格按照海关信息安全管理相关标准建设，采用H4A平台为系统提供身份、认证和授权，由系统管理员使用授权方式来控制用户使用，</w:t>
            </w:r>
            <w:r>
              <w:rPr>
                <w:rFonts w:ascii="Times New Roman" w:eastAsia="宋体" w:hAnsi="Times New Roman" w:cs="Times New Roman" w:hint="eastAsia"/>
              </w:rPr>
              <w:t>本着海关数据最小化授权原则，系统的访问权限根据</w:t>
            </w:r>
            <w:r>
              <w:rPr>
                <w:rFonts w:ascii="Times New Roman" w:eastAsia="宋体" w:hAnsi="Times New Roman" w:cs="Times New Roman"/>
              </w:rPr>
              <w:t>H4A配置的岗位权限进行限制，非授权用户无法访问。系统中对用户操作有着详细的操作日志记录，数据安全有所保证。因岗位调整H4A身份变化后在首次登陆时自动取消授权，相关使用权限需重新申请。</w:t>
            </w:r>
          </w:p>
          <w:p>
            <w:pPr>
              <w:widowControl/>
              <w:spacing w:after="120" w:afterLines="50"/>
              <w:ind w:firstLine="0"/>
              <w:rPr>
                <w:rFonts w:ascii="Times New Roman" w:eastAsia="宋体" w:hAnsi="Times New Roman" w:cs="Times New Roman"/>
              </w:rPr>
            </w:pPr>
            <w:r>
              <w:rPr>
                <w:rFonts w:ascii="Times New Roman" w:eastAsia="宋体" w:hAnsi="Times New Roman" w:cs="Times New Roman" w:hint="eastAsia"/>
              </w:rPr>
              <w:t>8、</w:t>
            </w:r>
            <w:r>
              <w:rPr>
                <w:rFonts w:ascii="Times New Roman" w:eastAsia="宋体" w:hAnsi="Times New Roman" w:cs="宋体" w:hint="eastAsia"/>
              </w:rPr>
              <w:t>程序控制：根据有关管理规定，按照业务需求设计程序，并完善系统运行日志管理，实</w:t>
            </w:r>
            <w:r>
              <w:rPr>
                <w:rFonts w:ascii="Times New Roman" w:eastAsia="宋体" w:hAnsi="Times New Roman" w:cs="Times New Roman" w:hint="eastAsia"/>
              </w:rPr>
              <w:t>现</w:t>
            </w:r>
            <w:r>
              <w:rPr>
                <w:rFonts w:ascii="Times New Roman" w:eastAsia="宋体" w:hAnsi="Times New Roman" w:cs="Times New Roman"/>
              </w:rPr>
              <w:t>“</w:t>
            </w:r>
            <w:r>
              <w:rPr>
                <w:rFonts w:ascii="Times New Roman" w:eastAsia="宋体" w:hAnsi="Times New Roman" w:cs="Times New Roman" w:hint="eastAsia"/>
              </w:rPr>
              <w:t>依据实际规章，按照程序办事</w:t>
            </w:r>
            <w:r>
              <w:rPr>
                <w:rFonts w:ascii="Times New Roman" w:eastAsia="宋体" w:hAnsi="Times New Roman" w:cs="Times New Roman"/>
              </w:rPr>
              <w:t>”</w:t>
            </w:r>
            <w:r>
              <w:rPr>
                <w:rFonts w:ascii="Times New Roman" w:eastAsia="宋体" w:hAnsi="Times New Roman" w:cs="Times New Roman" w:hint="eastAsia"/>
              </w:rPr>
              <w:t>的基本内控要求。</w:t>
            </w:r>
          </w:p>
          <w:p>
            <w:pPr>
              <w:widowControl/>
              <w:spacing w:after="120" w:afterLines="50"/>
              <w:ind w:firstLine="0"/>
              <w:rPr>
                <w:rFonts w:ascii="Times New Roman" w:eastAsia="宋体" w:hAnsi="Times New Roman" w:cs="宋体"/>
              </w:rPr>
            </w:pPr>
            <w:r>
              <w:rPr>
                <w:rFonts w:ascii="Times New Roman" w:eastAsia="宋体" w:hAnsi="Times New Roman" w:cs="Times New Roman"/>
              </w:rPr>
              <w:t>9</w:t>
            </w:r>
            <w:r>
              <w:rPr>
                <w:rFonts w:ascii="Times New Roman" w:eastAsia="宋体" w:hAnsi="Times New Roman" w:cs="Times New Roman" w:hint="eastAsia"/>
              </w:rPr>
              <w:t>、层级控</w:t>
            </w:r>
            <w:r>
              <w:rPr>
                <w:rFonts w:ascii="Times New Roman" w:eastAsia="宋体" w:hAnsi="Times New Roman" w:cs="宋体" w:hint="eastAsia"/>
              </w:rPr>
              <w:t>制：按照海关行政管理体系，根据有关管理规定，本项目分设隶属海关、直属海关等层级，逐级报批、严密管理，实现</w:t>
            </w:r>
            <w:r>
              <w:rPr>
                <w:rFonts w:ascii="Times New Roman" w:eastAsia="宋体" w:hAnsi="Times New Roman" w:cs="Times New Roman"/>
              </w:rPr>
              <w:t>“</w:t>
            </w:r>
            <w:r>
              <w:rPr>
                <w:rFonts w:ascii="Times New Roman" w:eastAsia="宋体" w:hAnsi="Times New Roman" w:cs="宋体" w:hint="eastAsia"/>
              </w:rPr>
              <w:t>在什么层级办什么事</w:t>
            </w:r>
            <w:r>
              <w:rPr>
                <w:rFonts w:ascii="Times New Roman" w:eastAsia="宋体" w:hAnsi="Times New Roman" w:cs="Times New Roman"/>
              </w:rPr>
              <w:t>”</w:t>
            </w:r>
            <w:r>
              <w:rPr>
                <w:rFonts w:ascii="Times New Roman" w:eastAsia="宋体" w:hAnsi="Times New Roman" w:cs="宋体" w:hint="eastAsia"/>
              </w:rPr>
              <w:t>的基本内控要求。</w:t>
            </w:r>
          </w:p>
          <w:p>
            <w:pPr>
              <w:widowControl/>
              <w:spacing w:after="120" w:afterLines="50"/>
              <w:ind w:firstLine="0"/>
              <w:rPr>
                <w:rFonts w:ascii="Times New Roman" w:eastAsia="宋体" w:hAnsi="Times New Roman" w:cs="宋体"/>
              </w:rPr>
            </w:pPr>
            <w:r>
              <w:rPr>
                <w:rFonts w:ascii="Times New Roman" w:eastAsia="宋体" w:hAnsi="Times New Roman" w:cs="宋体" w:hint="eastAsia"/>
              </w:rPr>
              <w:t>10、监督控制：依托该项目的流程管理和日志管理，实现</w:t>
            </w:r>
            <w:r>
              <w:rPr>
                <w:rFonts w:ascii="Times New Roman" w:eastAsia="宋体" w:hAnsi="Times New Roman" w:cs="Times New Roman"/>
              </w:rPr>
              <w:t>“</w:t>
            </w:r>
            <w:r>
              <w:rPr>
                <w:rFonts w:ascii="Times New Roman" w:eastAsia="宋体" w:hAnsi="Times New Roman" w:cs="宋体" w:hint="eastAsia"/>
              </w:rPr>
              <w:t>公开、透明、直观、有记录、可追查</w:t>
            </w:r>
            <w:r>
              <w:rPr>
                <w:rFonts w:ascii="Times New Roman" w:eastAsia="宋体" w:hAnsi="Times New Roman" w:cs="Times New Roman"/>
              </w:rPr>
              <w:t>”</w:t>
            </w:r>
            <w:r>
              <w:rPr>
                <w:rFonts w:ascii="Times New Roman" w:eastAsia="宋体" w:hAnsi="Times New Roman" w:cs="宋体" w:hint="eastAsia"/>
              </w:rPr>
              <w:t>的全程监督管理的基本内控要求。</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11、日志管理控制：强化日志管理模块功能，使管理员可以对用户使用情况进行监控分析，对于关键数据资源的查询、存取、删除、修改等操作在详细记录的基础上提供警示信息。</w:t>
            </w:r>
          </w:p>
          <w:p>
            <w:pPr>
              <w:widowControl/>
              <w:spacing w:after="120" w:afterLines="50"/>
              <w:ind w:firstLine="0"/>
              <w:rPr>
                <w:rFonts w:ascii="Times New Roman" w:eastAsia="宋体" w:hAnsi="Times New Roman" w:cs="宋体"/>
                <w:b/>
                <w:bCs/>
              </w:rPr>
            </w:pPr>
            <w:r>
              <w:rPr>
                <w:rFonts w:ascii="Times New Roman" w:eastAsia="等线" w:hAnsi="Times New Roman" w:cs="Times New Roman" w:hint="eastAsia"/>
              </w:rPr>
              <w:t>（1）</w:t>
            </w:r>
            <w:r>
              <w:rPr>
                <w:rFonts w:ascii="Times New Roman" w:eastAsia="宋体" w:hAnsi="Times New Roman" w:cs="Times New Roman" w:hint="eastAsia"/>
              </w:rPr>
              <w:t>操作日志</w:t>
            </w:r>
            <w:r>
              <w:rPr>
                <w:rFonts w:ascii="Times New Roman" w:eastAsia="宋体" w:hAnsi="Times New Roman" w:cs="宋体" w:hint="eastAsia"/>
              </w:rPr>
              <w:t>。记录操作时间、操作人员、操作数据对象（数据表、数据项）、操作指令（例如结论提交、记录删除等）、使用的设备（设备</w:t>
            </w:r>
            <w:r>
              <w:rPr>
                <w:rFonts w:ascii="Times New Roman" w:eastAsia="宋体" w:hAnsi="Times New Roman" w:cs="Times New Roman"/>
              </w:rPr>
              <w:t>IP</w:t>
            </w:r>
            <w:r>
              <w:rPr>
                <w:rFonts w:ascii="Times New Roman" w:eastAsia="宋体" w:hAnsi="Times New Roman" w:cs="宋体" w:hint="eastAsia"/>
              </w:rPr>
              <w:t>或物理地址）、操作数据量（记录数量或数据文件大小）。</w:t>
            </w:r>
          </w:p>
          <w:p>
            <w:pPr>
              <w:widowControl/>
              <w:spacing w:after="120" w:afterLines="50"/>
              <w:ind w:firstLine="0"/>
              <w:rPr>
                <w:rFonts w:ascii="Times New Roman" w:eastAsia="宋体" w:hAnsi="Times New Roman" w:cs="宋体"/>
                <w:b/>
                <w:bCs/>
              </w:rPr>
            </w:pPr>
            <w:r>
              <w:rPr>
                <w:rFonts w:ascii="Times New Roman" w:eastAsia="宋体" w:hAnsi="Times New Roman" w:cs="宋体" w:hint="eastAsia"/>
              </w:rPr>
              <w:t>操作日志至少保存三年。</w:t>
            </w:r>
          </w:p>
          <w:p>
            <w:pPr>
              <w:widowControl/>
              <w:spacing w:after="120" w:afterLines="50"/>
              <w:ind w:firstLine="0"/>
              <w:rPr>
                <w:rFonts w:ascii="Times New Roman" w:eastAsia="宋体" w:hAnsi="Times New Roman" w:cs="宋体"/>
                <w:b/>
                <w:bCs/>
              </w:rPr>
            </w:pPr>
            <w:r>
              <w:rPr>
                <w:rFonts w:ascii="Times New Roman" w:eastAsia="等线" w:hAnsi="Times New Roman" w:cs="Times New Roman" w:hint="eastAsia"/>
              </w:rPr>
              <w:t>（2）</w:t>
            </w:r>
            <w:r>
              <w:rPr>
                <w:rFonts w:ascii="Times New Roman" w:eastAsia="宋体" w:hAnsi="Times New Roman" w:cs="Times New Roman" w:hint="eastAsia"/>
              </w:rPr>
              <w:t>操作日志分析审计</w:t>
            </w:r>
            <w:r>
              <w:rPr>
                <w:rFonts w:ascii="Times New Roman" w:eastAsia="宋体" w:hAnsi="Times New Roman" w:cs="宋体" w:hint="eastAsia"/>
              </w:rPr>
              <w:t>。按日志记录要素的组合条件进行日志筛选查询、展示以及导出的功能，能为日常监控和事后数据安全监督、检查、审计提供基本手段。</w:t>
            </w:r>
          </w:p>
        </w:tc>
        <w:tc>
          <w:tcPr>
            <w:tcW w:w="1073" w:type="pct"/>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rPr>
              <w:t>是，提供《承诺函》并加盖单位公章</w:t>
            </w:r>
            <w:r>
              <w:rPr>
                <w:rFonts w:ascii="Times New Roman" w:eastAsia="宋体" w:hAnsi="Times New Roman" w:cs="宋体" w:hint="eastAsia"/>
              </w:rPr>
              <w:t>。</w:t>
            </w:r>
          </w:p>
        </w:tc>
      </w:tr>
      <w:tr>
        <w:tblPrEx>
          <w:tblW w:w="5000" w:type="pct"/>
          <w:jc w:val="left"/>
          <w:tblInd w:w="0" w:type="dxa"/>
          <w:tblCellMar>
            <w:top w:w="0" w:type="dxa"/>
            <w:left w:w="108" w:type="dxa"/>
            <w:bottom w:w="0" w:type="dxa"/>
            <w:right w:w="108" w:type="dxa"/>
          </w:tblCellMar>
        </w:tblPrEx>
        <w:trPr>
          <w:trHeight w:val="841"/>
          <w:jc w:val="left"/>
        </w:trPr>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pPr>
              <w:pStyle w:val="2104"/>
              <w:widowControl/>
              <w:numPr>
                <w:ilvl w:val="0"/>
                <w:numId w:val="3"/>
              </w:numPr>
              <w:contextualSpacing w:val="0"/>
              <w:jc w:val="center"/>
              <w:rPr>
                <w:rFonts w:ascii="Times New Roman" w:eastAsia="宋体" w:hAnsi="Times New Roman" w:cs="宋体"/>
              </w:rPr>
            </w:pPr>
            <w:bookmarkEnd w:id="41"/>
          </w:p>
        </w:tc>
        <w:tc>
          <w:tcPr>
            <w:tcW w:w="576" w:type="pct"/>
            <w:tcBorders>
              <w:top w:val="single" w:sz="4" w:space="0" w:color="auto"/>
              <w:left w:val="single" w:sz="4" w:space="0" w:color="auto"/>
              <w:bottom w:val="single" w:sz="4" w:space="0" w:color="auto"/>
              <w:right w:val="single" w:sz="4" w:space="0" w:color="auto"/>
            </w:tcBorders>
            <w:shd w:val="clear" w:color="auto" w:fill="auto"/>
            <w:vAlign w:val="center"/>
          </w:tcPr>
          <w:p>
            <w:pPr>
              <w:widowControl/>
              <w:ind w:firstLine="0"/>
              <w:jc w:val="center"/>
              <w:rPr>
                <w:rFonts w:ascii="Times New Roman" w:eastAsia="等线" w:hAnsi="Times New Roman" w:cs="宋体"/>
              </w:rPr>
            </w:pPr>
            <w:r>
              <w:rPr>
                <w:rFonts w:ascii="Times New Roman" w:eastAsia="等线" w:hAnsi="Times New Roman" w:cs="宋体" w:hint="eastAsia"/>
              </w:rPr>
              <w:t>★</w:t>
            </w:r>
          </w:p>
        </w:tc>
        <w:tc>
          <w:tcPr>
            <w:tcW w:w="1032" w:type="pct"/>
            <w:tcBorders>
              <w:top w:val="single" w:sz="4" w:space="0" w:color="auto"/>
              <w:left w:val="single" w:sz="4" w:space="0" w:color="auto"/>
              <w:bottom w:val="single" w:sz="4" w:space="0" w:color="auto"/>
              <w:right w:val="single" w:sz="4" w:space="0" w:color="auto"/>
            </w:tcBorders>
            <w:shd w:val="clear" w:color="auto" w:fill="auto"/>
            <w:vAlign w:val="center"/>
          </w:tcPr>
          <w:p>
            <w:pPr>
              <w:widowControl/>
              <w:ind w:firstLine="0"/>
              <w:rPr>
                <w:rFonts w:ascii="Times New Roman" w:eastAsia="宋体" w:hAnsi="Times New Roman" w:cs="宋体"/>
              </w:rPr>
            </w:pPr>
            <w:r>
              <w:rPr>
                <w:rFonts w:ascii="Times New Roman" w:eastAsia="宋体" w:hAnsi="Times New Roman" w:cs="宋体" w:hint="eastAsia"/>
              </w:rPr>
              <w:t>知识产权归属</w:t>
            </w:r>
          </w:p>
        </w:tc>
        <w:tc>
          <w:tcPr>
            <w:tcW w:w="2043" w:type="pct"/>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after="120" w:afterLines="50"/>
              <w:ind w:firstLine="0"/>
              <w:rPr>
                <w:rFonts w:ascii="Times New Roman" w:eastAsia="宋体" w:hAnsi="Times New Roman" w:cs="宋体"/>
              </w:rPr>
            </w:pPr>
            <w:r>
              <w:rPr>
                <w:rFonts w:ascii="Times New Roman" w:eastAsia="宋体" w:hAnsi="Times New Roman" w:cs="宋体" w:hint="eastAsia"/>
              </w:rPr>
              <w:t>本项目执行前已经存在的知识产权归原拥有方所有，在开发过程中根据最终用户的需求而新产生的工作成果，包括但不限于发明、发现及相关技术资料、文档、应用化程序源代码、可执行程序等，知识产权归最终用户所有。非经双方书面确认，双方均不得就该项目中形成的知识产权向任何第三方透露、授权、转让或者进行商业推广。</w:t>
            </w:r>
          </w:p>
          <w:p>
            <w:pPr>
              <w:widowControl/>
              <w:spacing w:after="120" w:afterLines="50"/>
              <w:ind w:firstLine="0"/>
              <w:rPr>
                <w:rFonts w:ascii="Times New Roman" w:eastAsia="宋体" w:hAnsi="Times New Roman" w:cs="宋体"/>
              </w:rPr>
            </w:pPr>
            <w:r>
              <w:rPr>
                <w:rFonts w:ascii="Times New Roman" w:eastAsia="宋体" w:hAnsi="Times New Roman" w:cs="宋体" w:hint="eastAsia"/>
              </w:rPr>
              <w:t>招标方提供的有关需求的资料归海关所有，投标方不得向任何第三方披露。</w:t>
            </w:r>
          </w:p>
        </w:tc>
        <w:tc>
          <w:tcPr>
            <w:tcW w:w="1073" w:type="pct"/>
            <w:tcBorders>
              <w:top w:val="single" w:sz="4" w:space="0" w:color="auto"/>
              <w:left w:val="single" w:sz="4" w:space="0" w:color="auto"/>
              <w:bottom w:val="single" w:sz="4" w:space="0" w:color="auto"/>
              <w:right w:val="single" w:sz="4" w:space="0" w:color="auto"/>
            </w:tcBorders>
            <w:shd w:val="clear" w:color="auto" w:fill="auto"/>
            <w:vAlign w:val="center"/>
          </w:tcPr>
          <w:p>
            <w:pPr>
              <w:widowControl/>
              <w:ind w:firstLine="0"/>
              <w:jc w:val="center"/>
              <w:rPr>
                <w:rFonts w:ascii="Times New Roman" w:eastAsia="宋体" w:hAnsi="Times New Roman" w:cs="宋体"/>
              </w:rPr>
            </w:pPr>
            <w:r>
              <w:rPr>
                <w:rFonts w:ascii="Times New Roman" w:eastAsia="宋体" w:hAnsi="Times New Roman" w:cs="宋体"/>
              </w:rPr>
              <w:t>是，提供《承诺函》并加盖单位公章</w:t>
            </w:r>
            <w:r>
              <w:rPr>
                <w:rFonts w:ascii="Times New Roman" w:eastAsia="宋体" w:hAnsi="Times New Roman" w:cs="宋体" w:hint="eastAsia"/>
              </w:rPr>
              <w:t>。</w:t>
            </w:r>
          </w:p>
        </w:tc>
      </w:tr>
    </w:tbl>
    <w:p>
      <w:pPr>
        <w:pStyle w:val="BodyText3"/>
        <w:rPr>
          <w:rFonts w:ascii="宋体" w:eastAsia="宋体"/>
          <w:color w:val="auto"/>
        </w:rPr>
      </w:pPr>
    </w:p>
    <w:p>
      <w:pPr>
        <w:pStyle w:val="Heading2"/>
        <w:numPr>
          <w:ilvl w:val="0"/>
          <w:numId w:val="2"/>
        </w:numPr>
        <w:rPr>
          <w:rFonts w:ascii="宋体" w:eastAsia="宋体" w:hint="eastAsia"/>
        </w:rPr>
      </w:pPr>
      <w:bookmarkStart w:id="45" w:name="服务要求"/>
      <w:r>
        <w:rPr>
          <w:rFonts w:ascii="宋体" w:eastAsia="宋体" w:hint="eastAsia"/>
        </w:rPr>
        <w:t>服务要求</w:t>
      </w:r>
      <w:bookmarkEnd w:id="45"/>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808"/>
        <w:gridCol w:w="1140"/>
        <w:gridCol w:w="882"/>
        <w:gridCol w:w="4004"/>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Ex>
        <w:trPr>
          <w:trHeight w:val="343"/>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序号</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内容</w:t>
            </w:r>
          </w:p>
        </w:tc>
        <w:tc>
          <w:tcPr>
            <w:tcW w:w="882" w:type="dxa"/>
            <w:vAlign w:val="center"/>
          </w:tcPr>
          <w:p>
            <w:pPr>
              <w:ind w:firstLine="0"/>
              <w:jc w:val="center"/>
              <w:rPr>
                <w:rFonts w:ascii="Times New Roman" w:eastAsia="宋体" w:hAnsi="Times New Roman"/>
              </w:rPr>
            </w:pPr>
            <w:r>
              <w:rPr>
                <w:rFonts w:ascii="Times New Roman" w:eastAsia="宋体" w:hAnsi="Times New Roman" w:hint="eastAsia"/>
              </w:rPr>
              <w:t>重要性</w:t>
            </w:r>
          </w:p>
        </w:tc>
        <w:tc>
          <w:tcPr>
            <w:tcW w:w="4004" w:type="dxa"/>
            <w:vAlign w:val="center"/>
          </w:tcPr>
          <w:p>
            <w:pPr>
              <w:ind w:firstLine="0"/>
              <w:jc w:val="center"/>
              <w:rPr>
                <w:rFonts w:ascii="Times New Roman" w:eastAsia="宋体" w:hAnsi="Times New Roman"/>
              </w:rPr>
            </w:pPr>
            <w:bookmarkStart w:id="46" w:name="服务要求_Title_服务要求标准_Required_Table"/>
            <w:r>
              <w:rPr>
                <w:rFonts w:ascii="Times New Roman" w:eastAsia="宋体" w:hAnsi="Times New Roman" w:hint="eastAsia"/>
              </w:rPr>
              <w:t>服务要求标准</w:t>
            </w:r>
            <w:bookmarkEnd w:id="46"/>
          </w:p>
        </w:tc>
        <w:tc>
          <w:tcPr>
            <w:tcW w:w="1685" w:type="dxa"/>
            <w:vAlign w:val="center"/>
          </w:tcPr>
          <w:p>
            <w:pPr>
              <w:ind w:firstLine="0"/>
              <w:jc w:val="center"/>
              <w:rPr>
                <w:rFonts w:ascii="Times New Roman" w:eastAsia="宋体" w:hAnsi="Times New Roman"/>
              </w:rPr>
            </w:pPr>
            <w:bookmarkStart w:id="47" w:name="服务要求_Title_证明材料要求_Required_Table"/>
            <w:r>
              <w:rPr>
                <w:rFonts w:ascii="Times New Roman" w:eastAsia="宋体" w:hAnsi="Times New Roman" w:hint="eastAsia"/>
              </w:rPr>
              <w:t>证明材料要求</w:t>
            </w:r>
            <w:bookmarkEnd w:id="47"/>
          </w:p>
        </w:tc>
      </w:tr>
      <w:tr>
        <w:tblPrEx>
          <w:tblW w:w="8519" w:type="dxa"/>
          <w:jc w:val="left"/>
          <w:tblInd w:w="0" w:type="dxa"/>
          <w:tblLayout w:type="fixed"/>
          <w:tblCellMar>
            <w:top w:w="0" w:type="dxa"/>
            <w:left w:w="28" w:type="dxa"/>
            <w:bottom w:w="0" w:type="dxa"/>
            <w:right w:w="28" w:type="dxa"/>
          </w:tblCellMar>
        </w:tblPrEx>
        <w:trPr>
          <w:trHeight w:val="20"/>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1</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售后服务承诺函</w:t>
            </w:r>
          </w:p>
        </w:tc>
        <w:tc>
          <w:tcPr>
            <w:tcW w:w="882" w:type="dxa"/>
            <w:vAlign w:val="center"/>
          </w:tcPr>
          <w:p>
            <w:pPr>
              <w:ind w:firstLine="0"/>
              <w:jc w:val="center"/>
              <w:rPr>
                <w:rFonts w:ascii="Times New Roman" w:eastAsia="宋体" w:hAnsi="Times New Roman"/>
              </w:rPr>
            </w:pPr>
            <w:r>
              <w:rPr>
                <w:rFonts w:ascii="宋体" w:eastAsia="宋体" w:cs="宋体" w:hint="eastAsia"/>
              </w:rPr>
              <w:t>▲</w:t>
            </w:r>
          </w:p>
        </w:tc>
        <w:tc>
          <w:tcPr>
            <w:tcW w:w="4004" w:type="dxa"/>
            <w:vAlign w:val="center"/>
          </w:tcPr>
          <w:p>
            <w:pPr>
              <w:ind w:firstLine="0"/>
              <w:rPr>
                <w:rFonts w:ascii="Times New Roman" w:eastAsia="宋体" w:hAnsi="Times New Roman" w:cs="Times New Roman"/>
              </w:rPr>
            </w:pPr>
            <w:r>
              <w:rPr>
                <w:rFonts w:ascii="Times New Roman" w:eastAsia="宋体" w:hAnsi="Times New Roman" w:cs="Times New Roman" w:hint="eastAsia"/>
              </w:rPr>
              <w:t>投标人应说明其售后服务的内容、形式、地点、标</w:t>
            </w:r>
            <w:r>
              <w:rPr>
                <w:rFonts w:cs="宋体" w:hint="eastAsia"/>
              </w:rPr>
              <w:t>准。</w:t>
            </w:r>
          </w:p>
        </w:tc>
        <w:tc>
          <w:tcPr>
            <w:tcW w:w="1685" w:type="dxa"/>
            <w:vAlign w:val="center"/>
          </w:tcPr>
          <w:p>
            <w:pPr>
              <w:ind w:firstLine="0"/>
              <w:rPr>
                <w:rFonts w:ascii="Times New Roman" w:eastAsia="宋体" w:hAnsi="Times New Roman" w:cs="Times New Roman"/>
              </w:rPr>
            </w:pPr>
            <w:r>
              <w:rPr>
                <w:rFonts w:ascii="Times New Roman" w:eastAsia="宋体" w:hAnsi="Times New Roman" w:cs="Times New Roman" w:hint="eastAsia"/>
              </w:rPr>
              <w:t>是，提供《承诺函》并加盖单位公章。</w:t>
            </w:r>
          </w:p>
        </w:tc>
      </w:tr>
      <w:tr>
        <w:tblPrEx>
          <w:tblW w:w="8519" w:type="dxa"/>
          <w:jc w:val="left"/>
          <w:tblInd w:w="0" w:type="dxa"/>
          <w:tblLayout w:type="fixed"/>
          <w:tblCellMar>
            <w:top w:w="0" w:type="dxa"/>
            <w:left w:w="28" w:type="dxa"/>
            <w:bottom w:w="0" w:type="dxa"/>
            <w:right w:w="28" w:type="dxa"/>
          </w:tblCellMar>
        </w:tblPrEx>
        <w:trPr>
          <w:trHeight w:val="20"/>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2</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驻场人员要求</w:t>
            </w:r>
          </w:p>
        </w:tc>
        <w:tc>
          <w:tcPr>
            <w:tcW w:w="882" w:type="dxa"/>
            <w:vAlign w:val="center"/>
          </w:tcPr>
          <w:p>
            <w:pPr>
              <w:ind w:firstLine="0"/>
              <w:jc w:val="center"/>
              <w:rPr>
                <w:rFonts w:ascii="Times New Roman" w:eastAsia="宋体" w:hAnsi="Times New Roman"/>
              </w:rPr>
            </w:pPr>
            <w:r>
              <w:rPr>
                <w:rFonts w:ascii="宋体" w:eastAsia="宋体" w:cs="宋体" w:hint="eastAsia"/>
              </w:rPr>
              <w:t>▲</w:t>
            </w:r>
          </w:p>
        </w:tc>
        <w:tc>
          <w:tcPr>
            <w:tcW w:w="4004" w:type="dxa"/>
            <w:vAlign w:val="center"/>
          </w:tcPr>
          <w:p>
            <w:pPr>
              <w:ind w:firstLine="0"/>
              <w:rPr>
                <w:rFonts w:ascii="Times New Roman" w:eastAsia="宋体" w:hAnsi="Times New Roman" w:cs="Times New Roman"/>
              </w:rPr>
            </w:pPr>
            <w:r>
              <w:rPr>
                <w:rFonts w:ascii="Times New Roman" w:eastAsia="宋体" w:hAnsi="Times New Roman" w:cs="Times New Roman" w:hint="eastAsia"/>
              </w:rPr>
              <w:t>投标人应提供运维团队名单，成员中至少有</w:t>
            </w:r>
            <w:r>
              <w:rPr>
                <w:rFonts w:ascii="Times New Roman" w:hAnsi="Times New Roman" w:cs="Times New Roman"/>
              </w:rPr>
              <w:t>1</w:t>
            </w:r>
            <w:r>
              <w:rPr>
                <w:rFonts w:ascii="Times New Roman" w:eastAsia="宋体" w:hAnsi="Times New Roman" w:cs="Times New Roman" w:hint="eastAsia"/>
              </w:rPr>
              <w:t>人为项目技术人员，驻场运维应保证</w:t>
            </w:r>
            <w:r>
              <w:rPr>
                <w:rFonts w:ascii="Times New Roman" w:hAnsi="Times New Roman" w:cs="Times New Roman"/>
              </w:rPr>
              <w:t>7*24</w:t>
            </w:r>
            <w:r>
              <w:rPr>
                <w:rFonts w:ascii="Times New Roman" w:eastAsia="宋体" w:hAnsi="Times New Roman" w:cs="Times New Roman" w:hint="eastAsia"/>
              </w:rPr>
              <w:t>小时海关审像工作期间至少有</w:t>
            </w:r>
            <w:r>
              <w:rPr>
                <w:rFonts w:ascii="Times New Roman" w:hAnsi="Times New Roman" w:cs="Times New Roman"/>
              </w:rPr>
              <w:t>1</w:t>
            </w:r>
            <w:r>
              <w:rPr>
                <w:rFonts w:ascii="Times New Roman" w:eastAsia="宋体" w:hAnsi="Times New Roman" w:cs="Times New Roman" w:hint="eastAsia"/>
              </w:rPr>
              <w:t>人跟班作业，即时提供现场支持，并采取相应措施，直至问题解决。</w:t>
            </w:r>
          </w:p>
        </w:tc>
        <w:tc>
          <w:tcPr>
            <w:tcW w:w="1685" w:type="dxa"/>
            <w:vAlign w:val="center"/>
          </w:tcPr>
          <w:p>
            <w:pPr>
              <w:ind w:firstLine="0"/>
              <w:jc w:val="left"/>
              <w:rPr>
                <w:rFonts w:ascii="Times New Roman" w:eastAsia="宋体" w:hAnsi="Times New Roman" w:cs="Times New Roman"/>
              </w:rPr>
            </w:pPr>
            <w:r>
              <w:rPr>
                <w:rFonts w:ascii="Times New Roman" w:eastAsia="宋体" w:hAnsi="Times New Roman" w:cs="宋体" w:hint="eastAsia"/>
              </w:rPr>
              <w:t>是</w:t>
            </w:r>
            <w:r>
              <w:rPr>
                <w:rFonts w:ascii="Times New Roman" w:eastAsia="宋体" w:hAnsi="Times New Roman" w:cs="Times New Roman" w:hint="eastAsia"/>
              </w:rPr>
              <w:t>，提供《承诺函》并加盖单位公章。</w:t>
            </w:r>
          </w:p>
        </w:tc>
      </w:tr>
      <w:tr>
        <w:tblPrEx>
          <w:tblW w:w="8519" w:type="dxa"/>
          <w:jc w:val="left"/>
          <w:tblInd w:w="0" w:type="dxa"/>
          <w:tblLayout w:type="fixed"/>
          <w:tblCellMar>
            <w:top w:w="0" w:type="dxa"/>
            <w:left w:w="28" w:type="dxa"/>
            <w:bottom w:w="0" w:type="dxa"/>
            <w:right w:w="28" w:type="dxa"/>
          </w:tblCellMar>
        </w:tblPrEx>
        <w:trPr>
          <w:trHeight w:val="20"/>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3</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投标人服务标准</w:t>
            </w:r>
          </w:p>
        </w:tc>
        <w:tc>
          <w:tcPr>
            <w:tcW w:w="882" w:type="dxa"/>
            <w:vAlign w:val="center"/>
          </w:tcPr>
          <w:p>
            <w:pPr>
              <w:ind w:firstLine="0"/>
              <w:jc w:val="center"/>
              <w:rPr>
                <w:rFonts w:ascii="Times New Roman" w:eastAsia="宋体" w:hAnsi="Times New Roman"/>
              </w:rPr>
            </w:pPr>
            <w:r>
              <w:rPr>
                <w:rFonts w:ascii="Times New Roman" w:eastAsia="宋体" w:hAnsi="Times New Roman" w:hint="eastAsia"/>
              </w:rPr>
              <w:t>▲</w:t>
            </w:r>
          </w:p>
        </w:tc>
        <w:tc>
          <w:tcPr>
            <w:tcW w:w="4004" w:type="dxa"/>
            <w:vAlign w:val="center"/>
          </w:tcPr>
          <w:p>
            <w:pPr>
              <w:ind w:firstLine="0"/>
              <w:rPr>
                <w:rFonts w:ascii="Times New Roman" w:eastAsia="宋体" w:hAnsi="Times New Roman" w:cs="Times New Roman"/>
              </w:rPr>
            </w:pPr>
            <w:r>
              <w:rPr>
                <w:rFonts w:ascii="Times New Roman" w:eastAsia="宋体" w:hAnsi="Times New Roman" w:cs="Times New Roman" w:hint="eastAsia"/>
              </w:rPr>
              <w:t>投标人应具备充分胜任本项目任务的技术能力及成熟的开发团队，应承诺保持项目团队核心技术成员的稳定性，未经采购人许可不得随便调整项目团队核心技术成员（包括项目经理、主要开发人员等）。</w:t>
            </w:r>
          </w:p>
          <w:p>
            <w:pPr>
              <w:ind w:firstLine="0"/>
              <w:rPr>
                <w:rFonts w:ascii="Times New Roman" w:hAnsi="Times New Roman" w:cs="Times New Roman"/>
              </w:rPr>
            </w:pPr>
            <w:r>
              <w:rPr>
                <w:rFonts w:ascii="Times New Roman" w:eastAsia="宋体" w:hAnsi="Times New Roman" w:cs="Times New Roman" w:hint="eastAsia"/>
              </w:rPr>
              <w:t>开发团队应具备与本项目同类项目开发经验，以确保本项目的顺利推进。</w:t>
            </w:r>
          </w:p>
          <w:p>
            <w:pPr>
              <w:ind w:firstLine="0"/>
              <w:rPr>
                <w:rFonts w:ascii="Times New Roman" w:hAnsi="Times New Roman" w:cs="Times New Roman"/>
                <w:color w:val="FF0000"/>
              </w:rPr>
            </w:pPr>
            <w:r>
              <w:rPr>
                <w:rFonts w:ascii="Times New Roman" w:eastAsia="宋体" w:hAnsi="Times New Roman" w:cs="宋体"/>
              </w:rPr>
              <w:t>本项目的开发实施所在地需满足采购人要</w:t>
            </w:r>
            <w:r>
              <w:rPr>
                <w:rFonts w:cs="宋体"/>
              </w:rPr>
              <w:t>求。</w:t>
            </w:r>
          </w:p>
          <w:p>
            <w:pPr>
              <w:ind w:firstLine="0"/>
              <w:rPr>
                <w:rFonts w:ascii="Times New Roman" w:eastAsia="宋体" w:hAnsi="Times New Roman" w:cs="Times New Roman"/>
              </w:rPr>
            </w:pPr>
            <w:r>
              <w:rPr>
                <w:rFonts w:ascii="Times New Roman" w:eastAsia="宋体" w:hAnsi="Times New Roman" w:cs="宋体"/>
              </w:rPr>
              <w:t>投标人应承诺完成上线部署、问题排查等工作。</w:t>
            </w:r>
          </w:p>
        </w:tc>
        <w:tc>
          <w:tcPr>
            <w:tcW w:w="1685" w:type="dxa"/>
            <w:vAlign w:val="center"/>
          </w:tcPr>
          <w:p>
            <w:pPr>
              <w:ind w:firstLine="0"/>
              <w:rPr>
                <w:rFonts w:ascii="Times New Roman" w:eastAsia="宋体" w:hAnsi="Times New Roman" w:cs="Times New Roman"/>
              </w:rPr>
            </w:pPr>
            <w:r>
              <w:rPr>
                <w:rFonts w:ascii="Times New Roman" w:eastAsia="宋体" w:hAnsi="Times New Roman" w:cs="Times New Roman" w:hint="eastAsia"/>
              </w:rPr>
              <w:t>是，提供《承诺函》并加盖单位公章。</w:t>
            </w:r>
          </w:p>
          <w:p>
            <w:pPr>
              <w:ind w:firstLine="0"/>
              <w:rPr>
                <w:rFonts w:ascii="Times New Roman" w:eastAsia="宋体" w:hAnsi="Times New Roman" w:cs="Times New Roman"/>
              </w:rPr>
            </w:pPr>
            <w:r>
              <w:rPr>
                <w:rFonts w:ascii="Times New Roman" w:eastAsia="宋体" w:hAnsi="Times New Roman" w:cs="Times New Roman" w:hint="eastAsia"/>
              </w:rPr>
              <w:t>提供相关经验证明材料（包括但不限于用户相关证明材料）。</w:t>
            </w:r>
          </w:p>
        </w:tc>
      </w:tr>
      <w:tr>
        <w:tblPrEx>
          <w:tblW w:w="8519" w:type="dxa"/>
          <w:jc w:val="left"/>
          <w:tblInd w:w="0" w:type="dxa"/>
          <w:tblLayout w:type="fixed"/>
          <w:tblCellMar>
            <w:top w:w="0" w:type="dxa"/>
            <w:left w:w="28" w:type="dxa"/>
            <w:bottom w:w="0" w:type="dxa"/>
            <w:right w:w="28" w:type="dxa"/>
          </w:tblCellMar>
        </w:tblPrEx>
        <w:trPr>
          <w:trHeight w:val="20"/>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4</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硬件、软件制造商服务标准</w:t>
            </w:r>
          </w:p>
        </w:tc>
        <w:tc>
          <w:tcPr>
            <w:tcW w:w="882" w:type="dxa"/>
            <w:vAlign w:val="center"/>
          </w:tcPr>
          <w:p>
            <w:pPr>
              <w:ind w:firstLine="0"/>
              <w:jc w:val="center"/>
              <w:rPr>
                <w:rFonts w:ascii="Times New Roman" w:eastAsia="宋体" w:hAnsi="Times New Roman"/>
              </w:rPr>
            </w:pPr>
          </w:p>
        </w:tc>
        <w:tc>
          <w:tcPr>
            <w:tcW w:w="4004" w:type="dxa"/>
            <w:vAlign w:val="center"/>
          </w:tcPr>
          <w:p>
            <w:pPr>
              <w:ind w:firstLine="0"/>
              <w:jc w:val="center"/>
              <w:rPr>
                <w:rFonts w:ascii="Times New Roman" w:eastAsia="宋体" w:hAnsi="Times New Roman" w:cs="Times New Roman"/>
              </w:rPr>
            </w:pPr>
            <w:r>
              <w:rPr>
                <w:rFonts w:ascii="Times New Roman" w:eastAsia="宋体" w:hAnsi="Times New Roman" w:cs="Times New Roman" w:hint="eastAsia"/>
              </w:rPr>
              <w:t>无</w:t>
            </w:r>
          </w:p>
        </w:tc>
        <w:tc>
          <w:tcPr>
            <w:tcW w:w="1685" w:type="dxa"/>
            <w:vAlign w:val="center"/>
          </w:tcPr>
          <w:p>
            <w:pPr>
              <w:ind w:firstLine="0"/>
              <w:jc w:val="center"/>
              <w:rPr>
                <w:rFonts w:ascii="Times New Roman" w:eastAsia="宋体" w:hAnsi="Times New Roman" w:cs="Times New Roman"/>
              </w:rPr>
            </w:pPr>
            <w:r>
              <w:rPr>
                <w:rFonts w:ascii="Times New Roman" w:eastAsia="宋体" w:hAnsi="Times New Roman" w:cs="Times New Roman" w:hint="eastAsia"/>
              </w:rPr>
              <w:t>否</w:t>
            </w:r>
          </w:p>
        </w:tc>
      </w:tr>
      <w:tr>
        <w:tblPrEx>
          <w:tblW w:w="8519" w:type="dxa"/>
          <w:jc w:val="left"/>
          <w:tblInd w:w="0" w:type="dxa"/>
          <w:tblLayout w:type="fixed"/>
          <w:tblCellMar>
            <w:top w:w="0" w:type="dxa"/>
            <w:left w:w="28" w:type="dxa"/>
            <w:bottom w:w="0" w:type="dxa"/>
            <w:right w:w="28" w:type="dxa"/>
          </w:tblCellMar>
        </w:tblPrEx>
        <w:trPr>
          <w:trHeight w:val="20"/>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5</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人员资格标准</w:t>
            </w:r>
          </w:p>
        </w:tc>
        <w:tc>
          <w:tcPr>
            <w:tcW w:w="882" w:type="dxa"/>
            <w:vAlign w:val="center"/>
          </w:tcPr>
          <w:p>
            <w:pPr>
              <w:ind w:firstLine="0"/>
              <w:jc w:val="center"/>
              <w:rPr>
                <w:rFonts w:ascii="Times New Roman" w:eastAsia="宋体" w:hAnsi="Times New Roman"/>
              </w:rPr>
            </w:pPr>
          </w:p>
        </w:tc>
        <w:tc>
          <w:tcPr>
            <w:tcW w:w="4004" w:type="dxa"/>
            <w:vAlign w:val="center"/>
          </w:tcPr>
          <w:p>
            <w:pPr>
              <w:ind w:firstLine="0"/>
              <w:rPr>
                <w:rFonts w:ascii="Times New Roman" w:hAnsi="Times New Roman" w:cs="Times New Roman"/>
              </w:rPr>
            </w:pPr>
            <w:r>
              <w:rPr>
                <w:rFonts w:ascii="Times New Roman" w:eastAsia="宋体" w:hAnsi="Times New Roman" w:cs="Times New Roman" w:hint="eastAsia"/>
              </w:rPr>
              <w:t>投标人应提供《拟投入本项目的团队情况表》及《拟投入本项目的项目经理及开发人员简介》。</w:t>
            </w:r>
          </w:p>
          <w:p>
            <w:pPr>
              <w:ind w:firstLine="0"/>
              <w:rPr>
                <w:rFonts w:ascii="Times New Roman" w:hAnsi="Times New Roman" w:cs="Times New Roman"/>
              </w:rPr>
            </w:pPr>
            <w:r>
              <w:rPr>
                <w:rFonts w:ascii="Times New Roman" w:eastAsia="宋体" w:hAnsi="Times New Roman" w:cs="Times New Roman" w:hint="eastAsia"/>
              </w:rPr>
              <w:t>1、项目经理需具有承担过同类系统软件开发经验，能够与用户进行良好的沟通，应具备相关部门颁发的计算机技术与软件相关专</w:t>
            </w:r>
            <w:r>
              <w:rPr>
                <w:rFonts w:hint="eastAsia"/>
              </w:rPr>
              <w:t>业</w:t>
            </w:r>
            <w:r>
              <w:rPr>
                <w:rFonts w:hint="eastAsia"/>
              </w:rPr>
              <w:t>高级资质且资质证书</w:t>
            </w:r>
            <w:r>
              <w:rPr>
                <w:rFonts w:hint="eastAsia"/>
              </w:rPr>
              <w:t>持</w:t>
            </w:r>
            <w:r>
              <w:rPr>
                <w:rFonts w:ascii="Times New Roman" w:eastAsia="宋体" w:hAnsi="Times New Roman" w:cs="Times New Roman" w:hint="eastAsia"/>
              </w:rPr>
              <w:t>有期不少于</w:t>
            </w:r>
            <w:r>
              <w:rPr>
                <w:rFonts w:ascii="Times New Roman" w:hAnsi="Times New Roman" w:cs="Times New Roman"/>
              </w:rPr>
              <w:t>3</w:t>
            </w:r>
            <w:r>
              <w:rPr>
                <w:rFonts w:ascii="Times New Roman" w:eastAsia="宋体" w:hAnsi="Times New Roman" w:cs="Times New Roman" w:hint="eastAsia"/>
              </w:rPr>
              <w:t>年。</w:t>
            </w:r>
          </w:p>
          <w:p>
            <w:pPr>
              <w:ind w:firstLine="0"/>
              <w:rPr>
                <w:rFonts w:ascii="Times New Roman" w:hAnsi="Times New Roman" w:cs="Times New Roman"/>
              </w:rPr>
            </w:pPr>
            <w:r>
              <w:rPr>
                <w:rFonts w:ascii="Times New Roman" w:eastAsia="宋体" w:hAnsi="Times New Roman" w:cs="Times New Roman" w:hint="eastAsia"/>
              </w:rPr>
              <w:t>2、主要开发人员应至少包含信息系统项目管理师</w:t>
            </w:r>
            <w:r>
              <w:rPr>
                <w:rFonts w:ascii="Times New Roman" w:hAnsi="Times New Roman" w:cs="Times New Roman"/>
              </w:rPr>
              <w:t>3</w:t>
            </w:r>
            <w:r>
              <w:rPr>
                <w:rFonts w:ascii="Times New Roman" w:eastAsia="宋体" w:hAnsi="Times New Roman" w:cs="Times New Roman" w:hint="eastAsia"/>
              </w:rPr>
              <w:t>人，系统集成项目管理工程师</w:t>
            </w:r>
            <w:r>
              <w:rPr>
                <w:rFonts w:ascii="Times New Roman" w:hAnsi="Times New Roman" w:cs="Times New Roman"/>
              </w:rPr>
              <w:t>1</w:t>
            </w:r>
            <w:r>
              <w:rPr>
                <w:rFonts w:ascii="Times New Roman" w:eastAsia="宋体" w:hAnsi="Times New Roman" w:cs="Times New Roman" w:hint="eastAsia"/>
              </w:rPr>
              <w:t>人、系统分析师</w:t>
            </w:r>
            <w:r>
              <w:rPr>
                <w:rFonts w:ascii="Times New Roman" w:hAnsi="Times New Roman" w:cs="Times New Roman"/>
              </w:rPr>
              <w:t>3</w:t>
            </w:r>
            <w:r>
              <w:rPr>
                <w:rFonts w:ascii="Times New Roman" w:eastAsia="宋体" w:hAnsi="Times New Roman" w:cs="Times New Roman" w:hint="eastAsia"/>
              </w:rPr>
              <w:t>人、数据库系统工程师</w:t>
            </w:r>
            <w:r>
              <w:rPr>
                <w:rFonts w:ascii="Times New Roman" w:hAnsi="Times New Roman" w:cs="Times New Roman"/>
              </w:rPr>
              <w:t>1</w:t>
            </w:r>
            <w:r>
              <w:rPr>
                <w:rFonts w:ascii="Times New Roman" w:eastAsia="宋体" w:hAnsi="Times New Roman" w:cs="Times New Roman" w:hint="eastAsia"/>
              </w:rPr>
              <w:t>人。</w:t>
            </w:r>
          </w:p>
        </w:tc>
        <w:tc>
          <w:tcPr>
            <w:tcW w:w="1685" w:type="dxa"/>
            <w:vAlign w:val="center"/>
          </w:tcPr>
          <w:p>
            <w:pPr>
              <w:ind w:firstLine="0"/>
              <w:rPr>
                <w:rFonts w:ascii="Times New Roman" w:eastAsia="宋体" w:hAnsi="Times New Roman" w:cs="Times New Roman"/>
              </w:rPr>
            </w:pPr>
            <w:r>
              <w:rPr>
                <w:rFonts w:hint="eastAsia"/>
              </w:rPr>
              <w:t>是，提供相关人员的资质证书以及团队人员</w:t>
            </w:r>
            <w:r>
              <w:rPr>
                <w:rFonts w:hint="eastAsia"/>
              </w:rPr>
              <w:t>距开标之日前6个月内任意一个月的社保证明等材料，详见投标人须知人员团队方案相关内容要求，加盖单位公章。</w:t>
            </w:r>
          </w:p>
        </w:tc>
      </w:tr>
      <w:tr>
        <w:tblPrEx>
          <w:tblW w:w="8519" w:type="dxa"/>
          <w:jc w:val="left"/>
          <w:tblInd w:w="0" w:type="dxa"/>
          <w:tblLayout w:type="fixed"/>
          <w:tblCellMar>
            <w:top w:w="0" w:type="dxa"/>
            <w:left w:w="28" w:type="dxa"/>
            <w:bottom w:w="0" w:type="dxa"/>
            <w:right w:w="28" w:type="dxa"/>
          </w:tblCellMar>
        </w:tblPrEx>
        <w:trPr>
          <w:trHeight w:val="20"/>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6</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服务网络标准</w:t>
            </w:r>
          </w:p>
        </w:tc>
        <w:tc>
          <w:tcPr>
            <w:tcW w:w="882" w:type="dxa"/>
            <w:vAlign w:val="center"/>
          </w:tcPr>
          <w:p>
            <w:pPr>
              <w:ind w:firstLine="0"/>
              <w:jc w:val="center"/>
              <w:rPr>
                <w:rFonts w:ascii="Times New Roman" w:eastAsia="宋体" w:hAnsi="Times New Roman"/>
              </w:rPr>
            </w:pPr>
          </w:p>
        </w:tc>
        <w:tc>
          <w:tcPr>
            <w:tcW w:w="4004" w:type="dxa"/>
            <w:vAlign w:val="center"/>
          </w:tcPr>
          <w:p>
            <w:pPr>
              <w:ind w:firstLine="0"/>
              <w:jc w:val="center"/>
              <w:rPr>
                <w:rFonts w:ascii="Times New Roman" w:eastAsia="宋体" w:hAnsi="Times New Roman" w:cs="Times New Roman"/>
              </w:rPr>
            </w:pPr>
            <w:r>
              <w:rPr>
                <w:rFonts w:ascii="Times New Roman" w:eastAsia="宋体" w:hAnsi="Times New Roman" w:cs="宋体"/>
              </w:rPr>
              <w:t>无</w:t>
            </w:r>
          </w:p>
        </w:tc>
        <w:tc>
          <w:tcPr>
            <w:tcW w:w="1685" w:type="dxa"/>
            <w:vAlign w:val="center"/>
          </w:tcPr>
          <w:p>
            <w:pPr>
              <w:ind w:firstLine="0"/>
              <w:jc w:val="center"/>
              <w:rPr>
                <w:rFonts w:ascii="Times New Roman" w:eastAsia="宋体" w:hAnsi="Times New Roman" w:cs="Times New Roman"/>
              </w:rPr>
            </w:pPr>
            <w:r>
              <w:rPr>
                <w:rFonts w:ascii="Times New Roman" w:eastAsia="宋体" w:hAnsi="Times New Roman" w:cs="Times New Roman" w:hint="eastAsia"/>
              </w:rPr>
              <w:t>否</w:t>
            </w:r>
          </w:p>
        </w:tc>
      </w:tr>
      <w:tr>
        <w:tblPrEx>
          <w:tblW w:w="8519" w:type="dxa"/>
          <w:jc w:val="left"/>
          <w:tblInd w:w="0" w:type="dxa"/>
          <w:tblLayout w:type="fixed"/>
          <w:tblCellMar>
            <w:top w:w="0" w:type="dxa"/>
            <w:left w:w="28" w:type="dxa"/>
            <w:bottom w:w="0" w:type="dxa"/>
            <w:right w:w="28" w:type="dxa"/>
          </w:tblCellMar>
        </w:tblPrEx>
        <w:trPr>
          <w:trHeight w:val="20"/>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7</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培训标准</w:t>
            </w:r>
          </w:p>
        </w:tc>
        <w:tc>
          <w:tcPr>
            <w:tcW w:w="882" w:type="dxa"/>
            <w:vAlign w:val="center"/>
          </w:tcPr>
          <w:p>
            <w:pPr>
              <w:ind w:firstLine="0"/>
              <w:jc w:val="center"/>
              <w:rPr>
                <w:rFonts w:ascii="Times New Roman" w:eastAsia="宋体" w:hAnsi="Times New Roman"/>
              </w:rPr>
            </w:pPr>
          </w:p>
        </w:tc>
        <w:tc>
          <w:tcPr>
            <w:tcW w:w="4004" w:type="dxa"/>
          </w:tcPr>
          <w:p>
            <w:pPr>
              <w:ind w:firstLine="0"/>
              <w:jc w:val="left"/>
              <w:rPr>
                <w:rFonts w:ascii="Times New Roman" w:eastAsia="宋体" w:hAnsi="Times New Roman" w:cs="Times New Roman"/>
              </w:rPr>
            </w:pPr>
            <w:r>
              <w:rPr>
                <w:rFonts w:ascii="Times New Roman" w:eastAsia="宋体" w:hAnsi="Times New Roman" w:cs="Times New Roman" w:hint="eastAsia"/>
                <w:lang w:bidi="en-US"/>
              </w:rPr>
              <w:t>投标人需要保证提供相应的教师及课件。</w:t>
            </w:r>
          </w:p>
        </w:tc>
        <w:tc>
          <w:tcPr>
            <w:tcW w:w="1685" w:type="dxa"/>
            <w:vAlign w:val="center"/>
          </w:tcPr>
          <w:p>
            <w:pPr>
              <w:ind w:firstLine="0"/>
              <w:jc w:val="center"/>
              <w:rPr>
                <w:rFonts w:ascii="Times New Roman" w:eastAsia="宋体" w:hAnsi="Times New Roman" w:cs="Times New Roman"/>
              </w:rPr>
            </w:pPr>
            <w:r>
              <w:rPr>
                <w:rFonts w:ascii="Times New Roman" w:eastAsia="宋体" w:hAnsi="Times New Roman" w:cs="Times New Roman" w:hint="eastAsia"/>
              </w:rPr>
              <w:t>否</w:t>
            </w:r>
          </w:p>
        </w:tc>
      </w:tr>
      <w:tr>
        <w:tblPrEx>
          <w:tblW w:w="8519" w:type="dxa"/>
          <w:jc w:val="left"/>
          <w:tblInd w:w="0" w:type="dxa"/>
          <w:tblLayout w:type="fixed"/>
          <w:tblCellMar>
            <w:top w:w="0" w:type="dxa"/>
            <w:left w:w="28" w:type="dxa"/>
            <w:bottom w:w="0" w:type="dxa"/>
            <w:right w:w="28" w:type="dxa"/>
          </w:tblCellMar>
        </w:tblPrEx>
        <w:trPr>
          <w:trHeight w:val="20"/>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8</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集成标准</w:t>
            </w:r>
          </w:p>
        </w:tc>
        <w:tc>
          <w:tcPr>
            <w:tcW w:w="882" w:type="dxa"/>
            <w:vAlign w:val="center"/>
          </w:tcPr>
          <w:p>
            <w:pPr>
              <w:ind w:firstLine="0"/>
              <w:jc w:val="center"/>
              <w:rPr>
                <w:rFonts w:ascii="Times New Roman" w:eastAsia="宋体" w:hAnsi="Times New Roman"/>
              </w:rPr>
            </w:pPr>
          </w:p>
        </w:tc>
        <w:tc>
          <w:tcPr>
            <w:tcW w:w="4004" w:type="dxa"/>
            <w:vAlign w:val="center"/>
          </w:tcPr>
          <w:p>
            <w:pPr>
              <w:ind w:firstLine="0"/>
              <w:jc w:val="left"/>
              <w:rPr>
                <w:rFonts w:ascii="Times New Roman" w:eastAsia="宋体" w:hAnsi="Times New Roman" w:cs="Times New Roman"/>
              </w:rPr>
            </w:pPr>
            <w:r>
              <w:rPr>
                <w:rFonts w:ascii="Times New Roman" w:eastAsia="宋体" w:hAnsi="Times New Roman" w:cs="Times New Roman" w:hint="eastAsia"/>
              </w:rPr>
              <w:t>该项目的建设与管理要符合海关工程的有关管理规定、技术架构、标准规范等方面要求，符合海关工程集成的设计要求及相关标准规范。并根据业务需求进行标准化的接口设计。</w:t>
            </w:r>
          </w:p>
        </w:tc>
        <w:tc>
          <w:tcPr>
            <w:tcW w:w="1685" w:type="dxa"/>
            <w:vAlign w:val="center"/>
          </w:tcPr>
          <w:p>
            <w:pPr>
              <w:ind w:firstLine="0"/>
              <w:jc w:val="center"/>
              <w:rPr>
                <w:rFonts w:ascii="Times New Roman" w:eastAsia="宋体" w:hAnsi="Times New Roman" w:cs="Times New Roman"/>
              </w:rPr>
            </w:pPr>
            <w:r>
              <w:rPr>
                <w:rFonts w:ascii="Times New Roman" w:eastAsia="宋体" w:hAnsi="Times New Roman" w:cs="Times New Roman" w:hint="eastAsia"/>
              </w:rPr>
              <w:t>否</w:t>
            </w:r>
          </w:p>
        </w:tc>
      </w:tr>
    </w:tbl>
    <w:p>
      <w:pPr>
        <w:pStyle w:val="BodyText3"/>
        <w:rPr>
          <w:rFonts w:eastAsia="宋体"/>
          <w:color w:val="auto"/>
        </w:rPr>
      </w:pPr>
    </w:p>
    <w:p>
      <w:pPr>
        <w:pStyle w:val="Heading2"/>
        <w:numPr>
          <w:ilvl w:val="0"/>
          <w:numId w:val="2"/>
        </w:numPr>
        <w:rPr>
          <w:rFonts w:ascii="宋体" w:eastAsia="宋体" w:hint="eastAsia"/>
        </w:rPr>
      </w:pPr>
      <w:bookmarkStart w:id="48" w:name="实施方案"/>
      <w:r>
        <w:rPr>
          <w:rFonts w:ascii="宋体" w:eastAsia="宋体" w:hint="eastAsia"/>
        </w:rPr>
        <w:t>实施</w:t>
      </w:r>
      <w:bookmarkEnd w:id="48"/>
      <w:r>
        <w:rPr>
          <w:rFonts w:ascii="宋体" w:eastAsia="宋体"/>
        </w:rPr>
        <w:t>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Times New Roman" w:eastAsia="宋体" w:hAnsi="Times New Roman"/>
              </w:rPr>
            </w:pPr>
            <w:r>
              <w:rPr>
                <w:rFonts w:ascii="Times New Roman" w:eastAsia="宋体" w:hAnsi="Times New Roman" w:hint="eastAsia"/>
              </w:rPr>
              <w:t>序号</w:t>
            </w:r>
          </w:p>
        </w:tc>
        <w:tc>
          <w:tcPr>
            <w:tcW w:w="1140" w:type="dxa"/>
          </w:tcPr>
          <w:p>
            <w:pPr>
              <w:ind w:firstLine="0"/>
              <w:jc w:val="center"/>
              <w:rPr>
                <w:rFonts w:ascii="Times New Roman" w:eastAsia="宋体" w:hAnsi="Times New Roman"/>
              </w:rPr>
            </w:pPr>
            <w:r>
              <w:rPr>
                <w:rFonts w:ascii="Times New Roman" w:eastAsia="宋体" w:hAnsi="Times New Roman" w:hint="eastAsia"/>
              </w:rPr>
              <w:t>内容</w:t>
            </w:r>
          </w:p>
        </w:tc>
        <w:tc>
          <w:tcPr>
            <w:tcW w:w="1196" w:type="dxa"/>
          </w:tcPr>
          <w:p>
            <w:pPr>
              <w:ind w:firstLine="0"/>
              <w:jc w:val="center"/>
              <w:rPr>
                <w:rFonts w:ascii="Times New Roman" w:eastAsia="宋体" w:hAnsi="Times New Roman"/>
              </w:rPr>
            </w:pPr>
            <w:r>
              <w:rPr>
                <w:rFonts w:ascii="Times New Roman" w:eastAsia="宋体" w:hAnsi="Times New Roman" w:hint="eastAsia"/>
              </w:rPr>
              <w:t>重要性</w:t>
            </w:r>
          </w:p>
        </w:tc>
        <w:tc>
          <w:tcPr>
            <w:tcW w:w="3690" w:type="dxa"/>
          </w:tcPr>
          <w:p>
            <w:pPr>
              <w:ind w:firstLine="0"/>
              <w:jc w:val="center"/>
              <w:rPr>
                <w:rFonts w:ascii="Times New Roman" w:eastAsia="宋体" w:hAnsi="Times New Roman"/>
              </w:rPr>
            </w:pPr>
            <w:bookmarkStart w:id="49" w:name="实施方案_Title_实施标准_Required_Table"/>
            <w:r>
              <w:rPr>
                <w:rFonts w:ascii="Times New Roman" w:eastAsia="宋体" w:hAnsi="Times New Roman" w:hint="eastAsia"/>
              </w:rPr>
              <w:t>实施标准</w:t>
            </w:r>
            <w:bookmarkEnd w:id="49"/>
          </w:p>
        </w:tc>
        <w:tc>
          <w:tcPr>
            <w:tcW w:w="1685" w:type="dxa"/>
          </w:tcPr>
          <w:p>
            <w:pPr>
              <w:ind w:firstLine="0"/>
              <w:jc w:val="center"/>
              <w:rPr>
                <w:rFonts w:ascii="Times New Roman" w:eastAsia="宋体" w:hAnsi="Times New Roman"/>
              </w:rPr>
            </w:pPr>
            <w:bookmarkStart w:id="50" w:name="实施方案_Title_证明材料要求_Required_Table"/>
            <w:r>
              <w:rPr>
                <w:rFonts w:ascii="Times New Roman" w:eastAsia="宋体" w:hAnsi="Times New Roman" w:hint="eastAsia"/>
              </w:rPr>
              <w:t>证明材料要求</w:t>
            </w:r>
            <w:bookmarkEnd w:id="50"/>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1</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项目实施过程控制</w:t>
            </w:r>
          </w:p>
        </w:tc>
        <w:tc>
          <w:tcPr>
            <w:tcW w:w="1196" w:type="dxa"/>
            <w:vAlign w:val="center"/>
          </w:tcPr>
          <w:p>
            <w:pPr>
              <w:ind w:firstLine="0"/>
              <w:jc w:val="center"/>
              <w:rPr>
                <w:rFonts w:ascii="Times New Roman" w:eastAsia="宋体" w:hAnsi="Times New Roman"/>
              </w:rPr>
            </w:pPr>
          </w:p>
        </w:tc>
        <w:tc>
          <w:tcPr>
            <w:tcW w:w="3690" w:type="dxa"/>
            <w:vAlign w:val="center"/>
          </w:tcPr>
          <w:p>
            <w:pPr>
              <w:ind w:firstLine="0"/>
              <w:rPr>
                <w:rFonts w:ascii="Times New Roman" w:eastAsia="宋体" w:hAnsi="Times New Roman"/>
              </w:rPr>
            </w:pPr>
            <w:r>
              <w:rPr>
                <w:rFonts w:ascii="宋体" w:eastAsia="宋体" w:cs="宋体" w:hint="eastAsia"/>
              </w:rPr>
              <w:t>投标人在项目实施过程中，应服从采购人或采购人指定方的组织、协调，按照海关的技术、管理标准、规范要求开展工作。</w:t>
            </w:r>
          </w:p>
        </w:tc>
        <w:tc>
          <w:tcPr>
            <w:tcW w:w="1685" w:type="dxa"/>
            <w:vAlign w:val="center"/>
          </w:tcPr>
          <w:p>
            <w:pPr>
              <w:ind w:firstLine="0"/>
              <w:jc w:val="center"/>
              <w:rPr>
                <w:rFonts w:ascii="Times New Roman" w:eastAsia="宋体" w:hAnsi="Times New Roman"/>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2</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项目实施过程文档管理</w:t>
            </w:r>
          </w:p>
        </w:tc>
        <w:tc>
          <w:tcPr>
            <w:tcW w:w="1196" w:type="dxa"/>
            <w:vAlign w:val="center"/>
          </w:tcPr>
          <w:p>
            <w:pPr>
              <w:ind w:firstLine="0"/>
              <w:jc w:val="center"/>
              <w:rPr>
                <w:rFonts w:ascii="Times New Roman" w:eastAsia="宋体" w:hAnsi="Times New Roman"/>
              </w:rPr>
            </w:pPr>
          </w:p>
        </w:tc>
        <w:tc>
          <w:tcPr>
            <w:tcW w:w="3690" w:type="dxa"/>
            <w:vAlign w:val="center"/>
          </w:tcPr>
          <w:p>
            <w:pPr>
              <w:ind w:firstLine="0"/>
              <w:rPr>
                <w:rFonts w:ascii="Times New Roman" w:hAnsi="Times New Roman" w:cs="Times New Roman"/>
              </w:rPr>
            </w:pPr>
            <w:r>
              <w:rPr>
                <w:rFonts w:ascii="Times New Roman" w:eastAsia="宋体" w:hAnsi="Times New Roman" w:cs="Times New Roman"/>
              </w:rPr>
              <w:t>1</w:t>
            </w:r>
            <w:r>
              <w:rPr>
                <w:rFonts w:ascii="Times New Roman" w:eastAsia="宋体" w:hAnsi="Times New Roman" w:cs="Times New Roman" w:hint="eastAsia"/>
              </w:rPr>
              <w:t>、</w:t>
            </w:r>
            <w:r>
              <w:rPr>
                <w:rFonts w:ascii="Times New Roman" w:eastAsia="宋体" w:hAnsi="Times New Roman" w:cs="宋体"/>
              </w:rPr>
              <w:t>投标人应对其所提供的全部文档的准确性和完整性负责</w:t>
            </w:r>
            <w:r>
              <w:rPr>
                <w:rFonts w:ascii="Times New Roman" w:eastAsia="宋体" w:hAnsi="Times New Roman" w:cs="宋体" w:hint="eastAsia"/>
              </w:rPr>
              <w:t>；</w:t>
            </w:r>
          </w:p>
          <w:p>
            <w:pPr>
              <w:ind w:firstLine="0"/>
              <w:rPr>
                <w:rFonts w:ascii="Times New Roman" w:eastAsia="宋体" w:hAnsi="Times New Roman"/>
              </w:rPr>
            </w:pPr>
            <w:r>
              <w:rPr>
                <w:rFonts w:ascii="Times New Roman" w:eastAsia="宋体" w:hAnsi="Times New Roman" w:cs="Times New Roman"/>
              </w:rPr>
              <w:t>2</w:t>
            </w:r>
            <w:r>
              <w:rPr>
                <w:rFonts w:ascii="Times New Roman" w:eastAsia="宋体" w:hAnsi="Times New Roman" w:cs="Times New Roman" w:hint="eastAsia"/>
              </w:rPr>
              <w:t>、</w:t>
            </w:r>
            <w:r>
              <w:rPr>
                <w:rFonts w:ascii="Times New Roman" w:eastAsia="宋体" w:hAnsi="Times New Roman" w:cs="宋体"/>
              </w:rPr>
              <w:t>本项目需交付涉及的源代码、需求规格说</w:t>
            </w:r>
            <w:r>
              <w:rPr>
                <w:rFonts w:ascii="宋体" w:eastAsia="宋体" w:cs="宋体" w:hint="eastAsia"/>
              </w:rPr>
              <w:t>明书、技术方案、测试报告、部署手册、用户操作手册等合同要求的技术资料和程序。</w:t>
            </w:r>
          </w:p>
        </w:tc>
        <w:tc>
          <w:tcPr>
            <w:tcW w:w="1685" w:type="dxa"/>
            <w:vAlign w:val="center"/>
          </w:tcPr>
          <w:p>
            <w:pPr>
              <w:ind w:firstLine="0"/>
              <w:jc w:val="center"/>
              <w:rPr>
                <w:rFonts w:ascii="Times New Roman" w:eastAsia="宋体" w:hAnsi="Times New Roman"/>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3</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项目实施组织架构</w:t>
            </w:r>
          </w:p>
        </w:tc>
        <w:tc>
          <w:tcPr>
            <w:tcW w:w="1196" w:type="dxa"/>
            <w:vAlign w:val="center"/>
          </w:tcPr>
          <w:p>
            <w:pPr>
              <w:ind w:firstLine="0"/>
              <w:jc w:val="center"/>
              <w:rPr>
                <w:rFonts w:ascii="Times New Roman" w:eastAsia="宋体" w:hAnsi="Times New Roman"/>
              </w:rPr>
            </w:pPr>
          </w:p>
        </w:tc>
        <w:tc>
          <w:tcPr>
            <w:tcW w:w="3690" w:type="dxa"/>
            <w:vAlign w:val="center"/>
          </w:tcPr>
          <w:p>
            <w:pPr>
              <w:ind w:firstLine="0"/>
              <w:rPr>
                <w:rFonts w:ascii="Times New Roman" w:hAnsi="Times New Roman"/>
              </w:rPr>
            </w:pPr>
            <w:r>
              <w:rPr>
                <w:rFonts w:ascii="宋体" w:eastAsia="宋体" w:cs="宋体" w:hint="eastAsia"/>
              </w:rPr>
              <w:t>投标人应负责提出本项目实施的人员配置方案，主要要求如下：</w:t>
            </w:r>
          </w:p>
          <w:p>
            <w:pPr>
              <w:ind w:firstLine="0"/>
              <w:rPr>
                <w:rFonts w:ascii="Times New Roman" w:hAnsi="Times New Roman" w:cs="Times New Roman"/>
              </w:rPr>
            </w:pPr>
            <w:r>
              <w:rPr>
                <w:rFonts w:ascii="Times New Roman" w:eastAsia="宋体" w:hAnsi="Times New Roman" w:cs="Times New Roman"/>
              </w:rPr>
              <w:t>1</w:t>
            </w:r>
            <w:r>
              <w:rPr>
                <w:rFonts w:ascii="Times New Roman" w:eastAsia="宋体" w:hAnsi="Times New Roman" w:cs="Times New Roman" w:hint="eastAsia"/>
              </w:rPr>
              <w:t>、</w:t>
            </w:r>
            <w:r>
              <w:rPr>
                <w:rFonts w:ascii="Times New Roman" w:eastAsia="宋体" w:hAnsi="Times New Roman" w:cs="宋体"/>
              </w:rPr>
              <w:t>项目经理</w:t>
            </w:r>
            <w:r>
              <w:rPr>
                <w:rFonts w:ascii="Times New Roman" w:hAnsi="Times New Roman" w:cs="Times New Roman"/>
              </w:rPr>
              <w:t>1</w:t>
            </w:r>
            <w:r>
              <w:rPr>
                <w:rFonts w:ascii="Times New Roman" w:eastAsia="宋体" w:hAnsi="Times New Roman" w:cs="宋体"/>
              </w:rPr>
              <w:t>人，</w:t>
            </w:r>
            <w:r>
              <w:rPr>
                <w:rFonts w:ascii="Times New Roman" w:eastAsia="宋体" w:hAnsi="Times New Roman" w:cs="Times New Roman" w:hint="eastAsia"/>
              </w:rPr>
              <w:t>主要开发人员</w:t>
            </w:r>
            <w:r>
              <w:rPr>
                <w:rFonts w:ascii="Times New Roman" w:eastAsia="宋体" w:hAnsi="Times New Roman" w:cs="Times New Roman"/>
              </w:rPr>
              <w:t>8</w:t>
            </w:r>
            <w:r>
              <w:rPr>
                <w:rFonts w:ascii="Times New Roman" w:eastAsia="宋体" w:hAnsi="Times New Roman" w:cs="宋体"/>
              </w:rPr>
              <w:t>人及以上</w:t>
            </w:r>
            <w:r>
              <w:rPr>
                <w:rFonts w:ascii="Times New Roman" w:eastAsia="宋体" w:hAnsi="Times New Roman" w:cs="宋体" w:hint="eastAsia"/>
              </w:rPr>
              <w:t>；</w:t>
            </w:r>
          </w:p>
          <w:p>
            <w:pPr>
              <w:ind w:firstLine="0"/>
              <w:rPr>
                <w:rFonts w:ascii="Times New Roman" w:eastAsia="宋体" w:hAnsi="Times New Roman" w:cs="Times New Roman"/>
              </w:rPr>
            </w:pPr>
            <w:r>
              <w:rPr>
                <w:rFonts w:ascii="Times New Roman" w:eastAsia="宋体" w:hAnsi="Times New Roman" w:cs="Times New Roman"/>
              </w:rPr>
              <w:t>2</w:t>
            </w:r>
            <w:r>
              <w:rPr>
                <w:rFonts w:ascii="Times New Roman" w:eastAsia="宋体" w:hAnsi="Times New Roman" w:cs="Times New Roman" w:hint="eastAsia"/>
              </w:rPr>
              <w:t>、</w:t>
            </w:r>
            <w:r>
              <w:rPr>
                <w:rFonts w:ascii="Times New Roman" w:eastAsia="宋体" w:hAnsi="Times New Roman" w:cs="宋体"/>
              </w:rPr>
              <w:t>本项目执行过程中，项目经理要专职于本项目，未经建设单位</w:t>
            </w:r>
            <w:r>
              <w:rPr>
                <w:rFonts w:ascii="Times New Roman" w:eastAsia="宋体" w:hAnsi="Times New Roman" w:cs="Times New Roman"/>
              </w:rPr>
              <w:t>许可不得更换；</w:t>
            </w:r>
          </w:p>
          <w:p>
            <w:pPr>
              <w:ind w:firstLine="0"/>
              <w:rPr>
                <w:rFonts w:ascii="Times New Roman" w:eastAsia="宋体" w:hAnsi="Times New Roman"/>
              </w:rPr>
            </w:pPr>
            <w:r>
              <w:rPr>
                <w:rFonts w:ascii="Times New Roman" w:eastAsia="宋体" w:hAnsi="Times New Roman" w:cs="Times New Roman"/>
              </w:rPr>
              <w:t>3</w:t>
            </w:r>
            <w:r>
              <w:rPr>
                <w:rFonts w:ascii="Times New Roman" w:eastAsia="宋体" w:hAnsi="Times New Roman" w:cs="Times New Roman" w:hint="eastAsia"/>
              </w:rPr>
              <w:t>、</w:t>
            </w:r>
            <w:r>
              <w:rPr>
                <w:rFonts w:ascii="Times New Roman" w:eastAsia="宋体" w:hAnsi="Times New Roman" w:cs="Times New Roman"/>
              </w:rPr>
              <w:t>核心</w:t>
            </w:r>
            <w:r>
              <w:rPr>
                <w:rFonts w:ascii="Times New Roman" w:eastAsia="宋体" w:hAnsi="Times New Roman" w:cs="Times New Roman" w:hint="eastAsia"/>
              </w:rPr>
              <w:t>研发</w:t>
            </w:r>
            <w:r>
              <w:rPr>
                <w:rFonts w:ascii="Times New Roman" w:eastAsia="宋体" w:hAnsi="Times New Roman" w:cs="宋体"/>
              </w:rPr>
              <w:t>人员要保证本项目投入时间达到</w:t>
            </w:r>
            <w:r>
              <w:rPr>
                <w:rFonts w:ascii="Times New Roman" w:hAnsi="Times New Roman" w:cs="Times New Roman"/>
              </w:rPr>
              <w:t>60%</w:t>
            </w:r>
            <w:r>
              <w:rPr>
                <w:rFonts w:ascii="Times New Roman" w:eastAsia="宋体" w:hAnsi="Times New Roman" w:cs="宋体"/>
              </w:rPr>
              <w:t>以上，在项目验收之前不得调离该项目。</w:t>
            </w:r>
          </w:p>
        </w:tc>
        <w:tc>
          <w:tcPr>
            <w:tcW w:w="1685" w:type="dxa"/>
            <w:vAlign w:val="center"/>
          </w:tcPr>
          <w:p>
            <w:pPr>
              <w:ind w:firstLine="0"/>
              <w:jc w:val="center"/>
              <w:rPr>
                <w:rFonts w:ascii="Times New Roman" w:eastAsia="宋体" w:hAnsi="Times New Roman"/>
              </w:rPr>
            </w:pPr>
            <w:r>
              <w:rPr>
                <w:rFonts w:cs="宋体"/>
              </w:rPr>
              <w:t>是，</w:t>
            </w:r>
            <w:r>
              <w:rPr>
                <w:rFonts w:cs="宋体" w:hint="eastAsia"/>
              </w:rPr>
              <w:t>提供</w:t>
            </w:r>
            <w:r>
              <w:rPr>
                <w:rFonts w:cs="宋体"/>
              </w:rPr>
              <w:t>人员团队方案加盖单位公章</w:t>
            </w:r>
            <w:r>
              <w:rPr>
                <w:rFonts w:cs="宋体" w:hint="eastAsia"/>
              </w:rPr>
              <w:t>。</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4</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项目实施进度安排</w:t>
            </w:r>
          </w:p>
        </w:tc>
        <w:tc>
          <w:tcPr>
            <w:tcW w:w="1196" w:type="dxa"/>
            <w:vAlign w:val="center"/>
          </w:tcPr>
          <w:p>
            <w:pPr>
              <w:ind w:firstLine="0"/>
              <w:jc w:val="center"/>
              <w:rPr>
                <w:rFonts w:ascii="Times New Roman" w:eastAsia="宋体" w:hAnsi="Times New Roman"/>
              </w:rPr>
            </w:pPr>
            <w:r>
              <w:rPr>
                <w:rFonts w:ascii="Segoe UI Symbol" w:hAnsi="Segoe UI Symbol" w:cs="Segoe UI Symbol"/>
              </w:rPr>
              <w:t>★</w:t>
            </w:r>
          </w:p>
        </w:tc>
        <w:tc>
          <w:tcPr>
            <w:tcW w:w="3690" w:type="dxa"/>
            <w:vAlign w:val="center"/>
          </w:tcPr>
          <w:p>
            <w:pPr>
              <w:ind w:firstLine="0"/>
              <w:rPr>
                <w:rFonts w:ascii="Times New Roman" w:hAnsi="Times New Roman" w:cs="Times New Roman"/>
              </w:rPr>
            </w:pPr>
            <w:r>
              <w:rPr>
                <w:rFonts w:ascii="Times New Roman" w:eastAsia="宋体" w:hAnsi="Times New Roman" w:cs="宋体"/>
              </w:rPr>
              <w:t>计划建设工期</w:t>
            </w:r>
            <w:r>
              <w:rPr>
                <w:rFonts w:ascii="Times New Roman" w:eastAsia="宋体" w:hAnsi="Times New Roman" w:cs="Times New Roman" w:hint="eastAsia"/>
              </w:rPr>
              <w:t>24</w:t>
            </w:r>
            <w:r>
              <w:rPr>
                <w:rFonts w:ascii="Times New Roman" w:eastAsia="宋体" w:hAnsi="Times New Roman" w:cs="宋体"/>
              </w:rPr>
              <w:t>个月，发布内容为本项目的所有业务功能。</w:t>
            </w:r>
          </w:p>
          <w:p>
            <w:pPr>
              <w:ind w:firstLine="0"/>
              <w:rPr>
                <w:rFonts w:ascii="Times New Roman" w:hAnsi="Times New Roman" w:cs="Times New Roman"/>
              </w:rPr>
            </w:pPr>
            <w:r>
              <w:rPr>
                <w:rFonts w:ascii="Times New Roman" w:eastAsia="宋体" w:hAnsi="Times New Roman" w:cs="宋体"/>
              </w:rPr>
              <w:t>项目各阶段工作安排：</w:t>
            </w:r>
          </w:p>
          <w:p>
            <w:pPr>
              <w:ind w:firstLine="0"/>
              <w:rPr>
                <w:rFonts w:ascii="Times New Roman" w:hAnsi="Times New Roman" w:cs="Times New Roman"/>
              </w:rPr>
            </w:pPr>
            <w:r>
              <w:rPr>
                <w:rFonts w:ascii="Times New Roman" w:eastAsia="宋体" w:hAnsi="Times New Roman" w:cs="Times New Roman"/>
              </w:rPr>
              <w:t>1</w:t>
            </w:r>
            <w:r>
              <w:rPr>
                <w:rFonts w:ascii="Times New Roman" w:eastAsia="宋体" w:hAnsi="Times New Roman" w:cs="Times New Roman" w:hint="eastAsia"/>
              </w:rPr>
              <w:t>、</w:t>
            </w:r>
            <w:r>
              <w:rPr>
                <w:rFonts w:ascii="Times New Roman" w:eastAsia="宋体" w:hAnsi="Times New Roman" w:cs="宋体"/>
              </w:rPr>
              <w:t>需求分析：工期</w:t>
            </w:r>
            <w:r>
              <w:rPr>
                <w:rFonts w:ascii="Times New Roman" w:hAnsi="Times New Roman" w:cs="Times New Roman"/>
              </w:rPr>
              <w:t>1</w:t>
            </w:r>
            <w:r>
              <w:rPr>
                <w:rFonts w:ascii="Times New Roman" w:eastAsia="宋体" w:hAnsi="Times New Roman" w:cs="宋体"/>
              </w:rPr>
              <w:t>个月，合同签订后</w:t>
            </w:r>
            <w:r>
              <w:rPr>
                <w:rFonts w:ascii="Times New Roman" w:hAnsi="Times New Roman" w:cs="Times New Roman"/>
              </w:rPr>
              <w:t>1</w:t>
            </w:r>
            <w:r>
              <w:rPr>
                <w:rFonts w:ascii="Times New Roman" w:eastAsia="宋体" w:hAnsi="Times New Roman" w:cs="宋体"/>
              </w:rPr>
              <w:t>个月内完成</w:t>
            </w:r>
            <w:r>
              <w:rPr>
                <w:rFonts w:ascii="Times New Roman" w:eastAsia="宋体" w:hAnsi="Times New Roman" w:cs="宋体" w:hint="eastAsia"/>
              </w:rPr>
              <w:t>；</w:t>
            </w:r>
          </w:p>
          <w:p>
            <w:pPr>
              <w:ind w:firstLine="0"/>
              <w:rPr>
                <w:rFonts w:ascii="Times New Roman" w:hAnsi="Times New Roman" w:cs="Times New Roman"/>
              </w:rPr>
            </w:pPr>
            <w:r>
              <w:rPr>
                <w:rFonts w:ascii="Times New Roman" w:eastAsia="宋体" w:hAnsi="Times New Roman" w:cs="Times New Roman"/>
              </w:rPr>
              <w:t>2</w:t>
            </w:r>
            <w:r>
              <w:rPr>
                <w:rFonts w:ascii="Times New Roman" w:eastAsia="宋体" w:hAnsi="Times New Roman" w:cs="Times New Roman" w:hint="eastAsia"/>
              </w:rPr>
              <w:t>、</w:t>
            </w:r>
            <w:r>
              <w:rPr>
                <w:rFonts w:ascii="Times New Roman" w:eastAsia="宋体" w:hAnsi="Times New Roman" w:cs="宋体"/>
              </w:rPr>
              <w:t>方案设计：工期</w:t>
            </w:r>
            <w:r>
              <w:rPr>
                <w:rFonts w:ascii="Times New Roman" w:hAnsi="Times New Roman" w:cs="Times New Roman"/>
              </w:rPr>
              <w:t>0.5</w:t>
            </w:r>
            <w:r>
              <w:rPr>
                <w:rFonts w:ascii="Times New Roman" w:eastAsia="宋体" w:hAnsi="Times New Roman" w:cs="宋体"/>
              </w:rPr>
              <w:t>个月，合同签订后</w:t>
            </w:r>
            <w:r>
              <w:rPr>
                <w:rFonts w:ascii="Times New Roman" w:hAnsi="Times New Roman" w:cs="Times New Roman"/>
              </w:rPr>
              <w:t>1.5</w:t>
            </w:r>
            <w:r>
              <w:rPr>
                <w:rFonts w:ascii="Times New Roman" w:eastAsia="宋体" w:hAnsi="Times New Roman" w:cs="宋体"/>
              </w:rPr>
              <w:t>个月内完成</w:t>
            </w:r>
            <w:r>
              <w:rPr>
                <w:rFonts w:ascii="Times New Roman" w:eastAsia="宋体" w:hAnsi="Times New Roman" w:cs="宋体" w:hint="eastAsia"/>
              </w:rPr>
              <w:t>；</w:t>
            </w:r>
          </w:p>
          <w:p>
            <w:pPr>
              <w:ind w:firstLine="0"/>
              <w:rPr>
                <w:rFonts w:ascii="Times New Roman" w:hAnsi="Times New Roman" w:cs="Times New Roman"/>
              </w:rPr>
            </w:pPr>
            <w:r>
              <w:rPr>
                <w:rFonts w:ascii="Times New Roman" w:eastAsia="宋体" w:hAnsi="Times New Roman" w:cs="Times New Roman"/>
              </w:rPr>
              <w:t>3</w:t>
            </w:r>
            <w:r>
              <w:rPr>
                <w:rFonts w:ascii="Times New Roman" w:eastAsia="宋体" w:hAnsi="Times New Roman" w:cs="Times New Roman" w:hint="eastAsia"/>
              </w:rPr>
              <w:t>、</w:t>
            </w:r>
            <w:r>
              <w:rPr>
                <w:rFonts w:ascii="Times New Roman" w:eastAsia="宋体" w:hAnsi="Times New Roman" w:cs="宋体"/>
              </w:rPr>
              <w:t>开发测试：工期</w:t>
            </w:r>
            <w:r>
              <w:rPr>
                <w:rFonts w:ascii="Times New Roman" w:hAnsi="Times New Roman" w:cs="Times New Roman"/>
              </w:rPr>
              <w:t>5</w:t>
            </w:r>
            <w:r>
              <w:rPr>
                <w:rFonts w:ascii="Times New Roman" w:eastAsia="宋体" w:hAnsi="Times New Roman" w:cs="宋体"/>
              </w:rPr>
              <w:t>个月，合同签订后</w:t>
            </w:r>
            <w:r>
              <w:rPr>
                <w:rFonts w:ascii="Times New Roman" w:hAnsi="Times New Roman" w:cs="Times New Roman"/>
              </w:rPr>
              <w:t>6.5</w:t>
            </w:r>
            <w:r>
              <w:rPr>
                <w:rFonts w:ascii="Times New Roman" w:eastAsia="宋体" w:hAnsi="Times New Roman" w:cs="宋体"/>
              </w:rPr>
              <w:t>个月内完成</w:t>
            </w:r>
            <w:r>
              <w:rPr>
                <w:rFonts w:ascii="Times New Roman" w:eastAsia="宋体" w:hAnsi="Times New Roman" w:cs="宋体" w:hint="eastAsia"/>
              </w:rPr>
              <w:t>；</w:t>
            </w:r>
          </w:p>
          <w:p>
            <w:pPr>
              <w:ind w:firstLine="0"/>
              <w:rPr>
                <w:rFonts w:ascii="Times New Roman" w:hAnsi="Times New Roman" w:cs="Times New Roman"/>
              </w:rPr>
            </w:pPr>
            <w:r>
              <w:rPr>
                <w:rFonts w:ascii="Times New Roman" w:eastAsia="宋体" w:hAnsi="Times New Roman" w:cs="Times New Roman"/>
              </w:rPr>
              <w:t>4</w:t>
            </w:r>
            <w:r>
              <w:rPr>
                <w:rFonts w:ascii="Times New Roman" w:eastAsia="宋体" w:hAnsi="Times New Roman" w:cs="Times New Roman" w:hint="eastAsia"/>
              </w:rPr>
              <w:t>、</w:t>
            </w:r>
            <w:r>
              <w:rPr>
                <w:rFonts w:ascii="Times New Roman" w:eastAsia="宋体" w:hAnsi="Times New Roman" w:cs="宋体"/>
              </w:rPr>
              <w:t>联调业务测试：工期</w:t>
            </w:r>
            <w:r>
              <w:rPr>
                <w:rFonts w:ascii="Times New Roman" w:hAnsi="Times New Roman" w:cs="Times New Roman"/>
              </w:rPr>
              <w:t>2</w:t>
            </w:r>
            <w:r>
              <w:rPr>
                <w:rFonts w:ascii="Times New Roman" w:eastAsia="宋体" w:hAnsi="Times New Roman" w:cs="宋体"/>
              </w:rPr>
              <w:t>个月，合同签订后</w:t>
            </w:r>
            <w:r>
              <w:rPr>
                <w:rFonts w:ascii="Times New Roman" w:hAnsi="Times New Roman" w:cs="Times New Roman"/>
              </w:rPr>
              <w:t>8.5</w:t>
            </w:r>
            <w:r>
              <w:rPr>
                <w:rFonts w:ascii="Times New Roman" w:eastAsia="宋体" w:hAnsi="Times New Roman" w:cs="宋体"/>
              </w:rPr>
              <w:t>个月内完成</w:t>
            </w:r>
            <w:r>
              <w:rPr>
                <w:rFonts w:ascii="Times New Roman" w:eastAsia="宋体" w:hAnsi="Times New Roman" w:cs="宋体" w:hint="eastAsia"/>
              </w:rPr>
              <w:t>；</w:t>
            </w:r>
          </w:p>
          <w:p>
            <w:pPr>
              <w:ind w:firstLine="0"/>
              <w:rPr>
                <w:rFonts w:ascii="Times New Roman" w:hAnsi="Times New Roman" w:cs="Times New Roman"/>
              </w:rPr>
            </w:pPr>
            <w:r>
              <w:rPr>
                <w:rFonts w:ascii="Times New Roman" w:eastAsia="宋体" w:hAnsi="Times New Roman" w:cs="Times New Roman"/>
              </w:rPr>
              <w:t>5</w:t>
            </w:r>
            <w:r>
              <w:rPr>
                <w:rFonts w:ascii="Times New Roman" w:eastAsia="宋体" w:hAnsi="Times New Roman" w:cs="Times New Roman" w:hint="eastAsia"/>
              </w:rPr>
              <w:t>、</w:t>
            </w:r>
            <w:r>
              <w:rPr>
                <w:rFonts w:ascii="Times New Roman" w:eastAsia="宋体" w:hAnsi="Times New Roman" w:cs="宋体"/>
              </w:rPr>
              <w:t>上线部署：工期</w:t>
            </w:r>
            <w:r>
              <w:rPr>
                <w:rFonts w:ascii="Times New Roman" w:hAnsi="Times New Roman" w:cs="Times New Roman"/>
              </w:rPr>
              <w:t>0.5</w:t>
            </w:r>
            <w:r>
              <w:rPr>
                <w:rFonts w:ascii="Times New Roman" w:eastAsia="宋体" w:hAnsi="Times New Roman" w:cs="宋体"/>
              </w:rPr>
              <w:t>个月，合同签订后</w:t>
            </w:r>
            <w:r>
              <w:rPr>
                <w:rFonts w:ascii="Times New Roman" w:hAnsi="Times New Roman" w:cs="Times New Roman"/>
              </w:rPr>
              <w:t>9</w:t>
            </w:r>
            <w:r>
              <w:rPr>
                <w:rFonts w:ascii="Times New Roman" w:eastAsia="宋体" w:hAnsi="Times New Roman" w:cs="宋体"/>
              </w:rPr>
              <w:t>个月内完成</w:t>
            </w:r>
            <w:r>
              <w:rPr>
                <w:rFonts w:ascii="Times New Roman" w:eastAsia="宋体" w:hAnsi="Times New Roman" w:cs="宋体" w:hint="eastAsia"/>
              </w:rPr>
              <w:t>；</w:t>
            </w:r>
          </w:p>
          <w:p>
            <w:pPr>
              <w:ind w:firstLine="0"/>
              <w:rPr>
                <w:rFonts w:ascii="Times New Roman" w:eastAsia="宋体" w:hAnsi="Times New Roman" w:cs="宋体"/>
                <w:color w:val="000000"/>
              </w:rPr>
            </w:pPr>
            <w:r>
              <w:rPr>
                <w:rFonts w:ascii="Times New Roman" w:eastAsia="宋体" w:hAnsi="Times New Roman" w:cs="Times New Roman"/>
              </w:rPr>
              <w:t>6</w:t>
            </w:r>
            <w:r>
              <w:rPr>
                <w:rFonts w:ascii="Times New Roman" w:eastAsia="宋体" w:hAnsi="Times New Roman" w:cs="Times New Roman" w:hint="eastAsia"/>
              </w:rPr>
              <w:t>、</w:t>
            </w:r>
            <w:r>
              <w:rPr>
                <w:rFonts w:ascii="Times New Roman" w:eastAsia="宋体" w:hAnsi="Times New Roman" w:cs="宋体"/>
              </w:rPr>
              <w:t>试点运行：工期</w:t>
            </w:r>
            <w:r>
              <w:rPr>
                <w:rFonts w:ascii="Times New Roman" w:hAnsi="Times New Roman" w:cs="Times New Roman"/>
              </w:rPr>
              <w:t>1</w:t>
            </w:r>
            <w:r>
              <w:rPr>
                <w:rFonts w:ascii="Times New Roman" w:eastAsia="宋体" w:hAnsi="Times New Roman" w:cs="宋体"/>
              </w:rPr>
              <w:t>个月，合同签订</w:t>
            </w:r>
            <w:r>
              <w:rPr>
                <w:rFonts w:ascii="Times New Roman" w:eastAsia="宋体" w:hAnsi="Times New Roman" w:cs="宋体"/>
                <w:color w:val="000000"/>
              </w:rPr>
              <w:t>后</w:t>
            </w:r>
            <w:r>
              <w:rPr>
                <w:rFonts w:ascii="Times New Roman" w:hAnsi="Times New Roman" w:cs="Times New Roman"/>
                <w:color w:val="000000"/>
              </w:rPr>
              <w:t>10</w:t>
            </w:r>
            <w:r>
              <w:rPr>
                <w:rFonts w:ascii="Times New Roman" w:eastAsia="宋体" w:hAnsi="Times New Roman" w:cs="宋体"/>
                <w:color w:val="000000"/>
              </w:rPr>
              <w:t>个月内完成。</w:t>
            </w:r>
          </w:p>
          <w:p>
            <w:pPr>
              <w:ind w:firstLine="0"/>
              <w:rPr>
                <w:rFonts w:ascii="Times New Roman" w:eastAsia="宋体" w:hAnsi="Times New Roman"/>
              </w:rPr>
            </w:pPr>
            <w:r>
              <w:rPr>
                <w:rFonts w:ascii="Times New Roman" w:eastAsia="宋体" w:hAnsi="Times New Roman" w:cs="宋体" w:hint="eastAsia"/>
                <w:color w:val="000000"/>
              </w:rPr>
              <w:t>7、项目</w:t>
            </w:r>
            <w:r>
              <w:rPr>
                <w:rFonts w:ascii="Times New Roman" w:eastAsia="宋体" w:hAnsi="Times New Roman" w:cs="宋体"/>
                <w:color w:val="000000"/>
              </w:rPr>
              <w:t>优化及</w:t>
            </w:r>
            <w:r>
              <w:rPr>
                <w:rFonts w:ascii="Times New Roman" w:eastAsia="宋体" w:hAnsi="Times New Roman" w:cs="宋体" w:hint="eastAsia"/>
                <w:color w:val="000000"/>
              </w:rPr>
              <w:t>验收：</w:t>
            </w:r>
            <w:r>
              <w:rPr>
                <w:rFonts w:ascii="Times New Roman" w:eastAsia="宋体" w:hAnsi="Times New Roman" w:cs="宋体" w:hint="eastAsia"/>
              </w:rPr>
              <w:t>根据实际运行情况，对算法及应用进行调整优化，达到绩效指标要求后开展验收，</w:t>
            </w:r>
            <w:r>
              <w:rPr>
                <w:rFonts w:ascii="Times New Roman" w:eastAsia="宋体" w:hAnsi="Times New Roman" w:cs="宋体"/>
              </w:rPr>
              <w:t>合同签订后</w:t>
            </w:r>
            <w:r>
              <w:rPr>
                <w:rFonts w:ascii="Times New Roman" w:eastAsia="宋体" w:hAnsi="Times New Roman" w:cs="Times New Roman" w:hint="eastAsia"/>
              </w:rPr>
              <w:t>24</w:t>
            </w:r>
            <w:r>
              <w:rPr>
                <w:rFonts w:ascii="Times New Roman" w:eastAsia="宋体" w:hAnsi="Times New Roman" w:cs="宋体"/>
              </w:rPr>
              <w:t>个月内完成。</w:t>
            </w:r>
          </w:p>
        </w:tc>
        <w:tc>
          <w:tcPr>
            <w:tcW w:w="1685" w:type="dxa"/>
            <w:vAlign w:val="center"/>
          </w:tcPr>
          <w:p>
            <w:pPr>
              <w:ind w:firstLine="0"/>
              <w:jc w:val="center"/>
              <w:rPr>
                <w:rFonts w:ascii="Times New Roman" w:eastAsia="宋体" w:hAnsi="Times New Roman"/>
              </w:rPr>
            </w:pPr>
            <w:r>
              <w:rPr>
                <w:rFonts w:ascii="Times New Roman" w:eastAsia="宋体" w:hAnsi="Times New Roman" w:cs="宋体"/>
              </w:rPr>
              <w:t>是，提供《承诺函》并加盖单位公章</w:t>
            </w:r>
            <w:r>
              <w:rPr>
                <w:rFonts w:ascii="Times New Roman" w:eastAsia="宋体" w:hAnsi="Times New Roman" w:cs="宋体" w:hint="eastAsia"/>
              </w:rPr>
              <w:t>。</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5</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项目安装过程安排</w:t>
            </w:r>
          </w:p>
        </w:tc>
        <w:tc>
          <w:tcPr>
            <w:tcW w:w="1196" w:type="dxa"/>
            <w:vAlign w:val="center"/>
          </w:tcPr>
          <w:p>
            <w:pPr>
              <w:ind w:firstLine="0"/>
              <w:jc w:val="center"/>
              <w:rPr>
                <w:rFonts w:ascii="Times New Roman" w:eastAsia="宋体" w:hAnsi="Times New Roman"/>
              </w:rPr>
            </w:pPr>
          </w:p>
        </w:tc>
        <w:tc>
          <w:tcPr>
            <w:tcW w:w="3690" w:type="dxa"/>
          </w:tcPr>
          <w:p>
            <w:pPr>
              <w:ind w:firstLine="0"/>
              <w:rPr>
                <w:rFonts w:ascii="Times New Roman" w:eastAsia="宋体" w:hAnsi="Times New Roman" w:cs="方正仿宋_GBK"/>
                <w:lang w:bidi="en-US"/>
              </w:rPr>
            </w:pPr>
            <w:r>
              <w:rPr>
                <w:rFonts w:ascii="Times New Roman" w:eastAsia="宋体" w:hAnsi="Times New Roman" w:cs="方正仿宋_GBK" w:hint="eastAsia"/>
                <w:lang w:bidi="en-US"/>
              </w:rPr>
              <w:t>通过测试后，在海关正式环境进行部署安装。</w:t>
            </w:r>
          </w:p>
        </w:tc>
        <w:tc>
          <w:tcPr>
            <w:tcW w:w="1685" w:type="dxa"/>
            <w:vAlign w:val="center"/>
          </w:tcPr>
          <w:p>
            <w:pPr>
              <w:ind w:firstLine="0"/>
              <w:jc w:val="center"/>
              <w:rPr>
                <w:rFonts w:ascii="Times New Roman" w:eastAsia="宋体" w:hAnsi="Times New Roman"/>
              </w:rPr>
            </w:pPr>
            <w:r>
              <w:rPr>
                <w:rFonts w:ascii="Times New Roman" w:eastAsia="宋体" w:hAnsi="Times New Roman"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6</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项目验收安排</w:t>
            </w:r>
          </w:p>
        </w:tc>
        <w:tc>
          <w:tcPr>
            <w:tcW w:w="1196" w:type="dxa"/>
            <w:vAlign w:val="center"/>
          </w:tcPr>
          <w:p>
            <w:pPr>
              <w:ind w:firstLine="0"/>
              <w:jc w:val="center"/>
              <w:rPr>
                <w:rFonts w:ascii="Times New Roman" w:eastAsia="宋体" w:hAnsi="Times New Roman"/>
              </w:rPr>
            </w:pPr>
          </w:p>
        </w:tc>
        <w:tc>
          <w:tcPr>
            <w:tcW w:w="3690" w:type="dxa"/>
          </w:tcPr>
          <w:p>
            <w:pPr>
              <w:ind w:firstLine="0"/>
              <w:rPr>
                <w:rFonts w:ascii="Times New Roman" w:eastAsia="宋体" w:hAnsi="Times New Roman" w:cs="方正仿宋_GBK"/>
                <w:lang w:bidi="en-US"/>
              </w:rPr>
            </w:pPr>
            <w:r>
              <w:rPr>
                <w:rFonts w:ascii="Times New Roman" w:eastAsia="宋体" w:hAnsi="Times New Roman" w:cs="方正仿宋_GBK" w:hint="eastAsia"/>
                <w:lang w:bidi="en-US"/>
              </w:rPr>
              <w:t>系统验收合格的条件必须至少满足以下要求：</w:t>
            </w:r>
          </w:p>
          <w:p>
            <w:pPr>
              <w:ind w:firstLine="0"/>
              <w:rPr>
                <w:rFonts w:ascii="Times New Roman" w:eastAsia="宋体" w:hAnsi="Times New Roman" w:cs="方正仿宋_GBK"/>
                <w:lang w:bidi="en-US"/>
              </w:rPr>
            </w:pPr>
            <w:r>
              <w:rPr>
                <w:rFonts w:ascii="Times New Roman" w:eastAsia="宋体" w:hAnsi="Times New Roman" w:cs="方正仿宋_GBK" w:hint="eastAsia"/>
                <w:lang w:bidi="en-US"/>
              </w:rPr>
              <w:t>1、验收标准以双方达成的对质量和技术标准的约定、中标方承诺的质量和技术标准、国家或行业规定的相关质量和技术标准，且应充分满足海关使用要求。</w:t>
            </w:r>
          </w:p>
          <w:p>
            <w:pPr>
              <w:ind w:firstLine="0"/>
              <w:rPr>
                <w:rFonts w:ascii="Times New Roman" w:eastAsia="宋体" w:hAnsi="Times New Roman" w:cs="方正仿宋_GBK"/>
                <w:lang w:bidi="en-US"/>
              </w:rPr>
            </w:pPr>
            <w:r>
              <w:rPr>
                <w:rFonts w:ascii="Times New Roman" w:eastAsia="宋体" w:hAnsi="Times New Roman" w:cs="方正仿宋_GBK" w:hint="eastAsia"/>
                <w:lang w:bidi="en-US"/>
              </w:rPr>
              <w:t>2、系统总体功能、性能测试和验收时出现的问题已被解决；</w:t>
            </w:r>
          </w:p>
          <w:p>
            <w:pPr>
              <w:ind w:firstLine="0"/>
              <w:rPr>
                <w:rFonts w:ascii="Times New Roman" w:eastAsia="宋体" w:hAnsi="Times New Roman" w:cs="方正仿宋_GBK"/>
                <w:lang w:bidi="en-US"/>
              </w:rPr>
            </w:pPr>
            <w:r>
              <w:rPr>
                <w:rFonts w:ascii="Times New Roman" w:eastAsia="宋体" w:hAnsi="Times New Roman" w:cs="方正仿宋_GBK" w:hint="eastAsia"/>
                <w:lang w:bidi="en-US"/>
              </w:rPr>
              <w:t>3、已提供了合同的全部资料和软件；</w:t>
            </w:r>
          </w:p>
          <w:p>
            <w:pPr>
              <w:ind w:firstLine="0"/>
              <w:rPr>
                <w:rFonts w:ascii="Times New Roman" w:eastAsia="宋体" w:hAnsi="Times New Roman" w:cs="方正仿宋_GBK"/>
                <w:lang w:bidi="en-US"/>
              </w:rPr>
            </w:pPr>
            <w:r>
              <w:rPr>
                <w:rFonts w:ascii="Times New Roman" w:eastAsia="宋体" w:hAnsi="Times New Roman" w:cs="方正仿宋_GBK" w:hint="eastAsia"/>
                <w:lang w:bidi="en-US"/>
              </w:rPr>
              <w:t>4、移交与本项目有关的相关技术资料。项目成果以及由此形成的知识产权属海关所有，包括文档资料和程序等。具体验收由海关组织相关业务技术专家进行评审。中标方需承诺协助为工程验收提供相关服务。</w:t>
            </w:r>
          </w:p>
          <w:p>
            <w:pPr>
              <w:ind w:firstLine="0"/>
              <w:rPr>
                <w:rFonts w:ascii="Times New Roman" w:eastAsia="宋体" w:hAnsi="Times New Roman" w:cs="方正仿宋_GBK"/>
                <w:lang w:bidi="en-US"/>
              </w:rPr>
            </w:pPr>
            <w:r>
              <w:rPr>
                <w:rFonts w:ascii="Times New Roman" w:eastAsia="宋体" w:hAnsi="Times New Roman" w:cs="方正仿宋_GBK" w:hint="eastAsia"/>
                <w:lang w:bidi="en-US"/>
              </w:rPr>
              <w:t>5、完成上线部署和试点运行后，中标方提出验收申请，验收工作由海关组织。</w:t>
            </w:r>
          </w:p>
          <w:p>
            <w:pPr>
              <w:ind w:firstLine="0"/>
              <w:rPr>
                <w:rFonts w:ascii="Times New Roman" w:eastAsia="宋体" w:hAnsi="Times New Roman" w:cs="方正仿宋_GBK"/>
                <w:lang w:bidi="en-US"/>
              </w:rPr>
            </w:pPr>
            <w:r>
              <w:rPr>
                <w:rFonts w:ascii="Times New Roman" w:eastAsia="宋体" w:hAnsi="Times New Roman" w:cs="方正仿宋_GBK" w:hint="eastAsia"/>
                <w:lang w:bidi="en-US"/>
              </w:rPr>
              <w:t>6、海关认为必要时，可以邀请国家认可的质量检测机构参加验收工作，相关验收意见作为验收报告的参考资料。</w:t>
            </w:r>
          </w:p>
          <w:p>
            <w:pPr>
              <w:ind w:firstLine="0"/>
              <w:rPr>
                <w:rFonts w:ascii="Times New Roman" w:eastAsia="宋体" w:hAnsi="Times New Roman"/>
              </w:rPr>
            </w:pPr>
            <w:r>
              <w:rPr>
                <w:rFonts w:ascii="Times New Roman" w:eastAsia="宋体" w:hAnsi="Times New Roman" w:cs="方正仿宋_GBK" w:hint="eastAsia"/>
                <w:lang w:bidi="en-US"/>
              </w:rPr>
              <w:t>7、验收完成后海关将对项目履约情况及供应商服务质量的评价，评价结果作为项目验收、付款及赔补的依据之一。</w:t>
            </w:r>
          </w:p>
        </w:tc>
        <w:tc>
          <w:tcPr>
            <w:tcW w:w="1685" w:type="dxa"/>
            <w:vAlign w:val="center"/>
          </w:tcPr>
          <w:p>
            <w:pPr>
              <w:ind w:firstLine="0"/>
              <w:rPr>
                <w:rFonts w:ascii="Times New Roman" w:eastAsia="宋体" w:hAnsi="Times New Roman"/>
              </w:rPr>
            </w:pPr>
            <w:r>
              <w:rPr>
                <w:rFonts w:ascii="Times New Roman" w:eastAsia="宋体" w:hAnsi="Times New Roman"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7</w:t>
            </w:r>
          </w:p>
        </w:tc>
        <w:tc>
          <w:tcPr>
            <w:tcW w:w="1140" w:type="dxa"/>
            <w:vAlign w:val="center"/>
          </w:tcPr>
          <w:p>
            <w:pPr>
              <w:ind w:firstLine="0"/>
              <w:jc w:val="center"/>
              <w:rPr>
                <w:rFonts w:ascii="Times New Roman" w:eastAsia="宋体" w:hAnsi="Times New Roman"/>
              </w:rPr>
            </w:pPr>
            <w:r>
              <w:rPr>
                <w:rFonts w:ascii="Times New Roman" w:eastAsia="宋体" w:hAnsi="Times New Roman" w:hint="eastAsia"/>
              </w:rPr>
              <w:t>项目培训安排</w:t>
            </w:r>
          </w:p>
        </w:tc>
        <w:tc>
          <w:tcPr>
            <w:tcW w:w="1196" w:type="dxa"/>
            <w:vAlign w:val="center"/>
          </w:tcPr>
          <w:p>
            <w:pPr>
              <w:ind w:firstLine="0"/>
              <w:jc w:val="center"/>
              <w:rPr>
                <w:rFonts w:ascii="Times New Roman" w:eastAsia="宋体" w:hAnsi="Times New Roman"/>
              </w:rPr>
            </w:pPr>
          </w:p>
        </w:tc>
        <w:tc>
          <w:tcPr>
            <w:tcW w:w="3690" w:type="dxa"/>
          </w:tcPr>
          <w:p>
            <w:pPr>
              <w:ind w:firstLine="0"/>
              <w:rPr>
                <w:rFonts w:ascii="Times New Roman" w:eastAsia="宋体" w:hAnsi="Times New Roman"/>
              </w:rPr>
            </w:pPr>
            <w:r>
              <w:rPr>
                <w:rFonts w:ascii="Times New Roman" w:eastAsia="宋体" w:hAnsi="Times New Roman" w:cs="方正仿宋_GBK"/>
                <w:lang w:bidi="en-US"/>
              </w:rPr>
              <w:t>投标人必须分别列出产品及应用正常运行、管理和使用所需要的培训，包括培训的类别、培训人员与人数、培训课件、方式、时间等安排。投标人须承担培训方案、培训教材（纸质版和电子版）、师资力量及教师的交通、住宿、三餐的费用</w:t>
            </w:r>
            <w:r>
              <w:rPr>
                <w:rFonts w:ascii="Times New Roman" w:eastAsia="宋体" w:hAnsi="Times New Roman" w:cs="方正仿宋_GBK" w:hint="eastAsia"/>
                <w:lang w:bidi="en-US"/>
              </w:rPr>
              <w:t>。</w:t>
            </w:r>
          </w:p>
        </w:tc>
        <w:tc>
          <w:tcPr>
            <w:tcW w:w="1685" w:type="dxa"/>
            <w:vAlign w:val="center"/>
          </w:tcPr>
          <w:p>
            <w:pPr>
              <w:ind w:firstLine="0"/>
              <w:jc w:val="center"/>
              <w:rPr>
                <w:rFonts w:ascii="Times New Roman" w:eastAsia="宋体" w:hAnsi="Times New Roman"/>
              </w:rPr>
            </w:pPr>
            <w:r>
              <w:rPr>
                <w:rFonts w:ascii="Times New Roman" w:eastAsia="宋体" w:hAnsi="Times New Roman"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Times New Roman" w:eastAsia="宋体" w:hAnsi="Times New Roman"/>
              </w:rPr>
            </w:pPr>
            <w:r>
              <w:rPr>
                <w:rFonts w:ascii="Times New Roman" w:eastAsia="宋体" w:hAnsi="Times New Roman" w:hint="eastAsia"/>
              </w:rPr>
              <w:t>8</w:t>
            </w:r>
          </w:p>
        </w:tc>
        <w:tc>
          <w:tcPr>
            <w:tcW w:w="1140" w:type="dxa"/>
            <w:vAlign w:val="center"/>
          </w:tcPr>
          <w:p>
            <w:pPr>
              <w:ind w:firstLine="0"/>
              <w:jc w:val="center"/>
              <w:rPr>
                <w:rFonts w:ascii="Times New Roman" w:eastAsia="宋体" w:hAnsi="Times New Roman"/>
              </w:rPr>
            </w:pPr>
            <w:r>
              <w:rPr>
                <w:rFonts w:ascii="Times New Roman" w:eastAsia="宋体" w:hAnsi="Times New Roman"/>
              </w:rPr>
              <w:t>交付或实施地点</w:t>
            </w:r>
          </w:p>
        </w:tc>
        <w:tc>
          <w:tcPr>
            <w:tcW w:w="1196" w:type="dxa"/>
            <w:vAlign w:val="center"/>
          </w:tcPr>
          <w:p>
            <w:pPr>
              <w:ind w:firstLine="0"/>
              <w:jc w:val="center"/>
              <w:rPr>
                <w:rFonts w:ascii="Times New Roman" w:eastAsia="宋体" w:hAnsi="Times New Roman"/>
              </w:rPr>
            </w:pPr>
          </w:p>
        </w:tc>
        <w:tc>
          <w:tcPr>
            <w:tcW w:w="3690" w:type="dxa"/>
            <w:vAlign w:val="center"/>
          </w:tcPr>
          <w:p>
            <w:pPr>
              <w:ind w:firstLine="0"/>
              <w:rPr>
                <w:rFonts w:ascii="Times New Roman" w:eastAsia="宋体" w:hAnsi="Times New Roman"/>
              </w:rPr>
            </w:pPr>
            <w:r>
              <w:rPr>
                <w:rFonts w:ascii="Times New Roman" w:eastAsia="宋体" w:hAnsi="Times New Roman" w:hint="eastAsia"/>
              </w:rPr>
              <w:t>海关指定地点</w:t>
            </w:r>
          </w:p>
        </w:tc>
        <w:tc>
          <w:tcPr>
            <w:tcW w:w="1685" w:type="dxa"/>
            <w:vAlign w:val="center"/>
          </w:tcPr>
          <w:p>
            <w:pPr>
              <w:ind w:firstLine="0"/>
              <w:jc w:val="center"/>
              <w:rPr>
                <w:rFonts w:ascii="Times New Roman" w:eastAsia="宋体" w:hAnsi="Times New Roman"/>
              </w:rPr>
            </w:pPr>
            <w:r>
              <w:rPr>
                <w:rFonts w:ascii="Times New Roman" w:eastAsia="宋体" w:hAnsi="Times New Roman" w:hint="eastAsia"/>
              </w:rPr>
              <w:t>否</w:t>
            </w:r>
          </w:p>
        </w:tc>
      </w:tr>
    </w:tbl>
    <w:p>
      <w:pPr>
        <w:pStyle w:val="BodyText3"/>
        <w:rPr>
          <w:rFonts w:eastAsia="宋体"/>
          <w:color w:val="auto"/>
        </w:rPr>
      </w:pPr>
    </w:p>
    <w:p>
      <w:pPr>
        <w:pStyle w:val="Heading2"/>
        <w:numPr>
          <w:ilvl w:val="0"/>
          <w:numId w:val="2"/>
        </w:numPr>
        <w:rPr>
          <w:rFonts w:ascii="宋体" w:eastAsia="宋体" w:hint="eastAsia"/>
        </w:rPr>
      </w:pPr>
      <w:r>
        <w:rPr>
          <w:rFonts w:ascii="宋体" w:eastAsia="宋体" w:hint="eastAsia"/>
        </w:rPr>
        <w:t>其它内容</w:t>
      </w:r>
    </w:p>
    <w:p>
      <w:pPr>
        <w:rPr>
          <w:rFonts w:ascii="Times New Roman" w:eastAsia="宋体" w:hAnsi="Times New Roman"/>
        </w:rPr>
      </w:pPr>
      <w:r>
        <w:rPr>
          <w:rFonts w:ascii="Times New Roman" w:eastAsia="宋体" w:hAnsi="Times New Roman"/>
        </w:rPr>
        <w:t>1.</w:t>
      </w:r>
      <w:r>
        <w:rPr>
          <w:rFonts w:ascii="Times New Roman" w:eastAsia="宋体" w:hAnsi="Times New Roman" w:hint="eastAsia"/>
        </w:rPr>
        <w:t>业绩要求。</w:t>
      </w:r>
    </w:p>
    <w:p>
      <w:r>
        <w:rPr>
          <w:rFonts w:hint="eastAsia"/>
        </w:rPr>
        <w:t>投标人提供至本项目招标公告发布之日止（以合同签订日期为准）近三年内，与本项目同类技术支持服务项目业绩相关材料。</w:t>
      </w:r>
    </w:p>
    <w:p>
      <w:pPr>
        <w:pStyle w:val="10711"/>
        <w:ind w:left="0" w:firstLine="0"/>
        <w:rPr>
          <w:rFonts w:ascii="Times New Roman" w:eastAsia="宋体" w:hAnsi="Times New Roman"/>
        </w:rPr>
      </w:pPr>
      <w:r>
        <w:rPr>
          <w:rFonts w:ascii="Times New Roman" w:eastAsia="宋体" w:hAnsi="Times New Roman" w:hint="eastAsia"/>
        </w:rPr>
        <w:t>2.相关主观评审因素要求。</w:t>
      </w:r>
    </w:p>
    <w:p>
      <w:pPr>
        <w:rPr>
          <w:rFonts w:ascii="Times New Roman" w:eastAsia="宋体" w:hAnsi="Times New Roman"/>
        </w:rPr>
      </w:pPr>
      <w:r>
        <w:rPr>
          <w:rFonts w:ascii="Times New Roman" w:eastAsia="宋体" w:hAnsi="Times New Roman" w:hint="eastAsia"/>
        </w:rPr>
        <w:t>（1）功能性需求与非功能性需求分析，至少包括业务流程分析、业务需求分析、与关联系统的关系分析、性能需求分析、环境需求分析等内容。</w:t>
      </w:r>
    </w:p>
    <w:p>
      <w:pPr>
        <w:rPr>
          <w:rFonts w:ascii="Times New Roman" w:eastAsia="宋体" w:hAnsi="Times New Roman"/>
        </w:rPr>
      </w:pPr>
      <w:r>
        <w:rPr>
          <w:rFonts w:ascii="Times New Roman" w:eastAsia="宋体" w:hAnsi="Times New Roman" w:hint="eastAsia"/>
        </w:rPr>
        <w:t>（2）技术方案，至少包含总体架构、应用设计、数据架构、部署设计、安全设计、系统对接方案以及业务功能设计等内容。</w:t>
      </w:r>
    </w:p>
    <w:p>
      <w:pPr>
        <w:rPr>
          <w:rFonts w:ascii="Times New Roman" w:eastAsia="宋体" w:hAnsi="Times New Roman"/>
        </w:rPr>
      </w:pPr>
      <w:r>
        <w:rPr>
          <w:rFonts w:ascii="Times New Roman" w:eastAsia="宋体" w:hAnsi="Times New Roman" w:hint="eastAsia"/>
        </w:rPr>
        <w:t>（3）实施方案，包含但不限于如下内容：项目实施计划、项目实施进度及保障措施等内容。</w:t>
      </w:r>
    </w:p>
    <w:p>
      <w:pPr>
        <w:rPr>
          <w:rFonts w:ascii="Times New Roman" w:eastAsia="宋体" w:hAnsi="Times New Roman"/>
        </w:rPr>
      </w:pPr>
      <w:r>
        <w:rPr>
          <w:rFonts w:ascii="Times New Roman" w:eastAsia="宋体" w:hAnsi="Times New Roman" w:hint="eastAsia"/>
        </w:rPr>
        <w:t>（4）售后服务方案，包括</w:t>
      </w:r>
      <w:r>
        <w:rPr>
          <w:rFonts w:ascii="Times New Roman" w:eastAsia="宋体" w:hAnsi="Times New Roman" w:cs="Times New Roman"/>
        </w:rPr>
        <w:t>运维团队人员配置</w:t>
      </w:r>
      <w:r>
        <w:rPr>
          <w:rFonts w:ascii="Times New Roman" w:eastAsia="宋体" w:hAnsi="Times New Roman" w:cs="Times New Roman" w:hint="eastAsia"/>
        </w:rPr>
        <w:t>、</w:t>
      </w:r>
      <w:r>
        <w:rPr>
          <w:rFonts w:ascii="Times New Roman" w:eastAsia="宋体" w:hAnsi="Times New Roman" w:hint="eastAsia"/>
        </w:rPr>
        <w:t>技术支持、服务流程、运维保障及相关服务承诺等。</w:t>
      </w:r>
    </w:p>
    <w:p>
      <w:pPr>
        <w:rPr>
          <w:rFonts w:ascii="Times New Roman" w:eastAsia="宋体" w:hAnsi="Times New Roman"/>
        </w:rPr>
      </w:pPr>
      <w:r>
        <w:rPr>
          <w:rFonts w:ascii="Times New Roman" w:eastAsia="宋体" w:hAnsi="Times New Roman" w:hint="eastAsia"/>
        </w:rPr>
        <w:t>3.技术服务需求响应程度表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788"/>
        <w:gridCol w:w="5772"/>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3"/>
              <w:ind w:firstLine="0"/>
              <w:jc w:val="center"/>
              <w:rPr>
                <w:rFonts w:ascii="宋体" w:hint="eastAsia"/>
                <w:sz w:val="21"/>
                <w:szCs w:val="21"/>
              </w:rPr>
            </w:pPr>
            <w:r>
              <w:rPr>
                <w:rFonts w:ascii="宋体" w:hint="eastAsia"/>
                <w:sz w:val="21"/>
                <w:szCs w:val="21"/>
              </w:rPr>
              <w:t>序号</w:t>
            </w:r>
          </w:p>
        </w:tc>
        <w:tc>
          <w:tcPr>
            <w:tcW w:w="1140" w:type="dxa"/>
          </w:tcPr>
          <w:p>
            <w:pPr>
              <w:pStyle w:val="250"/>
              <w:ind w:firstLine="0"/>
              <w:jc w:val="center"/>
              <w:rPr>
                <w:rFonts w:ascii="宋体" w:hint="eastAsia"/>
                <w:sz w:val="21"/>
                <w:szCs w:val="21"/>
              </w:rPr>
            </w:pPr>
            <w:r>
              <w:rPr>
                <w:rFonts w:ascii="宋体" w:hint="eastAsia"/>
                <w:sz w:val="21"/>
                <w:szCs w:val="21"/>
              </w:rPr>
              <w:t>内容</w:t>
            </w:r>
          </w:p>
        </w:tc>
        <w:tc>
          <w:tcPr>
            <w:tcW w:w="788" w:type="dxa"/>
          </w:tcPr>
          <w:p>
            <w:pPr>
              <w:pStyle w:val="268"/>
              <w:ind w:firstLine="0"/>
              <w:jc w:val="center"/>
              <w:rPr>
                <w:rFonts w:ascii="宋体" w:hint="eastAsia"/>
                <w:sz w:val="21"/>
                <w:szCs w:val="21"/>
              </w:rPr>
            </w:pPr>
            <w:r>
              <w:rPr>
                <w:rFonts w:ascii="宋体" w:hint="eastAsia"/>
                <w:sz w:val="21"/>
                <w:szCs w:val="21"/>
              </w:rPr>
              <w:t>数量</w:t>
            </w:r>
          </w:p>
        </w:tc>
        <w:tc>
          <w:tcPr>
            <w:tcW w:w="5772" w:type="dxa"/>
          </w:tcPr>
          <w:p>
            <w:pPr>
              <w:pStyle w:val="270"/>
              <w:ind w:firstLine="0"/>
              <w:jc w:val="center"/>
              <w:rPr>
                <w:rFonts w:ascii="宋体" w:hint="eastAsia"/>
                <w:sz w:val="21"/>
                <w:szCs w:val="21"/>
              </w:rPr>
            </w:pPr>
            <w:r>
              <w:rPr>
                <w:rFonts w:ascii="宋体" w:hint="eastAsia"/>
                <w:sz w:val="21"/>
                <w:szCs w:val="21"/>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9"/>
              <w:ind w:firstLine="0"/>
              <w:jc w:val="center"/>
              <w:rPr>
                <w:rFonts w:ascii="宋体" w:hint="eastAsia"/>
                <w:sz w:val="21"/>
                <w:szCs w:val="21"/>
              </w:rPr>
            </w:pPr>
            <w:r>
              <w:rPr>
                <w:rFonts w:ascii="宋体" w:hint="eastAsia"/>
                <w:sz w:val="21"/>
                <w:szCs w:val="21"/>
              </w:rPr>
              <w:t>1</w:t>
            </w:r>
          </w:p>
        </w:tc>
        <w:tc>
          <w:tcPr>
            <w:tcW w:w="1140" w:type="dxa"/>
            <w:vAlign w:val="center"/>
          </w:tcPr>
          <w:p>
            <w:pPr>
              <w:pStyle w:val="819"/>
              <w:ind w:firstLine="0"/>
              <w:jc w:val="center"/>
              <w:rPr>
                <w:rFonts w:ascii="宋体" w:hint="eastAsia"/>
                <w:sz w:val="21"/>
                <w:szCs w:val="21"/>
              </w:rPr>
            </w:pPr>
            <w:r>
              <w:rPr>
                <w:rFonts w:ascii="宋体" w:hint="eastAsia"/>
                <w:sz w:val="21"/>
                <w:szCs w:val="21"/>
              </w:rPr>
              <w:t>重要指标项</w:t>
            </w:r>
          </w:p>
        </w:tc>
        <w:tc>
          <w:tcPr>
            <w:tcW w:w="788" w:type="dxa"/>
            <w:vAlign w:val="center"/>
          </w:tcPr>
          <w:p>
            <w:pPr>
              <w:ind w:firstLine="0"/>
              <w:jc w:val="center"/>
              <w:rPr>
                <w:rFonts w:ascii="宋体" w:eastAsia="宋体" w:hint="eastAsia"/>
                <w:sz w:val="21"/>
                <w:szCs w:val="21"/>
              </w:rPr>
            </w:pPr>
            <w:r>
              <w:rPr>
                <w:rFonts w:ascii="宋体" w:eastAsia="宋体" w:hint="eastAsia"/>
                <w:sz w:val="21"/>
                <w:szCs w:val="21"/>
              </w:rPr>
              <w:t>35</w:t>
            </w:r>
          </w:p>
        </w:tc>
        <w:tc>
          <w:tcPr>
            <w:tcW w:w="5772" w:type="dxa"/>
          </w:tcPr>
          <w:p>
            <w:pPr>
              <w:ind w:firstLine="0"/>
              <w:rPr>
                <w:rFonts w:ascii="宋体" w:eastAsia="宋体" w:hint="eastAsia"/>
                <w:sz w:val="21"/>
                <w:szCs w:val="21"/>
              </w:rPr>
            </w:pPr>
            <w:r>
              <w:rPr>
                <w:rFonts w:ascii="宋体" w:eastAsia="宋体" w:hint="eastAsia"/>
                <w:sz w:val="21"/>
                <w:szCs w:val="21"/>
              </w:rPr>
              <w:t xml:space="preserve">分别为：          </w:t>
            </w:r>
          </w:p>
          <w:p>
            <w:pPr>
              <w:ind w:firstLine="0"/>
              <w:rPr>
                <w:rFonts w:ascii="宋体" w:eastAsia="宋体" w:hint="eastAsia"/>
                <w:sz w:val="21"/>
                <w:szCs w:val="21"/>
              </w:rPr>
            </w:pPr>
            <w:r>
              <w:rPr>
                <w:rFonts w:ascii="宋体" w:eastAsia="宋体" w:hint="eastAsia"/>
                <w:sz w:val="21"/>
                <w:szCs w:val="21"/>
              </w:rPr>
              <w:t>六、货物或服务指标要求32个：第35项1个，第4、5、6、9、14、30项各2个，第2、15项各3个，第3、8项各4个，第31项5个。</w:t>
            </w:r>
          </w:p>
          <w:p>
            <w:pPr>
              <w:ind w:firstLine="0"/>
              <w:rPr>
                <w:rFonts w:ascii="宋体" w:eastAsia="宋体" w:hint="eastAsia"/>
                <w:sz w:val="21"/>
                <w:szCs w:val="21"/>
              </w:rPr>
            </w:pPr>
            <w:r>
              <w:rPr>
                <w:rFonts w:ascii="宋体" w:eastAsia="宋体" w:hint="eastAsia"/>
                <w:sz w:val="21"/>
                <w:szCs w:val="21"/>
              </w:rPr>
              <w:t>七、服务要求3个：第1、2、3项各1个。</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9"/>
              <w:ind w:firstLine="0"/>
              <w:jc w:val="center"/>
              <w:rPr>
                <w:rFonts w:ascii="宋体" w:hint="eastAsia"/>
                <w:sz w:val="21"/>
                <w:szCs w:val="21"/>
              </w:rPr>
            </w:pPr>
            <w:r>
              <w:rPr>
                <w:rFonts w:ascii="宋体" w:hint="eastAsia"/>
                <w:sz w:val="21"/>
                <w:szCs w:val="21"/>
              </w:rPr>
              <w:t>2</w:t>
            </w:r>
          </w:p>
        </w:tc>
        <w:tc>
          <w:tcPr>
            <w:tcW w:w="1140" w:type="dxa"/>
            <w:vAlign w:val="center"/>
          </w:tcPr>
          <w:p>
            <w:pPr>
              <w:pStyle w:val="819"/>
              <w:ind w:firstLine="0"/>
              <w:jc w:val="center"/>
              <w:rPr>
                <w:rFonts w:ascii="宋体" w:hint="eastAsia"/>
                <w:sz w:val="21"/>
                <w:szCs w:val="21"/>
              </w:rPr>
            </w:pPr>
            <w:r>
              <w:rPr>
                <w:rFonts w:ascii="宋体" w:hint="eastAsia"/>
                <w:sz w:val="21"/>
                <w:szCs w:val="21"/>
              </w:rPr>
              <w:t>一般指标项</w:t>
            </w:r>
          </w:p>
        </w:tc>
        <w:tc>
          <w:tcPr>
            <w:tcW w:w="788" w:type="dxa"/>
            <w:vAlign w:val="center"/>
          </w:tcPr>
          <w:p>
            <w:pPr>
              <w:ind w:firstLine="0"/>
              <w:jc w:val="center"/>
              <w:rPr>
                <w:rFonts w:ascii="宋体" w:eastAsia="宋体" w:hint="eastAsia"/>
                <w:sz w:val="21"/>
                <w:szCs w:val="21"/>
              </w:rPr>
            </w:pPr>
            <w:r>
              <w:rPr>
                <w:rFonts w:ascii="宋体" w:eastAsia="宋体" w:hint="eastAsia"/>
                <w:sz w:val="21"/>
                <w:szCs w:val="21"/>
              </w:rPr>
              <w:t>77</w:t>
            </w:r>
          </w:p>
        </w:tc>
        <w:tc>
          <w:tcPr>
            <w:tcW w:w="5772" w:type="dxa"/>
          </w:tcPr>
          <w:p>
            <w:pPr>
              <w:ind w:firstLine="0"/>
              <w:rPr>
                <w:rFonts w:ascii="宋体" w:eastAsia="宋体" w:hint="eastAsia"/>
                <w:sz w:val="21"/>
                <w:szCs w:val="21"/>
              </w:rPr>
            </w:pPr>
            <w:r>
              <w:rPr>
                <w:rFonts w:ascii="宋体" w:eastAsia="宋体" w:hint="eastAsia"/>
                <w:sz w:val="21"/>
                <w:szCs w:val="21"/>
              </w:rPr>
              <w:t xml:space="preserve">分别为：           </w:t>
            </w:r>
          </w:p>
          <w:p>
            <w:pPr>
              <w:ind w:firstLine="0"/>
              <w:rPr>
                <w:rFonts w:ascii="宋体" w:eastAsia="宋体" w:hint="eastAsia"/>
                <w:sz w:val="21"/>
                <w:szCs w:val="21"/>
              </w:rPr>
            </w:pPr>
            <w:r>
              <w:rPr>
                <w:rFonts w:ascii="宋体" w:eastAsia="宋体" w:hint="eastAsia"/>
                <w:sz w:val="21"/>
                <w:szCs w:val="21"/>
              </w:rPr>
              <w:t>四、项目概述2个：第3、4项各1个。</w:t>
            </w:r>
          </w:p>
          <w:p>
            <w:pPr>
              <w:ind w:firstLine="0"/>
              <w:rPr>
                <w:rFonts w:ascii="宋体" w:eastAsia="宋体" w:hint="eastAsia"/>
                <w:sz w:val="21"/>
                <w:szCs w:val="21"/>
              </w:rPr>
            </w:pPr>
            <w:r>
              <w:rPr>
                <w:rFonts w:ascii="宋体" w:eastAsia="宋体" w:hint="eastAsia"/>
                <w:sz w:val="21"/>
                <w:szCs w:val="21"/>
              </w:rPr>
              <w:t>五、集成需求10个：第1项2个，第2项6个，第3项2个。</w:t>
            </w:r>
          </w:p>
          <w:p>
            <w:pPr>
              <w:ind w:firstLine="0"/>
              <w:rPr>
                <w:rFonts w:ascii="宋体" w:eastAsia="宋体" w:hint="eastAsia"/>
                <w:sz w:val="21"/>
                <w:szCs w:val="21"/>
              </w:rPr>
            </w:pPr>
            <w:r>
              <w:rPr>
                <w:rFonts w:ascii="宋体" w:eastAsia="宋体" w:hint="eastAsia"/>
                <w:sz w:val="21"/>
                <w:szCs w:val="21"/>
              </w:rPr>
              <w:t>六、货物</w:t>
            </w:r>
            <w:r>
              <w:rPr>
                <w:rFonts w:ascii="宋体" w:eastAsia="宋体"/>
                <w:sz w:val="21"/>
                <w:szCs w:val="21"/>
              </w:rPr>
              <w:t>或</w:t>
            </w:r>
            <w:r>
              <w:rPr>
                <w:rFonts w:ascii="宋体" w:eastAsia="宋体" w:hint="eastAsia"/>
                <w:sz w:val="21"/>
                <w:szCs w:val="21"/>
              </w:rPr>
              <w:t>服务指标要求45个：</w:t>
            </w:r>
          </w:p>
          <w:p>
            <w:pPr>
              <w:ind w:firstLine="0"/>
              <w:rPr>
                <w:rFonts w:ascii="宋体" w:eastAsia="宋体" w:hint="eastAsia"/>
                <w:sz w:val="21"/>
                <w:szCs w:val="21"/>
              </w:rPr>
            </w:pPr>
            <w:r>
              <w:rPr>
                <w:rFonts w:ascii="宋体" w:eastAsia="宋体" w:hint="eastAsia"/>
                <w:sz w:val="21"/>
                <w:szCs w:val="21"/>
              </w:rPr>
              <w:t>第11、12、13、17、18、19、22、23、24、25、26、27、28、29、33、38、40、41项各1个，第7、10、16、21、32、34、37项各2个，第1、20项各4个，第36项5个。</w:t>
            </w:r>
          </w:p>
          <w:p>
            <w:pPr>
              <w:ind w:firstLine="0"/>
              <w:rPr>
                <w:rFonts w:ascii="宋体" w:eastAsia="宋体" w:hint="eastAsia"/>
                <w:sz w:val="21"/>
                <w:szCs w:val="21"/>
              </w:rPr>
            </w:pPr>
            <w:r>
              <w:rPr>
                <w:rFonts w:ascii="宋体" w:eastAsia="宋体" w:hint="eastAsia"/>
                <w:sz w:val="21"/>
                <w:szCs w:val="21"/>
              </w:rPr>
              <w:t>七、服务要求4个：第7、8项各1个、第5项2个。</w:t>
            </w:r>
          </w:p>
          <w:p>
            <w:pPr>
              <w:ind w:firstLine="0"/>
              <w:rPr>
                <w:rFonts w:ascii="宋体" w:eastAsia="宋体" w:hint="eastAsia"/>
                <w:sz w:val="21"/>
                <w:szCs w:val="21"/>
              </w:rPr>
            </w:pPr>
            <w:r>
              <w:rPr>
                <w:rFonts w:ascii="宋体" w:eastAsia="宋体" w:hint="eastAsia"/>
                <w:sz w:val="21"/>
                <w:szCs w:val="21"/>
              </w:rPr>
              <w:t>八、实施要求16个：第1、5、7、8项各1个，第2项2个，第3项3个，第6项7个。</w:t>
            </w:r>
          </w:p>
        </w:tc>
      </w:tr>
    </w:tbl>
    <w:p>
      <w:pPr>
        <w:pStyle w:val="3611"/>
        <w:rPr>
          <w:rFonts w:ascii="宋体" w:eastAsia="宋体" w:hint="eastAsia"/>
          <w:b/>
          <w:bCs/>
          <w:sz w:val="21"/>
          <w:szCs w:val="21"/>
        </w:rPr>
      </w:pPr>
      <w:r>
        <w:rPr>
          <w:rFonts w:ascii="宋体" w:eastAsia="宋体" w:hint="eastAsia"/>
          <w:b/>
          <w:bCs/>
          <w:sz w:val="21"/>
          <w:szCs w:val="21"/>
        </w:rPr>
        <w:t>备注：</w:t>
      </w:r>
    </w:p>
    <w:p>
      <w:pPr>
        <w:pStyle w:val="3611"/>
        <w:rPr>
          <w:rFonts w:ascii="宋体" w:eastAsia="宋体" w:hint="eastAsia"/>
          <w:sz w:val="21"/>
          <w:szCs w:val="21"/>
        </w:rPr>
      </w:pPr>
      <w:r>
        <w:rPr>
          <w:rFonts w:ascii="宋体" w:eastAsia="宋体" w:hint="eastAsia"/>
          <w:sz w:val="21"/>
          <w:szCs w:val="21"/>
        </w:rPr>
        <w:t>①表格内容填写完整、规范，确保无缺漏项。</w:t>
      </w:r>
    </w:p>
    <w:p>
      <w:pPr>
        <w:pStyle w:val="37"/>
        <w:rPr>
          <w:rFonts w:hint="eastAsia"/>
          <w:sz w:val="21"/>
          <w:szCs w:val="21"/>
        </w:rPr>
      </w:pPr>
      <w:r>
        <w:rPr>
          <w:rFonts w:hint="eastAsia"/>
          <w:sz w:val="21"/>
          <w:szCs w:val="21"/>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pStyle w:val="37"/>
        <w:rPr>
          <w:rFonts w:hint="eastAsia"/>
          <w:sz w:val="21"/>
          <w:szCs w:val="21"/>
        </w:rPr>
      </w:pPr>
      <w:r>
        <w:rPr>
          <w:rFonts w:hint="eastAsia"/>
          <w:sz w:val="21"/>
          <w:szCs w:val="21"/>
        </w:rPr>
        <w:t>③需统计重要指标项和一般指标项数量，并分别填入《技术服务需求响应程度表》。</w:t>
      </w:r>
    </w:p>
    <w:p>
      <w:pPr>
        <w:rPr>
          <w:rFonts w:ascii="宋体" w:hint="eastAsia"/>
          <w:color w:val="0000FF"/>
          <w:szCs w:val="21"/>
          <w:lang w:val="en-US" w:eastAsia="zh-CN"/>
        </w:rPr>
      </w:pPr>
      <w:bookmarkEnd w:id="30"/>
    </w:p>
    <w:p>
      <w:pPr>
        <w:rPr>
          <w:rFonts w:ascii="宋体" w:hint="eastAsia"/>
          <w:szCs w:val="21"/>
          <w:highlight w:val="white"/>
        </w:rPr>
      </w:pPr>
    </w:p>
    <w:p>
      <w:pPr>
        <w:pStyle w:val="Heading1"/>
        <w:rPr>
          <w:rFonts w:ascii="宋体" w:hint="eastAsia"/>
          <w:sz w:val="21"/>
          <w:szCs w:val="21"/>
        </w:rPr>
      </w:pPr>
      <w:r>
        <w:rPr>
          <w:rFonts w:ascii="宋体" w:hint="eastAsia"/>
          <w:sz w:val="21"/>
          <w:szCs w:val="21"/>
          <w:highlight w:val="white"/>
        </w:rPr>
        <w:br w:type="page"/>
      </w:r>
      <w:bookmarkStart w:id="51" w:name="_Toc65406666"/>
      <w:r>
        <w:rPr>
          <w:rFonts w:ascii="宋体" w:hint="eastAsia"/>
          <w:sz w:val="21"/>
          <w:szCs w:val="21"/>
          <w:highlight w:val="white"/>
        </w:rPr>
        <w:t>第四部分  评</w:t>
      </w:r>
      <w:r>
        <w:rPr>
          <w:rFonts w:ascii="宋体" w:hint="eastAsia"/>
          <w:sz w:val="21"/>
          <w:szCs w:val="21"/>
          <w:highlight w:val="white"/>
          <w:lang w:eastAsia="zh-CN"/>
        </w:rPr>
        <w:t>审</w:t>
      </w:r>
      <w:r>
        <w:rPr>
          <w:rFonts w:ascii="宋体" w:hint="eastAsia"/>
          <w:sz w:val="21"/>
          <w:szCs w:val="21"/>
          <w:highlight w:val="white"/>
        </w:rPr>
        <w:t>标准</w:t>
      </w:r>
      <w:bookmarkEnd w:id="51"/>
    </w:p>
    <w:p>
      <w:pPr>
        <w:rPr>
          <w:rFonts w:ascii="宋体" w:hint="eastAsia"/>
          <w:szCs w:val="21"/>
        </w:rPr>
      </w:pPr>
      <w:bookmarkStart w:id="52" w:name="插入_评审标准"/>
      <w:r>
        <w:rPr>
          <w:rFonts w:ascii="宋体" w:hint="eastAsia"/>
          <w:szCs w:val="21"/>
        </w:rPr>
        <w:t>包1</w:t>
      </w:r>
    </w:p>
    <w:p>
      <w:pPr>
        <w:rPr>
          <w:rFonts w:ascii="宋体" w:hint="eastAsia"/>
          <w:szCs w:val="21"/>
        </w:rPr>
      </w:pPr>
      <w:r>
        <w:rPr>
          <w:rFonts w:ascii="宋体" w:hint="eastAsia"/>
          <w:szCs w:val="21"/>
        </w:rP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pPr>
              <w:rPr>
                <w:rFonts w:ascii="宋体" w:hint="eastAsia"/>
                <w:szCs w:val="21"/>
              </w:rPr>
            </w:pPr>
            <w:r>
              <w:rPr>
                <w:rFonts w:ascii="宋体" w:hint="eastAsia"/>
                <w:szCs w:val="21"/>
              </w:rPr>
              <w:t>评审分类</w:t>
            </w:r>
          </w:p>
        </w:tc>
        <w:tc>
          <w:tcPr>
            <w:tcW w:w="7093" w:type="dxa"/>
          </w:tcPr>
          <w:p>
            <w:pPr>
              <w:rPr>
                <w:rFonts w:ascii="宋体" w:hint="eastAsia"/>
                <w:szCs w:val="21"/>
              </w:rPr>
            </w:pPr>
            <w:r>
              <w:rPr>
                <w:rFonts w:ascii="宋体" w:hint="eastAsia"/>
                <w:szCs w:val="21"/>
              </w:rP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pPr>
              <w:rPr>
                <w:rFonts w:ascii="宋体" w:hint="eastAsia"/>
                <w:szCs w:val="21"/>
              </w:rPr>
            </w:pPr>
            <w:r>
              <w:rPr>
                <w:rFonts w:ascii="宋体" w:hint="eastAsia"/>
                <w:szCs w:val="21"/>
              </w:rPr>
              <w:t>符合性审查指标</w:t>
            </w:r>
          </w:p>
        </w:tc>
        <w:tc>
          <w:tcPr>
            <w:tcW w:w="7093" w:type="dxa"/>
          </w:tcPr>
          <w:p>
            <w:pPr>
              <w:rPr>
                <w:rFonts w:ascii="宋体" w:hint="eastAsia"/>
                <w:szCs w:val="21"/>
              </w:rPr>
            </w:pPr>
            <w:r>
              <w:rPr>
                <w:rFonts w:ascii="宋体" w:hint="eastAsia"/>
                <w:szCs w:val="21"/>
              </w:rP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pPr>
              <w:rPr>
                <w:rFonts w:ascii="宋体" w:hint="eastAsia"/>
                <w:szCs w:val="21"/>
              </w:rPr>
            </w:pPr>
            <w:r>
              <w:rPr>
                <w:rFonts w:ascii="宋体" w:hint="eastAsia"/>
                <w:szCs w:val="21"/>
              </w:rP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pPr>
              <w:rPr>
                <w:rFonts w:ascii="宋体" w:hint="eastAsia"/>
                <w:szCs w:val="21"/>
              </w:rPr>
            </w:pPr>
            <w:r>
              <w:rPr>
                <w:rFonts w:ascii="宋体" w:hint="eastAsia"/>
                <w:szCs w:val="21"/>
              </w:rP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pPr>
              <w:rPr>
                <w:rFonts w:ascii="宋体" w:hint="eastAsia"/>
                <w:szCs w:val="21"/>
              </w:rPr>
            </w:pPr>
            <w:r>
              <w:rPr>
                <w:rFonts w:ascii="宋体" w:hint="eastAsia"/>
                <w:szCs w:val="21"/>
              </w:rP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pPr>
              <w:rPr>
                <w:rFonts w:ascii="宋体" w:hint="eastAsia"/>
                <w:szCs w:val="21"/>
              </w:rPr>
            </w:pPr>
            <w:r>
              <w:rPr>
                <w:rFonts w:ascii="宋体" w:hint="eastAsia"/>
                <w:szCs w:val="21"/>
              </w:rP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pPr>
              <w:rPr>
                <w:rFonts w:ascii="宋体" w:hint="eastAsia"/>
                <w:szCs w:val="21"/>
              </w:rPr>
            </w:pPr>
            <w:r>
              <w:rPr>
                <w:rFonts w:ascii="宋体" w:hint="eastAsia"/>
                <w:szCs w:val="21"/>
              </w:rP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pPr>
              <w:rPr>
                <w:rFonts w:ascii="宋体" w:hint="eastAsia"/>
                <w:szCs w:val="21"/>
              </w:rPr>
            </w:pPr>
            <w:r>
              <w:rPr>
                <w:rFonts w:ascii="宋体" w:hint="eastAsia"/>
                <w:szCs w:val="21"/>
              </w:rP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pPr>
              <w:rPr>
                <w:rFonts w:ascii="宋体" w:hint="eastAsia"/>
                <w:szCs w:val="21"/>
              </w:rPr>
            </w:pPr>
            <w:r>
              <w:rPr>
                <w:rFonts w:ascii="宋体" w:hint="eastAsia"/>
                <w:szCs w:val="21"/>
              </w:rP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pPr>
              <w:rPr>
                <w:rFonts w:ascii="宋体" w:hint="eastAsia"/>
                <w:szCs w:val="21"/>
              </w:rPr>
            </w:pPr>
            <w:r>
              <w:rPr>
                <w:rFonts w:ascii="宋体" w:hint="eastAsia"/>
                <w:szCs w:val="21"/>
              </w:rP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pPr>
              <w:rPr>
                <w:rFonts w:ascii="宋体" w:hint="eastAsia"/>
                <w:szCs w:val="21"/>
              </w:rPr>
            </w:pPr>
            <w:r>
              <w:rPr>
                <w:rFonts w:ascii="宋体" w:hint="eastAsia"/>
                <w:szCs w:val="21"/>
              </w:rP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pPr>
              <w:rPr>
                <w:rFonts w:ascii="宋体" w:hint="eastAsia"/>
                <w:szCs w:val="21"/>
              </w:rPr>
            </w:pPr>
            <w:r>
              <w:rPr>
                <w:rFonts w:ascii="宋体" w:hint="eastAsia"/>
                <w:szCs w:val="21"/>
              </w:rPr>
              <w:t>法律、法规、招标文件规定的其他无效投标情形</w:t>
            </w:r>
          </w:p>
        </w:tc>
      </w:tr>
    </w:tbl>
    <w:p>
      <w:pPr>
        <w:rPr>
          <w:rFonts w:ascii="宋体" w:hint="eastAsia"/>
          <w:szCs w:val="21"/>
        </w:rPr>
      </w:pPr>
      <w:r>
        <w:rPr>
          <w:rFonts w:ascii="宋体" w:hint="eastAsia"/>
          <w:szCs w:val="21"/>
        </w:rPr>
        <w:t>详细评审标准</w:t>
      </w:r>
    </w:p>
    <w:p>
      <w:pPr>
        <w:rPr>
          <w:rFonts w:ascii="宋体" w:hint="eastAsia"/>
          <w:szCs w:val="21"/>
        </w:rPr>
      </w:pPr>
      <w:r>
        <w:rPr>
          <w:rFonts w:ascii="宋体" w:hint="eastAsia"/>
          <w:szCs w:val="21"/>
        </w:rPr>
        <w:t>评审办法:综合评分法</w:t>
      </w:r>
    </w:p>
    <w:tbl>
      <w:tblPr>
        <w:tblW w:w="5235"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28"/>
        <w:gridCol w:w="795"/>
        <w:gridCol w:w="6657"/>
        <w:gridCol w:w="852"/>
      </w:tblGrid>
      <w:tr>
        <w:tblPrEx>
          <w:tblW w:w="5235"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628" w:type="dxa"/>
          </w:tcPr>
          <w:p>
            <w:pPr>
              <w:rPr>
                <w:rFonts w:ascii="宋体" w:hint="eastAsia"/>
                <w:szCs w:val="21"/>
              </w:rPr>
            </w:pPr>
            <w:r>
              <w:rPr>
                <w:rFonts w:ascii="宋体" w:hint="eastAsia"/>
                <w:szCs w:val="21"/>
              </w:rPr>
              <w:t>主客观项</w:t>
            </w:r>
          </w:p>
        </w:tc>
        <w:tc>
          <w:tcPr>
            <w:tcW w:w="795" w:type="dxa"/>
          </w:tcPr>
          <w:p>
            <w:pPr>
              <w:rPr>
                <w:rFonts w:ascii="宋体" w:hint="eastAsia"/>
                <w:szCs w:val="21"/>
              </w:rPr>
            </w:pPr>
            <w:r>
              <w:rPr>
                <w:rFonts w:ascii="宋体" w:hint="eastAsia"/>
                <w:szCs w:val="21"/>
              </w:rPr>
              <w:t>评审因素</w:t>
            </w:r>
          </w:p>
        </w:tc>
        <w:tc>
          <w:tcPr>
            <w:tcW w:w="6657" w:type="dxa"/>
          </w:tcPr>
          <w:p>
            <w:pPr>
              <w:rPr>
                <w:rFonts w:ascii="宋体" w:hint="eastAsia"/>
                <w:szCs w:val="21"/>
              </w:rPr>
            </w:pPr>
            <w:r>
              <w:rPr>
                <w:rFonts w:ascii="宋体" w:hint="eastAsia"/>
                <w:szCs w:val="21"/>
              </w:rPr>
              <w:t>评分标准说明</w:t>
            </w:r>
          </w:p>
        </w:tc>
        <w:tc>
          <w:tcPr>
            <w:tcW w:w="852" w:type="dxa"/>
          </w:tcPr>
          <w:p>
            <w:pPr>
              <w:rPr>
                <w:rFonts w:ascii="宋体" w:hint="eastAsia"/>
                <w:szCs w:val="21"/>
              </w:rPr>
            </w:pPr>
            <w:r>
              <w:rPr>
                <w:rFonts w:ascii="宋体" w:hint="eastAsia"/>
                <w:szCs w:val="21"/>
              </w:rPr>
              <w:t>分值范围</w:t>
            </w:r>
          </w:p>
        </w:tc>
      </w:tr>
      <w:tr>
        <w:tblPrEx>
          <w:tblW w:w="5235" w:type="pct"/>
          <w:jc w:val="left"/>
          <w:tblInd w:w="0" w:type="dxa"/>
          <w:tblCellMar>
            <w:top w:w="0" w:type="dxa"/>
            <w:left w:w="108" w:type="dxa"/>
            <w:bottom w:w="0" w:type="dxa"/>
            <w:right w:w="108" w:type="dxa"/>
          </w:tblCellMar>
        </w:tblPrEx>
        <w:trPr>
          <w:jc w:val="left"/>
        </w:trPr>
        <w:tc>
          <w:tcPr>
            <w:tcW w:w="628" w:type="dxa"/>
          </w:tcPr>
          <w:p>
            <w:pPr>
              <w:rPr>
                <w:rFonts w:ascii="宋体" w:hint="eastAsia"/>
                <w:szCs w:val="21"/>
              </w:rPr>
            </w:pPr>
            <w:r>
              <w:rPr>
                <w:rFonts w:ascii="宋体" w:hint="eastAsia"/>
                <w:szCs w:val="21"/>
              </w:rPr>
              <w:t>价格分</w:t>
            </w:r>
          </w:p>
        </w:tc>
        <w:tc>
          <w:tcPr>
            <w:tcW w:w="795" w:type="dxa"/>
          </w:tcPr>
          <w:p>
            <w:pPr>
              <w:rPr>
                <w:rFonts w:ascii="宋体" w:hint="eastAsia"/>
                <w:szCs w:val="21"/>
              </w:rPr>
            </w:pPr>
            <w:r>
              <w:rPr>
                <w:rFonts w:ascii="宋体" w:hint="eastAsia"/>
                <w:szCs w:val="21"/>
              </w:rPr>
              <w:t>报价得分</w:t>
            </w:r>
          </w:p>
        </w:tc>
        <w:tc>
          <w:tcPr>
            <w:tcW w:w="6657" w:type="dxa"/>
          </w:tcPr>
          <w:p>
            <w:pPr>
              <w:rPr>
                <w:rFonts w:ascii="宋体" w:hint="eastAsia"/>
                <w:szCs w:val="21"/>
              </w:rPr>
            </w:pPr>
            <w:r>
              <w:rPr>
                <w:rFonts w:ascii="宋体" w:hint="eastAsia"/>
                <w:szCs w:val="21"/>
              </w:rPr>
              <w:t>综合评分法中的价格分统一采用低价优先法计算，即满足招标文件要求且投标价格最低的投标报价为评标基准价，其价格分为满分。其他投标人的价格分按照下列公式计算：价格得分=(评标基准价／投标报价)×10％×100。</w:t>
            </w:r>
          </w:p>
        </w:tc>
        <w:tc>
          <w:tcPr>
            <w:tcW w:w="852" w:type="dxa"/>
          </w:tcPr>
          <w:p>
            <w:pPr>
              <w:rPr>
                <w:rFonts w:ascii="宋体" w:hint="eastAsia"/>
                <w:szCs w:val="21"/>
              </w:rPr>
            </w:pPr>
            <w:r>
              <w:rPr>
                <w:rFonts w:ascii="宋体" w:hint="eastAsia"/>
                <w:szCs w:val="21"/>
              </w:rPr>
              <w:t>区间打分(0-10)</w:t>
            </w:r>
          </w:p>
        </w:tc>
      </w:tr>
      <w:tr>
        <w:tblPrEx>
          <w:tblW w:w="5235" w:type="pct"/>
          <w:jc w:val="left"/>
          <w:tblInd w:w="0" w:type="dxa"/>
          <w:tblCellMar>
            <w:top w:w="0" w:type="dxa"/>
            <w:left w:w="108" w:type="dxa"/>
            <w:bottom w:w="0" w:type="dxa"/>
            <w:right w:w="108" w:type="dxa"/>
          </w:tblCellMar>
        </w:tblPrEx>
        <w:trPr>
          <w:jc w:val="left"/>
        </w:trPr>
        <w:tc>
          <w:tcPr>
            <w:tcW w:w="628" w:type="dxa"/>
            <w:vMerge w:val="restart"/>
          </w:tcPr>
          <w:p>
            <w:pPr>
              <w:rPr>
                <w:rFonts w:ascii="宋体" w:hint="eastAsia"/>
                <w:szCs w:val="21"/>
              </w:rPr>
            </w:pPr>
            <w:r>
              <w:rPr>
                <w:rFonts w:ascii="宋体" w:hint="eastAsia"/>
                <w:szCs w:val="21"/>
              </w:rPr>
              <w:t>商务部分</w:t>
            </w:r>
          </w:p>
        </w:tc>
        <w:tc>
          <w:tcPr>
            <w:tcW w:w="795" w:type="dxa"/>
          </w:tcPr>
          <w:p>
            <w:pPr>
              <w:rPr>
                <w:rFonts w:ascii="宋体" w:hint="eastAsia"/>
                <w:szCs w:val="21"/>
              </w:rPr>
            </w:pPr>
            <w:r>
              <w:rPr>
                <w:rFonts w:ascii="宋体" w:hint="eastAsia"/>
                <w:szCs w:val="21"/>
              </w:rPr>
              <w:t>投标文件编制质量、对招标文件的响应程度</w:t>
            </w:r>
          </w:p>
        </w:tc>
        <w:tc>
          <w:tcPr>
            <w:tcW w:w="6657" w:type="dxa"/>
          </w:tcPr>
          <w:p>
            <w:pPr>
              <w:rPr>
                <w:rFonts w:ascii="宋体" w:hint="eastAsia"/>
                <w:szCs w:val="21"/>
              </w:rPr>
            </w:pPr>
            <w:r>
              <w:rPr>
                <w:rFonts w:ascii="宋体" w:hint="eastAsia"/>
                <w:szCs w:val="21"/>
              </w:rPr>
              <w:t xml:space="preserve">电子投标文件的逐项响应、定位和绑定清晰准确得1.2分；    </w:t>
            </w:r>
          </w:p>
          <w:p>
            <w:pPr>
              <w:rPr>
                <w:rFonts w:ascii="宋体" w:hint="eastAsia"/>
                <w:szCs w:val="21"/>
              </w:rPr>
            </w:pPr>
            <w:r>
              <w:rPr>
                <w:rFonts w:ascii="宋体" w:hint="eastAsia"/>
                <w:szCs w:val="21"/>
              </w:rPr>
              <w:t xml:space="preserve">有一项未响应或定位和绑定模糊、有偏差的得0.6分；   </w:t>
            </w:r>
          </w:p>
          <w:p>
            <w:pPr>
              <w:rPr>
                <w:rFonts w:ascii="宋体" w:hint="eastAsia"/>
                <w:szCs w:val="21"/>
              </w:rPr>
            </w:pPr>
            <w:r>
              <w:rPr>
                <w:rFonts w:ascii="宋体" w:hint="eastAsia"/>
                <w:szCs w:val="21"/>
              </w:rPr>
              <w:t>有两项或两项以上未响应或定位和绑定模糊、有偏差的得0分。</w:t>
            </w:r>
          </w:p>
        </w:tc>
        <w:tc>
          <w:tcPr>
            <w:tcW w:w="852" w:type="dxa"/>
          </w:tcPr>
          <w:p>
            <w:pPr>
              <w:rPr>
                <w:rFonts w:ascii="宋体" w:hint="eastAsia"/>
                <w:szCs w:val="21"/>
              </w:rPr>
            </w:pPr>
            <w:r>
              <w:rPr>
                <w:rFonts w:ascii="宋体" w:hint="eastAsia"/>
                <w:szCs w:val="21"/>
              </w:rPr>
              <w:t>勾选打分(0;0.6;1.2)</w:t>
            </w:r>
          </w:p>
        </w:tc>
      </w:tr>
      <w:tr>
        <w:tblPrEx>
          <w:tblW w:w="5235" w:type="pct"/>
          <w:jc w:val="left"/>
          <w:tblInd w:w="0" w:type="dxa"/>
          <w:tblCellMar>
            <w:top w:w="0" w:type="dxa"/>
            <w:left w:w="108" w:type="dxa"/>
            <w:bottom w:w="0" w:type="dxa"/>
            <w:right w:w="108" w:type="dxa"/>
          </w:tblCellMar>
        </w:tblPrEx>
        <w:trPr>
          <w:jc w:val="left"/>
        </w:trPr>
        <w:tc>
          <w:tcPr>
            <w:tcW w:w="292" w:type="dxa"/>
            <w:vMerge/>
          </w:tcPr>
          <w:p/>
        </w:tc>
        <w:tc>
          <w:tcPr>
            <w:tcW w:w="795" w:type="dxa"/>
          </w:tcPr>
          <w:p>
            <w:pPr>
              <w:rPr>
                <w:rFonts w:ascii="宋体" w:hint="eastAsia"/>
                <w:szCs w:val="21"/>
              </w:rPr>
            </w:pPr>
            <w:r>
              <w:rPr>
                <w:rFonts w:ascii="宋体" w:hint="eastAsia"/>
                <w:szCs w:val="21"/>
              </w:rPr>
              <w:t>投标人业绩</w:t>
            </w:r>
          </w:p>
        </w:tc>
        <w:tc>
          <w:tcPr>
            <w:tcW w:w="6657" w:type="dxa"/>
          </w:tcPr>
          <w:p>
            <w:pPr>
              <w:rPr>
                <w:rFonts w:ascii="宋体" w:hint="eastAsia"/>
                <w:szCs w:val="21"/>
              </w:rPr>
            </w:pPr>
            <w:r>
              <w:rPr>
                <w:rFonts w:ascii="宋体" w:hint="eastAsia"/>
                <w:szCs w:val="21"/>
              </w:rPr>
              <w:t xml:space="preserve">投标人提供2021年9月1日起至本项目招标公告发布之日止（以合同签订日期为准），与本项目同类技术支持服务项目业绩相关材料。每提供一个有效业绩得1分，最多得5分。         </w:t>
            </w:r>
          </w:p>
          <w:p>
            <w:pPr>
              <w:rPr>
                <w:rFonts w:ascii="宋体" w:hint="eastAsia"/>
                <w:szCs w:val="21"/>
              </w:rPr>
            </w:pPr>
            <w:r>
              <w:rPr>
                <w:rFonts w:ascii="宋体" w:hint="eastAsia"/>
                <w:szCs w:val="21"/>
              </w:rPr>
              <w:t xml:space="preserve">注：1.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w:t>
            </w:r>
          </w:p>
          <w:p>
            <w:pPr>
              <w:rPr>
                <w:rFonts w:ascii="宋体" w:hint="eastAsia"/>
                <w:szCs w:val="21"/>
              </w:rPr>
            </w:pPr>
            <w:r>
              <w:rPr>
                <w:rFonts w:ascii="宋体" w:hint="eastAsia"/>
                <w:szCs w:val="21"/>
              </w:rPr>
              <w:t xml:space="preserve">2.提供的业绩合同材料复印件须字迹清晰，辨识无误；   </w:t>
            </w:r>
          </w:p>
          <w:p>
            <w:pPr>
              <w:rPr>
                <w:rFonts w:ascii="宋体" w:hint="eastAsia"/>
                <w:szCs w:val="21"/>
              </w:rPr>
            </w:pPr>
            <w:r>
              <w:rPr>
                <w:rFonts w:ascii="宋体" w:hint="eastAsia"/>
                <w:szCs w:val="21"/>
              </w:rPr>
              <w:t>3.不符合上述要求或未按要求提供有效证明文件的业绩在评审时将不予以承认。</w:t>
            </w:r>
          </w:p>
        </w:tc>
        <w:tc>
          <w:tcPr>
            <w:tcW w:w="852" w:type="dxa"/>
          </w:tcPr>
          <w:p>
            <w:pPr>
              <w:rPr>
                <w:rFonts w:ascii="宋体" w:hint="eastAsia"/>
                <w:szCs w:val="21"/>
              </w:rPr>
            </w:pPr>
            <w:r>
              <w:rPr>
                <w:rFonts w:ascii="宋体" w:hint="eastAsia"/>
                <w:szCs w:val="21"/>
              </w:rPr>
              <w:t>勾选打分(0;1;2;3;4;5)</w:t>
            </w:r>
          </w:p>
        </w:tc>
      </w:tr>
      <w:tr>
        <w:tblPrEx>
          <w:tblW w:w="5235" w:type="pct"/>
          <w:jc w:val="left"/>
          <w:tblInd w:w="0" w:type="dxa"/>
          <w:tblCellMar>
            <w:top w:w="0" w:type="dxa"/>
            <w:left w:w="108" w:type="dxa"/>
            <w:bottom w:w="0" w:type="dxa"/>
            <w:right w:w="108" w:type="dxa"/>
          </w:tblCellMar>
        </w:tblPrEx>
        <w:trPr>
          <w:jc w:val="left"/>
        </w:trPr>
        <w:tc>
          <w:tcPr>
            <w:tcW w:w="628" w:type="dxa"/>
            <w:vMerge w:val="restart"/>
          </w:tcPr>
          <w:p>
            <w:pPr>
              <w:rPr>
                <w:rFonts w:ascii="宋体" w:hint="eastAsia"/>
                <w:szCs w:val="21"/>
              </w:rPr>
            </w:pPr>
            <w:r>
              <w:rPr>
                <w:rFonts w:ascii="宋体" w:hint="eastAsia"/>
                <w:szCs w:val="21"/>
              </w:rPr>
              <w:t>技术部分</w:t>
            </w:r>
          </w:p>
        </w:tc>
        <w:tc>
          <w:tcPr>
            <w:tcW w:w="795" w:type="dxa"/>
          </w:tcPr>
          <w:p>
            <w:pPr>
              <w:rPr>
                <w:rFonts w:ascii="宋体" w:hint="eastAsia"/>
                <w:szCs w:val="21"/>
              </w:rPr>
            </w:pPr>
            <w:r>
              <w:rPr>
                <w:rFonts w:ascii="宋体" w:hint="eastAsia"/>
                <w:szCs w:val="21"/>
              </w:rPr>
              <w:t>技术响应程度</w:t>
            </w:r>
          </w:p>
        </w:tc>
        <w:tc>
          <w:tcPr>
            <w:tcW w:w="6657" w:type="dxa"/>
          </w:tcPr>
          <w:p>
            <w:pPr>
              <w:rPr>
                <w:rFonts w:ascii="宋体" w:hint="eastAsia"/>
                <w:szCs w:val="21"/>
              </w:rPr>
            </w:pPr>
            <w:r>
              <w:rPr>
                <w:rFonts w:ascii="宋体" w:hint="eastAsia"/>
                <w:szCs w:val="21"/>
              </w:rPr>
              <w:t xml:space="preserve">完全满足招标文件项目需求书相关要求得65.8分，标注▲重要指标项每有一项不满足扣1分，一般指标项每有一项不满足扣0.4分。    </w:t>
            </w:r>
          </w:p>
          <w:p>
            <w:pPr>
              <w:rPr>
                <w:rFonts w:ascii="宋体" w:hint="eastAsia"/>
                <w:szCs w:val="21"/>
              </w:rPr>
            </w:pPr>
          </w:p>
          <w:p>
            <w:pPr>
              <w:rPr>
                <w:rFonts w:ascii="宋体" w:hint="eastAsia"/>
                <w:szCs w:val="21"/>
              </w:rPr>
            </w:pPr>
            <w:r>
              <w:rPr>
                <w:rFonts w:ascii="宋体" w:hint="eastAsia"/>
                <w:szCs w:val="21"/>
              </w:rPr>
              <w:t xml:space="preserve">重要指标项共35个，分别为：           </w:t>
            </w:r>
          </w:p>
          <w:p>
            <w:pPr>
              <w:rPr>
                <w:rFonts w:ascii="宋体" w:hint="eastAsia"/>
                <w:szCs w:val="21"/>
              </w:rPr>
            </w:pPr>
          </w:p>
          <w:p>
            <w:pPr>
              <w:rPr>
                <w:rFonts w:ascii="宋体" w:hint="eastAsia"/>
                <w:szCs w:val="21"/>
              </w:rPr>
            </w:pPr>
            <w:r>
              <w:rPr>
                <w:rFonts w:ascii="宋体" w:hint="eastAsia"/>
                <w:szCs w:val="21"/>
              </w:rPr>
              <w:t xml:space="preserve">六、货物或服务指标要求32个：第35项1个，第4、5、6、9、14、30项各2个，第2、15项各3个，第3、8项各4个，第31项5个。 </w:t>
            </w:r>
          </w:p>
          <w:p>
            <w:pPr>
              <w:rPr>
                <w:rFonts w:ascii="宋体" w:hint="eastAsia"/>
                <w:szCs w:val="21"/>
              </w:rPr>
            </w:pPr>
            <w:r>
              <w:rPr>
                <w:rFonts w:ascii="宋体" w:hint="eastAsia"/>
                <w:szCs w:val="21"/>
              </w:rPr>
              <w:t xml:space="preserve">七、服务要求3个：第1、2、3项各1个。  </w:t>
            </w:r>
          </w:p>
          <w:p>
            <w:pPr>
              <w:rPr>
                <w:rFonts w:ascii="宋体" w:hint="eastAsia"/>
                <w:szCs w:val="21"/>
              </w:rPr>
            </w:pPr>
          </w:p>
          <w:p>
            <w:pPr>
              <w:rPr>
                <w:rFonts w:ascii="宋体" w:hint="eastAsia"/>
                <w:szCs w:val="21"/>
              </w:rPr>
            </w:pPr>
            <w:r>
              <w:rPr>
                <w:rFonts w:ascii="宋体" w:hint="eastAsia"/>
                <w:szCs w:val="21"/>
              </w:rPr>
              <w:t xml:space="preserve">一般指标项共77个： 分别为：            </w:t>
            </w:r>
          </w:p>
          <w:p>
            <w:pPr>
              <w:rPr>
                <w:rFonts w:ascii="宋体" w:hint="eastAsia"/>
                <w:szCs w:val="21"/>
              </w:rPr>
            </w:pPr>
            <w:r>
              <w:rPr>
                <w:rFonts w:ascii="宋体" w:hint="eastAsia"/>
                <w:szCs w:val="21"/>
              </w:rPr>
              <w:t xml:space="preserve">四、项目概述2个：第3、4项各1个。 </w:t>
            </w:r>
          </w:p>
          <w:p>
            <w:pPr>
              <w:rPr>
                <w:rFonts w:ascii="宋体" w:hint="eastAsia"/>
                <w:szCs w:val="21"/>
              </w:rPr>
            </w:pPr>
            <w:r>
              <w:rPr>
                <w:rFonts w:ascii="宋体" w:hint="eastAsia"/>
                <w:szCs w:val="21"/>
              </w:rPr>
              <w:t>五、集成需求10个：第1项2个，第2项6个，第3项2个。 六、货物</w:t>
            </w:r>
            <w:r>
              <w:rPr>
                <w:rFonts w:ascii="宋体"/>
                <w:szCs w:val="21"/>
              </w:rPr>
              <w:t>或</w:t>
            </w:r>
            <w:r>
              <w:rPr>
                <w:rFonts w:ascii="宋体" w:hint="eastAsia"/>
                <w:szCs w:val="21"/>
              </w:rPr>
              <w:t>服务指标要求45个：第11、12、13、17、18、19、22、23、24、25、26、27、28、29、33、38、40、41项各1个，第7、10、16、21、32、34、37项各2个，第1、20项各4个，第36项5个。</w:t>
            </w:r>
          </w:p>
          <w:p>
            <w:pPr>
              <w:rPr>
                <w:rFonts w:ascii="宋体" w:hint="eastAsia"/>
                <w:szCs w:val="21"/>
              </w:rPr>
            </w:pPr>
            <w:r>
              <w:rPr>
                <w:rFonts w:ascii="宋体" w:hint="eastAsia"/>
                <w:szCs w:val="21"/>
              </w:rPr>
              <w:t xml:space="preserve">七、服务要求4个：第7、8项各1个、第5项2个。 </w:t>
            </w:r>
          </w:p>
          <w:p>
            <w:pPr>
              <w:rPr>
                <w:rFonts w:ascii="宋体" w:hint="eastAsia"/>
                <w:szCs w:val="21"/>
              </w:rPr>
            </w:pPr>
            <w:r>
              <w:rPr>
                <w:rFonts w:ascii="宋体" w:hint="eastAsia"/>
                <w:szCs w:val="21"/>
              </w:rPr>
              <w:t>八、实施要求16个：第1、5、7、8项各1个，第2项2个，第3项3个，第6项7个。</w:t>
            </w:r>
          </w:p>
        </w:tc>
        <w:tc>
          <w:tcPr>
            <w:tcW w:w="852" w:type="dxa"/>
          </w:tcPr>
          <w:p>
            <w:pPr>
              <w:rPr>
                <w:rFonts w:ascii="宋体" w:hint="eastAsia"/>
                <w:szCs w:val="21"/>
              </w:rPr>
            </w:pPr>
            <w:r>
              <w:rPr>
                <w:rFonts w:ascii="宋体" w:hint="eastAsia"/>
                <w:szCs w:val="21"/>
              </w:rPr>
              <w:t>区间打分(0-65.8)</w:t>
            </w:r>
          </w:p>
        </w:tc>
      </w:tr>
      <w:tr>
        <w:tblPrEx>
          <w:tblW w:w="5235" w:type="pct"/>
          <w:jc w:val="left"/>
          <w:tblInd w:w="0" w:type="dxa"/>
          <w:tblCellMar>
            <w:top w:w="0" w:type="dxa"/>
            <w:left w:w="108" w:type="dxa"/>
            <w:bottom w:w="0" w:type="dxa"/>
            <w:right w:w="108" w:type="dxa"/>
          </w:tblCellMar>
        </w:tblPrEx>
        <w:trPr>
          <w:jc w:val="left"/>
        </w:trPr>
        <w:tc>
          <w:tcPr>
            <w:tcW w:w="292" w:type="dxa"/>
            <w:vMerge/>
          </w:tcPr>
          <w:p/>
        </w:tc>
        <w:tc>
          <w:tcPr>
            <w:tcW w:w="795" w:type="dxa"/>
          </w:tcPr>
          <w:p>
            <w:pPr>
              <w:rPr>
                <w:rFonts w:ascii="宋体" w:hint="eastAsia"/>
                <w:szCs w:val="21"/>
              </w:rPr>
            </w:pPr>
            <w:r>
              <w:rPr>
                <w:rFonts w:ascii="宋体" w:hint="eastAsia"/>
                <w:szCs w:val="21"/>
              </w:rPr>
              <w:t>需求分析</w:t>
            </w:r>
          </w:p>
        </w:tc>
        <w:tc>
          <w:tcPr>
            <w:tcW w:w="6657" w:type="dxa"/>
          </w:tcPr>
          <w:p>
            <w:pPr>
              <w:rPr>
                <w:rFonts w:ascii="宋体" w:hint="eastAsia"/>
                <w:szCs w:val="21"/>
              </w:rPr>
            </w:pPr>
            <w:r>
              <w:rPr>
                <w:rFonts w:ascii="宋体" w:hint="eastAsia"/>
                <w:szCs w:val="21"/>
              </w:rPr>
              <w:t xml:space="preserve">投标人对项目功能性需求与非功能性需求进行分析，至少包括业务流程分析、业务需求分析、与关联系统的关系分析、性能需求分析、环境需求分析等内容。  </w:t>
            </w:r>
          </w:p>
          <w:p>
            <w:pPr>
              <w:rPr>
                <w:rFonts w:ascii="宋体" w:hint="eastAsia"/>
                <w:szCs w:val="21"/>
              </w:rPr>
            </w:pPr>
          </w:p>
          <w:p>
            <w:pPr>
              <w:rPr>
                <w:rFonts w:ascii="宋体" w:hint="eastAsia"/>
                <w:szCs w:val="21"/>
              </w:rPr>
            </w:pPr>
            <w:r>
              <w:rPr>
                <w:rFonts w:ascii="宋体" w:hint="eastAsia"/>
                <w:szCs w:val="21"/>
              </w:rPr>
              <w:t xml:space="preserve">需求分析科学周密，内容全面，完全契合项目实际，针对性可行性强，得4.5分。               </w:t>
            </w:r>
          </w:p>
          <w:p>
            <w:pPr>
              <w:rPr>
                <w:rFonts w:ascii="宋体" w:hint="eastAsia"/>
                <w:szCs w:val="21"/>
              </w:rPr>
            </w:pPr>
            <w:r>
              <w:rPr>
                <w:rFonts w:ascii="宋体" w:hint="eastAsia"/>
                <w:szCs w:val="21"/>
              </w:rPr>
              <w:t xml:space="preserve">需求分析内容完整，可以满足项目需要，针对性可行性较强，但需求分析内容（两个及以下）中有缺陷（缺陷包括：与事实不符、前后内容不一致、逻辑错误、不符合采购需求、内容有缺失等），得3.0分。                需求分析内容有漏项，未完全包括上述内容要求，或三个及以上内容中存在缺陷，得1.5分。                   </w:t>
            </w:r>
          </w:p>
          <w:p>
            <w:pPr>
              <w:rPr>
                <w:rFonts w:ascii="宋体" w:hint="eastAsia"/>
                <w:szCs w:val="21"/>
              </w:rPr>
            </w:pPr>
            <w:r>
              <w:rPr>
                <w:rFonts w:ascii="宋体" w:hint="eastAsia"/>
                <w:szCs w:val="21"/>
              </w:rPr>
              <w:t xml:space="preserve">未提供需求分析或需求分析严重脱离项目实际，得0分。 </w:t>
            </w:r>
          </w:p>
        </w:tc>
        <w:tc>
          <w:tcPr>
            <w:tcW w:w="852" w:type="dxa"/>
          </w:tcPr>
          <w:p>
            <w:pPr>
              <w:rPr>
                <w:rFonts w:ascii="宋体" w:hint="eastAsia"/>
                <w:szCs w:val="21"/>
              </w:rPr>
            </w:pPr>
            <w:r>
              <w:rPr>
                <w:rFonts w:ascii="宋体" w:hint="eastAsia"/>
                <w:szCs w:val="21"/>
              </w:rPr>
              <w:t>勾选打分(0;1.5;3;4.5)</w:t>
            </w:r>
          </w:p>
        </w:tc>
      </w:tr>
      <w:tr>
        <w:tblPrEx>
          <w:tblW w:w="5235" w:type="pct"/>
          <w:jc w:val="left"/>
          <w:tblInd w:w="0" w:type="dxa"/>
          <w:tblCellMar>
            <w:top w:w="0" w:type="dxa"/>
            <w:left w:w="108" w:type="dxa"/>
            <w:bottom w:w="0" w:type="dxa"/>
            <w:right w:w="108" w:type="dxa"/>
          </w:tblCellMar>
        </w:tblPrEx>
        <w:trPr>
          <w:jc w:val="left"/>
        </w:trPr>
        <w:tc>
          <w:tcPr>
            <w:tcW w:w="292" w:type="dxa"/>
            <w:vMerge/>
          </w:tcPr>
          <w:p/>
        </w:tc>
        <w:tc>
          <w:tcPr>
            <w:tcW w:w="795" w:type="dxa"/>
          </w:tcPr>
          <w:p>
            <w:pPr>
              <w:rPr>
                <w:rFonts w:ascii="宋体" w:hint="eastAsia"/>
                <w:szCs w:val="21"/>
              </w:rPr>
            </w:pPr>
            <w:r>
              <w:rPr>
                <w:rFonts w:ascii="宋体" w:hint="eastAsia"/>
                <w:szCs w:val="21"/>
              </w:rPr>
              <w:t>技术方案</w:t>
            </w:r>
          </w:p>
        </w:tc>
        <w:tc>
          <w:tcPr>
            <w:tcW w:w="6657" w:type="dxa"/>
          </w:tcPr>
          <w:p>
            <w:pPr>
              <w:rPr>
                <w:rFonts w:ascii="宋体" w:hint="eastAsia"/>
                <w:szCs w:val="21"/>
              </w:rPr>
            </w:pPr>
            <w:r>
              <w:rPr>
                <w:rFonts w:ascii="宋体" w:hint="eastAsia"/>
                <w:szCs w:val="21"/>
              </w:rPr>
              <w:t xml:space="preserve">投标人提供项目技术方案，至少包含总体架构、应用设计、数据架构、部署设计、安全设计、系统对接方案以及业务功能设计等内容。  </w:t>
            </w:r>
          </w:p>
          <w:p>
            <w:pPr>
              <w:rPr>
                <w:rFonts w:ascii="宋体" w:hint="eastAsia"/>
                <w:szCs w:val="21"/>
              </w:rPr>
            </w:pPr>
          </w:p>
          <w:p>
            <w:pPr>
              <w:rPr>
                <w:rFonts w:ascii="宋体" w:hint="eastAsia"/>
                <w:szCs w:val="21"/>
              </w:rPr>
            </w:pPr>
            <w:r>
              <w:rPr>
                <w:rFonts w:ascii="宋体" w:hint="eastAsia"/>
                <w:szCs w:val="21"/>
              </w:rPr>
              <w:t xml:space="preserve">技术方案科学周密，内容全面，完全契合项目实际，针对性可行性强，得4.5分。               </w:t>
            </w:r>
          </w:p>
          <w:p>
            <w:pPr>
              <w:rPr>
                <w:rFonts w:ascii="宋体" w:hint="eastAsia"/>
                <w:szCs w:val="21"/>
              </w:rPr>
            </w:pPr>
            <w:r>
              <w:rPr>
                <w:rFonts w:ascii="宋体" w:hint="eastAsia"/>
                <w:szCs w:val="21"/>
              </w:rPr>
              <w:t xml:space="preserve">技术方案内容完整，可以满足项目需要，针对性可行性较强，但方案内容（两个及以下）中有缺陷（缺陷包括：与事实不符、前后内容不一致、逻辑错误、不符合采购需求、内容有缺失等），得3.0分。                技术方案内容有漏项，未完全包括上述内容要求，或三个及以上内容中存在缺陷，得1.5分。                   </w:t>
            </w:r>
          </w:p>
          <w:p>
            <w:pPr>
              <w:rPr>
                <w:rFonts w:ascii="宋体" w:hint="eastAsia"/>
                <w:szCs w:val="21"/>
              </w:rPr>
            </w:pPr>
            <w:r>
              <w:rPr>
                <w:rFonts w:ascii="宋体" w:hint="eastAsia"/>
                <w:szCs w:val="21"/>
              </w:rPr>
              <w:t xml:space="preserve">未提供技术方案或方案严重脱离项目实际，得0分。 </w:t>
            </w:r>
          </w:p>
        </w:tc>
        <w:tc>
          <w:tcPr>
            <w:tcW w:w="852" w:type="dxa"/>
          </w:tcPr>
          <w:p>
            <w:pPr>
              <w:rPr>
                <w:rFonts w:ascii="宋体" w:hint="eastAsia"/>
                <w:szCs w:val="21"/>
              </w:rPr>
            </w:pPr>
            <w:r>
              <w:rPr>
                <w:rFonts w:ascii="宋体" w:hint="eastAsia"/>
                <w:szCs w:val="21"/>
              </w:rPr>
              <w:t>勾选打分(0;1.5;3;4.5)</w:t>
            </w:r>
          </w:p>
        </w:tc>
      </w:tr>
      <w:tr>
        <w:tblPrEx>
          <w:tblW w:w="5235" w:type="pct"/>
          <w:jc w:val="left"/>
          <w:tblInd w:w="0" w:type="dxa"/>
          <w:tblCellMar>
            <w:top w:w="0" w:type="dxa"/>
            <w:left w:w="108" w:type="dxa"/>
            <w:bottom w:w="0" w:type="dxa"/>
            <w:right w:w="108" w:type="dxa"/>
          </w:tblCellMar>
        </w:tblPrEx>
        <w:trPr>
          <w:jc w:val="left"/>
        </w:trPr>
        <w:tc>
          <w:tcPr>
            <w:tcW w:w="628" w:type="dxa"/>
            <w:vMerge w:val="restart"/>
          </w:tcPr>
          <w:p>
            <w:pPr>
              <w:rPr>
                <w:rFonts w:ascii="宋体" w:hint="eastAsia"/>
                <w:szCs w:val="21"/>
              </w:rPr>
            </w:pPr>
            <w:r>
              <w:rPr>
                <w:rFonts w:ascii="宋体" w:hint="eastAsia"/>
                <w:szCs w:val="21"/>
              </w:rPr>
              <w:t>服务部分</w:t>
            </w:r>
          </w:p>
        </w:tc>
        <w:tc>
          <w:tcPr>
            <w:tcW w:w="795" w:type="dxa"/>
          </w:tcPr>
          <w:p>
            <w:pPr>
              <w:rPr>
                <w:rFonts w:ascii="宋体" w:hint="eastAsia"/>
                <w:szCs w:val="21"/>
              </w:rPr>
            </w:pPr>
            <w:r>
              <w:rPr>
                <w:rFonts w:ascii="宋体" w:hint="eastAsia"/>
                <w:szCs w:val="21"/>
              </w:rPr>
              <w:t>实施方案</w:t>
            </w:r>
          </w:p>
        </w:tc>
        <w:tc>
          <w:tcPr>
            <w:tcW w:w="6657" w:type="dxa"/>
          </w:tcPr>
          <w:p>
            <w:pPr>
              <w:rPr>
                <w:rFonts w:ascii="宋体" w:hint="eastAsia"/>
                <w:szCs w:val="21"/>
              </w:rPr>
            </w:pPr>
            <w:r>
              <w:rPr>
                <w:rFonts w:ascii="宋体" w:hint="eastAsia"/>
                <w:szCs w:val="21"/>
              </w:rPr>
              <w:t xml:space="preserve">投标人提供项目实施方案，包含但不限于如下内容：项目实施计划、项目实施进度及保障措施等内容。  </w:t>
            </w:r>
          </w:p>
          <w:p>
            <w:pPr>
              <w:rPr>
                <w:rFonts w:ascii="宋体" w:hint="eastAsia"/>
                <w:szCs w:val="21"/>
              </w:rPr>
            </w:pPr>
          </w:p>
          <w:p>
            <w:pPr>
              <w:rPr>
                <w:rFonts w:ascii="宋体" w:hint="eastAsia"/>
                <w:szCs w:val="21"/>
              </w:rPr>
            </w:pPr>
            <w:r>
              <w:rPr>
                <w:rFonts w:ascii="宋体" w:hint="eastAsia"/>
                <w:szCs w:val="21"/>
              </w:rPr>
              <w:t xml:space="preserve">实施方案科学周密，内容全面，完全契合项目实际，针对性可行性强，得4.5分。               </w:t>
            </w:r>
          </w:p>
          <w:p>
            <w:pPr>
              <w:rPr>
                <w:rFonts w:ascii="宋体" w:hint="eastAsia"/>
                <w:szCs w:val="21"/>
              </w:rPr>
            </w:pPr>
            <w:r>
              <w:rPr>
                <w:rFonts w:ascii="宋体" w:hint="eastAsia"/>
                <w:szCs w:val="21"/>
              </w:rPr>
              <w:t>实施方案内容完整，可以满足项目需要，针对性可行性较强，但方案上述内容中有一项有缺陷（缺陷包括：与事实不符、前后内容不一致、逻辑错误、不符合采购需求、内容有缺失等），得3</w:t>
            </w:r>
            <w:r>
              <w:rPr>
                <w:rFonts w:ascii="宋体"/>
                <w:szCs w:val="21"/>
              </w:rPr>
              <w:t>.0</w:t>
            </w:r>
            <w:r>
              <w:rPr>
                <w:rFonts w:ascii="宋体" w:hint="eastAsia"/>
                <w:szCs w:val="21"/>
              </w:rPr>
              <w:t xml:space="preserve">分。                 实施方案内容有漏项，未完全包括上述内容要求，或两个及以上内容中均存在缺陷，得1.5分。                   </w:t>
            </w:r>
          </w:p>
          <w:p>
            <w:pPr>
              <w:rPr>
                <w:rFonts w:ascii="宋体" w:hint="eastAsia"/>
                <w:szCs w:val="21"/>
              </w:rPr>
            </w:pPr>
            <w:r>
              <w:rPr>
                <w:rFonts w:ascii="宋体" w:hint="eastAsia"/>
                <w:szCs w:val="21"/>
              </w:rPr>
              <w:t>未提供实施方案或方案严重脱离项目实际，得0分。</w:t>
            </w:r>
          </w:p>
        </w:tc>
        <w:tc>
          <w:tcPr>
            <w:tcW w:w="852" w:type="dxa"/>
          </w:tcPr>
          <w:p>
            <w:pPr>
              <w:rPr>
                <w:rFonts w:ascii="宋体" w:hint="eastAsia"/>
                <w:szCs w:val="21"/>
              </w:rPr>
            </w:pPr>
            <w:r>
              <w:rPr>
                <w:rFonts w:ascii="宋体" w:hint="eastAsia"/>
                <w:szCs w:val="21"/>
              </w:rPr>
              <w:t>勾选打分(0;1.5;3;4.5)</w:t>
            </w:r>
          </w:p>
        </w:tc>
      </w:tr>
      <w:tr>
        <w:tblPrEx>
          <w:tblW w:w="5235" w:type="pct"/>
          <w:jc w:val="left"/>
          <w:tblInd w:w="0" w:type="dxa"/>
          <w:tblCellMar>
            <w:top w:w="0" w:type="dxa"/>
            <w:left w:w="108" w:type="dxa"/>
            <w:bottom w:w="0" w:type="dxa"/>
            <w:right w:w="108" w:type="dxa"/>
          </w:tblCellMar>
        </w:tblPrEx>
        <w:trPr>
          <w:jc w:val="left"/>
        </w:trPr>
        <w:tc>
          <w:tcPr>
            <w:tcW w:w="292" w:type="dxa"/>
            <w:vMerge/>
          </w:tcPr>
          <w:p/>
        </w:tc>
        <w:tc>
          <w:tcPr>
            <w:tcW w:w="795" w:type="dxa"/>
          </w:tcPr>
          <w:p>
            <w:pPr>
              <w:rPr>
                <w:rFonts w:ascii="宋体" w:hint="eastAsia"/>
                <w:szCs w:val="21"/>
              </w:rPr>
            </w:pPr>
            <w:r>
              <w:rPr>
                <w:rFonts w:ascii="宋体" w:hint="eastAsia"/>
                <w:szCs w:val="21"/>
              </w:rPr>
              <w:t>售后服务方案</w:t>
            </w:r>
          </w:p>
        </w:tc>
        <w:tc>
          <w:tcPr>
            <w:tcW w:w="6657" w:type="dxa"/>
          </w:tcPr>
          <w:p>
            <w:pPr>
              <w:rPr>
                <w:rFonts w:ascii="宋体" w:hint="eastAsia"/>
                <w:szCs w:val="21"/>
              </w:rPr>
            </w:pPr>
            <w:r>
              <w:rPr>
                <w:rFonts w:ascii="宋体" w:hint="eastAsia"/>
                <w:szCs w:val="21"/>
              </w:rPr>
              <w:t xml:space="preserve">投标人提供售后服务方案，包括运维团队人员配置、技术支持、服务流程、运维保障及相关服务承诺等。  </w:t>
            </w:r>
          </w:p>
          <w:p>
            <w:pPr>
              <w:rPr>
                <w:rFonts w:ascii="宋体" w:hint="eastAsia"/>
                <w:szCs w:val="21"/>
              </w:rPr>
            </w:pPr>
          </w:p>
          <w:p>
            <w:pPr>
              <w:rPr>
                <w:rFonts w:ascii="宋体" w:hint="eastAsia"/>
                <w:szCs w:val="21"/>
              </w:rPr>
            </w:pPr>
            <w:r>
              <w:rPr>
                <w:rFonts w:ascii="宋体" w:hint="eastAsia"/>
                <w:szCs w:val="21"/>
              </w:rPr>
              <w:t xml:space="preserve">售后服务方案科学周密，内容全面，完全契合项目实际，针对性可行性强，得4.5分。               </w:t>
            </w:r>
          </w:p>
          <w:p>
            <w:pPr>
              <w:rPr>
                <w:rFonts w:ascii="宋体" w:hint="eastAsia"/>
                <w:szCs w:val="21"/>
              </w:rPr>
            </w:pPr>
            <w:r>
              <w:rPr>
                <w:rFonts w:ascii="宋体" w:hint="eastAsia"/>
                <w:szCs w:val="21"/>
              </w:rPr>
              <w:t xml:space="preserve">售后服务方案内容完整，可以满足项目需要，针对性可行性较强，但方案内容（两个及以下）中有缺陷（缺陷包括：与事实不符、前后内容不一致、逻辑错误、不符合采购需求、内容有缺失等），得3.0分。                售后服务方案内容有漏项，未完全包括上述内容要求，或三个及以上内容中存在缺陷，得1.5分。                   </w:t>
            </w:r>
          </w:p>
          <w:p>
            <w:pPr>
              <w:rPr>
                <w:rFonts w:ascii="宋体" w:hint="eastAsia"/>
                <w:szCs w:val="21"/>
              </w:rPr>
            </w:pPr>
            <w:r>
              <w:rPr>
                <w:rFonts w:ascii="宋体" w:hint="eastAsia"/>
                <w:szCs w:val="21"/>
              </w:rPr>
              <w:t xml:space="preserve">未提供售后服务方案或方案严重脱离项目实际，得0分。 </w:t>
            </w:r>
          </w:p>
        </w:tc>
        <w:tc>
          <w:tcPr>
            <w:tcW w:w="852" w:type="dxa"/>
          </w:tcPr>
          <w:p>
            <w:pPr>
              <w:rPr>
                <w:rFonts w:ascii="宋体" w:hint="eastAsia"/>
                <w:szCs w:val="21"/>
              </w:rPr>
            </w:pPr>
            <w:r>
              <w:rPr>
                <w:rFonts w:ascii="宋体" w:hint="eastAsia"/>
                <w:szCs w:val="21"/>
              </w:rPr>
              <w:t>勾选打分(0;1.5;3;4.5)</w:t>
            </w:r>
          </w:p>
        </w:tc>
      </w:tr>
    </w:tbl>
    <w:p>
      <w:pPr>
        <w:pStyle w:val="1414"/>
        <w:rPr>
          <w:rFonts w:ascii="宋体" w:hint="eastAsia"/>
          <w:sz w:val="21"/>
          <w:szCs w:val="21"/>
        </w:rPr>
      </w:pPr>
      <w:bookmarkEnd w:id="52"/>
      <w:r>
        <w:rPr>
          <w:rFonts w:ascii="宋体" w:hint="eastAsia"/>
          <w:sz w:val="21"/>
          <w:szCs w:val="21"/>
        </w:rPr>
        <w:t>注：1.评分分值精确到小数点后一位，第二位四舍五入。计算结果精确到小数点后二位，第三位四舍五入。</w:t>
      </w:r>
    </w:p>
    <w:p>
      <w:pPr>
        <w:pStyle w:val="4910"/>
        <w:ind w:firstLine="420"/>
        <w:jc w:val="left"/>
        <w:rPr>
          <w:rFonts w:ascii="宋体" w:eastAsia="宋体" w:hint="eastAsia"/>
          <w:szCs w:val="21"/>
        </w:rPr>
      </w:pPr>
      <w:r>
        <w:rPr>
          <w:rFonts w:ascii="宋体" w:eastAsia="宋体" w:hint="eastAsia"/>
          <w:szCs w:val="21"/>
        </w:rPr>
        <w:t>2. 本项目将对提供了有效声明函的小型和微型企业及提供了相应证明文件的监狱企业制造的产品的价格给予本招标文件规定比例的扣除，用扣除后的价格参与评审打分。</w:t>
      </w:r>
    </w:p>
    <w:p>
      <w:pPr>
        <w:pStyle w:val="a29"/>
        <w:jc w:val="center"/>
        <w:rPr>
          <w:rFonts w:ascii="宋体" w:hint="eastAsia"/>
          <w:color w:val="000000"/>
          <w:sz w:val="21"/>
          <w:szCs w:val="21"/>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docGrid w:linePitch="312" w:charSpace="0"/>
        </w:sectPr>
      </w:pPr>
    </w:p>
    <w:p>
      <w:pPr>
        <w:pStyle w:val="Heading1"/>
        <w:ind w:firstLine="2100" w:firstLineChars="1000"/>
        <w:jc w:val="both"/>
        <w:rPr>
          <w:rFonts w:ascii="宋体" w:hint="eastAsia"/>
          <w:sz w:val="21"/>
          <w:szCs w:val="21"/>
          <w:highlight w:val="white"/>
        </w:rPr>
      </w:pPr>
      <w:bookmarkStart w:id="53" w:name="_Toc65406667"/>
      <w:r>
        <w:rPr>
          <w:rFonts w:ascii="宋体" w:hint="eastAsia"/>
          <w:sz w:val="21"/>
          <w:szCs w:val="21"/>
          <w:highlight w:val="white"/>
        </w:rPr>
        <w:t>第五部分  合同文本</w:t>
      </w:r>
      <w:bookmarkEnd w:id="53"/>
    </w:p>
    <w:p>
      <w:pPr>
        <w:spacing w:line="600" w:lineRule="exact"/>
        <w:jc w:val="center"/>
        <w:rPr>
          <w:rFonts w:ascii="宋体" w:hint="eastAsia"/>
          <w:color w:val="000000"/>
          <w:szCs w:val="21"/>
        </w:rPr>
      </w:pPr>
      <w:bookmarkStart w:id="54" w:name="插入_TBWJGS_CONTRACT"/>
      <w:r>
        <w:rPr>
          <w:rFonts w:ascii="宋体" w:hint="eastAsia"/>
          <w:color w:val="000000"/>
          <w:szCs w:val="21"/>
        </w:rPr>
        <w:t>陆路边境口岸24小时智慧机检应用项目合同书</w:t>
      </w:r>
    </w:p>
    <w:p>
      <w:pPr>
        <w:rPr>
          <w:rFonts w:ascii="宋体" w:hint="eastAsia"/>
          <w:color w:val="000000"/>
          <w:szCs w:val="21"/>
        </w:rPr>
      </w:pPr>
    </w:p>
    <w:p>
      <w:pPr>
        <w:rPr>
          <w:rFonts w:ascii="宋体" w:hint="eastAsia"/>
          <w:color w:val="000000"/>
          <w:szCs w:val="21"/>
        </w:rPr>
      </w:pPr>
      <w:r>
        <w:rPr>
          <w:rFonts w:ascii="宋体" w:hint="eastAsia"/>
          <w:color w:val="000000"/>
          <w:szCs w:val="21"/>
        </w:rPr>
        <w:t>甲方（采购人）:</w:t>
      </w:r>
    </w:p>
    <w:p>
      <w:pPr>
        <w:rPr>
          <w:rFonts w:ascii="宋体" w:hint="eastAsia"/>
          <w:color w:val="000000"/>
          <w:szCs w:val="21"/>
        </w:rPr>
      </w:pPr>
      <w:r>
        <w:rPr>
          <w:rFonts w:ascii="宋体" w:hint="eastAsia"/>
          <w:color w:val="000000"/>
          <w:szCs w:val="21"/>
        </w:rPr>
        <w:t xml:space="preserve">乙方（供应商）:                                  </w:t>
      </w:r>
    </w:p>
    <w:p>
      <w:pPr>
        <w:ind w:firstLine="420" w:firstLineChars="200"/>
        <w:rPr>
          <w:rFonts w:ascii="宋体" w:hint="eastAsia"/>
          <w:color w:val="000000"/>
          <w:szCs w:val="21"/>
        </w:rPr>
      </w:pPr>
      <w:r>
        <w:rPr>
          <w:rFonts w:ascii="宋体" w:hint="eastAsia"/>
          <w:color w:val="000000"/>
          <w:szCs w:val="21"/>
        </w:rPr>
        <w:t>根据</w:t>
      </w:r>
      <w:r>
        <w:rPr>
          <w:rFonts w:ascii="宋体" w:hint="eastAsia"/>
          <w:snapToGrid w:val="0"/>
          <w:color w:val="000000"/>
          <w:kern w:val="0"/>
          <w:szCs w:val="21"/>
        </w:rPr>
        <w:t>《中华人民共和国民法典（合同编）》、</w:t>
      </w:r>
      <w:r>
        <w:rPr>
          <w:rFonts w:ascii="宋体" w:hint="eastAsia"/>
          <w:color w:val="000000"/>
          <w:szCs w:val="21"/>
        </w:rPr>
        <w:t>《中华人民共和国政府采购法》等相关法律规定，甲方对____________采购项目以_____方式进行采购（采购项目编号：________ ），确定乙方为中标人（成交商），现依照招标文件（谈判文件）、投标文件（响应文件）等相关文件的内容，双方达成如下协议：</w:t>
      </w:r>
    </w:p>
    <w:p>
      <w:pPr>
        <w:ind w:firstLine="420" w:firstLineChars="200"/>
        <w:rPr>
          <w:rFonts w:ascii="宋体" w:hint="eastAsia"/>
          <w:b/>
          <w:bCs/>
          <w:color w:val="000000"/>
          <w:szCs w:val="21"/>
        </w:rPr>
      </w:pPr>
      <w:r>
        <w:rPr>
          <w:rFonts w:ascii="宋体" w:hint="eastAsia"/>
          <w:b/>
          <w:bCs/>
          <w:color w:val="000000"/>
          <w:szCs w:val="21"/>
        </w:rPr>
        <w:t>第一条 采购清单及报价</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143"/>
        <w:gridCol w:w="1011"/>
        <w:gridCol w:w="1307"/>
        <w:gridCol w:w="1413"/>
        <w:gridCol w:w="1198"/>
        <w:gridCol w:w="1770"/>
        <w:gridCol w:w="1219"/>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56"/>
          <w:jc w:val="left"/>
        </w:trPr>
        <w:tc>
          <w:tcPr>
            <w:tcW w:w="1142" w:type="dxa"/>
            <w:vMerge w:val="restart"/>
            <w:tcBorders>
              <w:top w:val="single" w:sz="4" w:space="0" w:color="auto"/>
              <w:left w:val="single" w:sz="4" w:space="0" w:color="auto"/>
              <w:bottom w:val="single" w:sz="4" w:space="0" w:color="auto"/>
              <w:right w:val="single" w:sz="4" w:space="0" w:color="auto"/>
            </w:tcBorders>
            <w:vAlign w:val="center"/>
          </w:tcPr>
          <w:p>
            <w:pPr>
              <w:pStyle w:val="7310"/>
              <w:autoSpaceDN w:val="0"/>
              <w:adjustRightInd w:val="0"/>
              <w:snapToGrid w:val="0"/>
              <w:spacing w:line="360" w:lineRule="auto"/>
              <w:jc w:val="center"/>
              <w:rPr>
                <w:rFonts w:hint="eastAsia"/>
                <w:b/>
                <w:bCs/>
                <w:color w:val="000000"/>
              </w:rPr>
            </w:pPr>
            <w:r>
              <w:rPr>
                <w:rFonts w:hint="eastAsia"/>
                <w:b/>
                <w:bCs/>
                <w:color w:val="000000"/>
              </w:rPr>
              <w:t>项目名称</w:t>
            </w:r>
          </w:p>
        </w:tc>
        <w:tc>
          <w:tcPr>
            <w:tcW w:w="4929" w:type="dxa"/>
            <w:gridSpan w:val="4"/>
            <w:tcBorders>
              <w:top w:val="single" w:sz="4" w:space="0" w:color="auto"/>
              <w:left w:val="single" w:sz="4" w:space="0" w:color="auto"/>
              <w:bottom w:val="single" w:sz="4" w:space="0" w:color="auto"/>
              <w:right w:val="single" w:sz="4" w:space="0" w:color="auto"/>
            </w:tcBorders>
            <w:vAlign w:val="center"/>
          </w:tcPr>
          <w:p>
            <w:pPr>
              <w:pStyle w:val="10110"/>
              <w:autoSpaceDN w:val="0"/>
              <w:adjustRightInd w:val="0"/>
              <w:snapToGrid w:val="0"/>
              <w:spacing w:line="360" w:lineRule="auto"/>
              <w:jc w:val="center"/>
              <w:rPr>
                <w:rFonts w:hint="eastAsia"/>
                <w:b/>
                <w:bCs/>
                <w:color w:val="000000"/>
              </w:rPr>
            </w:pPr>
            <w:r>
              <w:rPr>
                <w:rFonts w:hint="eastAsia"/>
                <w:b/>
                <w:bCs/>
                <w:color w:val="000000"/>
              </w:rPr>
              <w:t>数量（人天数）</w:t>
            </w:r>
          </w:p>
        </w:tc>
        <w:tc>
          <w:tcPr>
            <w:tcW w:w="1770" w:type="dxa"/>
            <w:vMerge w:val="restart"/>
            <w:tcBorders>
              <w:top w:val="single" w:sz="4" w:space="0" w:color="auto"/>
              <w:left w:val="single" w:sz="4" w:space="0" w:color="auto"/>
              <w:bottom w:val="single" w:sz="4" w:space="0" w:color="auto"/>
              <w:right w:val="single" w:sz="4" w:space="0" w:color="auto"/>
            </w:tcBorders>
            <w:vAlign w:val="center"/>
          </w:tcPr>
          <w:p>
            <w:pPr>
              <w:pStyle w:val="7410"/>
              <w:autoSpaceDN w:val="0"/>
              <w:adjustRightInd w:val="0"/>
              <w:snapToGrid w:val="0"/>
              <w:spacing w:line="360" w:lineRule="auto"/>
              <w:jc w:val="center"/>
              <w:rPr>
                <w:rFonts w:hint="eastAsia"/>
                <w:b/>
                <w:bCs/>
                <w:color w:val="000000"/>
              </w:rPr>
            </w:pPr>
            <w:r>
              <w:rPr>
                <w:rFonts w:hint="eastAsia"/>
                <w:b/>
                <w:bCs/>
                <w:color w:val="000000"/>
              </w:rPr>
              <w:t>单价（元）</w:t>
            </w:r>
          </w:p>
        </w:tc>
        <w:tc>
          <w:tcPr>
            <w:tcW w:w="1219" w:type="dxa"/>
            <w:vMerge w:val="restart"/>
            <w:tcBorders>
              <w:top w:val="single" w:sz="4" w:space="0" w:color="auto"/>
              <w:left w:val="single" w:sz="4" w:space="0" w:color="auto"/>
              <w:bottom w:val="single" w:sz="4" w:space="0" w:color="auto"/>
              <w:right w:val="single" w:sz="4" w:space="0" w:color="auto"/>
            </w:tcBorders>
            <w:vAlign w:val="center"/>
          </w:tcPr>
          <w:p>
            <w:pPr>
              <w:pStyle w:val="75100"/>
              <w:autoSpaceDN w:val="0"/>
              <w:adjustRightInd w:val="0"/>
              <w:snapToGrid w:val="0"/>
              <w:spacing w:line="360" w:lineRule="auto"/>
              <w:jc w:val="center"/>
              <w:rPr>
                <w:rFonts w:hint="eastAsia"/>
                <w:b/>
                <w:bCs/>
                <w:color w:val="000000"/>
              </w:rPr>
            </w:pPr>
            <w:r>
              <w:rPr>
                <w:rFonts w:hint="eastAsia"/>
                <w:b/>
                <w:bCs/>
                <w:color w:val="000000"/>
              </w:rPr>
              <w:t>合计（元）</w:t>
            </w:r>
          </w:p>
        </w:tc>
      </w:tr>
      <w:tr>
        <w:tblPrEx>
          <w:tblW w:w="9061" w:type="dxa"/>
          <w:jc w:val="left"/>
          <w:tblInd w:w="0" w:type="dxa"/>
          <w:tblLayout w:type="fixed"/>
          <w:tblCellMar>
            <w:top w:w="0" w:type="dxa"/>
            <w:left w:w="108" w:type="dxa"/>
            <w:bottom w:w="0" w:type="dxa"/>
            <w:right w:w="108" w:type="dxa"/>
          </w:tblCellMar>
        </w:tblPrEx>
        <w:trPr>
          <w:trHeight w:val="456"/>
          <w:jc w:val="left"/>
        </w:trPr>
        <w:tc>
          <w:tcPr>
            <w:tcW w:w="1142" w:type="dxa"/>
            <w:vMerge/>
            <w:tcBorders>
              <w:top w:val="single" w:sz="4" w:space="0" w:color="auto"/>
              <w:left w:val="single" w:sz="4" w:space="0" w:color="auto"/>
              <w:bottom w:val="single" w:sz="4" w:space="0" w:color="auto"/>
              <w:right w:val="single" w:sz="4" w:space="0" w:color="auto"/>
            </w:tcBorders>
            <w:vAlign w:val="center"/>
          </w:tcPr>
          <w:p/>
        </w:tc>
        <w:tc>
          <w:tcPr>
            <w:tcW w:w="1011"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rFonts w:hint="eastAsia"/>
                <w:b/>
                <w:bCs/>
                <w:color w:val="000000"/>
              </w:rPr>
            </w:pPr>
            <w:r>
              <w:rPr>
                <w:rFonts w:hint="eastAsia"/>
                <w:b/>
                <w:bCs/>
                <w:color w:val="000000"/>
              </w:rPr>
              <w:t>需求分析及系统设计</w:t>
            </w:r>
          </w:p>
        </w:tc>
        <w:tc>
          <w:tcPr>
            <w:tcW w:w="1307"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rFonts w:hint="eastAsia"/>
                <w:b/>
                <w:bCs/>
                <w:color w:val="000000"/>
              </w:rPr>
            </w:pPr>
            <w:r>
              <w:rPr>
                <w:rFonts w:hint="eastAsia"/>
                <w:b/>
                <w:bCs/>
                <w:color w:val="000000"/>
              </w:rPr>
              <w:t>程序开发</w:t>
            </w:r>
          </w:p>
        </w:tc>
        <w:tc>
          <w:tcPr>
            <w:tcW w:w="1413"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rFonts w:hint="eastAsia"/>
                <w:b/>
                <w:bCs/>
                <w:color w:val="000000"/>
              </w:rPr>
            </w:pPr>
            <w:r>
              <w:rPr>
                <w:rFonts w:hint="eastAsia"/>
                <w:b/>
                <w:bCs/>
                <w:color w:val="000000"/>
              </w:rPr>
              <w:t>软件测试</w:t>
            </w:r>
          </w:p>
        </w:tc>
        <w:tc>
          <w:tcPr>
            <w:tcW w:w="1198"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rFonts w:hint="eastAsia"/>
                <w:b/>
                <w:bCs/>
                <w:color w:val="000000"/>
              </w:rPr>
            </w:pPr>
            <w:r>
              <w:rPr>
                <w:rFonts w:hint="eastAsia"/>
                <w:b/>
                <w:bCs/>
                <w:color w:val="000000"/>
              </w:rPr>
              <w:t>...</w:t>
            </w:r>
          </w:p>
        </w:tc>
        <w:tc>
          <w:tcPr>
            <w:tcW w:w="1770" w:type="dxa"/>
            <w:vMerge/>
            <w:tcBorders>
              <w:top w:val="single" w:sz="4" w:space="0" w:color="auto"/>
              <w:left w:val="single" w:sz="4" w:space="0" w:color="auto"/>
              <w:bottom w:val="single" w:sz="4" w:space="0" w:color="auto"/>
              <w:right w:val="single" w:sz="4" w:space="0" w:color="auto"/>
            </w:tcBorders>
            <w:vAlign w:val="center"/>
          </w:tcPr>
          <w:p/>
        </w:tc>
        <w:tc>
          <w:tcPr>
            <w:tcW w:w="1219" w:type="dxa"/>
            <w:vMerge/>
            <w:tcBorders>
              <w:top w:val="single" w:sz="4" w:space="0" w:color="auto"/>
              <w:left w:val="single" w:sz="4" w:space="0" w:color="auto"/>
              <w:bottom w:val="single" w:sz="4" w:space="0" w:color="auto"/>
              <w:right w:val="single" w:sz="4" w:space="0" w:color="auto"/>
            </w:tcBorders>
            <w:vAlign w:val="center"/>
          </w:tc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rPr>
            </w:pPr>
            <w:r>
              <w:rPr>
                <w:rFonts w:hint="eastAsia"/>
                <w:b/>
                <w:bCs/>
                <w:color w:val="000000"/>
              </w:rPr>
              <w:t>……</w:t>
            </w:r>
          </w:p>
        </w:tc>
        <w:tc>
          <w:tcPr>
            <w:tcW w:w="1011"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rPr>
            </w:pPr>
          </w:p>
        </w:tc>
        <w:tc>
          <w:tcPr>
            <w:tcW w:w="1307"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rPr>
            </w:pPr>
          </w:p>
        </w:tc>
        <w:tc>
          <w:tcPr>
            <w:tcW w:w="1413"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1010"/>
              <w:autoSpaceDN w:val="0"/>
              <w:adjustRightInd w:val="0"/>
              <w:snapToGrid w:val="0"/>
              <w:spacing w:line="360" w:lineRule="auto"/>
              <w:jc w:val="center"/>
              <w:rPr>
                <w:rFonts w:hint="eastAsia"/>
                <w:b/>
                <w:bCs/>
                <w:color w:val="000000"/>
                <w:highlight w:val="yellow"/>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9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rPr>
            </w:pPr>
            <w:r>
              <w:rPr>
                <w:rFonts w:hint="eastAsia"/>
                <w:b/>
                <w:bCs/>
                <w:color w:val="000000"/>
              </w:rPr>
              <w:t>……</w:t>
            </w:r>
          </w:p>
        </w:tc>
        <w:tc>
          <w:tcPr>
            <w:tcW w:w="1011"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rPr>
            </w:pPr>
          </w:p>
        </w:tc>
        <w:tc>
          <w:tcPr>
            <w:tcW w:w="1307"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rPr>
            </w:pPr>
          </w:p>
        </w:tc>
        <w:tc>
          <w:tcPr>
            <w:tcW w:w="1413"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1010"/>
              <w:autoSpaceDN w:val="0"/>
              <w:adjustRightInd w:val="0"/>
              <w:snapToGrid w:val="0"/>
              <w:spacing w:line="360" w:lineRule="auto"/>
              <w:jc w:val="center"/>
              <w:rPr>
                <w:rFonts w:hint="eastAsia"/>
                <w:b/>
                <w:bCs/>
                <w:color w:val="000000"/>
                <w:highlight w:val="yellow"/>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9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542"/>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highlight w:val="yellow"/>
              </w:rPr>
            </w:pPr>
            <w:r>
              <w:rPr>
                <w:rFonts w:hint="eastAsia"/>
                <w:b/>
                <w:bCs/>
                <w:color w:val="000000"/>
              </w:rPr>
              <w:t xml:space="preserve">                                                  实施服务</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8010"/>
              <w:autoSpaceDN w:val="0"/>
              <w:adjustRightInd w:val="0"/>
              <w:snapToGrid w:val="0"/>
              <w:spacing w:line="360" w:lineRule="auto"/>
              <w:jc w:val="center"/>
              <w:rPr>
                <w:rFonts w:hint="eastAsia"/>
                <w:b/>
                <w:bCs/>
                <w:color w:val="000000"/>
                <w:u w:val="single"/>
              </w:rPr>
            </w:pPr>
            <w:r>
              <w:rPr>
                <w:rFonts w:hint="eastAsia"/>
                <w:b/>
                <w:bCs/>
                <w:color w:val="000000"/>
              </w:rPr>
              <w:t xml:space="preserve">                                     </w:t>
            </w:r>
          </w:p>
          <w:p>
            <w:pPr>
              <w:pStyle w:val="81100"/>
              <w:autoSpaceDN w:val="0"/>
              <w:adjustRightInd w:val="0"/>
              <w:snapToGrid w:val="0"/>
              <w:spacing w:line="360" w:lineRule="auto"/>
              <w:jc w:val="center"/>
              <w:rPr>
                <w:rFonts w:hint="eastAsia"/>
                <w:b/>
                <w:bCs/>
                <w:color w:val="000000"/>
              </w:rPr>
            </w:pPr>
            <w:r>
              <w:rPr>
                <w:rFonts w:hint="eastAsia"/>
                <w:b/>
                <w:bCs/>
                <w:color w:val="000000"/>
              </w:rPr>
              <w:t xml:space="preserve">                                                                  </w:t>
            </w:r>
          </w:p>
          <w:p>
            <w:pPr>
              <w:pStyle w:val="82100"/>
              <w:autoSpaceDN w:val="0"/>
              <w:adjustRightInd w:val="0"/>
              <w:snapToGrid w:val="0"/>
              <w:spacing w:line="360" w:lineRule="auto"/>
              <w:jc w:val="center"/>
              <w:rPr>
                <w:rFonts w:hint="eastAsia"/>
                <w:b/>
                <w:bCs/>
                <w:color w:val="000000"/>
              </w:rPr>
            </w:pPr>
            <w:r>
              <w:rPr>
                <w:rFonts w:hint="eastAsia"/>
                <w:b/>
                <w:bCs/>
                <w:color w:val="000000"/>
              </w:rPr>
              <w:t xml:space="preserve">                                                                                                        </w:t>
            </w:r>
          </w:p>
        </w:tc>
        <w:tc>
          <w:tcPr>
            <w:tcW w:w="1198" w:type="dxa"/>
            <w:tcBorders>
              <w:top w:val="single" w:sz="4" w:space="0" w:color="auto"/>
              <w:left w:val="single" w:sz="4" w:space="0" w:color="auto"/>
              <w:bottom w:val="single" w:sz="4" w:space="0" w:color="auto"/>
              <w:right w:val="single" w:sz="4" w:space="0" w:color="auto"/>
            </w:tcBorders>
            <w:vAlign w:val="center"/>
          </w:tcPr>
          <w:p>
            <w:pPr>
              <w:pStyle w:val="80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649"/>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r>
              <w:rPr>
                <w:rFonts w:hint="eastAsia"/>
                <w:b/>
                <w:bCs/>
                <w:color w:val="000000"/>
              </w:rPr>
              <w:t>售后服务</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r>
              <w:rPr>
                <w:rFonts w:hint="eastAsia"/>
                <w:b/>
                <w:bCs/>
                <w:color w:val="000000"/>
              </w:rPr>
              <w:t>其他</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841" w:type="dxa"/>
            <w:gridSpan w:val="6"/>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r>
              <w:rPr>
                <w:rFonts w:hint="eastAsia"/>
                <w:b/>
                <w:bCs/>
                <w:color w:val="000000"/>
              </w:rPr>
              <w:t xml:space="preserve">                                            合同总价</w:t>
            </w: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highlight w:val="yellow"/>
              </w:rPr>
            </w:pPr>
          </w:p>
        </w:tc>
      </w:tr>
    </w:tbl>
    <w:p>
      <w:pPr>
        <w:ind w:firstLine="420" w:firstLineChars="200"/>
        <w:rPr>
          <w:rFonts w:ascii="宋体" w:hint="eastAsia"/>
          <w:b/>
          <w:bCs/>
          <w:color w:val="000000"/>
          <w:szCs w:val="21"/>
        </w:rPr>
      </w:pPr>
      <w:r>
        <w:rPr>
          <w:rFonts w:ascii="宋体" w:hint="eastAsia"/>
          <w:b/>
          <w:bCs/>
          <w:color w:val="000000"/>
          <w:szCs w:val="21"/>
        </w:rPr>
        <w:t>第二条 合同总价款</w:t>
      </w:r>
    </w:p>
    <w:p>
      <w:pPr>
        <w:ind w:firstLine="420" w:firstLineChars="200"/>
        <w:rPr>
          <w:rFonts w:ascii="宋体" w:hint="eastAsia"/>
          <w:color w:val="000000"/>
          <w:szCs w:val="21"/>
        </w:rPr>
      </w:pPr>
      <w:r>
        <w:rPr>
          <w:rFonts w:ascii="宋体" w:hint="eastAsia"/>
          <w:color w:val="000000"/>
          <w:szCs w:val="21"/>
        </w:rPr>
        <w:t>本合同总价款（人民币大写） __________元（含税）。除上述款项外，乙方不得向甲方（用户）主张其他任何费用，详见附件分项报价表。</w:t>
      </w:r>
    </w:p>
    <w:p>
      <w:pPr>
        <w:ind w:firstLine="420" w:firstLineChars="200"/>
        <w:rPr>
          <w:rFonts w:ascii="宋体" w:hint="eastAsia"/>
          <w:b/>
          <w:bCs/>
          <w:color w:val="000000"/>
          <w:szCs w:val="21"/>
        </w:rPr>
      </w:pPr>
      <w:r>
        <w:rPr>
          <w:rFonts w:ascii="宋体" w:hint="eastAsia"/>
          <w:b/>
          <w:bCs/>
          <w:color w:val="000000"/>
          <w:szCs w:val="21"/>
        </w:rPr>
        <w:t>第三条 付款条件</w:t>
      </w:r>
    </w:p>
    <w:p>
      <w:pPr>
        <w:ind w:firstLine="420" w:firstLineChars="200"/>
        <w:rPr>
          <w:rFonts w:ascii="宋体" w:hint="eastAsia"/>
          <w:color w:val="000000"/>
          <w:szCs w:val="21"/>
        </w:rPr>
      </w:pPr>
      <w:r>
        <w:rPr>
          <w:rFonts w:ascii="宋体" w:hint="eastAsia"/>
          <w:color w:val="000000"/>
          <w:szCs w:val="21"/>
        </w:rPr>
        <w:t>（一）本合同以人民币付款。</w:t>
      </w:r>
    </w:p>
    <w:p>
      <w:pPr>
        <w:ind w:firstLine="420" w:firstLineChars="200"/>
        <w:rPr>
          <w:rFonts w:ascii="宋体" w:hint="eastAsia"/>
          <w:color w:val="000000"/>
          <w:szCs w:val="21"/>
        </w:rPr>
      </w:pPr>
      <w:r>
        <w:rPr>
          <w:rFonts w:ascii="宋体" w:hint="eastAsia"/>
          <w:color w:val="000000"/>
          <w:szCs w:val="21"/>
        </w:rPr>
        <w:t>（二）付款办法：</w:t>
      </w:r>
    </w:p>
    <w:p>
      <w:pPr>
        <w:ind w:firstLine="420" w:firstLineChars="200"/>
        <w:rPr>
          <w:rFonts w:ascii="宋体" w:hint="eastAsia"/>
          <w:color w:val="000000"/>
          <w:szCs w:val="21"/>
        </w:rPr>
      </w:pPr>
      <w:r>
        <w:rPr>
          <w:rFonts w:ascii="宋体" w:hint="eastAsia"/>
          <w:color w:val="000000"/>
          <w:szCs w:val="21"/>
        </w:rPr>
        <w:t>1.乙方向甲方交付履约保证金，并提交下列单据之日起10个工作日内，甲方向乙方支付合同总价</w:t>
      </w:r>
      <w:r>
        <w:rPr>
          <w:rFonts w:ascii="宋体" w:hint="eastAsia"/>
          <w:color w:val="000000"/>
          <w:szCs w:val="21"/>
          <w:u w:val="single"/>
        </w:rPr>
        <w:t xml:space="preserve">  30  </w:t>
      </w:r>
      <w:r>
        <w:rPr>
          <w:rFonts w:ascii="宋体" w:hint="eastAsia"/>
          <w:color w:val="000000"/>
          <w:szCs w:val="21"/>
        </w:rPr>
        <w:t>%合同款（</w:t>
      </w:r>
      <w:r>
        <w:rPr>
          <w:rFonts w:ascii="宋体" w:hint="eastAsia"/>
          <w:color w:val="000000"/>
          <w:szCs w:val="21"/>
          <w:u w:val="single"/>
        </w:rPr>
        <w:t>金额</w:t>
      </w:r>
      <w:r>
        <w:rPr>
          <w:rFonts w:ascii="宋体" w:hint="eastAsia"/>
          <w:color w:val="000000"/>
          <w:szCs w:val="21"/>
        </w:rPr>
        <w:t>）。</w:t>
      </w:r>
    </w:p>
    <w:p>
      <w:pPr>
        <w:ind w:firstLine="420" w:firstLineChars="200"/>
        <w:rPr>
          <w:rFonts w:ascii="宋体" w:hint="eastAsia"/>
          <w:color w:val="000000"/>
          <w:szCs w:val="21"/>
        </w:rPr>
      </w:pPr>
      <w:r>
        <w:rPr>
          <w:rFonts w:ascii="宋体" w:hint="eastAsia"/>
          <w:color w:val="000000"/>
          <w:szCs w:val="21"/>
        </w:rPr>
        <w:t>乙方提交单据：合同（正文部分复印件）、中标通知书（或成交通知书）、发票（原件）、履约保证金单据。</w:t>
      </w:r>
    </w:p>
    <w:p>
      <w:pPr>
        <w:ind w:firstLine="420" w:firstLineChars="200"/>
        <w:rPr>
          <w:rFonts w:ascii="宋体" w:hint="eastAsia"/>
          <w:color w:val="000000"/>
          <w:szCs w:val="21"/>
        </w:rPr>
      </w:pPr>
      <w:r>
        <w:rPr>
          <w:rFonts w:ascii="宋体" w:hint="eastAsia"/>
          <w:color w:val="000000"/>
          <w:szCs w:val="21"/>
        </w:rPr>
        <w:t>2.乙方完成系统功能开发，具备上线条件，并向甲方提交下列单据之日起10个工作日内，甲方向乙方支付合同总价</w:t>
      </w:r>
      <w:r>
        <w:rPr>
          <w:rFonts w:ascii="宋体" w:hint="eastAsia"/>
          <w:color w:val="000000"/>
          <w:szCs w:val="21"/>
          <w:u w:val="single"/>
        </w:rPr>
        <w:t xml:space="preserve">  50  </w:t>
      </w:r>
      <w:r>
        <w:rPr>
          <w:rFonts w:ascii="宋体" w:hint="eastAsia"/>
          <w:color w:val="000000"/>
          <w:szCs w:val="21"/>
        </w:rPr>
        <w:t>%合同款（</w:t>
      </w:r>
      <w:r>
        <w:rPr>
          <w:rFonts w:ascii="宋体" w:hint="eastAsia"/>
          <w:color w:val="000000"/>
          <w:szCs w:val="21"/>
          <w:u w:val="single"/>
        </w:rPr>
        <w:t>金额</w:t>
      </w:r>
      <w:r>
        <w:rPr>
          <w:rFonts w:ascii="宋体" w:hint="eastAsia"/>
          <w:color w:val="000000"/>
          <w:szCs w:val="21"/>
        </w:rPr>
        <w:t>）。</w:t>
      </w:r>
    </w:p>
    <w:p>
      <w:pPr>
        <w:ind w:firstLine="420" w:firstLineChars="200"/>
        <w:rPr>
          <w:rFonts w:ascii="宋体" w:hint="eastAsia"/>
          <w:color w:val="000000"/>
          <w:szCs w:val="21"/>
        </w:rPr>
      </w:pPr>
      <w:r>
        <w:rPr>
          <w:rFonts w:ascii="宋体" w:hint="eastAsia"/>
          <w:color w:val="000000"/>
          <w:szCs w:val="21"/>
        </w:rPr>
        <w:t>乙方提交单据：合同（正文部分复印件）、中标通知书（或成交通知书）、发票（原件）、上线证明（原件）。</w:t>
      </w:r>
    </w:p>
    <w:p>
      <w:pPr>
        <w:ind w:firstLine="420" w:firstLineChars="200"/>
        <w:rPr>
          <w:rFonts w:ascii="宋体" w:hint="eastAsia"/>
          <w:color w:val="000000"/>
          <w:szCs w:val="21"/>
        </w:rPr>
      </w:pPr>
      <w:r>
        <w:rPr>
          <w:rFonts w:ascii="宋体" w:hint="eastAsia"/>
          <w:color w:val="000000"/>
          <w:szCs w:val="21"/>
        </w:rPr>
        <w:t>3.乙方完成全部服务内容，经甲方组织的合同验收通过，并向甲方提交下列单据之日起10个工作日内，甲方向乙方支付合同总价</w:t>
      </w:r>
      <w:r>
        <w:rPr>
          <w:rFonts w:ascii="宋体" w:hint="eastAsia"/>
          <w:color w:val="000000"/>
          <w:szCs w:val="21"/>
          <w:u w:val="single"/>
        </w:rPr>
        <w:t xml:space="preserve">  20  </w:t>
      </w:r>
      <w:r>
        <w:rPr>
          <w:rFonts w:ascii="宋体" w:hint="eastAsia"/>
          <w:color w:val="000000"/>
          <w:szCs w:val="21"/>
        </w:rPr>
        <w:t>%合同款（金额）。</w:t>
      </w:r>
    </w:p>
    <w:p>
      <w:pPr>
        <w:ind w:firstLine="420" w:firstLineChars="200"/>
        <w:rPr>
          <w:rFonts w:ascii="宋体" w:hint="eastAsia"/>
          <w:color w:val="000000"/>
          <w:szCs w:val="21"/>
        </w:rPr>
      </w:pPr>
      <w:r>
        <w:rPr>
          <w:rFonts w:ascii="宋体" w:hint="eastAsia"/>
          <w:color w:val="000000"/>
          <w:szCs w:val="21"/>
        </w:rPr>
        <w:t>乙方提交单据：合同（正文部分复印件）、中标通知书（或成交通知书）、发票（原件）、合同验收合格报告（原件）。</w:t>
      </w:r>
    </w:p>
    <w:p>
      <w:pPr>
        <w:ind w:firstLine="420" w:firstLineChars="200"/>
        <w:rPr>
          <w:rFonts w:ascii="宋体" w:hint="eastAsia"/>
          <w:color w:val="000000"/>
          <w:szCs w:val="21"/>
        </w:rPr>
      </w:pPr>
      <w:r>
        <w:rPr>
          <w:rFonts w:ascii="宋体" w:hint="eastAsia"/>
          <w:color w:val="000000"/>
          <w:szCs w:val="21"/>
        </w:rPr>
        <w:t>4.因财政集中支付延误时间不计算在内，乙方提交付款单据延迟、缺失及账户信息错误的，甲方有权相应顺延付款期限，且甲方不承担延误付款责任。</w:t>
      </w:r>
    </w:p>
    <w:p>
      <w:pPr>
        <w:pStyle w:val="47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rPr>
              <w:t>收款单位全称</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rPr>
              <w:t>开户银行</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rPr>
              <w:t>账号</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bl>
    <w:p>
      <w:pPr>
        <w:ind w:firstLine="420" w:firstLineChars="200"/>
        <w:rPr>
          <w:rFonts w:ascii="宋体" w:hint="eastAsia"/>
          <w:b/>
          <w:bCs/>
          <w:color w:val="000000"/>
          <w:szCs w:val="21"/>
        </w:rPr>
      </w:pPr>
      <w:r>
        <w:rPr>
          <w:rFonts w:ascii="宋体" w:hint="eastAsia"/>
          <w:b/>
          <w:bCs/>
          <w:color w:val="000000"/>
          <w:szCs w:val="21"/>
        </w:rPr>
        <w:t>第四条 履约保证金</w:t>
      </w:r>
    </w:p>
    <w:p>
      <w:pPr>
        <w:ind w:firstLine="420" w:firstLineChars="200"/>
        <w:rPr>
          <w:rFonts w:ascii="宋体" w:hint="eastAsia"/>
          <w:color w:val="000000"/>
          <w:szCs w:val="21"/>
          <w:highlight w:val="yellow"/>
        </w:rPr>
      </w:pPr>
      <w:r>
        <w:rPr>
          <w:rFonts w:ascii="宋体" w:hint="eastAsia"/>
          <w:color w:val="000000"/>
          <w:szCs w:val="21"/>
        </w:rPr>
        <w:t>（一）合同签订之日起</w:t>
      </w:r>
      <w:r>
        <w:rPr>
          <w:rFonts w:ascii="宋体" w:hint="eastAsia"/>
          <w:color w:val="000000"/>
          <w:szCs w:val="21"/>
          <w:u w:val="single"/>
        </w:rPr>
        <w:t>10</w:t>
      </w:r>
      <w:r>
        <w:rPr>
          <w:rFonts w:ascii="宋体" w:hint="eastAsia"/>
          <w:color w:val="000000"/>
          <w:szCs w:val="21"/>
        </w:rPr>
        <w:t>个工作日内，乙方须按合同金额的</w:t>
      </w:r>
      <w:r>
        <w:rPr>
          <w:rFonts w:ascii="宋体" w:hint="eastAsia"/>
          <w:color w:val="000000"/>
          <w:szCs w:val="21"/>
          <w:u w:val="single"/>
        </w:rPr>
        <w:t xml:space="preserve">  5  </w:t>
      </w:r>
      <w:r>
        <w:rPr>
          <w:rFonts w:ascii="宋体" w:hint="eastAsia"/>
          <w:color w:val="000000"/>
          <w:szCs w:val="21"/>
        </w:rPr>
        <w:t>%向甲方交纳履约保证金。如果乙方未按照约定时间交付履约保证金的，甲方有权单方面解除合同。</w:t>
      </w:r>
    </w:p>
    <w:p>
      <w:pPr>
        <w:ind w:firstLine="420" w:firstLineChars="200"/>
        <w:rPr>
          <w:rFonts w:ascii="宋体" w:hint="eastAsia"/>
          <w:color w:val="000000"/>
          <w:szCs w:val="21"/>
        </w:rPr>
      </w:pPr>
      <w:r>
        <w:rPr>
          <w:rFonts w:ascii="宋体" w:hint="eastAsia"/>
          <w:color w:val="000000"/>
          <w:szCs w:val="21"/>
        </w:rPr>
        <w:t>（二）履约保证金以非现金银行保函形式向甲方提供。</w:t>
      </w:r>
    </w:p>
    <w:p>
      <w:pPr>
        <w:ind w:firstLine="420" w:firstLineChars="200"/>
        <w:rPr>
          <w:rFonts w:ascii="宋体" w:hint="eastAsia"/>
          <w:color w:val="000000"/>
          <w:szCs w:val="21"/>
        </w:rPr>
      </w:pPr>
      <w:r>
        <w:rPr>
          <w:rFonts w:ascii="宋体" w:hint="eastAsia"/>
          <w:color w:val="000000"/>
          <w:szCs w:val="21"/>
        </w:rPr>
        <w:t>（三）履约保证金有效期：自提交保证金之日起至项目质保期满后30个日历日止（因乙方原因造成延期履约的，履约保证金相应顺延）。</w:t>
      </w:r>
    </w:p>
    <w:p>
      <w:pPr>
        <w:ind w:firstLine="420" w:firstLineChars="200"/>
        <w:rPr>
          <w:rFonts w:ascii="宋体" w:hint="eastAsia"/>
          <w:color w:val="000000"/>
          <w:szCs w:val="21"/>
        </w:rPr>
      </w:pPr>
      <w:r>
        <w:rPr>
          <w:rFonts w:ascii="宋体" w:hint="eastAsia"/>
          <w:color w:val="000000"/>
          <w:szCs w:val="21"/>
        </w:rPr>
        <w:t>（四）如乙方未能履行合同规定的义务，致使合同目的不能实现，甲方有权向出具保函的机构要求兑付。</w:t>
      </w:r>
    </w:p>
    <w:p>
      <w:pPr>
        <w:ind w:firstLine="420" w:firstLineChars="200"/>
        <w:rPr>
          <w:rFonts w:ascii="宋体" w:hint="eastAsia"/>
          <w:b/>
          <w:bCs/>
          <w:color w:val="000000"/>
          <w:szCs w:val="21"/>
        </w:rPr>
      </w:pPr>
      <w:r>
        <w:rPr>
          <w:rFonts w:ascii="宋体" w:hint="eastAsia"/>
          <w:b/>
          <w:bCs/>
          <w:color w:val="000000"/>
          <w:szCs w:val="21"/>
        </w:rPr>
        <w:t>第五条  工作进度要求及履行地点</w:t>
      </w:r>
    </w:p>
    <w:p>
      <w:pPr>
        <w:pStyle w:val="50100"/>
        <w:spacing w:line="480" w:lineRule="atLeast"/>
        <w:ind w:firstLine="480"/>
        <w:jc w:val="left"/>
        <w:rPr>
          <w:rFonts w:ascii="宋体" w:hint="eastAsia"/>
          <w:color w:val="000000"/>
          <w:szCs w:val="21"/>
        </w:rPr>
      </w:pPr>
      <w:r>
        <w:rPr>
          <w:rFonts w:ascii="宋体" w:cs="宋体" w:hint="eastAsia"/>
          <w:color w:val="000000"/>
          <w:szCs w:val="21"/>
        </w:rPr>
        <w:t>（一）本技术服务工期</w:t>
      </w:r>
      <w:r>
        <w:rPr>
          <w:rFonts w:ascii="宋体" w:cs="宋体" w:hint="eastAsia"/>
          <w:color w:val="000000"/>
          <w:szCs w:val="21"/>
          <w:u w:val="single"/>
        </w:rPr>
        <w:t xml:space="preserve">   </w:t>
      </w:r>
      <w:r>
        <w:rPr>
          <w:rFonts w:ascii="宋体" w:cs="宋体" w:hint="eastAsia"/>
          <w:color w:val="000000"/>
          <w:szCs w:val="21"/>
        </w:rPr>
        <w:t>个月，要求合同签订之日起</w:t>
      </w:r>
      <w:r>
        <w:rPr>
          <w:rFonts w:ascii="宋体" w:cs="宋体" w:hint="eastAsia"/>
          <w:color w:val="000000"/>
          <w:szCs w:val="21"/>
          <w:u w:val="single"/>
        </w:rPr>
        <w:t xml:space="preserve">    </w:t>
      </w:r>
      <w:r>
        <w:rPr>
          <w:rFonts w:ascii="宋体" w:cs="宋体" w:hint="eastAsia"/>
          <w:color w:val="000000"/>
          <w:szCs w:val="21"/>
        </w:rPr>
        <w:t>个月内完成合同约定的所有服务内容（以乙方满足招标文件/谈判文件/询价通知书/磋商文件/单一来源采购文件要求及投标文件/响应文件应答的基础上的承诺为准）。</w:t>
      </w:r>
    </w:p>
    <w:p>
      <w:pPr>
        <w:pStyle w:val="50100"/>
        <w:spacing w:line="480" w:lineRule="atLeast"/>
        <w:ind w:firstLine="480"/>
        <w:rPr>
          <w:rFonts w:ascii="宋体" w:cs="宋体" w:hint="eastAsia"/>
          <w:color w:val="000000"/>
          <w:szCs w:val="21"/>
        </w:rPr>
      </w:pPr>
      <w:r>
        <w:rPr>
          <w:rFonts w:ascii="宋体" w:cs="宋体" w:hint="eastAsia"/>
          <w:color w:val="000000"/>
          <w:szCs w:val="21"/>
        </w:rPr>
        <w:t>（二）因甲方（用户）原因造成乙方不能按期完成工作的，经甲方（用户）书面确认后，乙方工期可以顺延，顺延的日期与甲方（用户）造成乙方不能正常工作的日期相等。</w:t>
      </w:r>
    </w:p>
    <w:p>
      <w:pPr>
        <w:pStyle w:val="50100"/>
        <w:spacing w:line="480" w:lineRule="atLeast"/>
        <w:ind w:firstLine="480"/>
        <w:rPr>
          <w:rFonts w:ascii="宋体" w:hint="eastAsia"/>
          <w:color w:val="000000"/>
          <w:szCs w:val="21"/>
        </w:rPr>
      </w:pPr>
      <w:r>
        <w:rPr>
          <w:rFonts w:ascii="宋体" w:cs="宋体" w:hint="eastAsia"/>
          <w:color w:val="000000"/>
          <w:szCs w:val="21"/>
        </w:rPr>
        <w:t>（三）履行地点：甲方指定地点。</w:t>
      </w:r>
    </w:p>
    <w:p>
      <w:pPr>
        <w:pStyle w:val="32"/>
        <w:ind w:firstLine="420" w:firstLineChars="200"/>
        <w:rPr>
          <w:rFonts w:ascii="宋体" w:cs="宋体" w:hint="eastAsia"/>
          <w:b/>
          <w:bCs/>
          <w:color w:val="000000"/>
          <w:szCs w:val="21"/>
        </w:rPr>
      </w:pPr>
      <w:r>
        <w:rPr>
          <w:rFonts w:ascii="宋体" w:cs="宋体" w:hint="eastAsia"/>
          <w:b/>
          <w:bCs/>
          <w:color w:val="000000"/>
          <w:szCs w:val="21"/>
        </w:rPr>
        <w:t>第六条 验收</w:t>
      </w:r>
    </w:p>
    <w:p>
      <w:pPr>
        <w:pStyle w:val="5210"/>
        <w:spacing w:line="480" w:lineRule="atLeast"/>
        <w:ind w:firstLine="422" w:firstLineChars="201"/>
        <w:rPr>
          <w:rFonts w:ascii="宋体" w:eastAsia="宋体" w:cs="宋体" w:hint="eastAsia"/>
          <w:color w:val="000000"/>
        </w:rPr>
      </w:pPr>
      <w:r>
        <w:rPr>
          <w:rFonts w:ascii="宋体" w:eastAsia="宋体" w:cs="宋体" w:hint="eastAsia"/>
          <w:color w:val="000000"/>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32"/>
        <w:ind w:firstLine="420" w:firstLineChars="200"/>
        <w:rPr>
          <w:rFonts w:ascii="宋体" w:hint="eastAsia"/>
          <w:color w:val="000000"/>
          <w:szCs w:val="21"/>
        </w:rPr>
      </w:pPr>
      <w:r>
        <w:rPr>
          <w:rFonts w:ascii="宋体" w:hint="eastAsia"/>
          <w:b/>
          <w:bCs/>
          <w:color w:val="000000"/>
          <w:szCs w:val="21"/>
        </w:rPr>
        <w:t>第七条 质量保证</w:t>
      </w:r>
    </w:p>
    <w:p>
      <w:pPr>
        <w:ind w:firstLine="420" w:firstLineChars="200"/>
        <w:rPr>
          <w:rFonts w:ascii="宋体" w:hint="eastAsia"/>
          <w:color w:val="000000"/>
          <w:szCs w:val="21"/>
        </w:rPr>
      </w:pPr>
      <w:r>
        <w:rPr>
          <w:rFonts w:ascii="宋体" w:hint="eastAsia"/>
          <w:color w:val="000000"/>
          <w:szCs w:val="21"/>
        </w:rPr>
        <w:t>（一）乙方应保证所开发的产品与投标文件/响应文件承诺一致，并完全符合或高于合同要求的质量、规格和技术性能。</w:t>
      </w:r>
    </w:p>
    <w:p>
      <w:pPr>
        <w:ind w:firstLine="420" w:firstLineChars="200"/>
        <w:rPr>
          <w:rFonts w:ascii="宋体" w:hint="eastAsia"/>
          <w:color w:val="000000"/>
          <w:szCs w:val="21"/>
        </w:rPr>
      </w:pPr>
      <w:r>
        <w:rPr>
          <w:rFonts w:ascii="宋体" w:hint="eastAsia"/>
          <w:color w:val="000000"/>
          <w:szCs w:val="21"/>
        </w:rPr>
        <w:t>（二）本合同项目质量保证期为：自双方签署合同验收合格报告之日起计算</w:t>
      </w:r>
      <w:r>
        <w:rPr>
          <w:rFonts w:ascii="宋体" w:hint="eastAsia"/>
          <w:color w:val="000000"/>
          <w:szCs w:val="21"/>
          <w:u w:val="single"/>
        </w:rPr>
        <w:t xml:space="preserve">  3  </w:t>
      </w:r>
      <w:r>
        <w:rPr>
          <w:rFonts w:ascii="宋体" w:hint="eastAsia"/>
          <w:color w:val="000000"/>
          <w:szCs w:val="21"/>
        </w:rPr>
        <w:t>年。</w:t>
      </w:r>
    </w:p>
    <w:p>
      <w:pPr>
        <w:ind w:firstLine="420" w:firstLineChars="200"/>
        <w:rPr>
          <w:rFonts w:ascii="宋体" w:hint="eastAsia"/>
          <w:b/>
          <w:bCs/>
          <w:color w:val="000000"/>
          <w:szCs w:val="21"/>
        </w:rPr>
      </w:pPr>
      <w:r>
        <w:rPr>
          <w:rFonts w:ascii="宋体" w:hint="eastAsia"/>
          <w:b/>
          <w:bCs/>
          <w:color w:val="000000"/>
          <w:szCs w:val="21"/>
        </w:rPr>
        <w:t>第八条 培训</w:t>
      </w:r>
    </w:p>
    <w:p>
      <w:pPr>
        <w:ind w:firstLine="420" w:firstLineChars="200"/>
        <w:rPr>
          <w:rFonts w:ascii="宋体" w:hint="eastAsia"/>
          <w:b/>
          <w:bCs/>
          <w:color w:val="000000"/>
          <w:szCs w:val="21"/>
        </w:rPr>
      </w:pPr>
      <w:r>
        <w:rPr>
          <w:rFonts w:ascii="宋体" w:hint="eastAsia"/>
          <w:bCs/>
          <w:color w:val="000000"/>
          <w:szCs w:val="21"/>
        </w:rPr>
        <w:t>本合同包括培训，具体培训方案详见附件。</w:t>
      </w:r>
    </w:p>
    <w:p>
      <w:pPr>
        <w:ind w:firstLine="420" w:firstLineChars="200"/>
        <w:rPr>
          <w:rFonts w:ascii="宋体" w:hint="eastAsia"/>
          <w:b/>
          <w:bCs/>
          <w:color w:val="000000"/>
          <w:szCs w:val="21"/>
        </w:rPr>
      </w:pPr>
      <w:r>
        <w:rPr>
          <w:rFonts w:ascii="宋体" w:hint="eastAsia"/>
          <w:b/>
          <w:bCs/>
          <w:color w:val="000000"/>
          <w:szCs w:val="21"/>
        </w:rPr>
        <w:t>第九条 售后服务</w:t>
      </w:r>
    </w:p>
    <w:p>
      <w:pPr>
        <w:ind w:firstLine="420" w:firstLineChars="200"/>
        <w:rPr>
          <w:rFonts w:ascii="宋体" w:hint="eastAsia"/>
          <w:color w:val="000000"/>
          <w:szCs w:val="21"/>
        </w:rPr>
      </w:pPr>
      <w:r>
        <w:rPr>
          <w:rFonts w:ascii="宋体" w:hint="eastAsia"/>
          <w:color w:val="000000"/>
          <w:szCs w:val="21"/>
        </w:rPr>
        <w:t>（一）乙方在质量保证期内免费提供</w:t>
      </w:r>
      <w:r>
        <w:rPr>
          <w:rFonts w:ascii="宋体" w:hint="eastAsia"/>
          <w:color w:val="000000"/>
          <w:szCs w:val="21"/>
          <w:u w:val="single"/>
        </w:rPr>
        <w:t>7天</w:t>
      </w:r>
      <w:r>
        <w:rPr>
          <w:rFonts w:ascii="宋体" w:hint="eastAsia"/>
          <w:color w:val="000000"/>
          <w:szCs w:val="21"/>
        </w:rPr>
        <w:t>*</w:t>
      </w:r>
      <w:r>
        <w:rPr>
          <w:rFonts w:ascii="宋体" w:hint="eastAsia"/>
          <w:color w:val="000000"/>
          <w:szCs w:val="21"/>
          <w:u w:val="single"/>
        </w:rPr>
        <w:t>24</w:t>
      </w:r>
      <w:r>
        <w:rPr>
          <w:rFonts w:ascii="宋体" w:hint="eastAsia"/>
          <w:color w:val="000000"/>
          <w:szCs w:val="21"/>
        </w:rPr>
        <w:t>小时的技术支持与售后服务，提供专线电话支持服务，</w:t>
      </w:r>
      <w:r>
        <w:rPr>
          <w:rFonts w:ascii="宋体" w:hint="eastAsia"/>
          <w:color w:val="000000"/>
          <w:szCs w:val="21"/>
          <w:u w:val="single"/>
        </w:rPr>
        <w:t xml:space="preserve">  1  </w:t>
      </w:r>
      <w:r>
        <w:rPr>
          <w:rFonts w:ascii="宋体" w:hint="eastAsia"/>
          <w:color w:val="000000"/>
          <w:szCs w:val="21"/>
        </w:rPr>
        <w:t>小时内响应，保证</w:t>
      </w:r>
      <w:r>
        <w:rPr>
          <w:rFonts w:ascii="宋体" w:hint="eastAsia"/>
          <w:color w:val="000000"/>
          <w:szCs w:val="21"/>
          <w:u w:val="single"/>
        </w:rPr>
        <w:t xml:space="preserve">  24  </w:t>
      </w:r>
      <w:r>
        <w:rPr>
          <w:rFonts w:ascii="宋体" w:hint="eastAsia"/>
          <w:color w:val="000000"/>
          <w:szCs w:val="21"/>
        </w:rPr>
        <w:t>小时内到达现场并解决故障。</w:t>
      </w:r>
    </w:p>
    <w:p>
      <w:pPr>
        <w:ind w:firstLine="420" w:firstLineChars="200"/>
        <w:rPr>
          <w:rFonts w:ascii="宋体" w:hint="eastAsia"/>
          <w:color w:val="000000"/>
          <w:szCs w:val="21"/>
        </w:rPr>
      </w:pPr>
      <w:r>
        <w:rPr>
          <w:rFonts w:ascii="宋体" w:hint="eastAsia"/>
          <w:color w:val="000000"/>
          <w:szCs w:val="21"/>
        </w:rPr>
        <w:t>（二）本合同包含售后服务，具体技术支持及售后服务方案详见附件。</w:t>
      </w:r>
    </w:p>
    <w:p>
      <w:pPr>
        <w:ind w:firstLine="420" w:firstLineChars="200"/>
        <w:rPr>
          <w:rFonts w:ascii="宋体" w:hint="eastAsia"/>
          <w:b/>
          <w:bCs/>
          <w:color w:val="000000"/>
          <w:szCs w:val="21"/>
        </w:rPr>
      </w:pPr>
      <w:r>
        <w:rPr>
          <w:rFonts w:ascii="宋体" w:hint="eastAsia"/>
          <w:b/>
          <w:bCs/>
          <w:color w:val="000000"/>
          <w:szCs w:val="21"/>
        </w:rPr>
        <w:t>第十条 双方的权利和义务</w:t>
      </w:r>
    </w:p>
    <w:p>
      <w:pPr>
        <w:pStyle w:val="4910"/>
        <w:spacing w:line="480" w:lineRule="atLeast"/>
        <w:ind w:firstLine="480"/>
        <w:rPr>
          <w:rFonts w:ascii="宋体" w:eastAsia="宋体" w:hint="eastAsia"/>
          <w:bCs/>
          <w:color w:val="000000"/>
          <w:szCs w:val="21"/>
        </w:rPr>
      </w:pPr>
      <w:r>
        <w:rPr>
          <w:rFonts w:ascii="宋体" w:eastAsia="宋体" w:cs="宋体" w:hint="eastAsia"/>
          <w:color w:val="000000"/>
          <w:szCs w:val="21"/>
        </w:rPr>
        <w:t>一、甲方（用户）的权利与义务</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rPr>
        <w:t>（一）甲方（用户）有权了解整个委托技术服务的执行进程，监督服务执行，并对技术服务的进度及质量进行要求和检查。</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rPr>
        <w:t>（二）甲方（用户）有权要求乙方按照本合同约定及时提供服务，并对乙方的服务成果进行评估和确定，提出修改意见。</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rPr>
        <w:t>（三）甲方（用户）对服务成果拥有所有权以及全部、完整的知识产权（包括但不限于著作权、专利权、商标权以及知识产权申请权等）。甲方（用户）可安排技术人员参与核心工作，以便后续维护。</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rPr>
        <w:t>（四）甲方（用户）有权在海关范围内对技术服务涉及的所有成果进行推广应用。</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rPr>
        <w:t>（六）甲方（用户）应在实施过程中向乙方提供下列工作条件和协作事项：</w:t>
      </w:r>
    </w:p>
    <w:p>
      <w:pPr>
        <w:pStyle w:val="4910"/>
        <w:spacing w:line="480" w:lineRule="atLeast"/>
        <w:ind w:left="638"/>
        <w:rPr>
          <w:rFonts w:ascii="宋体" w:eastAsia="宋体" w:hint="eastAsia"/>
          <w:color w:val="000000"/>
          <w:szCs w:val="21"/>
        </w:rPr>
      </w:pPr>
      <w:r>
        <w:rPr>
          <w:rFonts w:ascii="宋体" w:eastAsia="宋体" w:cs="宋体" w:hint="eastAsia"/>
          <w:color w:val="000000"/>
          <w:szCs w:val="21"/>
        </w:rPr>
        <w:t>1.提供完成技术服务所需的全部文档及相关资料；</w:t>
      </w:r>
    </w:p>
    <w:p>
      <w:pPr>
        <w:pStyle w:val="4910"/>
        <w:spacing w:line="480" w:lineRule="atLeast"/>
        <w:ind w:left="638"/>
        <w:rPr>
          <w:rFonts w:ascii="宋体" w:eastAsia="宋体" w:hint="eastAsia"/>
          <w:color w:val="000000"/>
          <w:szCs w:val="21"/>
        </w:rPr>
      </w:pPr>
      <w:r>
        <w:rPr>
          <w:rFonts w:ascii="宋体" w:eastAsia="宋体" w:cs="宋体" w:hint="eastAsia"/>
          <w:color w:val="000000"/>
          <w:szCs w:val="21"/>
        </w:rPr>
        <w:t>2.解答或协调解答技术服务实施过程中的需求问题。</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rPr>
        <w:t>（七）在乙方完成相应阶段工作并满足付款条件时，甲方应按照本合同的约定及时支付合同价款。</w:t>
      </w:r>
    </w:p>
    <w:p>
      <w:pPr>
        <w:pStyle w:val="4910"/>
        <w:spacing w:line="480" w:lineRule="atLeast"/>
        <w:ind w:firstLine="480"/>
        <w:rPr>
          <w:rFonts w:ascii="宋体" w:eastAsia="宋体" w:hint="eastAsia"/>
          <w:bCs/>
          <w:color w:val="000000"/>
          <w:szCs w:val="21"/>
        </w:rPr>
      </w:pPr>
      <w:r>
        <w:rPr>
          <w:rFonts w:ascii="宋体" w:eastAsia="宋体" w:cs="宋体" w:hint="eastAsia"/>
          <w:color w:val="000000"/>
          <w:szCs w:val="21"/>
        </w:rPr>
        <w:t>二、乙方的权利与义务</w:t>
      </w:r>
    </w:p>
    <w:p>
      <w:pPr>
        <w:pStyle w:val="4910"/>
        <w:spacing w:line="480" w:lineRule="atLeast"/>
        <w:ind w:firstLine="480"/>
        <w:rPr>
          <w:rFonts w:ascii="宋体" w:eastAsia="宋体" w:cs="宋体" w:hint="eastAsia"/>
          <w:color w:val="000000"/>
          <w:szCs w:val="21"/>
        </w:rPr>
      </w:pPr>
      <w:r>
        <w:rPr>
          <w:rFonts w:ascii="宋体" w:eastAsia="宋体" w:cs="宋体" w:hint="eastAsia"/>
          <w:color w:val="000000"/>
          <w:szCs w:val="21"/>
        </w:rPr>
        <w:t>（一）乙方保证在甲方规定的工期进度内按照合同以及合同附件的要求完成应交付的完整、合格服务，并符合服务质量要求。</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rPr>
        <w:t>（三）乙方应派专人负责技术服务执行，以保证技术服务顺利进行，加强风险分析与控制，对风险要有详细的分析，有可靠的控制手段和措施，并及时向甲方（用户）汇报。</w:t>
      </w:r>
    </w:p>
    <w:p>
      <w:pPr>
        <w:pStyle w:val="4910"/>
        <w:spacing w:line="480" w:lineRule="atLeast"/>
        <w:ind w:firstLine="480"/>
        <w:rPr>
          <w:rFonts w:ascii="宋体" w:eastAsia="宋体" w:cs="宋体" w:hint="eastAsia"/>
          <w:color w:val="000000"/>
          <w:szCs w:val="21"/>
        </w:rPr>
      </w:pPr>
      <w:r>
        <w:rPr>
          <w:rFonts w:ascii="宋体" w:eastAsia="宋体" w:cs="宋体" w:hint="eastAsia"/>
          <w:color w:val="000000"/>
          <w:szCs w:val="21"/>
        </w:rPr>
        <w:t>（四）乙方应在服务期内及时修复安全漏洞。</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rPr>
        <w:t>（五）乙方所派人员应熟练掌握所需技术，所派人员对技术服务内容进行严格保密，不得泄露相关信息。</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rPr>
        <w:t>（六）乙方在履行合同义务的情形下有权要求甲方按本合同的约定及时支付合同价款。</w:t>
      </w:r>
    </w:p>
    <w:p>
      <w:pPr>
        <w:pStyle w:val="4910"/>
        <w:spacing w:line="480" w:lineRule="atLeast"/>
        <w:ind w:firstLine="480"/>
        <w:rPr>
          <w:rFonts w:ascii="宋体" w:eastAsia="宋体" w:hint="eastAsia"/>
          <w:color w:val="000000"/>
          <w:szCs w:val="21"/>
        </w:rPr>
      </w:pPr>
      <w:r>
        <w:rPr>
          <w:rFonts w:ascii="宋体" w:eastAsia="宋体" w:cs="宋体" w:hint="eastAsia"/>
          <w:color w:val="000000"/>
          <w:szCs w:val="21"/>
        </w:rPr>
        <w:t>（七）乙方应按甲方（用户）要求保质保量地完成相关代码实现以及配套文档的编制工作，并及时、完整向甲方（用户）交付相关材料。</w:t>
      </w:r>
    </w:p>
    <w:p>
      <w:pPr>
        <w:pStyle w:val="4910"/>
        <w:spacing w:line="480" w:lineRule="atLeast"/>
        <w:ind w:firstLine="480"/>
        <w:rPr>
          <w:rFonts w:ascii="宋体" w:eastAsia="宋体" w:cs="宋体" w:hint="eastAsia"/>
          <w:color w:val="000000"/>
          <w:szCs w:val="21"/>
        </w:rPr>
      </w:pPr>
      <w:r>
        <w:rPr>
          <w:rFonts w:ascii="宋体" w:eastAsia="宋体" w:cs="宋体" w:hint="eastAsia"/>
          <w:color w:val="000000"/>
          <w:szCs w:val="21"/>
        </w:rPr>
        <w:t>（八）乙方应无条件配合完成技术服务的业务测试工作。</w:t>
      </w:r>
    </w:p>
    <w:p>
      <w:pPr>
        <w:pStyle w:val="4910"/>
        <w:spacing w:line="480" w:lineRule="atLeast"/>
        <w:ind w:firstLine="480"/>
        <w:rPr>
          <w:rFonts w:ascii="宋体" w:eastAsia="宋体" w:cs="宋体" w:hint="eastAsia"/>
          <w:color w:val="000000"/>
          <w:szCs w:val="21"/>
        </w:rPr>
      </w:pPr>
      <w:r>
        <w:rPr>
          <w:rFonts w:ascii="宋体" w:eastAsia="宋体" w:cs="宋体" w:hint="eastAsia"/>
          <w:color w:val="000000"/>
          <w:szCs w:val="21"/>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pStyle w:val="4910"/>
        <w:spacing w:line="480" w:lineRule="atLeast"/>
        <w:ind w:firstLine="480"/>
        <w:rPr>
          <w:rFonts w:ascii="宋体" w:eastAsia="宋体" w:cs="宋体" w:hint="eastAsia"/>
          <w:color w:val="000000"/>
          <w:szCs w:val="21"/>
        </w:rPr>
      </w:pPr>
      <w:r>
        <w:rPr>
          <w:rFonts w:ascii="宋体" w:eastAsia="宋体" w:cs="宋体" w:hint="eastAsia"/>
          <w:color w:val="000000"/>
          <w:szCs w:val="21"/>
        </w:rPr>
        <w:t>（十）乙方须遵守甲方（用户）提出的各项安全管理要求。</w:t>
      </w:r>
    </w:p>
    <w:p>
      <w:pPr>
        <w:pStyle w:val="4910"/>
        <w:spacing w:line="480" w:lineRule="atLeast"/>
        <w:ind w:firstLine="480"/>
        <w:rPr>
          <w:rFonts w:ascii="宋体" w:eastAsia="宋体" w:cs="宋体" w:hint="eastAsia"/>
          <w:color w:val="000000"/>
          <w:szCs w:val="21"/>
        </w:rPr>
      </w:pPr>
      <w:r>
        <w:rPr>
          <w:rFonts w:ascii="宋体" w:eastAsia="宋体" w:cs="宋体" w:hint="eastAsia"/>
          <w:color w:val="000000"/>
          <w:szCs w:val="21"/>
        </w:rPr>
        <w:t>（十一）乙方须按照国家关于通过政府采购渠道参与政务信息化建设的有关要求，签订《政务数据安全管理承诺书》，具体详见附件。</w:t>
      </w:r>
    </w:p>
    <w:p>
      <w:pPr>
        <w:ind w:firstLine="420" w:firstLineChars="200"/>
        <w:rPr>
          <w:rFonts w:ascii="宋体" w:hint="eastAsia"/>
          <w:b/>
          <w:bCs/>
          <w:color w:val="000000"/>
          <w:szCs w:val="21"/>
        </w:rPr>
      </w:pPr>
      <w:r>
        <w:rPr>
          <w:rFonts w:ascii="宋体" w:hint="eastAsia"/>
          <w:b/>
          <w:bCs/>
          <w:color w:val="000000"/>
          <w:szCs w:val="21"/>
        </w:rPr>
        <w:t>第十一条 违约责任</w:t>
      </w:r>
    </w:p>
    <w:p>
      <w:pPr>
        <w:ind w:firstLine="420" w:firstLineChars="200"/>
        <w:rPr>
          <w:rFonts w:ascii="宋体" w:hint="eastAsia"/>
          <w:color w:val="000000"/>
          <w:szCs w:val="21"/>
        </w:rPr>
      </w:pPr>
      <w:r>
        <w:rPr>
          <w:rFonts w:ascii="宋体" w:hint="eastAsia"/>
          <w:color w:val="000000"/>
          <w:szCs w:val="21"/>
        </w:rPr>
        <w:t>（一）乙方未按照本合同规定的时间提供服务的违约责任。</w:t>
      </w:r>
    </w:p>
    <w:p>
      <w:pPr>
        <w:ind w:firstLine="420" w:firstLineChars="200"/>
        <w:rPr>
          <w:rFonts w:ascii="宋体" w:hint="eastAsia"/>
          <w:color w:val="000000"/>
          <w:szCs w:val="21"/>
        </w:rPr>
      </w:pPr>
      <w:r>
        <w:rPr>
          <w:rFonts w:ascii="宋体" w:hint="eastAsia"/>
          <w:color w:val="000000"/>
          <w:szCs w:val="21"/>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ind w:firstLine="420" w:firstLineChars="200"/>
        <w:rPr>
          <w:rFonts w:ascii="宋体" w:hint="eastAsia"/>
          <w:color w:val="000000"/>
          <w:szCs w:val="21"/>
        </w:rPr>
      </w:pPr>
      <w:r>
        <w:rPr>
          <w:rFonts w:ascii="宋体" w:hint="eastAsia"/>
          <w:color w:val="000000"/>
          <w:szCs w:val="21"/>
        </w:rPr>
        <w:t>2.除甲乙双方另有约定外，如果乙方没有按照合同规定的时间提供服务，甲方有权在不影响合同项下其他补救措施的情况下，要求乙方支付误期赔偿费，或从合同款、履约保证金中扣除误期赔偿费。赔偿费按每周未提供服务费用的百分之零点五（0.5%）计收，直到提供服务为止。但误期赔偿费的最高限额不超过误期服务合同价格的百分之十（10%）。一周按七（7）天计算，不足七（7）天按一周计算。</w:t>
      </w:r>
    </w:p>
    <w:p>
      <w:pPr>
        <w:ind w:firstLine="420" w:firstLineChars="200"/>
        <w:rPr>
          <w:rFonts w:ascii="宋体" w:hint="eastAsia"/>
          <w:color w:val="000000"/>
          <w:szCs w:val="21"/>
        </w:rPr>
      </w:pPr>
      <w:r>
        <w:rPr>
          <w:rFonts w:ascii="宋体" w:hint="eastAsia"/>
          <w:color w:val="000000"/>
          <w:szCs w:val="21"/>
        </w:rPr>
        <w:t>3.出现上述没有按照合同规定的时间提供服务的情形时，甲方也可以选择解除合同，要求乙方退回甲方已支付款项、扣除履约保证金并追究乙方相应违约责任、赔偿甲方（用户）的全部损失。</w:t>
      </w:r>
    </w:p>
    <w:p>
      <w:pPr>
        <w:ind w:firstLine="420" w:firstLineChars="200"/>
        <w:rPr>
          <w:rFonts w:ascii="宋体" w:hint="eastAsia"/>
          <w:color w:val="000000"/>
          <w:szCs w:val="21"/>
        </w:rPr>
      </w:pPr>
      <w:r>
        <w:rPr>
          <w:rFonts w:ascii="宋体" w:hint="eastAsia"/>
          <w:color w:val="000000"/>
          <w:szCs w:val="21"/>
        </w:rPr>
        <w:t>（二）因乙方或乙方工作人员或乙方相关方的作为或不作为行为致使甲方</w:t>
      </w:r>
      <w:r>
        <w:rPr>
          <w:rFonts w:ascii="宋体" w:cs="宋体" w:hint="eastAsia"/>
          <w:color w:val="000000"/>
          <w:szCs w:val="21"/>
        </w:rPr>
        <w:t>（用户）</w:t>
      </w:r>
      <w:r>
        <w:rPr>
          <w:rFonts w:ascii="宋体" w:hint="eastAsia"/>
          <w:color w:val="000000"/>
          <w:szCs w:val="21"/>
        </w:rPr>
        <w:t>或第三方遭受人员人身伤害或财产损失的，乙方应承担全部赔偿责任，赔偿全部损失，且甲方有权以全部履约保证金作为违约金，解除本合同。</w:t>
      </w:r>
    </w:p>
    <w:p>
      <w:pPr>
        <w:ind w:firstLine="420" w:firstLineChars="200"/>
        <w:rPr>
          <w:rFonts w:ascii="宋体" w:hint="eastAsia"/>
          <w:color w:val="000000"/>
          <w:szCs w:val="21"/>
        </w:rPr>
      </w:pPr>
      <w:r>
        <w:rPr>
          <w:rFonts w:ascii="宋体" w:hint="eastAsia"/>
          <w:color w:val="000000"/>
          <w:szCs w:val="21"/>
        </w:rPr>
        <w:t>（三）在本合同履行过程中，如果有证据证明乙方根本无法履行合同的，甲方可以行使不安抗辩权，有权解除合同，并扣除履约保证金，如因乙方不能履行给甲方</w:t>
      </w:r>
      <w:r>
        <w:rPr>
          <w:rFonts w:ascii="宋体" w:cs="宋体" w:hint="eastAsia"/>
          <w:color w:val="000000"/>
          <w:szCs w:val="21"/>
        </w:rPr>
        <w:t>（用户）</w:t>
      </w:r>
      <w:r>
        <w:rPr>
          <w:rFonts w:ascii="宋体" w:hint="eastAsia"/>
          <w:color w:val="000000"/>
          <w:szCs w:val="21"/>
        </w:rPr>
        <w:t>造成其他损失的，乙方应继续承担赔偿责任。</w:t>
      </w:r>
    </w:p>
    <w:p>
      <w:pPr>
        <w:ind w:firstLine="420" w:firstLineChars="200"/>
        <w:rPr>
          <w:rFonts w:ascii="宋体" w:hint="eastAsia"/>
          <w:b/>
          <w:bCs/>
          <w:color w:val="000000"/>
          <w:szCs w:val="21"/>
        </w:rPr>
      </w:pPr>
      <w:r>
        <w:rPr>
          <w:rFonts w:ascii="宋体" w:hint="eastAsia"/>
          <w:b/>
          <w:bCs/>
          <w:color w:val="000000"/>
          <w:szCs w:val="21"/>
        </w:rPr>
        <w:t>第十二条 使用合同文件和资料</w:t>
      </w:r>
    </w:p>
    <w:p>
      <w:pPr>
        <w:ind w:firstLine="420" w:firstLineChars="200"/>
        <w:rPr>
          <w:rFonts w:ascii="宋体" w:hint="eastAsia"/>
          <w:color w:val="000000"/>
          <w:szCs w:val="21"/>
        </w:rPr>
      </w:pPr>
      <w:r>
        <w:rPr>
          <w:rFonts w:ascii="宋体" w:hint="eastAsia"/>
          <w:color w:val="000000"/>
          <w:szCs w:val="21"/>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ind w:firstLine="420" w:firstLineChars="200"/>
        <w:rPr>
          <w:rFonts w:ascii="宋体" w:hint="eastAsia"/>
          <w:color w:val="000000"/>
          <w:szCs w:val="21"/>
        </w:rPr>
      </w:pPr>
      <w:r>
        <w:rPr>
          <w:rFonts w:ascii="宋体" w:hint="eastAsia"/>
          <w:color w:val="000000"/>
          <w:szCs w:val="21"/>
        </w:rPr>
        <w:t>（二）没有甲方（用户）事先书面同意，除了履行本合同之外，乙方不应使用、传播与本合同相关的任何文件、资料。</w:t>
      </w:r>
    </w:p>
    <w:p>
      <w:pPr>
        <w:ind w:firstLine="420" w:firstLineChars="200"/>
        <w:rPr>
          <w:rFonts w:ascii="宋体" w:hint="eastAsia"/>
          <w:b/>
          <w:bCs/>
          <w:color w:val="000000"/>
          <w:szCs w:val="21"/>
        </w:rPr>
      </w:pPr>
      <w:r>
        <w:rPr>
          <w:rFonts w:ascii="宋体" w:hint="eastAsia"/>
          <w:b/>
          <w:bCs/>
          <w:color w:val="000000"/>
          <w:szCs w:val="21"/>
        </w:rPr>
        <w:t>第十三条 知识产权</w:t>
      </w:r>
    </w:p>
    <w:p>
      <w:pPr>
        <w:ind w:firstLine="420" w:firstLineChars="200"/>
        <w:rPr>
          <w:rFonts w:ascii="宋体" w:hint="eastAsia"/>
          <w:color w:val="000000"/>
          <w:szCs w:val="21"/>
        </w:rPr>
      </w:pPr>
      <w:r>
        <w:rPr>
          <w:rFonts w:ascii="宋体" w:hint="eastAsia"/>
          <w:color w:val="000000"/>
          <w:szCs w:val="21"/>
        </w:rPr>
        <w:t>（一）乙方应保证所提供的服务成果不侵犯任何第三方的知识产权（专利权、商标权、版权等）及其他任何合法权益。如果甲方（用户）在使用乙方服务成果的任何一部分过程中，遭致第三方索赔或主张权利的，乙方应当修正以避免侵权。</w:t>
      </w:r>
    </w:p>
    <w:p>
      <w:pPr>
        <w:ind w:firstLine="420" w:firstLineChars="200"/>
        <w:rPr>
          <w:rFonts w:ascii="宋体" w:hint="eastAsia"/>
          <w:color w:val="000000"/>
          <w:szCs w:val="21"/>
        </w:rPr>
      </w:pPr>
      <w:r>
        <w:rPr>
          <w:rFonts w:ascii="宋体" w:hint="eastAsia"/>
          <w:color w:val="000000"/>
          <w:szCs w:val="21"/>
        </w:rPr>
        <w:t>（二）如果甲方（用户）在使用乙方服务成果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ascii="宋体" w:hint="eastAsia"/>
          <w:color w:val="000000"/>
          <w:szCs w:val="21"/>
        </w:rPr>
      </w:pPr>
      <w:r>
        <w:rPr>
          <w:rFonts w:ascii="宋体" w:hint="eastAsia"/>
          <w:color w:val="000000"/>
          <w:szCs w:val="21"/>
        </w:rPr>
        <w:t>（三）如乙方提供的服务成果确实侵犯了第三方合法权益（包括但不限于知识产权）的，甲方有权解除合同，没收履约保证金，要求乙方退回已支付的全部款项，并赔偿甲方的全部损失及支出的合理费用。</w:t>
      </w:r>
    </w:p>
    <w:p>
      <w:pPr>
        <w:ind w:firstLine="420" w:firstLineChars="200"/>
        <w:rPr>
          <w:rFonts w:ascii="宋体" w:hint="eastAsia"/>
          <w:color w:val="000000"/>
          <w:szCs w:val="21"/>
        </w:rPr>
      </w:pPr>
      <w:r>
        <w:rPr>
          <w:rFonts w:ascii="宋体" w:hint="eastAsia"/>
          <w:color w:val="000000"/>
          <w:szCs w:val="21"/>
        </w:rPr>
        <w:t>（四）本项目执行前已经存在的知识产权归原拥有方所有，在开发过程中根据甲方的需求而新产生的工作成果，包括但不限于发明、发现及相关技术资料、文档、应用化程序源代码、可执行程序等，知识产权归甲方所有。非经双方书面确认，双方均不得就该项目中形成的知识产权向任何第三方透露、授权、转让或者进行商业推广。甲方提供的有关需求的资料归甲方所有，乙方不得向任何第三方披露。</w:t>
      </w:r>
    </w:p>
    <w:p>
      <w:pPr>
        <w:ind w:firstLine="420" w:firstLineChars="200"/>
        <w:rPr>
          <w:rFonts w:ascii="宋体" w:hint="eastAsia"/>
          <w:b/>
          <w:bCs/>
          <w:color w:val="000000"/>
          <w:szCs w:val="21"/>
        </w:rPr>
      </w:pPr>
      <w:r>
        <w:rPr>
          <w:rFonts w:ascii="宋体" w:hint="eastAsia"/>
          <w:b/>
          <w:bCs/>
          <w:color w:val="000000"/>
          <w:szCs w:val="21"/>
        </w:rPr>
        <w:t>第十四条 不可抗力及其免责</w:t>
      </w:r>
    </w:p>
    <w:p>
      <w:pPr>
        <w:ind w:firstLine="420" w:firstLineChars="200"/>
        <w:rPr>
          <w:rFonts w:ascii="宋体" w:hint="eastAsia"/>
          <w:color w:val="000000"/>
          <w:szCs w:val="21"/>
        </w:rPr>
      </w:pPr>
      <w:r>
        <w:rPr>
          <w:rFonts w:ascii="宋体" w:hint="eastAsia"/>
          <w:color w:val="000000"/>
          <w:szCs w:val="21"/>
        </w:rPr>
        <w:t>（一）如果乙方因不可抗力而导致合同实施延误或不能履行合同义务时，在不可抗力影响的范围内不应该被没收履约保证金，也不应该承担误期赔偿或终止合同的责任。</w:t>
      </w:r>
    </w:p>
    <w:p>
      <w:pPr>
        <w:ind w:firstLine="420" w:firstLineChars="200"/>
        <w:rPr>
          <w:rFonts w:ascii="宋体" w:hint="eastAsia"/>
          <w:color w:val="000000"/>
          <w:szCs w:val="21"/>
        </w:rPr>
      </w:pPr>
      <w:r>
        <w:rPr>
          <w:rFonts w:ascii="宋体" w:hint="eastAsia"/>
          <w:color w:val="000000"/>
          <w:szCs w:val="21"/>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rFonts w:ascii="宋体" w:hint="eastAsia"/>
          <w:color w:val="000000"/>
          <w:szCs w:val="21"/>
        </w:rPr>
      </w:pPr>
      <w:r>
        <w:rPr>
          <w:rFonts w:ascii="宋体" w:hint="eastAsia"/>
          <w:color w:val="000000"/>
          <w:szCs w:val="21"/>
        </w:rPr>
        <w:t>（三）乙方在延迟履行合同期间由于不可抗力而不能履行合同的，不能被免除责任。</w:t>
      </w:r>
    </w:p>
    <w:p>
      <w:pPr>
        <w:ind w:firstLine="420" w:firstLineChars="200"/>
        <w:rPr>
          <w:rFonts w:ascii="宋体" w:hint="eastAsia"/>
          <w:color w:val="000000"/>
          <w:szCs w:val="21"/>
        </w:rPr>
      </w:pPr>
      <w:r>
        <w:rPr>
          <w:rFonts w:ascii="宋体" w:hint="eastAsia"/>
          <w:color w:val="000000"/>
          <w:szCs w:val="21"/>
        </w:rPr>
        <w:t>（四）甲方（用户）如遇不可抗力，应尽快以书面形式通知乙方，并尽实际可能履行不受不可抗力影响的其他事项。甲方（用户）不承担因不可抗力不能履行合同所造成的损失。</w:t>
      </w:r>
    </w:p>
    <w:p>
      <w:pPr>
        <w:ind w:firstLine="420" w:firstLineChars="200"/>
        <w:rPr>
          <w:rFonts w:ascii="宋体" w:hint="eastAsia"/>
          <w:color w:val="000000"/>
          <w:szCs w:val="21"/>
        </w:rPr>
      </w:pPr>
      <w:r>
        <w:rPr>
          <w:rFonts w:ascii="宋体" w:hint="eastAsia"/>
          <w:color w:val="000000"/>
          <w:szCs w:val="21"/>
        </w:rPr>
        <w:t>（五）本条所述的“不可抗力”指那些不能预见、不能避免并不能克服的客观情况，包括但不限于战争、动乱、严重火灾、洪水、台风、地震等及其他双方同意的情况，但不包括违约或疏忽。</w:t>
      </w:r>
    </w:p>
    <w:p>
      <w:pPr>
        <w:ind w:firstLine="420" w:firstLineChars="200"/>
        <w:rPr>
          <w:rFonts w:ascii="宋体" w:hint="eastAsia"/>
          <w:b/>
          <w:bCs/>
          <w:color w:val="000000"/>
          <w:szCs w:val="21"/>
        </w:rPr>
      </w:pPr>
      <w:r>
        <w:rPr>
          <w:rFonts w:ascii="宋体" w:hint="eastAsia"/>
          <w:b/>
          <w:bCs/>
          <w:color w:val="000000"/>
          <w:szCs w:val="21"/>
        </w:rPr>
        <w:t>第十五条 争议的解决</w:t>
      </w:r>
    </w:p>
    <w:p>
      <w:pPr>
        <w:ind w:firstLine="420" w:firstLineChars="200"/>
        <w:rPr>
          <w:rFonts w:ascii="宋体" w:hint="eastAsia"/>
          <w:color w:val="000000"/>
          <w:szCs w:val="21"/>
        </w:rPr>
      </w:pPr>
      <w:r>
        <w:rPr>
          <w:rFonts w:ascii="宋体" w:hint="eastAsia"/>
          <w:color w:val="000000"/>
          <w:szCs w:val="21"/>
        </w:rPr>
        <w:t>发生争议的，双方应友好协商解决；协商不成的，任一方可向甲方住所地人民法院提起诉讼。</w:t>
      </w:r>
    </w:p>
    <w:p>
      <w:pPr>
        <w:ind w:firstLine="420" w:firstLineChars="200"/>
        <w:rPr>
          <w:rFonts w:ascii="宋体" w:hint="eastAsia"/>
          <w:b/>
          <w:bCs/>
          <w:color w:val="000000"/>
          <w:szCs w:val="21"/>
        </w:rPr>
      </w:pPr>
      <w:r>
        <w:rPr>
          <w:rFonts w:ascii="宋体" w:hint="eastAsia"/>
          <w:b/>
          <w:bCs/>
          <w:color w:val="000000"/>
          <w:szCs w:val="21"/>
        </w:rPr>
        <w:t>第十六条 合同修改或变更</w:t>
      </w:r>
    </w:p>
    <w:p>
      <w:pPr>
        <w:ind w:firstLine="420" w:firstLineChars="200"/>
        <w:rPr>
          <w:rFonts w:ascii="宋体" w:hint="eastAsia"/>
          <w:color w:val="000000"/>
          <w:szCs w:val="21"/>
        </w:rPr>
      </w:pPr>
      <w:r>
        <w:rPr>
          <w:rFonts w:ascii="宋体" w:hint="eastAsia"/>
          <w:color w:val="000000"/>
          <w:szCs w:val="21"/>
        </w:rPr>
        <w:t>（一）如无重大变故，甲乙双方不得擅自变更合同。</w:t>
      </w:r>
    </w:p>
    <w:p>
      <w:pPr>
        <w:ind w:firstLine="420" w:firstLineChars="200"/>
        <w:rPr>
          <w:rFonts w:ascii="宋体" w:hint="eastAsia"/>
          <w:color w:val="000000"/>
          <w:szCs w:val="21"/>
        </w:rPr>
      </w:pPr>
      <w:r>
        <w:rPr>
          <w:rFonts w:ascii="宋体" w:hint="eastAsia"/>
          <w:color w:val="000000"/>
          <w:szCs w:val="21"/>
        </w:rPr>
        <w:t>（二）如确需变更合同，甲乙双方应签署书面变更协议。变更协议为本合同不可分割的一部分。</w:t>
      </w:r>
    </w:p>
    <w:p>
      <w:pPr>
        <w:ind w:firstLine="420" w:firstLineChars="200"/>
        <w:rPr>
          <w:rFonts w:ascii="宋体" w:hint="eastAsia"/>
          <w:color w:val="000000"/>
          <w:szCs w:val="21"/>
        </w:rPr>
      </w:pPr>
      <w:r>
        <w:rPr>
          <w:rFonts w:ascii="宋体" w:hint="eastAsia"/>
          <w:color w:val="000000"/>
          <w:szCs w:val="21"/>
        </w:rPr>
        <w:t>（三）在不改变合同其他条款的前提下，甲方（用户）有权在合同价款10%的范围内追加与合同标的相同的服务，并就此与乙方签订补充合同，乙方不得拒绝。</w:t>
      </w:r>
    </w:p>
    <w:p>
      <w:pPr>
        <w:ind w:firstLine="420" w:firstLineChars="200"/>
        <w:rPr>
          <w:rFonts w:ascii="宋体" w:hint="eastAsia"/>
          <w:b/>
          <w:bCs/>
          <w:color w:val="000000"/>
          <w:szCs w:val="21"/>
        </w:rPr>
      </w:pPr>
      <w:r>
        <w:rPr>
          <w:rFonts w:ascii="宋体" w:hint="eastAsia"/>
          <w:b/>
          <w:bCs/>
          <w:color w:val="000000"/>
          <w:szCs w:val="21"/>
        </w:rPr>
        <w:t>第十七条 合同中止</w:t>
      </w:r>
    </w:p>
    <w:p>
      <w:pPr>
        <w:ind w:firstLine="420" w:firstLineChars="200"/>
        <w:rPr>
          <w:rFonts w:ascii="宋体" w:hint="eastAsia"/>
          <w:color w:val="000000"/>
          <w:szCs w:val="21"/>
        </w:rPr>
      </w:pPr>
      <w:r>
        <w:rPr>
          <w:rFonts w:ascii="宋体" w:hint="eastAsia"/>
          <w:color w:val="000000"/>
          <w:szCs w:val="21"/>
        </w:rPr>
        <w:t>（一）合同在履行过程中，因采购计划调整，甲方（用户）可以要求中止履行，待计划确定后继续履行。</w:t>
      </w:r>
    </w:p>
    <w:p>
      <w:pPr>
        <w:ind w:firstLine="420" w:firstLineChars="200"/>
        <w:rPr>
          <w:rFonts w:ascii="宋体" w:hint="eastAsia"/>
          <w:color w:val="000000"/>
          <w:szCs w:val="21"/>
        </w:rPr>
      </w:pPr>
      <w:r>
        <w:rPr>
          <w:rFonts w:ascii="宋体" w:hint="eastAsia"/>
          <w:color w:val="000000"/>
          <w:szCs w:val="21"/>
        </w:rPr>
        <w:t>（二）合同签订或履行过程中因其他供应商就采购过程或结果提起质疑、投诉、行政复议、行政诉讼的，甲方（用户）认为有必要或财政部责令中止的，应当中止合同的履行。</w:t>
      </w:r>
    </w:p>
    <w:p>
      <w:pPr>
        <w:ind w:firstLine="420" w:firstLineChars="200"/>
        <w:rPr>
          <w:rFonts w:ascii="宋体" w:hint="eastAsia"/>
          <w:b/>
          <w:bCs/>
          <w:color w:val="000000"/>
          <w:szCs w:val="21"/>
        </w:rPr>
      </w:pPr>
      <w:r>
        <w:rPr>
          <w:rFonts w:ascii="宋体" w:hint="eastAsia"/>
          <w:b/>
          <w:bCs/>
          <w:color w:val="000000"/>
          <w:szCs w:val="21"/>
        </w:rPr>
        <w:t>第十八条 合同解除</w:t>
      </w:r>
    </w:p>
    <w:p>
      <w:pPr>
        <w:ind w:firstLine="420" w:firstLineChars="200"/>
        <w:rPr>
          <w:rFonts w:ascii="宋体" w:hint="eastAsia"/>
          <w:color w:val="000000"/>
          <w:szCs w:val="21"/>
        </w:rPr>
      </w:pPr>
      <w:r>
        <w:rPr>
          <w:rFonts w:ascii="宋体" w:hint="eastAsia"/>
          <w:color w:val="000000"/>
          <w:szCs w:val="21"/>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ind w:firstLine="420" w:firstLineChars="200"/>
        <w:rPr>
          <w:rFonts w:ascii="宋体" w:hint="eastAsia"/>
          <w:color w:val="000000"/>
          <w:szCs w:val="21"/>
        </w:rPr>
      </w:pPr>
      <w:r>
        <w:rPr>
          <w:rFonts w:ascii="宋体" w:hint="eastAsia"/>
          <w:color w:val="000000"/>
          <w:szCs w:val="21"/>
        </w:rPr>
        <w:t>（一）因违约解除合同</w:t>
      </w:r>
    </w:p>
    <w:p>
      <w:pPr>
        <w:ind w:firstLine="420" w:firstLineChars="200"/>
        <w:rPr>
          <w:rFonts w:ascii="宋体" w:hint="eastAsia"/>
          <w:color w:val="000000"/>
          <w:szCs w:val="21"/>
        </w:rPr>
      </w:pPr>
      <w:r>
        <w:rPr>
          <w:rFonts w:ascii="宋体" w:hint="eastAsia"/>
          <w:color w:val="000000"/>
          <w:szCs w:val="21"/>
        </w:rPr>
        <w:t>1.在甲方（用户）因乙方违约而采取的任何补救措施不受影响的情况下，甲方（用户）可向乙方发出书面违约通知书，提出解除部分或全部合同：</w:t>
      </w:r>
    </w:p>
    <w:p>
      <w:pPr>
        <w:ind w:firstLine="420" w:firstLineChars="200"/>
        <w:rPr>
          <w:rFonts w:ascii="宋体" w:hint="eastAsia"/>
          <w:color w:val="000000"/>
          <w:szCs w:val="21"/>
        </w:rPr>
      </w:pPr>
      <w:r>
        <w:rPr>
          <w:rFonts w:ascii="宋体" w:hint="eastAsia"/>
          <w:color w:val="000000"/>
          <w:szCs w:val="21"/>
        </w:rPr>
        <w:t>（1）如果乙方未能在合同规定的期限或甲方（用户）根据合同条款的规定同意延长的限期内提供部分或全部的服务，达到合同所规定的要求；</w:t>
      </w:r>
    </w:p>
    <w:p>
      <w:pPr>
        <w:ind w:firstLine="420" w:firstLineChars="200"/>
        <w:rPr>
          <w:rFonts w:ascii="宋体" w:hint="eastAsia"/>
          <w:color w:val="000000"/>
          <w:szCs w:val="21"/>
        </w:rPr>
      </w:pPr>
      <w:r>
        <w:rPr>
          <w:rFonts w:ascii="宋体" w:hint="eastAsia"/>
          <w:color w:val="000000"/>
          <w:szCs w:val="21"/>
        </w:rPr>
        <w:t>（2）如果甲方（用户）发现乙方在本合同的竞争或实施中有欺诈行为。</w:t>
      </w:r>
    </w:p>
    <w:p>
      <w:pPr>
        <w:ind w:firstLine="420" w:firstLineChars="200"/>
        <w:rPr>
          <w:rFonts w:ascii="宋体" w:hint="eastAsia"/>
          <w:color w:val="000000"/>
          <w:szCs w:val="21"/>
        </w:rPr>
      </w:pPr>
      <w:r>
        <w:rPr>
          <w:rFonts w:ascii="宋体" w:hint="eastAsia"/>
          <w:color w:val="000000"/>
          <w:szCs w:val="21"/>
        </w:rPr>
        <w:t>（3）如果乙方未能履行合同规定的其他任何义务。</w:t>
      </w:r>
    </w:p>
    <w:p>
      <w:pPr>
        <w:ind w:firstLine="420" w:firstLineChars="200"/>
        <w:rPr>
          <w:rFonts w:ascii="宋体" w:hint="eastAsia"/>
          <w:color w:val="000000"/>
          <w:szCs w:val="21"/>
        </w:rPr>
      </w:pPr>
      <w:r>
        <w:rPr>
          <w:rFonts w:ascii="宋体" w:hint="eastAsia"/>
          <w:color w:val="000000"/>
          <w:szCs w:val="21"/>
        </w:rPr>
        <w:t>2.如果甲方（用户）根据上述规定与乙方全部或部分解除合同，</w:t>
      </w:r>
      <w:r>
        <w:rPr>
          <w:rFonts w:ascii="宋体" w:hint="eastAsia"/>
          <w:bCs/>
          <w:color w:val="000000"/>
          <w:szCs w:val="21"/>
        </w:rPr>
        <w:t>甲方（用户）可以依其认为适当的条件和方法购买乙方未能提供的服务，乙方应对甲方购买服务所超出的费用负责</w:t>
      </w:r>
      <w:r>
        <w:rPr>
          <w:rFonts w:ascii="宋体" w:hint="eastAsia"/>
          <w:color w:val="000000"/>
          <w:szCs w:val="21"/>
        </w:rPr>
        <w:t>。</w:t>
      </w:r>
      <w:r>
        <w:rPr>
          <w:rFonts w:ascii="宋体" w:hint="eastAsia"/>
          <w:bCs/>
          <w:color w:val="000000"/>
          <w:szCs w:val="21"/>
        </w:rPr>
        <w:t>同时，乙方应继续执行合同中未解除的部分。</w:t>
      </w:r>
    </w:p>
    <w:p>
      <w:pPr>
        <w:ind w:firstLine="420" w:firstLineChars="200"/>
        <w:rPr>
          <w:rFonts w:ascii="宋体" w:hint="eastAsia"/>
          <w:color w:val="000000"/>
          <w:szCs w:val="21"/>
        </w:rPr>
      </w:pPr>
      <w:r>
        <w:rPr>
          <w:rFonts w:ascii="宋体" w:hint="eastAsia"/>
          <w:color w:val="000000"/>
          <w:szCs w:val="21"/>
        </w:rPr>
        <w:t>（二）因破产而解除合同</w:t>
      </w:r>
    </w:p>
    <w:p>
      <w:pPr>
        <w:ind w:firstLine="420" w:firstLineChars="200"/>
        <w:rPr>
          <w:rFonts w:ascii="宋体" w:hint="eastAsia"/>
          <w:color w:val="000000"/>
          <w:szCs w:val="21"/>
        </w:rPr>
      </w:pPr>
      <w:r>
        <w:rPr>
          <w:rFonts w:ascii="宋体" w:hint="eastAsia"/>
          <w:color w:val="000000"/>
          <w:szCs w:val="21"/>
        </w:rPr>
        <w:t>1.如果乙方破产或无清偿能力，甲方（用户）可在任何时候以书面形式通知乙方，提出解除合同而不给乙方补偿，并有权要求乙方退回甲方（用户）已支付的合同款项。</w:t>
      </w:r>
    </w:p>
    <w:p>
      <w:pPr>
        <w:ind w:firstLine="420" w:firstLineChars="200"/>
        <w:rPr>
          <w:rFonts w:ascii="宋体" w:hint="eastAsia"/>
          <w:color w:val="000000"/>
          <w:szCs w:val="21"/>
        </w:rPr>
      </w:pPr>
      <w:r>
        <w:rPr>
          <w:rFonts w:ascii="宋体" w:hint="eastAsia"/>
          <w:color w:val="000000"/>
          <w:szCs w:val="21"/>
        </w:rPr>
        <w:t>2.该解除合同将不损害或影响甲方</w:t>
      </w:r>
      <w:r>
        <w:rPr>
          <w:rFonts w:ascii="宋体" w:cs="宋体" w:hint="eastAsia"/>
          <w:color w:val="000000"/>
          <w:szCs w:val="21"/>
        </w:rPr>
        <w:t>（用户）</w:t>
      </w:r>
      <w:r>
        <w:rPr>
          <w:rFonts w:ascii="宋体" w:hint="eastAsia"/>
          <w:color w:val="000000"/>
          <w:szCs w:val="21"/>
        </w:rPr>
        <w:t>已经采取或将要采取的任何行动或补救措施的权利。</w:t>
      </w:r>
    </w:p>
    <w:p>
      <w:pPr>
        <w:ind w:firstLine="420" w:firstLineChars="200"/>
        <w:rPr>
          <w:rFonts w:ascii="宋体" w:hint="eastAsia"/>
          <w:color w:val="000000"/>
          <w:szCs w:val="21"/>
        </w:rPr>
      </w:pPr>
      <w:r>
        <w:rPr>
          <w:rFonts w:ascii="宋体" w:hint="eastAsia"/>
          <w:color w:val="000000"/>
          <w:szCs w:val="21"/>
        </w:rPr>
        <w:t>（三）其他解除合同情况</w:t>
      </w:r>
    </w:p>
    <w:p>
      <w:pPr>
        <w:ind w:firstLine="420" w:firstLineChars="200"/>
        <w:rPr>
          <w:rFonts w:ascii="宋体" w:hint="eastAsia"/>
          <w:color w:val="000000"/>
          <w:szCs w:val="21"/>
        </w:rPr>
      </w:pPr>
      <w:r>
        <w:rPr>
          <w:rFonts w:ascii="宋体" w:hint="eastAsia"/>
          <w:color w:val="000000"/>
          <w:szCs w:val="21"/>
        </w:rPr>
        <w:t>1.若合同继续履行将给甲方造成重大损失的，甲方（用户）可以解除合同而不给予乙方任何补偿。</w:t>
      </w:r>
    </w:p>
    <w:p>
      <w:pPr>
        <w:ind w:firstLine="420" w:firstLineChars="200"/>
        <w:rPr>
          <w:rFonts w:ascii="宋体" w:hint="eastAsia"/>
          <w:color w:val="000000"/>
          <w:szCs w:val="21"/>
        </w:rPr>
      </w:pPr>
      <w:r>
        <w:rPr>
          <w:rFonts w:ascii="宋体" w:hint="eastAsia"/>
          <w:color w:val="000000"/>
          <w:szCs w:val="21"/>
        </w:rPr>
        <w:t>2.乙方在执行合同的过程中发生重大变故，对履行合同有影响的，甲方（用户）可以解除合同而不给予乙方任何补偿。</w:t>
      </w:r>
    </w:p>
    <w:p>
      <w:pPr>
        <w:ind w:firstLine="420" w:firstLineChars="200"/>
        <w:rPr>
          <w:rFonts w:ascii="宋体" w:hint="eastAsia"/>
          <w:color w:val="000000"/>
          <w:szCs w:val="21"/>
        </w:rPr>
      </w:pPr>
      <w:r>
        <w:rPr>
          <w:rFonts w:ascii="宋体" w:hint="eastAsia"/>
          <w:color w:val="000000"/>
          <w:szCs w:val="21"/>
        </w:rPr>
        <w:t>3.甲方（用户）因重大变故取消或部分取消原来的采购任务，导致合同全部或部分内容无需继续履行的，可以解除合同而不给予乙方任何补偿。</w:t>
      </w:r>
    </w:p>
    <w:p>
      <w:pPr>
        <w:ind w:firstLine="420" w:firstLineChars="200"/>
        <w:rPr>
          <w:rFonts w:ascii="宋体" w:hint="eastAsia"/>
          <w:b/>
          <w:bCs/>
          <w:color w:val="000000"/>
          <w:szCs w:val="21"/>
        </w:rPr>
      </w:pPr>
      <w:r>
        <w:rPr>
          <w:rFonts w:ascii="宋体" w:hint="eastAsia"/>
          <w:b/>
          <w:bCs/>
          <w:color w:val="000000"/>
          <w:szCs w:val="21"/>
        </w:rPr>
        <w:t>第十九条 合同终止</w:t>
      </w:r>
    </w:p>
    <w:p>
      <w:pPr>
        <w:pStyle w:val="3010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rPr>
        <w:t>（一）本合同因下列原因而终止：</w:t>
      </w:r>
    </w:p>
    <w:p>
      <w:pPr>
        <w:pStyle w:val="3010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rPr>
        <w:t>1.本合同正常履行完毕；</w:t>
      </w:r>
    </w:p>
    <w:p>
      <w:pPr>
        <w:pStyle w:val="3010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rPr>
        <w:t>2.合同双方协议终止本合同的履行；</w:t>
      </w:r>
    </w:p>
    <w:p>
      <w:pPr>
        <w:pStyle w:val="3010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rPr>
        <w:t>3.不可抗力事件导致本合同无法履行或履行不必要；</w:t>
      </w:r>
    </w:p>
    <w:p>
      <w:pPr>
        <w:pStyle w:val="3010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rPr>
        <w:t>4.任何一方行使解除权，解除本合同。</w:t>
      </w:r>
    </w:p>
    <w:p>
      <w:pPr>
        <w:pStyle w:val="30100"/>
        <w:autoSpaceDN w:val="0"/>
        <w:spacing w:line="560" w:lineRule="exact"/>
        <w:ind w:firstLine="420" w:firstLineChars="200"/>
        <w:jc w:val="left"/>
        <w:rPr>
          <w:rFonts w:ascii="宋体" w:cs="微软雅黑" w:hint="eastAsia"/>
          <w:snapToGrid w:val="0"/>
          <w:kern w:val="0"/>
          <w:szCs w:val="21"/>
        </w:rPr>
      </w:pPr>
      <w:bookmarkStart w:id="55" w:name="孔子"/>
      <w:bookmarkEnd w:id="55"/>
      <w:r>
        <w:rPr>
          <w:rFonts w:ascii="宋体" w:cs="微软雅黑" w:hint="eastAsia"/>
          <w:snapToGrid w:val="0"/>
          <w:kern w:val="0"/>
          <w:szCs w:val="21"/>
        </w:rPr>
        <w:t>（二）对本合同终止有过错的一方应赔偿另一方因合同终止而受到的损失。</w:t>
      </w:r>
    </w:p>
    <w:p>
      <w:pPr>
        <w:ind w:firstLine="420" w:firstLineChars="200"/>
        <w:rPr>
          <w:rFonts w:ascii="宋体" w:hint="eastAsia"/>
          <w:b/>
          <w:bCs/>
          <w:color w:val="000000"/>
          <w:szCs w:val="21"/>
        </w:rPr>
      </w:pPr>
      <w:r>
        <w:rPr>
          <w:rFonts w:ascii="宋体" w:hint="eastAsia"/>
          <w:b/>
          <w:bCs/>
          <w:color w:val="000000"/>
          <w:szCs w:val="21"/>
        </w:rPr>
        <w:t>第二十条 合同转让和分包</w:t>
      </w:r>
    </w:p>
    <w:p>
      <w:pPr>
        <w:ind w:firstLine="420" w:firstLineChars="200"/>
        <w:rPr>
          <w:rFonts w:ascii="宋体" w:hint="eastAsia"/>
          <w:color w:val="000000"/>
          <w:szCs w:val="21"/>
        </w:rPr>
      </w:pPr>
      <w:r>
        <w:rPr>
          <w:rFonts w:ascii="宋体" w:hint="eastAsia"/>
          <w:color w:val="000000"/>
          <w:szCs w:val="21"/>
        </w:rPr>
        <w:t>（一）乙方不得以任何形式将合同转包，或部分或全部转让其应履行的合同义务。</w:t>
      </w:r>
    </w:p>
    <w:p>
      <w:pPr>
        <w:ind w:firstLine="420" w:firstLineChars="200"/>
        <w:rPr>
          <w:rFonts w:ascii="宋体" w:hint="eastAsia"/>
          <w:color w:val="000000"/>
          <w:szCs w:val="21"/>
        </w:rPr>
      </w:pPr>
      <w:r>
        <w:rPr>
          <w:rFonts w:ascii="宋体" w:hint="eastAsia"/>
          <w:color w:val="000000"/>
          <w:szCs w:val="21"/>
        </w:rPr>
        <w:t>（二）除经甲方（用户）事先书面同意外，乙方不得以任何形式将合同分包。</w:t>
      </w:r>
    </w:p>
    <w:p>
      <w:pPr>
        <w:ind w:firstLine="420" w:firstLineChars="200"/>
        <w:rPr>
          <w:rFonts w:ascii="宋体" w:hint="eastAsia"/>
          <w:color w:val="000000"/>
          <w:szCs w:val="21"/>
        </w:rPr>
      </w:pPr>
      <w:r>
        <w:rPr>
          <w:rFonts w:ascii="宋体" w:hint="eastAsia"/>
          <w:color w:val="000000"/>
          <w:szCs w:val="21"/>
        </w:rPr>
        <w:t>乙方擅自转包或分包的，甲方有权解除本合同，没收履约保证金，并要求乙方退还已支付的全部款项，赔偿甲方（用户）全部损失及支出的合理费用。</w:t>
      </w:r>
    </w:p>
    <w:p>
      <w:pPr>
        <w:ind w:firstLine="420" w:firstLineChars="200"/>
        <w:rPr>
          <w:rFonts w:ascii="宋体" w:hint="eastAsia"/>
          <w:b/>
          <w:bCs/>
          <w:color w:val="000000"/>
          <w:szCs w:val="21"/>
        </w:rPr>
      </w:pPr>
      <w:r>
        <w:rPr>
          <w:rFonts w:ascii="宋体" w:hint="eastAsia"/>
          <w:b/>
          <w:bCs/>
          <w:color w:val="000000"/>
          <w:szCs w:val="21"/>
        </w:rPr>
        <w:t>第二十一条 其他</w:t>
      </w:r>
    </w:p>
    <w:p>
      <w:pPr>
        <w:ind w:firstLine="420" w:firstLineChars="200"/>
        <w:rPr>
          <w:rFonts w:ascii="宋体" w:hint="eastAsia"/>
          <w:color w:val="000000"/>
          <w:szCs w:val="21"/>
        </w:rPr>
      </w:pPr>
      <w:r>
        <w:rPr>
          <w:rFonts w:ascii="宋体" w:hint="eastAsia"/>
          <w:color w:val="000000"/>
          <w:szCs w:val="21"/>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20" w:firstLineChars="200"/>
        <w:rPr>
          <w:rFonts w:ascii="宋体" w:hint="eastAsia"/>
          <w:b/>
          <w:bCs/>
          <w:color w:val="000000"/>
          <w:szCs w:val="21"/>
        </w:rPr>
      </w:pPr>
      <w:r>
        <w:rPr>
          <w:rFonts w:ascii="宋体" w:hint="eastAsia"/>
          <w:b/>
          <w:bCs/>
          <w:color w:val="000000"/>
          <w:szCs w:val="21"/>
        </w:rPr>
        <w:t>第二十二条 合同生效</w:t>
      </w:r>
    </w:p>
    <w:p>
      <w:pPr>
        <w:ind w:firstLine="420" w:firstLineChars="200"/>
        <w:rPr>
          <w:rFonts w:ascii="宋体" w:hint="eastAsia"/>
          <w:color w:val="000000"/>
          <w:szCs w:val="21"/>
        </w:rPr>
      </w:pPr>
      <w:r>
        <w:rPr>
          <w:rFonts w:ascii="宋体" w:hint="eastAsia"/>
          <w:color w:val="000000"/>
          <w:szCs w:val="21"/>
        </w:rPr>
        <w:t>（一）本合同一式___份，甲方执___份，乙方执___份；自甲乙双方签字并盖章之日起生效。对本合同的任何更改及补充，均需双方共同协商，并以书面形式盖章确认。</w:t>
      </w:r>
    </w:p>
    <w:p>
      <w:pPr>
        <w:pStyle w:val="3110"/>
        <w:widowControl/>
        <w:autoSpaceDN w:val="0"/>
        <w:spacing w:line="560" w:lineRule="exact"/>
        <w:ind w:firstLine="420" w:firstLineChars="200"/>
        <w:jc w:val="left"/>
        <w:rPr>
          <w:rFonts w:ascii="宋体" w:cs="宋体" w:hint="eastAsia"/>
          <w:snapToGrid w:val="0"/>
          <w:kern w:val="0"/>
          <w:szCs w:val="21"/>
        </w:rPr>
      </w:pPr>
      <w:r>
        <w:rPr>
          <w:rFonts w:ascii="宋体" w:hint="eastAsia"/>
          <w:color w:val="000000"/>
          <w:szCs w:val="21"/>
        </w:rPr>
        <w:t>（二）</w:t>
      </w:r>
      <w:r>
        <w:rPr>
          <w:rFonts w:ascii="宋体" w:cs="宋体" w:hint="eastAsia"/>
          <w:snapToGrid w:val="0"/>
          <w:kern w:val="0"/>
          <w:szCs w:val="21"/>
        </w:rPr>
        <w:t>本合同签订后，由昆明海关执行资金支付、履约保证金收退、试运行或合同验收等合同履约一切事宜。</w:t>
      </w:r>
    </w:p>
    <w:p>
      <w:pPr>
        <w:ind w:firstLine="420" w:firstLineChars="200"/>
        <w:rPr>
          <w:rFonts w:ascii="宋体" w:hint="eastAsia"/>
          <w:color w:val="000000"/>
          <w:szCs w:val="21"/>
        </w:rPr>
      </w:pPr>
    </w:p>
    <w:p>
      <w:pPr>
        <w:pStyle w:val="5610"/>
        <w:spacing w:line="480" w:lineRule="atLeast"/>
        <w:ind w:firstLine="422" w:firstLineChars="201"/>
        <w:rPr>
          <w:rFonts w:ascii="宋体" w:eastAsia="宋体" w:cs="宋体" w:hint="eastAsia"/>
          <w:color w:val="000000"/>
        </w:rPr>
      </w:pPr>
      <w:r>
        <w:rPr>
          <w:rFonts w:ascii="宋体" w:eastAsia="宋体" w:hint="eastAsia"/>
          <w:color w:val="000000"/>
        </w:rPr>
        <w:t>附件一：</w:t>
      </w:r>
      <w:r>
        <w:rPr>
          <w:rFonts w:ascii="宋体" w:eastAsia="宋体" w:cs="宋体" w:hint="eastAsia"/>
          <w:color w:val="000000"/>
        </w:rPr>
        <w:t>项目需求书</w:t>
      </w:r>
    </w:p>
    <w:p>
      <w:pPr>
        <w:ind w:firstLine="420" w:firstLineChars="200"/>
        <w:rPr>
          <w:rFonts w:ascii="宋体" w:hint="eastAsia"/>
          <w:color w:val="000000"/>
          <w:szCs w:val="21"/>
        </w:rPr>
      </w:pPr>
      <w:r>
        <w:rPr>
          <w:rFonts w:ascii="宋体" w:hint="eastAsia"/>
          <w:color w:val="000000"/>
          <w:szCs w:val="21"/>
        </w:rPr>
        <w:t>附件二：分项报价表</w:t>
      </w:r>
    </w:p>
    <w:p>
      <w:pPr>
        <w:ind w:firstLine="420" w:firstLineChars="200"/>
        <w:rPr>
          <w:rFonts w:ascii="宋体" w:hint="eastAsia"/>
          <w:color w:val="000000"/>
          <w:szCs w:val="21"/>
        </w:rPr>
      </w:pPr>
      <w:r>
        <w:rPr>
          <w:rFonts w:ascii="宋体" w:hint="eastAsia"/>
          <w:color w:val="000000"/>
          <w:szCs w:val="21"/>
        </w:rPr>
        <w:t>附件三：</w:t>
      </w:r>
      <w:r>
        <w:rPr>
          <w:rFonts w:ascii="宋体" w:cs="宋体" w:hint="eastAsia"/>
          <w:color w:val="000000"/>
          <w:szCs w:val="21"/>
        </w:rPr>
        <w:t>政务数据安全管理承诺书</w:t>
      </w:r>
    </w:p>
    <w:p>
      <w:pPr>
        <w:ind w:firstLine="420" w:firstLineChars="200"/>
        <w:rPr>
          <w:rFonts w:ascii="宋体" w:hint="eastAsia"/>
          <w:color w:val="000000"/>
          <w:szCs w:val="21"/>
        </w:rPr>
      </w:pPr>
      <w:r>
        <w:rPr>
          <w:rFonts w:ascii="宋体" w:hint="eastAsia"/>
          <w:color w:val="000000"/>
          <w:szCs w:val="21"/>
        </w:rPr>
        <w:t>附件四：项目实施方案</w:t>
      </w:r>
    </w:p>
    <w:p>
      <w:pPr>
        <w:ind w:firstLine="719"/>
        <w:rPr>
          <w:rFonts w:ascii="宋体" w:hint="eastAsia"/>
          <w:color w:val="000000"/>
          <w:szCs w:val="21"/>
        </w:rPr>
      </w:pPr>
      <w:r>
        <w:rPr>
          <w:rFonts w:ascii="宋体" w:hint="eastAsia"/>
          <w:color w:val="000000"/>
          <w:szCs w:val="21"/>
        </w:rPr>
        <w:t>附件五：技术培训方案</w:t>
      </w:r>
    </w:p>
    <w:p>
      <w:pPr>
        <w:ind w:firstLine="719"/>
        <w:rPr>
          <w:rFonts w:ascii="宋体" w:hint="eastAsia"/>
          <w:color w:val="000000"/>
          <w:szCs w:val="21"/>
          <w:highlight w:val="yellow"/>
        </w:rPr>
      </w:pPr>
      <w:r>
        <w:rPr>
          <w:rFonts w:ascii="宋体" w:hint="eastAsia"/>
          <w:color w:val="000000"/>
          <w:szCs w:val="21"/>
        </w:rPr>
        <w:t>附件六：技术支持及售后服务方案</w:t>
      </w:r>
    </w:p>
    <w:p>
      <w:pPr>
        <w:rPr>
          <w:rFonts w:ascii="宋体" w:hint="eastAsia"/>
          <w:color w:val="000000"/>
          <w:szCs w:val="21"/>
        </w:rPr>
      </w:pPr>
      <w:r>
        <w:rPr>
          <w:rFonts w:ascii="宋体" w:hint="eastAsia"/>
          <w:color w:val="000000"/>
          <w:szCs w:val="21"/>
        </w:rPr>
        <w:t>（附件二、四、五、六内容与投标/响应文件一致。）</w:t>
      </w:r>
    </w:p>
    <w:p>
      <w:pPr>
        <w:rPr>
          <w:rFonts w:ascii="宋体" w:hint="eastAsia"/>
          <w:color w:val="000000"/>
          <w:szCs w:val="21"/>
        </w:rPr>
      </w:pPr>
    </w:p>
    <w:p>
      <w:pPr>
        <w:rPr>
          <w:rFonts w:ascii="宋体" w:hint="eastAsia"/>
          <w:color w:val="000000"/>
          <w:szCs w:val="21"/>
        </w:rPr>
      </w:pPr>
      <w:r>
        <w:rPr>
          <w:rFonts w:ascii="宋体" w:hint="eastAsia"/>
          <w:color w:val="000000"/>
          <w:szCs w:val="21"/>
        </w:rPr>
        <w:t>甲方（公章</w:t>
      </w:r>
      <w:r>
        <w:rPr>
          <w:rFonts w:ascii="宋体" w:hint="eastAsia"/>
          <w:snapToGrid w:val="0"/>
          <w:kern w:val="0"/>
          <w:szCs w:val="21"/>
        </w:rPr>
        <w:t>或合同章</w:t>
      </w:r>
      <w:r>
        <w:rPr>
          <w:rFonts w:ascii="宋体" w:hint="eastAsia"/>
          <w:color w:val="000000"/>
          <w:szCs w:val="21"/>
        </w:rPr>
        <w:t>）：             乙方（公章</w:t>
      </w:r>
      <w:r>
        <w:rPr>
          <w:rFonts w:ascii="宋体" w:hint="eastAsia"/>
          <w:snapToGrid w:val="0"/>
          <w:kern w:val="0"/>
          <w:szCs w:val="21"/>
        </w:rPr>
        <w:t>或合同章</w:t>
      </w:r>
      <w:r>
        <w:rPr>
          <w:rFonts w:ascii="宋体" w:hint="eastAsia"/>
          <w:color w:val="000000"/>
          <w:szCs w:val="21"/>
        </w:rPr>
        <w:t>）：</w:t>
      </w:r>
    </w:p>
    <w:p>
      <w:pPr>
        <w:rPr>
          <w:rFonts w:ascii="宋体" w:hint="eastAsia"/>
          <w:color w:val="000000"/>
          <w:szCs w:val="21"/>
        </w:rPr>
      </w:pPr>
      <w:r>
        <w:rPr>
          <w:rFonts w:ascii="宋体" w:hint="eastAsia"/>
          <w:color w:val="000000"/>
          <w:szCs w:val="21"/>
        </w:rPr>
        <w:t>法定代表人                        法定代表人</w:t>
      </w:r>
    </w:p>
    <w:p>
      <w:pPr>
        <w:rPr>
          <w:rFonts w:ascii="宋体" w:hint="eastAsia"/>
          <w:color w:val="000000"/>
          <w:szCs w:val="21"/>
        </w:rPr>
      </w:pPr>
      <w:r>
        <w:rPr>
          <w:rFonts w:ascii="宋体" w:hint="eastAsia"/>
          <w:color w:val="000000"/>
          <w:szCs w:val="21"/>
        </w:rPr>
        <w:t>或授权签字人（签字）：             或授权签字人（签字）：</w:t>
      </w:r>
    </w:p>
    <w:p>
      <w:pPr>
        <w:rPr>
          <w:rFonts w:ascii="宋体" w:hint="eastAsia"/>
          <w:color w:val="000000"/>
          <w:szCs w:val="21"/>
        </w:rPr>
      </w:pPr>
    </w:p>
    <w:p>
      <w:pPr>
        <w:rPr>
          <w:rFonts w:ascii="宋体" w:hint="eastAsia"/>
          <w:color w:val="000000"/>
          <w:szCs w:val="21"/>
        </w:rPr>
      </w:pPr>
      <w:r>
        <w:rPr>
          <w:rFonts w:ascii="宋体" w:hint="eastAsia"/>
          <w:color w:val="000000"/>
          <w:szCs w:val="21"/>
        </w:rPr>
        <w:t xml:space="preserve">日期： 年  月  日                 日期：   年   月   日    </w:t>
      </w:r>
    </w:p>
    <w:p>
      <w:pPr>
        <w:rPr>
          <w:rFonts w:ascii="宋体" w:hint="eastAsia"/>
          <w:color w:val="000000"/>
          <w:szCs w:val="21"/>
        </w:rPr>
      </w:pPr>
      <w:r>
        <w:rPr>
          <w:rFonts w:ascii="宋体" w:hint="eastAsia"/>
          <w:color w:val="000000"/>
          <w:szCs w:val="21"/>
        </w:rPr>
        <w:t>联系人:                            联系人：</w:t>
      </w:r>
    </w:p>
    <w:p>
      <w:pPr>
        <w:rPr>
          <w:rFonts w:ascii="宋体" w:hint="eastAsia"/>
          <w:color w:val="000000"/>
          <w:szCs w:val="21"/>
        </w:rPr>
      </w:pPr>
      <w:r>
        <w:rPr>
          <w:rFonts w:ascii="宋体" w:hint="eastAsia"/>
          <w:color w:val="000000"/>
          <w:szCs w:val="21"/>
        </w:rPr>
        <w:t>电话:                              电话：</w:t>
      </w:r>
    </w:p>
    <w:p>
      <w:pPr>
        <w:rPr>
          <w:rFonts w:ascii="宋体" w:hint="eastAsia"/>
          <w:color w:val="000000"/>
          <w:szCs w:val="21"/>
        </w:rPr>
      </w:pPr>
      <w:r>
        <w:rPr>
          <w:rFonts w:ascii="宋体" w:hint="eastAsia"/>
          <w:color w:val="000000"/>
          <w:szCs w:val="21"/>
        </w:rPr>
        <w:t>地址：                             地址：</w:t>
      </w: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rPr>
      </w:pPr>
      <w:r>
        <w:rPr>
          <w:rFonts w:ascii="方正小标宋_GBK" w:eastAsia="方正小标宋_GBK" w:hint="eastAsia"/>
        </w:rPr>
        <w:t>政务数据安全管理承诺书</w:t>
      </w:r>
    </w:p>
    <w:p>
      <w:pPr>
        <w:pStyle w:val="6710"/>
        <w:spacing w:line="560" w:lineRule="exact"/>
        <w:rPr>
          <w:rFonts w:ascii="方正仿宋_GBK" w:eastAsia="方正仿宋_GBK" w:hint="eastAsia"/>
        </w:rPr>
      </w:pPr>
      <w:r>
        <w:rPr>
          <w:rFonts w:hint="eastAsia"/>
        </w:rPr>
        <w:t xml:space="preserve">  </w:t>
      </w:r>
      <w:r>
        <w:rPr>
          <w:rFonts w:ascii="方正仿宋_GBK" w:eastAsia="方正仿宋_GBK" w:hint="eastAsia"/>
        </w:rPr>
        <w:t xml:space="preserve">  </w:t>
      </w:r>
    </w:p>
    <w:p>
      <w:pPr>
        <w:pStyle w:val="6710"/>
        <w:spacing w:line="560" w:lineRule="exact"/>
        <w:ind w:firstLine="420" w:firstLineChars="200"/>
        <w:rPr>
          <w:rFonts w:ascii="方正仿宋_GBK" w:eastAsia="方正仿宋_GBK" w:hint="eastAsia"/>
        </w:rPr>
      </w:pPr>
      <w:r>
        <w:rPr>
          <w:rFonts w:ascii="方正仿宋_GBK" w:eastAsia="方正仿宋_GBK" w:hint="eastAsia"/>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ascii="方正仿宋_GBK" w:eastAsia="方正仿宋_GBK" w:hint="eastAsia"/>
        </w:rPr>
      </w:pPr>
      <w:r>
        <w:rPr>
          <w:rFonts w:ascii="方正仿宋_GBK" w:eastAsia="方正仿宋_GBK" w:hint="eastAsia"/>
        </w:rPr>
        <w:t xml:space="preserve">    二、乙方承诺不将其承包的项目全部转包，不将中标项目支解后分别向其他企业或者个人转让，不将项目主体和关键部分分包。</w:t>
      </w:r>
    </w:p>
    <w:p>
      <w:pPr>
        <w:pStyle w:val="6710"/>
        <w:spacing w:line="560" w:lineRule="exact"/>
        <w:rPr>
          <w:rFonts w:ascii="方正仿宋_GBK" w:eastAsia="方正仿宋_GBK" w:hint="eastAsia"/>
        </w:rPr>
      </w:pPr>
      <w:r>
        <w:rPr>
          <w:rFonts w:ascii="方正仿宋_GBK" w:eastAsia="方正仿宋_GBK" w:hint="eastAsia"/>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ascii="方正仿宋_GBK" w:eastAsia="方正仿宋_GBK" w:hint="eastAsia"/>
        </w:rPr>
      </w:pPr>
      <w:r>
        <w:rPr>
          <w:rFonts w:ascii="方正仿宋_GBK" w:eastAsia="方正仿宋_GBK" w:hint="eastAsia"/>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ascii="方正仿宋_GBK" w:eastAsia="方正仿宋_GBK" w:hint="eastAsia"/>
        </w:rPr>
      </w:pPr>
      <w:r>
        <w:rPr>
          <w:rFonts w:ascii="方正仿宋_GBK" w:eastAsia="方正仿宋_GBK" w:hint="eastAsia"/>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rPr>
          <w:rFonts w:ascii="方正仿宋_GBK" w:eastAsia="方正仿宋_GBK" w:hint="eastAsia"/>
        </w:rPr>
      </w:pPr>
    </w:p>
    <w:p>
      <w:pPr>
        <w:pStyle w:val="6710"/>
        <w:spacing w:line="560" w:lineRule="exact"/>
        <w:jc w:val="center"/>
        <w:rPr>
          <w:rFonts w:ascii="方正仿宋_GBK" w:eastAsia="方正仿宋_GBK" w:hint="eastAsia"/>
        </w:rPr>
      </w:pPr>
      <w:r>
        <w:rPr>
          <w:rFonts w:ascii="方正仿宋_GBK" w:eastAsia="方正仿宋_GBK" w:hint="eastAsia"/>
        </w:rPr>
        <w:t>乙方：XX公司</w:t>
      </w:r>
    </w:p>
    <w:p>
      <w:pPr>
        <w:pStyle w:val="61100"/>
        <w:tabs>
          <w:tab w:val="left" w:pos="2760"/>
        </w:tabs>
        <w:spacing w:line="560" w:lineRule="exact"/>
        <w:ind w:left="0" w:firstLine="3570" w:firstLineChars="1700"/>
        <w:jc w:val="left"/>
        <w:rPr>
          <w:rFonts w:ascii="方正仿宋_GBK" w:eastAsia="方正仿宋_GBK" w:hint="eastAsia"/>
          <w:b/>
          <w:snapToGrid w:val="0"/>
          <w:kern w:val="0"/>
          <w:szCs w:val="21"/>
        </w:rPr>
      </w:pPr>
      <w:r>
        <w:rPr>
          <w:rFonts w:ascii="方正仿宋_GBK" w:eastAsia="方正仿宋_GBK" w:hint="eastAsia"/>
          <w:szCs w:val="21"/>
        </w:rPr>
        <w:t>乙方法定代表人：（签字）</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附件四：项目实施方案</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附件六：技术支持与售后服务方案</w:t>
      </w:r>
    </w:p>
    <w:p>
      <w:pPr>
        <w:jc w:val="center"/>
        <w:rPr>
          <w:color w:val="0000FF"/>
          <w:highlight w:val="white"/>
        </w:rPr>
      </w:pPr>
      <w:bookmarkEnd w:id="54"/>
    </w:p>
    <w:p>
      <w:pPr>
        <w:pStyle w:val="Heading1"/>
        <w:rPr>
          <w:rFonts w:hint="eastAsia"/>
          <w:highlight w:val="white"/>
        </w:rPr>
      </w:pPr>
      <w:r>
        <w:rPr>
          <w:rFonts w:hint="eastAsia"/>
          <w:highlight w:val="white"/>
        </w:rPr>
        <w:br w:type="page"/>
      </w:r>
      <w:bookmarkStart w:id="56" w:name="_Toc65406668"/>
      <w:r>
        <w:rPr>
          <w:rFonts w:hint="eastAsia"/>
          <w:highlight w:val="white"/>
        </w:rPr>
        <w:t>第六部分  投标文件格式</w:t>
      </w:r>
      <w:bookmarkEnd w:id="56"/>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bookmarkStart w:id="57" w:name="投标文件格式"/>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58" w:name="_Ref462505451"/>
      <w:bookmarkStart w:id="59"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8"/>
      <w:bookmarkEnd w:id="59"/>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0" w:name="_Toc499068169"/>
      <w:bookmarkStart w:id="61" w:name="_Toc485990833"/>
      <w:bookmarkStart w:id="62" w:name="_Toc46196323"/>
      <w:r>
        <w:rPr>
          <w:rFonts w:ascii="宋体" w:eastAsia="宋体" w:hint="eastAsia"/>
          <w:szCs w:val="32"/>
          <w:lang w:eastAsia="zh-CN"/>
        </w:rPr>
        <w:t>投标函</w:t>
      </w:r>
      <w:bookmarkEnd w:id="60"/>
      <w:bookmarkEnd w:id="61"/>
      <w:bookmarkEnd w:id="62"/>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3" w:name="_Toc499068185"/>
      <w:bookmarkStart w:id="64" w:name="_Toc485990851"/>
      <w:r>
        <w:rPr>
          <w:rFonts w:ascii="宋体" w:eastAsia="宋体" w:hint="eastAsia"/>
          <w:szCs w:val="32"/>
          <w:lang w:eastAsia="zh-CN"/>
        </w:rPr>
        <w:t>技术偏离表</w:t>
      </w:r>
      <w:bookmarkEnd w:id="63"/>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64"/>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5" w:name="_Toc499068185_0"/>
      <w:r>
        <w:rPr>
          <w:rFonts w:ascii="宋体" w:eastAsia="宋体" w:hint="eastAsia"/>
          <w:szCs w:val="32"/>
          <w:lang w:eastAsia="zh-CN"/>
        </w:rPr>
        <w:t>技术偏离表</w:t>
      </w:r>
      <w:bookmarkEnd w:id="65"/>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项目团队人员的从业人员资格证书以及上述员工距开标之日前6个月内任意一个月的社保证明</w:t>
      </w:r>
      <w:r>
        <w:rPr>
          <w:rFonts w:ascii="宋体"/>
          <w:color w:val="000000"/>
          <w:sz w:val="22"/>
        </w:rPr>
        <w:t>等材料</w:t>
      </w:r>
      <w:r>
        <w:rPr>
          <w:rFonts w:ascii="宋体" w:hint="eastAsia"/>
          <w:color w:val="000000"/>
          <w:sz w:val="22"/>
        </w:rPr>
        <w:t>（未提供的不予认定）</w:t>
      </w:r>
      <w:r>
        <w:rPr>
          <w:rFonts w:ascii="宋体"/>
          <w:color w:val="000000"/>
          <w:sz w:val="22"/>
        </w:rPr>
        <w:t>。</w:t>
      </w:r>
      <w:r>
        <w:rPr>
          <w:rFonts w:ascii="宋体" w:hint="eastAsia"/>
          <w:color w:val="000000"/>
          <w:sz w:val="22"/>
        </w:rPr>
        <w:t xml:space="preserve">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7"/>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MS Mincho">
    <w:altName w:val="ＭＳ 明朝"/>
    <w:panose1 w:val="02020609040205080304"/>
    <w:charset w:val="80"/>
    <w:family w:val="modern"/>
    <w:pitch w:val="variable"/>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方正小标宋_GBK">
    <w:panose1 w:val="03000509000000000000"/>
    <w:charset w:val="86"/>
    <w:family w:val="script"/>
    <w:pitch w:val="variable"/>
    <w:sig w:usb0="00000001" w:usb1="080E0000" w:usb2="0000000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panose1 w:val="020B0604020202020204"/>
    <w:charset w:val="86"/>
    <w:family w:val="auto"/>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Mongolian Baiti">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7"/>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180339</wp:posOffset>
              </wp:positionV>
              <wp:extent cx="498475" cy="401288"/>
              <wp:effectExtent l="0" t="0" r="0" b="0"/>
              <wp:wrapNone/>
              <wp:docPr id="1" name="矩形 1"/>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98475" cy="401288"/>
                      </a:xfrm>
                      <a:prstGeom prst="rect">
                        <a:avLst/>
                      </a:prstGeom>
                      <a:noFill/>
                      <a:ln w="9525">
                        <a:noFill/>
                        <a:prstDash val="solid"/>
                        <a:miter lim="0"/>
                      </a:ln>
                    </wps:spPr>
                    <wps:txbx id="2">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wps:txbx>
                    <wps:bodyPr vert="horz" wrap="none" lIns="0" tIns="0" rIns="0" bIns="0" anchor="t" anchorCtr="0" upright="1">
                      <a:spAutoFit/>
                    </wps:bodyPr>
                  </wps:wsp>
                </a:graphicData>
              </a:graphic>
            </wp:anchor>
          </w:drawing>
        </mc:Choice>
        <mc:Fallback>
          <w:pict>
            <v:rect id="矩形 1 3" o:spid="_x0000_s2049" style="width:39.25pt;height:31.6pt;margin-top:14.2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5F49F32"/>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95BD49EE"/>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2">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3">
    <w:nsid w:val="C1466EBA"/>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4">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8"/>
    <w:multiLevelType w:val="singleLevel"/>
    <w:tmpl w:val="00000000"/>
    <w:lvl w:ilvl="0">
      <w:start w:val="1"/>
      <w:numFmt w:val="decimal"/>
      <w:lvlText w:val="%1."/>
      <w:lvlJc w:val="left"/>
      <w:pPr>
        <w:tabs>
          <w:tab w:val="num" w:pos="1200"/>
        </w:tabs>
        <w:ind w:left="1200" w:hanging="360"/>
      </w:pPr>
    </w:lvl>
  </w:abstractNum>
  <w:abstractNum w:abstractNumId="7">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9">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1">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3">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6">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7">
    <w:nsid w:val="02D81BFA"/>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9">
    <w:nsid w:val="1EA66DE6"/>
    <w:multiLevelType w:val="multilevel"/>
    <w:tmpl w:val="1EA66DE6"/>
    <w:lvl w:ilvl="0">
      <w:start w:val="1"/>
      <w:numFmt w:val="decimal"/>
      <w:lvlText w:val="%1"/>
      <w:lvlJc w:val="left"/>
      <w:pPr>
        <w:tabs>
          <w:tab w:val="num" w:pos="0"/>
        </w:tabs>
        <w:ind w:left="420" w:hanging="420"/>
      </w:pPr>
      <w:rPr>
        <w:rFonts w:hint="eastAsia"/>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20">
    <w:nsid w:val="21963B8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2326F967"/>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22">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3">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4">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num w:numId="1">
    <w:abstractNumId w:val="21"/>
  </w:num>
  <w:num w:numId="2">
    <w:abstractNumId w:val="24"/>
  </w:num>
  <w:num w:numId="3">
    <w:abstractNumId w:val="19"/>
  </w:num>
  <w:num w:numId="4">
    <w:abstractNumId w:val="3"/>
  </w:num>
  <w:num w:numId="5">
    <w:abstractNumId w:val="20"/>
  </w:num>
  <w:num w:numId="6">
    <w:abstractNumId w:val="0"/>
  </w:num>
  <w:num w:numId="7">
    <w:abstractNumId w:val="1"/>
  </w:num>
  <w:num w:numId="8">
    <w:abstractNumId w:val="6"/>
  </w:num>
  <w:num w:numId="9">
    <w:abstractNumId w:val="7"/>
  </w:num>
  <w:num w:numId="10">
    <w:abstractNumId w:val="8"/>
  </w:num>
  <w:num w:numId="11">
    <w:abstractNumId w:val="18"/>
  </w:num>
  <w:num w:numId="12">
    <w:abstractNumId w:val="5"/>
  </w:num>
  <w:num w:numId="13">
    <w:abstractNumId w:val="2"/>
  </w:num>
  <w:num w:numId="14">
    <w:abstractNumId w:val="22"/>
  </w:num>
  <w:num w:numId="15">
    <w:abstractNumId w:val="9"/>
  </w:num>
  <w:num w:numId="16">
    <w:abstractNumId w:val="10"/>
  </w:num>
  <w:num w:numId="17">
    <w:abstractNumId w:val="17"/>
  </w:num>
  <w:num w:numId="18">
    <w:abstractNumId w:val="4"/>
  </w:num>
  <w:num w:numId="19">
    <w:abstractNumId w:val="11"/>
  </w:num>
  <w:num w:numId="20">
    <w:abstractNumId w:val="12"/>
  </w:num>
  <w:num w:numId="21">
    <w:abstractNumId w:val="23"/>
  </w:num>
  <w:num w:numId="22">
    <w:abstractNumId w:val="13"/>
  </w:num>
  <w:num w:numId="23">
    <w:abstractNumId w:val="14"/>
  </w:num>
  <w:num w:numId="24">
    <w:abstractNumId w:val="15"/>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16"/>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4"/>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4"/>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4"/>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4"/>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4"/>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4"/>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5"/>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6"/>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7"/>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8"/>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9"/>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link w:val="16Char"/>
    <w:rPr>
      <w:rFonts w:ascii="Times New Roman" w:eastAsia="宋体" w:hAnsi="Times New Roman" w:cs="Times New Roman"/>
      <w:sz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0"/>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2"/>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3"/>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5"/>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6"/>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7"/>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18"/>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6"/>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19"/>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20"/>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0"/>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2"/>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2"/>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3"/>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4"/>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5"/>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a46">
    <w:name w:val="表"/>
    <w:autoRedefine/>
    <w:pPr>
      <w:spacing w:line="360" w:lineRule="auto"/>
      <w:jc w:val="both"/>
      <w:textAlignment w:val="center"/>
    </w:pPr>
    <w:rPr>
      <w:rFonts w:ascii="Times New Roman" w:eastAsia="宋体" w:hAnsi="Times New Roman" w:cs="宋体"/>
      <w:sz w:val="21"/>
      <w:lang w:val="en-US" w:eastAsia="zh-CN" w:bidi="ar-SA"/>
    </w:rPr>
  </w:style>
  <w:style w:type="paragraph" w:customStyle="1" w:styleId="2104">
    <w:name w:val="列出段落2"/>
    <w:basedOn w:val="Normal"/>
    <w:pPr>
      <w:spacing w:line="360" w:lineRule="auto"/>
      <w:ind w:left="720" w:firstLine="480"/>
      <w:contextualSpacing/>
    </w:pPr>
    <w:rPr>
      <w:rFonts w:ascii="Calibri" w:eastAsia="Calibri" w:hAnsi="Calibri" w:cs="Calibri"/>
      <w:kern w:val="0"/>
      <w:sz w:val="24"/>
    </w:rPr>
  </w:style>
  <w:style w:type="paragraph" w:customStyle="1" w:styleId="10711">
    <w:name w:val="样式 10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611">
    <w:name w:val="样式 36 小四1"/>
    <w:autoRedefine/>
    <w:pPr>
      <w:widowControl w:val="0"/>
      <w:spacing w:line="360" w:lineRule="auto"/>
      <w:ind w:firstLine="480"/>
      <w:jc w:val="both"/>
    </w:pPr>
    <w:rPr>
      <w:rFonts w:ascii="Calibri" w:eastAsia="Calibri" w:hAnsi="Calibri" w:cs="Calibri"/>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14093606</TotalTime>
  <Pages>1</Pages>
  <Words>17</Words>
  <Characters>17</Characters>
  <Application>Microsoft Office Word</Application>
  <DocSecurity>0</DocSecurity>
  <Lines>2</Lines>
  <Paragraphs>0</Paragraphs>
  <ScaleCrop>false</ScaleCrop>
  <Company>ms</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2024-07-30T02:03:07Z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