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CG2023-WT-GK-HW-056</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中国电子口岸数据中心2023年路由器和域名解析设备采购项目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中国电子口岸数据中心2023年路由器和域名解析设备采购项目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CG2023-WT-GK-HW-056</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中国电子口岸数据中心2023年路由器和域名解析设备采购项目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本项目预算金额合计总金额人民币1,160,000.00元，其中包1人民币700,000.00元，包2人民币460,000.00元。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路由器</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350,000.00</w:t>
            </w:r>
          </w:p>
        </w:tc>
        <w:tc>
          <w:tcPr>
            <w:tcW w:w="1271" w:type="dxa"/>
            <w:vMerge w:val="restart"/>
            <w:vAlign w:val="center"/>
          </w:tcPr>
          <w:p>
            <w:pPr>
              <w:spacing w:after="120" w:line="240" w:lineRule="auto"/>
              <w:rPr>
                <w:rFonts w:ascii="宋体"/>
                <w:b/>
                <w:color w:val="0000FF"/>
                <w:sz w:val="24"/>
                <w:highlight w:val="white"/>
              </w:rPr>
            </w:pPr>
            <w:r>
              <w:t>合同签订后一个月内交货。</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路由器自双方签署到货验收合格报告之日起，提供5年免费原厂保修服务。</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域名解析设备</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230,000.00</w:t>
            </w:r>
          </w:p>
        </w:tc>
        <w:tc>
          <w:tcPr>
            <w:tcW w:w="0" w:type="dxa"/>
            <w:vMerge/>
            <w:vAlign w:val="center"/>
          </w:tcPr>
          <w:p>
            <w:pPr>
              <w:spacing w:after="120" w:line="240" w:lineRule="auto"/>
              <w:rPr>
                <w:rFonts w:ascii="宋体"/>
                <w:b/>
                <w:color w:val="0000FF"/>
                <w:sz w:val="24"/>
                <w:highlight w:val="white"/>
              </w:rPr>
            </w:pPr>
            <w:r>
              <w:t>合同签订后一个月内交货。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路由器自双方签署到货验收合格报告之日起，提供5年免费原厂保修服务。</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信息化</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2023-11-04 00:00:00</w:t>
      </w:r>
      <w:bookmarkEnd w:id="20"/>
      <w:r>
        <w:rPr>
          <w:rFonts w:ascii="宋体" w:hint="eastAsia"/>
          <w:sz w:val="24"/>
        </w:rPr>
        <w:t>至</w:t>
      </w:r>
      <w:bookmarkStart w:id="21" w:name="公告_signUpLastTime"/>
      <w:r>
        <w:rPr>
          <w:rFonts w:ascii="宋体" w:hint="eastAsia"/>
          <w:sz w:val="24"/>
        </w:rPr>
        <w:t>2023-11-10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2023-11-24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2023-11-24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地址：北京市东城区安外大街56号办公楼14层1425室（原国资委安外办公区）</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邮政编码：100730</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联系方式：010-65194838（平台技术支持）</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010-65194423（项目询问）</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本项目于</w:t>
      </w:r>
      <w:bookmarkStart w:id="27" w:name="任务单_publicDate"/>
      <w:r>
        <w:rPr>
          <w:rFonts w:ascii="宋体" w:hint="eastAsia"/>
          <w:b/>
          <w:color w:val="0000FF"/>
          <w:sz w:val="24"/>
          <w:highlight w:val="white"/>
        </w:rPr>
        <w:t>2023-08-18</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39"/>
        <w:gridCol w:w="2101"/>
        <w:gridCol w:w="7546"/>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中国电子口岸数据中心</w:t>
            </w:r>
            <w:bookmarkEnd w:id="29"/>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本项目预算金额合计总金额人民币1,160,000.00元，其中包1人民币700,000.00元，包2人民币460,000.00元。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1,160,000.00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无</w:t>
            </w:r>
            <w:bookmarkEnd w:id="33"/>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0" w:type="auto"/>
          <w:jc w:val="center"/>
          <w:tblInd w:w="0" w:type="dxa"/>
          <w:tblLayout w:type="fixed"/>
          <w:tblCellMar>
            <w:top w:w="0" w:type="dxa"/>
            <w:left w:w="108" w:type="dxa"/>
            <w:bottom w:w="0" w:type="dxa"/>
            <w:right w:w="108" w:type="dxa"/>
          </w:tblCellMar>
          <w:tblLook w:val="0000"/>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w:t>
            </w:r>
            <w:r>
              <w:rPr>
                <w:rFonts w:ascii="宋体" w:cs="微软雅黑" w:hint="eastAsia"/>
                <w:bCs/>
                <w:sz w:val="24"/>
                <w:lang w:bidi="ar-SA"/>
              </w:rPr>
              <w:t>“</w:t>
            </w:r>
            <w:r>
              <w:rPr>
                <w:rFonts w:ascii="宋体" w:cs="微软雅黑" w:hint="eastAsia"/>
                <w:bCs/>
                <w:sz w:val="24"/>
                <w:lang w:bidi="ar-SA"/>
              </w:rPr>
              <w:t>供应商CA证书办理</w:t>
            </w:r>
            <w:r>
              <w:rPr>
                <w:rFonts w:ascii="宋体" w:cs="微软雅黑" w:hint="eastAsia"/>
                <w:bCs/>
                <w:sz w:val="24"/>
                <w:lang w:bidi="ar-SA"/>
              </w:rPr>
              <w:t>”</w:t>
            </w:r>
            <w:r>
              <w:rPr>
                <w:rFonts w:ascii="宋体" w:cs="微软雅黑" w:hint="eastAsia"/>
                <w:bCs/>
                <w:sz w:val="24"/>
                <w:lang w:bidi="ar-SA"/>
              </w:rPr>
              <w:t>专栏提交相关材料。</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0" w:type="auto"/>
          <w:jc w:val="center"/>
          <w:tblInd w:w="0" w:type="dxa"/>
          <w:tblLayout w:type="fixed"/>
          <w:tblCellMar>
            <w:top w:w="0" w:type="dxa"/>
            <w:left w:w="108" w:type="dxa"/>
            <w:bottom w:w="0" w:type="dxa"/>
            <w:right w:w="108" w:type="dxa"/>
          </w:tblCellMar>
          <w:tblLook w:val="0000"/>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w:t>
            </w:r>
            <w:r>
              <w:rPr>
                <w:rFonts w:ascii="宋体" w:cs="微软雅黑" w:hint="eastAsia"/>
                <w:bCs/>
                <w:sz w:val="24"/>
                <w:lang w:bidi="ar-SA"/>
              </w:rPr>
              <w:t>“</w:t>
            </w:r>
            <w:r>
              <w:rPr>
                <w:rFonts w:ascii="宋体" w:cs="微软雅黑" w:hint="eastAsia"/>
                <w:bCs/>
                <w:sz w:val="24"/>
                <w:lang w:bidi="ar-SA"/>
              </w:rPr>
              <w:t>信用中国</w:t>
            </w:r>
            <w:r>
              <w:rPr>
                <w:rFonts w:ascii="宋体" w:cs="微软雅黑" w:hint="eastAsia"/>
                <w:bCs/>
                <w:sz w:val="24"/>
                <w:lang w:bidi="ar-SA"/>
              </w:rPr>
              <w:t>”</w:t>
            </w:r>
            <w:r>
              <w:rPr>
                <w:rFonts w:ascii="宋体" w:cs="微软雅黑" w:hint="eastAsia"/>
                <w:bCs/>
                <w:sz w:val="24"/>
                <w:lang w:bidi="ar-SA"/>
              </w:rPr>
              <w:t>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w:t>
            </w:r>
            <w:r>
              <w:rPr>
                <w:rFonts w:ascii="宋体" w:cs="微软雅黑" w:hint="eastAsia"/>
                <w:bCs/>
                <w:sz w:val="24"/>
                <w:lang w:bidi="ar-SA"/>
              </w:rPr>
              <w:t>“</w:t>
            </w:r>
            <w:r>
              <w:rPr>
                <w:rFonts w:ascii="宋体" w:cs="微软雅黑" w:hint="eastAsia"/>
                <w:bCs/>
                <w:sz w:val="24"/>
                <w:lang w:bidi="ar-SA"/>
              </w:rPr>
              <w:t>较大数额罚款</w:t>
            </w:r>
            <w:r>
              <w:rPr>
                <w:rFonts w:ascii="宋体" w:cs="微软雅黑" w:hint="eastAsia"/>
                <w:bCs/>
                <w:sz w:val="24"/>
                <w:lang w:bidi="ar-SA"/>
              </w:rPr>
              <w:t>”</w:t>
            </w:r>
            <w:r>
              <w:rPr>
                <w:rFonts w:ascii="宋体" w:cs="微软雅黑" w:hint="eastAsia"/>
                <w:bCs/>
                <w:sz w:val="24"/>
                <w:lang w:bidi="ar-SA"/>
              </w:rPr>
              <w:t>标准高于200万元的，从其规定。</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hint="default"/>
                <w:sz w:val="24"/>
                <w:szCs w:val="24"/>
              </w:rPr>
              <w:t>《国务院办公厅关于进一步加大对中小企业纾困帮扶力度的通知》（国办发（2021）45号）第七条要求</w:t>
            </w:r>
            <w:r>
              <w:rPr>
                <w:rFonts w:ascii="Arial" w:hAnsi="Arial"/>
                <w:sz w:val="24"/>
                <w:szCs w:val="24"/>
              </w:rPr>
              <w:t>，</w:t>
            </w:r>
            <w:r>
              <w:rPr>
                <w:rFonts w:ascii="Arial" w:hAnsi="Arial" w:hint="default"/>
                <w:sz w:val="24"/>
                <w:szCs w:val="24"/>
              </w:rPr>
              <w:t>严禁以不签合同、在合同中不约定具体付款时限和付款方式等方法规避及时支付义务的行为。</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w:t>
      </w:r>
      <w:r>
        <w:rPr>
          <w:rFonts w:ascii="宋体" w:cs="微软雅黑" w:hint="eastAsia"/>
          <w:bCs/>
          <w:sz w:val="24"/>
          <w:lang w:bidi="ar-SA"/>
        </w:rPr>
        <w:t>①</w:t>
      </w:r>
      <w:r>
        <w:rPr>
          <w:rFonts w:ascii="宋体" w:cs="微软雅黑" w:hint="eastAsia"/>
          <w:bCs/>
          <w:sz w:val="24"/>
          <w:lang w:bidi="ar-SA"/>
        </w:rPr>
        <w:t xml:space="preserve">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w:t>
      </w:r>
      <w:r>
        <w:rPr>
          <w:rFonts w:ascii="宋体" w:cs="微软雅黑" w:hint="eastAsia"/>
          <w:bCs/>
          <w:sz w:val="24"/>
          <w:lang w:bidi="ar-SA"/>
        </w:rPr>
        <w:t>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w:t>
      </w:r>
      <w:r>
        <w:rPr>
          <w:rFonts w:ascii="宋体" w:cs="微软雅黑" w:hint="eastAsia"/>
          <w:bCs/>
          <w:sz w:val="24"/>
          <w:lang w:bidi="ar-SA"/>
        </w:rPr>
        <w:t>上表中未加</w:t>
      </w:r>
      <w:r>
        <w:rPr>
          <w:rFonts w:ascii="宋体" w:cs="微软雅黑" w:hint="eastAsia"/>
          <w:bCs/>
          <w:sz w:val="24"/>
          <w:lang w:bidi="ar-SA"/>
        </w:rPr>
        <w:t>“</w:t>
      </w:r>
      <w:r>
        <w:rPr>
          <w:rFonts w:ascii="宋体" w:hint="eastAsia"/>
          <w:sz w:val="24"/>
        </w:rPr>
        <w:t>★</w:t>
      </w:r>
      <w:r>
        <w:rPr>
          <w:rFonts w:ascii="宋体" w:cs="微软雅黑" w:hint="eastAsia"/>
          <w:bCs/>
          <w:sz w:val="24"/>
          <w:lang w:bidi="ar-SA"/>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w:t>
      </w:r>
      <w:r>
        <w:rPr>
          <w:rFonts w:ascii="宋体" w:cs="微软雅黑" w:hint="eastAsia"/>
          <w:bCs/>
          <w:sz w:val="24"/>
          <w:lang w:bidi="ar-SA"/>
        </w:rPr>
        <w:t>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vAlign w:val="top"/>
          <w:textDirection w:val="lrTb"/>
          <w:docGrid w:type="lines" w:linePitch="312" w:charSpace="6144"/>
        </w:sectPr>
      </w:pPr>
    </w:p>
    <w:p>
      <w:pPr>
        <w:rPr>
          <w:rFonts w:hint="default"/>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38"/>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w:t>
      </w:r>
      <w:r>
        <w:rPr>
          <w:rFonts w:ascii="宋体" w:hint="eastAsia"/>
          <w:sz w:val="24"/>
          <w:lang w:eastAsia="zh-CN"/>
        </w:rPr>
        <w:t>“</w:t>
      </w:r>
      <w:r>
        <w:rPr>
          <w:rFonts w:ascii="宋体" w:hint="eastAsia"/>
          <w:sz w:val="24"/>
          <w:lang w:eastAsia="zh-CN"/>
        </w:rPr>
        <w:t>投标须知前附表</w:t>
      </w:r>
      <w:r>
        <w:rPr>
          <w:rFonts w:ascii="宋体" w:hint="eastAsia"/>
          <w:sz w:val="24"/>
          <w:lang w:eastAsia="zh-CN"/>
        </w:rPr>
        <w:t>”</w:t>
      </w:r>
      <w:r>
        <w:rPr>
          <w:rFonts w:ascii="宋体" w:hint="eastAsia"/>
          <w:sz w:val="24"/>
          <w:lang w:eastAsia="zh-CN"/>
        </w:rPr>
        <w:t>。</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kern w:val="0"/>
          <w:sz w:val="24"/>
          <w:highlight w:val="white"/>
        </w:rPr>
        <w:t>“</w:t>
      </w:r>
      <w:r>
        <w:rPr>
          <w:rFonts w:ascii="宋体" w:hint="eastAsia"/>
          <w:sz w:val="24"/>
        </w:rPr>
        <w:t>采购人</w:t>
      </w:r>
      <w:r>
        <w:rPr>
          <w:rFonts w:ascii="宋体" w:hint="eastAsia"/>
          <w:sz w:val="24"/>
        </w:rPr>
        <w:t>”</w:t>
      </w:r>
      <w:r>
        <w:rPr>
          <w:rFonts w:ascii="宋体" w:hint="eastAsia"/>
          <w:sz w:val="24"/>
        </w:rPr>
        <w:t>系指</w:t>
      </w:r>
      <w:bookmarkStart w:id="36" w:name="采购任务单_purchaserOrgName1"/>
      <w:r>
        <w:rPr>
          <w:rFonts w:ascii="宋体" w:hint="eastAsia"/>
          <w:color w:val="0000FF"/>
          <w:sz w:val="24"/>
        </w:rPr>
        <w:t>中国电子口岸数据中心</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w:t>
      </w:r>
      <w:r>
        <w:rPr>
          <w:rFonts w:ascii="宋体" w:hint="eastAsia"/>
          <w:sz w:val="24"/>
        </w:rPr>
        <w:t>“</w:t>
      </w:r>
      <w:r>
        <w:rPr>
          <w:rFonts w:ascii="宋体" w:hint="eastAsia"/>
          <w:sz w:val="24"/>
        </w:rPr>
        <w:t>采购机构</w:t>
      </w:r>
      <w:r>
        <w:rPr>
          <w:rFonts w:ascii="宋体" w:hint="eastAsia"/>
          <w:sz w:val="24"/>
        </w:rPr>
        <w:t>”</w:t>
      </w:r>
      <w:r>
        <w:rPr>
          <w:rFonts w:ascii="宋体" w:hint="eastAsia"/>
          <w:sz w:val="24"/>
        </w:rPr>
        <w:t>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w:t>
      </w:r>
      <w:r>
        <w:rPr>
          <w:rFonts w:ascii="宋体" w:hint="eastAsia"/>
          <w:sz w:val="24"/>
        </w:rPr>
        <w:t>”</w:t>
      </w:r>
      <w:r>
        <w:rPr>
          <w:rFonts w:ascii="宋体" w:hint="eastAsia"/>
          <w:sz w:val="24"/>
        </w:rPr>
        <w:t>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w:t>
      </w:r>
      <w:r>
        <w:rPr>
          <w:rFonts w:ascii="宋体" w:hint="eastAsia"/>
          <w:sz w:val="24"/>
        </w:rPr>
        <w:t>“</w:t>
      </w:r>
      <w:r>
        <w:rPr>
          <w:rFonts w:ascii="宋体" w:hint="eastAsia"/>
          <w:sz w:val="24"/>
        </w:rPr>
        <w:t>货物或服务</w:t>
      </w:r>
      <w:r>
        <w:rPr>
          <w:rFonts w:ascii="宋体" w:hint="eastAsia"/>
          <w:sz w:val="24"/>
        </w:rPr>
        <w:t>”</w:t>
      </w:r>
      <w:r>
        <w:rPr>
          <w:rFonts w:ascii="宋体" w:hint="eastAsia"/>
          <w:sz w:val="24"/>
        </w:rPr>
        <w:t>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w:t>
      </w:r>
      <w:r>
        <w:rPr>
          <w:rFonts w:ascii="宋体" w:hint="eastAsia"/>
          <w:sz w:val="24"/>
        </w:rPr>
        <w:t>“★”</w:t>
      </w:r>
      <w:r>
        <w:rPr>
          <w:rFonts w:ascii="宋体" w:hint="eastAsia"/>
          <w:sz w:val="24"/>
        </w:rPr>
        <w:t>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w:t>
      </w:r>
      <w:r>
        <w:rPr>
          <w:rFonts w:ascii="宋体" w:hint="eastAsia"/>
          <w:kern w:val="0"/>
          <w:sz w:val="24"/>
          <w:highlight w:val="white"/>
        </w:rPr>
        <w:t>“</w:t>
      </w:r>
      <w:r>
        <w:rPr>
          <w:rFonts w:ascii="宋体" w:hint="eastAsia"/>
          <w:kern w:val="0"/>
          <w:sz w:val="24"/>
          <w:highlight w:val="white"/>
        </w:rPr>
        <w:t>中小企业</w:t>
      </w:r>
      <w:r>
        <w:rPr>
          <w:rFonts w:ascii="宋体" w:hint="eastAsia"/>
          <w:kern w:val="0"/>
          <w:sz w:val="24"/>
          <w:highlight w:val="white"/>
        </w:rPr>
        <w:t>”</w:t>
      </w:r>
      <w:r>
        <w:rPr>
          <w:rFonts w:ascii="宋体" w:hint="eastAsia"/>
          <w:kern w:val="0"/>
          <w:sz w:val="24"/>
          <w:highlight w:val="white"/>
        </w:rPr>
        <w:t>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w:t>
      </w:r>
      <w:r>
        <w:rPr>
          <w:rFonts w:ascii="宋体" w:hint="eastAsia"/>
          <w:kern w:val="0"/>
          <w:sz w:val="24"/>
          <w:highlight w:val="none"/>
        </w:rPr>
        <w:t>“</w:t>
      </w:r>
      <w:r>
        <w:rPr>
          <w:rFonts w:ascii="宋体" w:hint="eastAsia"/>
          <w:kern w:val="0"/>
          <w:sz w:val="24"/>
          <w:highlight w:val="none"/>
        </w:rPr>
        <w:t>监狱企业</w:t>
      </w:r>
      <w:r>
        <w:rPr>
          <w:rFonts w:ascii="宋体" w:hint="eastAsia"/>
          <w:kern w:val="0"/>
          <w:sz w:val="24"/>
          <w:highlight w:val="none"/>
        </w:rPr>
        <w:t>”</w:t>
      </w:r>
      <w:r>
        <w:rPr>
          <w:rFonts w:ascii="宋体" w:hint="eastAsia"/>
          <w:kern w:val="0"/>
          <w:sz w:val="24"/>
          <w:highlight w:val="none"/>
        </w:rPr>
        <w:t>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w:t>
      </w:r>
      <w:r>
        <w:rPr>
          <w:rFonts w:ascii="宋体" w:hint="eastAsia"/>
          <w:kern w:val="0"/>
          <w:sz w:val="24"/>
          <w:highlight w:val="none"/>
        </w:rPr>
        <w:t>“</w:t>
      </w:r>
      <w:r>
        <w:rPr>
          <w:rFonts w:ascii="宋体" w:hint="eastAsia"/>
          <w:kern w:val="0"/>
          <w:sz w:val="24"/>
          <w:highlight w:val="none"/>
        </w:rPr>
        <w:t>残疾人福利性单位</w:t>
      </w:r>
      <w:r>
        <w:rPr>
          <w:rFonts w:ascii="宋体" w:hint="eastAsia"/>
          <w:kern w:val="0"/>
          <w:sz w:val="24"/>
          <w:highlight w:val="none"/>
        </w:rPr>
        <w:t>”</w:t>
      </w:r>
      <w:r>
        <w:rPr>
          <w:rFonts w:ascii="宋体" w:hint="eastAsia"/>
          <w:kern w:val="0"/>
          <w:sz w:val="24"/>
          <w:highlight w:val="none"/>
        </w:rPr>
        <w:t xml:space="preserve">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w:t>
      </w: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w:t>
      </w: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( 1）★《商务偏离表》，格式见第六部分（加盖投标人电子签章）。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（3）★投标人须出具声明函，承诺本次投标产品不含美光公司产品（包括含有美光芯片的产品）（加盖投标人电子签章）。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（4）提供投标人的质量管理体系认证证书、健康管理体系认证证书、环境管理体系认证证书（加盖投标人电子签章）。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（5）投标人提供2020年10月1日以来与本项目同品牌同类型产品的销售业绩（详见打分标准）（加盖投标人电子签章、制造商公章）。</w:t>
      </w:r>
    </w:p>
    <w:p>
      <w:pPr>
        <w:tabs>
          <w:tab w:val="left" w:pos="588"/>
        </w:tabs>
        <w:autoSpaceDN w:val="0"/>
        <w:spacing w:line="360" w:lineRule="auto"/>
        <w:rPr>
          <w:rFonts w:ascii="宋体" w:hint="eastAsia"/>
          <w:color w:val="0000FF"/>
          <w:sz w:val="24"/>
        </w:rPr>
      </w:pPr>
      <w:r>
        <w:rPr>
          <w:rFonts w:ascii="宋体" w:hint="eastAsia"/>
          <w:color w:val="0000FF"/>
          <w:sz w:val="24"/>
        </w:rPr>
        <w:t>（6）证明投标人满足投标人资格标准的其他必要资格证明文件（如有）（加盖投标人电子签章）。</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3）投标人的★号“主要技术参数”响应完全满足招标文件技术要求，对于投标人响应的优于或满足投标文件中规定的★号”主要技术参数及配置“的，必须提供相关证明材料，其中项目需求书中有明确要求的按要求提供证明材料；没有明确要求的，须提供加盖生产厂家印章和投标人印章的官方证明材料（包括但不限于官网技术截图、彩页、技术白皮书等）或第三方检测报告作为证明材料。技术偏离表中应标明★号“主要技术参数” 对应公开发布资料在投标文件中的页码，并用红色长方形边框框出应答内容，所有官网资料自投标之日起须在网站上至少保留三个月，以供查询及作为质疑、投诉处理依据；如不提供或经查询网址内容与投标文件不一致、缺失，视为未提供公开发布资料）。</w:t>
      </w:r>
    </w:p>
    <w:p>
      <w:pPr>
        <w:tabs>
          <w:tab w:val="left" w:pos="588"/>
        </w:tabs>
        <w:autoSpaceDN w:val="0"/>
        <w:spacing w:line="360" w:lineRule="auto"/>
        <w:rPr>
          <w:rFonts w:ascii="宋体" w:hint="eastAsia"/>
          <w:color w:val="0000FF"/>
          <w:sz w:val="24"/>
        </w:rPr>
      </w:pPr>
      <w:r>
        <w:rPr>
          <w:rFonts w:ascii="宋体" w:hint="eastAsia"/>
          <w:color w:val="0000FF"/>
          <w:sz w:val="24"/>
        </w:rPr>
        <w:t xml:space="preserve">（4）★所投产品制造商提供的技术指标及配置清单，任何通过简单拷贝招标文件的技术服务要求的，将被视为未对招标文件的实质性进行响应（上传原件的扫描件，加盖制造商公章、投标人电子签章）。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（5）投标产品须满足项目需求书中所有★号技术指标或配置的要求（详见项目需求书）。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（6）按要求提供▲指标证明材料（详见评审标准）。</w:t>
      </w:r>
    </w:p>
    <w:p>
      <w:pPr>
        <w:tabs>
          <w:tab w:val="left" w:pos="588"/>
        </w:tabs>
        <w:autoSpaceDN w:val="0"/>
        <w:spacing w:line="360" w:lineRule="auto"/>
        <w:rPr>
          <w:rFonts w:ascii="宋体" w:hint="eastAsia"/>
          <w:color w:val="0000FF"/>
          <w:sz w:val="24"/>
        </w:rPr>
      </w:pPr>
      <w:r>
        <w:rPr>
          <w:rFonts w:ascii="宋体" w:hint="eastAsia"/>
          <w:color w:val="0000FF"/>
          <w:sz w:val="24"/>
        </w:rPr>
        <w:t>（7）投标人提供的项目整体实施方案。</w:t>
      </w:r>
    </w:p>
    <w:p>
      <w:pPr>
        <w:tabs>
          <w:tab w:val="left" w:pos="588"/>
        </w:tabs>
        <w:autoSpaceDN w:val="0"/>
        <w:spacing w:line="360" w:lineRule="auto"/>
        <w:rPr>
          <w:rFonts w:ascii="宋体" w:hint="eastAsia"/>
          <w:color w:val="0000FF"/>
          <w:sz w:val="24"/>
        </w:rPr>
      </w:pPr>
      <w:r>
        <w:rPr>
          <w:rFonts w:ascii="宋体" w:hint="eastAsia"/>
          <w:color w:val="0000FF"/>
          <w:sz w:val="24"/>
        </w:rPr>
        <w:t>（8）投标人需提供产品选型配置表，格式自拟（加盖投标人电子签章）。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（9）投标人认为应该提供的其他证明材料（如有）（加盖投标人电子签章）。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（1）人员团队配备情况等材料，详见项目需求书和评分标准（加盖投标人电子签章）。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人针对本项目制定的售后服务方案，售后服务体系、质保期及免费保修服务承诺、应用技术支持、以及质保期外服务方案及服务网点、人员、备品备件、易损配件及主要消耗品的备件情况等方面（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（3）提供制造商针对本项目开具的制造商售后服务承诺函（加盖投标人及制造商公章）。</w:t>
      </w:r>
    </w:p>
    <w:p>
      <w:pPr>
        <w:tabs>
          <w:tab w:val="left" w:pos="588"/>
        </w:tabs>
        <w:autoSpaceDN w:val="0"/>
        <w:spacing w:line="360" w:lineRule="auto"/>
        <w:rPr>
          <w:rFonts w:ascii="宋体" w:hint="eastAsia"/>
          <w:color w:val="0000FF"/>
          <w:sz w:val="24"/>
        </w:rPr>
      </w:pPr>
      <w:r>
        <w:rPr>
          <w:rFonts w:ascii="宋体" w:hint="eastAsia"/>
          <w:color w:val="0000FF"/>
          <w:sz w:val="24"/>
        </w:rPr>
        <w:t>（4）提供制造商售后服务机构证明资料（加盖投标人及制造商公章）</w:t>
      </w:r>
    </w:p>
    <w:p>
      <w:pPr>
        <w:tabs>
          <w:tab w:val="left" w:pos="588"/>
        </w:tabs>
        <w:autoSpaceDN w:val="0"/>
        <w:spacing w:line="360" w:lineRule="auto"/>
        <w:rPr>
          <w:rFonts w:ascii="宋体" w:hint="eastAsia"/>
          <w:color w:val="0000FF"/>
          <w:sz w:val="24"/>
        </w:rPr>
      </w:pPr>
      <w:r>
        <w:rPr>
          <w:rFonts w:ascii="宋体" w:hint="eastAsia"/>
          <w:color w:val="0000FF"/>
          <w:sz w:val="24"/>
        </w:rPr>
        <w:t>（5）提供投标人针对本项目质保期外的售后服务承诺（加盖投标人公章）。</w:t>
      </w:r>
    </w:p>
    <w:p>
      <w:pPr>
        <w:tabs>
          <w:tab w:val="left" w:pos="588"/>
        </w:tabs>
        <w:autoSpaceDN w:val="0"/>
        <w:spacing w:line="360" w:lineRule="auto"/>
        <w:rPr>
          <w:rFonts w:ascii="宋体" w:hint="eastAsia"/>
          <w:color w:val="0000FF"/>
          <w:sz w:val="24"/>
        </w:rPr>
      </w:pPr>
      <w:r>
        <w:rPr>
          <w:rFonts w:ascii="宋体" w:hint="eastAsia"/>
          <w:color w:val="0000FF"/>
          <w:sz w:val="24"/>
        </w:rPr>
        <w:t>（6）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w:t>
      </w:r>
      <w:r>
        <w:rPr>
          <w:rFonts w:ascii="宋体" w:hint="eastAsia"/>
          <w:b/>
          <w:sz w:val="24"/>
        </w:rPr>
        <w:t>“★”</w:t>
      </w:r>
      <w:r>
        <w:rPr>
          <w:rFonts w:ascii="宋体" w:hint="eastAsia"/>
          <w:b/>
          <w:sz w:val="24"/>
        </w:rPr>
        <w:t>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w:t>
      </w:r>
      <w:r>
        <w:rPr>
          <w:rFonts w:ascii="宋体" w:cs="微软雅黑" w:hint="eastAsia"/>
          <w:sz w:val="24"/>
          <w:szCs w:val="21"/>
          <w:lang w:eastAsia="zh-CN" w:bidi="ar-SA"/>
        </w:rPr>
        <w:t>“</w:t>
      </w:r>
      <w:r>
        <w:rPr>
          <w:rFonts w:ascii="宋体" w:cs="微软雅黑" w:hint="eastAsia"/>
          <w:sz w:val="24"/>
          <w:szCs w:val="21"/>
          <w:lang w:eastAsia="zh-CN" w:bidi="ar-SA"/>
        </w:rPr>
        <w:t>我要投标</w:t>
      </w:r>
      <w:r>
        <w:rPr>
          <w:rFonts w:ascii="宋体" w:cs="微软雅黑" w:hint="eastAsia"/>
          <w:sz w:val="24"/>
          <w:szCs w:val="21"/>
          <w:lang w:eastAsia="zh-CN" w:bidi="ar-SA"/>
        </w:rPr>
        <w:t>”</w:t>
      </w:r>
      <w:r>
        <w:rPr>
          <w:rFonts w:ascii="宋体" w:cs="微软雅黑" w:hint="eastAsia"/>
          <w:sz w:val="24"/>
          <w:szCs w:val="21"/>
          <w:lang w:eastAsia="zh-CN" w:bidi="ar-SA"/>
        </w:rPr>
        <w:t>找到该项目并点击</w:t>
      </w:r>
      <w:r>
        <w:rPr>
          <w:rFonts w:ascii="宋体" w:cs="微软雅黑" w:hint="eastAsia"/>
          <w:sz w:val="24"/>
          <w:szCs w:val="21"/>
          <w:lang w:eastAsia="zh-CN" w:bidi="ar-SA"/>
        </w:rPr>
        <w:t>“</w:t>
      </w:r>
      <w:r>
        <w:rPr>
          <w:rFonts w:ascii="宋体" w:cs="微软雅黑" w:hint="eastAsia"/>
          <w:sz w:val="24"/>
          <w:szCs w:val="21"/>
          <w:lang w:eastAsia="zh-CN" w:bidi="ar-SA"/>
        </w:rPr>
        <w:t>导出投标文件</w:t>
      </w:r>
      <w:r>
        <w:rPr>
          <w:rFonts w:ascii="宋体" w:cs="微软雅黑" w:hint="eastAsia"/>
          <w:sz w:val="24"/>
          <w:szCs w:val="21"/>
          <w:lang w:eastAsia="zh-CN" w:bidi="ar-SA"/>
        </w:rPr>
        <w:t>”</w:t>
      </w:r>
      <w:r>
        <w:rPr>
          <w:rFonts w:ascii="宋体" w:cs="微软雅黑" w:hint="eastAsia"/>
          <w:sz w:val="24"/>
          <w:szCs w:val="21"/>
          <w:lang w:eastAsia="zh-CN" w:bidi="ar-SA"/>
        </w:rPr>
        <w:t>，选择导出方式为备份导出，然后将导出的文件压缩包发送至customscgzx@163.com，若超出限定时间未发送即认定为投标无效。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w:t>
      </w:r>
      <w:r>
        <w:rPr>
          <w:rFonts w:ascii="宋体" w:hint="eastAsia"/>
          <w:sz w:val="24"/>
        </w:rPr>
        <w:t>“★”</w:t>
      </w:r>
      <w:r>
        <w:rPr>
          <w:rFonts w:ascii="宋体" w:hint="eastAsia"/>
          <w:sz w:val="24"/>
        </w:rPr>
        <w:t>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w:t>
      </w:r>
      <w:r>
        <w:rPr>
          <w:rFonts w:ascii="宋体" w:hint="eastAsia"/>
          <w:kern w:val="0"/>
          <w:sz w:val="24"/>
          <w:highlight w:val="white"/>
        </w:rPr>
        <w:t>“★”</w:t>
      </w:r>
      <w:r>
        <w:rPr>
          <w:rFonts w:ascii="宋体" w:hint="eastAsia"/>
          <w:kern w:val="0"/>
          <w:sz w:val="24"/>
          <w:highlight w:val="white"/>
        </w:rPr>
        <w:t>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w:t>
      </w:r>
      <w:r>
        <w:rPr>
          <w:rFonts w:ascii="宋体" w:hint="eastAsia"/>
          <w:sz w:val="24"/>
        </w:rPr>
        <w:t>“</w:t>
      </w:r>
      <w:r>
        <w:rPr>
          <w:rFonts w:ascii="宋体" w:hint="eastAsia"/>
          <w:sz w:val="24"/>
        </w:rPr>
        <w:t>综合评分法</w:t>
      </w:r>
      <w:r>
        <w:rPr>
          <w:rFonts w:ascii="宋体" w:hint="eastAsia"/>
          <w:sz w:val="24"/>
        </w:rPr>
        <w:t>”</w:t>
      </w:r>
      <w:r>
        <w:rPr>
          <w:rFonts w:ascii="宋体" w:hint="eastAsia"/>
          <w:sz w:val="24"/>
        </w:rPr>
        <w:t>，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w:t>
      </w:r>
      <w:r>
        <w:rPr>
          <w:rFonts w:ascii="宋体" w:hint="eastAsia"/>
          <w:sz w:val="24"/>
        </w:rPr>
        <w:t>×</w:t>
      </w:r>
      <w:r>
        <w:rPr>
          <w:rFonts w:ascii="宋体" w:hint="eastAsia"/>
          <w:sz w:val="24"/>
        </w:rPr>
        <w:t>(1-12%)。未提供相关声明函或证明文件的评标时其投标报价不予扣除，同时具备上述两种及以上类型的企业单位，不重复享受政策优惠。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bidi="ar"/>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bidi="ar"/>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bidi="ar"/>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eastAsia="方正楷体_GBK" w:hint="default"/>
          <w:b/>
          <w:bCs/>
          <w:sz w:val="28"/>
          <w:szCs w:val="28"/>
        </w:rPr>
      </w:pPr>
      <w:bookmarkStart w:id="42" w:name="插入_采购需求书"/>
      <w:r>
        <w:rPr>
          <w:rFonts w:ascii="Times New Roman" w:eastAsia="方正楷体_GBK" w:hAnsi="Times New Roman" w:cs="Times New Roman" w:hint="default"/>
          <w:b/>
          <w:bCs/>
          <w:sz w:val="28"/>
          <w:szCs w:val="28"/>
          <w:lang w:bidi="ar-SA"/>
        </w:rPr>
        <w:t>重要提示：本项目需求书属内部资料，供应商负有保密义务，未经采购人或采购机构同意，不得向任何与此项目无关的第三方透露。</w:t>
      </w:r>
    </w:p>
    <w:p>
      <w:pPr>
        <w:pStyle w:val="78"/>
        <w:autoSpaceDN w:val="0"/>
        <w:spacing w:line="400" w:lineRule="exact"/>
        <w:jc w:val="both"/>
        <w:rPr>
          <w:rFonts w:eastAsia="方正楷体_GBK" w:hint="default"/>
          <w:b/>
          <w:bCs/>
          <w:sz w:val="28"/>
        </w:rPr>
      </w:pPr>
      <w:r>
        <w:rPr>
          <w:rFonts w:ascii="Times New Roman" w:eastAsia="方正楷体_GBK" w:hAnsi="Times New Roman" w:cs="Times New Roman" w:hint="default"/>
          <w:b/>
          <w:bCs/>
          <w:sz w:val="28"/>
          <w:szCs w:val="28"/>
          <w:lang w:bidi="ar-SA"/>
        </w:rPr>
        <w:t xml:space="preserve">       带</w:t>
      </w:r>
      <w:r>
        <w:rPr>
          <w:rFonts w:ascii="Times New Roman" w:eastAsia="方正楷体_GBK" w:hAnsi="Times New Roman" w:cs="Times New Roman" w:hint="default"/>
          <w:b/>
          <w:bCs/>
          <w:sz w:val="28"/>
          <w:szCs w:val="28"/>
          <w:lang w:bidi="ar-SA"/>
        </w:rPr>
        <w:t>“★”</w:t>
      </w:r>
      <w:r>
        <w:rPr>
          <w:rFonts w:ascii="Times New Roman" w:eastAsia="方正楷体_GBK" w:hAnsi="Times New Roman" w:cs="Times New Roman" w:hint="default"/>
          <w:b/>
          <w:bCs/>
          <w:sz w:val="28"/>
          <w:szCs w:val="28"/>
          <w:lang w:bidi="ar-SA"/>
        </w:rPr>
        <w:t>的为必须满足内容，否则作为无效投标处理，不予接受；带</w:t>
      </w:r>
      <w:r>
        <w:rPr>
          <w:rFonts w:ascii="Times New Roman" w:eastAsia="方正楷体_GBK" w:hAnsi="Times New Roman" w:cs="Times New Roman" w:hint="default"/>
          <w:b/>
          <w:bCs/>
          <w:sz w:val="28"/>
          <w:szCs w:val="28"/>
          <w:lang w:bidi="ar-SA"/>
        </w:rPr>
        <w:t>“</w:t>
      </w:r>
      <w:r>
        <w:rPr>
          <w:sz w:val="28"/>
          <w:szCs w:val="28"/>
        </w:rPr>
        <w:t>▲</w:t>
      </w:r>
      <w:r>
        <w:rPr>
          <w:rFonts w:ascii="Times New Roman" w:eastAsia="方正楷体_GBK" w:hAnsi="Times New Roman" w:cs="Times New Roman" w:hint="default"/>
          <w:b/>
          <w:bCs/>
          <w:sz w:val="28"/>
          <w:szCs w:val="28"/>
          <w:lang w:bidi="ar-SA"/>
        </w:rPr>
        <w:t>”</w:t>
      </w:r>
      <w:r>
        <w:rPr>
          <w:rFonts w:ascii="Times New Roman" w:eastAsia="方正楷体_GBK" w:hAnsi="Times New Roman" w:cs="Times New Roman" w:hint="default"/>
          <w:b/>
          <w:bCs/>
          <w:sz w:val="28"/>
          <w:szCs w:val="28"/>
          <w:lang w:bidi="ar-SA"/>
        </w:rPr>
        <w:t>的为重要内容，不满足将严重影响评分；其他技术或服务内容不满足的将影响一般评分。</w:t>
      </w:r>
    </w:p>
    <w:p>
      <w:pPr>
        <w:pStyle w:val="78"/>
        <w:autoSpaceDN w:val="0"/>
        <w:spacing w:line="400" w:lineRule="exact"/>
        <w:ind w:left="361" w:firstLine="551"/>
        <w:rPr>
          <w:rFonts w:eastAsia="方正楷体_GBK" w:hint="default"/>
          <w:b/>
          <w:bCs/>
          <w:sz w:val="28"/>
          <w:szCs w:val="28"/>
        </w:rPr>
      </w:pPr>
    </w:p>
    <w:p>
      <w:pPr>
        <w:pStyle w:val="7410"/>
        <w:spacing w:line="400" w:lineRule="exact"/>
        <w:rPr>
          <w:rFonts w:ascii="Times New Roman" w:eastAsia="方正黑体_GBK" w:hAnsi="Times New Roman" w:hint="default"/>
          <w:b/>
          <w:sz w:val="28"/>
          <w:szCs w:val="28"/>
        </w:rPr>
      </w:pPr>
      <w:r>
        <w:rPr>
          <w:rFonts w:ascii="Times New Roman" w:eastAsia="方正黑体_GBK" w:hAnsi="Times New Roman" w:hint="default"/>
          <w:b/>
          <w:sz w:val="28"/>
          <w:szCs w:val="28"/>
        </w:rPr>
        <w:t>一、项目背景介绍</w:t>
      </w:r>
    </w:p>
    <w:p>
      <w:pPr>
        <w:pStyle w:val="7510"/>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1.项目基本情况</w:t>
      </w:r>
    </w:p>
    <w:p>
      <w:pPr>
        <w:pStyle w:val="75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pStyle w:val="7510"/>
        <w:autoSpaceDN w:val="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sz w:val="28"/>
          <w:szCs w:val="28"/>
        </w:rPr>
        <w:t>中国电子口岸数据中心2023年路由器和域名解析设备采购项目（02</w:t>
      </w:r>
      <w:r>
        <w:rPr>
          <w:rFonts w:ascii="Times New Roman" w:eastAsia="方正仿宋_GBK" w:hAnsi="Times New Roman" w:hint="default"/>
          <w:sz w:val="28"/>
          <w:szCs w:val="28"/>
        </w:rPr>
        <w:t>包）</w:t>
      </w:r>
    </w:p>
    <w:p>
      <w:pPr>
        <w:pStyle w:val="75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预算金额：46万。</w:t>
      </w:r>
    </w:p>
    <w:p>
      <w:pPr>
        <w:pStyle w:val="75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pStyle w:val="75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按照数据中心异地容灾系统建设规划，需要域名解析设备提供基础支撑服务。</w:t>
      </w:r>
    </w:p>
    <w:p>
      <w:pPr>
        <w:pStyle w:val="118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1.3采购项目需实现的政府采购政策目标</w:t>
      </w:r>
    </w:p>
    <w:p>
      <w:pPr>
        <w:pStyle w:val="12610"/>
        <w:autoSpaceDN w:val="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hint="default"/>
          <w:sz w:val="28"/>
          <w:szCs w:val="28"/>
        </w:rPr>
        <w:t>1.3.1本项目为非专门面向小微企业的采购。对小微企业制造的货物、承建的工程、承接的服务给予价格评审优惠（监狱企业、残疾人福利性单位、符合中小企业划分标准的个体工商户，视同小微企业；残疾人福利性单位属于小型、微型企业的，不重复享受政策）</w:t>
      </w:r>
    </w:p>
    <w:p>
      <w:pPr>
        <w:pStyle w:val="12610"/>
        <w:autoSpaceDN w:val="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hint="default"/>
          <w:sz w:val="28"/>
          <w:szCs w:val="28"/>
        </w:rPr>
        <w:t>1.3.2本项目不接受联合体投标。</w:t>
      </w:r>
    </w:p>
    <w:p>
      <w:pPr>
        <w:pStyle w:val="12610"/>
        <w:autoSpaceDN w:val="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hint="default"/>
          <w:sz w:val="28"/>
          <w:szCs w:val="28"/>
        </w:rPr>
        <w:t>1.3.3本项目不接受进口产品投标（进口产品是指通过中国海关报关，验放进入中国境内，且产自关境外的产品）</w:t>
      </w:r>
    </w:p>
    <w:p>
      <w:pPr>
        <w:pStyle w:val="126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default"/>
          <w:sz w:val="28"/>
          <w:szCs w:val="28"/>
        </w:rPr>
        <w:t>1.3.4本项目不允许分包转包</w:t>
      </w:r>
    </w:p>
    <w:p>
      <w:pPr>
        <w:pStyle w:val="7510"/>
        <w:autoSpaceDN w:val="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sz w:val="28"/>
          <w:szCs w:val="28"/>
        </w:rPr>
        <w:t>1.4预</w:t>
      </w:r>
      <w:r>
        <w:rPr>
          <w:rFonts w:ascii="Times New Roman" w:eastAsia="方正仿宋_GBK" w:hAnsi="Times New Roman" w:hint="default"/>
          <w:sz w:val="28"/>
          <w:szCs w:val="28"/>
        </w:rPr>
        <w:t>算绩效目标等内容</w:t>
      </w:r>
    </w:p>
    <w:p>
      <w:pPr>
        <w:pStyle w:val="127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default"/>
          <w:sz w:val="28"/>
          <w:szCs w:val="28"/>
        </w:rPr>
        <w:t>完成异地机房系统建设工作，满足</w:t>
      </w:r>
      <w:r>
        <w:rPr>
          <w:rFonts w:ascii="Times New Roman" w:eastAsia="方正仿宋_GBK" w:hAnsi="Times New Roman" w:cs="Times New Roman" w:hint="default"/>
          <w:sz w:val="28"/>
          <w:szCs w:val="28"/>
          <w:lang w:bidi="ar-SA"/>
        </w:rPr>
        <w:t>建设异地容灾系统</w:t>
      </w:r>
      <w:r>
        <w:rPr>
          <w:rFonts w:ascii="Times New Roman" w:eastAsia="方正仿宋_GBK" w:hAnsi="Times New Roman"/>
          <w:sz w:val="28"/>
          <w:szCs w:val="28"/>
        </w:rPr>
        <w:t>提供域名解析设备基础支撑服务的</w:t>
      </w:r>
      <w:r>
        <w:rPr>
          <w:rFonts w:ascii="Times New Roman" w:eastAsia="方正仿宋_GBK" w:hAnsi="Times New Roman" w:hint="default"/>
          <w:sz w:val="28"/>
          <w:szCs w:val="28"/>
        </w:rPr>
        <w:t>需求。</w:t>
      </w:r>
    </w:p>
    <w:p>
      <w:pPr>
        <w:pStyle w:val="7510"/>
        <w:autoSpaceDN w:val="0"/>
        <w:spacing w:line="400" w:lineRule="exact"/>
        <w:ind w:firstLine="560" w:firstLineChars="200"/>
        <w:rPr>
          <w:rFonts w:ascii="Times New Roman" w:eastAsia="方正仿宋_GBK" w:hAnsi="Times New Roman" w:hint="default"/>
          <w:b/>
          <w:sz w:val="28"/>
          <w:szCs w:val="28"/>
        </w:rPr>
      </w:pPr>
      <w:r>
        <w:rPr>
          <w:rFonts w:ascii="Times New Roman" w:eastAsia="方正仿宋_GBK" w:hAnsi="Times New Roman"/>
          <w:b/>
          <w:sz w:val="28"/>
          <w:szCs w:val="28"/>
        </w:rPr>
        <w:t>2.</w:t>
      </w:r>
      <w:r>
        <w:rPr>
          <w:rFonts w:ascii="Times New Roman" w:eastAsia="方正仿宋_GBK" w:hAnsi="Times New Roman" w:hint="default"/>
          <w:b/>
          <w:sz w:val="28"/>
          <w:szCs w:val="28"/>
        </w:rPr>
        <w:t>需求调查情况</w:t>
      </w:r>
    </w:p>
    <w:p>
      <w:pPr>
        <w:pStyle w:val="75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default"/>
          <w:sz w:val="28"/>
          <w:szCs w:val="28"/>
        </w:rPr>
        <w:t>是否进行需求调查：否</w:t>
      </w:r>
    </w:p>
    <w:p>
      <w:pPr>
        <w:pStyle w:val="7510"/>
        <w:autoSpaceDN w:val="0"/>
        <w:spacing w:line="400" w:lineRule="exact"/>
        <w:ind w:firstLine="560" w:firstLineChars="200"/>
        <w:rPr>
          <w:rFonts w:ascii="Times New Roman" w:eastAsia="方正仿宋_GBK" w:hAnsi="Times New Roman" w:hint="default"/>
          <w:b/>
          <w:sz w:val="28"/>
          <w:szCs w:val="28"/>
        </w:rPr>
      </w:pPr>
      <w:r>
        <w:rPr>
          <w:rFonts w:ascii="Times New Roman" w:eastAsia="方正仿宋_GBK" w:hAnsi="Times New Roman"/>
          <w:b/>
          <w:sz w:val="28"/>
          <w:szCs w:val="28"/>
        </w:rPr>
        <w:t>3.</w:t>
      </w:r>
      <w:r>
        <w:rPr>
          <w:rFonts w:ascii="Times New Roman" w:eastAsia="方正仿宋_GBK" w:hAnsi="Times New Roman" w:hint="default"/>
          <w:b/>
          <w:sz w:val="28"/>
          <w:szCs w:val="28"/>
        </w:rPr>
        <w:t>公开征求意见情况</w:t>
      </w:r>
    </w:p>
    <w:p>
      <w:pPr>
        <w:pStyle w:val="7510"/>
        <w:autoSpaceDN w:val="0"/>
        <w:spacing w:line="400" w:lineRule="exact"/>
        <w:ind w:firstLine="560" w:firstLineChars="200"/>
        <w:rPr>
          <w:rFonts w:ascii="Times New Roman" w:eastAsia="方正仿宋_GBK" w:hAnsi="Times New Roman"/>
          <w:szCs w:val="21"/>
        </w:rPr>
      </w:pPr>
      <w:r>
        <w:rPr>
          <w:rFonts w:ascii="Times New Roman" w:eastAsia="方正仿宋_GBK" w:hAnsi="Times New Roman" w:hint="default"/>
          <w:sz w:val="28"/>
          <w:szCs w:val="28"/>
        </w:rPr>
        <w:t>是否公开征求意见：否</w:t>
      </w:r>
    </w:p>
    <w:p>
      <w:pPr>
        <w:pStyle w:val="7510"/>
        <w:autoSpaceDN w:val="0"/>
        <w:spacing w:line="400" w:lineRule="exact"/>
        <w:ind w:firstLine="560" w:firstLineChars="200"/>
        <w:rPr>
          <w:rFonts w:ascii="Times New Roman" w:eastAsia="方正仿宋_GBK" w:hAnsi="Times New Roman" w:hint="default"/>
          <w:b/>
          <w:sz w:val="28"/>
          <w:szCs w:val="28"/>
        </w:rPr>
      </w:pPr>
      <w:r>
        <w:rPr>
          <w:rFonts w:ascii="Times New Roman" w:eastAsia="方正仿宋_GBK" w:hAnsi="Times New Roman"/>
          <w:b/>
          <w:sz w:val="28"/>
          <w:szCs w:val="28"/>
        </w:rPr>
        <w:t>4.</w:t>
      </w:r>
      <w:r>
        <w:rPr>
          <w:rFonts w:ascii="Times New Roman" w:eastAsia="方正仿宋_GBK" w:hAnsi="Times New Roman" w:hint="default"/>
          <w:b/>
          <w:sz w:val="28"/>
          <w:szCs w:val="28"/>
        </w:rPr>
        <w:t>需求审查情况</w:t>
      </w:r>
    </w:p>
    <w:p>
      <w:pPr>
        <w:pStyle w:val="7510"/>
        <w:autoSpaceDN w:val="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hint="default"/>
          <w:sz w:val="28"/>
          <w:szCs w:val="28"/>
        </w:rPr>
        <w:t>是否对采购需求进行审查：是</w:t>
      </w:r>
    </w:p>
    <w:p>
      <w:pPr>
        <w:pStyle w:val="7510"/>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二、 核心产品</w:t>
      </w:r>
    </w:p>
    <w:p>
      <w:pPr>
        <w:pStyle w:val="7610"/>
        <w:spacing w:line="400" w:lineRule="exact"/>
        <w:jc w:val="left"/>
        <w:rPr>
          <w:rFonts w:ascii="Times New Roman" w:eastAsia="方正仿宋_GBK" w:hAnsi="Times New Roman"/>
          <w:sz w:val="28"/>
          <w:szCs w:val="28"/>
        </w:rPr>
      </w:pPr>
      <w:r>
        <w:rPr>
          <w:rFonts w:ascii="Times New Roman" w:eastAsia="方正黑体_GBK" w:hAnsi="Times New Roman" w:hint="default"/>
          <w:b/>
          <w:sz w:val="28"/>
          <w:szCs w:val="28"/>
        </w:rPr>
        <w:t xml:space="preserve"> </w:t>
      </w:r>
      <w:r>
        <w:rPr>
          <w:rFonts w:ascii="Times New Roman" w:eastAsia="方正仿宋_GBK" w:hAnsi="Times New Roman"/>
          <w:sz w:val="28"/>
          <w:szCs w:val="28"/>
        </w:rPr>
        <w:t>无</w:t>
      </w:r>
    </w:p>
    <w:p>
      <w:pPr>
        <w:pStyle w:val="7510"/>
        <w:spacing w:before="120" w:beforeLines="50" w:after="120" w:afterLines="50"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三、采购需求</w:t>
      </w:r>
    </w:p>
    <w:p>
      <w:pPr>
        <w:pStyle w:val="7510"/>
        <w:spacing w:before="120" w:beforeLines="50" w:after="120" w:afterLines="50" w:line="400" w:lineRule="exact"/>
        <w:jc w:val="left"/>
        <w:rPr>
          <w:rFonts w:ascii="Times New Roman" w:eastAsia="方正楷体_GBK" w:hAnsi="Times New Roman" w:hint="default"/>
          <w:b/>
          <w:sz w:val="28"/>
          <w:szCs w:val="28"/>
        </w:rPr>
      </w:pPr>
      <w:r>
        <w:rPr>
          <w:rFonts w:ascii="Times New Roman" w:eastAsia="方正楷体_GBK" w:hAnsi="Times New Roman" w:hint="default"/>
          <w:b/>
          <w:sz w:val="28"/>
          <w:szCs w:val="28"/>
        </w:rPr>
        <w:t>（一）域名解析设备</w:t>
      </w:r>
    </w:p>
    <w:p>
      <w:pPr>
        <w:pStyle w:val="7510"/>
        <w:spacing w:line="400" w:lineRule="exact"/>
        <w:rPr>
          <w:rFonts w:ascii="Times New Roman" w:eastAsia="方正仿宋_GBK" w:hAnsi="Times New Roman" w:hint="default"/>
          <w:b/>
          <w:sz w:val="28"/>
          <w:szCs w:val="28"/>
        </w:rPr>
      </w:pPr>
      <w:r>
        <w:rPr>
          <w:rFonts w:ascii="Times New Roman" w:eastAsia="方正仿宋_GBK" w:hAnsi="Times New Roman"/>
          <w:b/>
          <w:sz w:val="28"/>
          <w:szCs w:val="28"/>
        </w:rPr>
        <w:t>1.</w:t>
      </w:r>
      <w:r>
        <w:rPr>
          <w:rFonts w:ascii="Times New Roman" w:eastAsia="方正仿宋_GBK" w:hAnsi="Times New Roman" w:hint="default"/>
          <w:b/>
          <w:sz w:val="28"/>
          <w:szCs w:val="28"/>
        </w:rPr>
        <w:t>主要用途</w:t>
      </w:r>
    </w:p>
    <w:p>
      <w:pPr>
        <w:pStyle w:val="7510"/>
        <w:spacing w:line="400" w:lineRule="exact"/>
        <w:rPr>
          <w:rFonts w:ascii="Times New Roman" w:eastAsia="方正仿宋_GBK" w:hAnsi="Times New Roman" w:hint="default"/>
          <w:sz w:val="28"/>
          <w:szCs w:val="28"/>
        </w:rPr>
      </w:pPr>
      <w:r>
        <w:rPr>
          <w:rFonts w:ascii="Times New Roman" w:eastAsia="方正仿宋_GBK" w:hAnsi="Times New Roman" w:hint="default"/>
          <w:sz w:val="28"/>
          <w:szCs w:val="28"/>
        </w:rPr>
        <w:t xml:space="preserve">    域名解析设备用于为异地机房的提供域名解析服务。</w:t>
      </w:r>
    </w:p>
    <w:p>
      <w:pPr>
        <w:pStyle w:val="7510"/>
        <w:spacing w:line="400" w:lineRule="exact"/>
        <w:rPr>
          <w:rFonts w:ascii="Times New Roman" w:eastAsia="方正仿宋_GBK" w:hAnsi="Times New Roman" w:hint="default"/>
          <w:b/>
          <w:sz w:val="28"/>
          <w:szCs w:val="28"/>
        </w:rPr>
      </w:pPr>
      <w:r>
        <w:rPr>
          <w:rFonts w:ascii="Times New Roman" w:eastAsia="方正仿宋_GBK" w:hAnsi="Times New Roman"/>
          <w:b/>
          <w:sz w:val="28"/>
          <w:szCs w:val="28"/>
        </w:rPr>
        <w:t>2.</w:t>
      </w:r>
      <w:r>
        <w:rPr>
          <w:rFonts w:ascii="Times New Roman" w:eastAsia="方正仿宋_GBK" w:hAnsi="Times New Roman" w:hint="default"/>
          <w:b/>
          <w:sz w:val="28"/>
          <w:szCs w:val="28"/>
        </w:rPr>
        <w:t>特殊资质要求</w:t>
      </w:r>
    </w:p>
    <w:p>
      <w:pPr>
        <w:pStyle w:val="7510"/>
        <w:spacing w:line="400" w:lineRule="exact"/>
        <w:ind w:firstLine="560" w:firstLineChars="200"/>
        <w:rPr>
          <w:rFonts w:ascii="Times New Roman" w:eastAsia="方正仿宋_GBK" w:hAnsi="Times New Roman" w:hint="default"/>
          <w:sz w:val="28"/>
          <w:szCs w:val="28"/>
        </w:rPr>
      </w:pPr>
      <w:r>
        <w:rPr>
          <w:rFonts w:ascii="Times New Roman" w:eastAsia="方正仿宋_GBK" w:hAnsi="Times New Roman" w:hint="default"/>
          <w:sz w:val="28"/>
          <w:szCs w:val="28"/>
        </w:rPr>
        <w:t>乙方具有ISO机构颁发的质量管理体系认证有效证书 （ISO9000/9001）；</w:t>
      </w:r>
    </w:p>
    <w:p>
      <w:pPr>
        <w:pStyle w:val="7510"/>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7810"/>
        <w:spacing w:line="400" w:lineRule="exact"/>
        <w:jc w:val="left"/>
        <w:rPr>
          <w:rFonts w:ascii="Times New Roman" w:eastAsia="方正仿宋_GBK" w:hAnsi="Times New Roman" w:hint="default"/>
          <w:bCs/>
          <w:sz w:val="28"/>
          <w:szCs w:val="28"/>
        </w:rPr>
      </w:pPr>
      <w:r>
        <w:rPr>
          <w:rFonts w:ascii="Times New Roman" w:eastAsia="方正仿宋_GBK" w:hAnsi="Times New Roman" w:cs="Times New Roman" w:hint="default"/>
          <w:b/>
          <w:bCs/>
          <w:sz w:val="28"/>
          <w:szCs w:val="28"/>
          <w:lang w:bidi="ar-SA"/>
        </w:rPr>
        <w:t>★</w:t>
      </w:r>
      <w:r>
        <w:rPr>
          <w:rFonts w:ascii="Times New Roman" w:eastAsia="方正仿宋_GBK" w:hAnsi="Times New Roman" w:cs="Times New Roman" w:hint="default"/>
          <w:sz w:val="28"/>
          <w:szCs w:val="28"/>
          <w:lang w:bidi="ar-SA"/>
        </w:rPr>
        <w:t xml:space="preserve">3.1 </w:t>
      </w:r>
      <w:r>
        <w:rPr>
          <w:rFonts w:ascii="Times New Roman" w:eastAsia="方正仿宋_GBK" w:hAnsi="Times New Roman" w:cs="Times New Roman" w:hint="default"/>
          <w:bCs/>
          <w:sz w:val="28"/>
          <w:szCs w:val="28"/>
          <w:lang w:bidi="ar-SA"/>
        </w:rPr>
        <w:t>产品配置及性能：千兆电口</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8 个、千兆光口</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4个、万兆光口</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6 个、系统内存</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64 GB、硬盘容量</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480 GB、吞吐量</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40 Gbps、并发会话数</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5000 万、DNS性能（QPS）</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100万。</w:t>
      </w:r>
    </w:p>
    <w:p>
      <w:pPr>
        <w:pStyle w:val="7810"/>
        <w:spacing w:line="400" w:lineRule="exact"/>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3.2 可编程流量控制：通过某种编程语言（如lua）实现自定义的流量编排，对IP、TCP、UDP、SSL、HTTP和HTTPS等类型的流量进行分发、修改和统计等操作。（提供设备操作界面截图证明材料)</w:t>
      </w:r>
    </w:p>
    <w:p>
      <w:pPr>
        <w:pStyle w:val="7810"/>
        <w:spacing w:line="400" w:lineRule="exact"/>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3.3 健康检查</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3.3.1 支持常见的主动式健康检查功能，提供基于SNMP、ICMP、SIP、ICMPv6、TCP/UDP、FTP、HTTP、DNS、RADIUS，HTTPS、LDAP、ORACLE/MSSQL/MYSQL数据库等多种类型的探测判断机制。（提供设备操作界面截图证明材料）</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3.3.2 支持基于主机的健康检查功能，实现当主机健康状态异常时，会影响到其关联的每一个节点；（提供设备操作界面截图证明材料）</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3.3.3 节点支持域名和IP两种形式，支持根据DNS应答的TTL值和指定时间作为DNS查询间隔。</w:t>
      </w:r>
    </w:p>
    <w:p>
      <w:pPr>
        <w:pStyle w:val="7810"/>
        <w:spacing w:line="400" w:lineRule="exact"/>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3.4 域名解析</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3.4.1 支持标准的DNS服务，支持正向解析和反向解析功能，支持常用的记录类型，包括A、AAAA、CNAME、DNAME、MX、NS、TXT、PTR、SRV、DS、CAA、HINFO和NAPTR等。（提供设备操作界面截图证明材料）</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3.4.2 支持DNS服务部署为主服务器和辅服务器。</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 xml:space="preserve">3.4.3 </w:t>
      </w:r>
      <w:r>
        <w:rPr>
          <w:rFonts w:ascii="Times New Roman" w:eastAsia="方正仿宋_GBK" w:hAnsi="Times New Roman" w:cs="Times New Roman" w:hint="default"/>
          <w:bCs/>
          <w:spacing w:val="-2"/>
          <w:sz w:val="28"/>
          <w:lang w:bidi="ar-SA"/>
        </w:rPr>
        <w:t>支持TCP和UDP DNS解析能力，支持设置EDNS缓冲区大小。</w:t>
      </w:r>
      <w:r>
        <w:rPr>
          <w:rFonts w:ascii="Times New Roman" w:eastAsia="方正仿宋_GBK" w:hAnsi="Times New Roman" w:cs="Times New Roman" w:hint="default"/>
          <w:spacing w:val="-2"/>
          <w:sz w:val="28"/>
          <w:lang w:bidi="ar-SA"/>
        </w:rPr>
        <w:t>（提供设备操作界面截图证明材料）</w:t>
      </w:r>
    </w:p>
    <w:p>
      <w:pPr>
        <w:pStyle w:val="7810"/>
        <w:spacing w:line="400" w:lineRule="exact"/>
        <w:ind w:firstLine="560" w:firstLineChars="200"/>
        <w:jc w:val="left"/>
        <w:rPr>
          <w:rFonts w:ascii="Times New Roman" w:eastAsia="方正仿宋_GBK" w:hAnsi="Times New Roman" w:hint="default"/>
          <w:bCs/>
          <w:spacing w:val="-2"/>
          <w:sz w:val="28"/>
        </w:rPr>
      </w:pPr>
      <w:r>
        <w:rPr>
          <w:rFonts w:ascii="Times New Roman" w:eastAsia="方正仿宋_GBK" w:hAnsi="Times New Roman" w:cs="Times New Roman" w:hint="default"/>
          <w:spacing w:val="-2"/>
          <w:sz w:val="28"/>
          <w:lang w:bidi="ar-SA"/>
        </w:rPr>
        <w:t xml:space="preserve">3.4.4 </w:t>
      </w:r>
      <w:r>
        <w:rPr>
          <w:rFonts w:ascii="Times New Roman" w:eastAsia="方正仿宋_GBK" w:hAnsi="Times New Roman" w:cs="Times New Roman" w:hint="default"/>
          <w:bCs/>
          <w:spacing w:val="-2"/>
          <w:sz w:val="28"/>
          <w:lang w:bidi="ar-SA"/>
        </w:rPr>
        <w:t>支持启用/禁用edns-ecs方式提取/插入客户端请求真实源地址。</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bCs/>
          <w:spacing w:val="-2"/>
          <w:sz w:val="28"/>
          <w:lang w:bidi="ar-SA"/>
        </w:rPr>
        <w:t xml:space="preserve">3.4.5 </w:t>
      </w:r>
      <w:r>
        <w:rPr>
          <w:rFonts w:ascii="Times New Roman" w:eastAsia="方正仿宋_GBK" w:hAnsi="Times New Roman" w:cs="Times New Roman" w:hint="default"/>
          <w:spacing w:val="-2"/>
          <w:sz w:val="28"/>
          <w:lang w:bidi="ar-SA"/>
        </w:rPr>
        <w:t>支持DNS缓存，可配置全局缓存最小时间和最大时间，并可设置MSG缓存大小、RR缓存大小、密钥缓存大小、否定记录缓存大小和否定记录最大缓存时间。（提供设备操作界面截图证明材料）</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 xml:space="preserve">3.4.6 </w:t>
      </w:r>
      <w:r>
        <w:rPr>
          <w:rFonts w:ascii="Times New Roman" w:eastAsia="方正仿宋_GBK" w:hAnsi="Times New Roman" w:cs="Times New Roman" w:hint="default"/>
          <w:bCs/>
          <w:spacing w:val="-2"/>
          <w:sz w:val="28"/>
          <w:lang w:bidi="ar-SA"/>
        </w:rPr>
        <w:t>支持DNS RPZ防火墙功能，支持定义RPZ规则来阻止访问受感染的站点，保护用户的网络环境，提高网络安全性，支持NXDOMAIN、NODATA、DROP和CNAME四种动作。</w:t>
      </w:r>
      <w:r>
        <w:rPr>
          <w:rFonts w:ascii="Times New Roman" w:eastAsia="方正仿宋_GBK" w:hAnsi="Times New Roman" w:cs="Times New Roman" w:hint="default"/>
          <w:spacing w:val="-2"/>
          <w:sz w:val="28"/>
          <w:lang w:bidi="ar-SA"/>
        </w:rPr>
        <w:t>（提供设备操作界面截图证明材料）</w:t>
      </w:r>
    </w:p>
    <w:p>
      <w:pPr>
        <w:pStyle w:val="7810"/>
        <w:spacing w:line="400" w:lineRule="exact"/>
        <w:ind w:firstLine="560" w:firstLineChars="200"/>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w:t>
      </w:r>
      <w:r>
        <w:rPr>
          <w:rFonts w:ascii="Times New Roman" w:eastAsia="方正仿宋_GBK" w:hAnsi="Times New Roman" w:cs="Times New Roman" w:hint="default"/>
          <w:spacing w:val="-2"/>
          <w:sz w:val="28"/>
          <w:lang w:bidi="ar-SA"/>
        </w:rPr>
        <w:t xml:space="preserve">3.4.7 </w:t>
      </w:r>
      <w:r>
        <w:rPr>
          <w:rFonts w:ascii="Times New Roman" w:eastAsia="方正仿宋_GBK" w:hAnsi="Times New Roman" w:cs="Times New Roman" w:hint="default"/>
          <w:bCs/>
          <w:spacing w:val="-2"/>
          <w:sz w:val="28"/>
          <w:lang w:bidi="ar-SA"/>
        </w:rPr>
        <w:t>支持指定区域传输和域名查询的源IP地址范围，支持DNS记录类型的ACL。</w:t>
      </w:r>
      <w:r>
        <w:rPr>
          <w:rFonts w:ascii="Times New Roman" w:eastAsia="方正仿宋_GBK" w:hAnsi="Times New Roman" w:cs="Times New Roman" w:hint="default"/>
          <w:spacing w:val="-2"/>
          <w:sz w:val="28"/>
          <w:lang w:bidi="ar-SA"/>
        </w:rPr>
        <w:t>（提供设备操作界面截图证明材料）</w:t>
      </w:r>
    </w:p>
    <w:p>
      <w:pPr>
        <w:pStyle w:val="7810"/>
        <w:spacing w:line="400" w:lineRule="exact"/>
        <w:ind w:firstLine="560" w:firstLineChars="200"/>
        <w:jc w:val="left"/>
        <w:rPr>
          <w:rFonts w:ascii="Times New Roman" w:eastAsia="方正仿宋_GBK" w:hAnsi="Times New Roman" w:hint="default"/>
          <w:bCs/>
          <w:spacing w:val="-2"/>
          <w:sz w:val="28"/>
        </w:rPr>
      </w:pPr>
      <w:r>
        <w:rPr>
          <w:rFonts w:ascii="Times New Roman" w:eastAsia="方正仿宋_GBK" w:hAnsi="Times New Roman" w:cs="Times New Roman" w:hint="default"/>
          <w:spacing w:val="-2"/>
          <w:sz w:val="28"/>
          <w:lang w:bidi="ar-SA"/>
        </w:rPr>
        <w:t xml:space="preserve">3.4.8 </w:t>
      </w:r>
      <w:r>
        <w:rPr>
          <w:rFonts w:ascii="Times New Roman" w:eastAsia="方正仿宋_GBK" w:hAnsi="Times New Roman" w:cs="Times New Roman" w:hint="default"/>
          <w:bCs/>
          <w:spacing w:val="-2"/>
          <w:sz w:val="28"/>
          <w:lang w:bidi="ar-SA"/>
        </w:rPr>
        <w:t>支持域名解析限速，抵御大流量的DNS DDoS攻击。</w:t>
      </w:r>
    </w:p>
    <w:p>
      <w:pPr>
        <w:pStyle w:val="7810"/>
        <w:spacing w:line="400" w:lineRule="exact"/>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3.5 高可用性：支持双机热备部署方式，可自动同步配置并提供连接会话的镜像功能，实现无缝故障切换。</w:t>
      </w:r>
    </w:p>
    <w:p>
      <w:pPr>
        <w:pStyle w:val="7810"/>
        <w:spacing w:line="400" w:lineRule="exact"/>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3.6 运维管理</w:t>
      </w:r>
    </w:p>
    <w:p>
      <w:pPr>
        <w:pStyle w:val="7810"/>
        <w:spacing w:line="400" w:lineRule="exact"/>
        <w:ind w:firstLine="779"/>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3.6.1 支持Web页面抓包，并且可设置抓包时间。</w:t>
      </w:r>
    </w:p>
    <w:p>
      <w:pPr>
        <w:pStyle w:val="7810"/>
        <w:spacing w:line="400" w:lineRule="exact"/>
        <w:ind w:firstLine="779"/>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3.6.2 支持命令行配置，支持Tab键补全操作，支持界面全部模块通过命令行的模式配置，支持命令批量操作，支持配置导入导出命令行操作。</w:t>
      </w:r>
    </w:p>
    <w:p>
      <w:pPr>
        <w:pStyle w:val="7810"/>
        <w:spacing w:line="400" w:lineRule="exact"/>
        <w:ind w:firstLine="779"/>
        <w:jc w:val="left"/>
        <w:rPr>
          <w:rFonts w:ascii="Times New Roman" w:eastAsia="方正仿宋_GBK" w:hAnsi="Times New Roman" w:hint="default"/>
          <w:spacing w:val="-2"/>
          <w:sz w:val="28"/>
        </w:rPr>
      </w:pPr>
      <w:r>
        <w:rPr>
          <w:rFonts w:ascii="Times New Roman" w:eastAsia="方正仿宋_GBK" w:hAnsi="Times New Roman" w:cs="Times New Roman" w:hint="default"/>
          <w:spacing w:val="-2"/>
          <w:sz w:val="28"/>
          <w:lang w:bidi="ar-SA"/>
        </w:rPr>
        <w:t>3.6.3 支持设置管理地址白名单列表，远程维护支持设置是否允许WAN/LAN</w:t>
      </w:r>
      <w:r>
        <w:rPr>
          <w:rFonts w:ascii="Times New Roman" w:eastAsia="方正仿宋_GBK" w:hAnsi="Times New Roman" w:hint="default"/>
          <w:spacing w:val="-2"/>
          <w:sz w:val="28"/>
        </w:rPr>
        <w:t>。</w:t>
      </w:r>
    </w:p>
    <w:p>
      <w:pPr>
        <w:pStyle w:val="7910"/>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四、 交货期</w:t>
      </w:r>
    </w:p>
    <w:p>
      <w:pPr>
        <w:pStyle w:val="7910"/>
        <w:spacing w:line="400" w:lineRule="exact"/>
        <w:jc w:val="left"/>
        <w:rPr>
          <w:rFonts w:ascii="Times New Roman" w:eastAsia="方正仿宋_GBK" w:hAnsi="Times New Roman"/>
          <w:sz w:val="28"/>
          <w:szCs w:val="28"/>
        </w:rPr>
      </w:pPr>
      <w:r>
        <w:rPr>
          <w:rFonts w:ascii="Times New Roman" w:eastAsia="方正黑体_GBK" w:hAnsi="Times New Roman" w:hint="default"/>
          <w:b/>
          <w:sz w:val="28"/>
          <w:szCs w:val="28"/>
        </w:rPr>
        <w:t xml:space="preserve">    </w:t>
      </w:r>
      <w:r>
        <w:rPr>
          <w:rFonts w:ascii="Times New Roman" w:eastAsia="方正仿宋_GBK" w:hAnsi="Times New Roman"/>
          <w:sz w:val="28"/>
          <w:szCs w:val="28"/>
        </w:rPr>
        <w:t>02包产品合同签订后30个自然日内交货。</w:t>
      </w:r>
    </w:p>
    <w:p>
      <w:pPr>
        <w:pStyle w:val="7910"/>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五、 质保期</w:t>
      </w:r>
    </w:p>
    <w:p>
      <w:pPr>
        <w:pStyle w:val="7910"/>
        <w:spacing w:line="400" w:lineRule="exact"/>
        <w:jc w:val="left"/>
        <w:rPr>
          <w:rFonts w:ascii="Times New Roman" w:eastAsia="方正仿宋_GBK" w:hAnsi="Times New Roman"/>
          <w:sz w:val="28"/>
          <w:szCs w:val="28"/>
        </w:rPr>
      </w:pPr>
      <w:r>
        <w:rPr>
          <w:rFonts w:ascii="Times New Roman" w:eastAsia="方正黑体_GBK" w:hAnsi="Times New Roman" w:hint="default"/>
          <w:b/>
          <w:sz w:val="28"/>
          <w:szCs w:val="28"/>
        </w:rPr>
        <w:t xml:space="preserve">    </w:t>
      </w:r>
      <w:r>
        <w:rPr>
          <w:rFonts w:ascii="Times New Roman" w:eastAsia="方正仿宋_GBK" w:hAnsi="Times New Roman"/>
          <w:sz w:val="28"/>
          <w:szCs w:val="28"/>
        </w:rPr>
        <w:t>02包产品安装调试经用户验收合格当天起，质保期5年。</w:t>
      </w:r>
    </w:p>
    <w:p>
      <w:pPr>
        <w:pStyle w:val="7910"/>
        <w:widowControl/>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六、售后服务要求</w:t>
      </w:r>
    </w:p>
    <w:p>
      <w:pPr>
        <w:pStyle w:val="7810"/>
        <w:spacing w:line="400" w:lineRule="exact"/>
        <w:ind w:firstLine="560" w:firstLineChars="200"/>
        <w:jc w:val="left"/>
        <w:rPr>
          <w:rFonts w:ascii="Times New Roman" w:eastAsia="方正仿宋_GBK" w:hAnsi="Times New Roman"/>
          <w:bCs/>
          <w:sz w:val="28"/>
          <w:szCs w:val="28"/>
        </w:rPr>
      </w:pPr>
      <w:r>
        <w:rPr>
          <w:rFonts w:ascii="Times New Roman" w:eastAsia="方正仿宋_GBK" w:hAnsi="Times New Roman"/>
          <w:bCs/>
          <w:sz w:val="28"/>
          <w:szCs w:val="28"/>
        </w:rPr>
        <w:t>1.乙方具备技术支持体系，提供的服务方案周密、可行和有效，考虑其服务流程、故障和问题解决流程、应急处理流程、重要时点支持保障方案、完善的维护保障计划等，须提供相应功能的系统截图或文档。</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2.乙方具有技术能力强、服务响应快的维保团队为甲方提供服务，安排专门项目经理和服务专员负责本次项目，对该维保团队进行管理协调。根据甲方所提供的软件、硬件设备的种类及其应用范围，编写服务计划书。</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3.乙方为本项目配备项目经理，项目经理具有3年以上网络行业工作经验，具备PMP证书。</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4.乙方对所有项目人员严格按照乙方维保服务质量监督控制体系进行管理，并在工作中遵守甲方相关运维管理、机房管理相关规定，接受甲方的监督和满意度评价反馈，并积极做出回应。</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5.乙方团队成员应相对固定，并根据甲方管理需要，提供团队成员信息及联系方式。团队成员的变动应及时通知甲方。应提供人员组成名单，编写服务计划书为甲方提供本地化服务和技术支持，在维保期内至少专门指派1名客户经理和2名拥有原厂技术认证的资深工程师提供电话支持和现场服务，要保证人员的稳定。如在维保期间，甲方认为乙方工程师能力有限，可要求乙方更换工程师，乙方需按甲方要求执行，直到甲方满意为止。</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6.乙方应制定明确的巡检维护计划，并将巡检人员信息提交给甲方进行机房进出备案。每半年提供1次现场巡检服务，对维保对象进行细致全面的检查，检查内容包括设备和外围设备运行情况、系统备份、设备错误日志以及其他的记录文件等。巡检完成后五个工作日内提交巡检报告（报告模板由乙方提供，甲方审核通过后使用）。如发现巡检对象存在故障隐患或漏洞，要及时提出并协助甲方进行改进完善。甲方可以根据需要要求乙方增加或修改巡检内容,提前安排深度巡检，确保关键时间稳定运行。</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7.乙方提供7*24小时的技术支持电话。乙方应指定固定技术人员提供7</w:t>
      </w:r>
      <w:r>
        <w:rPr>
          <w:rFonts w:ascii="Times New Roman" w:eastAsia="方正仿宋_GBK" w:hAnsi="Times New Roman" w:cs="Times New Roman" w:hint="default"/>
          <w:bCs/>
          <w:sz w:val="28"/>
          <w:szCs w:val="28"/>
          <w:lang w:bidi="ar-SA"/>
        </w:rPr>
        <w:t>×</w:t>
      </w:r>
      <w:r>
        <w:rPr>
          <w:rFonts w:ascii="Times New Roman" w:eastAsia="方正仿宋_GBK" w:hAnsi="Times New Roman" w:cs="Times New Roman" w:hint="default"/>
          <w:bCs/>
          <w:sz w:val="28"/>
          <w:szCs w:val="28"/>
          <w:lang w:bidi="ar-SA"/>
        </w:rPr>
        <w:t>24小时的技术支持服务，保证甲方关于设备和软件的技术性问题得到及时、有效的解答。</w:t>
      </w:r>
    </w:p>
    <w:p>
      <w:pPr>
        <w:pStyle w:val="7810"/>
        <w:spacing w:line="400" w:lineRule="exact"/>
        <w:ind w:firstLine="560" w:firstLineChars="200"/>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8.乙方应要根据甲方需要，向甲方提供全方位的、有效的、及时的维修服务和技术支持服务，服务内容包括但不限于系统使用、运维、配置操作、管理、设备上下架、设备更换、设备升级、系统调整迁移等工作。</w:t>
      </w:r>
    </w:p>
    <w:p>
      <w:pPr>
        <w:pStyle w:val="7810"/>
        <w:spacing w:line="400" w:lineRule="exact"/>
        <w:ind w:firstLine="560" w:firstLineChars="200"/>
        <w:jc w:val="left"/>
        <w:rPr>
          <w:rFonts w:ascii="Times New Roman" w:eastAsia="方正仿宋_GBK" w:hAnsi="Times New Roman"/>
          <w:bCs/>
          <w:sz w:val="28"/>
          <w:szCs w:val="28"/>
        </w:rPr>
      </w:pPr>
      <w:r>
        <w:rPr>
          <w:rFonts w:ascii="Times New Roman" w:eastAsia="方正仿宋_GBK" w:hAnsi="Times New Roman" w:cs="Times New Roman" w:hint="default"/>
          <w:bCs/>
          <w:sz w:val="28"/>
          <w:szCs w:val="28"/>
          <w:lang w:bidi="ar-SA"/>
        </w:rPr>
        <w:t>9.按故障级别提供不同级别的服务，应满足以下要求（详见表格）乙方服务人员在完成故障修复后，要向甲方维护人员解释故障原因和解决方法，以及在日常维护中的预防措施：</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none" w:sz="0" w:space="0" w:color="auto"/>
          <w:insideV w:val="none" w:sz="0" w:space="0" w:color="auto"/>
        </w:tblBorders>
        <w:tblLayout w:type="fixed"/>
        <w:tblCellMar>
          <w:top w:w="0" w:type="dxa"/>
          <w:left w:w="108" w:type="dxa"/>
          <w:bottom w:w="0" w:type="dxa"/>
          <w:right w:w="108" w:type="dxa"/>
        </w:tblCellMar>
        <w:tblLook w:val="0000"/>
      </w:tblPr>
      <w:tblGrid>
        <w:gridCol w:w="3591"/>
        <w:gridCol w:w="5156"/>
      </w:tblGrid>
      <w:tr>
        <w:tblPrEx>
          <w:tblW w:w="0" w:type="auto"/>
          <w:jc w:val="center"/>
          <w:tblInd w:w="0" w:type="dxa"/>
          <w:tblBorders>
            <w:top w:val="single" w:sz="4" w:space="0" w:color="000000"/>
            <w:left w:val="single" w:sz="4" w:space="0" w:color="000000"/>
            <w:bottom w:val="single" w:sz="4" w:space="0" w:color="000000"/>
            <w:right w:val="single" w:sz="4" w:space="0" w:color="000000"/>
            <w:insideH w:val="none" w:sz="0" w:space="0" w:color="auto"/>
            <w:insideV w:val="none" w:sz="0" w:space="0" w:color="auto"/>
          </w:tblBorders>
          <w:tblLayout w:type="fixed"/>
          <w:tblCellMar>
            <w:top w:w="0" w:type="dxa"/>
            <w:left w:w="108" w:type="dxa"/>
            <w:bottom w:w="0" w:type="dxa"/>
            <w:right w:w="108" w:type="dxa"/>
          </w:tblCellMar>
          <w:tblLook w:val="0000"/>
        </w:tblPrEx>
        <w:trPr>
          <w:jc w:val="center"/>
        </w:trPr>
        <w:tc>
          <w:tcPr>
            <w:tcW w:w="3591" w:type="dxa"/>
            <w:tcBorders>
              <w:top w:val="single" w:sz="4" w:space="0" w:color="000000"/>
              <w:left w:val="single" w:sz="4" w:space="0" w:color="000000"/>
              <w:bottom w:val="single" w:sz="4" w:space="0" w:color="000000"/>
              <w:right w:val="single" w:sz="4" w:space="0" w:color="000000"/>
            </w:tcBorders>
          </w:tcPr>
          <w:p>
            <w:pPr>
              <w:pStyle w:val="170"/>
              <w:spacing w:line="560" w:lineRule="exact"/>
              <w:jc w:val="center"/>
              <w:rPr>
                <w:rFonts w:eastAsia="仿宋"/>
                <w:bCs/>
                <w:spacing w:val="-2"/>
                <w:szCs w:val="24"/>
              </w:rPr>
            </w:pPr>
            <w:r>
              <w:rPr>
                <w:rFonts w:eastAsia="仿宋"/>
                <w:bCs/>
                <w:spacing w:val="-2"/>
                <w:szCs w:val="24"/>
              </w:rPr>
              <w:t>故障级别</w:t>
            </w:r>
          </w:p>
        </w:tc>
        <w:tc>
          <w:tcPr>
            <w:tcW w:w="5156" w:type="dxa"/>
            <w:tcBorders>
              <w:top w:val="single" w:sz="4" w:space="0" w:color="000000"/>
              <w:left w:val="single" w:sz="4" w:space="0" w:color="000000"/>
              <w:bottom w:val="single" w:sz="4" w:space="0" w:color="000000"/>
              <w:right w:val="single" w:sz="4" w:space="0" w:color="000000"/>
            </w:tcBorders>
          </w:tcPr>
          <w:p>
            <w:pPr>
              <w:pStyle w:val="183"/>
              <w:spacing w:line="560" w:lineRule="exact"/>
              <w:jc w:val="center"/>
              <w:rPr>
                <w:rFonts w:eastAsia="仿宋"/>
                <w:bCs/>
                <w:spacing w:val="-2"/>
                <w:szCs w:val="24"/>
              </w:rPr>
            </w:pPr>
            <w:r>
              <w:rPr>
                <w:rFonts w:eastAsia="仿宋"/>
                <w:bCs/>
                <w:spacing w:val="-2"/>
                <w:szCs w:val="24"/>
              </w:rPr>
              <w:t>服务要求</w:t>
            </w:r>
          </w:p>
        </w:tc>
      </w:tr>
      <w:tr>
        <w:tblPrEx>
          <w:tblW w:w="0" w:type="auto"/>
          <w:jc w:val="center"/>
          <w:tblInd w:w="0" w:type="dxa"/>
          <w:tblLayout w:type="fixed"/>
          <w:tblCellMar>
            <w:top w:w="0" w:type="dxa"/>
            <w:left w:w="108" w:type="dxa"/>
            <w:bottom w:w="0" w:type="dxa"/>
            <w:right w:w="108" w:type="dxa"/>
          </w:tblCellMar>
          <w:tblLook w:val="0000"/>
        </w:tblPrEx>
        <w:trPr>
          <w:jc w:val="center"/>
        </w:trPr>
        <w:tc>
          <w:tcPr>
            <w:tcW w:w="3591" w:type="dxa"/>
            <w:tcBorders>
              <w:top w:val="single" w:sz="4" w:space="0" w:color="000000"/>
              <w:left w:val="single" w:sz="4" w:space="0" w:color="000000"/>
              <w:bottom w:val="single" w:sz="4" w:space="0" w:color="000000"/>
              <w:right w:val="single" w:sz="4" w:space="0" w:color="000000"/>
            </w:tcBorders>
          </w:tcPr>
          <w:p>
            <w:pPr>
              <w:pStyle w:val="3211"/>
              <w:spacing w:line="560" w:lineRule="exact"/>
              <w:ind w:firstLine="0" w:firstLineChars="0"/>
              <w:rPr>
                <w:rFonts w:eastAsia="仿宋"/>
                <w:bCs/>
                <w:spacing w:val="-2"/>
                <w:szCs w:val="24"/>
              </w:rPr>
            </w:pPr>
            <w:r>
              <w:rPr>
                <w:rFonts w:eastAsia="仿宋"/>
                <w:bCs/>
                <w:spacing w:val="-2"/>
                <w:szCs w:val="24"/>
              </w:rPr>
              <w:t>一级故障（重大故障）：指设备在运行中出现工作异常情况，导致业务运行受到影响的故障。</w:t>
            </w:r>
          </w:p>
        </w:tc>
        <w:tc>
          <w:tcPr>
            <w:tcW w:w="5156" w:type="dxa"/>
            <w:tcBorders>
              <w:top w:val="single" w:sz="4" w:space="0" w:color="000000"/>
              <w:left w:val="single" w:sz="4" w:space="0" w:color="000000"/>
              <w:bottom w:val="single" w:sz="4" w:space="0" w:color="000000"/>
              <w:right w:val="single" w:sz="4" w:space="0" w:color="000000"/>
            </w:tcBorders>
          </w:tcPr>
          <w:p>
            <w:pPr>
              <w:pStyle w:val="3220"/>
              <w:spacing w:line="560" w:lineRule="exact"/>
              <w:ind w:firstLine="0" w:firstLineChars="0"/>
              <w:rPr>
                <w:rFonts w:eastAsia="仿宋"/>
                <w:bCs/>
                <w:spacing w:val="-2"/>
                <w:szCs w:val="24"/>
              </w:rPr>
            </w:pPr>
            <w:r>
              <w:rPr>
                <w:rFonts w:eastAsia="仿宋"/>
                <w:bCs/>
                <w:spacing w:val="-2"/>
                <w:szCs w:val="24"/>
              </w:rPr>
              <w:t>提供7×24小时远程支持，接到甲方报修后45分钟内提出解决方案，在甲方提出现场支持需求后2小时内抵达甲方指定现场，到达现场后2小时内修复故障。如果2小时内故障不能排除，乙方必需在2小时内提供备机。</w:t>
            </w:r>
          </w:p>
        </w:tc>
      </w:tr>
      <w:tr>
        <w:tblPrEx>
          <w:tblW w:w="0" w:type="auto"/>
          <w:jc w:val="center"/>
          <w:tblInd w:w="0" w:type="dxa"/>
          <w:tblLayout w:type="fixed"/>
          <w:tblCellMar>
            <w:top w:w="0" w:type="dxa"/>
            <w:left w:w="108" w:type="dxa"/>
            <w:bottom w:w="0" w:type="dxa"/>
            <w:right w:w="108" w:type="dxa"/>
          </w:tblCellMar>
          <w:tblLook w:val="0000"/>
        </w:tblPrEx>
        <w:trPr>
          <w:trHeight w:val="2343"/>
          <w:jc w:val="center"/>
        </w:trPr>
        <w:tc>
          <w:tcPr>
            <w:tcW w:w="3591" w:type="dxa"/>
            <w:tcBorders>
              <w:top w:val="single" w:sz="4" w:space="0" w:color="000000"/>
              <w:left w:val="single" w:sz="4" w:space="0" w:color="000000"/>
              <w:bottom w:val="single" w:sz="4" w:space="0" w:color="000000"/>
              <w:right w:val="single" w:sz="4" w:space="0" w:color="000000"/>
            </w:tcBorders>
          </w:tcPr>
          <w:p>
            <w:pPr>
              <w:pStyle w:val="195"/>
              <w:spacing w:line="560" w:lineRule="exact"/>
              <w:ind w:firstLine="0" w:firstLineChars="0"/>
              <w:rPr>
                <w:rFonts w:eastAsia="仿宋"/>
                <w:bCs/>
                <w:spacing w:val="-2"/>
                <w:szCs w:val="24"/>
              </w:rPr>
            </w:pPr>
            <w:r>
              <w:rPr>
                <w:rFonts w:eastAsia="仿宋"/>
                <w:bCs/>
                <w:spacing w:val="-2"/>
                <w:szCs w:val="24"/>
              </w:rPr>
              <w:t>二级故障（一般故障）：指设备在运行中出现异常状况，但不影响业务正常运行的故障。</w:t>
            </w:r>
          </w:p>
        </w:tc>
        <w:tc>
          <w:tcPr>
            <w:tcW w:w="5156" w:type="dxa"/>
            <w:tcBorders>
              <w:top w:val="single" w:sz="4" w:space="0" w:color="000000"/>
              <w:left w:val="single" w:sz="4" w:space="0" w:color="000000"/>
              <w:bottom w:val="single" w:sz="4" w:space="0" w:color="000000"/>
              <w:right w:val="single" w:sz="4" w:space="0" w:color="000000"/>
            </w:tcBorders>
          </w:tcPr>
          <w:p>
            <w:pPr>
              <w:pStyle w:val="205"/>
              <w:spacing w:line="560" w:lineRule="exact"/>
              <w:ind w:firstLine="0" w:firstLineChars="0"/>
              <w:rPr>
                <w:rFonts w:eastAsia="仿宋"/>
                <w:bCs/>
                <w:spacing w:val="-2"/>
                <w:szCs w:val="24"/>
              </w:rPr>
            </w:pPr>
            <w:r>
              <w:rPr>
                <w:rFonts w:eastAsia="仿宋"/>
                <w:bCs/>
                <w:spacing w:val="-2"/>
                <w:szCs w:val="24"/>
              </w:rPr>
              <w:t>提供7×24小时远程支持，接到甲方报修后60分钟内提出解决方案，在甲方提出现场支持需求后4小时内抵达甲方指定现场，到达现场后4小时内修复故障。</w:t>
            </w:r>
          </w:p>
        </w:tc>
      </w:tr>
    </w:tbl>
    <w:p>
      <w:pPr>
        <w:pStyle w:val="144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bCs/>
          <w:sz w:val="28"/>
          <w:szCs w:val="28"/>
        </w:rPr>
        <w:t>10.乙方为所采购设备进行定期的现场检查，及时发现运行中存在的隐患，通过系统调整等手段，减少系统发生故障的概率，保证系统稳定、高效运行。</w:t>
      </w:r>
    </w:p>
    <w:p>
      <w:pPr>
        <w:pStyle w:val="14610"/>
        <w:widowControl/>
        <w:spacing w:line="400" w:lineRule="exact"/>
        <w:ind w:firstLine="560" w:firstLineChars="200"/>
        <w:jc w:val="left"/>
        <w:rPr>
          <w:rFonts w:ascii="Times New Roman" w:eastAsia="方正仿宋_GBK" w:hAnsi="Times New Roman"/>
          <w:bCs/>
          <w:sz w:val="28"/>
          <w:szCs w:val="28"/>
        </w:rPr>
      </w:pPr>
      <w:r>
        <w:rPr>
          <w:rFonts w:ascii="Times New Roman" w:eastAsia="方正仿宋_GBK" w:hAnsi="Times New Roman"/>
          <w:bCs/>
          <w:sz w:val="28"/>
          <w:szCs w:val="28"/>
        </w:rPr>
        <w:t>11.乙方应为甲方建立系统维修档案，并根据维保对象运行情况向其提供设备和软件的升级、改造、更换的建议和方案。</w:t>
      </w:r>
    </w:p>
    <w:p>
      <w:pPr>
        <w:pStyle w:val="14610"/>
        <w:widowControl/>
        <w:spacing w:line="400" w:lineRule="exact"/>
        <w:ind w:firstLine="560" w:firstLineChars="200"/>
        <w:jc w:val="left"/>
        <w:rPr>
          <w:rFonts w:ascii="Times New Roman" w:eastAsia="方正仿宋_GBK" w:hAnsi="Times New Roman"/>
          <w:bCs/>
          <w:sz w:val="28"/>
          <w:szCs w:val="28"/>
        </w:rPr>
      </w:pPr>
      <w:r>
        <w:rPr>
          <w:rFonts w:ascii="Times New Roman" w:eastAsia="方正仿宋_GBK" w:hAnsi="Times New Roman"/>
          <w:sz w:val="28"/>
          <w:szCs w:val="28"/>
        </w:rPr>
        <w:t>12.</w:t>
      </w:r>
      <w:r>
        <w:rPr>
          <w:rFonts w:ascii="Times New Roman" w:eastAsia="方正仿宋_GBK" w:hAnsi="Times New Roman"/>
          <w:bCs/>
          <w:sz w:val="28"/>
          <w:szCs w:val="28"/>
        </w:rPr>
        <w:t>乙方保证在服务期限内，提供7×24小时全天候备件服务，且所有故障件的更换均是免费的。核实补充备件数量并提供备件存放地址，确保备件可在2小时内送达甲方指定地址（提供2小时内送达证明），增加现场备件种类，在现场准备必要非易耗关键部件的备件。</w:t>
      </w:r>
    </w:p>
    <w:p>
      <w:pPr>
        <w:pStyle w:val="147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sz w:val="28"/>
          <w:szCs w:val="28"/>
        </w:rPr>
        <w:t>13.</w:t>
      </w:r>
      <w:r>
        <w:rPr>
          <w:rFonts w:ascii="Times New Roman" w:eastAsia="方正仿宋_GBK" w:hAnsi="Times New Roman"/>
          <w:bCs/>
          <w:sz w:val="28"/>
          <w:szCs w:val="28"/>
        </w:rPr>
        <w:t>在甲方认为的关键业务时间节点、重大迁移切换变更、国家重大活动、会议、节假日期间，乙方需根据甲方的需求临时增派人员提供重点时期保障服务。</w:t>
      </w:r>
    </w:p>
    <w:p>
      <w:pPr>
        <w:pStyle w:val="15310"/>
        <w:widowControl/>
        <w:spacing w:line="400" w:lineRule="exact"/>
        <w:ind w:firstLine="560" w:firstLineChars="200"/>
        <w:jc w:val="left"/>
        <w:rPr>
          <w:rFonts w:ascii="Times New Roman" w:hAnsi="Times New Roman"/>
        </w:rPr>
      </w:pPr>
      <w:r>
        <w:rPr>
          <w:rFonts w:ascii="Times New Roman" w:eastAsia="方正仿宋_GBK" w:hAnsi="Times New Roman"/>
          <w:bCs/>
          <w:sz w:val="28"/>
          <w:szCs w:val="28"/>
        </w:rPr>
        <w:t>14.根据甲方需要，乙方成立重点保障工作组，并安排技术人员驻场免费提供相关保障值守服务。且乙方派驻进行现场值守服务的技术人员应具有现场应急处置能力，并且前期参与过甲方相关设备的维护工作，熟悉甲方设备运行情况。</w:t>
      </w:r>
    </w:p>
    <w:p>
      <w:pPr>
        <w:pStyle w:val="15410"/>
        <w:widowControl/>
        <w:spacing w:line="400" w:lineRule="exact"/>
        <w:ind w:firstLine="560" w:firstLineChars="200"/>
        <w:jc w:val="left"/>
        <w:rPr>
          <w:rFonts w:ascii="Times New Roman" w:eastAsia="方正仿宋_GBK" w:hAnsi="Times New Roman"/>
          <w:bCs/>
          <w:sz w:val="28"/>
          <w:szCs w:val="28"/>
        </w:rPr>
      </w:pPr>
      <w:r>
        <w:rPr>
          <w:rFonts w:ascii="Times New Roman" w:eastAsia="方正仿宋_GBK" w:hAnsi="Times New Roman"/>
          <w:bCs/>
          <w:sz w:val="28"/>
          <w:szCs w:val="28"/>
        </w:rPr>
        <w:t>15.乙方应在系统上线前，按照甲方要求编制应急预案，明确各类问题的应急处置预案，并在系统上线后按照应急预案要求开展一次应急演练，确保应急预案可行性。</w:t>
      </w:r>
    </w:p>
    <w:p>
      <w:pPr>
        <w:pStyle w:val="155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bCs/>
          <w:sz w:val="28"/>
          <w:szCs w:val="28"/>
        </w:rPr>
        <w:t>16.乙方应及时提供设备软件的升级服务，及时修复设备功能、性能、安全性等缺陷，同时按要求配合甲方的测试、升级和配置修改等工作，但有关工作须经甲方许可后方可进行，否则将追究乙方责任。</w:t>
      </w:r>
    </w:p>
    <w:p>
      <w:pPr>
        <w:pStyle w:val="156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bCs/>
          <w:sz w:val="28"/>
          <w:szCs w:val="28"/>
        </w:rPr>
        <w:t>17.发现系统中存在BUG或系统出现高中风险漏洞时，乙方应按甲方要求完成修复工作。乙方服务人员应提前出具修复方案，说明具体操作内容以及可能产生的风险及回退措施，经甲方批准后在甲方规定窗口内进行实施。若因乙方服务人员误操作或擅自行事等原因给甲方带来损失的，甲方有权向乙方提出索赔。</w:t>
      </w:r>
    </w:p>
    <w:p>
      <w:pPr>
        <w:pStyle w:val="15810"/>
        <w:widowControl/>
        <w:spacing w:line="400" w:lineRule="exact"/>
        <w:ind w:firstLine="560" w:firstLineChars="200"/>
        <w:jc w:val="left"/>
        <w:rPr>
          <w:rFonts w:ascii="Times New Roman" w:eastAsia="方正仿宋_GBK" w:hAnsi="Times New Roman"/>
          <w:spacing w:val="-2"/>
          <w:sz w:val="28"/>
          <w:szCs w:val="28"/>
        </w:rPr>
      </w:pPr>
      <w:r>
        <w:rPr>
          <w:rFonts w:ascii="Times New Roman" w:eastAsia="方正仿宋_GBK" w:hAnsi="Times New Roman"/>
          <w:bCs/>
          <w:sz w:val="28"/>
          <w:szCs w:val="28"/>
        </w:rPr>
        <w:t>18.乙方在把替换下来的磁盘、磁带等介质带离甲方现场前，必须到甲方设备使用部门进行书面登记，并做消磁处理；设备清洁、设备搬运、软件安装、软件升级、磁盘分区、数据备份、系统重装等工作都必须经甲方设备使用部门允许后方可进行，否则，将追究乙方的责任。</w:t>
      </w:r>
    </w:p>
    <w:p>
      <w:pPr>
        <w:pStyle w:val="11910"/>
        <w:widowControl/>
        <w:spacing w:line="400" w:lineRule="exact"/>
        <w:jc w:val="left"/>
        <w:rPr>
          <w:rFonts w:ascii="Times New Roman" w:eastAsia="方正黑体_GBK" w:hAnsi="Times New Roman" w:hint="default"/>
          <w:b/>
          <w:sz w:val="28"/>
          <w:szCs w:val="28"/>
        </w:rPr>
      </w:pPr>
      <w:r>
        <w:rPr>
          <w:rFonts w:ascii="Times New Roman" w:eastAsia="方正黑体_GBK" w:hAnsi="Times New Roman" w:cs="Times New Roman" w:hint="default"/>
          <w:b/>
          <w:bCs/>
          <w:sz w:val="28"/>
          <w:szCs w:val="28"/>
          <w:lang w:bidi="ar-SA"/>
        </w:rPr>
        <w:t>七、</w:t>
      </w:r>
      <w:r>
        <w:rPr>
          <w:rFonts w:ascii="Times New Roman" w:eastAsia="方正黑体_GBK" w:hAnsi="Times New Roman" w:hint="default"/>
          <w:b/>
          <w:sz w:val="28"/>
          <w:szCs w:val="28"/>
        </w:rPr>
        <w:t>培训要求</w:t>
      </w:r>
    </w:p>
    <w:p>
      <w:pPr>
        <w:pStyle w:val="130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现场培训：在设备到货后为买方免费提供3次现场培训，培训内容为设备的操作命令、版本升级、配置备份恢复、巡检等使用和维护方面的培训。</w:t>
      </w:r>
    </w:p>
    <w:p>
      <w:pPr>
        <w:pStyle w:val="7510"/>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八、分配表</w:t>
      </w:r>
    </w:p>
    <w:p>
      <w:pPr>
        <w:pStyle w:val="7510"/>
        <w:tabs>
          <w:tab w:val="left" w:pos="2160"/>
          <w:tab w:val="center" w:pos="4450"/>
        </w:tabs>
        <w:spacing w:line="400" w:lineRule="exact"/>
        <w:jc w:val="left"/>
        <w:rPr>
          <w:rFonts w:ascii="Times New Roman" w:eastAsia="方正仿宋_GBK" w:hAnsi="Times New Roman"/>
          <w:b/>
          <w:bCs/>
          <w:sz w:val="28"/>
          <w:szCs w:val="28"/>
        </w:rPr>
      </w:pPr>
      <w:r>
        <w:rPr>
          <w:rFonts w:ascii="Times New Roman" w:hAnsi="Times New Roman"/>
          <w:b/>
          <w:bCs/>
          <w:sz w:val="28"/>
          <w:szCs w:val="28"/>
        </w:rPr>
        <w:tab/>
        <w:tab/>
      </w:r>
      <w:r>
        <w:rPr>
          <w:rFonts w:ascii="Times New Roman" w:eastAsia="方正仿宋_GBK" w:hAnsi="Times New Roman"/>
          <w:b/>
          <w:bCs/>
          <w:sz w:val="28"/>
          <w:szCs w:val="28"/>
        </w:rPr>
        <w:t>02包域名解析设备分配表</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177"/>
        <w:gridCol w:w="2749"/>
        <w:gridCol w:w="1827"/>
        <w:gridCol w:w="1769"/>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2177" w:type="dxa"/>
            <w:vAlign w:val="center"/>
          </w:tcPr>
          <w:p>
            <w:pPr>
              <w:pStyle w:val="7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vAlign w:val="center"/>
          </w:tcPr>
          <w:p>
            <w:pPr>
              <w:pStyle w:val="7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品名/型号</w:t>
            </w:r>
          </w:p>
        </w:tc>
        <w:tc>
          <w:tcPr>
            <w:tcW w:w="1827" w:type="dxa"/>
            <w:vAlign w:val="center"/>
          </w:tcPr>
          <w:p>
            <w:pPr>
              <w:pStyle w:val="7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vAlign w:val="center"/>
          </w:tcPr>
          <w:p>
            <w:pPr>
              <w:pStyle w:val="7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tblW w:w="0" w:type="auto"/>
          <w:jc w:val="center"/>
          <w:tblInd w:w="0" w:type="dxa"/>
          <w:tblLayout w:type="fixed"/>
          <w:tblCellMar>
            <w:top w:w="0" w:type="dxa"/>
            <w:left w:w="108" w:type="dxa"/>
            <w:bottom w:w="0" w:type="dxa"/>
            <w:right w:w="108" w:type="dxa"/>
          </w:tblCellMar>
          <w:tblLook w:val="0000"/>
        </w:tblPrEx>
        <w:trPr>
          <w:trHeight w:val="739"/>
          <w:jc w:val="center"/>
        </w:trPr>
        <w:tc>
          <w:tcPr>
            <w:tcW w:w="2177" w:type="dxa"/>
            <w:vAlign w:val="center"/>
          </w:tcPr>
          <w:p>
            <w:pPr>
              <w:pStyle w:val="7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黑体_GBK" w:hAnsi="Times New Roman"/>
                <w:spacing w:val="-2"/>
                <w:sz w:val="24"/>
                <w:szCs w:val="24"/>
              </w:rPr>
              <w:t>中国电子口岸数据中心</w:t>
            </w:r>
          </w:p>
        </w:tc>
        <w:tc>
          <w:tcPr>
            <w:tcW w:w="2749" w:type="dxa"/>
            <w:vAlign w:val="center"/>
          </w:tcPr>
          <w:p>
            <w:pPr>
              <w:pStyle w:val="7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黑体_GBK" w:hAnsi="Times New Roman"/>
                <w:spacing w:val="-2"/>
                <w:sz w:val="24"/>
                <w:szCs w:val="24"/>
              </w:rPr>
              <w:t>域名解析设备</w:t>
            </w:r>
          </w:p>
        </w:tc>
        <w:tc>
          <w:tcPr>
            <w:tcW w:w="1827" w:type="dxa"/>
            <w:vAlign w:val="center"/>
          </w:tcPr>
          <w:p>
            <w:pPr>
              <w:pStyle w:val="7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w:t>
            </w:r>
          </w:p>
        </w:tc>
        <w:tc>
          <w:tcPr>
            <w:tcW w:w="1769" w:type="dxa"/>
            <w:vAlign w:val="center"/>
          </w:tcPr>
          <w:p>
            <w:pPr>
              <w:pStyle w:val="7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46</w:t>
            </w:r>
          </w:p>
        </w:tc>
      </w:tr>
      <w:tr>
        <w:tblPrEx>
          <w:tblW w:w="0" w:type="auto"/>
          <w:jc w:val="center"/>
          <w:tblInd w:w="0" w:type="dxa"/>
          <w:tblLayout w:type="fixed"/>
          <w:tblCellMar>
            <w:top w:w="0" w:type="dxa"/>
            <w:left w:w="108" w:type="dxa"/>
            <w:bottom w:w="0" w:type="dxa"/>
            <w:right w:w="108" w:type="dxa"/>
          </w:tblCellMar>
          <w:tblLook w:val="0000"/>
        </w:tblPrEx>
        <w:trPr>
          <w:jc w:val="center"/>
        </w:trPr>
        <w:tc>
          <w:tcPr>
            <w:tcW w:w="2177" w:type="dxa"/>
            <w:vAlign w:val="center"/>
          </w:tcPr>
          <w:p>
            <w:pPr>
              <w:pStyle w:val="7510"/>
              <w:widowControl/>
              <w:spacing w:line="400" w:lineRule="exact"/>
              <w:jc w:val="center"/>
              <w:textAlignment w:val="center"/>
              <w:rPr>
                <w:rFonts w:ascii="Times New Roman" w:eastAsia="方正仿宋_GBK" w:hAnsi="Times New Roman"/>
                <w:color w:val="000000"/>
                <w:kern w:val="0"/>
                <w:sz w:val="28"/>
                <w:szCs w:val="28"/>
              </w:rPr>
            </w:pPr>
          </w:p>
        </w:tc>
        <w:tc>
          <w:tcPr>
            <w:tcW w:w="2749" w:type="dxa"/>
            <w:vAlign w:val="center"/>
          </w:tcPr>
          <w:p>
            <w:pPr>
              <w:pStyle w:val="7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vAlign w:val="center"/>
          </w:tcPr>
          <w:p>
            <w:pPr>
              <w:pStyle w:val="7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w:t>
            </w:r>
          </w:p>
        </w:tc>
        <w:tc>
          <w:tcPr>
            <w:tcW w:w="1769" w:type="dxa"/>
            <w:vAlign w:val="center"/>
          </w:tcPr>
          <w:p>
            <w:pPr>
              <w:pStyle w:val="7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46</w:t>
            </w:r>
          </w:p>
        </w:tc>
      </w:tr>
    </w:tbl>
    <w:p>
      <w:pPr>
        <w:pStyle w:val="8710"/>
        <w:widowControl/>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九、主要技术参数及配置条目数量统计</w:t>
      </w:r>
    </w:p>
    <w:tbl>
      <w:tblPr>
        <w:tblStyle w:val="TableNormal"/>
        <w:tblW w:w="857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620"/>
        <w:gridCol w:w="2880"/>
        <w:gridCol w:w="4072"/>
      </w:tblGrid>
      <w:tr>
        <w:tblPrEx>
          <w:tblW w:w="857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620"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黑体_GBK" w:hAnsi="Times New Roman" w:hint="default"/>
                <w:b/>
                <w:sz w:val="28"/>
                <w:szCs w:val="28"/>
              </w:rPr>
              <w:t>包号</w:t>
            </w:r>
          </w:p>
        </w:tc>
        <w:tc>
          <w:tcPr>
            <w:tcW w:w="2880"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黑体_GBK" w:hAnsi="Times New Roman" w:hint="default"/>
                <w:b/>
                <w:sz w:val="28"/>
                <w:szCs w:val="28"/>
              </w:rPr>
              <w:t>指标类型</w:t>
            </w:r>
          </w:p>
        </w:tc>
        <w:tc>
          <w:tcPr>
            <w:tcW w:w="4072"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黑体_GBK" w:hAnsi="Times New Roman" w:hint="default"/>
                <w:b/>
                <w:sz w:val="28"/>
                <w:szCs w:val="28"/>
              </w:rPr>
              <w:t>条目数量（个）</w:t>
            </w:r>
          </w:p>
        </w:tc>
      </w:tr>
      <w:tr>
        <w:tblPrEx>
          <w:tblW w:w="8572" w:type="dxa"/>
          <w:tblInd w:w="-93" w:type="dxa"/>
          <w:tblCellMar>
            <w:top w:w="0" w:type="dxa"/>
            <w:left w:w="108" w:type="dxa"/>
            <w:bottom w:w="0" w:type="dxa"/>
            <w:right w:w="108" w:type="dxa"/>
          </w:tblCellMar>
          <w:tblLook w:val="0000"/>
        </w:tblPrEx>
        <w:trPr>
          <w:trHeight w:val="389"/>
        </w:trPr>
        <w:tc>
          <w:tcPr>
            <w:tcW w:w="1620" w:type="dxa"/>
            <w:vMerge w:val="restart"/>
            <w:vAlign w:val="center"/>
          </w:tcPr>
          <w:p>
            <w:pPr>
              <w:pStyle w:val="7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01包</w:t>
            </w:r>
          </w:p>
        </w:tc>
        <w:tc>
          <w:tcPr>
            <w:tcW w:w="2880"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仿宋_GBK" w:hAnsi="Times New Roman" w:cs="Times New Roman" w:hint="default"/>
                <w:b/>
                <w:bCs/>
                <w:sz w:val="28"/>
                <w:szCs w:val="28"/>
                <w:lang w:bidi="ar-SA"/>
              </w:rPr>
              <w:t>★</w:t>
            </w:r>
            <w:r>
              <w:rPr>
                <w:rFonts w:ascii="Times New Roman" w:eastAsia="方正仿宋_GBK" w:hAnsi="Times New Roman" w:cs="Times New Roman" w:hint="default"/>
                <w:b/>
                <w:bCs/>
                <w:sz w:val="28"/>
                <w:szCs w:val="28"/>
                <w:lang w:bidi="ar-SA"/>
              </w:rPr>
              <w:t>指标</w:t>
            </w:r>
          </w:p>
        </w:tc>
        <w:tc>
          <w:tcPr>
            <w:tcW w:w="4072"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黑体_GBK" w:hAnsi="Times New Roman" w:hint="eastAsia"/>
                <w:b/>
                <w:sz w:val="28"/>
                <w:szCs w:val="28"/>
              </w:rPr>
              <w:t>1</w:t>
            </w:r>
          </w:p>
        </w:tc>
      </w:tr>
      <w:tr>
        <w:tblPrEx>
          <w:tblW w:w="8572" w:type="dxa"/>
          <w:tblInd w:w="-93" w:type="dxa"/>
          <w:tblCellMar>
            <w:top w:w="0" w:type="dxa"/>
            <w:left w:w="108" w:type="dxa"/>
            <w:bottom w:w="0" w:type="dxa"/>
            <w:right w:w="108" w:type="dxa"/>
          </w:tblCellMar>
          <w:tblLook w:val="0000"/>
        </w:tblPrEx>
        <w:trPr>
          <w:trHeight w:val="389"/>
        </w:trPr>
        <w:tc>
          <w:tcPr>
            <w:tcW w:w="1620" w:type="dxa"/>
            <w:vMerge/>
            <w:vAlign w:val="center"/>
          </w:tcPr>
          <w:p/>
        </w:tc>
        <w:tc>
          <w:tcPr>
            <w:tcW w:w="2880"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仿宋_GBK" w:hAnsi="Times New Roman" w:hint="default"/>
                <w:sz w:val="28"/>
                <w:szCs w:val="28"/>
              </w:rPr>
              <w:t>▲</w:t>
            </w:r>
            <w:r>
              <w:rPr>
                <w:rFonts w:ascii="Times New Roman" w:eastAsia="方正仿宋_GBK" w:hAnsi="Times New Roman" w:hint="default"/>
                <w:sz w:val="28"/>
                <w:szCs w:val="28"/>
              </w:rPr>
              <w:t>指标</w:t>
            </w:r>
          </w:p>
        </w:tc>
        <w:tc>
          <w:tcPr>
            <w:tcW w:w="4072"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黑体_GBK" w:hAnsi="Times New Roman" w:hint="default"/>
                <w:b/>
                <w:sz w:val="28"/>
                <w:szCs w:val="28"/>
              </w:rPr>
              <w:t>8</w:t>
            </w:r>
          </w:p>
        </w:tc>
      </w:tr>
      <w:tr>
        <w:tblPrEx>
          <w:tblW w:w="8572" w:type="dxa"/>
          <w:tblInd w:w="-93" w:type="dxa"/>
          <w:tblCellMar>
            <w:top w:w="0" w:type="dxa"/>
            <w:left w:w="108" w:type="dxa"/>
            <w:bottom w:w="0" w:type="dxa"/>
            <w:right w:w="108" w:type="dxa"/>
          </w:tblCellMar>
          <w:tblLook w:val="0000"/>
        </w:tblPrEx>
        <w:trPr>
          <w:trHeight w:val="389"/>
        </w:trPr>
        <w:tc>
          <w:tcPr>
            <w:tcW w:w="1620" w:type="dxa"/>
            <w:vMerge/>
            <w:vAlign w:val="center"/>
          </w:tcPr>
          <w:p/>
        </w:tc>
        <w:tc>
          <w:tcPr>
            <w:tcW w:w="2880"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仿宋_GBK" w:hAnsi="Times New Roman" w:hint="default"/>
                <w:sz w:val="28"/>
                <w:szCs w:val="28"/>
              </w:rPr>
              <w:t>一般指标</w:t>
            </w:r>
          </w:p>
        </w:tc>
        <w:tc>
          <w:tcPr>
            <w:tcW w:w="4072" w:type="dxa"/>
            <w:vAlign w:val="center"/>
          </w:tcPr>
          <w:p>
            <w:pPr>
              <w:pStyle w:val="8710"/>
              <w:widowControl/>
              <w:spacing w:line="400" w:lineRule="exact"/>
              <w:jc w:val="center"/>
              <w:rPr>
                <w:rFonts w:ascii="Times New Roman" w:eastAsia="方正黑体_GBK" w:hAnsi="Times New Roman" w:hint="default"/>
                <w:b/>
                <w:sz w:val="28"/>
                <w:szCs w:val="28"/>
              </w:rPr>
            </w:pPr>
            <w:r>
              <w:rPr>
                <w:rFonts w:ascii="Times New Roman" w:eastAsia="方正黑体_GBK" w:hAnsi="Times New Roman" w:hint="eastAsia"/>
                <w:b/>
                <w:sz w:val="28"/>
                <w:szCs w:val="28"/>
              </w:rPr>
              <w:t>8</w:t>
            </w:r>
          </w:p>
        </w:tc>
      </w:tr>
    </w:tbl>
    <w:p>
      <w:pPr>
        <w:pStyle w:val="9510"/>
        <w:widowControl/>
        <w:spacing w:line="400" w:lineRule="exact"/>
        <w:jc w:val="left"/>
        <w:rPr>
          <w:rFonts w:ascii="Times New Roman" w:eastAsia="方正黑体_GBK" w:hAnsi="Times New Roman" w:hint="default"/>
          <w:b/>
          <w:sz w:val="28"/>
          <w:szCs w:val="28"/>
        </w:rPr>
      </w:pPr>
    </w:p>
    <w:p>
      <w:pPr>
        <w:pStyle w:val="9510"/>
        <w:widowControl/>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十、付款办法</w:t>
      </w:r>
    </w:p>
    <w:p>
      <w:pPr>
        <w:pStyle w:val="9510"/>
        <w:widowControl/>
        <w:spacing w:line="400" w:lineRule="exact"/>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1.设备经甲方（用户）验收通过后，乙方向甲方提交下列单据之日起10个工作日内，甲方向乙方支付合同总价100%合同款（金额）。</w:t>
      </w:r>
    </w:p>
    <w:p>
      <w:pPr>
        <w:pStyle w:val="9510"/>
        <w:widowControl/>
        <w:spacing w:line="400" w:lineRule="exact"/>
        <w:jc w:val="left"/>
        <w:rPr>
          <w:rFonts w:ascii="Times New Roman" w:eastAsia="方正仿宋_GBK" w:hAnsi="Times New Roman" w:hint="default"/>
          <w:bCs/>
          <w:sz w:val="28"/>
          <w:szCs w:val="28"/>
        </w:rPr>
      </w:pPr>
    </w:p>
    <w:p>
      <w:pPr>
        <w:pStyle w:val="9510"/>
        <w:widowControl/>
        <w:spacing w:line="400" w:lineRule="exact"/>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乙方提交单据：合同（正文部分复印件）、中标通知书（或成交通知书）、发票（原件）、安装调试验收合格报告（须装订成册）（复印件）。</w:t>
      </w:r>
    </w:p>
    <w:p>
      <w:pPr>
        <w:pStyle w:val="9510"/>
        <w:widowControl/>
        <w:spacing w:line="400" w:lineRule="exact"/>
        <w:jc w:val="left"/>
        <w:rPr>
          <w:rFonts w:ascii="Times New Roman" w:eastAsia="方正仿宋_GBK" w:hAnsi="Times New Roman" w:hint="default"/>
          <w:bCs/>
          <w:sz w:val="28"/>
          <w:szCs w:val="28"/>
        </w:rPr>
      </w:pPr>
    </w:p>
    <w:p>
      <w:pPr>
        <w:pStyle w:val="9510"/>
        <w:widowControl/>
        <w:spacing w:line="400" w:lineRule="exact"/>
        <w:jc w:val="left"/>
        <w:rPr>
          <w:rFonts w:ascii="Times New Roman" w:eastAsia="方正仿宋_GBK" w:hAnsi="Times New Roman" w:hint="default"/>
          <w:bCs/>
          <w:sz w:val="28"/>
          <w:szCs w:val="28"/>
        </w:rPr>
      </w:pPr>
      <w:r>
        <w:rPr>
          <w:rFonts w:ascii="Times New Roman" w:eastAsia="方正仿宋_GBK" w:hAnsi="Times New Roman" w:cs="Times New Roman" w:hint="default"/>
          <w:bCs/>
          <w:sz w:val="28"/>
          <w:szCs w:val="28"/>
          <w:lang w:bidi="ar-SA"/>
        </w:rPr>
        <w:t>2.因财政集中支付延误时间不计算在内，乙方提交付款单据延迟、缺失及账户信息错误的，甲方有权相应顺延付款期限，且甲方不承担延误付款责任。</w:t>
      </w:r>
    </w:p>
    <w:p>
      <w:pPr>
        <w:pStyle w:val="9510"/>
        <w:widowControl/>
        <w:spacing w:line="400" w:lineRule="exact"/>
        <w:jc w:val="left"/>
        <w:rPr>
          <w:rFonts w:ascii="Times New Roman" w:eastAsia="方正黑体_GBK" w:hAnsi="Times New Roman" w:hint="default"/>
          <w:b/>
          <w:sz w:val="28"/>
          <w:szCs w:val="28"/>
        </w:rPr>
      </w:pPr>
    </w:p>
    <w:p>
      <w:pPr>
        <w:pStyle w:val="9510"/>
        <w:widowControl/>
        <w:spacing w:line="400" w:lineRule="exact"/>
        <w:jc w:val="left"/>
        <w:rPr>
          <w:rFonts w:ascii="Times New Roman" w:eastAsia="方正黑体_GBK" w:hAnsi="Times New Roman" w:hint="default"/>
          <w:b/>
          <w:sz w:val="28"/>
          <w:szCs w:val="28"/>
        </w:rPr>
      </w:pPr>
      <w:r>
        <w:rPr>
          <w:rFonts w:ascii="Times New Roman" w:eastAsia="方正黑体_GBK" w:hAnsi="Times New Roman" w:hint="default"/>
          <w:b/>
          <w:sz w:val="28"/>
          <w:szCs w:val="28"/>
        </w:rPr>
        <w:t>十一、其他</w:t>
      </w:r>
    </w:p>
    <w:p>
      <w:pPr>
        <w:pStyle w:val="122100"/>
        <w:spacing w:line="400" w:lineRule="exact"/>
        <w:outlineLvl w:val="0"/>
        <w:rPr>
          <w:rFonts w:ascii="Times New Roman" w:eastAsia="方正仿宋_GBK" w:hAnsi="Times New Roman" w:cs="Times New Roman" w:hint="default"/>
          <w:bCs/>
          <w:sz w:val="28"/>
          <w:szCs w:val="28"/>
        </w:rPr>
      </w:pPr>
      <w:r>
        <w:rPr>
          <w:rFonts w:ascii="Times New Roman" w:eastAsia="方正仿宋_GBK" w:hAnsi="Times New Roman" w:cs="Times New Roman" w:hint="default"/>
          <w:bCs/>
          <w:sz w:val="28"/>
          <w:szCs w:val="28"/>
          <w:lang w:bidi="ar-SA"/>
        </w:rPr>
        <w:t>1.交付地点：南京市建邺区创智路39号。</w:t>
      </w:r>
    </w:p>
    <w:p>
      <w:pPr>
        <w:pStyle w:val="12310"/>
        <w:spacing w:line="400" w:lineRule="exact"/>
        <w:outlineLvl w:val="0"/>
        <w:rPr>
          <w:rFonts w:ascii="Times New Roman" w:eastAsia="方正仿宋_GBK" w:hAnsi="Times New Roman" w:cs="Times New Roman" w:hint="default"/>
          <w:bCs/>
          <w:sz w:val="28"/>
          <w:szCs w:val="28"/>
        </w:rPr>
      </w:pPr>
      <w:r>
        <w:rPr>
          <w:rFonts w:ascii="Times New Roman" w:eastAsia="方正仿宋_GBK" w:hAnsi="Times New Roman" w:cs="Times New Roman" w:hint="default"/>
          <w:bCs/>
          <w:sz w:val="28"/>
          <w:szCs w:val="28"/>
          <w:lang w:bidi="ar-SA"/>
        </w:rPr>
        <w:t>2.验收时间：设备到货后7个自然日内。</w:t>
      </w:r>
    </w:p>
    <w:p>
      <w:pPr>
        <w:pStyle w:val="12310"/>
        <w:spacing w:line="400" w:lineRule="exact"/>
        <w:outlineLvl w:val="0"/>
        <w:rPr>
          <w:rFonts w:ascii="Times New Roman" w:eastAsia="方正仿宋_GBK" w:hAnsi="Times New Roman" w:cs="Times New Roman" w:hint="default"/>
          <w:bCs/>
          <w:sz w:val="28"/>
          <w:szCs w:val="28"/>
        </w:rPr>
      </w:pPr>
      <w:r>
        <w:rPr>
          <w:rFonts w:ascii="Times New Roman" w:eastAsia="方正仿宋_GBK" w:hAnsi="Times New Roman" w:cs="Times New Roman" w:hint="default"/>
          <w:bCs/>
          <w:sz w:val="28"/>
          <w:szCs w:val="28"/>
          <w:lang w:bidi="ar-SA"/>
        </w:rPr>
        <w:t>3.验收标准：按照合同标准，对设备的品牌、数量、外观完整度进行验收，全部符合要求，视为验收通过。</w:t>
      </w:r>
    </w:p>
    <w:p>
      <w:pPr>
        <w:pStyle w:val="12310"/>
        <w:spacing w:line="400" w:lineRule="exact"/>
        <w:outlineLvl w:val="0"/>
        <w:rPr>
          <w:rFonts w:ascii="Times New Roman" w:eastAsia="方正仿宋_GBK" w:hAnsi="Times New Roman" w:cs="Times New Roman" w:hint="default"/>
          <w:bCs/>
          <w:spacing w:val="-2"/>
          <w:sz w:val="28"/>
          <w:szCs w:val="28"/>
        </w:rPr>
      </w:pPr>
      <w:r>
        <w:rPr>
          <w:rFonts w:ascii="Times New Roman" w:eastAsia="方正仿宋_GBK" w:hAnsi="Times New Roman" w:cs="Times New Roman" w:hint="default"/>
          <w:bCs/>
          <w:sz w:val="28"/>
          <w:szCs w:val="28"/>
          <w:lang w:bidi="ar-SA"/>
        </w:rPr>
        <w:t>4.安装与调试要求：设备通过到货验收后，乙方提交售后服务承诺函，承诺向甲方免费提供现场安装、调试、实施等服务；安装与调试时间：乙方根据甲方需求在规定的时间进行安装调试，正式通知后5个自然日内完成安装调试。</w:t>
      </w:r>
    </w:p>
    <w:p>
      <w:pPr>
        <w:pStyle w:val="9510"/>
        <w:widowControl/>
        <w:spacing w:line="400" w:lineRule="exact"/>
        <w:jc w:val="left"/>
        <w:rPr>
          <w:rFonts w:ascii="Times New Roman" w:eastAsia="方正仿宋_GBK" w:hAnsi="Times New Roman" w:hint="default"/>
          <w:bCs/>
          <w:spacing w:val="-2"/>
          <w:sz w:val="28"/>
          <w:szCs w:val="28"/>
        </w:rPr>
      </w:pPr>
      <w:r>
        <w:rPr>
          <w:rFonts w:ascii="Times New Roman" w:eastAsia="方正仿宋_GBK" w:hAnsi="Times New Roman" w:hint="default"/>
          <w:bCs/>
          <w:spacing w:val="-2"/>
          <w:sz w:val="28"/>
          <w:szCs w:val="28"/>
        </w:rPr>
        <w:t>5.除不可抗力及甲方原因外，乙方延期交货或未按时完成安装调试（包括因验收不合格导致的上述情形），乙方每延期1天扣除乙方0.1%的违约金。</w:t>
      </w:r>
    </w:p>
    <w:p>
      <w:pPr>
        <w:pStyle w:val="8810"/>
        <w:spacing w:line="400" w:lineRule="exact"/>
        <w:rPr>
          <w:rFonts w:ascii="Times New Roman" w:eastAsia="方正仿宋_GBK" w:hAnsi="Times New Roman" w:cs="Times New Roman" w:hint="default"/>
          <w:sz w:val="28"/>
          <w:szCs w:val="28"/>
        </w:rPr>
      </w:pPr>
      <w:r>
        <w:rPr>
          <w:rFonts w:ascii="Times New Roman" w:eastAsia="方正仿宋_GBK" w:hAnsi="Times New Roman" w:cs="Times New Roman" w:hint="default"/>
          <w:bCs/>
          <w:spacing w:val="-2"/>
          <w:sz w:val="28"/>
          <w:szCs w:val="28"/>
          <w:lang w:bidi="ar-SA"/>
        </w:rPr>
        <w:t>6.有下列情形之一的，属于乙方严重违约，除扣除相应违约金外，甲方有权解除合同：除不可抗力及甲方原因外，乙方延期供货超过二十日（含二十日）；所供产品有不满足分配表《02包域名解析设备分配表》中</w:t>
      </w:r>
      <w:r>
        <w:rPr>
          <w:rFonts w:ascii="Times New Roman" w:eastAsia="方正仿宋_GBK" w:hAnsi="Times New Roman" w:cs="Times New Roman" w:hint="default"/>
          <w:bCs/>
          <w:spacing w:val="-2"/>
          <w:sz w:val="28"/>
          <w:szCs w:val="28"/>
          <w:lang w:bidi="ar-SA"/>
        </w:rPr>
        <w:t>“</w:t>
      </w:r>
      <w:r>
        <w:rPr>
          <w:rFonts w:ascii="Times New Roman" w:eastAsia="方正仿宋_GBK" w:hAnsi="Times New Roman" w:cs="Times New Roman" w:hint="default"/>
          <w:bCs/>
          <w:spacing w:val="-2"/>
          <w:sz w:val="28"/>
          <w:szCs w:val="28"/>
          <w:lang w:bidi="ar-SA"/>
        </w:rPr>
        <w:t>数量</w:t>
      </w:r>
      <w:r>
        <w:rPr>
          <w:rFonts w:ascii="Times New Roman" w:eastAsia="方正仿宋_GBK" w:hAnsi="Times New Roman" w:cs="Times New Roman" w:hint="default"/>
          <w:bCs/>
          <w:spacing w:val="-2"/>
          <w:sz w:val="28"/>
          <w:szCs w:val="28"/>
          <w:lang w:bidi="ar-SA"/>
        </w:rPr>
        <w:t>”</w:t>
      </w:r>
      <w:r>
        <w:rPr>
          <w:rFonts w:ascii="Times New Roman" w:eastAsia="方正仿宋_GBK" w:hAnsi="Times New Roman" w:cs="Times New Roman" w:hint="default"/>
          <w:bCs/>
          <w:spacing w:val="-2"/>
          <w:sz w:val="28"/>
          <w:szCs w:val="28"/>
          <w:lang w:bidi="ar-SA"/>
        </w:rPr>
        <w:t>的情形（只要有1条不满足即视为不满足需求）；需要额外采购板卡、模块、授权之后才能实现功能；乙方服务人员误操作或擅自行事等原因给甲方带来损失</w:t>
      </w:r>
      <w:r>
        <w:rPr>
          <w:rFonts w:ascii="Times New Roman" w:eastAsia="方正仿宋_GBK" w:hAnsi="Times New Roman" w:cs="Times New Roman" w:hint="default"/>
          <w:sz w:val="28"/>
          <w:szCs w:val="28"/>
          <w:lang w:bidi="ar-SA"/>
        </w:rPr>
        <w:t>。</w:t>
      </w:r>
    </w:p>
    <w:p>
      <w:pPr>
        <w:rPr>
          <w:rFonts w:eastAsia="宋体" w:hint="default"/>
          <w:color w:val="0000FF"/>
          <w:sz w:val="28"/>
          <w:szCs w:val="36"/>
          <w:highlight w:val="white"/>
          <w:lang w:val="en-US" w:eastAsia="zh-CN"/>
        </w:rPr>
      </w:pPr>
      <w:bookmarkEnd w:id="42"/>
    </w:p>
    <w:p>
      <w:pPr>
        <w:pStyle w:val="Heading1"/>
      </w:pPr>
      <w:r>
        <w:rPr>
          <w:highlight w:val="white"/>
        </w:rPr>
        <w:br w:type="page"/>
      </w:r>
      <w:bookmarkStart w:id="4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3"/>
    </w:p>
    <w:p w:rsidR="00A77B3E">
      <w:bookmarkStart w:id="44" w:name="插入_评审标准"/>
      <w:r>
        <w:t>包2</w:t>
      </w:r>
    </w:p>
    <w:p w:rsidR="00A77B3E">
      <w:r>
        <w:t>符合性审查指标</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436"/>
        <w:gridCol w:w="7093"/>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评审分类</w:t>
            </w:r>
          </w:p>
        </w:tc>
        <w:tc>
          <w:tcPr/>
          <w:p>
            <w:r>
              <w:t>评审标准</w:t>
            </w:r>
          </w:p>
        </w:tc>
      </w:tr>
      <w:tr>
        <w:tblPrEx>
          <w:tblW w:w="5000" w:type="pct"/>
          <w:tblCellMar>
            <w:left w:w="108" w:type="dxa"/>
            <w:right w:w="108" w:type="dxa"/>
          </w:tblCellMar>
        </w:tblPrEx>
        <w:tc>
          <w:tcPr>
            <w:vMerge w:val="restart"/>
          </w:tcPr>
          <w:p>
            <w:r>
              <w:t>符合性审查指标</w:t>
            </w:r>
          </w:p>
        </w:tc>
        <w:tc>
          <w:tcPr/>
          <w:p>
            <w:r>
              <w:t>投标函</w:t>
            </w:r>
          </w:p>
        </w:tc>
      </w:tr>
      <w:tr>
        <w:tblPrEx>
          <w:tblW w:w="5000" w:type="pct"/>
          <w:tblCellMar>
            <w:left w:w="108" w:type="dxa"/>
            <w:right w:w="108" w:type="dxa"/>
          </w:tblCellMar>
        </w:tblPrEx>
        <w:tc>
          <w:tcPr>
            <w:vMerge/>
          </w:tcPr>
          <w:p>
            <w:r>
              <w:t>符合性审查指标</w:t>
            </w:r>
          </w:p>
        </w:tc>
        <w:tc>
          <w:tcPr/>
          <w:p>
            <w:r>
              <w:t>开标一览表</w:t>
            </w:r>
          </w:p>
        </w:tc>
      </w:tr>
      <w:tr>
        <w:tblPrEx>
          <w:tblW w:w="5000" w:type="pct"/>
          <w:tblCellMar>
            <w:left w:w="108" w:type="dxa"/>
            <w:right w:w="108" w:type="dxa"/>
          </w:tblCellMar>
        </w:tblPrEx>
        <w:tc>
          <w:tcPr>
            <w:vMerge/>
          </w:tcPr>
          <w:p>
            <w:r>
              <w:t>符合性审查指标</w:t>
            </w:r>
          </w:p>
        </w:tc>
        <w:tc>
          <w:tcPr/>
          <w:p>
            <w:r>
              <w:t>投标分项报价表</w:t>
            </w:r>
          </w:p>
        </w:tc>
      </w:tr>
      <w:tr>
        <w:tblPrEx>
          <w:tblW w:w="5000" w:type="pct"/>
          <w:tblCellMar>
            <w:left w:w="108" w:type="dxa"/>
            <w:right w:w="108" w:type="dxa"/>
          </w:tblCellMar>
        </w:tblPrEx>
        <w:tc>
          <w:tcPr>
            <w:vMerge/>
          </w:tcPr>
          <w:p>
            <w:r>
              <w:t>符合性审查指标</w:t>
            </w:r>
          </w:p>
        </w:tc>
        <w:tc>
          <w:tcPr/>
          <w:p>
            <w:r>
              <w:t>法定代表人授权书（法定代表人作为投标人代表直接投标的，只提供相关身份证明即可）</w:t>
            </w:r>
          </w:p>
        </w:tc>
      </w:tr>
      <w:tr>
        <w:tblPrEx>
          <w:tblW w:w="5000" w:type="pct"/>
          <w:tblCellMar>
            <w:left w:w="108" w:type="dxa"/>
            <w:right w:w="108" w:type="dxa"/>
          </w:tblCellMar>
        </w:tblPrEx>
        <w:tc>
          <w:tcPr>
            <w:vMerge/>
          </w:tcPr>
          <w:p>
            <w:r>
              <w:t>符合性审查指标</w:t>
            </w:r>
          </w:p>
        </w:tc>
        <w:tc>
          <w:tcPr/>
          <w:p>
            <w:r>
              <w:t>法定代表人及投标人代表有效期内相关身份证明</w:t>
            </w:r>
          </w:p>
        </w:tc>
      </w:tr>
      <w:tr>
        <w:tblPrEx>
          <w:tblW w:w="5000" w:type="pct"/>
          <w:tblCellMar>
            <w:left w:w="108" w:type="dxa"/>
            <w:right w:w="108" w:type="dxa"/>
          </w:tblCellMar>
        </w:tblPrEx>
        <w:tc>
          <w:tcPr>
            <w:vMerge/>
          </w:tcPr>
          <w:p>
            <w:r>
              <w:t>符合性审查指标</w:t>
            </w:r>
          </w:p>
        </w:tc>
        <w:tc>
          <w:tcPr/>
          <w:p>
            <w:r>
              <w:t>商务条款偏离表</w:t>
            </w:r>
          </w:p>
        </w:tc>
      </w:tr>
      <w:tr>
        <w:tblPrEx>
          <w:tblW w:w="5000" w:type="pct"/>
          <w:tblCellMar>
            <w:left w:w="108" w:type="dxa"/>
            <w:right w:w="108" w:type="dxa"/>
          </w:tblCellMar>
        </w:tblPrEx>
        <w:tc>
          <w:tcPr>
            <w:vMerge/>
          </w:tcPr>
          <w:p>
            <w:r>
              <w:t>符合性审查指标</w:t>
            </w:r>
          </w:p>
        </w:tc>
        <w:tc>
          <w:tcPr/>
          <w:p>
            <w:r>
              <w:t>技术偏离表或服务偏离表</w:t>
            </w:r>
          </w:p>
        </w:tc>
      </w:tr>
      <w:tr>
        <w:tblPrEx>
          <w:tblW w:w="5000" w:type="pct"/>
          <w:tblCellMar>
            <w:left w:w="108" w:type="dxa"/>
            <w:right w:w="108" w:type="dxa"/>
          </w:tblCellMar>
        </w:tblPrEx>
        <w:tc>
          <w:tcPr>
            <w:vMerge/>
          </w:tcPr>
          <w:p>
            <w:r>
              <w:t>符合性审查指标</w:t>
            </w:r>
          </w:p>
        </w:tc>
        <w:tc>
          <w:tcPr/>
          <w:p>
            <w:r>
              <w:t>投标文件按照招标文件规定进行签署、盖章</w:t>
            </w:r>
          </w:p>
        </w:tc>
      </w:tr>
      <w:tr>
        <w:tblPrEx>
          <w:tblW w:w="5000" w:type="pct"/>
          <w:tblCellMar>
            <w:left w:w="108" w:type="dxa"/>
            <w:right w:w="108" w:type="dxa"/>
          </w:tblCellMar>
        </w:tblPrEx>
        <w:tc>
          <w:tcPr>
            <w:vMerge/>
          </w:tcPr>
          <w:p>
            <w:r>
              <w:t>符合性审查指标</w:t>
            </w:r>
          </w:p>
        </w:tc>
        <w:tc>
          <w:tcPr/>
          <w:p>
            <w:r>
              <w:t>实质性要求的技术指标（带“★”号项）</w:t>
            </w:r>
          </w:p>
        </w:tc>
      </w:tr>
      <w:tr>
        <w:tblPrEx>
          <w:tblW w:w="5000" w:type="pct"/>
          <w:tblCellMar>
            <w:left w:w="108" w:type="dxa"/>
            <w:right w:w="108" w:type="dxa"/>
          </w:tblCellMar>
        </w:tblPrEx>
        <w:tc>
          <w:tcPr>
            <w:vMerge/>
          </w:tcPr>
          <w:p>
            <w:r>
              <w:t>符合性审查指标</w:t>
            </w:r>
          </w:p>
        </w:tc>
        <w:tc>
          <w:tcPr/>
          <w:p>
            <w:r>
              <w:t>招标文件中标注的其他“★”号条款”或无效投标情形</w:t>
            </w:r>
          </w:p>
        </w:tc>
      </w:tr>
      <w:tr>
        <w:tblPrEx>
          <w:tblW w:w="5000" w:type="pct"/>
          <w:tblCellMar>
            <w:left w:w="108" w:type="dxa"/>
            <w:right w:w="108" w:type="dxa"/>
          </w:tblCellMar>
        </w:tblPrEx>
        <w:tc>
          <w:tcPr>
            <w:vMerge/>
          </w:tcPr>
          <w:p>
            <w:r>
              <w:t>符合性审查指标</w:t>
            </w:r>
          </w:p>
        </w:tc>
        <w:tc>
          <w:tcPr/>
          <w:p>
            <w:r>
              <w:t>法律、法规、招标文件规定的其他无效投标情形</w:t>
            </w:r>
          </w:p>
        </w:tc>
      </w:tr>
    </w:tbl>
    <w:p w:rsidR="00A77B3E">
      <w:r>
        <w:t>详细评审标准</w:t>
      </w:r>
    </w:p>
    <w:p w:rsidR="00A77B3E">
      <w:r>
        <w:t>评审办法:综合评分法</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48"/>
        <w:gridCol w:w="731"/>
        <w:gridCol w:w="7258"/>
        <w:gridCol w:w="292"/>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主客观项</w:t>
            </w:r>
          </w:p>
        </w:tc>
        <w:tc>
          <w:tcPr/>
          <w:p>
            <w:r>
              <w:t>评审因素</w:t>
            </w:r>
          </w:p>
        </w:tc>
        <w:tc>
          <w:tcPr/>
          <w:p>
            <w:r>
              <w:t>评分标准说明</w:t>
            </w:r>
          </w:p>
        </w:tc>
        <w:tc>
          <w:tcPr/>
          <w:p>
            <w:r>
              <w:t>分值范围</w:t>
            </w:r>
          </w:p>
        </w:tc>
      </w:tr>
      <w:tr>
        <w:tblPrEx>
          <w:tblW w:w="5000" w:type="pct"/>
          <w:tblCellMar>
            <w:left w:w="108" w:type="dxa"/>
            <w:right w:w="108" w:type="dxa"/>
          </w:tblCellMar>
        </w:tblPrEx>
        <w:tc>
          <w:tcPr>
            <w:vMerge w:val="restart"/>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w:t>
            </w:r>
            <w:r>
              <w:t>(0-30)</w:t>
            </w:r>
          </w:p>
        </w:tc>
      </w:tr>
      <w:tr>
        <w:tblPrEx>
          <w:tblW w:w="5000" w:type="pct"/>
          <w:tblCellMar>
            <w:left w:w="108" w:type="dxa"/>
            <w:right w:w="108" w:type="dxa"/>
          </w:tblCellMar>
        </w:tblPrEx>
        <w:tc>
          <w:tcPr>
            <w:vMerge w:val="restart"/>
          </w:tcPr>
          <w:p>
            <w:r>
              <w:t>商务部分</w:t>
            </w:r>
          </w:p>
        </w:tc>
        <w:tc>
          <w:tcPr/>
          <w:p>
            <w:r>
              <w:t>投标人综合实力</w:t>
            </w:r>
          </w:p>
        </w:tc>
        <w:tc>
          <w:tcPr/>
          <w:p>
            <w:r>
              <w:t xml:space="preserve">1.提供投标人的质量管理体系认证证书的得1分，否则得0分； </w:t>
              <w:cr/>
              <w:t xml:space="preserve">2.提供投标人的健康管理体系认证证书的得1分，否则得0分； </w:t>
              <w:cr/>
              <w:t>3.提供投标人的环境管理体系认证证书的得1分，否则得0分；</w:t>
            </w:r>
          </w:p>
        </w:tc>
        <w:tc>
          <w:tcPr/>
          <w:p>
            <w:r>
              <w:t>勾选打分</w:t>
            </w:r>
            <w:r>
              <w:t>(0;1;2;3)</w:t>
            </w:r>
          </w:p>
        </w:tc>
      </w:tr>
      <w:tr>
        <w:tblPrEx>
          <w:tblW w:w="5000" w:type="pct"/>
          <w:tblCellMar>
            <w:left w:w="108" w:type="dxa"/>
            <w:right w:w="108" w:type="dxa"/>
          </w:tblCellMar>
        </w:tblPrEx>
        <w:tc>
          <w:tcPr>
            <w:vMerge/>
          </w:tcPr>
          <w:p>
            <w:r>
              <w:t>商务部分</w:t>
            </w:r>
          </w:p>
        </w:tc>
        <w:tc>
          <w:tcPr/>
          <w:p>
            <w:r>
              <w:t>投标人业绩</w:t>
            </w:r>
          </w:p>
        </w:tc>
        <w:tc>
          <w:tcPr/>
          <w:p>
            <w:r>
              <w:t>投标人须提供与本项目同品牌同类型产品的销售业绩 ，提供一份有效合同得1分，最多得5分。  注1.上述销售业绩指与本项目投标货物同品牌类型产品的销售业绩。  注2.合同签订时间须为2019年5月1日起至本项目招标公告发布之日止。  注3.合同销售或服务方（乙方）必须为投标人自身且销售业绩合同中必须至少包含合同双方印章、签字、设备名称、型号、数量、所投同品牌同档次合同金额、签订时间、合同履行第一笔付款乙方开具的发票复印件等信息内容（以上内容缺少一项，案例不予承认）。  注4.提供销售业绩合同复印件须字迹清晰，辨识无误。  不符合上述要求或未按要求提供有效证明文件的业绩在评审时将不予以承认。</w:t>
            </w:r>
          </w:p>
        </w:tc>
        <w:tc>
          <w:tcPr/>
          <w:p>
            <w:r>
              <w:t>勾选打分</w:t>
            </w:r>
            <w:r>
              <w:t>(0;1;2;3;4;5)</w:t>
            </w:r>
          </w:p>
        </w:tc>
      </w:tr>
      <w:tr>
        <w:tblPrEx>
          <w:tblW w:w="5000" w:type="pct"/>
          <w:tblCellMar>
            <w:left w:w="108" w:type="dxa"/>
            <w:right w:w="108" w:type="dxa"/>
          </w:tblCellMar>
        </w:tblPrEx>
        <w:tc>
          <w:tcPr>
            <w:vMerge w:val="restart"/>
          </w:tcPr>
          <w:p>
            <w:r>
              <w:t>技术部分</w:t>
            </w:r>
          </w:p>
        </w:tc>
        <w:tc>
          <w:tcPr/>
          <w:p>
            <w:r>
              <w:t>一般技术指标及配置响应情况</w:t>
            </w:r>
          </w:p>
        </w:tc>
        <w:tc>
          <w:tcPr/>
          <w:p>
            <w:r>
              <w:t>投标人的一般主要技术参数及配置响应完全满足招标文件技术要求，应答无负偏离的得8分，每有1项不满足的扣1分。 注：项目需求书中有明确要求的按要求提供证明材料，如未按要求提供证明材料，评审委员会将对其技术响应不予认可。</w:t>
            </w:r>
          </w:p>
        </w:tc>
        <w:tc>
          <w:tcPr/>
          <w:p>
            <w:r>
              <w:t>区间打分</w:t>
            </w:r>
            <w:r>
              <w:t>(0-8)</w:t>
            </w:r>
          </w:p>
        </w:tc>
      </w:tr>
      <w:tr>
        <w:tblPrEx>
          <w:tblW w:w="5000" w:type="pct"/>
          <w:tblCellMar>
            <w:left w:w="108" w:type="dxa"/>
            <w:right w:w="108" w:type="dxa"/>
          </w:tblCellMar>
        </w:tblPrEx>
        <w:tc>
          <w:tcPr>
            <w:vMerge/>
          </w:tcPr>
          <w:p>
            <w:r>
              <w:t>技术部分</w:t>
            </w:r>
          </w:p>
        </w:tc>
        <w:tc>
          <w:tcPr/>
          <w:p>
            <w:r>
              <w:t>▲技术指标及配置响应情况和功能视频展示</w:t>
            </w:r>
          </w:p>
        </w:tc>
        <w:tc>
          <w:tcPr/>
          <w:p>
            <w:r>
              <w:t>投标人的▲号”主要技术参数及配置“响应完全满足招标文件技术要求，应答无负偏离的得24分，每有1项不满足的扣3分。 注：对于投标人响应的优于或满足投标文件中规定的▲号”主要技术参数及配置“的，必须提供相关证明材料，其中项目需求书中有明确要求的按要求提供证明材料；没有明确要求的，须提供加盖生产厂家印章和投标人印章的产品彩页或第三方检测报告作为证明材料。如未按要求提供证明材料，评审委员会将对其▲号技术响应不予认可。</w:t>
            </w:r>
          </w:p>
        </w:tc>
        <w:tc>
          <w:tcPr/>
          <w:p>
            <w:r>
              <w:t>区间打分</w:t>
            </w:r>
            <w:r>
              <w:t>(0-24)</w:t>
            </w:r>
          </w:p>
        </w:tc>
      </w:tr>
      <w:tr>
        <w:tblPrEx>
          <w:tblW w:w="5000" w:type="pct"/>
          <w:tblCellMar>
            <w:left w:w="108" w:type="dxa"/>
            <w:right w:w="108" w:type="dxa"/>
          </w:tblCellMar>
        </w:tblPrEx>
        <w:tc>
          <w:tcPr>
            <w:vMerge/>
          </w:tcPr>
          <w:p>
            <w:r>
              <w:t>技术部分</w:t>
            </w:r>
          </w:p>
        </w:tc>
        <w:tc>
          <w:tcPr/>
          <w:p>
            <w:r>
              <w:t>项目整体实施方案</w:t>
            </w:r>
          </w:p>
        </w:tc>
        <w:tc>
          <w:tcPr/>
          <w:p>
            <w:r>
              <w:t>实施方案包括但不限于：实施步骤，交货安排，设备调试，质量保证，应急预案等内容。 实施方案措施具体详细，完善，合理，思路清晰优于采购需求，得4分； 实施方案思路清晰，措施较详细，完善，合理，满足采购需求，得3分； 实施方案思路清晰，措施欠合理，基本满足采购需求，得1分； 未提供或完全不满足采购需求，得0分。</w:t>
            </w:r>
          </w:p>
        </w:tc>
        <w:tc>
          <w:tcPr/>
          <w:p>
            <w:r>
              <w:t>勾选打分</w:t>
            </w:r>
            <w:r>
              <w:t>(0;1;3;4)</w:t>
            </w:r>
          </w:p>
        </w:tc>
      </w:tr>
      <w:tr>
        <w:tblPrEx>
          <w:tblW w:w="5000" w:type="pct"/>
          <w:tblCellMar>
            <w:left w:w="108" w:type="dxa"/>
            <w:right w:w="108" w:type="dxa"/>
          </w:tblCellMar>
        </w:tblPrEx>
        <w:tc>
          <w:tcPr>
            <w:vMerge/>
          </w:tcPr>
          <w:p>
            <w:r>
              <w:t>技术部分</w:t>
            </w:r>
          </w:p>
        </w:tc>
        <w:tc>
          <w:tcPr/>
          <w:p>
            <w:r>
              <w:t>产品选型配置、安全性和稳定性</w:t>
            </w:r>
          </w:p>
        </w:tc>
        <w:tc>
          <w:tcPr/>
          <w:p>
            <w:r>
              <w:t>实施方案包括但不限于：实施步骤，交货安排，设备调试，质量保证，应急预案等内容。 实施方案措施具体详细，完善，合理，思路清晰优于采购需求，得4分； 实施方案思路清晰，措施较详细，完善，合理，满足采购需求，得3分； 实施方案思路清晰，措施欠合理，基本满足采购需求，得1分； 未提供或完全不满足采购需求，得0分。</w:t>
            </w:r>
          </w:p>
        </w:tc>
        <w:tc>
          <w:tcPr/>
          <w:p>
            <w:r>
              <w:t>勾选打分</w:t>
            </w:r>
            <w:r>
              <w:t>(0;1;3;4)</w:t>
            </w:r>
          </w:p>
        </w:tc>
      </w:tr>
      <w:tr>
        <w:tblPrEx>
          <w:tblW w:w="5000" w:type="pct"/>
          <w:tblCellMar>
            <w:left w:w="108" w:type="dxa"/>
            <w:right w:w="108" w:type="dxa"/>
          </w:tblCellMar>
        </w:tblPrEx>
        <w:tc>
          <w:tcPr>
            <w:vMerge w:val="restart"/>
          </w:tcPr>
          <w:p>
            <w:r>
              <w:t>服务部分</w:t>
            </w:r>
          </w:p>
        </w:tc>
        <w:tc>
          <w:tcPr/>
          <w:p>
            <w:r>
              <w:t>技术服务团队</w:t>
            </w:r>
          </w:p>
        </w:tc>
        <w:tc>
          <w:tcPr/>
          <w:p>
            <w:r>
              <w:t>1.投标人技术人员配备合理，书面承诺为本项目配备不少于3人的专业技术服务团队的得2分，否则得0分； 2.投标人书面承诺指定2名相对固定的制造商技术人员为采购人提供服务的得2分（须提供该技术人员近6个月内任意一次在制造商单位缴纳社保的凭证），否则得0分； 3.投标人书面承诺指定1名制造商客户服务经理的得 2 分（须提供该经理近6个月内任意一次在制造商单位缴纳社保的凭证），否则得0分；如果客户服务经理与制造商技术人员为同一人的，则不重复得分，即本条得0分。 4.提供项目实施管理团队配备情况，分工合理，人员配置完善，经验丰富的得2 分，否则得0 分。</w:t>
            </w:r>
          </w:p>
        </w:tc>
        <w:tc>
          <w:tcPr/>
          <w:p>
            <w:r>
              <w:t>区间打分</w:t>
            </w:r>
            <w:r>
              <w:t>(0-8)</w:t>
            </w:r>
          </w:p>
        </w:tc>
      </w:tr>
      <w:tr>
        <w:tblPrEx>
          <w:tblW w:w="5000" w:type="pct"/>
          <w:tblCellMar>
            <w:left w:w="108" w:type="dxa"/>
            <w:right w:w="108" w:type="dxa"/>
          </w:tblCellMar>
        </w:tblPrEx>
        <w:tc>
          <w:tcPr>
            <w:vMerge/>
          </w:tcPr>
          <w:p>
            <w:r>
              <w:t>服务部分</w:t>
            </w:r>
          </w:p>
        </w:tc>
        <w:tc>
          <w:tcPr/>
          <w:p>
            <w:r>
              <w:t>制造商售后服务支持</w:t>
            </w:r>
          </w:p>
        </w:tc>
        <w:tc>
          <w:tcPr/>
          <w:p>
            <w:r>
              <w:t>提供制造商针对本项目开具的制造商售后服务承诺函（加盖投标人及制造商公章），且提供所投产品的制造商在本项目实施地点所在地的售后服务机构列表。 完全满足上述要求的得2分，否则得0分。</w:t>
            </w:r>
          </w:p>
        </w:tc>
        <w:tc>
          <w:tcPr/>
          <w:p>
            <w:r>
              <w:t>勾选打分</w:t>
            </w:r>
            <w:r>
              <w:t>(0;2)</w:t>
            </w:r>
          </w:p>
        </w:tc>
      </w:tr>
      <w:tr>
        <w:tblPrEx>
          <w:tblW w:w="5000" w:type="pct"/>
          <w:tblCellMar>
            <w:left w:w="108" w:type="dxa"/>
            <w:right w:w="108" w:type="dxa"/>
          </w:tblCellMar>
        </w:tblPrEx>
        <w:tc>
          <w:tcPr>
            <w:vMerge/>
          </w:tcPr>
          <w:p>
            <w:r>
              <w:t>服务部分</w:t>
            </w:r>
          </w:p>
        </w:tc>
        <w:tc>
          <w:tcPr/>
          <w:p>
            <w:r>
              <w:t>售后服务方案及售后服务承诺函</w:t>
            </w:r>
          </w:p>
        </w:tc>
        <w:tc>
          <w:tcPr/>
          <w:p>
            <w:r>
              <w:t>根据售后服务体系、质保期及免费保修服务承诺、应用技术支持、以及质保期外服务方案及服务网点、人员、备品备件、易损配件及主要消耗品的备件情况等方面:  1.售后服务方案和承诺优于项目需求，方案中有详细的售后服务体系，响应时间，保修服务承诺等，为海关提供的售后服务方案中的技术支持及售后服务内容全面，可行性强，针对性强，得5分；  售后服务方案和承诺满足项目需求，方案中有详细的售后服务体系，响应时间，保修服务承诺等，为海关提供的售后服务方案中的技术支持及售后服务内容全面，得4分； 有方案但内容不全面，技术支持及售后服务内容有缺失，虽有一定的可行性但针对性不强的得2分；  未提供方案的得0分。 2.提供质保期外产品主要零、部、配件及易损件、消耗品价格清单，配件齐全、价格合理得3分；其余得2分；未提供得0分。</w:t>
            </w:r>
          </w:p>
        </w:tc>
        <w:tc>
          <w:tcPr/>
          <w:p>
            <w:r>
              <w:t>区间打分</w:t>
            </w:r>
            <w:r>
              <w:t>(0-8)</w:t>
            </w:r>
          </w:p>
        </w:tc>
      </w:tr>
      <w:tr>
        <w:tblPrEx>
          <w:tblW w:w="5000" w:type="pct"/>
          <w:tblCellMar>
            <w:left w:w="108" w:type="dxa"/>
            <w:right w:w="108" w:type="dxa"/>
          </w:tblCellMar>
        </w:tblPrEx>
        <w:tc>
          <w:tcPr>
            <w:vMerge/>
          </w:tcPr>
          <w:p>
            <w:r>
              <w:t>服务部分</w:t>
            </w:r>
          </w:p>
        </w:tc>
        <w:tc>
          <w:tcPr/>
          <w:p>
            <w:r>
              <w:t>技术培训方案及培训服务承诺函</w:t>
            </w:r>
          </w:p>
        </w:tc>
        <w:tc>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培训方案详实合理，内容全面，方式灵活，层次分明，能切实保障培训效率和效果得4分； 方案内容合理性、可操作性一般，培训方式比较单一得2分； 其余得1分； 此项缺失得0分。</w:t>
            </w:r>
          </w:p>
        </w:tc>
        <w:tc>
          <w:tcPr/>
          <w:p>
            <w:r>
              <w:t>勾选打分</w:t>
            </w:r>
            <w:r>
              <w:t>(0;1;2;4)</w:t>
            </w:r>
          </w:p>
        </w:tc>
      </w:tr>
    </w:tbl>
    <w:p>
      <w:pPr>
        <w:pStyle w:val="49100"/>
        <w:rPr>
          <w:rFonts w:ascii="Times New Roman" w:eastAsia="宋体" w:hAnsi="Times New Roman" w:hint="default"/>
          <w:color w:val="0000FF"/>
          <w:sz w:val="28"/>
          <w:szCs w:val="32"/>
          <w:lang w:val="en-US" w:eastAsia="zh-CN"/>
        </w:rPr>
      </w:pPr>
      <w:bookmarkEnd w:id="44"/>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vAlign w:val="top"/>
          <w:textDirection w:val="lrTb"/>
          <w:docGrid w:linePitch="312"/>
        </w:sectPr>
      </w:pPr>
    </w:p>
    <w:p>
      <w:pPr>
        <w:pStyle w:val="Heading1"/>
        <w:ind w:firstLine="3000" w:firstLineChars="1000"/>
        <w:jc w:val="both"/>
        <w:rPr>
          <w:highlight w:val="white"/>
        </w:rPr>
      </w:pPr>
      <w:bookmarkStart w:id="45"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5"/>
    </w:p>
    <w:p w:rsidR="009138E5">
      <w:pPr>
        <w:pStyle w:val="192910"/>
        <w:jc w:val="center"/>
        <w:rPr>
          <w:rFonts w:hint="eastAsia"/>
          <w:b/>
          <w:bCs/>
          <w:sz w:val="32"/>
          <w:szCs w:val="32"/>
        </w:rPr>
      </w:pPr>
      <w:r>
        <w:rPr>
          <w:rFonts w:eastAsia="方正小标宋_GBK"/>
          <w:color w:val="000000"/>
          <w:sz w:val="44"/>
        </w:rPr>
        <w:t xml:space="preserve">     </w:t>
      </w:r>
      <w:bookmarkStart w:id="46" w:name="插入_TBWJGS_CONTRACT"/>
      <w:bookmarkStart w:id="47" w:name="插入_TBWJGS_CONTRACT_0"/>
      <w:r>
        <w:rPr>
          <w:b/>
          <w:bCs/>
          <w:sz w:val="32"/>
          <w:szCs w:val="32"/>
        </w:rPr>
        <w:t>XXX</w:t>
      </w:r>
      <w:r>
        <w:rPr>
          <w:rFonts w:hint="eastAsia"/>
          <w:b/>
          <w:bCs/>
          <w:sz w:val="32"/>
          <w:szCs w:val="32"/>
        </w:rPr>
        <w:t>采购</w:t>
      </w:r>
      <w:r>
        <w:rPr>
          <w:b/>
          <w:bCs/>
          <w:sz w:val="32"/>
          <w:szCs w:val="32"/>
        </w:rPr>
        <w:t>合同</w:t>
      </w:r>
    </w:p>
    <w:p w:rsidR="009138E5">
      <w:pPr>
        <w:pStyle w:val="41910"/>
        <w:spacing w:line="360" w:lineRule="auto"/>
        <w:ind w:firstLine="480"/>
        <w:rPr>
          <w:sz w:val="24"/>
          <w:szCs w:val="24"/>
        </w:rPr>
      </w:pPr>
    </w:p>
    <w:p w:rsidR="009138E5">
      <w:pPr>
        <w:pStyle w:val="41910"/>
        <w:spacing w:line="360" w:lineRule="auto"/>
        <w:ind w:firstLine="480"/>
        <w:rPr>
          <w:sz w:val="24"/>
          <w:szCs w:val="24"/>
        </w:rPr>
      </w:pPr>
    </w:p>
    <w:p w:rsidR="009138E5">
      <w:pPr>
        <w:pStyle w:val="41910"/>
        <w:spacing w:line="360" w:lineRule="auto"/>
        <w:ind w:firstLine="480"/>
        <w:rPr>
          <w:rFonts w:hint="eastAsia"/>
          <w:sz w:val="24"/>
          <w:szCs w:val="24"/>
        </w:rPr>
      </w:pPr>
    </w:p>
    <w:p w:rsidR="009138E5">
      <w:pPr>
        <w:pStyle w:val="193010"/>
        <w:spacing w:line="360" w:lineRule="auto"/>
        <w:jc w:val="left"/>
        <w:rPr>
          <w:rFonts w:ascii="宋体" w:hint="eastAsia"/>
          <w:sz w:val="24"/>
        </w:rPr>
      </w:pPr>
      <w:r>
        <w:rPr>
          <w:rFonts w:ascii="宋体" w:hint="eastAsia"/>
          <w:sz w:val="24"/>
        </w:rPr>
        <w:t>甲方（买方）：</w:t>
      </w:r>
    </w:p>
    <w:p w:rsidR="009138E5">
      <w:pPr>
        <w:pStyle w:val="193010"/>
        <w:spacing w:line="360" w:lineRule="auto"/>
        <w:jc w:val="left"/>
        <w:rPr>
          <w:rFonts w:ascii="宋体" w:hint="eastAsia"/>
          <w:sz w:val="24"/>
        </w:rPr>
      </w:pPr>
      <w:r>
        <w:rPr>
          <w:rFonts w:ascii="宋体" w:hint="eastAsia"/>
          <w:sz w:val="24"/>
        </w:rPr>
        <w:t>地址</w:t>
      </w:r>
    </w:p>
    <w:p w:rsidR="009138E5">
      <w:pPr>
        <w:pStyle w:val="193010"/>
        <w:spacing w:line="360" w:lineRule="auto"/>
        <w:jc w:val="left"/>
        <w:rPr>
          <w:rFonts w:ascii="宋体" w:hint="eastAsia"/>
          <w:sz w:val="24"/>
        </w:rPr>
      </w:pPr>
      <w:r>
        <w:rPr>
          <w:rFonts w:ascii="宋体" w:hint="eastAsia"/>
          <w:sz w:val="24"/>
        </w:rPr>
        <w:t>法定代表人：</w:t>
      </w:r>
    </w:p>
    <w:p w:rsidR="009138E5">
      <w:pPr>
        <w:pStyle w:val="193010"/>
        <w:spacing w:line="400" w:lineRule="exact"/>
        <w:rPr>
          <w:rFonts w:ascii="宋体" w:hint="eastAsia"/>
          <w:sz w:val="24"/>
        </w:rPr>
      </w:pPr>
      <w:r>
        <w:rPr>
          <w:rFonts w:ascii="宋体" w:hint="eastAsia"/>
          <w:sz w:val="24"/>
        </w:rPr>
        <w:t>联系人：</w:t>
      </w:r>
    </w:p>
    <w:p w:rsidR="009138E5">
      <w:pPr>
        <w:pStyle w:val="193010"/>
        <w:spacing w:line="400" w:lineRule="exact"/>
        <w:rPr>
          <w:rFonts w:ascii="宋体" w:hint="eastAsia"/>
          <w:sz w:val="24"/>
        </w:rPr>
      </w:pPr>
      <w:r>
        <w:rPr>
          <w:rFonts w:ascii="宋体" w:hint="eastAsia"/>
          <w:sz w:val="24"/>
        </w:rPr>
        <w:t>电  话：</w:t>
      </w:r>
    </w:p>
    <w:p w:rsidR="009138E5">
      <w:pPr>
        <w:pStyle w:val="193010"/>
        <w:spacing w:line="360" w:lineRule="auto"/>
        <w:jc w:val="left"/>
        <w:rPr>
          <w:rFonts w:ascii="宋体" w:hint="eastAsia"/>
          <w:sz w:val="24"/>
        </w:rPr>
      </w:pPr>
    </w:p>
    <w:p w:rsidR="009138E5">
      <w:pPr>
        <w:pStyle w:val="19"/>
        <w:ind w:firstLine="0" w:firstLineChars="0"/>
        <w:jc w:val="left"/>
        <w:rPr>
          <w:rFonts w:ascii="宋体" w:hint="eastAsia"/>
        </w:rPr>
      </w:pPr>
      <w:r>
        <w:rPr>
          <w:rFonts w:ascii="宋体" w:hint="eastAsia"/>
        </w:rPr>
        <w:t xml:space="preserve">乙方（卖方）： </w:t>
      </w:r>
    </w:p>
    <w:p w:rsidR="009138E5">
      <w:pPr>
        <w:pStyle w:val="19"/>
        <w:ind w:firstLine="0" w:firstLineChars="0"/>
        <w:jc w:val="left"/>
        <w:rPr>
          <w:rFonts w:ascii="宋体" w:hint="eastAsia"/>
        </w:rPr>
      </w:pPr>
      <w:r>
        <w:rPr>
          <w:rFonts w:ascii="宋体" w:hint="eastAsia"/>
        </w:rPr>
        <w:t xml:space="preserve">地  址： </w:t>
      </w:r>
    </w:p>
    <w:p w:rsidR="009138E5">
      <w:pPr>
        <w:pStyle w:val="19"/>
        <w:ind w:firstLine="0" w:firstLineChars="0"/>
        <w:jc w:val="left"/>
        <w:rPr>
          <w:rFonts w:ascii="宋体" w:hint="eastAsia"/>
        </w:rPr>
      </w:pPr>
      <w:r>
        <w:rPr>
          <w:rFonts w:ascii="宋体" w:hint="eastAsia"/>
        </w:rPr>
        <w:t>法定代表人：</w:t>
      </w:r>
    </w:p>
    <w:p w:rsidR="009138E5">
      <w:pPr>
        <w:pStyle w:val="19"/>
        <w:ind w:firstLine="0" w:firstLineChars="0"/>
        <w:jc w:val="left"/>
        <w:rPr>
          <w:rFonts w:ascii="宋体" w:hint="eastAsia"/>
        </w:rPr>
      </w:pPr>
      <w:r>
        <w:rPr>
          <w:rFonts w:ascii="宋体" w:hint="eastAsia"/>
        </w:rPr>
        <w:t xml:space="preserve">联系人： </w:t>
      </w:r>
    </w:p>
    <w:p w:rsidR="009138E5">
      <w:pPr>
        <w:spacing w:line="360" w:lineRule="auto"/>
        <w:rPr>
          <w:rFonts w:ascii="宋体" w:hint="eastAsia"/>
          <w:color w:val="000000"/>
          <w:sz w:val="24"/>
        </w:rPr>
      </w:pPr>
      <w:r>
        <w:rPr>
          <w:rFonts w:ascii="宋体" w:hint="eastAsia"/>
          <w:sz w:val="24"/>
        </w:rPr>
        <w:t xml:space="preserve">电  话： </w:t>
      </w:r>
      <w:r>
        <w:rPr>
          <w:rFonts w:ascii="宋体" w:hint="eastAsia"/>
          <w:color w:val="000000"/>
          <w:sz w:val="24"/>
        </w:rPr>
        <w:br w:type="page"/>
        <w:t xml:space="preserve">    根据</w:t>
      </w:r>
      <w:r>
        <w:rPr>
          <w:rFonts w:ascii="宋体" w:hint="eastAsia"/>
          <w:snapToGrid w:val="0"/>
          <w:color w:val="000000"/>
          <w:kern w:val="0"/>
          <w:sz w:val="24"/>
        </w:rPr>
        <w:t>《中华人民共和国民法典》、</w:t>
      </w:r>
      <w:r>
        <w:rPr>
          <w:rFonts w:ascii="宋体" w:hint="eastAsia"/>
          <w:color w:val="000000"/>
          <w:sz w:val="24"/>
        </w:rPr>
        <w:t>《中华人民共和国政府采购法》等相关法律规定，甲方对</w:t>
      </w:r>
      <w:r>
        <w:rPr>
          <w:rFonts w:ascii="宋体" w:hint="eastAsia"/>
          <w:color w:val="000000"/>
          <w:sz w:val="24"/>
          <w:u w:val="single"/>
        </w:rPr>
        <w:t>XXX</w:t>
      </w:r>
      <w:r>
        <w:rPr>
          <w:rFonts w:ascii="宋体" w:hint="eastAsia"/>
          <w:color w:val="000000"/>
          <w:sz w:val="24"/>
        </w:rPr>
        <w:t>采购项目以</w:t>
      </w:r>
      <w:r>
        <w:rPr>
          <w:rFonts w:ascii="宋体" w:hint="eastAsia"/>
          <w:color w:val="000000"/>
          <w:sz w:val="24"/>
          <w:u w:val="single"/>
        </w:rPr>
        <w:t xml:space="preserve">     </w:t>
      </w:r>
      <w:r>
        <w:rPr>
          <w:rFonts w:ascii="宋体" w:hint="eastAsia"/>
          <w:color w:val="000000"/>
          <w:sz w:val="24"/>
        </w:rPr>
        <w:t xml:space="preserve">方式进行采购（采购项目编号： </w:t>
      </w:r>
      <w:r>
        <w:rPr>
          <w:rFonts w:ascii="宋体" w:hint="eastAsia"/>
          <w:color w:val="000000"/>
          <w:sz w:val="24"/>
          <w:u w:val="single"/>
        </w:rPr>
        <w:t xml:space="preserve">     </w:t>
      </w:r>
      <w:r>
        <w:rPr>
          <w:rFonts w:ascii="宋体" w:hint="eastAsia"/>
          <w:color w:val="000000"/>
          <w:sz w:val="24"/>
        </w:rPr>
        <w:t>），确定乙方为中标人（   ），现依照招标文件、投标文件等相关文件的内容，双方达成如下协议：</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第一条 采购货物清单</w:t>
      </w:r>
    </w:p>
    <w:p w:rsidR="009138E5">
      <w:pPr>
        <w:pStyle w:val="PlainText"/>
        <w:spacing w:line="360" w:lineRule="auto"/>
        <w:ind w:firstLine="480" w:firstLineChars="200"/>
        <w:rPr>
          <w:rFonts w:cs="Times New Roman" w:hint="eastAsia"/>
          <w:bCs/>
          <w:color w:val="000000"/>
          <w:kern w:val="0"/>
          <w:sz w:val="24"/>
          <w:szCs w:val="24"/>
        </w:rPr>
      </w:pPr>
      <w:r>
        <w:rPr>
          <w:rFonts w:cs="Times New Roman" w:hint="eastAsia"/>
          <w:bCs/>
          <w:color w:val="000000"/>
          <w:kern w:val="0"/>
          <w:sz w:val="24"/>
          <w:szCs w:val="24"/>
        </w:rPr>
        <w:t>货物清单</w:t>
      </w:r>
    </w:p>
    <w:tbl>
      <w:tblPr>
        <w:tblStyle w:val="TableNormal"/>
        <w:tblW w:w="9237" w:type="dxa"/>
        <w:tblInd w:w="-176"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Look w:val="0000"/>
      </w:tblPr>
      <w:tblGrid>
        <w:gridCol w:w="1844"/>
        <w:gridCol w:w="1275"/>
        <w:gridCol w:w="1735"/>
        <w:gridCol w:w="878"/>
        <w:gridCol w:w="878"/>
        <w:gridCol w:w="1290"/>
        <w:gridCol w:w="1337"/>
      </w:tblGrid>
      <w:tr>
        <w:tblPrEx>
          <w:tblW w:w="9237" w:type="dxa"/>
          <w:tblInd w:w="-176"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Look w:val="0000"/>
        </w:tblPrEx>
        <w:tc>
          <w:tcPr>
            <w:tcW w:w="1844" w:type="dxa"/>
            <w:tcBorders>
              <w:top w:val="single" w:sz="4" w:space="0" w:color="auto"/>
              <w:left w:val="single" w:sz="4" w:space="0" w:color="auto"/>
              <w:bottom w:val="single" w:sz="4" w:space="0" w:color="auto"/>
              <w:right w:val="single" w:sz="4" w:space="0" w:color="auto"/>
            </w:tcBorders>
            <w:vAlign w:val="center"/>
          </w:tcPr>
          <w:p w:rsidR="009138E5">
            <w:pPr>
              <w:pStyle w:val="26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货物名称</w:t>
            </w:r>
          </w:p>
        </w:tc>
        <w:tc>
          <w:tcPr>
            <w:tcW w:w="1275" w:type="dxa"/>
            <w:tcBorders>
              <w:top w:val="single" w:sz="4" w:space="0" w:color="auto"/>
              <w:left w:val="single" w:sz="4" w:space="0" w:color="auto"/>
              <w:bottom w:val="single" w:sz="4" w:space="0" w:color="auto"/>
              <w:right w:val="single" w:sz="4" w:space="0" w:color="auto"/>
            </w:tcBorders>
            <w:vAlign w:val="center"/>
          </w:tcPr>
          <w:p w:rsidR="009138E5">
            <w:pPr>
              <w:pStyle w:val="25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品牌</w:t>
            </w:r>
          </w:p>
        </w:tc>
        <w:tc>
          <w:tcPr>
            <w:tcW w:w="1735" w:type="dxa"/>
            <w:tcBorders>
              <w:top w:val="single" w:sz="4" w:space="0" w:color="auto"/>
              <w:left w:val="single" w:sz="4" w:space="0" w:color="auto"/>
              <w:bottom w:val="single" w:sz="4" w:space="0" w:color="auto"/>
              <w:right w:val="single" w:sz="4" w:space="0" w:color="auto"/>
            </w:tcBorders>
            <w:vAlign w:val="center"/>
          </w:tcPr>
          <w:p w:rsidR="009138E5">
            <w:pPr>
              <w:pStyle w:val="2410"/>
              <w:autoSpaceDN w:val="0"/>
              <w:adjustRightInd w:val="0"/>
              <w:snapToGrid w:val="0"/>
              <w:spacing w:line="360" w:lineRule="auto"/>
              <w:jc w:val="center"/>
              <w:rPr>
                <w:rFonts w:ascii="宋体" w:hint="eastAsia"/>
                <w:b/>
                <w:bCs/>
                <w:color w:val="000000"/>
                <w:sz w:val="24"/>
                <w:szCs w:val="24"/>
              </w:rPr>
            </w:pPr>
            <w:r>
              <w:rPr>
                <w:rFonts w:ascii="宋体" w:hint="eastAsia"/>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rsidR="009138E5">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rsidR="009138E5">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rsidR="009138E5">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单价（元）</w:t>
            </w:r>
          </w:p>
        </w:tc>
        <w:tc>
          <w:tcPr>
            <w:tcW w:w="1337" w:type="dxa"/>
            <w:tcBorders>
              <w:top w:val="single" w:sz="4" w:space="0" w:color="auto"/>
              <w:left w:val="single" w:sz="4" w:space="0" w:color="auto"/>
              <w:bottom w:val="single" w:sz="4" w:space="0" w:color="auto"/>
              <w:right w:val="single" w:sz="4" w:space="0" w:color="auto"/>
            </w:tcBorders>
            <w:vAlign w:val="center"/>
          </w:tcPr>
          <w:p w:rsidR="009138E5">
            <w:pPr>
              <w:pStyle w:val="21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合计（元）</w:t>
            </w: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widowControl/>
              <w:jc w:val="center"/>
              <w:rPr>
                <w:rFonts w:ascii="宋体" w:hint="eastAsia"/>
                <w:color w:val="000000"/>
                <w:kern w:val="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widowControl/>
              <w:jc w:val="center"/>
              <w:rPr>
                <w:rFonts w:ascii="宋体" w:hint="eastAsia"/>
                <w:color w:val="000000"/>
                <w:kern w:val="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widowControl/>
              <w:jc w:val="center"/>
              <w:rPr>
                <w:rFonts w:ascii="宋体" w:hint="eastAsia"/>
                <w:color w:val="000000"/>
                <w:kern w:val="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397"/>
        </w:trPr>
        <w:tc>
          <w:tcPr>
            <w:tcW w:w="1844"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290"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c>
          <w:tcPr>
            <w:tcW w:w="1337" w:type="dxa"/>
            <w:tcBorders>
              <w:top w:val="single" w:sz="4" w:space="0" w:color="auto"/>
              <w:left w:val="single" w:sz="4" w:space="0" w:color="auto"/>
              <w:bottom w:val="single" w:sz="4" w:space="0" w:color="auto"/>
              <w:right w:val="single" w:sz="4" w:space="0" w:color="auto"/>
            </w:tcBorders>
            <w:vAlign w:val="center"/>
          </w:tcPr>
          <w:p w:rsidR="009138E5">
            <w:pPr>
              <w:jc w:val="center"/>
              <w:rPr>
                <w:rFonts w:ascii="宋体" w:hint="eastAsia"/>
              </w:rPr>
            </w:pPr>
          </w:p>
        </w:tc>
      </w:tr>
      <w:tr>
        <w:tblPrEx>
          <w:tblW w:w="9237" w:type="dxa"/>
          <w:tblInd w:w="-176" w:type="dxa"/>
          <w:tblLayout w:type="fixed"/>
          <w:tblLook w:val="0000"/>
        </w:tblPrEx>
        <w:trPr>
          <w:trHeight w:val="480"/>
        </w:trPr>
        <w:tc>
          <w:tcPr>
            <w:tcW w:w="7900" w:type="dxa"/>
            <w:gridSpan w:val="6"/>
            <w:tcBorders>
              <w:top w:val="single" w:sz="4" w:space="0" w:color="auto"/>
              <w:left w:val="single" w:sz="4" w:space="0" w:color="auto"/>
              <w:bottom w:val="single" w:sz="4" w:space="0" w:color="auto"/>
              <w:right w:val="single" w:sz="4" w:space="0" w:color="auto"/>
            </w:tcBorders>
            <w:vAlign w:val="center"/>
          </w:tcPr>
          <w:p w:rsidR="009138E5">
            <w:pPr>
              <w:pStyle w:val="8100"/>
              <w:autoSpaceDN w:val="0"/>
              <w:adjustRightInd w:val="0"/>
              <w:snapToGrid w:val="0"/>
              <w:spacing w:line="360" w:lineRule="auto"/>
              <w:rPr>
                <w:b/>
                <w:bCs/>
                <w:color w:val="000000"/>
                <w:sz w:val="24"/>
                <w:szCs w:val="24"/>
              </w:rPr>
            </w:pPr>
            <w:r>
              <w:rPr>
                <w:b/>
                <w:bCs/>
                <w:color w:val="000000"/>
                <w:sz w:val="24"/>
                <w:szCs w:val="24"/>
              </w:rPr>
              <w:t>设备总价</w:t>
            </w:r>
          </w:p>
        </w:tc>
        <w:tc>
          <w:tcPr>
            <w:tcW w:w="1337" w:type="dxa"/>
            <w:tcBorders>
              <w:top w:val="single" w:sz="4" w:space="0" w:color="auto"/>
              <w:left w:val="single" w:sz="4" w:space="0" w:color="auto"/>
              <w:bottom w:val="single" w:sz="4" w:space="0" w:color="auto"/>
              <w:right w:val="single" w:sz="4" w:space="0" w:color="auto"/>
            </w:tcBorders>
            <w:vAlign w:val="center"/>
          </w:tcPr>
          <w:p w:rsidR="009138E5">
            <w:pPr>
              <w:widowControl/>
              <w:jc w:val="center"/>
              <w:rPr>
                <w:rFonts w:ascii="宋体" w:hint="eastAsia"/>
                <w:color w:val="000000"/>
                <w:kern w:val="0"/>
                <w:szCs w:val="21"/>
              </w:rPr>
            </w:pPr>
          </w:p>
        </w:tc>
      </w:tr>
      <w:tr>
        <w:tblPrEx>
          <w:tblW w:w="9237" w:type="dxa"/>
          <w:tblInd w:w="-176" w:type="dxa"/>
          <w:tblLayout w:type="fixed"/>
          <w:tblLook w:val="0000"/>
        </w:tblPrEx>
        <w:trPr>
          <w:trHeight w:val="480"/>
        </w:trPr>
        <w:tc>
          <w:tcPr>
            <w:tcW w:w="7900" w:type="dxa"/>
            <w:gridSpan w:val="6"/>
            <w:tcBorders>
              <w:top w:val="single" w:sz="4" w:space="0" w:color="auto"/>
              <w:left w:val="single" w:sz="4" w:space="0" w:color="auto"/>
              <w:bottom w:val="single" w:sz="4" w:space="0" w:color="auto"/>
              <w:right w:val="single" w:sz="4" w:space="0" w:color="auto"/>
            </w:tcBorders>
            <w:vAlign w:val="center"/>
          </w:tcPr>
          <w:p w:rsidR="009138E5">
            <w:pPr>
              <w:pStyle w:val="8100"/>
              <w:autoSpaceDN w:val="0"/>
              <w:adjustRightInd w:val="0"/>
              <w:snapToGrid w:val="0"/>
              <w:spacing w:line="360" w:lineRule="auto"/>
              <w:rPr>
                <w:b/>
                <w:bCs/>
                <w:color w:val="000000"/>
                <w:sz w:val="24"/>
                <w:szCs w:val="24"/>
              </w:rPr>
            </w:pPr>
            <w:r>
              <w:rPr>
                <w:b/>
                <w:bCs/>
                <w:color w:val="000000"/>
                <w:sz w:val="24"/>
                <w:szCs w:val="24"/>
              </w:rPr>
              <w:t>运保费</w:t>
            </w:r>
          </w:p>
        </w:tc>
        <w:tc>
          <w:tcPr>
            <w:tcW w:w="1337" w:type="dxa"/>
            <w:tcBorders>
              <w:top w:val="single" w:sz="4" w:space="0" w:color="auto"/>
              <w:left w:val="single" w:sz="4" w:space="0" w:color="auto"/>
              <w:bottom w:val="single" w:sz="4" w:space="0" w:color="auto"/>
              <w:right w:val="single" w:sz="4" w:space="0" w:color="auto"/>
            </w:tcBorders>
            <w:vAlign w:val="center"/>
          </w:tcPr>
          <w:p w:rsidR="009138E5">
            <w:pPr>
              <w:pStyle w:val="7100"/>
              <w:autoSpaceDN w:val="0"/>
              <w:adjustRightInd w:val="0"/>
              <w:snapToGrid w:val="0"/>
              <w:spacing w:line="360" w:lineRule="auto"/>
              <w:jc w:val="center"/>
              <w:rPr>
                <w:bCs/>
                <w:color w:val="000000"/>
                <w:sz w:val="24"/>
                <w:szCs w:val="24"/>
              </w:rPr>
            </w:pPr>
          </w:p>
        </w:tc>
      </w:tr>
      <w:tr>
        <w:tblPrEx>
          <w:tblW w:w="9237" w:type="dxa"/>
          <w:tblInd w:w="-176" w:type="dxa"/>
          <w:tblLayout w:type="fixed"/>
          <w:tblLook w:val="0000"/>
        </w:tblPrEx>
        <w:trPr>
          <w:trHeight w:val="480"/>
        </w:trPr>
        <w:tc>
          <w:tcPr>
            <w:tcW w:w="7900" w:type="dxa"/>
            <w:gridSpan w:val="6"/>
            <w:tcBorders>
              <w:top w:val="single" w:sz="4" w:space="0" w:color="auto"/>
              <w:left w:val="single" w:sz="4" w:space="0" w:color="auto"/>
              <w:bottom w:val="single" w:sz="4" w:space="0" w:color="auto"/>
              <w:right w:val="single" w:sz="4" w:space="0" w:color="auto"/>
            </w:tcBorders>
            <w:vAlign w:val="center"/>
          </w:tcPr>
          <w:p w:rsidR="009138E5">
            <w:pPr>
              <w:pStyle w:val="8100"/>
              <w:autoSpaceDN w:val="0"/>
              <w:adjustRightInd w:val="0"/>
              <w:snapToGrid w:val="0"/>
              <w:spacing w:line="360" w:lineRule="auto"/>
              <w:rPr>
                <w:b/>
                <w:bCs/>
                <w:color w:val="000000"/>
                <w:sz w:val="24"/>
                <w:szCs w:val="24"/>
              </w:rPr>
            </w:pPr>
            <w:r>
              <w:rPr>
                <w:b/>
                <w:bCs/>
                <w:color w:val="000000"/>
                <w:sz w:val="24"/>
                <w:szCs w:val="24"/>
              </w:rPr>
              <w:t>安装调试费</w:t>
            </w:r>
          </w:p>
        </w:tc>
        <w:tc>
          <w:tcPr>
            <w:tcW w:w="1337" w:type="dxa"/>
            <w:tcBorders>
              <w:top w:val="single" w:sz="4" w:space="0" w:color="auto"/>
              <w:left w:val="single" w:sz="4" w:space="0" w:color="auto"/>
              <w:bottom w:val="single" w:sz="4" w:space="0" w:color="auto"/>
              <w:right w:val="single" w:sz="4" w:space="0" w:color="auto"/>
            </w:tcBorders>
            <w:vAlign w:val="center"/>
          </w:tcPr>
          <w:p w:rsidR="009138E5">
            <w:pPr>
              <w:pStyle w:val="7100"/>
              <w:autoSpaceDN w:val="0"/>
              <w:adjustRightInd w:val="0"/>
              <w:snapToGrid w:val="0"/>
              <w:spacing w:line="360" w:lineRule="auto"/>
              <w:jc w:val="center"/>
              <w:rPr>
                <w:bCs/>
                <w:color w:val="000000"/>
                <w:sz w:val="24"/>
                <w:szCs w:val="24"/>
              </w:rPr>
            </w:pPr>
          </w:p>
        </w:tc>
      </w:tr>
      <w:tr>
        <w:tblPrEx>
          <w:tblW w:w="9237" w:type="dxa"/>
          <w:tblInd w:w="-176" w:type="dxa"/>
          <w:tblLayout w:type="fixed"/>
          <w:tblLook w:val="0000"/>
        </w:tblPrEx>
        <w:trPr>
          <w:trHeight w:val="480"/>
        </w:trPr>
        <w:tc>
          <w:tcPr>
            <w:tcW w:w="7900" w:type="dxa"/>
            <w:gridSpan w:val="6"/>
            <w:tcBorders>
              <w:top w:val="single" w:sz="4" w:space="0" w:color="auto"/>
              <w:left w:val="single" w:sz="4" w:space="0" w:color="auto"/>
              <w:bottom w:val="single" w:sz="4" w:space="0" w:color="auto"/>
              <w:right w:val="single" w:sz="4" w:space="0" w:color="auto"/>
            </w:tcBorders>
            <w:vAlign w:val="center"/>
          </w:tcPr>
          <w:p w:rsidR="009138E5">
            <w:pPr>
              <w:pStyle w:val="8100"/>
              <w:autoSpaceDN w:val="0"/>
              <w:adjustRightInd w:val="0"/>
              <w:snapToGrid w:val="0"/>
              <w:spacing w:line="360" w:lineRule="auto"/>
              <w:rPr>
                <w:b/>
                <w:bCs/>
                <w:color w:val="000000"/>
                <w:sz w:val="24"/>
                <w:szCs w:val="24"/>
                <w:highlight w:val="yellow"/>
                <w:u w:val="single"/>
              </w:rPr>
            </w:pPr>
            <w:r>
              <w:rPr>
                <w:b/>
                <w:bCs/>
                <w:color w:val="000000"/>
                <w:sz w:val="24"/>
                <w:szCs w:val="24"/>
              </w:rPr>
              <w:t>制造商维保服务费</w:t>
            </w:r>
          </w:p>
        </w:tc>
        <w:tc>
          <w:tcPr>
            <w:tcW w:w="1337" w:type="dxa"/>
            <w:tcBorders>
              <w:top w:val="single" w:sz="4" w:space="0" w:color="auto"/>
              <w:left w:val="single" w:sz="4" w:space="0" w:color="auto"/>
              <w:bottom w:val="single" w:sz="4" w:space="0" w:color="auto"/>
              <w:right w:val="single" w:sz="4" w:space="0" w:color="auto"/>
            </w:tcBorders>
            <w:vAlign w:val="center"/>
          </w:tcPr>
          <w:p w:rsidR="009138E5">
            <w:pPr>
              <w:pStyle w:val="7100"/>
              <w:autoSpaceDN w:val="0"/>
              <w:adjustRightInd w:val="0"/>
              <w:snapToGrid w:val="0"/>
              <w:spacing w:line="360" w:lineRule="auto"/>
              <w:jc w:val="center"/>
              <w:rPr>
                <w:bCs/>
                <w:color w:val="000000"/>
                <w:sz w:val="24"/>
                <w:szCs w:val="24"/>
              </w:rPr>
            </w:pPr>
          </w:p>
        </w:tc>
      </w:tr>
      <w:tr>
        <w:tblPrEx>
          <w:tblW w:w="9237" w:type="dxa"/>
          <w:tblInd w:w="-176" w:type="dxa"/>
          <w:tblLayout w:type="fixed"/>
          <w:tblLook w:val="0000"/>
        </w:tblPrEx>
        <w:trPr>
          <w:cantSplit/>
          <w:trHeight w:val="480"/>
        </w:trPr>
        <w:tc>
          <w:tcPr>
            <w:tcW w:w="7900" w:type="dxa"/>
            <w:gridSpan w:val="6"/>
            <w:tcBorders>
              <w:top w:val="single" w:sz="4" w:space="0" w:color="auto"/>
              <w:left w:val="single" w:sz="4" w:space="0" w:color="auto"/>
              <w:bottom w:val="single" w:sz="4" w:space="0" w:color="auto"/>
              <w:right w:val="single" w:sz="4" w:space="0" w:color="auto"/>
            </w:tcBorders>
            <w:vAlign w:val="center"/>
          </w:tcPr>
          <w:p w:rsidR="009138E5">
            <w:pPr>
              <w:pStyle w:val="8100"/>
              <w:autoSpaceDN w:val="0"/>
              <w:adjustRightInd w:val="0"/>
              <w:snapToGrid w:val="0"/>
              <w:spacing w:line="360" w:lineRule="auto"/>
              <w:rPr>
                <w:b/>
                <w:bCs/>
                <w:color w:val="000000"/>
                <w:sz w:val="24"/>
                <w:szCs w:val="24"/>
              </w:rPr>
            </w:pPr>
            <w:r>
              <w:rPr>
                <w:b/>
                <w:bCs/>
                <w:color w:val="000000"/>
                <w:sz w:val="24"/>
                <w:szCs w:val="24"/>
              </w:rPr>
              <w:t>合同总价</w:t>
            </w:r>
          </w:p>
        </w:tc>
        <w:tc>
          <w:tcPr>
            <w:tcW w:w="1337" w:type="dxa"/>
            <w:tcBorders>
              <w:top w:val="single" w:sz="4" w:space="0" w:color="auto"/>
              <w:left w:val="single" w:sz="4" w:space="0" w:color="auto"/>
              <w:bottom w:val="single" w:sz="4" w:space="0" w:color="auto"/>
              <w:right w:val="single" w:sz="4" w:space="0" w:color="auto"/>
            </w:tcBorders>
            <w:vAlign w:val="center"/>
          </w:tcPr>
          <w:p w:rsidR="009138E5">
            <w:pPr>
              <w:pStyle w:val="7100"/>
              <w:autoSpaceDN w:val="0"/>
              <w:adjustRightInd w:val="0"/>
              <w:snapToGrid w:val="0"/>
              <w:spacing w:line="360" w:lineRule="auto"/>
              <w:jc w:val="center"/>
              <w:rPr>
                <w:bCs/>
                <w:color w:val="000000"/>
                <w:sz w:val="24"/>
                <w:szCs w:val="24"/>
              </w:rPr>
            </w:pPr>
          </w:p>
        </w:tc>
      </w:tr>
    </w:tbl>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第二条 合同总价款</w:t>
      </w:r>
    </w:p>
    <w:p w:rsidR="009138E5">
      <w:pPr>
        <w:pStyle w:val="10311"/>
        <w:spacing w:line="360" w:lineRule="auto"/>
        <w:ind w:firstLine="480" w:firstLineChars="200"/>
        <w:rPr>
          <w:rFonts w:ascii="宋体" w:eastAsia="宋体" w:hint="eastAsia"/>
          <w:b/>
          <w:bCs/>
          <w:color w:val="000000"/>
          <w:sz w:val="24"/>
          <w:szCs w:val="24"/>
        </w:rPr>
      </w:pPr>
      <w:r>
        <w:rPr>
          <w:rFonts w:ascii="宋体" w:eastAsia="宋体" w:hint="eastAsia"/>
          <w:color w:val="000000"/>
          <w:sz w:val="24"/>
          <w:szCs w:val="24"/>
        </w:rPr>
        <w:t>甲方以支付总价款（人民币大写）</w:t>
      </w:r>
      <w:r>
        <w:rPr>
          <w:rFonts w:ascii="宋体" w:eastAsia="宋体" w:hint="eastAsia"/>
          <w:color w:val="000000"/>
          <w:sz w:val="24"/>
          <w:szCs w:val="24"/>
          <w:u w:val="single"/>
        </w:rPr>
        <w:t xml:space="preserve">      </w:t>
      </w:r>
      <w:r>
        <w:rPr>
          <w:rFonts w:ascii="宋体" w:eastAsia="宋体" w:hint="eastAsia"/>
          <w:color w:val="000000"/>
          <w:sz w:val="24"/>
          <w:szCs w:val="24"/>
        </w:rPr>
        <w:t>元，接受乙方对上述货物的供货和伴随服务。包括乙方提供货物、包装、运输、货物的保险和储存、检测、验收、安装调试、保修服务、培训、资料及提供的伴随服务等所有成本、费用及税费，甲方无需再向乙方支付其他任何费用。详见附件分项报价表、设备配置清单和技术偏离表。</w:t>
      </w:r>
    </w:p>
    <w:p w:rsidR="009138E5" w:rsidP="00077DA5">
      <w:pPr>
        <w:pStyle w:val="10311"/>
        <w:spacing w:line="360" w:lineRule="auto"/>
        <w:ind w:firstLine="480" w:firstLineChars="200"/>
        <w:rPr>
          <w:rFonts w:ascii="宋体" w:eastAsia="宋体" w:hint="eastAsia"/>
          <w:color w:val="000000"/>
          <w:sz w:val="24"/>
          <w:szCs w:val="24"/>
        </w:rPr>
      </w:pPr>
      <w:r>
        <w:rPr>
          <w:rFonts w:ascii="宋体" w:eastAsia="宋体" w:hint="eastAsia"/>
          <w:b/>
          <w:bCs/>
          <w:color w:val="000000"/>
          <w:sz w:val="24"/>
          <w:szCs w:val="24"/>
        </w:rPr>
        <w:t>第三条 付款条件</w:t>
      </w:r>
    </w:p>
    <w:p w:rsidR="009138E5">
      <w:pPr>
        <w:spacing w:line="360" w:lineRule="auto"/>
        <w:ind w:firstLine="480" w:firstLineChars="200"/>
        <w:rPr>
          <w:rFonts w:ascii="宋体" w:hint="eastAsia"/>
          <w:color w:val="000000"/>
          <w:sz w:val="24"/>
        </w:rPr>
      </w:pPr>
      <w:r>
        <w:rPr>
          <w:rFonts w:ascii="宋体" w:hint="eastAsia"/>
          <w:color w:val="000000"/>
          <w:sz w:val="24"/>
        </w:rPr>
        <w:t>（一）本合同以人民币付款。</w:t>
      </w:r>
    </w:p>
    <w:p w:rsidR="009138E5">
      <w:pPr>
        <w:spacing w:line="360" w:lineRule="auto"/>
        <w:ind w:firstLine="480" w:firstLineChars="200"/>
        <w:rPr>
          <w:rFonts w:ascii="宋体" w:hint="eastAsia"/>
          <w:color w:val="000000"/>
          <w:sz w:val="24"/>
        </w:rPr>
      </w:pPr>
      <w:r>
        <w:rPr>
          <w:rFonts w:ascii="宋体" w:hint="eastAsia"/>
          <w:color w:val="000000"/>
          <w:sz w:val="24"/>
        </w:rPr>
        <w:t>（二）付款办法：</w:t>
      </w:r>
    </w:p>
    <w:p w:rsidR="009138E5">
      <w:pPr>
        <w:spacing w:line="360" w:lineRule="auto"/>
        <w:ind w:firstLine="480" w:firstLineChars="200"/>
        <w:rPr>
          <w:rFonts w:ascii="宋体" w:hint="eastAsia"/>
          <w:color w:val="000000"/>
          <w:sz w:val="24"/>
        </w:rPr>
      </w:pPr>
      <w:r>
        <w:rPr>
          <w:rFonts w:ascii="宋体" w:hint="eastAsia"/>
          <w:color w:val="000000"/>
          <w:sz w:val="24"/>
        </w:rPr>
        <w:t>1.设备全部安装调试，并经甲方验收合格后，乙方向甲方提交下列单据之日起10个工作日内，甲方向乙方支付合同总价</w:t>
      </w:r>
      <w:r>
        <w:rPr>
          <w:rFonts w:ascii="宋体" w:hint="eastAsia"/>
          <w:color w:val="000000"/>
          <w:sz w:val="24"/>
          <w:u w:val="single"/>
        </w:rPr>
        <w:t xml:space="preserve"> 100  </w:t>
      </w:r>
      <w:r>
        <w:rPr>
          <w:rFonts w:ascii="宋体" w:hint="eastAsia"/>
          <w:color w:val="000000"/>
          <w:sz w:val="24"/>
        </w:rPr>
        <w:t>%合同款（即人民币</w:t>
      </w:r>
      <w:r>
        <w:rPr>
          <w:rFonts w:ascii="宋体" w:hint="eastAsia"/>
          <w:color w:val="000000"/>
          <w:sz w:val="24"/>
          <w:u w:val="single"/>
        </w:rPr>
        <w:t xml:space="preserve">    元</w:t>
      </w:r>
      <w:r>
        <w:rPr>
          <w:rFonts w:ascii="宋体" w:hint="eastAsia"/>
          <w:color w:val="000000"/>
          <w:sz w:val="24"/>
        </w:rPr>
        <w:t>整）。</w:t>
      </w:r>
    </w:p>
    <w:p w:rsidR="009138E5">
      <w:pPr>
        <w:spacing w:line="360" w:lineRule="auto"/>
        <w:ind w:firstLine="480" w:firstLineChars="200"/>
        <w:rPr>
          <w:rFonts w:ascii="宋体" w:hint="eastAsia"/>
          <w:color w:val="000000"/>
          <w:sz w:val="24"/>
        </w:rPr>
      </w:pPr>
      <w:r>
        <w:rPr>
          <w:rFonts w:ascii="宋体" w:hint="eastAsia"/>
          <w:color w:val="000000"/>
          <w:sz w:val="24"/>
        </w:rPr>
        <w:t>乙方提交单据：合同（正文部分复印件）、中标通知书、发票（原件）、安装调试验收合格报告（复印件）。</w:t>
      </w:r>
    </w:p>
    <w:p w:rsidR="009138E5">
      <w:pPr>
        <w:spacing w:line="360" w:lineRule="auto"/>
        <w:ind w:firstLine="480" w:firstLineChars="200"/>
        <w:rPr>
          <w:rFonts w:ascii="宋体" w:hint="eastAsia"/>
          <w:color w:val="000000"/>
          <w:sz w:val="24"/>
        </w:rPr>
      </w:pPr>
      <w:r>
        <w:rPr>
          <w:rFonts w:ascii="宋体" w:hint="eastAsia"/>
          <w:color w:val="000000"/>
          <w:sz w:val="24"/>
        </w:rPr>
        <w:t>2.因财政集中支付等非甲方原因造成付款延误，甲方不承担任何责任。乙方提交付款单据延迟、缺失及账户信息错误的，甲方有权相应顺延付款期限，且甲方不承担任何责任。</w:t>
      </w:r>
    </w:p>
    <w:p w:rsidR="009138E5">
      <w:pPr>
        <w:pStyle w:val="47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乙方收取货款账户为：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4"/>
        <w:gridCol w:w="605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804" w:type="dxa"/>
            <w:vAlign w:val="center"/>
          </w:tcPr>
          <w:p w:rsidR="009138E5">
            <w:pPr>
              <w:pStyle w:val="47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rPr>
              <w:t>乙方全称</w:t>
            </w:r>
          </w:p>
        </w:tc>
        <w:tc>
          <w:tcPr>
            <w:tcW w:w="6051" w:type="dxa"/>
            <w:vAlign w:val="center"/>
          </w:tcPr>
          <w:p w:rsidR="009138E5">
            <w:pPr>
              <w:pStyle w:val="4710"/>
              <w:autoSpaceDN w:val="0"/>
              <w:spacing w:line="360" w:lineRule="auto"/>
              <w:jc w:val="center"/>
              <w:rPr>
                <w:rFonts w:ascii="宋体" w:cs="微软雅黑" w:hint="eastAsia"/>
                <w:snapToGrid w:val="0"/>
                <w:kern w:val="0"/>
                <w:sz w:val="24"/>
                <w:szCs w:val="24"/>
              </w:rPr>
            </w:pPr>
          </w:p>
        </w:tc>
      </w:tr>
      <w:tr>
        <w:tblPrEx>
          <w:tblW w:w="0" w:type="auto"/>
          <w:jc w:val="center"/>
          <w:tblLayout w:type="fixed"/>
          <w:tblLook w:val="0000"/>
        </w:tblPrEx>
        <w:trPr>
          <w:trHeight w:val="403"/>
          <w:jc w:val="center"/>
        </w:trPr>
        <w:tc>
          <w:tcPr>
            <w:tcW w:w="1804" w:type="dxa"/>
            <w:vAlign w:val="center"/>
          </w:tcPr>
          <w:p w:rsidR="009138E5">
            <w:pPr>
              <w:pStyle w:val="47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rPr>
              <w:t>开户银行</w:t>
            </w:r>
          </w:p>
        </w:tc>
        <w:tc>
          <w:tcPr>
            <w:tcW w:w="6051" w:type="dxa"/>
            <w:vAlign w:val="center"/>
          </w:tcPr>
          <w:p w:rsidR="009138E5">
            <w:pPr>
              <w:pStyle w:val="4710"/>
              <w:autoSpaceDN w:val="0"/>
              <w:spacing w:line="360" w:lineRule="auto"/>
              <w:jc w:val="center"/>
              <w:rPr>
                <w:rFonts w:ascii="宋体" w:cs="微软雅黑" w:hint="eastAsia"/>
                <w:snapToGrid w:val="0"/>
                <w:kern w:val="0"/>
                <w:sz w:val="24"/>
                <w:szCs w:val="24"/>
              </w:rPr>
            </w:pPr>
          </w:p>
        </w:tc>
      </w:tr>
      <w:tr>
        <w:tblPrEx>
          <w:tblW w:w="0" w:type="auto"/>
          <w:jc w:val="center"/>
          <w:tblLayout w:type="fixed"/>
          <w:tblLook w:val="0000"/>
        </w:tblPrEx>
        <w:trPr>
          <w:trHeight w:val="242"/>
          <w:jc w:val="center"/>
        </w:trPr>
        <w:tc>
          <w:tcPr>
            <w:tcW w:w="1804" w:type="dxa"/>
            <w:vAlign w:val="center"/>
          </w:tcPr>
          <w:p w:rsidR="009138E5">
            <w:pPr>
              <w:pStyle w:val="47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rPr>
              <w:t>账号</w:t>
            </w:r>
          </w:p>
        </w:tc>
        <w:tc>
          <w:tcPr>
            <w:tcW w:w="6051" w:type="dxa"/>
            <w:vAlign w:val="center"/>
          </w:tcPr>
          <w:p w:rsidR="009138E5">
            <w:pPr>
              <w:pStyle w:val="4710"/>
              <w:autoSpaceDN w:val="0"/>
              <w:spacing w:line="360" w:lineRule="auto"/>
              <w:jc w:val="center"/>
              <w:rPr>
                <w:rFonts w:ascii="宋体" w:cs="微软雅黑" w:hint="eastAsia"/>
                <w:snapToGrid w:val="0"/>
                <w:kern w:val="0"/>
                <w:sz w:val="24"/>
                <w:szCs w:val="24"/>
              </w:rPr>
            </w:pPr>
          </w:p>
        </w:tc>
      </w:tr>
    </w:tbl>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第四条 履约保证金</w:t>
      </w:r>
    </w:p>
    <w:p w:rsidR="009138E5">
      <w:pPr>
        <w:pStyle w:val="2311"/>
        <w:spacing w:line="360" w:lineRule="auto"/>
        <w:ind w:firstLine="480" w:firstLineChars="200"/>
        <w:rPr>
          <w:rFonts w:ascii="宋体" w:eastAsia="宋体" w:hint="eastAsia"/>
          <w:color w:val="000000"/>
          <w:sz w:val="24"/>
          <w:szCs w:val="24"/>
          <w:highlight w:val="yellow"/>
        </w:rPr>
      </w:pPr>
      <w:r>
        <w:rPr>
          <w:rFonts w:ascii="宋体" w:eastAsia="宋体" w:hint="eastAsia"/>
          <w:color w:val="000000"/>
          <w:sz w:val="24"/>
          <w:szCs w:val="24"/>
        </w:rPr>
        <w:t>（一）合同签订之日起</w:t>
      </w:r>
      <w:r>
        <w:rPr>
          <w:rFonts w:ascii="宋体" w:eastAsia="宋体" w:hint="eastAsia"/>
          <w:color w:val="000000"/>
          <w:sz w:val="24"/>
          <w:szCs w:val="24"/>
          <w:u w:val="single"/>
        </w:rPr>
        <w:t>10</w:t>
      </w:r>
      <w:r>
        <w:rPr>
          <w:rFonts w:ascii="宋体" w:eastAsia="宋体" w:hint="eastAsia"/>
          <w:color w:val="000000"/>
          <w:sz w:val="24"/>
          <w:szCs w:val="24"/>
        </w:rPr>
        <w:t>个工作日内，乙方须按合同金额的</w:t>
      </w:r>
      <w:r>
        <w:rPr>
          <w:rFonts w:ascii="宋体" w:eastAsia="宋体" w:hint="eastAsia"/>
          <w:color w:val="000000"/>
          <w:sz w:val="24"/>
          <w:szCs w:val="24"/>
          <w:u w:val="single"/>
        </w:rPr>
        <w:t>10%</w:t>
      </w:r>
      <w:r>
        <w:rPr>
          <w:rFonts w:ascii="宋体" w:eastAsia="宋体" w:hint="eastAsia"/>
          <w:color w:val="000000"/>
          <w:sz w:val="24"/>
          <w:szCs w:val="24"/>
        </w:rPr>
        <w:t>向甲方交纳履约保证金。如果乙方未按照约定时间交付履约保证金的，甲方有权单方面解除合同。</w:t>
      </w:r>
    </w:p>
    <w:p w:rsidR="009138E5">
      <w:pPr>
        <w:pStyle w:val="505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甲方指定履约保证金收款账户为：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86"/>
        <w:gridCol w:w="54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2386" w:type="dxa"/>
            <w:vAlign w:val="center"/>
          </w:tcPr>
          <w:p w:rsidR="009138E5">
            <w:pPr>
              <w:pStyle w:val="505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rPr>
              <w:t>收款单位全称</w:t>
            </w:r>
          </w:p>
        </w:tc>
        <w:tc>
          <w:tcPr>
            <w:tcW w:w="5469" w:type="dxa"/>
            <w:vAlign w:val="center"/>
          </w:tcPr>
          <w:p w:rsidR="009138E5">
            <w:pPr>
              <w:pStyle w:val="50510"/>
              <w:autoSpaceDN w:val="0"/>
              <w:spacing w:line="360" w:lineRule="auto"/>
              <w:ind w:firstLine="480" w:firstLineChars="200"/>
              <w:jc w:val="center"/>
              <w:rPr>
                <w:rFonts w:ascii="宋体" w:cs="微软雅黑" w:hint="eastAsia"/>
                <w:snapToGrid w:val="0"/>
                <w:kern w:val="0"/>
                <w:sz w:val="24"/>
                <w:szCs w:val="24"/>
              </w:rPr>
            </w:pPr>
          </w:p>
        </w:tc>
      </w:tr>
      <w:tr>
        <w:tblPrEx>
          <w:tblW w:w="0" w:type="auto"/>
          <w:jc w:val="center"/>
          <w:tblLayout w:type="fixed"/>
          <w:tblLook w:val="0000"/>
        </w:tblPrEx>
        <w:trPr>
          <w:trHeight w:val="403"/>
          <w:jc w:val="center"/>
        </w:trPr>
        <w:tc>
          <w:tcPr>
            <w:tcW w:w="2386" w:type="dxa"/>
            <w:vAlign w:val="center"/>
          </w:tcPr>
          <w:p w:rsidR="009138E5">
            <w:pPr>
              <w:pStyle w:val="505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rPr>
              <w:t>开户银行</w:t>
            </w:r>
          </w:p>
        </w:tc>
        <w:tc>
          <w:tcPr>
            <w:tcW w:w="5469" w:type="dxa"/>
            <w:vAlign w:val="center"/>
          </w:tcPr>
          <w:p w:rsidR="009138E5">
            <w:pPr>
              <w:pStyle w:val="50510"/>
              <w:autoSpaceDN w:val="0"/>
              <w:spacing w:line="360" w:lineRule="auto"/>
              <w:ind w:firstLine="480" w:firstLineChars="200"/>
              <w:jc w:val="center"/>
              <w:rPr>
                <w:rFonts w:ascii="宋体" w:cs="微软雅黑" w:hint="eastAsia"/>
                <w:snapToGrid w:val="0"/>
                <w:kern w:val="0"/>
                <w:sz w:val="24"/>
                <w:szCs w:val="24"/>
              </w:rPr>
            </w:pPr>
          </w:p>
        </w:tc>
      </w:tr>
      <w:tr>
        <w:tblPrEx>
          <w:tblW w:w="0" w:type="auto"/>
          <w:jc w:val="center"/>
          <w:tblLayout w:type="fixed"/>
          <w:tblLook w:val="0000"/>
        </w:tblPrEx>
        <w:trPr>
          <w:trHeight w:val="242"/>
          <w:jc w:val="center"/>
        </w:trPr>
        <w:tc>
          <w:tcPr>
            <w:tcW w:w="2386" w:type="dxa"/>
            <w:vAlign w:val="center"/>
          </w:tcPr>
          <w:p w:rsidR="009138E5">
            <w:pPr>
              <w:pStyle w:val="50510"/>
              <w:autoSpaceDN w:val="0"/>
              <w:spacing w:line="360" w:lineRule="auto"/>
              <w:jc w:val="center"/>
              <w:rPr>
                <w:rFonts w:ascii="宋体" w:cs="微软雅黑" w:hint="eastAsia"/>
                <w:snapToGrid w:val="0"/>
                <w:kern w:val="0"/>
                <w:sz w:val="24"/>
                <w:szCs w:val="24"/>
              </w:rPr>
            </w:pPr>
            <w:r>
              <w:rPr>
                <w:rFonts w:ascii="宋体" w:cs="微软雅黑" w:hint="eastAsia"/>
                <w:snapToGrid w:val="0"/>
                <w:kern w:val="0"/>
                <w:sz w:val="24"/>
                <w:szCs w:val="24"/>
              </w:rPr>
              <w:t>账号</w:t>
            </w:r>
          </w:p>
        </w:tc>
        <w:tc>
          <w:tcPr>
            <w:tcW w:w="5469" w:type="dxa"/>
            <w:vAlign w:val="center"/>
          </w:tcPr>
          <w:p w:rsidR="009138E5">
            <w:pPr>
              <w:pStyle w:val="50510"/>
              <w:autoSpaceDN w:val="0"/>
              <w:spacing w:line="360" w:lineRule="auto"/>
              <w:ind w:firstLine="480" w:firstLineChars="200"/>
              <w:jc w:val="center"/>
              <w:rPr>
                <w:rFonts w:ascii="宋体" w:cs="微软雅黑" w:hint="eastAsia"/>
                <w:snapToGrid w:val="0"/>
                <w:kern w:val="0"/>
                <w:sz w:val="24"/>
                <w:szCs w:val="24"/>
              </w:rPr>
            </w:pPr>
          </w:p>
        </w:tc>
      </w:tr>
    </w:tbl>
    <w:p w:rsidR="009138E5">
      <w:pPr>
        <w:pStyle w:val="23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（二）履约保证金以银行保函、银行电汇向甲方提供。</w:t>
      </w:r>
    </w:p>
    <w:p w:rsidR="009138E5">
      <w:pPr>
        <w:pStyle w:val="2105"/>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（三）履约保证金有效期：合同签订至安装调试验收。</w:t>
      </w:r>
    </w:p>
    <w:p w:rsidR="009138E5">
      <w:pPr>
        <w:spacing w:line="360" w:lineRule="auto"/>
        <w:ind w:firstLine="480" w:firstLineChars="200"/>
        <w:rPr>
          <w:rFonts w:ascii="宋体" w:hint="eastAsia"/>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（四）如乙方未能履行合同规定的义务，甲方有权按照本合同的约定从履约保证金中进行相应扣除。乙方应在甲方扣除履约保证金之日起10个工作日内，及时补充扣除部分金额。</w:t>
      </w:r>
    </w:p>
    <w:p w:rsidR="009138E5">
      <w:pPr>
        <w:spacing w:line="360" w:lineRule="auto"/>
        <w:ind w:firstLine="480" w:firstLineChars="200"/>
        <w:rPr>
          <w:rFonts w:ascii="宋体" w:hint="eastAsia"/>
          <w:color w:val="000000"/>
          <w:sz w:val="24"/>
        </w:rPr>
      </w:pPr>
      <w:r>
        <w:rPr>
          <w:rFonts w:ascii="宋体" w:hint="eastAsia"/>
          <w:color w:val="000000"/>
          <w:sz w:val="24"/>
        </w:rPr>
        <w:t>（五）如乙方不履行合同，或履行合同义务不符合约定使得合同目的不能实现，履约保证金不予退还。</w:t>
      </w:r>
    </w:p>
    <w:p w:rsidR="009138E5">
      <w:pPr>
        <w:spacing w:line="360" w:lineRule="auto"/>
        <w:ind w:firstLine="480" w:firstLineChars="200"/>
        <w:rPr>
          <w:rFonts w:ascii="宋体" w:hint="eastAsia"/>
          <w:color w:val="000000"/>
          <w:sz w:val="24"/>
        </w:rPr>
      </w:pPr>
      <w:r>
        <w:rPr>
          <w:rFonts w:ascii="宋体" w:hint="eastAsia"/>
          <w:color w:val="000000"/>
          <w:sz w:val="24"/>
        </w:rPr>
        <w:t>（六）履约保证金在有效期满后，甲方凭乙方提交退款申请，10个工作日内无息退还。</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第五条 包装</w:t>
      </w:r>
    </w:p>
    <w:p w:rsidR="009138E5">
      <w:pPr>
        <w:pStyle w:val="9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（一）除合同另有规定外，乙方提供的全部货物均应按标准</w:t>
      </w:r>
      <w:r>
        <w:rPr>
          <w:rFonts w:ascii="宋体" w:eastAsia="宋体" w:hint="eastAsia"/>
          <w:snapToGrid w:val="0"/>
          <w:color w:val="000000"/>
          <w:kern w:val="0"/>
          <w:sz w:val="24"/>
          <w:szCs w:val="24"/>
        </w:rPr>
        <w:t>保护措施进行包装，这类包装应适应于远距离运输、防潮、防震、</w:t>
      </w:r>
      <w:r>
        <w:rPr>
          <w:rFonts w:ascii="宋体" w:eastAsia="宋体" w:hint="eastAsia"/>
          <w:color w:val="000000"/>
          <w:sz w:val="24"/>
          <w:szCs w:val="24"/>
        </w:rPr>
        <w:t>防锈和防野蛮装卸，以确保货物安全无损运抵指定交货地点。</w:t>
      </w:r>
    </w:p>
    <w:p w:rsidR="009138E5">
      <w:pPr>
        <w:pStyle w:val="9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（二）乙方应在包装箱外标明合同名称、合同编号、产品名称、型号，包装箱内随附一份详细装箱单和质量证书。</w:t>
      </w:r>
    </w:p>
    <w:p w:rsidR="009138E5">
      <w:pPr>
        <w:spacing w:line="360" w:lineRule="auto"/>
        <w:ind w:firstLine="480" w:firstLineChars="200"/>
        <w:rPr>
          <w:rFonts w:ascii="宋体" w:hint="eastAsia"/>
          <w:color w:val="000000"/>
          <w:sz w:val="24"/>
        </w:rPr>
      </w:pPr>
      <w:r>
        <w:rPr>
          <w:rFonts w:ascii="宋体" w:hint="eastAsia"/>
          <w:color w:val="000000"/>
          <w:sz w:val="24"/>
        </w:rPr>
        <w:t>（三）乙方应承担由于其包装或防护措施不当而引起的货物损坏和丢失的任何损失责任和费用。</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第六条 交货时间、地点、交货方法（运输方式）</w:t>
      </w:r>
    </w:p>
    <w:p w:rsidR="009138E5">
      <w:pPr>
        <w:pStyle w:val="93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w:t>
      </w:r>
      <w:r>
        <w:rPr>
          <w:rFonts w:ascii="宋体" w:eastAsia="宋体" w:hint="eastAsia"/>
          <w:snapToGrid w:val="0"/>
          <w:color w:val="000000"/>
          <w:kern w:val="0"/>
          <w:sz w:val="24"/>
          <w:szCs w:val="24"/>
        </w:rPr>
        <w:t>）交</w:t>
      </w:r>
      <w:r>
        <w:rPr>
          <w:rFonts w:ascii="宋体" w:eastAsia="宋体" w:hint="eastAsia"/>
          <w:color w:val="000000"/>
          <w:sz w:val="24"/>
          <w:szCs w:val="24"/>
        </w:rPr>
        <w:t xml:space="preserve">货时间：合同签订后 </w:t>
      </w:r>
      <w:r>
        <w:rPr>
          <w:rFonts w:ascii="宋体" w:eastAsia="宋体" w:hint="eastAsia"/>
          <w:color w:val="000000"/>
          <w:sz w:val="24"/>
          <w:szCs w:val="24"/>
          <w:u w:val="single"/>
        </w:rPr>
        <w:t xml:space="preserve">   </w:t>
      </w:r>
      <w:r>
        <w:rPr>
          <w:rFonts w:ascii="宋体" w:eastAsia="宋体" w:hint="eastAsia"/>
          <w:color w:val="000000"/>
          <w:sz w:val="24"/>
          <w:szCs w:val="24"/>
        </w:rPr>
        <w:t xml:space="preserve"> 日内完成交货安装。</w:t>
      </w:r>
    </w:p>
    <w:p w:rsidR="009138E5">
      <w:pPr>
        <w:pStyle w:val="94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（二）交货地点：分配清单指定地点，详见附件。</w:t>
      </w:r>
    </w:p>
    <w:p w:rsidR="009138E5">
      <w:pPr>
        <w:pStyle w:val="32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三）交货方法：由乙方负责采用适合的交通工具将采购货物及其附件运至交货现场并按甲方要求完成卸货，以双方签署设备到货验收签收单为准，交货时应一并交付货物的有关单证。货物从生产厂运至海关指定地点的运输、劳务及相关保险的办理由乙方负责并承担相应费用。</w:t>
      </w:r>
    </w:p>
    <w:p w:rsidR="009138E5">
      <w:pPr>
        <w:pStyle w:val="18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（四）风险责任承担：货物的风险责任和所有权在双方签署设备到货验收签收单及安装调试验收合格报告后由甲方承担和享有，此前的风险责任由乙方承担。</w:t>
      </w:r>
    </w:p>
    <w:p w:rsidR="009138E5" w:rsidP="00077DA5">
      <w:pPr>
        <w:pStyle w:val="212"/>
        <w:spacing w:line="360" w:lineRule="auto"/>
        <w:ind w:firstLine="480" w:firstLineChars="200"/>
        <w:rPr>
          <w:rFonts w:ascii="宋体" w:hint="eastAsia"/>
          <w:color w:val="000000"/>
          <w:sz w:val="24"/>
          <w:szCs w:val="24"/>
        </w:rPr>
      </w:pPr>
      <w:r>
        <w:rPr>
          <w:rFonts w:ascii="宋体" w:hint="eastAsia"/>
          <w:b/>
          <w:bCs/>
          <w:color w:val="000000"/>
          <w:sz w:val="24"/>
          <w:szCs w:val="24"/>
        </w:rPr>
        <w:t>第七条 货物验收</w:t>
      </w:r>
    </w:p>
    <w:p w:rsidR="009138E5">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（一）货物运至甲方指定地点后，由甲乙双方指派人员按照本合同规定对货物进行验收，乙方应提供交货清单等文件供甲方审查，甲方将按合同清单进行规格、数量、外观的检查。</w:t>
      </w:r>
    </w:p>
    <w:p w:rsidR="009138E5">
      <w:pPr>
        <w:pStyle w:val="114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（二）收货后</w:t>
      </w:r>
      <w:r>
        <w:rPr>
          <w:rFonts w:ascii="宋体" w:eastAsia="宋体" w:hint="eastAsia"/>
          <w:color w:val="000000"/>
          <w:sz w:val="24"/>
          <w:szCs w:val="24"/>
          <w:u w:val="single"/>
        </w:rPr>
        <w:t xml:space="preserve">   </w:t>
      </w:r>
      <w:r>
        <w:rPr>
          <w:rFonts w:ascii="宋体" w:eastAsia="宋体" w:hint="eastAsia"/>
          <w:color w:val="000000"/>
          <w:sz w:val="24"/>
          <w:szCs w:val="24"/>
        </w:rPr>
        <w:t>个工作日内甲乙双方进行到货验收工作。如验收合格，甲方应及时履行验收手续，双方签署设备到货验收签收单；如验收不合格，甲方应以书面形式通知乙方原因，乙方收到通知后</w:t>
      </w:r>
      <w:r>
        <w:rPr>
          <w:rFonts w:ascii="宋体" w:eastAsia="宋体" w:hint="eastAsia"/>
          <w:color w:val="000000"/>
          <w:sz w:val="24"/>
          <w:szCs w:val="24"/>
          <w:u w:val="single"/>
        </w:rPr>
        <w:t xml:space="preserve">   </w:t>
      </w:r>
      <w:r>
        <w:rPr>
          <w:rFonts w:ascii="宋体" w:eastAsia="宋体" w:hint="eastAsia"/>
          <w:color w:val="000000"/>
          <w:sz w:val="24"/>
          <w:szCs w:val="24"/>
        </w:rPr>
        <w:t>个工作日内提供解决方案。</w:t>
      </w:r>
    </w:p>
    <w:p w:rsidR="009138E5">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（三）在验收工作中，发现数量不足或有质量、技术等问题，乙方应按照合同要求采取补足、更换或退货等处理措施，并承担由此发生的一切费用和损失。</w:t>
      </w:r>
    </w:p>
    <w:p w:rsidR="009138E5">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四）涉及设备安装调试的，乙方负责在甲方配合下完成所供设备安装调试并保证与用户原有设备互联互通，有关技术问题由乙方和制造商协同解决。安装调试后，双方签署设备安装调试验收报告。有关安装调试服务详见附件实施方案。</w:t>
      </w:r>
    </w:p>
    <w:p w:rsidR="009138E5">
      <w:pPr>
        <w:pStyle w:val="810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（五）合同项下货物生产期间，甲方有权派工作人员到生产厂进行监造、现场抽样和出厂前验核。此次验核不代表甲方对货物的最终验收。期间相关费用，包括技术交流和技术材料费等由乙方负担。</w:t>
      </w:r>
    </w:p>
    <w:p w:rsidR="009138E5">
      <w:pPr>
        <w:pStyle w:val="3"/>
        <w:ind w:firstLine="480" w:firstLineChars="200"/>
        <w:rPr>
          <w:rFonts w:ascii="宋体" w:hint="eastAsia"/>
          <w:color w:val="000000"/>
          <w:sz w:val="24"/>
          <w:szCs w:val="24"/>
          <w:lang w:eastAsia="zh-CN"/>
        </w:rPr>
      </w:pPr>
      <w:r>
        <w:rPr>
          <w:rFonts w:ascii="宋体" w:hint="eastAsia"/>
          <w:color w:val="000000"/>
          <w:sz w:val="24"/>
          <w:szCs w:val="24"/>
          <w:lang w:eastAsia="zh-CN"/>
        </w:rPr>
        <w:t>（六）为验核货物内在功能是否完备，甲方权组织对货物进行随机抽样，并委托有关检测单位进行检测，该检测结果将作为货物质量的评判依据，相关送检和检测费用由乙方承担。如检测指标不符合招标文件、投标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rsidR="009138E5">
      <w:pPr>
        <w:pStyle w:val="109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（七）甲方认为必要时，对大型或者复杂的货物采购项目，可以邀请国家认可的质量检测机构参加验收工作，相关验收意见作为验收报告的参考资料，相关费用由乙方承担。</w:t>
      </w:r>
    </w:p>
    <w:p w:rsidR="009138E5">
      <w:pPr>
        <w:pStyle w:val="109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（八）验收标准以双方达成的对质量和技术标准的约定、乙方承诺的质量和技术标准、国家或行业规定的相关质量和技术标准中最高者为准，且应充分满足甲方使用要求。</w:t>
      </w:r>
    </w:p>
    <w:p w:rsidR="009138E5" w:rsidP="00077DA5">
      <w:pPr>
        <w:pStyle w:val="3"/>
        <w:ind w:firstLine="480" w:firstLineChars="200"/>
        <w:rPr>
          <w:rFonts w:ascii="宋体" w:hint="eastAsia"/>
          <w:color w:val="000000"/>
          <w:sz w:val="24"/>
          <w:szCs w:val="24"/>
          <w:lang w:eastAsia="zh-CN"/>
        </w:rPr>
      </w:pPr>
      <w:r>
        <w:rPr>
          <w:rFonts w:ascii="宋体" w:hint="eastAsia"/>
          <w:b/>
          <w:bCs/>
          <w:color w:val="000000"/>
          <w:sz w:val="24"/>
          <w:szCs w:val="24"/>
          <w:lang w:eastAsia="zh-CN"/>
        </w:rPr>
        <w:t>第八条 质量保证</w:t>
      </w:r>
    </w:p>
    <w:p w:rsidR="009138E5">
      <w:pPr>
        <w:spacing w:line="360" w:lineRule="auto"/>
        <w:ind w:firstLine="480" w:firstLineChars="200"/>
        <w:rPr>
          <w:rFonts w:ascii="宋体" w:hint="eastAsia"/>
          <w:color w:val="000000"/>
          <w:sz w:val="24"/>
        </w:rPr>
      </w:pPr>
      <w:r>
        <w:rPr>
          <w:rFonts w:ascii="宋体" w:hint="eastAsia"/>
          <w:color w:val="000000"/>
          <w:sz w:val="24"/>
        </w:rPr>
        <w:t>（一）乙方应保证所供货物为</w:t>
      </w:r>
      <w:r>
        <w:rPr>
          <w:rFonts w:ascii="宋体" w:hint="eastAsia"/>
          <w:color w:val="000000"/>
          <w:sz w:val="24"/>
          <w:u w:val="single"/>
        </w:rPr>
        <w:t xml:space="preserve">      </w:t>
      </w:r>
      <w:r>
        <w:rPr>
          <w:rFonts w:ascii="宋体" w:hint="eastAsia"/>
          <w:color w:val="000000"/>
          <w:sz w:val="24"/>
        </w:rPr>
        <w:t>公司制造生产、原包装、全新未使用过的产品，与投标文件承诺一致，并完全符合或高于合同要求的质量、规格和技术性能。</w:t>
      </w:r>
    </w:p>
    <w:p w:rsidR="009138E5">
      <w:pPr>
        <w:spacing w:line="360" w:lineRule="auto"/>
        <w:ind w:firstLine="480" w:firstLineChars="200"/>
        <w:rPr>
          <w:rFonts w:ascii="宋体" w:hint="eastAsia"/>
          <w:color w:val="000000"/>
          <w:sz w:val="24"/>
        </w:rPr>
      </w:pPr>
      <w:r>
        <w:rPr>
          <w:rFonts w:ascii="宋体" w:hint="eastAsia"/>
          <w:color w:val="000000"/>
          <w:sz w:val="24"/>
        </w:rPr>
        <w:t>（二）乙方应保证所供货物没有因乙方的行为或疏忽而产生材料或工艺上的缺陷，并保证其货物在正确安装、正常使用和保养条件下，在其使用寿命期内具有满意的性能。在货物最终交付验收后不少于合同规定的质量保证期内，本保证保持有效。</w:t>
      </w:r>
    </w:p>
    <w:p w:rsidR="009138E5">
      <w:pPr>
        <w:spacing w:line="360" w:lineRule="auto"/>
        <w:ind w:firstLine="480" w:firstLineChars="200"/>
        <w:rPr>
          <w:rFonts w:ascii="宋体" w:hint="eastAsia"/>
          <w:color w:val="000000"/>
          <w:sz w:val="24"/>
        </w:rPr>
      </w:pPr>
      <w:r>
        <w:rPr>
          <w:rFonts w:ascii="宋体" w:hint="eastAsia"/>
          <w:color w:val="000000"/>
          <w:sz w:val="24"/>
        </w:rPr>
        <w:t>（三）如果乙方所供货物质量与合同不符，或证实所供货物是有缺陷的，包括潜在的缺陷或使用不符合要求的材料等，由此引起的全部损失及费用由乙方承担。若以上原因导致或引起甲方损失及导致或引起第三方受到损害的，全部赔偿责任均应由乙方承担。</w:t>
      </w:r>
    </w:p>
    <w:p w:rsidR="009138E5">
      <w:pPr>
        <w:spacing w:line="360" w:lineRule="auto"/>
        <w:ind w:firstLine="480" w:firstLineChars="200"/>
        <w:rPr>
          <w:rFonts w:ascii="宋体" w:hint="eastAsia"/>
          <w:color w:val="000000"/>
          <w:sz w:val="24"/>
        </w:rPr>
      </w:pPr>
      <w:r>
        <w:rPr>
          <w:rFonts w:ascii="宋体" w:hint="eastAsia"/>
          <w:color w:val="000000"/>
          <w:sz w:val="24"/>
        </w:rPr>
        <w:t>（四）在质量保证期内所发现的缺陷，甲方应尽快以书面形式通知乙方。乙方收到通知后应10日内免费维修或更换有缺陷的货物或部件。</w:t>
      </w:r>
    </w:p>
    <w:p w:rsidR="009138E5">
      <w:pPr>
        <w:spacing w:line="360" w:lineRule="auto"/>
        <w:ind w:firstLine="480" w:firstLineChars="200"/>
        <w:rPr>
          <w:rFonts w:ascii="宋体" w:hint="eastAsia"/>
          <w:color w:val="000000"/>
          <w:sz w:val="24"/>
        </w:rPr>
      </w:pPr>
      <w:r>
        <w:rPr>
          <w:rFonts w:ascii="宋体" w:hint="eastAsia"/>
          <w:color w:val="000000"/>
          <w:sz w:val="24"/>
        </w:rPr>
        <w:t>（五）乙方在约定的时间内未能弥补缺陷，甲方可采取必要的补救措施，但其风险和费用将由乙方承担，甲方根据合同规定对乙方行使的其他权利不受影响。</w:t>
      </w:r>
    </w:p>
    <w:p w:rsidR="009138E5">
      <w:pPr>
        <w:spacing w:line="360" w:lineRule="auto"/>
        <w:ind w:firstLine="480" w:firstLineChars="200"/>
        <w:rPr>
          <w:rFonts w:ascii="宋体" w:hint="eastAsia"/>
          <w:color w:val="000000"/>
          <w:sz w:val="24"/>
        </w:rPr>
      </w:pPr>
      <w:r>
        <w:rPr>
          <w:rFonts w:ascii="宋体" w:hint="eastAsia"/>
          <w:color w:val="000000"/>
          <w:sz w:val="24"/>
        </w:rPr>
        <w:t>（六）本合同项目所有货物质量保证期为：自双方签署设备到货验收签收单及安装调试验收合格报告之日起计算</w:t>
      </w:r>
      <w:r>
        <w:rPr>
          <w:rFonts w:ascii="宋体" w:hint="eastAsia"/>
          <w:color w:val="000000"/>
          <w:sz w:val="24"/>
          <w:u w:val="single"/>
        </w:rPr>
        <w:t xml:space="preserve">       </w:t>
      </w:r>
      <w:r>
        <w:rPr>
          <w:rFonts w:ascii="宋体" w:hint="eastAsia"/>
          <w:color w:val="000000"/>
          <w:sz w:val="24"/>
        </w:rPr>
        <w:t>年。</w:t>
      </w:r>
    </w:p>
    <w:p w:rsidR="009138E5">
      <w:pPr>
        <w:spacing w:line="360" w:lineRule="auto"/>
        <w:ind w:firstLine="480" w:firstLineChars="200"/>
        <w:rPr>
          <w:rFonts w:ascii="宋体" w:hint="eastAsia"/>
          <w:color w:val="000000"/>
          <w:sz w:val="24"/>
        </w:rPr>
      </w:pPr>
      <w:r>
        <w:rPr>
          <w:rFonts w:ascii="宋体" w:hint="eastAsia"/>
          <w:color w:val="000000"/>
          <w:sz w:val="24"/>
        </w:rPr>
        <w:t>（七）乙方保证具备履行本合同的资质和能力，履行本合同不得损害甲方及任意第三方的合法权益。</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第九条 培训</w:t>
      </w:r>
    </w:p>
    <w:p w:rsidR="009138E5">
      <w:pPr>
        <w:spacing w:line="360" w:lineRule="auto"/>
        <w:ind w:firstLine="480" w:firstLineChars="200"/>
        <w:rPr>
          <w:rFonts w:ascii="宋体" w:hint="eastAsia"/>
          <w:b/>
          <w:bCs/>
          <w:color w:val="000000"/>
          <w:sz w:val="24"/>
        </w:rPr>
      </w:pPr>
      <w:r>
        <w:rPr>
          <w:rFonts w:ascii="宋体" w:hint="eastAsia"/>
          <w:bCs/>
          <w:color w:val="000000"/>
          <w:sz w:val="24"/>
        </w:rPr>
        <w:t>本合同所包括的培训详见附件培训方案。</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第十条 售后服务</w:t>
      </w:r>
    </w:p>
    <w:p w:rsidR="009138E5">
      <w:pPr>
        <w:spacing w:line="360" w:lineRule="auto"/>
        <w:ind w:firstLine="480" w:firstLineChars="200"/>
        <w:rPr>
          <w:rFonts w:ascii="宋体" w:hint="eastAsia"/>
          <w:color w:val="000000"/>
          <w:sz w:val="24"/>
        </w:rPr>
      </w:pPr>
      <w:r>
        <w:rPr>
          <w:rFonts w:ascii="宋体" w:hint="eastAsia"/>
          <w:color w:val="000000"/>
          <w:sz w:val="24"/>
        </w:rPr>
        <w:t>（一）供应商（制造商）在质量保证期内免费提供</w:t>
      </w:r>
      <w:r>
        <w:rPr>
          <w:rFonts w:ascii="宋体" w:hint="eastAsia"/>
          <w:color w:val="000000"/>
          <w:sz w:val="24"/>
          <w:u w:val="single"/>
        </w:rPr>
        <w:t xml:space="preserve">    </w:t>
      </w:r>
      <w:r>
        <w:rPr>
          <w:rFonts w:ascii="宋体" w:hint="eastAsia"/>
          <w:color w:val="000000"/>
          <w:sz w:val="24"/>
        </w:rPr>
        <w:t>*</w:t>
      </w:r>
      <w:r>
        <w:rPr>
          <w:rFonts w:ascii="宋体" w:hint="eastAsia"/>
          <w:color w:val="000000"/>
          <w:sz w:val="24"/>
          <w:u w:val="single"/>
        </w:rPr>
        <w:t xml:space="preserve">   </w:t>
      </w:r>
      <w:r>
        <w:rPr>
          <w:rFonts w:ascii="宋体" w:hint="eastAsia"/>
          <w:color w:val="000000"/>
          <w:sz w:val="24"/>
        </w:rPr>
        <w:t>小时的技术支持与售后服务，提供专线电话支持服务，</w:t>
      </w:r>
      <w:r>
        <w:rPr>
          <w:rFonts w:ascii="宋体" w:hint="eastAsia"/>
          <w:color w:val="000000"/>
          <w:sz w:val="24"/>
          <w:u w:val="single"/>
        </w:rPr>
        <w:t xml:space="preserve">    </w:t>
      </w:r>
      <w:r>
        <w:rPr>
          <w:rFonts w:ascii="宋体" w:hint="eastAsia"/>
          <w:color w:val="000000"/>
          <w:sz w:val="24"/>
        </w:rPr>
        <w:t>小时内响应，保证</w:t>
      </w:r>
      <w:r>
        <w:rPr>
          <w:rFonts w:ascii="宋体" w:hint="eastAsia"/>
          <w:color w:val="000000"/>
          <w:sz w:val="24"/>
          <w:u w:val="single"/>
        </w:rPr>
        <w:t xml:space="preserve">     </w:t>
      </w:r>
      <w:r>
        <w:rPr>
          <w:rFonts w:ascii="宋体" w:hint="eastAsia"/>
          <w:color w:val="000000"/>
          <w:sz w:val="24"/>
        </w:rPr>
        <w:t>小时内到达现场并解决故障。</w:t>
      </w:r>
    </w:p>
    <w:p w:rsidR="009138E5">
      <w:pPr>
        <w:spacing w:line="360" w:lineRule="auto"/>
        <w:ind w:firstLine="480" w:firstLineChars="200"/>
        <w:rPr>
          <w:rFonts w:ascii="宋体" w:hint="eastAsia"/>
          <w:color w:val="000000"/>
          <w:sz w:val="24"/>
        </w:rPr>
      </w:pPr>
      <w:r>
        <w:rPr>
          <w:rFonts w:ascii="宋体" w:hint="eastAsia"/>
          <w:color w:val="000000"/>
          <w:sz w:val="24"/>
        </w:rPr>
        <w:t>（二）本合同所包含的售后服务，包含制造商售后服务和代理商售后服务，具体见附件技术支持及售后服务方案。</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第十一条 违约责任</w:t>
      </w:r>
    </w:p>
    <w:p w:rsidR="009138E5">
      <w:pPr>
        <w:spacing w:line="360" w:lineRule="auto"/>
        <w:ind w:firstLine="480" w:firstLineChars="200"/>
        <w:rPr>
          <w:rFonts w:ascii="宋体" w:hint="eastAsia"/>
          <w:color w:val="000000"/>
          <w:sz w:val="24"/>
        </w:rPr>
      </w:pPr>
      <w:r>
        <w:rPr>
          <w:rFonts w:ascii="宋体" w:hint="eastAsia"/>
          <w:color w:val="000000"/>
          <w:sz w:val="24"/>
        </w:rPr>
        <w:t>（一）因乙方原因未能按照本合同要求交付合格的货物或提供相关服务的违约责任。</w:t>
      </w:r>
    </w:p>
    <w:p w:rsidR="009138E5">
      <w:pPr>
        <w:spacing w:line="360" w:lineRule="auto"/>
        <w:ind w:firstLine="480" w:firstLineChars="200"/>
        <w:rPr>
          <w:rFonts w:ascii="宋体" w:hint="eastAsia"/>
          <w:color w:val="000000"/>
          <w:sz w:val="24"/>
        </w:rPr>
      </w:pPr>
      <w:r>
        <w:rPr>
          <w:rFonts w:ascii="宋体" w:hint="eastAsia"/>
          <w:color w:val="000000"/>
          <w:sz w:val="24"/>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rsidR="009138E5">
      <w:pPr>
        <w:spacing w:line="360" w:lineRule="auto"/>
        <w:ind w:firstLine="480" w:firstLineChars="200"/>
        <w:rPr>
          <w:rFonts w:ascii="宋体" w:hint="eastAsia"/>
          <w:color w:val="000000"/>
          <w:sz w:val="24"/>
        </w:rPr>
      </w:pPr>
      <w:r>
        <w:rPr>
          <w:rFonts w:ascii="宋体" w:hint="eastAsia"/>
          <w:color w:val="000000"/>
          <w:sz w:val="24"/>
        </w:rPr>
        <w:t>（1）退货：甲方将货物退回乙方，乙方将合同货款退还给甲方，并承担由此发生的一切损失和费用。</w:t>
      </w:r>
    </w:p>
    <w:p w:rsidR="009138E5">
      <w:pPr>
        <w:spacing w:line="360" w:lineRule="auto"/>
        <w:ind w:firstLine="480" w:firstLineChars="200"/>
        <w:rPr>
          <w:rFonts w:ascii="宋体" w:hint="eastAsia"/>
          <w:color w:val="000000"/>
          <w:sz w:val="24"/>
        </w:rPr>
      </w:pPr>
      <w:r>
        <w:rPr>
          <w:rFonts w:ascii="宋体" w:hint="eastAsia"/>
          <w:color w:val="000000"/>
          <w:sz w:val="24"/>
        </w:rPr>
        <w:t>（2）退货重新制作：甲方将货物退回乙方，乙方按照技术标准要求重新制作，并承担由此发生的一切损失和费用。</w:t>
      </w:r>
    </w:p>
    <w:p w:rsidR="009138E5">
      <w:pPr>
        <w:spacing w:line="360" w:lineRule="auto"/>
        <w:ind w:firstLine="480" w:firstLineChars="200"/>
        <w:rPr>
          <w:rFonts w:ascii="宋体" w:hint="eastAsia"/>
          <w:color w:val="000000"/>
          <w:sz w:val="24"/>
        </w:rPr>
      </w:pPr>
      <w:r>
        <w:rPr>
          <w:rFonts w:ascii="宋体" w:hint="eastAsia"/>
          <w:color w:val="000000"/>
          <w:sz w:val="24"/>
        </w:rPr>
        <w:t>（3）新货替换：乙方用满足技术标准要求的货物替换存在缺陷的产品，承担甲方蒙受的全部损失和费用，并承担由此引发的一切风险，且相应延长所换货物的质量保证期。</w:t>
      </w:r>
    </w:p>
    <w:p w:rsidR="009138E5">
      <w:pPr>
        <w:spacing w:line="360" w:lineRule="auto"/>
        <w:ind w:firstLine="480" w:firstLineChars="200"/>
        <w:rPr>
          <w:rFonts w:ascii="宋体" w:hint="eastAsia"/>
          <w:color w:val="000000"/>
          <w:sz w:val="24"/>
        </w:rPr>
      </w:pPr>
      <w:r>
        <w:rPr>
          <w:rFonts w:ascii="宋体" w:hint="eastAsia"/>
          <w:color w:val="000000"/>
          <w:sz w:val="24"/>
        </w:rPr>
        <w:t>2.</w:t>
      </w:r>
      <w:r>
        <w:rPr>
          <w:rFonts w:ascii="宋体" w:hint="eastAsia"/>
          <w:bCs/>
          <w:color w:val="000000"/>
          <w:sz w:val="24"/>
        </w:rPr>
        <w:t>如果乙方</w:t>
      </w:r>
      <w:r>
        <w:rPr>
          <w:rFonts w:ascii="宋体" w:hint="eastAsia"/>
          <w:color w:val="000000"/>
          <w:sz w:val="24"/>
        </w:rPr>
        <w:t>未在甲方要求的10日内或甲方同意的期限内，按照上述任何一种方式采取补救措施，甲方有权解除合同，扣除全部履约保证金并要求乙方退回甲方已支付的货款，并视损失情况根据《中华人民共和国民法典》有关规定追究其相关责任，赔偿甲方的全部损失。</w:t>
      </w:r>
    </w:p>
    <w:p w:rsidR="009138E5">
      <w:pPr>
        <w:pStyle w:val="130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3.对于未能按合同要求提供服务或被证实未提供应当承担的服务的，甲方有权要求限期整改。无合理理由不进行整改的视为根本违约。</w:t>
      </w:r>
    </w:p>
    <w:p w:rsidR="009138E5">
      <w:pPr>
        <w:spacing w:line="360" w:lineRule="auto"/>
        <w:ind w:firstLine="480" w:firstLineChars="200"/>
        <w:rPr>
          <w:rFonts w:ascii="宋体" w:hint="eastAsia"/>
          <w:color w:val="000000"/>
          <w:sz w:val="24"/>
        </w:rPr>
      </w:pPr>
      <w:r>
        <w:rPr>
          <w:rFonts w:ascii="宋体" w:hint="eastAsia"/>
          <w:color w:val="000000"/>
          <w:sz w:val="24"/>
        </w:rPr>
        <w:t>（二）乙方未按照本合同规定的时间交货和提供服务的违约责任。</w:t>
      </w:r>
    </w:p>
    <w:p w:rsidR="009138E5">
      <w:pPr>
        <w:pStyle w:val="101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1.在履行合同过程中，如果乙方遇到可能妨碍按时交货和提供服务的情形时，应及时以书面形式将延迟的事实、可能延迟的期限和理由通知甲方。甲方在收到乙方通知后，应尽快对情况进行评价，并确定是否同意延迟交货时间或延期提供服务，如甲方不同意延期，乙方仍应当按照约定的时间完成交货义务，如甲方同意延期，必须以双方签订的补充协议为准。</w:t>
      </w:r>
    </w:p>
    <w:p w:rsidR="009138E5">
      <w:pPr>
        <w:pStyle w:val="101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2.除甲乙双方另有约定外，如果乙方没有按照合同规定的时间</w:t>
      </w:r>
      <w:r>
        <w:rPr>
          <w:rFonts w:ascii="宋体" w:eastAsia="宋体" w:hint="eastAsia"/>
          <w:color w:val="000000"/>
          <w:sz w:val="24"/>
          <w:szCs w:val="24"/>
        </w:rPr>
        <w:t>交货和提供服务，甲方有权在不影响合同项下其他补救措施的情况下，要求乙方支付误期赔偿费，或从合同货款、履约保证金中扣除误期赔偿费。赔偿费以迟交货物价格或未提供服务费用为基数，按每周百分之零点五（0.5%）的标准计收，直到交货或提供服务为止。一周按七（7）天计算，不足七（7）天按一周计算。</w:t>
      </w:r>
    </w:p>
    <w:p w:rsidR="009138E5">
      <w:pPr>
        <w:pStyle w:val="101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3.出现上述没有按照合同规定的时间交货和提供服务的情形时，甲方也可以选择解除合同，要求乙方退回甲方已支付货款、扣除履约保证金并追究乙方相应违约责任、赔偿甲方的全部损失。</w:t>
      </w:r>
    </w:p>
    <w:p w:rsidR="009138E5">
      <w:pPr>
        <w:pStyle w:val="101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rsidR="009138E5">
      <w:pPr>
        <w:pStyle w:val="10113"/>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三）因乙方或乙方工作人员或乙方相关方的作为或不作为行为致使甲方或第三方遭受人员人身伤害或财产损失的，乙方应承担全部赔偿责任，赔偿全部损失，且甲方有权以全部履约保证金作为违约金，解除本合同。</w:t>
      </w:r>
    </w:p>
    <w:p w:rsidR="009138E5">
      <w:pPr>
        <w:pStyle w:val="217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（四）在本合同履行过程中，如果有证据证明乙方根本无法履行合同的，甲方可以行使不安抗辩权，有权解除合同，并扣除履约保证金，如因乙方不能履行给甲方造成其他损失的，乙方应继续承担赔偿责任。</w:t>
      </w:r>
    </w:p>
    <w:p w:rsidR="009138E5" w:rsidP="00077DA5">
      <w:pPr>
        <w:pStyle w:val="6012"/>
        <w:spacing w:line="360" w:lineRule="auto"/>
        <w:ind w:firstLine="480" w:firstLineChars="200"/>
        <w:rPr>
          <w:rFonts w:ascii="宋体" w:eastAsia="宋体" w:hint="eastAsia"/>
          <w:b/>
          <w:bCs/>
          <w:color w:val="000000"/>
          <w:sz w:val="24"/>
          <w:szCs w:val="24"/>
        </w:rPr>
      </w:pPr>
      <w:r>
        <w:rPr>
          <w:rFonts w:ascii="宋体" w:eastAsia="宋体" w:hint="eastAsia"/>
          <w:b/>
          <w:bCs/>
          <w:color w:val="000000"/>
          <w:sz w:val="24"/>
          <w:szCs w:val="24"/>
        </w:rPr>
        <w:t>第十二条 异议的期限和方法</w:t>
      </w:r>
    </w:p>
    <w:p w:rsidR="009138E5">
      <w:pPr>
        <w:pStyle w:val="6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（一）异议期限自质量保证期开始之日起3个月内。如果属于产品设计、材料、工艺或其他潜在的质量缺陷，甲方以书面形式提出异议及其处理意见。</w:t>
      </w:r>
    </w:p>
    <w:p w:rsidR="009138E5">
      <w:pPr>
        <w:pStyle w:val="6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（二）乙方接到甲方书面异议及其处理意见后，应在10日内到甲方项目现场处理，否则即视为默认甲方提出的异议和处理意见。</w:t>
      </w:r>
    </w:p>
    <w:p w:rsidR="009138E5" w:rsidP="00077DA5">
      <w:pPr>
        <w:pStyle w:val="6012"/>
        <w:spacing w:line="360" w:lineRule="auto"/>
        <w:ind w:firstLine="480" w:firstLineChars="200"/>
        <w:rPr>
          <w:rFonts w:ascii="宋体" w:eastAsia="宋体" w:hint="eastAsia"/>
          <w:b/>
          <w:bCs/>
          <w:color w:val="000000"/>
          <w:sz w:val="24"/>
          <w:szCs w:val="24"/>
        </w:rPr>
      </w:pPr>
      <w:r>
        <w:rPr>
          <w:rFonts w:ascii="宋体" w:eastAsia="宋体" w:hint="eastAsia"/>
          <w:b/>
          <w:bCs/>
          <w:color w:val="000000"/>
          <w:sz w:val="24"/>
          <w:szCs w:val="24"/>
        </w:rPr>
        <w:t>第十三条 使用合同文件和资料</w:t>
      </w:r>
    </w:p>
    <w:p w:rsidR="009138E5">
      <w:pPr>
        <w:pStyle w:val="6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一）没有甲方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rsidR="009138E5">
      <w:pPr>
        <w:pStyle w:val="6012"/>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（二）没有甲方事先书面同意，除了履行本合同之外，乙方不应使用、传播与本合同相关的任何文件、资料。</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第十四条 知识产权</w:t>
      </w:r>
    </w:p>
    <w:p w:rsidR="009138E5">
      <w:pPr>
        <w:spacing w:line="360" w:lineRule="auto"/>
        <w:ind w:firstLine="480" w:firstLineChars="200"/>
        <w:rPr>
          <w:rFonts w:ascii="宋体" w:hint="eastAsia"/>
          <w:color w:val="000000"/>
          <w:sz w:val="24"/>
        </w:rPr>
      </w:pPr>
      <w:r>
        <w:rPr>
          <w:rFonts w:ascii="宋体" w:hint="eastAsia"/>
          <w:color w:val="000000"/>
          <w:sz w:val="24"/>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rsidR="009138E5">
      <w:pPr>
        <w:spacing w:line="360" w:lineRule="auto"/>
        <w:ind w:firstLine="480" w:firstLineChars="200"/>
        <w:rPr>
          <w:rFonts w:ascii="宋体" w:hint="eastAsia"/>
          <w:color w:val="000000"/>
          <w:sz w:val="24"/>
        </w:rPr>
      </w:pPr>
      <w:r>
        <w:rPr>
          <w:rFonts w:ascii="宋体" w:hint="eastAsia"/>
          <w:color w:val="000000"/>
          <w:sz w:val="24"/>
        </w:rPr>
        <w:t>（二）如果甲方在使用乙方货物或货物的任何一部分过程中，因侵犯第三方合法权益（包括但不限于知识产权）而遭致第三方索赔或主张权利的，乙方将自费为甲方应诉，并支付法院最终判决的甲方应支付第三方的一切费用、并赔偿甲方由此遭受的全部损失及支出的合理费用。</w:t>
      </w:r>
    </w:p>
    <w:p w:rsidR="009138E5">
      <w:pPr>
        <w:spacing w:line="360" w:lineRule="auto"/>
        <w:ind w:firstLine="480" w:firstLineChars="200"/>
        <w:rPr>
          <w:rFonts w:ascii="宋体" w:hint="eastAsia"/>
          <w:color w:val="000000"/>
          <w:sz w:val="24"/>
        </w:rPr>
      </w:pPr>
      <w:r>
        <w:rPr>
          <w:rFonts w:ascii="宋体" w:hint="eastAsia"/>
          <w:color w:val="000000"/>
          <w:sz w:val="24"/>
        </w:rPr>
        <w:t>（三）如乙方提供的货物或服务确实侵犯了第三方合法权益（包括但不限于知识产权）的，甲方有权解除合同，没收履约保证金，要求乙方退回已支付的全部货款，并赔偿甲方的全部损失及支出的合理费用。</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第十五条 权利瑕疵担保</w:t>
      </w:r>
    </w:p>
    <w:p w:rsidR="009138E5">
      <w:pPr>
        <w:spacing w:line="360" w:lineRule="auto"/>
        <w:ind w:firstLine="480" w:firstLineChars="200"/>
        <w:rPr>
          <w:rFonts w:ascii="宋体" w:hint="eastAsia"/>
          <w:color w:val="000000"/>
          <w:sz w:val="24"/>
        </w:rPr>
      </w:pPr>
      <w:r>
        <w:rPr>
          <w:rFonts w:ascii="宋体" w:hint="eastAsia"/>
          <w:color w:val="000000"/>
          <w:sz w:val="24"/>
        </w:rPr>
        <w:t>（一）乙方保证对其所提供的货物享有完全的所有权等合法权利，不存在任何未曾向甲方透露的担保物权（如抵押权、质押权、留置权等）或其他任何权利负担或争议。</w:t>
      </w:r>
    </w:p>
    <w:p w:rsidR="009138E5">
      <w:pPr>
        <w:pStyle w:val="50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（二）乙方应保证所提供的货物免受第三方提出的任何权利主张，如因第三方提出权利主张给甲方造成损失的，乙方应予以赔偿。</w:t>
      </w:r>
    </w:p>
    <w:p w:rsidR="009138E5">
      <w:pPr>
        <w:spacing w:line="360" w:lineRule="auto"/>
        <w:ind w:firstLine="480" w:firstLineChars="200"/>
        <w:rPr>
          <w:rFonts w:ascii="宋体" w:hint="eastAsia"/>
          <w:color w:val="000000"/>
          <w:sz w:val="24"/>
        </w:rPr>
      </w:pPr>
      <w:r>
        <w:rPr>
          <w:rFonts w:ascii="宋体" w:hint="eastAsia"/>
          <w:color w:val="000000"/>
          <w:sz w:val="24"/>
        </w:rPr>
        <w:t>（三）如乙方所提供的货物存在前述担保货物或权利负担，甲方有权解除合同、没收履约保证金，并要求乙方退还已支付的全部货款，赔偿甲方的全部损失及支出的合理费用。</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第十六条 不可抗力及其免责</w:t>
      </w:r>
    </w:p>
    <w:p w:rsidR="009138E5">
      <w:pPr>
        <w:spacing w:line="360" w:lineRule="auto"/>
        <w:ind w:firstLine="480" w:firstLineChars="200"/>
        <w:rPr>
          <w:rFonts w:ascii="宋体" w:hint="eastAsia"/>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rsidR="009138E5">
      <w:pPr>
        <w:spacing w:line="360" w:lineRule="auto"/>
        <w:ind w:firstLine="480" w:firstLineChars="200"/>
        <w:rPr>
          <w:rFonts w:ascii="宋体" w:hint="eastAsia"/>
          <w:color w:val="000000"/>
          <w:sz w:val="24"/>
        </w:rPr>
      </w:pPr>
      <w:r>
        <w:rPr>
          <w:rFonts w:ascii="宋体" w:hint="eastAsia"/>
          <w:color w:val="000000"/>
          <w:sz w:val="24"/>
        </w:rPr>
        <w:t>（二）在不可抗力事件发生后，乙方应尽快以书面形式将不可抗力的情况和原因通知甲方，除甲方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rsidR="009138E5">
      <w:pPr>
        <w:spacing w:line="360" w:lineRule="auto"/>
        <w:ind w:firstLine="480" w:firstLineChars="200"/>
        <w:rPr>
          <w:rFonts w:ascii="宋体" w:hint="eastAsia"/>
          <w:color w:val="000000"/>
          <w:sz w:val="24"/>
        </w:rPr>
      </w:pPr>
      <w:r>
        <w:rPr>
          <w:rFonts w:ascii="宋体" w:hint="eastAsia"/>
          <w:color w:val="000000"/>
          <w:sz w:val="24"/>
        </w:rPr>
        <w:t>（三）乙方在延迟履行合同期间由于不可抗力而不能履行合同的，不能被免除责任。</w:t>
      </w:r>
    </w:p>
    <w:p w:rsidR="009138E5">
      <w:pPr>
        <w:spacing w:line="360" w:lineRule="auto"/>
        <w:ind w:firstLine="480" w:firstLineChars="200"/>
        <w:rPr>
          <w:rFonts w:ascii="宋体" w:hint="eastAsia"/>
          <w:color w:val="000000"/>
          <w:sz w:val="24"/>
        </w:rPr>
      </w:pPr>
      <w:r>
        <w:rPr>
          <w:rFonts w:ascii="宋体" w:hint="eastAsia"/>
          <w:color w:val="000000"/>
          <w:sz w:val="24"/>
        </w:rPr>
        <w:t>（四）甲方如遇不可抗力，应尽快以书面形式通知乙方，并尽实际可能履行不受不可抗力影响的其他事项。甲方不承担因不可抗力不能履行合同所造成的损失。</w:t>
      </w:r>
    </w:p>
    <w:p w:rsidR="009138E5">
      <w:pPr>
        <w:spacing w:line="360" w:lineRule="auto"/>
        <w:ind w:firstLine="480" w:firstLineChars="200"/>
        <w:rPr>
          <w:rFonts w:ascii="宋体" w:hint="eastAsia"/>
          <w:color w:val="000000"/>
          <w:sz w:val="24"/>
        </w:rPr>
      </w:pPr>
      <w:r>
        <w:rPr>
          <w:rFonts w:ascii="宋体" w:hint="eastAsia"/>
          <w:color w:val="000000"/>
          <w:sz w:val="24"/>
        </w:rPr>
        <w:t>（五）本条所述的</w:t>
      </w:r>
      <w:r>
        <w:rPr>
          <w:rFonts w:ascii="宋体" w:hint="eastAsia"/>
          <w:color w:val="000000"/>
          <w:sz w:val="24"/>
        </w:rPr>
        <w:t>“</w:t>
      </w:r>
      <w:r>
        <w:rPr>
          <w:rFonts w:ascii="宋体" w:hint="eastAsia"/>
          <w:color w:val="000000"/>
          <w:sz w:val="24"/>
        </w:rPr>
        <w:t>不可抗力</w:t>
      </w:r>
      <w:r>
        <w:rPr>
          <w:rFonts w:ascii="宋体" w:hint="eastAsia"/>
          <w:color w:val="000000"/>
          <w:sz w:val="24"/>
        </w:rPr>
        <w:t>”</w:t>
      </w:r>
      <w:r>
        <w:rPr>
          <w:rFonts w:ascii="宋体" w:hint="eastAsia"/>
          <w:color w:val="000000"/>
          <w:sz w:val="24"/>
        </w:rPr>
        <w:t>指那些不能预见、不能避免并不能克服的客观情况，包括但不限于战争、动乱、严重火灾、洪水、台风、地震等及其他双方同意的情况，但不包括违约或疏忽。</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第十七条 争议的解决</w:t>
      </w:r>
    </w:p>
    <w:p w:rsidR="009138E5">
      <w:pPr>
        <w:spacing w:line="360" w:lineRule="auto"/>
        <w:ind w:firstLine="480" w:firstLineChars="200"/>
        <w:rPr>
          <w:rFonts w:ascii="宋体" w:hint="eastAsia"/>
          <w:color w:val="000000"/>
          <w:sz w:val="24"/>
        </w:rPr>
      </w:pPr>
      <w:r>
        <w:rPr>
          <w:rFonts w:ascii="宋体" w:hint="eastAsia"/>
          <w:color w:val="000000"/>
          <w:sz w:val="24"/>
        </w:rPr>
        <w:t>（一）合同实施或与合同有关的一切争议应通过双方友好协商解决。如果友好协商开始</w:t>
      </w:r>
      <w:r>
        <w:rPr>
          <w:rFonts w:ascii="宋体" w:hint="eastAsia"/>
          <w:color w:val="000000"/>
          <w:sz w:val="24"/>
          <w:u w:val="words"/>
        </w:rPr>
        <w:t>六十天</w:t>
      </w:r>
      <w:r>
        <w:rPr>
          <w:rFonts w:ascii="宋体" w:hint="eastAsia"/>
          <w:color w:val="000000"/>
          <w:sz w:val="24"/>
        </w:rPr>
        <w:t>内还不能解决，争议应提交仲裁。</w:t>
      </w:r>
    </w:p>
    <w:p w:rsidR="009138E5">
      <w:pPr>
        <w:spacing w:line="360" w:lineRule="auto"/>
        <w:ind w:firstLine="480" w:firstLineChars="200"/>
        <w:rPr>
          <w:rFonts w:ascii="宋体" w:hint="eastAsia"/>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rsidR="009138E5">
      <w:pPr>
        <w:spacing w:line="360" w:lineRule="auto"/>
        <w:ind w:firstLine="480" w:firstLineChars="200"/>
        <w:rPr>
          <w:rFonts w:ascii="宋体" w:hint="eastAsia"/>
          <w:color w:val="000000"/>
          <w:sz w:val="24"/>
        </w:rPr>
      </w:pPr>
      <w:r>
        <w:rPr>
          <w:rFonts w:ascii="宋体" w:hint="eastAsia"/>
          <w:color w:val="000000"/>
          <w:sz w:val="24"/>
        </w:rPr>
        <w:t>（三）仲裁费除仲裁机关另有裁决外均应由败诉方负担。</w:t>
      </w:r>
    </w:p>
    <w:p w:rsidR="009138E5">
      <w:pPr>
        <w:spacing w:line="360" w:lineRule="auto"/>
        <w:ind w:firstLine="480" w:firstLineChars="200"/>
        <w:rPr>
          <w:rFonts w:ascii="宋体" w:hint="eastAsia"/>
          <w:color w:val="000000"/>
          <w:sz w:val="24"/>
        </w:rPr>
      </w:pPr>
      <w:r>
        <w:rPr>
          <w:rFonts w:ascii="宋体" w:hint="eastAsia"/>
          <w:color w:val="000000"/>
          <w:sz w:val="24"/>
        </w:rPr>
        <w:t>（四）在仲裁期间，除正在进行仲裁的部分外，本合同其他部分应继续履行。</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第十八条 合同修改或变更</w:t>
      </w:r>
    </w:p>
    <w:p w:rsidR="009138E5">
      <w:pPr>
        <w:spacing w:line="360" w:lineRule="auto"/>
        <w:ind w:firstLine="480" w:firstLineChars="200"/>
        <w:rPr>
          <w:rFonts w:ascii="宋体" w:hint="eastAsia"/>
          <w:color w:val="000000"/>
          <w:sz w:val="24"/>
        </w:rPr>
      </w:pPr>
      <w:r>
        <w:rPr>
          <w:rFonts w:ascii="宋体" w:hint="eastAsia"/>
          <w:color w:val="000000"/>
          <w:sz w:val="24"/>
        </w:rPr>
        <w:t>（一）如无重大变故，甲乙双方不得擅自变更合同。</w:t>
      </w:r>
    </w:p>
    <w:p w:rsidR="009138E5">
      <w:pPr>
        <w:spacing w:line="360" w:lineRule="auto"/>
        <w:ind w:firstLine="480" w:firstLineChars="200"/>
        <w:rPr>
          <w:rFonts w:ascii="宋体" w:hint="eastAsia"/>
          <w:color w:val="000000"/>
          <w:sz w:val="24"/>
        </w:rPr>
      </w:pPr>
      <w:r>
        <w:rPr>
          <w:rFonts w:ascii="宋体" w:hint="eastAsia"/>
          <w:color w:val="000000"/>
          <w:sz w:val="24"/>
        </w:rPr>
        <w:t>（二）如确需变更合同，甲乙双方应签署书面变更协议。变更协议为本合同不可分割的一部分。</w:t>
      </w:r>
    </w:p>
    <w:p w:rsidR="009138E5">
      <w:pPr>
        <w:spacing w:line="360" w:lineRule="auto"/>
        <w:ind w:firstLine="480" w:firstLineChars="200"/>
        <w:rPr>
          <w:rFonts w:ascii="宋体" w:hint="eastAsia"/>
          <w:color w:val="000000"/>
          <w:sz w:val="24"/>
        </w:rPr>
      </w:pPr>
      <w:r>
        <w:rPr>
          <w:rFonts w:ascii="宋体" w:hint="eastAsia"/>
          <w:color w:val="000000"/>
          <w:sz w:val="24"/>
        </w:rPr>
        <w:t>（三）在不改变合同其他条款的前提下，甲方有权在合同价款10%的范围内追加与合同标的相同的货物或服务，并就此与乙方签订补充合同，乙方不得拒绝。</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第十九条 合同中止</w:t>
      </w:r>
    </w:p>
    <w:p w:rsidR="009138E5">
      <w:pPr>
        <w:spacing w:line="360" w:lineRule="auto"/>
        <w:ind w:firstLine="480" w:firstLineChars="200"/>
        <w:rPr>
          <w:rFonts w:ascii="宋体" w:hint="eastAsia"/>
          <w:color w:val="000000"/>
          <w:sz w:val="24"/>
        </w:rPr>
      </w:pPr>
      <w:r>
        <w:rPr>
          <w:rFonts w:ascii="宋体" w:hint="eastAsia"/>
          <w:color w:val="000000"/>
          <w:sz w:val="24"/>
        </w:rPr>
        <w:t>（一）合同在履行过程中，因采购计划调整，甲方可以要求中止履行，待计划确定后继续履行。</w:t>
      </w:r>
    </w:p>
    <w:p w:rsidR="009138E5">
      <w:pPr>
        <w:spacing w:line="360" w:lineRule="auto"/>
        <w:ind w:firstLine="480" w:firstLineChars="200"/>
        <w:rPr>
          <w:rFonts w:ascii="宋体" w:hint="eastAsia"/>
          <w:color w:val="000000"/>
          <w:sz w:val="24"/>
        </w:rPr>
      </w:pPr>
      <w:r>
        <w:rPr>
          <w:rFonts w:ascii="宋体" w:hint="eastAsia"/>
          <w:color w:val="000000"/>
          <w:sz w:val="24"/>
        </w:rPr>
        <w:t>（二）合同签订或履行过程中因其他供应商就采购过程或结果提起质疑、投诉、行政复议、行政诉讼的，甲方认为有必要或财政部责令中止的，应当中止合同的履行。</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第二十条 合同解除</w:t>
      </w:r>
    </w:p>
    <w:p w:rsidR="009138E5">
      <w:pPr>
        <w:spacing w:line="360" w:lineRule="auto"/>
        <w:ind w:firstLine="480" w:firstLineChars="200"/>
        <w:rPr>
          <w:rFonts w:ascii="宋体" w:hint="eastAsia"/>
          <w:color w:val="000000"/>
          <w:sz w:val="24"/>
        </w:rPr>
      </w:pPr>
      <w:r>
        <w:rPr>
          <w:rFonts w:ascii="宋体" w:hint="eastAsia"/>
          <w:color w:val="000000"/>
          <w:sz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rsidR="009138E5">
      <w:pPr>
        <w:spacing w:line="360" w:lineRule="auto"/>
        <w:ind w:firstLine="480" w:firstLineChars="200"/>
        <w:rPr>
          <w:rFonts w:ascii="宋体" w:hint="eastAsia"/>
          <w:color w:val="000000"/>
          <w:sz w:val="24"/>
        </w:rPr>
      </w:pPr>
      <w:r>
        <w:rPr>
          <w:rFonts w:ascii="宋体" w:hint="eastAsia"/>
          <w:color w:val="000000"/>
          <w:sz w:val="24"/>
        </w:rPr>
        <w:t>（一）因违约解除合同</w:t>
      </w:r>
    </w:p>
    <w:p w:rsidR="009138E5">
      <w:pPr>
        <w:spacing w:line="360" w:lineRule="auto"/>
        <w:ind w:firstLine="480" w:firstLineChars="200"/>
        <w:rPr>
          <w:rFonts w:ascii="宋体" w:hint="eastAsia"/>
          <w:color w:val="000000"/>
          <w:sz w:val="24"/>
        </w:rPr>
      </w:pPr>
      <w:r>
        <w:rPr>
          <w:rFonts w:ascii="宋体" w:hint="eastAsia"/>
          <w:color w:val="000000"/>
          <w:sz w:val="24"/>
        </w:rPr>
        <w:t>1.在甲方对乙方违约而采取的任何补救措施不受影响的情况下，甲方可向乙方发出书面违约通知书，提出解除部分或全部合同：</w:t>
      </w:r>
    </w:p>
    <w:p w:rsidR="009138E5">
      <w:pPr>
        <w:spacing w:line="360" w:lineRule="auto"/>
        <w:ind w:firstLine="480" w:firstLineChars="200"/>
        <w:rPr>
          <w:rFonts w:ascii="宋体" w:hint="eastAsia"/>
          <w:color w:val="000000"/>
          <w:sz w:val="24"/>
        </w:rPr>
      </w:pPr>
      <w:r>
        <w:rPr>
          <w:rFonts w:ascii="宋体" w:hint="eastAsia"/>
          <w:color w:val="000000"/>
          <w:sz w:val="24"/>
        </w:rPr>
        <w:t>（1）如果乙方未能在合同规定的期限或甲方根据合同条款的规定同意延长的限期内提供部分或全部的货物或服务，达到合同所规定的要求；</w:t>
      </w:r>
    </w:p>
    <w:p w:rsidR="009138E5">
      <w:pPr>
        <w:pStyle w:val="6611"/>
        <w:spacing w:line="360" w:lineRule="auto"/>
        <w:ind w:firstLine="480" w:firstLineChars="200"/>
        <w:rPr>
          <w:rFonts w:ascii="宋体" w:eastAsia="宋体" w:hint="eastAsia"/>
          <w:color w:val="000000"/>
          <w:sz w:val="24"/>
          <w:szCs w:val="24"/>
        </w:rPr>
      </w:pPr>
      <w:r>
        <w:rPr>
          <w:rFonts w:ascii="宋体" w:eastAsia="宋体" w:hint="eastAsia"/>
          <w:color w:val="000000"/>
          <w:sz w:val="24"/>
          <w:szCs w:val="24"/>
        </w:rPr>
        <w:t>（2）如果甲方发现乙方在本合同的竞争或实施中有欺诈行为。</w:t>
      </w:r>
    </w:p>
    <w:p w:rsidR="009138E5">
      <w:pPr>
        <w:spacing w:line="360" w:lineRule="auto"/>
        <w:ind w:firstLine="480" w:firstLineChars="200"/>
        <w:rPr>
          <w:rFonts w:ascii="宋体" w:hint="eastAsia"/>
          <w:color w:val="000000"/>
          <w:sz w:val="24"/>
        </w:rPr>
      </w:pPr>
      <w:r>
        <w:rPr>
          <w:rFonts w:ascii="宋体" w:hint="eastAsia"/>
          <w:color w:val="000000"/>
          <w:sz w:val="24"/>
        </w:rPr>
        <w:t>（3）如果乙方未能履行合同规定的其他任何义务。</w:t>
      </w:r>
    </w:p>
    <w:p w:rsidR="009138E5">
      <w:pPr>
        <w:spacing w:line="360" w:lineRule="auto"/>
        <w:ind w:firstLine="480" w:firstLineChars="200"/>
        <w:rPr>
          <w:rFonts w:ascii="宋体" w:hint="eastAsia"/>
          <w:color w:val="000000"/>
          <w:sz w:val="24"/>
        </w:rPr>
      </w:pPr>
      <w:r>
        <w:rPr>
          <w:rFonts w:ascii="宋体" w:hint="eastAsia"/>
          <w:color w:val="000000"/>
          <w:sz w:val="24"/>
        </w:rPr>
        <w:t>2.如果甲方根据上述规定与乙方全部或部分解除合同，</w:t>
      </w:r>
      <w:r>
        <w:rPr>
          <w:rFonts w:ascii="宋体" w:hint="eastAsia"/>
          <w:bCs/>
          <w:color w:val="000000"/>
          <w:sz w:val="24"/>
        </w:rPr>
        <w:t>甲方可以依其认为适当的条件和方法购买乙方未能提供的货物或服务，乙方应对甲方购买类似货物或服务所超出的费用负责</w:t>
      </w:r>
      <w:r>
        <w:rPr>
          <w:rFonts w:ascii="宋体" w:hint="eastAsia"/>
          <w:color w:val="000000"/>
          <w:sz w:val="24"/>
        </w:rPr>
        <w:t>。</w:t>
      </w:r>
      <w:r>
        <w:rPr>
          <w:rFonts w:ascii="宋体" w:hint="eastAsia"/>
          <w:bCs/>
          <w:color w:val="000000"/>
          <w:sz w:val="24"/>
        </w:rPr>
        <w:t>同时，乙方应继续执行合同中未解除的部分。</w:t>
      </w:r>
    </w:p>
    <w:p w:rsidR="009138E5">
      <w:pPr>
        <w:spacing w:line="360" w:lineRule="auto"/>
        <w:ind w:firstLine="480" w:firstLineChars="200"/>
        <w:rPr>
          <w:rFonts w:ascii="宋体" w:hint="eastAsia"/>
          <w:color w:val="000000"/>
          <w:sz w:val="24"/>
        </w:rPr>
      </w:pPr>
      <w:r>
        <w:rPr>
          <w:rFonts w:ascii="宋体" w:hint="eastAsia"/>
          <w:color w:val="000000"/>
          <w:sz w:val="24"/>
        </w:rPr>
        <w:t>（二）因破产而解除合同</w:t>
      </w:r>
    </w:p>
    <w:p w:rsidR="009138E5">
      <w:pPr>
        <w:spacing w:line="360" w:lineRule="auto"/>
        <w:ind w:firstLine="480" w:firstLineChars="200"/>
        <w:rPr>
          <w:rFonts w:ascii="宋体" w:hint="eastAsia"/>
          <w:color w:val="000000"/>
          <w:sz w:val="24"/>
        </w:rPr>
      </w:pPr>
      <w:r>
        <w:rPr>
          <w:rFonts w:ascii="宋体" w:hint="eastAsia"/>
          <w:color w:val="000000"/>
          <w:sz w:val="24"/>
        </w:rPr>
        <w:t>1.如果乙方破产或无清偿能力，甲方可在任何时候以书面形式通知乙方，提出解除合同而不给乙方补偿，并有权要求乙方退回甲方已支付的合同货款。</w:t>
      </w:r>
    </w:p>
    <w:p w:rsidR="009138E5">
      <w:pPr>
        <w:spacing w:line="360" w:lineRule="auto"/>
        <w:ind w:firstLine="480" w:firstLineChars="200"/>
        <w:rPr>
          <w:rFonts w:ascii="宋体" w:hint="eastAsia"/>
          <w:color w:val="000000"/>
          <w:sz w:val="24"/>
        </w:rPr>
      </w:pPr>
      <w:r>
        <w:rPr>
          <w:rFonts w:ascii="宋体" w:hint="eastAsia"/>
          <w:color w:val="000000"/>
          <w:sz w:val="24"/>
        </w:rPr>
        <w:t>2.该解除合同将不损害或影响甲方已经采取或将要采取的任何行动或补救措施的权利。</w:t>
      </w:r>
    </w:p>
    <w:p w:rsidR="009138E5">
      <w:pPr>
        <w:spacing w:line="360" w:lineRule="auto"/>
        <w:ind w:firstLine="480" w:firstLineChars="200"/>
        <w:rPr>
          <w:rFonts w:ascii="宋体" w:hint="eastAsia"/>
          <w:color w:val="000000"/>
          <w:sz w:val="24"/>
        </w:rPr>
      </w:pPr>
      <w:r>
        <w:rPr>
          <w:rFonts w:ascii="宋体" w:hint="eastAsia"/>
          <w:color w:val="000000"/>
          <w:sz w:val="24"/>
        </w:rPr>
        <w:t>（三）其他解除合同情况</w:t>
      </w:r>
    </w:p>
    <w:p w:rsidR="009138E5">
      <w:pPr>
        <w:spacing w:line="360" w:lineRule="auto"/>
        <w:ind w:firstLine="480" w:firstLineChars="200"/>
        <w:rPr>
          <w:rFonts w:ascii="宋体" w:hint="eastAsia"/>
          <w:color w:val="000000"/>
          <w:sz w:val="24"/>
        </w:rPr>
      </w:pPr>
      <w:r>
        <w:rPr>
          <w:rFonts w:ascii="宋体" w:hint="eastAsia"/>
          <w:color w:val="000000"/>
          <w:sz w:val="24"/>
        </w:rPr>
        <w:t>1.若合同继续履行将给甲方造成重大损失的，甲方可以解除合同而不给予乙方任何补偿。</w:t>
      </w:r>
    </w:p>
    <w:p w:rsidR="009138E5">
      <w:pPr>
        <w:spacing w:line="360" w:lineRule="auto"/>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2.乙方在执行合同的过程中发生重大变故，对履行合同有影响的，甲方可以解除合同而不给予乙方任何补偿。</w:t>
      </w:r>
    </w:p>
    <w:p w:rsidR="009138E5">
      <w:pPr>
        <w:spacing w:line="360" w:lineRule="auto"/>
        <w:ind w:firstLine="480" w:firstLineChars="200"/>
        <w:rPr>
          <w:rFonts w:ascii="宋体" w:hint="eastAsia"/>
          <w:color w:val="000000"/>
          <w:sz w:val="24"/>
        </w:rPr>
      </w:pPr>
      <w:r>
        <w:rPr>
          <w:rFonts w:ascii="宋体" w:hint="eastAsia"/>
          <w:color w:val="000000"/>
          <w:sz w:val="24"/>
        </w:rPr>
        <w:t>3.甲方因重大变故取消或部分取消原来的采购任务，导致合同全部或部分内容无需继续履行的，可以解除合同而不给予乙方任何补偿。</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第二十一条 合同终止</w:t>
      </w:r>
    </w:p>
    <w:p w:rsidR="009138E5">
      <w:pPr>
        <w:pStyle w:val="30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（一）本合同因下列原因而终止：</w:t>
      </w:r>
    </w:p>
    <w:p w:rsidR="009138E5">
      <w:pPr>
        <w:pStyle w:val="30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1.本合同正常履行完毕；</w:t>
      </w:r>
    </w:p>
    <w:p w:rsidR="009138E5">
      <w:pPr>
        <w:pStyle w:val="30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2.合同双方协议终止本合同的履行；</w:t>
      </w:r>
    </w:p>
    <w:p w:rsidR="009138E5">
      <w:pPr>
        <w:pStyle w:val="30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3.不可抗力事件导致本合同无法履行或履行不必要；</w:t>
      </w:r>
    </w:p>
    <w:p w:rsidR="009138E5">
      <w:pPr>
        <w:pStyle w:val="3010"/>
        <w:autoSpaceDN w:val="0"/>
        <w:spacing w:line="360" w:lineRule="auto"/>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4.任何一方行使解除权，解除本合同；</w:t>
      </w:r>
    </w:p>
    <w:p w:rsidR="009138E5">
      <w:pPr>
        <w:pStyle w:val="3010"/>
        <w:autoSpaceDN w:val="0"/>
        <w:spacing w:line="360" w:lineRule="auto"/>
        <w:ind w:firstLine="480" w:firstLineChars="200"/>
        <w:jc w:val="left"/>
        <w:rPr>
          <w:rFonts w:ascii="宋体" w:cs="微软雅黑" w:hint="eastAsia"/>
          <w:snapToGrid w:val="0"/>
          <w:kern w:val="0"/>
          <w:sz w:val="24"/>
          <w:szCs w:val="24"/>
        </w:rPr>
      </w:pPr>
      <w:bookmarkStart w:id="48" w:name="孔子"/>
      <w:bookmarkEnd w:id="48"/>
      <w:r>
        <w:rPr>
          <w:rFonts w:ascii="宋体" w:cs="微软雅黑" w:hint="eastAsia"/>
          <w:snapToGrid w:val="0"/>
          <w:kern w:val="0"/>
          <w:sz w:val="24"/>
          <w:szCs w:val="24"/>
        </w:rPr>
        <w:t>（二）对本合同终止有过错的一方应赔偿另一方因合同终止而受到的损失。</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第二十二条 合同转让和分包</w:t>
      </w:r>
    </w:p>
    <w:p w:rsidR="009138E5">
      <w:pPr>
        <w:spacing w:line="360" w:lineRule="auto"/>
        <w:ind w:firstLine="480" w:firstLineChars="200"/>
        <w:rPr>
          <w:rFonts w:ascii="宋体" w:hint="eastAsia"/>
          <w:color w:val="000000"/>
          <w:sz w:val="24"/>
        </w:rPr>
      </w:pPr>
      <w:r>
        <w:rPr>
          <w:rFonts w:ascii="宋体" w:hint="eastAsia"/>
          <w:color w:val="000000"/>
          <w:sz w:val="24"/>
        </w:rPr>
        <w:t>（一）乙方不得以任何形式将合同转包，或部分或全部转让其应履行的合同义务。</w:t>
      </w:r>
    </w:p>
    <w:p w:rsidR="009138E5">
      <w:pPr>
        <w:spacing w:line="360" w:lineRule="auto"/>
        <w:ind w:firstLine="480" w:firstLineChars="200"/>
        <w:rPr>
          <w:rFonts w:ascii="宋体" w:hint="eastAsia"/>
          <w:color w:val="000000"/>
          <w:sz w:val="24"/>
        </w:rPr>
      </w:pPr>
      <w:r>
        <w:rPr>
          <w:rFonts w:ascii="宋体" w:hint="eastAsia"/>
          <w:color w:val="000000"/>
          <w:sz w:val="24"/>
        </w:rPr>
        <w:t>（二）除经甲方事先书面同意外，乙方不得以任何形式将合同分包。</w:t>
      </w:r>
    </w:p>
    <w:p w:rsidR="009138E5">
      <w:pPr>
        <w:spacing w:line="360" w:lineRule="auto"/>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乙方擅自转包或分包的，甲方有权解除本合同，没收履约保证金，并要求乙方退还已支付的全部货款，赔偿甲方全部损失及支出的合理费用。</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第二十三条 其他</w:t>
      </w:r>
    </w:p>
    <w:p w:rsidR="009138E5">
      <w:pPr>
        <w:spacing w:line="360" w:lineRule="auto"/>
        <w:ind w:firstLine="480" w:firstLineChars="200"/>
        <w:rPr>
          <w:rFonts w:ascii="宋体" w:hint="eastAsia"/>
          <w:color w:val="000000"/>
          <w:sz w:val="24"/>
        </w:rPr>
      </w:pPr>
      <w:r>
        <w:rPr>
          <w:rFonts w:ascii="宋体" w:hint="eastAsia"/>
          <w:color w:val="000000"/>
          <w:sz w:val="24"/>
        </w:rPr>
        <w:t>中标通知书、中标人的投标文件、招标文件、合同条款、合同附件是本合同不可分割的部分，与本合同具有同等法律效力。</w:t>
      </w:r>
    </w:p>
    <w:p w:rsidR="009138E5" w:rsidP="00077DA5">
      <w:pPr>
        <w:spacing w:line="360" w:lineRule="auto"/>
        <w:ind w:firstLine="480" w:firstLineChars="200"/>
        <w:rPr>
          <w:rFonts w:ascii="宋体" w:hint="eastAsia"/>
          <w:b/>
          <w:bCs/>
          <w:color w:val="000000"/>
          <w:sz w:val="24"/>
        </w:rPr>
      </w:pPr>
      <w:r>
        <w:rPr>
          <w:rFonts w:ascii="宋体" w:hint="eastAsia"/>
          <w:b/>
          <w:bCs/>
          <w:color w:val="000000"/>
          <w:sz w:val="24"/>
        </w:rPr>
        <w:t>第二十四条 合同生效</w:t>
      </w:r>
    </w:p>
    <w:p w:rsidR="009138E5">
      <w:pPr>
        <w:spacing w:line="360" w:lineRule="auto"/>
        <w:ind w:firstLine="480" w:firstLineChars="200"/>
        <w:rPr>
          <w:rFonts w:ascii="宋体" w:hint="eastAsia"/>
          <w:color w:val="000000"/>
          <w:sz w:val="24"/>
        </w:rPr>
      </w:pPr>
      <w:r>
        <w:rPr>
          <w:rFonts w:ascii="宋体" w:hint="eastAsia"/>
          <w:color w:val="000000"/>
          <w:sz w:val="24"/>
        </w:rPr>
        <w:t>（一）本合同一式4份，甲方执2份，乙方执2份；自甲乙双方签字盖章之日起生效。对本合同的任何更改及补充，均需双方共同协商，并以书面形式盖章确认。</w:t>
      </w:r>
    </w:p>
    <w:p w:rsidR="009138E5">
      <w:pPr>
        <w:pStyle w:val="3110"/>
        <w:widowControl/>
        <w:autoSpaceDN w:val="0"/>
        <w:spacing w:line="360" w:lineRule="auto"/>
        <w:ind w:firstLine="480" w:firstLineChars="200"/>
        <w:jc w:val="left"/>
        <w:rPr>
          <w:rFonts w:ascii="宋体" w:cs="宋体" w:hint="eastAsia"/>
          <w:snapToGrid w:val="0"/>
          <w:kern w:val="0"/>
          <w:sz w:val="24"/>
          <w:szCs w:val="24"/>
        </w:rPr>
      </w:pPr>
      <w:r>
        <w:rPr>
          <w:rFonts w:ascii="宋体" w:hint="eastAsia"/>
          <w:color w:val="000000"/>
          <w:sz w:val="24"/>
          <w:szCs w:val="24"/>
        </w:rPr>
        <w:t>（二）</w:t>
      </w:r>
      <w:r>
        <w:rPr>
          <w:rFonts w:ascii="宋体" w:cs="宋体" w:hint="eastAsia"/>
          <w:snapToGrid w:val="0"/>
          <w:kern w:val="0"/>
          <w:sz w:val="24"/>
          <w:szCs w:val="24"/>
        </w:rPr>
        <w:t>本合同签订后，由</w:t>
      </w:r>
      <w:r>
        <w:rPr>
          <w:rFonts w:ascii="宋体" w:cs="宋体" w:hint="eastAsia"/>
          <w:snapToGrid w:val="0"/>
          <w:kern w:val="0"/>
          <w:sz w:val="24"/>
          <w:szCs w:val="24"/>
          <w:u w:val="single"/>
        </w:rPr>
        <w:t>甲方</w:t>
      </w:r>
      <w:r>
        <w:rPr>
          <w:rFonts w:ascii="宋体" w:cs="宋体" w:hint="eastAsia"/>
          <w:snapToGrid w:val="0"/>
          <w:kern w:val="0"/>
          <w:sz w:val="24"/>
          <w:szCs w:val="24"/>
        </w:rPr>
        <w:t>执行资金支付、履约保证金收退、货物或项目验收等合同履约一切事宜。</w:t>
      </w:r>
    </w:p>
    <w:p w:rsidR="009138E5">
      <w:pPr>
        <w:spacing w:line="360" w:lineRule="auto"/>
        <w:ind w:firstLine="480" w:firstLineChars="200"/>
        <w:rPr>
          <w:rFonts w:ascii="宋体" w:hint="eastAsia"/>
          <w:color w:val="000000"/>
          <w:sz w:val="24"/>
        </w:rPr>
      </w:pPr>
      <w:r>
        <w:rPr>
          <w:rFonts w:ascii="宋体" w:hint="eastAsia"/>
          <w:color w:val="000000"/>
          <w:sz w:val="24"/>
        </w:rPr>
        <w:t>本合同包含附件</w:t>
      </w:r>
      <w:r>
        <w:rPr>
          <w:rFonts w:ascii="宋体" w:hint="eastAsia"/>
          <w:color w:val="000000"/>
          <w:sz w:val="24"/>
          <w:u w:val="single"/>
        </w:rPr>
        <w:t xml:space="preserve">     </w:t>
      </w:r>
      <w:r>
        <w:rPr>
          <w:rFonts w:ascii="宋体" w:hint="eastAsia"/>
          <w:color w:val="000000"/>
          <w:sz w:val="24"/>
        </w:rPr>
        <w:t>份</w:t>
      </w:r>
    </w:p>
    <w:p w:rsidR="009138E5">
      <w:pPr>
        <w:spacing w:line="360" w:lineRule="auto"/>
        <w:ind w:firstLine="480" w:firstLineChars="200"/>
        <w:rPr>
          <w:rFonts w:ascii="宋体" w:hint="eastAsia"/>
          <w:color w:val="000000"/>
          <w:sz w:val="24"/>
        </w:rPr>
      </w:pPr>
      <w:r>
        <w:rPr>
          <w:rFonts w:ascii="宋体" w:hint="eastAsia"/>
          <w:color w:val="000000"/>
          <w:sz w:val="24"/>
        </w:rPr>
        <w:t>附件一：分项报价表</w:t>
      </w:r>
    </w:p>
    <w:p w:rsidR="009138E5">
      <w:pPr>
        <w:spacing w:line="360" w:lineRule="auto"/>
        <w:ind w:firstLine="480" w:firstLineChars="200"/>
        <w:rPr>
          <w:rFonts w:ascii="宋体" w:hint="eastAsia"/>
          <w:color w:val="000000"/>
          <w:sz w:val="24"/>
        </w:rPr>
      </w:pPr>
      <w:r>
        <w:rPr>
          <w:rFonts w:ascii="宋体" w:hint="eastAsia"/>
          <w:color w:val="000000"/>
          <w:sz w:val="24"/>
        </w:rPr>
        <w:t>附件二：设备配置清单</w:t>
      </w:r>
    </w:p>
    <w:p w:rsidR="009138E5">
      <w:pPr>
        <w:spacing w:line="360" w:lineRule="auto"/>
        <w:ind w:firstLine="480" w:firstLineChars="200"/>
        <w:rPr>
          <w:rFonts w:ascii="宋体" w:hint="eastAsia"/>
          <w:color w:val="000000"/>
          <w:sz w:val="24"/>
        </w:rPr>
      </w:pPr>
      <w:r>
        <w:rPr>
          <w:rFonts w:ascii="宋体" w:hint="eastAsia"/>
          <w:color w:val="000000"/>
          <w:sz w:val="24"/>
        </w:rPr>
        <w:t>附件三：技术偏离表</w:t>
      </w:r>
    </w:p>
    <w:p w:rsidR="009138E5">
      <w:pPr>
        <w:spacing w:line="360" w:lineRule="auto"/>
        <w:ind w:firstLine="480" w:firstLineChars="200"/>
        <w:rPr>
          <w:rFonts w:ascii="宋体" w:hint="eastAsia"/>
          <w:color w:val="000000"/>
          <w:sz w:val="24"/>
        </w:rPr>
      </w:pPr>
      <w:r>
        <w:rPr>
          <w:rFonts w:ascii="宋体" w:hint="eastAsia"/>
          <w:color w:val="000000"/>
          <w:sz w:val="24"/>
        </w:rPr>
        <w:t>附件四：货物分配清单</w:t>
      </w:r>
    </w:p>
    <w:p w:rsidR="009138E5">
      <w:pPr>
        <w:spacing w:line="360" w:lineRule="auto"/>
        <w:ind w:firstLine="480" w:firstLineChars="200"/>
        <w:rPr>
          <w:rFonts w:ascii="宋体" w:hint="eastAsia"/>
          <w:color w:val="000000"/>
          <w:sz w:val="24"/>
        </w:rPr>
      </w:pPr>
      <w:r>
        <w:rPr>
          <w:rFonts w:ascii="宋体" w:hint="eastAsia"/>
          <w:color w:val="000000"/>
          <w:sz w:val="24"/>
        </w:rPr>
        <w:t>附件五：技术培训方案</w:t>
      </w:r>
    </w:p>
    <w:p w:rsidR="009138E5">
      <w:pPr>
        <w:spacing w:line="360" w:lineRule="auto"/>
        <w:ind w:firstLine="480" w:firstLineChars="200"/>
        <w:rPr>
          <w:rFonts w:ascii="宋体" w:hint="eastAsia"/>
          <w:color w:val="000000"/>
          <w:sz w:val="24"/>
        </w:rPr>
      </w:pPr>
    </w:p>
    <w:p w:rsidR="009138E5">
      <w:pPr>
        <w:spacing w:line="360" w:lineRule="auto"/>
        <w:ind w:firstLine="480" w:firstLineChars="200"/>
        <w:rPr>
          <w:rFonts w:ascii="宋体" w:hint="eastAsia"/>
          <w:color w:val="000000"/>
          <w:sz w:val="24"/>
        </w:rPr>
      </w:pPr>
    </w:p>
    <w:p w:rsidR="009138E5">
      <w:pPr>
        <w:spacing w:line="360" w:lineRule="auto"/>
        <w:rPr>
          <w:rFonts w:ascii="宋体" w:hint="eastAsia"/>
          <w:color w:val="000000"/>
          <w:sz w:val="24"/>
        </w:rPr>
      </w:pPr>
    </w:p>
    <w:p w:rsidR="009138E5">
      <w:pPr>
        <w:spacing w:line="360" w:lineRule="auto"/>
        <w:rPr>
          <w:rFonts w:ascii="宋体" w:hint="eastAsia"/>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             乙方（公章</w:t>
      </w:r>
      <w:r>
        <w:rPr>
          <w:rFonts w:ascii="宋体" w:hint="eastAsia"/>
          <w:snapToGrid w:val="0"/>
          <w:kern w:val="0"/>
          <w:sz w:val="24"/>
        </w:rPr>
        <w:t>或合同章</w:t>
      </w:r>
      <w:r>
        <w:rPr>
          <w:rFonts w:ascii="宋体" w:hint="eastAsia"/>
          <w:color w:val="000000"/>
          <w:sz w:val="24"/>
        </w:rPr>
        <w:t>）：</w:t>
      </w:r>
    </w:p>
    <w:p w:rsidR="009138E5">
      <w:pPr>
        <w:spacing w:line="360" w:lineRule="auto"/>
        <w:rPr>
          <w:rFonts w:ascii="宋体" w:hint="eastAsia"/>
          <w:color w:val="000000"/>
          <w:sz w:val="24"/>
        </w:rPr>
      </w:pPr>
      <w:r>
        <w:rPr>
          <w:rFonts w:ascii="宋体" w:hint="eastAsia"/>
          <w:color w:val="000000"/>
          <w:sz w:val="24"/>
        </w:rPr>
        <w:t>法定代表人                        法定代表人</w:t>
      </w:r>
    </w:p>
    <w:p w:rsidR="009138E5">
      <w:pPr>
        <w:spacing w:line="360" w:lineRule="auto"/>
        <w:rPr>
          <w:rFonts w:ascii="宋体" w:hint="eastAsia"/>
          <w:color w:val="000000"/>
          <w:sz w:val="24"/>
        </w:rPr>
      </w:pPr>
      <w:r>
        <w:rPr>
          <w:rFonts w:ascii="宋体" w:hint="eastAsia"/>
          <w:color w:val="000000"/>
          <w:sz w:val="24"/>
        </w:rPr>
        <w:t>或授权签字人（签字）：             或授权签字人（签字）：</w:t>
      </w:r>
    </w:p>
    <w:p w:rsidR="009138E5">
      <w:pPr>
        <w:spacing w:line="360" w:lineRule="auto"/>
        <w:rPr>
          <w:rFonts w:ascii="宋体" w:hint="eastAsia"/>
          <w:color w:val="000000"/>
          <w:sz w:val="24"/>
        </w:rPr>
      </w:pPr>
    </w:p>
    <w:p w:rsidR="009138E5">
      <w:pPr>
        <w:spacing w:line="360" w:lineRule="auto"/>
        <w:rPr>
          <w:rFonts w:hint="eastAsia"/>
        </w:rPr>
      </w:pPr>
      <w:r>
        <w:rPr>
          <w:rFonts w:ascii="宋体" w:hint="eastAsia"/>
          <w:color w:val="000000"/>
          <w:sz w:val="24"/>
        </w:rPr>
        <w:t xml:space="preserve">日期： 年  月  日                 日期：   年   月   日   </w:t>
      </w:r>
      <w:bookmarkEnd w:id="47"/>
    </w:p>
    <w:p>
      <w:pPr>
        <w:jc w:val="center"/>
        <w:rPr>
          <w:rFonts w:eastAsia="方正小标宋_GBK"/>
          <w:color w:val="0000FF"/>
          <w:sz w:val="44"/>
        </w:rPr>
      </w:pPr>
      <w:bookmarkEnd w:id="46"/>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w:t>
      </w:r>
      <w:r>
        <w:rPr>
          <w:rFonts w:ascii="宋体" w:eastAsia="宋体" w:cs="微软雅黑" w:hint="eastAsia"/>
          <w:sz w:val="24"/>
          <w:lang w:bidi="ar-SA"/>
        </w:rPr>
        <w:t>“</w:t>
      </w:r>
      <w:r>
        <w:rPr>
          <w:rFonts w:ascii="宋体" w:eastAsia="宋体" w:cs="微软雅黑" w:hint="eastAsia"/>
          <w:sz w:val="24"/>
          <w:lang w:bidi="ar-SA"/>
        </w:rPr>
        <w:t>无</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未测试</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没有相应指标</w:t>
      </w:r>
      <w:r>
        <w:rPr>
          <w:rFonts w:ascii="宋体" w:eastAsia="宋体" w:cs="微软雅黑" w:hint="eastAsia"/>
          <w:sz w:val="24"/>
          <w:lang w:bidi="ar-SA"/>
        </w:rPr>
        <w:t>”</w:t>
      </w:r>
      <w:r>
        <w:rPr>
          <w:rFonts w:ascii="宋体" w:eastAsia="宋体" w:cs="微软雅黑" w:hint="eastAsia"/>
          <w:sz w:val="24"/>
          <w:lang w:bidi="ar-SA"/>
        </w:rPr>
        <w:t>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bookmarkStart w:id="51" w:name="_GoBack"/>
      <w:bookmarkEnd w:id="51"/>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2" w:name="_Ref462505451"/>
      <w:bookmarkStart w:id="53"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bookmarkEnd w:id="52"/>
    <w:bookmarkEnd w:id="53"/>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Style w:val="TableNormal"/>
        <w:tblpPr w:leftFromText="180" w:rightFromText="180" w:vertAnchor="text" w:horzAnchor="page" w:tblpX="1304" w:tblpY="187"/>
        <w:tblOverlap w:val="never"/>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Ind w:w="0"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Ind w:w="0"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03"/>
        <w:gridCol w:w="6681"/>
        <w:gridCol w:w="114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w:t>
      </w:r>
      <w:r>
        <w:rPr>
          <w:rFonts w:ascii="微软雅黑" w:eastAsia="微软雅黑" w:cs="微软雅黑" w:hint="eastAsia"/>
          <w:sz w:val="21"/>
          <w:szCs w:val="21"/>
          <w:lang w:bidi="ar-SA"/>
        </w:rPr>
        <w:t>①</w:t>
      </w:r>
      <w:r>
        <w:rPr>
          <w:rFonts w:ascii="微软雅黑" w:eastAsia="微软雅黑" w:cs="微软雅黑" w:hint="eastAsia"/>
          <w:sz w:val="21"/>
          <w:szCs w:val="21"/>
          <w:lang w:bidi="ar-SA"/>
        </w:rPr>
        <w:t>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w:t>
      </w:r>
      <w:r>
        <w:rPr>
          <w:rFonts w:ascii="微软雅黑" w:eastAsia="微软雅黑" w:cs="微软雅黑" w:hint="eastAsia"/>
          <w:sz w:val="21"/>
          <w:szCs w:val="21"/>
          <w:lang w:bidi="ar-SA"/>
        </w:rPr>
        <w:t>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w:t>
      </w:r>
      <w:r>
        <w:rPr>
          <w:rFonts w:ascii="微软雅黑" w:eastAsia="微软雅黑" w:cs="微软雅黑" w:hint="eastAsia"/>
          <w:sz w:val="21"/>
          <w:szCs w:val="21"/>
          <w:lang w:bidi="ar-SA"/>
        </w:rPr>
        <w:t>采购人或采购机构可以根据此表查询投标人承诺事项，投标人的承诺和查询结果不一致的，以查询结果为准。</w:t>
      </w:r>
    </w:p>
    <w:p>
      <w:pPr>
        <w:pStyle w:val="8711"/>
        <w:numPr>
          <w:ilvl w:val="0"/>
          <w:numId w:val="40"/>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numPr>
          <w:ilvl w:val="0"/>
          <w:numId w:val="0"/>
        </w:numPr>
      </w:pPr>
    </w:p>
    <w:p>
      <w:pPr>
        <w:pStyle w:val="116710"/>
        <w:numPr>
          <w:ilvl w:val="0"/>
          <w:numId w:val="0"/>
        </w:numPr>
      </w:pPr>
    </w:p>
    <w:p>
      <w:pPr>
        <w:pStyle w:val="116710"/>
        <w:numPr>
          <w:ilvl w:val="0"/>
          <w:numId w:val="0"/>
        </w:num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4" w:name="_Toc499068169"/>
      <w:bookmarkStart w:id="55" w:name="_Toc46196323"/>
      <w:bookmarkStart w:id="56" w:name="_Toc485990833"/>
      <w:r>
        <w:rPr>
          <w:rFonts w:ascii="宋体" w:eastAsia="宋体" w:hint="eastAsia"/>
          <w:szCs w:val="32"/>
          <w:lang w:eastAsia="zh-CN"/>
        </w:rPr>
        <w:t>投标函</w:t>
      </w:r>
      <w:bookmarkEnd w:id="54"/>
      <w:bookmarkEnd w:id="55"/>
      <w:bookmarkEnd w:id="56"/>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r>
      <w:r>
        <w:rPr>
          <w:rFonts w:ascii="宋体" w:eastAsia="宋体" w:hint="eastAsia"/>
          <w:sz w:val="24"/>
          <w:szCs w:val="24"/>
          <w:highlight w:val="white"/>
          <w:lang w:eastAsia="zh-CN"/>
        </w:rPr>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w:t>
      </w:r>
      <w:r>
        <w:rPr>
          <w:rFonts w:ascii="宋体" w:eastAsia="宋体" w:hint="eastAsia"/>
          <w:b/>
          <w:bCs/>
          <w:sz w:val="32"/>
          <w:szCs w:val="24"/>
          <w:highlight w:val="white"/>
          <w:lang w:eastAsia="zh-CN"/>
        </w:rPr>
        <w:t>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Style w:val="TableNormal"/>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Style w:val="TableNormal"/>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
      <w:bookmarkStart w:id="58" w:name="_Toc485990851"/>
      <w:r>
        <w:rPr>
          <w:rFonts w:ascii="宋体" w:eastAsia="宋体" w:hint="eastAsia"/>
          <w:szCs w:val="32"/>
          <w:lang w:eastAsia="zh-CN"/>
        </w:rPr>
        <w:t>技术偏离表</w:t>
      </w:r>
      <w:bookmarkEnd w:id="57"/>
      <w:r>
        <w:rPr>
          <w:rFonts w:ascii="宋体" w:eastAsia="宋体" w:hint="eastAsia"/>
          <w:szCs w:val="32"/>
          <w:lang w:eastAsia="zh-CN"/>
        </w:rPr>
        <w:t>格式</w:t>
      </w:r>
    </w:p>
    <w:p>
      <w:pPr>
        <w:rPr>
          <w:rFonts w:hint="eastAsia"/>
        </w:rPr>
      </w:pPr>
    </w:p>
    <w:tbl>
      <w:tblPr>
        <w:tblStyle w:val="TableNormal"/>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8"/>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9" w:name="_Toc499068185_0"/>
      <w:r>
        <w:rPr>
          <w:rFonts w:ascii="宋体" w:eastAsia="宋体" w:hint="eastAsia"/>
          <w:szCs w:val="32"/>
          <w:lang w:eastAsia="zh-CN"/>
        </w:rPr>
        <w:t>技术偏离表</w:t>
      </w:r>
      <w:bookmarkEnd w:id="59"/>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Style w:val="TableNormal"/>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49"/>
        <w:gridCol w:w="712"/>
        <w:gridCol w:w="3549"/>
        <w:gridCol w:w="712"/>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val="0"/>
            <w:vAlign w:val="to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09"/>
        <w:gridCol w:w="917"/>
        <w:gridCol w:w="543"/>
        <w:gridCol w:w="1853"/>
        <w:gridCol w:w="543"/>
        <w:gridCol w:w="918"/>
        <w:gridCol w:w="69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0"/>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0"/>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0"/>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0"/>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0"/>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7831" w:type="dxa"/>
            <w:gridSpan w:val="7"/>
            <w:noWrap w:val="0"/>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0"/>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Style w:val="TableNormal"/>
        <w:tblW w:w="4505" w:type="pct"/>
        <w:jc w:val="center"/>
        <w:tblCellMar>
          <w:top w:w="0" w:type="dxa"/>
          <w:left w:w="108" w:type="dxa"/>
          <w:bottom w:w="0" w:type="dxa"/>
          <w:right w:w="108" w:type="dxa"/>
        </w:tblCellMar>
      </w:tblPr>
      <w:tblGrid>
        <w:gridCol w:w="843"/>
        <w:gridCol w:w="843"/>
        <w:gridCol w:w="843"/>
        <w:gridCol w:w="843"/>
        <w:gridCol w:w="843"/>
        <w:gridCol w:w="3463"/>
      </w:tblGrid>
      <w:tr>
        <w:tblPrEx>
          <w:tblW w:w="4505" w:type="pct"/>
          <w:jc w:val="center"/>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项目团队人员的从业人员资格证书以及上述员工距开标之日三个月任意1个月的缴纳社保证明（未提供的不予认定）；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space="720"/>
      <w:vAlign w:val="top"/>
      <w:textDirection w:val="lrTb"/>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400001FF" w:csb1="FFFF0000"/>
  </w:font>
  <w:font w:name="Wingdings">
    <w:panose1 w:val="05000000000000000000"/>
    <w:charset w:val="02"/>
    <w:family w:val="auto"/>
    <w:pitch w:val="variable"/>
    <w:sig w:usb0="00000000" w:usb1="00000000" w:usb2="00000000" w:usb3="00000000" w:csb0="80000000" w:csb1="00000000"/>
  </w:font>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00000000" w:usb2="00000000" w:usb3="00000000" w:csb0="80000000"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swiss"/>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2000009F" w:csb1="DFD70000"/>
  </w:font>
  <w:font w:name="Tahoma">
    <w:panose1 w:val="020B0604030504040204"/>
    <w:charset w:val="00"/>
    <w:family w:val="swiss"/>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panose1 w:val="03000500000000000000"/>
    <w:charset w:val="00"/>
    <w:family w:val="script"/>
    <w:pitch w:val="variable"/>
    <w:sig w:usb0="80000023" w:usb1="00000000" w:usb2="00020000" w:usb3="00000000" w:csb0="00000001" w:csb1="00000000"/>
  </w:font>
  <w:font w:name="Symbol">
    <w:panose1 w:val="05050102010706020507"/>
    <w:charset w:val="02"/>
    <w:family w:val="roman"/>
    <w:pitch w:val="variable"/>
    <w:sig w:usb0="00000000" w:usb1="10000000" w:usb2="00000000" w:usb3="00000000" w:csb0="80000000" w:csb1="00000000"/>
  </w:font>
  <w:font w:name="方正楷体_GBK">
    <w:panose1 w:val="03000509000000000000"/>
    <w:charset w:val="86"/>
    <w:family w:val="script"/>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283"/>
      <w:tabs>
        <w:tab w:val="center" w:pos="4153"/>
        <w:tab w:val="right" w:pos="8306"/>
      </w:tabs>
      <w:ind w:right="360"/>
      <w:jc w:val="center"/>
    </w:pPr>
    <w:r>
      <w:pict>
        <v:rect id="矩形 2" o:spid="_x0000_s2049" style="width:39.25pt;height:31.6pt;margin-top:47.95pt;margin-left:0;mso-position-horizontal:center;mso-position-horizontal-relative:margin;mso-wrap-distance-left:8.9pt;mso-wrap-distance-right:8.9pt;mso-wrap-style:none;position:absolute;z-index:251658240" filled="f" stroked="f" strokeweight="0.75pt">
          <v:shadow color="gray"/>
          <v:textbox style="mso-fit-shape-to-text:t" inset="0,0,0,0">
            <w:txbxContent>
              <w:p>
                <w:pPr>
                  <w:pStyle w:val="344"/>
                  <w:tabs>
                    <w:tab w:val="center" w:pos="4153"/>
                    <w:tab w:val="right" w:pos="8306"/>
                  </w:tabs>
                </w:pPr>
                <w:r>
                  <w:rPr>
                    <w:rFonts w:ascii="宋体" w:cs="宋体" w:hint="eastAsia"/>
                    <w:sz w:val="21"/>
                    <w:szCs w:val="21"/>
                    <w:lang w:bidi="ar-SA"/>
                  </w:rPr>
                  <w:t>—</w:t>
                </w:r>
                <w:r>
                  <w:rPr>
                    <w:rFonts w:ascii="宋体" w:cs="宋体" w:hint="eastAsia"/>
                    <w:sz w:val="21"/>
                    <w:szCs w:val="21"/>
                    <w:lang w:bidi="ar-SA"/>
                  </w:rPr>
                  <w:t xml:space="preserve"> </w:t>
                </w:r>
                <w:r>
                  <w:rP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r>
                  <w:rPr>
                    <w:rFonts w:hint="eastAsia"/>
                  </w:rPr>
                  <w:t>—</w:t>
                </w:r>
              </w:p>
              <w:p>
                <w:pPr>
                  <w:pStyle w:val="651"/>
                </w:pP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71"/>
      <w:framePr w:w="0" w:h="0" w:hRule="auto" w:hSpace="0" w:vSpace="0" w:wrap="around" w:vAnchor="text" w:hAnchor="margin" w:xAlign="right" w:y="1" w:anchorLock="0"/>
      <w:tabs>
        <w:tab w:val="center" w:pos="4153"/>
        <w:tab w:val="right" w:pos="8306"/>
      </w:tabs>
      <w:textDirection w:val="lrTb"/>
      <w:rPr>
        <w:rStyle w:val="17Char"/>
      </w:rPr>
    </w:pPr>
    <w: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877"/>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418"/>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56"/>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64"/>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D"/>
    <w:multiLevelType w:val="singleLevel"/>
    <w:tmpl w:val="00000000"/>
    <w:lvl w:ilvl="0">
      <w:start w:val="1"/>
      <w:numFmt w:val="decimal"/>
      <w:pStyle w:val="Index9"/>
      <w:lvlText w:val="%1."/>
      <w:lvlJc w:val="left"/>
      <w:pPr>
        <w:tabs>
          <w:tab w:val="num" w:pos="1620"/>
        </w:tabs>
        <w:ind w:left="1620" w:hanging="360"/>
      </w:pPr>
    </w:lvl>
  </w:abstractNum>
  <w:abstractNum w:abstractNumId="12">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3">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FFFFF81"/>
    <w:multiLevelType w:val="singleLevel"/>
    <w:tmpl w:val="00000000"/>
    <w:lvl w:ilvl="0">
      <w:start w:val="1"/>
      <w:numFmt w:val="bullet"/>
      <w:pStyle w:val="ListNumber5"/>
      <w:lvlText w:val=""/>
      <w:lvlJc w:val="left"/>
      <w:pPr>
        <w:tabs>
          <w:tab w:val="num" w:pos="1620"/>
        </w:tabs>
        <w:ind w:left="1620" w:hanging="360"/>
      </w:pPr>
      <w:rPr>
        <w:rFonts w:ascii="Wingdings" w:hAnsi="Wingdings" w:hint="default"/>
      </w:rPr>
    </w:lvl>
  </w:abstractNum>
  <w:abstractNum w:abstractNumId="15">
    <w:nsid w:val="0FFFFF82"/>
    <w:multiLevelType w:val="singleLevel"/>
    <w:tmpl w:val="00000000"/>
    <w:lvl w:ilvl="0">
      <w:start w:val="1"/>
      <w:numFmt w:val="bullet"/>
      <w:pStyle w:val="Subtitle"/>
      <w:lvlText w:val=""/>
      <w:lvlJc w:val="left"/>
      <w:pPr>
        <w:tabs>
          <w:tab w:val="num" w:pos="1200"/>
        </w:tabs>
        <w:ind w:left="1200" w:hanging="360"/>
      </w:pPr>
      <w:rPr>
        <w:rFonts w:ascii="Wingdings" w:hAnsi="Wingdings" w:hint="default"/>
      </w:rPr>
    </w:lvl>
  </w:abstractNum>
  <w:abstractNum w:abstractNumId="16">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64814649"/>
    <w:multiLevelType w:val="singleLevel"/>
    <w:tmpl w:val="64814649"/>
    <w:lvl w:ilvl="0">
      <w:start w:val="2"/>
      <w:numFmt w:val="chineseCounting"/>
      <w:suff w:val="nothing"/>
      <w:lvlText w:val="%1、"/>
      <w:lvlJc w:val="left"/>
    </w:lvl>
  </w:abstractNum>
  <w:abstractNum w:abstractNumId="19">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9"/>
  </w:num>
  <w:num w:numId="19">
    <w:abstractNumId w:val="20"/>
  </w:num>
  <w:num w:numId="20">
    <w:abstractNumId w:val="21"/>
  </w:num>
  <w:num w:numId="21">
    <w:abstractNumId w:val="22"/>
  </w:num>
  <w:num w:numId="22">
    <w:abstractNumId w:val="4"/>
    <w:lvlOverride w:ilvl="0">
      <w:lvl w:ilvl="0">
        <w:start w:val="0"/>
        <w:numFmt w:val="decimal"/>
        <w:lvlText w:val="（"/>
        <w:lvlJc w:val="left"/>
        <w:pPr>
          <w:tabs>
            <w:tab w:val="num" w:pos="0"/>
          </w:tabs>
          <w:ind w:left="0" w:firstLine="0"/>
        </w:pPr>
      </w:lvl>
    </w:lvlOverride>
    <w:lvlOverride w:ilvl="1">
      <w:lvl w:ilvl="1">
        <w:start w:val="0"/>
        <w:numFmt w:val="decimal"/>
        <w:lvlText w:val=")"/>
        <w:lvlJc w:val="left"/>
        <w:pPr>
          <w:tabs>
            <w:tab w:val="num" w:pos="0"/>
          </w:tabs>
          <w:ind w:left="0" w:firstLine="0"/>
        </w:pPr>
      </w:lvl>
    </w:lvlOverride>
    <w:lvlOverride w:ilvl="2">
      <w:lvl w:ilvl="2">
        <w:start w:val="0"/>
        <w:numFmt w:val="decimal"/>
        <w:lvlText w:val="."/>
        <w:lvlJc w:val="left"/>
        <w:pPr>
          <w:tabs>
            <w:tab w:val="num" w:pos="0"/>
          </w:tabs>
          <w:ind w:left="0" w:firstLine="0"/>
        </w:pPr>
      </w:lvl>
    </w:lvlOverride>
    <w:lvlOverride w:ilvl="3">
      <w:lvl w:ilvl="3">
        <w:start w:val="0"/>
        <w:numFmt w:val="decimal"/>
        <w:lvlText w:val="."/>
        <w:lvlJc w:val="left"/>
        <w:pPr>
          <w:tabs>
            <w:tab w:val="num" w:pos="0"/>
          </w:tabs>
          <w:ind w:left="0" w:firstLine="0"/>
        </w:pPr>
      </w:lvl>
    </w:lvlOverride>
    <w:lvlOverride w:ilvl="4">
      <w:lvl w:ilvl="4">
        <w:start w:val="0"/>
        <w:numFmt w:val="decimal"/>
        <w:lvlText w:val=")"/>
        <w:lvlJc w:val="left"/>
        <w:pPr>
          <w:tabs>
            <w:tab w:val="num" w:pos="0"/>
          </w:tabs>
          <w:ind w:left="0" w:firstLine="0"/>
        </w:pPr>
      </w:lvl>
    </w:lvlOverride>
    <w:lvlOverride w:ilvl="5">
      <w:lvl w:ilvl="5">
        <w:start w:val="0"/>
        <w:numFmt w:val="decimal"/>
        <w:lvlText w:val="."/>
        <w:lvlJc w:val="left"/>
        <w:pPr>
          <w:tabs>
            <w:tab w:val="num" w:pos="0"/>
          </w:tabs>
          <w:ind w:left="0" w:firstLine="0"/>
        </w:pPr>
      </w:lvl>
    </w:lvlOverride>
    <w:lvlOverride w:ilvl="6">
      <w:lvl w:ilvl="6">
        <w:start w:val="0"/>
        <w:numFmt w:val="decimal"/>
        <w:lvlText w:val="."/>
        <w:lvlJc w:val="left"/>
        <w:pPr>
          <w:tabs>
            <w:tab w:val="num" w:pos="0"/>
          </w:tabs>
          <w:ind w:left="0" w:firstLine="0"/>
        </w:pPr>
      </w:lvl>
    </w:lvlOverride>
    <w:lvlOverride w:ilvl="7">
      <w:lvl w:ilvl="7">
        <w:start w:val="0"/>
        <w:numFmt w:val="decimal"/>
        <w:lvlText w:val=")"/>
        <w:lvlJc w:val="left"/>
        <w:pPr>
          <w:tabs>
            <w:tab w:val="num" w:pos="0"/>
          </w:tabs>
          <w:ind w:left="0" w:firstLine="0"/>
        </w:pPr>
      </w:lvl>
    </w:lvlOverride>
    <w:lvlOverride w:ilvl="8">
      <w:lvl w:ilvl="8">
        <w:start w:val="0"/>
        <w:numFmt w:val="decimal"/>
        <w:lvlText w:val="."/>
        <w:lvlJc w:val="left"/>
        <w:pPr>
          <w:tabs>
            <w:tab w:val="num" w:pos="0"/>
          </w:tabs>
          <w:ind w:left="0" w:firstLine="0"/>
        </w:pPr>
      </w:lvl>
    </w:lvlOverride>
  </w:num>
  <w:num w:numId="23">
    <w:abstractNumId w:val="21"/>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4">
    <w:abstractNumId w:val="20"/>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5">
    <w:abstractNumId w:val="15"/>
    <w:lvlOverride w:ilvl="0">
      <w:lvl w:ilvl="0">
        <w:start w:val="1"/>
        <w:numFmt w:val="bullet"/>
        <w:lvlText w:val="l"/>
        <w:lvlJc w:val="left"/>
        <w:pPr>
          <w:tabs>
            <w:tab w:val="num" w:pos="1200"/>
          </w:tabs>
          <w:ind w:left="1200" w:hanging="360"/>
        </w:pPr>
        <w:rPr>
          <w:rFonts w:ascii="Wingdings" w:hAnsi="Wingdings" w:hint="default"/>
        </w:rPr>
      </w:lvl>
    </w:lvlOverride>
  </w:num>
  <w:num w:numId="26">
    <w:abstractNumId w:val="12"/>
    <w:lvlOverride w:ilvl="0">
      <w:lvl w:ilvl="0">
        <w:start w:val="1"/>
        <w:numFmt w:val="decimal"/>
        <w:lvlText w:val="%1."/>
        <w:lvlJc w:val="left"/>
        <w:pPr>
          <w:tabs>
            <w:tab w:val="num" w:pos="1200"/>
          </w:tabs>
          <w:ind w:left="1200" w:hanging="360"/>
        </w:pPr>
      </w:lvl>
    </w:lvlOverride>
  </w:num>
  <w:num w:numId="27">
    <w:abstractNumId w:val="13"/>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8">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9">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30">
    <w:abstractNumId w:val="16"/>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1">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32">
    <w:abstractNumId w:val="17"/>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33">
    <w:abstractNumId w:val="22"/>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4">
    <w:abstractNumId w:val="14"/>
    <w:lvlOverride w:ilvl="0">
      <w:lvl w:ilvl="0">
        <w:start w:val="1"/>
        <w:numFmt w:val="bullet"/>
        <w:lvlText w:val="l"/>
        <w:lvlJc w:val="left"/>
        <w:pPr>
          <w:tabs>
            <w:tab w:val="num" w:pos="1620"/>
          </w:tabs>
          <w:ind w:left="1620" w:hanging="360"/>
        </w:pPr>
        <w:rPr>
          <w:rFonts w:ascii="Wingdings" w:hAnsi="Wingdings" w:hint="default"/>
        </w:rPr>
      </w:lvl>
    </w:lvlOverride>
  </w:num>
  <w:num w:numId="35">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6">
    <w:abstractNumId w:val="19"/>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37">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8">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39">
    <w:abstractNumId w:val="11"/>
  </w:num>
  <w:num w:numId="4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GrammaticalErrors/>
  <w:zoom w:val="fullPage" w:percent="120"/>
  <w:doNotDisplayPageBoundaries/>
  <w:embedSystemFonts/>
  <w:stylePaneFormatFilter w:val="3F01"/>
  <w:defaultTabStop w:val="420"/>
  <w:defaultTableStyle w:val="Normal"/>
  <w:drawingGridVerticalSpacing w:val="156"/>
  <w:noPunctuationKerning/>
  <w:characterSpacingControl w:val="compressPunctuation"/>
  <w:noLineBreaksAfter w:lang="en-US" w:val="([{·‘“〈《「『【〔〖（．［｛￡￥"/>
  <w:noLineBreaksBefore w:lang="en-US" w:val="!),.:;?]}¨·ˇˉ―‖’”…∶、。〃々〉》」』】〕〗！＂＇），．：；？］｀｜｝～￠"/>
  <w:doNotEmbedSmartTags/>
  <w:compat>
    <w:spaceForUL/>
    <w:balanceSingleByteDoubleByteWidth/>
    <w:doNotLeaveBackslashAlon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0575"/>
    <w:rsid w:val="00077DA5"/>
    <w:rsid w:val="009138E5"/>
    <w:rsid w:val="00A77B3E"/>
  </w:rsids>
  <w:docVars>
    <w:docVar w:name="commondata" w:val="eyJoZGlkIjoiMmU3Y2NlZjliZWZkNTMxNjBiYTllY2ZlODhhZWQ2ZGEifQ=="/>
  </w:docVar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
    <w:qFormat/>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uiPriority w:val="9"/>
    <w:qFormat/>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uiPriority w:val="9"/>
    <w:qFormat/>
    <w:pPr>
      <w:keepNext/>
      <w:keepLines/>
      <w:widowControl w:val="0"/>
      <w:spacing w:before="260" w:after="260" w:line="412" w:lineRule="auto"/>
      <w:outlineLvl w:val="2"/>
    </w:pPr>
    <w:rPr>
      <w:rFonts w:cs="Times New Roman"/>
      <w:b/>
      <w:sz w:val="32"/>
      <w:lang w:bidi="ar-SA"/>
    </w:rPr>
  </w:style>
  <w:style w:type="paragraph" w:styleId="Heading4">
    <w:name w:val="heading 4"/>
    <w:basedOn w:val="Normal"/>
    <w:next w:val="Normal"/>
    <w:uiPriority w:val="9"/>
    <w:qFormat/>
    <w:pPr>
      <w:keepNext/>
      <w:keepLines/>
      <w:widowControl w:val="0"/>
      <w:numPr>
        <w:ilvl w:val="3"/>
        <w:numId w:val="22"/>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uiPriority w:val="9"/>
    <w:qFormat/>
    <w:pPr>
      <w:keepNext/>
      <w:keepLines/>
      <w:widowControl w:val="0"/>
      <w:numPr>
        <w:ilvl w:val="4"/>
        <w:numId w:val="22"/>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uiPriority w:val="9"/>
    <w:qFormat/>
    <w:pPr>
      <w:keepNext/>
      <w:keepLines/>
      <w:widowControl w:val="0"/>
      <w:numPr>
        <w:ilvl w:val="5"/>
        <w:numId w:val="22"/>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uiPriority w:val="9"/>
    <w:qFormat/>
    <w:pPr>
      <w:keepNext/>
      <w:keepLines/>
      <w:widowControl w:val="0"/>
      <w:numPr>
        <w:ilvl w:val="6"/>
        <w:numId w:val="22"/>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uiPriority w:val="9"/>
    <w:qFormat/>
    <w:pPr>
      <w:keepNext/>
      <w:keepLines/>
      <w:widowControl w:val="0"/>
      <w:numPr>
        <w:ilvl w:val="7"/>
        <w:numId w:val="22"/>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uiPriority w:val="9"/>
    <w:qFormat/>
    <w:pPr>
      <w:keepNext/>
      <w:keepLines/>
      <w:widowControl w:val="0"/>
      <w:numPr>
        <w:ilvl w:val="8"/>
        <w:numId w:val="22"/>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uiPriority w:val="39"/>
    <w:pPr>
      <w:ind w:left="1260"/>
      <w:jc w:val="left"/>
    </w:pPr>
    <w:rPr>
      <w:rFonts w:ascii="等线" w:eastAsia="等线"/>
      <w:sz w:val="18"/>
      <w:szCs w:val="18"/>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uiPriority w:val="35"/>
    <w:qFormat/>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23"/>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styleId="ListContinue">
    <w:name w:val="List Continue"/>
    <w:basedOn w:val="1"/>
    <w:pPr>
      <w:spacing w:after="120"/>
      <w:ind w:left="420"/>
    </w:p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24"/>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uiPriority w:val="39"/>
    <w:pPr>
      <w:ind w:left="840"/>
      <w:jc w:val="left"/>
    </w:pPr>
    <w:rPr>
      <w:rFonts w:ascii="等线" w:eastAsia="等线"/>
      <w:sz w:val="18"/>
      <w:szCs w:val="18"/>
    </w:rPr>
  </w:style>
  <w:style w:type="paragraph" w:styleId="TOC3">
    <w:name w:val="toc 3"/>
    <w:basedOn w:val="Normal"/>
    <w:next w:val="Normal"/>
    <w:uiPriority w:val="39"/>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uiPriority w:val="39"/>
    <w:pPr>
      <w:ind w:left="1470"/>
      <w:jc w:val="left"/>
    </w:pPr>
    <w:rPr>
      <w:rFonts w:ascii="等线" w:eastAsia="等线"/>
      <w:sz w:val="18"/>
      <w:szCs w:val="18"/>
    </w:rPr>
  </w:style>
  <w:style w:type="paragraph" w:styleId="Date">
    <w:name w:val="Date"/>
    <w:basedOn w:val="Normal"/>
    <w:next w:val="Normal"/>
    <w:pPr>
      <w:numPr>
        <w:ilvl w:val="0"/>
        <w:numId w:val="25"/>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26"/>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uiPriority w:val="39"/>
    <w:pPr>
      <w:spacing w:before="120" w:after="120"/>
      <w:jc w:val="left"/>
    </w:pPr>
    <w:rPr>
      <w:rFonts w:ascii="等线" w:eastAsia="等线"/>
      <w:b/>
      <w:bCs/>
      <w:caps/>
      <w:sz w:val="20"/>
      <w:szCs w:val="20"/>
    </w:rPr>
  </w:style>
  <w:style w:type="paragraph" w:styleId="TOC4">
    <w:name w:val="toc 4"/>
    <w:basedOn w:val="Normal"/>
    <w:next w:val="Normal"/>
    <w:uiPriority w:val="39"/>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uiPriority w:val="11"/>
    <w:qFormat/>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uiPriority w:val="39"/>
    <w:pPr>
      <w:ind w:left="1050"/>
      <w:jc w:val="left"/>
    </w:pPr>
    <w:rPr>
      <w:rFonts w:ascii="等线" w:eastAsia="等线"/>
      <w:sz w:val="18"/>
      <w:szCs w:val="18"/>
    </w:rPr>
  </w:style>
  <w:style w:type="paragraph" w:styleId="BodyTextIndent3">
    <w:name w:val="Body Text Indent 3"/>
    <w:basedOn w:val="Normal"/>
    <w:pPr>
      <w:numPr>
        <w:ilvl w:val="0"/>
        <w:numId w:val="27"/>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uiPriority w:val="39"/>
    <w:pPr>
      <w:ind w:left="210"/>
      <w:jc w:val="left"/>
    </w:pPr>
    <w:rPr>
      <w:rFonts w:ascii="等线" w:eastAsia="等线"/>
      <w:smallCaps/>
      <w:sz w:val="20"/>
      <w:szCs w:val="20"/>
    </w:rPr>
  </w:style>
  <w:style w:type="paragraph" w:styleId="TOC9">
    <w:name w:val="toc 9"/>
    <w:basedOn w:val="Normal"/>
    <w:next w:val="Normal"/>
    <w:uiPriority w:val="39"/>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uiPriority w:val="10"/>
    <w:qFormat/>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uiPriority w:val="22"/>
    <w:qFormat/>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chanpin1">
    <w:name w:val="chanpin1"/>
    <w:rPr>
      <w:rFonts w:ascii="??" w:hAnsi="??"/>
      <w:color w:val="000000"/>
      <w:sz w:val="20"/>
      <w:u w:val="none"/>
    </w:rPr>
  </w:style>
  <w:style w:type="character" w:customStyle="1" w:styleId="h3Char">
    <w:name w:val="h3 Char"/>
    <w:aliases w:val="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
    <w:name w:val="标题 4 Char1 Char"/>
    <w:aliases w:val="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2">
    <w:name w:val="正文文本缩进 Char"/>
    <w:aliases w:val="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26">
    <w:name w:val="纯文本26"/>
    <w:pPr>
      <w:widowControl w:val="0"/>
      <w:jc w:val="both"/>
    </w:pPr>
    <w:rPr>
      <w:rFonts w:ascii="宋体" w:eastAsia="宋体" w:cs="Courier New"/>
      <w:kern w:val="2"/>
      <w:sz w:val="21"/>
      <w:szCs w:val="21"/>
      <w:lang w:val="en-US" w:eastAsia="en-US"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en-US"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en-US" w:bidi="ar-SA"/>
    </w:rPr>
  </w:style>
  <w:style w:type="paragraph" w:customStyle="1" w:styleId="885">
    <w:name w:val="正文885"/>
    <w:pPr>
      <w:widowControl w:val="0"/>
      <w:jc w:val="both"/>
    </w:pPr>
    <w:rPr>
      <w:rFonts w:ascii="Calibri" w:eastAsia="宋体" w:hAnsi="Calibri" w:cs="Times New Roman"/>
      <w:kern w:val="2"/>
      <w:sz w:val="21"/>
      <w:szCs w:val="22"/>
      <w:lang w:val="en-US" w:eastAsia="en-US" w:bidi="ar-SA"/>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125">
    <w:name w:val="纯文本125"/>
    <w:pPr>
      <w:widowControl w:val="0"/>
      <w:jc w:val="both"/>
    </w:pPr>
    <w:rPr>
      <w:rFonts w:ascii="宋体" w:eastAsia="宋体" w:cs="Courier New"/>
      <w:kern w:val="2"/>
      <w:sz w:val="21"/>
      <w:szCs w:val="21"/>
      <w:lang w:val="en-US" w:eastAsia="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cs="Courier New"/>
      <w:kern w:val="2"/>
      <w:sz w:val="21"/>
      <w:szCs w:val="21"/>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750">
    <w:name w:val="正文750"/>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601">
    <w:name w:val="正文601"/>
    <w:pPr>
      <w:widowControl w:val="0"/>
      <w:jc w:val="both"/>
    </w:pPr>
    <w:rPr>
      <w:rFonts w:ascii="Calibri" w:eastAsia="宋体" w:hAnsi="Calibri" w:cs="Times New Roman"/>
      <w:kern w:val="2"/>
      <w:sz w:val="21"/>
      <w:szCs w:val="24"/>
      <w:lang w:val="en-US" w:eastAsia="en-US"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22">
    <w:name w:val="正文22"/>
    <w:pPr>
      <w:widowControl w:val="0"/>
      <w:jc w:val="both"/>
    </w:pPr>
    <w:rPr>
      <w:rFonts w:ascii="Calibri" w:eastAsia="宋体" w:hAnsi="Calibri" w:cs="Times New Roman"/>
      <w:kern w:val="2"/>
      <w:sz w:val="21"/>
      <w:szCs w:val="22"/>
      <w:lang w:val="en-US" w:eastAsia="en-US" w:bidi="ar-SA"/>
    </w:rPr>
  </w:style>
  <w:style w:type="paragraph" w:customStyle="1" w:styleId="628">
    <w:name w:val="正文628"/>
    <w:pPr>
      <w:widowControl w:val="0"/>
      <w:jc w:val="both"/>
    </w:pPr>
    <w:rPr>
      <w:rFonts w:ascii="Calibri" w:eastAsia="宋体" w:hAnsi="Calibri" w:cs="Times New Roman"/>
      <w:kern w:val="2"/>
      <w:sz w:val="21"/>
      <w:szCs w:val="24"/>
      <w:lang w:val="en-US" w:eastAsia="en-US"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正文缩进_1"/>
    <w:basedOn w:val="5"/>
    <w:pPr>
      <w:ind w:firstLine="420"/>
    </w:pPr>
    <w:rPr>
      <w:szCs w:val="22"/>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534">
    <w:name w:val="正文53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552">
    <w:name w:val="正文552"/>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en-US" w:bidi="ar-SA"/>
    </w:rPr>
  </w:style>
  <w:style w:type="paragraph" w:customStyle="1" w:styleId="911">
    <w:name w:val="正文911"/>
    <w:pPr>
      <w:widowControl w:val="0"/>
      <w:jc w:val="both"/>
    </w:pPr>
    <w:rPr>
      <w:rFonts w:ascii="Calibri" w:eastAsia="宋体" w:hAnsi="Calibri" w:cs="Times New Roman"/>
      <w:kern w:val="2"/>
      <w:sz w:val="21"/>
      <w:szCs w:val="24"/>
      <w:lang w:val="en-US" w:eastAsia="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101">
    <w:name w:val="样式1_0"/>
    <w:basedOn w:val="3"/>
    <w:pPr>
      <w:numPr>
        <w:ilvl w:val="0"/>
        <w:numId w:val="2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70">
    <w:name w:val="样式 7 "/>
    <w:next w:val="TOC4"/>
    <w:rPr>
      <w:rFonts w:ascii="Times New Roman" w:eastAsia="宋体" w:hAnsi="Times New Roman" w:cs="Times New Roman"/>
      <w:sz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cs="Courier New"/>
      <w:kern w:val="2"/>
      <w:sz w:val="21"/>
      <w:szCs w:val="21"/>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21">
    <w:name w:val="标题 2_1"/>
    <w:basedOn w:val="3"/>
    <w:next w:val="3"/>
    <w:pPr>
      <w:keepNext/>
      <w:keepLines/>
      <w:widowControl w:val="0"/>
      <w:spacing w:before="260" w:after="260" w:line="412"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23">
    <w:name w:val="批注文字2"/>
    <w:pPr>
      <w:widowControl w:val="0"/>
      <w:jc w:val="both"/>
    </w:pPr>
    <w:rPr>
      <w:rFonts w:ascii="Calibri" w:eastAsia="宋体" w:hAnsi="Calibri" w:cs="Times New Roman"/>
      <w:kern w:val="2"/>
      <w:sz w:val="21"/>
      <w:szCs w:val="22"/>
      <w:lang w:val="en-US" w:eastAsia="en-US" w:bidi="ar-SA"/>
    </w:rPr>
  </w:style>
  <w:style w:type="paragraph" w:customStyle="1" w:styleId="13">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6"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43610">
    <w:name w:val="样式 436 10 磅"/>
    <w:next w:val="1392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2" w:lineRule="auto"/>
      <w:jc w:val="both"/>
      <w:outlineLvl w:val="1"/>
    </w:pPr>
    <w:rPr>
      <w:rFonts w:ascii="Arial" w:eastAsia="黑体" w:hAnsi="Arial" w:cs="Arial"/>
      <w:b/>
      <w:kern w:val="2"/>
      <w:sz w:val="32"/>
      <w:szCs w:val="28"/>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customStyle="1" w:styleId="1229">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a5">
    <w:name w:val="样式 小四"/>
    <w:next w:val="Header"/>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010">
    <w:name w:val="正文101"/>
    <w:pPr>
      <w:widowControl w:val="0"/>
      <w:jc w:val="both"/>
    </w:pPr>
    <w:rPr>
      <w:rFonts w:ascii="Calibri" w:eastAsia="宋体" w:hAnsi="Calibri" w:cs="Times New Roman"/>
      <w:kern w:val="2"/>
      <w:sz w:val="21"/>
      <w:szCs w:val="24"/>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1110">
    <w:name w:val="正文1110"/>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styleId="Revision">
    <w:name w:val="Revision"/>
    <w:uiPriority w:val="99"/>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29">
    <w:name w:val="正文29"/>
    <w:pPr>
      <w:widowControl w:val="0"/>
      <w:jc w:val="both"/>
    </w:pPr>
    <w:rPr>
      <w:rFonts w:ascii="Calibri" w:eastAsia="宋体" w:hAnsi="Calibri" w:cs="Times New Roman"/>
      <w:kern w:val="2"/>
      <w:sz w:val="21"/>
      <w:szCs w:val="22"/>
      <w:lang w:val="en-US" w:eastAsia="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6">
    <w:name w:val="正文6"/>
    <w:pPr>
      <w:widowControl w:val="0"/>
      <w:jc w:val="both"/>
    </w:pPr>
    <w:rPr>
      <w:rFonts w:ascii="Calibri" w:eastAsia="宋体" w:hAnsi="Calibri" w:cs="Times New Roman"/>
      <w:kern w:val="2"/>
      <w:sz w:val="21"/>
      <w:szCs w:val="24"/>
      <w:lang w:val="en-US" w:eastAsia="en-US"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en-US" w:bidi="ar-SA"/>
    </w:r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91610">
    <w:name w:val="样式 1916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en-US"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50">
    <w:name w:val="标题5"/>
    <w:basedOn w:val="31"/>
    <w:pPr>
      <w:spacing w:before="260" w:after="260" w:line="412" w:lineRule="auto"/>
    </w:pPr>
    <w:rPr>
      <w:rFonts w:ascii="Arial" w:hAnsi="Arial" w:cs="Arial"/>
      <w:bCs w:val="0"/>
      <w:sz w:val="32"/>
      <w:szCs w:val="20"/>
      <w:lang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910">
    <w:name w:val="纯文本91"/>
    <w:pPr>
      <w:widowControl w:val="0"/>
      <w:jc w:val="both"/>
    </w:pPr>
    <w:rPr>
      <w:rFonts w:ascii="宋体" w:eastAsia="宋体" w:cs="Courier New"/>
      <w:kern w:val="2"/>
      <w:sz w:val="21"/>
      <w:szCs w:val="21"/>
      <w:lang w:val="en-US" w:eastAsia="en-US"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18">
    <w:name w:val="列表1"/>
    <w:next w:val="3"/>
    <w:pPr>
      <w:widowControl w:val="0"/>
      <w:numPr>
        <w:ilvl w:val="0"/>
        <w:numId w:val="29"/>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57">
    <w:name w:val="纯文本57"/>
    <w:pPr>
      <w:widowControl w:val="0"/>
      <w:jc w:val="both"/>
    </w:pPr>
    <w:rPr>
      <w:rFonts w:ascii="宋体" w:eastAsia="宋体" w:cs="Courier New"/>
      <w:kern w:val="2"/>
      <w:sz w:val="21"/>
      <w:szCs w:val="21"/>
      <w:lang w:val="en-US"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BodyText21">
    <w:name w:val="Body Text 21"/>
    <w:basedOn w:val="Normal"/>
    <w:pPr>
      <w:numPr>
        <w:ilvl w:val="0"/>
        <w:numId w:val="30"/>
      </w:numPr>
      <w:tabs>
        <w:tab w:val="left" w:pos="360"/>
      </w:tabs>
      <w:spacing w:before="240" w:line="400" w:lineRule="exact"/>
      <w:ind w:left="0" w:firstLine="357"/>
    </w:pPr>
    <w:rPr>
      <w:rFonts w:cs="Times New Roman"/>
      <w:sz w:val="28"/>
      <w:lang w:eastAsia="en-US"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25">
    <w:name w:val="样式2"/>
    <w:basedOn w:val="Normal"/>
    <w:pPr>
      <w:tabs>
        <w:tab w:val="left" w:pos="567"/>
      </w:tabs>
      <w:ind w:left="567" w:hanging="567"/>
    </w:pPr>
    <w:rPr>
      <w:rFonts w:ascii="宋体" w:eastAsia="宋体" w:cs="Times New Roman"/>
      <w:szCs w:val="21"/>
      <w:lang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52">
    <w:name w:val="正文文本5"/>
    <w:pPr>
      <w:widowControl w:val="0"/>
      <w:jc w:val="both"/>
    </w:pPr>
    <w:rPr>
      <w:rFonts w:ascii="Calibri" w:eastAsia="宋体" w:hAnsi="Calibri" w:cs="Times New Roman"/>
      <w:kern w:val="2"/>
      <w:sz w:val="28"/>
      <w:szCs w:val="22"/>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
    <w:name w:val="纯文本106"/>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251">
    <w:name w:val="正文125"/>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400">
    <w:name w:val="纯文本40"/>
    <w:pPr>
      <w:widowControl w:val="0"/>
      <w:jc w:val="both"/>
    </w:pPr>
    <w:rPr>
      <w:rFonts w:ascii="宋体" w:eastAsia="宋体" w:cs="Courier New"/>
      <w:kern w:val="2"/>
      <w:sz w:val="21"/>
      <w:szCs w:val="21"/>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53">
    <w:name w:val="批注文字5"/>
    <w:pPr>
      <w:widowControl w:val="0"/>
      <w:jc w:val="both"/>
    </w:pPr>
    <w:rPr>
      <w:rFonts w:ascii="Calibri" w:eastAsia="宋体" w:hAnsi="Calibri" w:cs="Times New Roman"/>
      <w:kern w:val="2"/>
      <w:sz w:val="24"/>
      <w:szCs w:val="28"/>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43910">
    <w:name w:val="样式 439 10 磅"/>
    <w:next w:val="572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32910">
    <w:name w:val="样式 329 10 磅"/>
    <w:next w:val="1001"/>
    <w:pPr>
      <w:widowControl w:val="0"/>
      <w:jc w:val="both"/>
    </w:pPr>
    <w:rPr>
      <w:rFonts w:ascii="宋体" w:eastAsia="宋体" w:cs="Times New Roman"/>
      <w:kern w:val="2"/>
      <w:sz w:val="21"/>
      <w:szCs w:val="21"/>
      <w:lang w:val="en-US" w:eastAsia="en-US" w:bidi="ar-SA"/>
    </w:rPr>
  </w:style>
  <w:style w:type="paragraph" w:customStyle="1" w:styleId="1001">
    <w:name w:val="正文100"/>
    <w:pPr>
      <w:widowControl w:val="0"/>
      <w:jc w:val="both"/>
    </w:pPr>
    <w:rPr>
      <w:rFonts w:ascii="Calibri" w:eastAsia="宋体" w:hAnsi="Calibri" w:cs="Times New Roman"/>
      <w:kern w:val="2"/>
      <w:sz w:val="21"/>
      <w:szCs w:val="24"/>
      <w:lang w:val="en-US" w:eastAsia="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602">
    <w:name w:val="纯文本60"/>
    <w:pPr>
      <w:widowControl w:val="0"/>
      <w:jc w:val="both"/>
    </w:pPr>
    <w:rPr>
      <w:rFonts w:ascii="宋体" w:eastAsia="宋体" w:cs="Courier New"/>
      <w:kern w:val="2"/>
      <w:sz w:val="21"/>
      <w:szCs w:val="21"/>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en-US" w:bidi="ar-SA"/>
    </w:rPr>
  </w:style>
  <w:style w:type="paragraph" w:customStyle="1" w:styleId="250">
    <w:name w:val="正文250"/>
    <w:pPr>
      <w:widowControl w:val="0"/>
      <w:jc w:val="both"/>
    </w:pPr>
    <w:rPr>
      <w:rFonts w:ascii="Calibri" w:eastAsia="宋体" w:hAnsi="Calibri" w:cs="Times New Roman"/>
      <w:kern w:val="2"/>
      <w:sz w:val="21"/>
      <w:szCs w:val="24"/>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900">
    <w:name w:val="纯文本90"/>
    <w:pPr>
      <w:widowControl w:val="0"/>
      <w:jc w:val="both"/>
    </w:pPr>
    <w:rPr>
      <w:rFonts w:ascii="宋体" w:eastAsia="宋体" w:cs="Courier New"/>
      <w:kern w:val="2"/>
      <w:sz w:val="21"/>
      <w:szCs w:val="21"/>
      <w:lang w:val="en-US" w:eastAsia="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a8">
    <w:name w:val="五级条标题"/>
    <w:basedOn w:val="a9"/>
    <w:next w:val="Normal"/>
    <w:pPr>
      <w:tabs>
        <w:tab w:val="left" w:pos="360"/>
        <w:tab w:val="left" w:pos="840"/>
        <w:tab w:val="left" w:pos="900"/>
      </w:tabs>
      <w:outlineLvl w:val="5"/>
    </w:pPr>
  </w:style>
  <w:style w:type="paragraph" w:customStyle="1" w:styleId="a9">
    <w:name w:val="四级条标题"/>
    <w:basedOn w:val="a10"/>
    <w:next w:val="Normal"/>
    <w:pPr>
      <w:tabs>
        <w:tab w:val="left" w:pos="360"/>
        <w:tab w:val="left" w:pos="840"/>
      </w:tabs>
      <w:outlineLvl w:val="4"/>
    </w:pPr>
  </w:style>
  <w:style w:type="paragraph" w:customStyle="1" w:styleId="a10">
    <w:name w:val="三级条标题"/>
    <w:basedOn w:val="a11"/>
    <w:next w:val="Normal"/>
    <w:pPr>
      <w:tabs>
        <w:tab w:val="left" w:pos="360"/>
        <w:tab w:val="left" w:pos="840"/>
      </w:tabs>
      <w:outlineLvl w:val="3"/>
    </w:pPr>
  </w:style>
  <w:style w:type="paragraph" w:customStyle="1" w:styleId="a11">
    <w:name w:val="二级条标题"/>
    <w:basedOn w:val="a12"/>
    <w:next w:val="Normal"/>
    <w:pPr>
      <w:tabs>
        <w:tab w:val="left" w:pos="360"/>
        <w:tab w:val="left" w:pos="840"/>
      </w:tabs>
      <w:outlineLvl w:val="2"/>
    </w:pPr>
    <w:rPr>
      <w:rFonts w:ascii="宋体" w:eastAsia="宋体"/>
      <w:b w:val="0"/>
    </w:rPr>
  </w:style>
  <w:style w:type="paragraph" w:customStyle="1" w:styleId="a12">
    <w:name w:val="一级条标题"/>
    <w:basedOn w:val="a13"/>
    <w:next w:val="Normal"/>
    <w:pPr>
      <w:tabs>
        <w:tab w:val="left" w:pos="360"/>
        <w:tab w:val="left" w:pos="840"/>
      </w:tabs>
      <w:spacing w:before="50" w:after="50"/>
      <w:ind w:left="0" w:hanging="840"/>
      <w:outlineLvl w:val="1"/>
    </w:pPr>
  </w:style>
  <w:style w:type="paragraph" w:customStyle="1" w:styleId="a13">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
    <w:rPr>
      <w:rFonts w:ascii="Times New Roman" w:eastAsia="宋体" w:hAnsi="Times New Roman" w:cs="Times New Roman"/>
      <w:sz w:val="20"/>
      <w:lang w:val="en-US" w:eastAsia="zh-CN" w:bidi="ar-SA"/>
    </w:rPr>
  </w:style>
  <w:style w:type="paragraph" w:customStyle="1" w:styleId="455">
    <w:name w:val="样式 样式 标题 4 + 段前: 5 磅 段后: 5 磅 行距: 单倍行距 + 五号"/>
    <w:basedOn w:val="4550"/>
    <w:pPr>
      <w:tabs>
        <w:tab w:val="left" w:pos="0"/>
        <w:tab w:val="left" w:pos="1680"/>
      </w:tabs>
    </w:pPr>
    <w:rPr>
      <w:sz w:val="21"/>
    </w:rPr>
  </w:style>
  <w:style w:type="paragraph" w:customStyle="1" w:styleId="4550">
    <w:name w:val="样式 标题 4 + 段前: 5 磅 段后: 5 磅 行距: 单倍行距"/>
    <w:next w:val="PMstyle"/>
    <w:pPr>
      <w:keepNext/>
      <w:keepLines/>
      <w:widowControl w:val="0"/>
      <w:numPr>
        <w:ilvl w:val="3"/>
        <w:numId w:val="6"/>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1300">
    <w:name w:val="正文130"/>
    <w:next w:val="1201"/>
    <w:pPr>
      <w:widowControl w:val="0"/>
      <w:jc w:val="both"/>
    </w:pPr>
    <w:rPr>
      <w:rFonts w:ascii="Calibri" w:eastAsia="宋体" w:hAnsi="Calibri" w:cs="Times New Roman"/>
      <w:kern w:val="2"/>
      <w:sz w:val="21"/>
      <w:szCs w:val="24"/>
      <w:lang w:val="en-US" w:eastAsia="en-US" w:bidi="ar-SA"/>
    </w:rPr>
  </w:style>
  <w:style w:type="paragraph" w:customStyle="1" w:styleId="1201">
    <w:name w:val="正文120"/>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93">
    <w:name w:val="正文93"/>
    <w:pPr>
      <w:widowControl w:val="0"/>
      <w:jc w:val="both"/>
    </w:pPr>
    <w:rPr>
      <w:rFonts w:ascii="Calibri" w:eastAsia="宋体" w:hAnsi="Calibri" w:cs="Times New Roman"/>
      <w:kern w:val="2"/>
      <w:sz w:val="21"/>
      <w:szCs w:val="24"/>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cs="Courier New"/>
      <w:kern w:val="2"/>
      <w:sz w:val="21"/>
      <w:szCs w:val="21"/>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15">
    <w:name w:val="样式 宋体 五号 两端对齐 行距: 单倍行距1"/>
    <w:basedOn w:val="Normal"/>
    <w:rPr>
      <w:rFonts w:ascii="宋体" w:cs="Times New Roman"/>
      <w:lang w:eastAsia="en-US"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2600">
    <w:name w:val="正文260"/>
    <w:pPr>
      <w:widowControl w:val="0"/>
      <w:jc w:val="both"/>
    </w:pPr>
    <w:rPr>
      <w:rFonts w:ascii="Calibri" w:eastAsia="宋体" w:hAnsi="Calibri" w:cs="Times New Roman"/>
      <w:kern w:val="2"/>
      <w:sz w:val="21"/>
      <w:szCs w:val="24"/>
      <w:lang w:val="en-US" w:eastAsia="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cs="Courier New"/>
      <w:kern w:val="2"/>
      <w:sz w:val="21"/>
      <w:szCs w:val="21"/>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a17">
    <w:name w:val="表格编号"/>
    <w:basedOn w:val="a18"/>
    <w:next w:val="3"/>
    <w:pPr>
      <w:numPr>
        <w:ilvl w:val="0"/>
        <w:numId w:val="32"/>
      </w:numPr>
      <w:tabs>
        <w:tab w:val="clear" w:pos="0"/>
        <w:tab w:val="left" w:pos="360"/>
      </w:tabs>
      <w:ind w:left="360" w:hanging="360"/>
    </w:pPr>
  </w:style>
  <w:style w:type="paragraph" w:customStyle="1" w:styleId="a18">
    <w:name w:val="图案编号"/>
    <w:basedOn w:val="3"/>
    <w:pPr>
      <w:numPr>
        <w:ilvl w:val="0"/>
        <w:numId w:val="31"/>
      </w:numPr>
      <w:tabs>
        <w:tab w:val="left" w:pos="0"/>
      </w:tabs>
      <w:jc w:val="center"/>
    </w:pPr>
    <w:rPr>
      <w:rFonts w:ascii="Arial" w:hAnsi="Arial" w:cs="Arial"/>
      <w:szCs w:val="24"/>
      <w:lang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样式 20 10 磅"/>
    <w:next w:val="81"/>
    <w:pPr>
      <w:widowControl w:val="0"/>
      <w:jc w:val="both"/>
    </w:pPr>
    <w:rPr>
      <w:rFonts w:ascii="宋体" w:eastAsia="宋体"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501">
    <w:name w:val="标题 5_0"/>
    <w:basedOn w:val="41"/>
    <w:pPr>
      <w:numPr>
        <w:ilvl w:val="4"/>
        <w:numId w:val="33"/>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en-US" w:bidi="ar-SA"/>
    </w:rPr>
  </w:style>
  <w:style w:type="paragraph" w:customStyle="1" w:styleId="166">
    <w:name w:val="正文166"/>
    <w:pPr>
      <w:widowControl w:val="0"/>
      <w:jc w:val="both"/>
    </w:pPr>
    <w:rPr>
      <w:rFonts w:ascii="Calibri" w:eastAsia="宋体" w:hAnsi="Calibri" w:cs="Times New Roman"/>
      <w:kern w:val="2"/>
      <w:sz w:val="21"/>
      <w:szCs w:val="24"/>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0">
    <w:name w:val="正文144"/>
    <w:pPr>
      <w:widowControl w:val="0"/>
      <w:jc w:val="both"/>
    </w:pPr>
    <w:rPr>
      <w:rFonts w:ascii="Calibri" w:eastAsia="宋体" w:hAnsi="Calibri" w:cs="Times New Roman"/>
      <w:kern w:val="2"/>
      <w:sz w:val="21"/>
      <w:szCs w:val="24"/>
      <w:lang w:val="en-US" w:eastAsia="en-US" w:bidi="ar-SA"/>
    </w:rPr>
  </w:style>
  <w:style w:type="paragraph" w:customStyle="1" w:styleId="102">
    <w:name w:val="目录 1_0"/>
    <w:basedOn w:val="3"/>
    <w:next w:val="3"/>
    <w:pPr>
      <w:spacing w:before="360"/>
    </w:pPr>
    <w:rPr>
      <w:rFonts w:ascii="Arial" w:hAnsi="Arial" w:cs="Arial"/>
      <w:b/>
      <w:bCs/>
      <w:caps/>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07">
    <w:name w:val="纯文本107"/>
    <w:pPr>
      <w:widowControl w:val="0"/>
      <w:jc w:val="both"/>
    </w:pPr>
    <w:rPr>
      <w:rFonts w:ascii="宋体" w:eastAsia="宋体" w:cs="Courier New"/>
      <w:kern w:val="2"/>
      <w:sz w:val="21"/>
      <w:szCs w:val="21"/>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2">
    <w:name w:val="纯文本120"/>
    <w:pPr>
      <w:widowControl w:val="0"/>
      <w:jc w:val="both"/>
    </w:pPr>
    <w:rPr>
      <w:rFonts w:ascii="宋体" w:eastAsia="宋体" w:cs="Courier New"/>
      <w:kern w:val="2"/>
      <w:sz w:val="21"/>
      <w:szCs w:val="21"/>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490">
    <w:name w:val="正文490"/>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95">
    <w:name w:val="纯文本95"/>
    <w:pPr>
      <w:widowControl w:val="0"/>
      <w:jc w:val="both"/>
    </w:pPr>
    <w:rPr>
      <w:rFonts w:ascii="宋体" w:eastAsia="宋体" w:cs="Courier New"/>
      <w:kern w:val="2"/>
      <w:sz w:val="21"/>
      <w:szCs w:val="21"/>
      <w:lang w:val="en-US" w:eastAsia="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17">
    <w:name w:val="批注文字1"/>
    <w:pPr>
      <w:widowControl w:val="0"/>
      <w:jc w:val="both"/>
    </w:pPr>
    <w:rPr>
      <w:rFonts w:ascii="Calibri" w:eastAsia="宋体" w:hAnsi="Calibri" w:cs="Times New Roman"/>
      <w:kern w:val="2"/>
      <w:sz w:val="21"/>
      <w:szCs w:val="22"/>
      <w:lang w:val="en-US" w:eastAsia="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20">
    <w:name w:val="正文520"/>
    <w:pPr>
      <w:widowControl w:val="0"/>
      <w:jc w:val="both"/>
    </w:pPr>
    <w:rPr>
      <w:rFonts w:ascii="Calibri" w:eastAsia="宋体" w:hAnsi="Calibri" w:cs="Times New Roman"/>
      <w:kern w:val="2"/>
      <w:sz w:val="21"/>
      <w:szCs w:val="24"/>
      <w:lang w:val="en-US" w:eastAsia="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119">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en-US" w:bidi="ar-SA"/>
    </w:rPr>
  </w:style>
  <w:style w:type="paragraph" w:customStyle="1" w:styleId="CharChar2">
    <w:name w:val="Char Char"/>
    <w:basedOn w:val="Normal"/>
    <w:pPr>
      <w:tabs>
        <w:tab w:val="left" w:pos="360"/>
      </w:tabs>
      <w:ind w:firstLine="150" w:firstLineChars="150"/>
    </w:pPr>
    <w:rPr>
      <w:rFonts w:ascii="Arial" w:eastAsia="宋体" w:hAnsi="Arial"/>
      <w:sz w:val="20"/>
      <w:szCs w:val="20"/>
      <w:lang w:eastAsia="en-US"/>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43710">
    <w:name w:val="样式 437 10 磅"/>
    <w:next w:val="1202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2020">
    <w:name w:val="正文1202"/>
    <w:pPr>
      <w:widowControl w:val="0"/>
      <w:jc w:val="both"/>
    </w:pPr>
    <w:rPr>
      <w:rFonts w:ascii="等线" w:eastAsia="等线"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1044">
    <w:name w:val="正文1044"/>
    <w:pPr>
      <w:widowControl w:val="0"/>
      <w:jc w:val="both"/>
    </w:pPr>
    <w:rPr>
      <w:rFonts w:ascii="Calibri" w:eastAsia="宋体" w:hAnsi="Calibri" w:cs="Times New Roman"/>
      <w:kern w:val="2"/>
      <w:sz w:val="21"/>
      <w:szCs w:val="22"/>
      <w:lang w:val="en-US" w:eastAsia="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92710">
    <w:name w:val="样式 1927 10 磅"/>
    <w:pPr>
      <w:widowControl w:val="0"/>
      <w:jc w:val="both"/>
    </w:pPr>
    <w:rPr>
      <w:rFonts w:ascii="Times New Roman" w:eastAsia="宋体" w:hAnsi="Times New Roman" w:cs="Times New Roman"/>
      <w:kern w:val="2"/>
      <w:sz w:val="21"/>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en-US"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en-US" w:bidi="ar-SA"/>
    </w:rPr>
  </w:style>
  <w:style w:type="paragraph" w:customStyle="1" w:styleId="414">
    <w:name w:val="样式 4 "/>
    <w:next w:val="TOC2"/>
    <w:rPr>
      <w:rFonts w:ascii="Times New Roman" w:eastAsia="宋体" w:hAnsi="Times New Roman" w:cs="Times New Roman"/>
      <w:sz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4510">
    <w:name w:val="正文451"/>
    <w:pPr>
      <w:widowControl w:val="0"/>
      <w:jc w:val="both"/>
    </w:pPr>
    <w:rPr>
      <w:rFonts w:ascii="Calibri" w:eastAsia="宋体" w:hAnsi="Calibri" w:cs="Times New Roman"/>
      <w:kern w:val="2"/>
      <w:sz w:val="21"/>
      <w:szCs w:val="24"/>
      <w:lang w:val="en-US" w:eastAsia="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97">
    <w:name w:val="纯文本97"/>
    <w:pPr>
      <w:widowControl w:val="0"/>
      <w:jc w:val="both"/>
    </w:pPr>
    <w:rPr>
      <w:rFonts w:ascii="宋体" w:eastAsia="宋体" w:cs="Courier New"/>
      <w:kern w:val="2"/>
      <w:sz w:val="21"/>
      <w:szCs w:val="21"/>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21"/>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320">
    <w:name w:val="标题 32"/>
    <w:pPr>
      <w:keepNext/>
      <w:keepLines/>
      <w:widowControl w:val="0"/>
      <w:spacing w:before="260" w:after="260" w:line="412" w:lineRule="auto"/>
      <w:jc w:val="both"/>
      <w:outlineLvl w:val="2"/>
    </w:pPr>
    <w:rPr>
      <w:rFonts w:ascii="Calibri" w:eastAsia="宋体" w:hAnsi="Calibri" w:cs="Times New Roman"/>
      <w:b/>
      <w:kern w:val="2"/>
      <w:sz w:val="32"/>
      <w:szCs w:val="28"/>
      <w:lang w:val="en-US" w:eastAsia="en-US" w:bidi="ar-SA"/>
    </w:rPr>
  </w:style>
  <w:style w:type="paragraph" w:customStyle="1" w:styleId="44910">
    <w:name w:val="样式 449 10 磅"/>
    <w:next w:val="480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2"/>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12">
    <w:name w:val="样式 11 磅"/>
    <w:pPr>
      <w:widowControl w:val="0"/>
      <w:ind w:left="105"/>
    </w:pPr>
    <w:rPr>
      <w:rFonts w:ascii="宋体" w:eastAsia="宋体" w:cs="宋体"/>
      <w:sz w:val="22"/>
      <w:szCs w:val="22"/>
      <w:lang w:val="en-US" w:eastAsia="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en-US"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7910">
    <w:name w:val="样式 7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81">
    <w:name w:val="正文38"/>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280">
    <w:name w:val="纯文本128"/>
    <w:pPr>
      <w:widowControl w:val="0"/>
      <w:jc w:val="both"/>
    </w:pPr>
    <w:rPr>
      <w:rFonts w:ascii="宋体" w:eastAsia="宋体" w:cs="Courier New"/>
      <w:kern w:val="2"/>
      <w:sz w:val="21"/>
      <w:szCs w:val="21"/>
      <w:lang w:val="en-US" w:eastAsia="en-US"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en-US" w:bidi="ar-SA"/>
    </w:rPr>
  </w:style>
  <w:style w:type="paragraph" w:customStyle="1" w:styleId="77">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eastAsia="en-US"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02">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cs="Courier New"/>
      <w:kern w:val="2"/>
      <w:sz w:val="21"/>
      <w:szCs w:val="21"/>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970">
    <w:name w:val="正文97"/>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en-US" w:bidi="ar-SA"/>
    </w:rPr>
  </w:style>
  <w:style w:type="paragraph" w:customStyle="1" w:styleId="171">
    <w:name w:val="正文171"/>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en-US"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2">
    <w:name w:val="正文86"/>
    <w:pPr>
      <w:widowControl w:val="0"/>
      <w:jc w:val="both"/>
    </w:pPr>
    <w:rPr>
      <w:rFonts w:ascii="Calibri" w:eastAsia="宋体" w:hAnsi="Calibri" w:cs="Times New Roman"/>
      <w:kern w:val="2"/>
      <w:sz w:val="21"/>
      <w:szCs w:val="24"/>
      <w:lang w:val="en-US" w:eastAsia="en-US"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1">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2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cs="Courier New"/>
      <w:kern w:val="2"/>
      <w:sz w:val="21"/>
      <w:szCs w:val="21"/>
      <w:lang w:val="en-US" w:eastAsia="en-US" w:bidi="ar-SA"/>
    </w:rPr>
  </w:style>
  <w:style w:type="paragraph" w:customStyle="1" w:styleId="80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012">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3">
    <w:name w:val="无间隔1"/>
    <w:pPr>
      <w:spacing w:line="360" w:lineRule="auto"/>
    </w:pPr>
    <w:rPr>
      <w:rFonts w:ascii="Calibri" w:eastAsia="宋体" w:hAnsi="Calibri" w:cs="Times New Roman"/>
      <w:kern w:val="2"/>
      <w:sz w:val="22"/>
      <w:szCs w:val="28"/>
      <w:lang w:val="en-US" w:eastAsia="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871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en-US"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Char1CharCharChar">
    <w:name w:val="Char1 Char Char Char"/>
    <w:basedOn w:val="Normal"/>
    <w:pPr>
      <w:numPr>
        <w:ilvl w:val="0"/>
        <w:numId w:val="34"/>
      </w:numPr>
      <w:tabs>
        <w:tab w:val="left" w:pos="1620"/>
      </w:tabs>
      <w:ind w:left="0" w:firstLine="0"/>
    </w:pPr>
    <w:rPr>
      <w:rFonts w:ascii="Tahoma" w:hAnsi="Tahoma" w:cs="Times New Roman"/>
      <w:lang w:eastAsia="en-US"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1">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60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591">
    <w:name w:val="正文59"/>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5130">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en-US"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en-US"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351">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325">
    <w:name w:val="纯文本32"/>
    <w:pPr>
      <w:widowControl w:val="0"/>
      <w:jc w:val="both"/>
    </w:pPr>
    <w:rPr>
      <w:rFonts w:ascii="宋体" w:eastAsia="宋体" w:cs="Courier New"/>
      <w:kern w:val="2"/>
      <w:sz w:val="21"/>
      <w:szCs w:val="21"/>
      <w:lang w:val="en-US" w:eastAsia="en-US" w:bidi="ar-SA"/>
    </w:rPr>
  </w:style>
  <w:style w:type="paragraph" w:customStyle="1" w:styleId="1183">
    <w:name w:val="正文118"/>
    <w:pPr>
      <w:widowControl w:val="0"/>
      <w:jc w:val="both"/>
    </w:pPr>
    <w:rPr>
      <w:rFonts w:ascii="Calibri" w:eastAsia="宋体" w:hAnsi="Calibri" w:cs="Times New Roman"/>
      <w:kern w:val="2"/>
      <w:sz w:val="21"/>
      <w:szCs w:val="24"/>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a25">
    <w:name w:val="公式样式 变量"/>
    <w:rPr>
      <w:rFonts w:ascii="Calibri" w:eastAsia="宋体" w:hAnsi="Calibri" w:cs="Times New Roman"/>
      <w:i/>
      <w:iCs/>
      <w:kern w:val="2"/>
      <w:sz w:val="20"/>
      <w:szCs w:val="28"/>
      <w:lang w:val="en-US" w:eastAsia="en-US" w:bidi="ar-SA"/>
    </w:rPr>
  </w:style>
  <w:style w:type="paragraph" w:customStyle="1" w:styleId="313">
    <w:name w:val="样式3"/>
    <w:basedOn w:val="Normal"/>
    <w:pPr>
      <w:spacing w:line="300" w:lineRule="auto"/>
    </w:pPr>
    <w:rPr>
      <w:rFonts w:ascii="宋体" w:eastAsia="宋体" w:cs="Times New Roman"/>
      <w:sz w:val="24"/>
      <w:szCs w:val="24"/>
      <w:lang w:eastAsia="en-US"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6030">
    <w:name w:val="正文603"/>
    <w:pPr>
      <w:widowControl w:val="0"/>
      <w:jc w:val="both"/>
    </w:pPr>
    <w:rPr>
      <w:rFonts w:ascii="Calibri" w:eastAsia="宋体" w:hAnsi="Calibri" w:cs="Times New Roman"/>
      <w:kern w:val="2"/>
      <w:sz w:val="21"/>
      <w:szCs w:val="24"/>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301">
    <w:name w:val="目录 3_0"/>
    <w:next w:val="3"/>
    <w:pPr>
      <w:widowControl w:val="0"/>
      <w:numPr>
        <w:ilvl w:val="0"/>
        <w:numId w:val="35"/>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714">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34"/>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2112">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114">
    <w:name w:val="纯文本111"/>
    <w:pPr>
      <w:widowControl w:val="0"/>
      <w:jc w:val="both"/>
    </w:pPr>
    <w:rPr>
      <w:rFonts w:ascii="宋体" w:eastAsia="宋体" w:cs="Courier New"/>
      <w:kern w:val="2"/>
      <w:sz w:val="21"/>
      <w:szCs w:val="21"/>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233">
    <w:name w:val="正文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en-US" w:bidi="ar-SA"/>
    </w:rPr>
  </w:style>
  <w:style w:type="paragraph" w:customStyle="1" w:styleId="155">
    <w:name w:val="样式 15 四号"/>
    <w:pPr>
      <w:widowControl w:val="0"/>
      <w:ind w:firstLine="200"/>
      <w:jc w:val="both"/>
    </w:pPr>
    <w:rPr>
      <w:rFonts w:ascii="宋体" w:eastAsia="宋体"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cs="Courier New"/>
      <w:kern w:val="2"/>
      <w:sz w:val="21"/>
      <w:szCs w:val="21"/>
      <w:lang w:val="en-US" w:eastAsia="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3">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a28">
    <w:name w:val="样式 居中"/>
    <w:basedOn w:val="Normal"/>
    <w:pPr>
      <w:jc w:val="left"/>
    </w:pPr>
    <w:rPr>
      <w:rFonts w:ascii="Calibri" w:eastAsia="宋体" w:hAnsi="Calibri" w:cs="宋体"/>
      <w:sz w:val="24"/>
      <w:szCs w:val="20"/>
      <w:lang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en-US" w:bidi="ar-SA"/>
    </w:rPr>
  </w:style>
  <w:style w:type="paragraph" w:customStyle="1" w:styleId="162">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lang w:eastAsia="en-US"/>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080">
    <w:name w:val="纯文本108"/>
    <w:pPr>
      <w:widowControl w:val="0"/>
      <w:jc w:val="both"/>
    </w:pPr>
    <w:rPr>
      <w:rFonts w:ascii="宋体" w:eastAsia="宋体" w:cs="Courier New"/>
      <w:kern w:val="2"/>
      <w:sz w:val="21"/>
      <w:szCs w:val="21"/>
      <w:lang w:val="en-US" w:eastAsia="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174">
    <w:name w:val="正文17"/>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cs="Courier New"/>
      <w:kern w:val="2"/>
      <w:sz w:val="21"/>
      <w:szCs w:val="21"/>
      <w:lang w:val="en-US" w:eastAsia="en-US"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cs="Courier New"/>
      <w:kern w:val="2"/>
      <w:sz w:val="21"/>
      <w:szCs w:val="21"/>
      <w:lang w:val="en-US" w:eastAsia="en-US"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cs="Courier New"/>
      <w:kern w:val="2"/>
      <w:sz w:val="21"/>
      <w:szCs w:val="21"/>
      <w:lang w:val="en-US" w:eastAsia="en-US"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4">
    <w:name w:val="页码1"/>
    <w:rPr>
      <w:rFonts w:ascii="Calibri" w:eastAsia="微软雅黑" w:hAnsi="Calibri" w:cs="Times New Roman"/>
      <w:kern w:val="2"/>
      <w:sz w:val="20"/>
      <w:szCs w:val="28"/>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a31">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153">
    <w:name w:val="纯文本115"/>
    <w:pPr>
      <w:widowControl w:val="0"/>
      <w:jc w:val="both"/>
    </w:pPr>
    <w:rPr>
      <w:rFonts w:ascii="宋体" w:eastAsia="宋体" w:cs="Courier New"/>
      <w:kern w:val="2"/>
      <w:sz w:val="21"/>
      <w:szCs w:val="21"/>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531">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纯文本38"/>
    <w:pPr>
      <w:widowControl w:val="0"/>
      <w:jc w:val="both"/>
    </w:pPr>
    <w:rPr>
      <w:rFonts w:ascii="宋体" w:eastAsia="宋体" w:cs="Courier New"/>
      <w:kern w:val="2"/>
      <w:sz w:val="21"/>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080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0">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7">
    <w:name w:val="样式 10 "/>
    <w:next w:val="BodyTextIndent2"/>
    <w:rPr>
      <w:rFonts w:ascii="Times New Roman" w:eastAsia="宋体" w:hAnsi="Times New Roman" w:cs="Times New Roman"/>
      <w:sz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36"/>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en-US" w:bidi="ar-SA"/>
    </w:rPr>
  </w:style>
  <w:style w:type="paragraph" w:customStyle="1" w:styleId="221">
    <w:name w:val="正文文本2"/>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0">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3"/>
    <w:rPr>
      <w:rFonts w:ascii="Calibri" w:eastAsia="宋体" w:hAnsi="Calibri" w:cs="Times New Roman"/>
      <w:sz w:val="22"/>
      <w:szCs w:val="22"/>
      <w:lang w:val="en-US" w:eastAsia="en-US" w:bidi="ar-SA"/>
    </w:rPr>
  </w:style>
  <w:style w:type="paragraph" w:customStyle="1" w:styleId="Char3">
    <w:name w:val="Char"/>
    <w:basedOn w:val="Normal"/>
    <w:pPr>
      <w:widowControl/>
      <w:spacing w:after="160" w:line="240" w:lineRule="exact"/>
    </w:pPr>
    <w:rPr>
      <w:rFonts w:ascii="Verdana" w:hAnsi="Verdana" w:cs="Times New Roman"/>
      <w:sz w:val="20"/>
      <w:lang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315">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0">
    <w:name w:val="Char2"/>
    <w:basedOn w:val="Normal"/>
    <w:rPr>
      <w:rFonts w:ascii="Tahoma" w:eastAsia="宋体" w:hAnsi="Tahoma" w:cs="Times New Roman"/>
      <w:sz w:val="24"/>
      <w:szCs w:val="20"/>
      <w:lang w:eastAsia="en-US"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en-US"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en-US" w:bidi="ar-SA"/>
    </w:rPr>
  </w:style>
  <w:style w:type="paragraph" w:customStyle="1" w:styleId="294">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5410">
    <w:name w:val="正文541"/>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4">
    <w:name w:val="纯文本10"/>
    <w:pPr>
      <w:widowControl w:val="0"/>
      <w:jc w:val="both"/>
    </w:pPr>
    <w:rPr>
      <w:rFonts w:ascii="宋体" w:eastAsia="宋体" w:cs="Courier New"/>
      <w:kern w:val="2"/>
      <w:sz w:val="21"/>
      <w:szCs w:val="21"/>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1210">
    <w:name w:val="正文1121"/>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en-US"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Char11">
    <w:name w:val="Char1"/>
    <w:basedOn w:val="Normal"/>
    <w:pPr>
      <w:tabs>
        <w:tab w:val="left" w:pos="360"/>
      </w:tabs>
    </w:pPr>
    <w:rPr>
      <w:rFonts w:ascii="Calibri" w:eastAsia="宋体" w:hAnsi="Calibri" w:cs="Times New Roman"/>
      <w:sz w:val="24"/>
      <w:szCs w:val="24"/>
      <w:lang w:eastAsia="en-US"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en-US"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419">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779">
    <w:name w:val="纯文本77"/>
    <w:pPr>
      <w:widowControl w:val="0"/>
      <w:jc w:val="both"/>
    </w:pPr>
    <w:rPr>
      <w:rFonts w:ascii="宋体" w:eastAsia="宋体" w:cs="Courier New"/>
      <w:kern w:val="2"/>
      <w:sz w:val="21"/>
      <w:szCs w:val="21"/>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923">
    <w:name w:val="纯文本9"/>
    <w:pPr>
      <w:widowControl w:val="0"/>
      <w:jc w:val="both"/>
    </w:pPr>
    <w:rPr>
      <w:rFonts w:ascii="宋体" w:eastAsia="宋体" w:cs="Courier New"/>
      <w:kern w:val="2"/>
      <w:sz w:val="21"/>
      <w:szCs w:val="21"/>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1830">
    <w:name w:val="正文1183"/>
    <w:next w:val="535"/>
    <w:pPr>
      <w:widowControl w:val="0"/>
      <w:jc w:val="both"/>
    </w:pPr>
    <w:rPr>
      <w:rFonts w:ascii="等线" w:eastAsia="等线"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en-US" w:bidi="ar-SA"/>
    </w:rPr>
  </w:style>
  <w:style w:type="paragraph" w:customStyle="1" w:styleId="10460">
    <w:name w:val="正文1046"/>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8220">
    <w:name w:val="正文822"/>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0">
    <w:name w:val="正文912"/>
    <w:pPr>
      <w:widowControl w:val="0"/>
      <w:jc w:val="both"/>
    </w:pPr>
    <w:rPr>
      <w:rFonts w:ascii="Calibri" w:eastAsia="宋体" w:hAnsi="Calibri" w:cs="Times New Roman"/>
      <w:kern w:val="2"/>
      <w:sz w:val="21"/>
      <w:szCs w:val="24"/>
      <w:lang w:val="en-US" w:eastAsia="en-US"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en-US"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264">
    <w:name w:val="正文26"/>
    <w:pPr>
      <w:widowControl w:val="0"/>
      <w:jc w:val="both"/>
    </w:pPr>
    <w:rPr>
      <w:rFonts w:ascii="Calibri" w:eastAsia="宋体" w:hAnsi="Calibri" w:cs="Times New Roman"/>
      <w:kern w:val="2"/>
      <w:sz w:val="21"/>
      <w:szCs w:val="22"/>
      <w:lang w:val="en-US" w:eastAsia="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5350">
    <w:name w:val="正文535"/>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en-US"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a36">
    <w:name w:val="公式样式 函数"/>
    <w:rPr>
      <w:rFonts w:ascii="Times New Roman" w:eastAsia="宋体" w:hAnsi="Times New Roman" w:cs="Times New Roman"/>
      <w:kern w:val="2"/>
      <w:sz w:val="20"/>
      <w:szCs w:val="28"/>
      <w:lang w:val="en-US" w:eastAsia="en-US" w:bidi="ar-SA"/>
    </w:rPr>
  </w:style>
  <w:style w:type="paragraph" w:customStyle="1" w:styleId="2640">
    <w:name w:val="正文264"/>
    <w:pPr>
      <w:widowControl w:val="0"/>
      <w:jc w:val="both"/>
    </w:pPr>
    <w:rPr>
      <w:rFonts w:ascii="Calibri" w:eastAsia="宋体" w:hAnsi="Calibri" w:cs="Times New Roman"/>
      <w:kern w:val="2"/>
      <w:sz w:val="21"/>
      <w:szCs w:val="24"/>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368">
    <w:name w:val="正文36"/>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en-US"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3950">
    <w:name w:val="正文395"/>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en-US"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eastAsia="en-US"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0">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15">
    <w:name w:val="正文81"/>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538">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en-US" w:bidi="ar-SA"/>
    </w:rPr>
  </w:style>
  <w:style w:type="paragraph" w:customStyle="1" w:styleId="a38">
    <w:name w:val="公式样式 符号"/>
    <w:rPr>
      <w:rFonts w:ascii="Calibri" w:eastAsia="宋体" w:hAnsi="Calibri" w:cs="Times New Roman"/>
      <w:kern w:val="2"/>
      <w:sz w:val="20"/>
      <w:szCs w:val="28"/>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5212">
    <w:name w:val="正文52"/>
    <w:pPr>
      <w:widowControl w:val="0"/>
      <w:jc w:val="both"/>
    </w:pPr>
    <w:rPr>
      <w:rFonts w:ascii="Calibri" w:eastAsia="宋体" w:hAnsi="Calibri" w:cs="Times New Roman"/>
      <w:kern w:val="2"/>
      <w:sz w:val="21"/>
      <w:szCs w:val="22"/>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07">
    <w:name w:val="纯文本7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5270">
    <w:name w:val="正文527"/>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cs="Courier New"/>
      <w:kern w:val="2"/>
      <w:sz w:val="21"/>
      <w:szCs w:val="21"/>
      <w:lang w:val="en-US" w:eastAsia="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3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33"/>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19">
    <w:name w:val="正文7"/>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eastAsia="en-US" w:bidi="ar-SA"/>
    </w:rPr>
  </w:style>
  <w:style w:type="paragraph" w:customStyle="1" w:styleId="956">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0">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11">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823">
    <w:name w:val="纯文本8"/>
    <w:next w:val="923"/>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9">
    <w:name w:val="列项——"/>
    <w:pPr>
      <w:widowControl w:val="0"/>
      <w:numPr>
        <w:ilvl w:val="0"/>
        <w:numId w:val="37"/>
      </w:numPr>
      <w:tabs>
        <w:tab w:val="left" w:pos="420"/>
        <w:tab w:val="left" w:pos="4080"/>
      </w:tabs>
      <w:jc w:val="both"/>
    </w:pPr>
    <w:rPr>
      <w:rFonts w:ascii="宋体" w:eastAsia="宋体" w:cs="Times New Roman"/>
      <w:kern w:val="2"/>
      <w:sz w:val="21"/>
      <w:szCs w:val="28"/>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0">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en-US" w:bidi="ar-SA"/>
    </w:rPr>
  </w:style>
  <w:style w:type="paragraph" w:customStyle="1" w:styleId="12210">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0">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lang w:val="en-US" w:eastAsia="zh-CN" w:bidi="ar-SA"/>
    </w:rPr>
  </w:style>
  <w:style w:type="paragraph" w:customStyle="1" w:styleId="801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0">
    <w:name w:val="正文1006"/>
    <w:pPr>
      <w:widowControl w:val="0"/>
      <w:jc w:val="both"/>
    </w:pPr>
    <w:rPr>
      <w:rFonts w:ascii="Calibri" w:eastAsia="宋体" w:hAnsi="Calibri" w:cs="Times New Roman"/>
      <w:kern w:val="2"/>
      <w:sz w:val="21"/>
      <w:szCs w:val="22"/>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0"/>
    <w:rPr>
      <w:rFonts w:ascii="Times New Roman" w:eastAsia="宋体" w:hAnsi="Times New Roman" w:cs="Times New Roman"/>
      <w:sz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lang w:val="en-US" w:eastAsia="zh-CN" w:bidi="ar-SA"/>
    </w:rPr>
  </w:style>
  <w:style w:type="paragraph" w:customStyle="1" w:styleId="10510">
    <w:name w:val="样式 105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11">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46">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0">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9"/>
    <w:pPr>
      <w:widowControl w:val="0"/>
      <w:jc w:val="both"/>
    </w:pPr>
    <w:rPr>
      <w:rFonts w:ascii="Times New Roman" w:eastAsia="宋体" w:hAnsi="Times New Roman" w:cs="Times New Roman"/>
      <w:kern w:val="2"/>
      <w:sz w:val="21"/>
      <w:szCs w:val="22"/>
      <w:lang w:val="en-US" w:eastAsia="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0">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5">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2">
    <w:name w:val="纯文本17"/>
    <w:pPr>
      <w:widowControl w:val="0"/>
      <w:jc w:val="both"/>
    </w:pPr>
    <w:rPr>
      <w:rFonts w:ascii="宋体" w:eastAsia="宋体" w:cs="Courier New"/>
      <w:kern w:val="2"/>
      <w:sz w:val="21"/>
      <w:szCs w:val="21"/>
      <w:lang w:val="en-US" w:eastAsia="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129">
    <w:name w:val="样式 1 "/>
    <w:rPr>
      <w:rFonts w:ascii="Times New Roman" w:eastAsia="宋体" w:hAnsi="Times New Roman" w:cs="Times New Roman"/>
      <w:sz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7">
    <w:name w:val="纯文本46"/>
    <w:pPr>
      <w:widowControl w:val="0"/>
      <w:jc w:val="both"/>
    </w:pPr>
    <w:rPr>
      <w:rFonts w:ascii="宋体" w:eastAsia="宋体" w:cs="Courier New"/>
      <w:kern w:val="2"/>
      <w:sz w:val="21"/>
      <w:szCs w:val="21"/>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1137">
    <w:name w:val="1"/>
    <w:pPr>
      <w:ind w:firstLine="200"/>
      <w:jc w:val="both"/>
    </w:pPr>
    <w:rPr>
      <w:rFonts w:ascii="宋体" w:eastAsia="宋体" w:cs="Calibri"/>
      <w:kern w:val="2"/>
      <w:sz w:val="28"/>
      <w:szCs w:val="28"/>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5267767">
    <w:name w:val="样式 标题 5 + 左侧:  2.67 厘米 悬挂缩进: 7.67 字符 行距: 单倍行距"/>
    <w:pPr>
      <w:keepNext/>
      <w:keepLines/>
      <w:widowControl w:val="0"/>
      <w:numPr>
        <w:ilvl w:val="4"/>
        <w:numId w:val="36"/>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0">
    <w:name w:val="正文918"/>
    <w:pPr>
      <w:widowControl w:val="0"/>
      <w:jc w:val="both"/>
    </w:pPr>
    <w:rPr>
      <w:rFonts w:ascii="Calibri" w:eastAsia="宋体" w:hAnsi="Calibri" w:cs="Times New Roman"/>
      <w:kern w:val="2"/>
      <w:sz w:val="21"/>
      <w:szCs w:val="24"/>
      <w:lang w:val="en-US" w:eastAsia="en-US" w:bidi="ar-SA"/>
    </w:rPr>
  </w:style>
  <w:style w:type="paragraph" w:customStyle="1" w:styleId="348">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en-US"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en-US" w:bidi="ar-SA"/>
    </w:rPr>
  </w:style>
  <w:style w:type="paragraph" w:customStyle="1" w:styleId="254">
    <w:name w:val="样式 2 "/>
    <w:next w:val="555"/>
    <w:rPr>
      <w:rFonts w:ascii="Times New Roman" w:eastAsia="宋体" w:hAnsi="Times New Roman" w:cs="Times New Roman"/>
      <w:sz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4">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6" w:lineRule="auto"/>
      <w:jc w:val="both"/>
      <w:outlineLvl w:val="4"/>
    </w:pPr>
    <w:rPr>
      <w:rFonts w:ascii="Calibri" w:eastAsia="宋体" w:hAnsi="Calibri" w:cs="Times New Roman"/>
      <w:b/>
      <w:bCs/>
      <w:kern w:val="2"/>
      <w:sz w:val="28"/>
      <w:szCs w:val="28"/>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255">
    <w:name w:val="正文2"/>
    <w:pPr>
      <w:widowControl w:val="0"/>
      <w:jc w:val="both"/>
    </w:pPr>
    <w:rPr>
      <w:rFonts w:ascii="Calibri" w:eastAsia="宋体" w:hAnsi="Calibri" w:cs="Times New Roman"/>
      <w:kern w:val="2"/>
      <w:sz w:val="21"/>
      <w:szCs w:val="24"/>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07-E3-">
    <w:name w:val="07-E3-标题三"/>
    <w:pPr>
      <w:keepNext/>
      <w:keepLines/>
      <w:widowControl w:val="0"/>
      <w:numPr>
        <w:ilvl w:val="2"/>
        <w:numId w:val="38"/>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en-US" w:bidi="ar-SA"/>
    </w:rPr>
  </w:style>
  <w:style w:type="paragraph" w:customStyle="1" w:styleId="11280">
    <w:name w:val="正文1128"/>
    <w:pPr>
      <w:widowControl w:val="0"/>
      <w:jc w:val="both"/>
    </w:pPr>
    <w:rPr>
      <w:rFonts w:ascii="Calibri" w:eastAsia="宋体" w:hAnsi="Calibri" w:cs="Times New Roman"/>
      <w:kern w:val="2"/>
      <w:sz w:val="21"/>
      <w:szCs w:val="24"/>
      <w:lang w:val="en-US" w:eastAsia="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374">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261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9230">
    <w:name w:val="正文923"/>
    <w:pPr>
      <w:widowControl w:val="0"/>
      <w:jc w:val="both"/>
    </w:pPr>
    <w:rPr>
      <w:rFonts w:ascii="Calibri" w:eastAsia="宋体" w:hAnsi="Calibri" w:cs="Times New Roman"/>
      <w:kern w:val="2"/>
      <w:sz w:val="21"/>
      <w:szCs w:val="24"/>
      <w:lang w:val="en-US" w:eastAsia="en-US" w:bidi="ar-SA"/>
    </w:rPr>
  </w:style>
  <w:style w:type="paragraph" w:customStyle="1" w:styleId="1185">
    <w:name w:val="正文11"/>
    <w:pPr>
      <w:widowControl w:val="0"/>
      <w:jc w:val="both"/>
    </w:pPr>
    <w:rPr>
      <w:rFonts w:ascii="Calibri" w:eastAsia="宋体" w:hAnsi="Calibri" w:cs="Times New Roman"/>
      <w:kern w:val="2"/>
      <w:sz w:val="21"/>
      <w:szCs w:val="22"/>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9101">
    <w:name w:val="样式 9 10 磅"/>
    <w:next w:val="95310"/>
    <w:pPr>
      <w:widowControl w:val="0"/>
      <w:jc w:val="both"/>
    </w:pPr>
    <w:rPr>
      <w:rFonts w:ascii="宋体" w:eastAsia="宋体"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en-US"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3520">
    <w:name w:val="正文352"/>
    <w:pPr>
      <w:widowControl w:val="0"/>
      <w:jc w:val="both"/>
    </w:pPr>
    <w:rPr>
      <w:rFonts w:ascii="Calibri" w:eastAsia="宋体" w:hAnsi="Calibri" w:cs="Times New Roman"/>
      <w:kern w:val="2"/>
      <w:sz w:val="21"/>
      <w:szCs w:val="24"/>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cs="Times New Roman"/>
      <w:kern w:val="2"/>
      <w:sz w:val="21"/>
      <w:szCs w:val="21"/>
      <w:lang w:val="en-US" w:eastAsia="zh-CN" w:bidi="ar-SA"/>
    </w:rPr>
  </w:style>
  <w:style w:type="paragraph" w:customStyle="1" w:styleId="8312">
    <w:name w:val="纯文本83"/>
    <w:pPr>
      <w:widowControl w:val="0"/>
      <w:jc w:val="both"/>
    </w:pPr>
    <w:rPr>
      <w:rFonts w:ascii="宋体" w:eastAsia="宋体" w:cs="Courier New"/>
      <w:kern w:val="2"/>
      <w:sz w:val="21"/>
      <w:szCs w:val="21"/>
      <w:lang w:val="en-US" w:eastAsia="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0">
    <w:name w:val="正文254"/>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2121">
    <w:name w:val="样式 标题 2 + 右侧:  1.2 厘米 行距: 单倍行距"/>
    <w:basedOn w:val="Heading2"/>
    <w:pPr>
      <w:spacing w:line="240" w:lineRule="auto"/>
      <w:ind w:right="680"/>
    </w:pPr>
    <w:rPr>
      <w:rFonts w:cs="宋体"/>
      <w:bCs/>
      <w:szCs w:val="32"/>
      <w:lang w:eastAsia="en-US"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410">
    <w:name w:val="样式 454 10 磅"/>
    <w:next w:val="169"/>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8870">
    <w:name w:val="正文887"/>
    <w:pPr>
      <w:widowControl w:val="0"/>
      <w:jc w:val="both"/>
    </w:pPr>
    <w:rPr>
      <w:rFonts w:ascii="Calibri" w:eastAsia="宋体" w:hAnsi="Calibri" w:cs="Times New Roman"/>
      <w:kern w:val="2"/>
      <w:sz w:val="21"/>
      <w:szCs w:val="22"/>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en-US" w:bidi="ar-SA"/>
    </w:rPr>
  </w:style>
  <w:style w:type="paragraph" w:customStyle="1" w:styleId="7611">
    <w:name w:val="正文761"/>
    <w:pPr>
      <w:widowControl w:val="0"/>
      <w:jc w:val="both"/>
    </w:pPr>
    <w:rPr>
      <w:rFonts w:ascii="Calibri" w:eastAsia="宋体" w:hAnsi="Calibri" w:cs="Times New Roman"/>
      <w:kern w:val="2"/>
      <w:sz w:val="21"/>
      <w:szCs w:val="24"/>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6411">
    <w:name w:val="纯文本64"/>
    <w:pPr>
      <w:widowControl w:val="0"/>
      <w:jc w:val="both"/>
    </w:pPr>
    <w:rPr>
      <w:rFonts w:ascii="宋体" w:eastAsia="宋体" w:cs="Courier New"/>
      <w:kern w:val="2"/>
      <w:sz w:val="21"/>
      <w:szCs w:val="21"/>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0">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7560">
    <w:name w:val="正文756"/>
    <w:pPr>
      <w:widowControl w:val="0"/>
      <w:jc w:val="both"/>
    </w:pPr>
    <w:rPr>
      <w:rFonts w:ascii="Calibri" w:eastAsia="宋体" w:hAnsi="Calibri" w:cs="Times New Roman"/>
      <w:kern w:val="2"/>
      <w:sz w:val="21"/>
      <w:szCs w:val="24"/>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cs="Courier New"/>
      <w:kern w:val="2"/>
      <w:sz w:val="21"/>
      <w:szCs w:val="21"/>
      <w:lang w:val="en-US" w:eastAsia="en-US"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en-US" w:bidi="ar-SA"/>
    </w:rPr>
  </w:style>
  <w:style w:type="paragraph" w:customStyle="1" w:styleId="11100">
    <w:name w:val="样式 11 10 磅"/>
    <w:next w:val="1183"/>
    <w:pPr>
      <w:widowControl w:val="0"/>
      <w:jc w:val="both"/>
    </w:pPr>
    <w:rPr>
      <w:rFonts w:ascii="宋体" w:eastAsia="宋体"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3115">
    <w:name w:val="正文文本 31"/>
    <w:rPr>
      <w:rFonts w:ascii="宋体" w:eastAsia="宋体" w:cs="宋体"/>
      <w:kern w:val="2"/>
      <w:sz w:val="24"/>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cs="Courier New"/>
      <w:kern w:val="2"/>
      <w:sz w:val="21"/>
      <w:szCs w:val="21"/>
      <w:lang w:val="en-US" w:eastAsia="en-US"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cs="Courier New"/>
      <w:kern w:val="2"/>
      <w:sz w:val="21"/>
      <w:szCs w:val="21"/>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en-US"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6413">
    <w:name w:val="正文64"/>
    <w:pPr>
      <w:widowControl w:val="0"/>
      <w:jc w:val="both"/>
    </w:pPr>
    <w:rPr>
      <w:rFonts w:ascii="Calibri" w:eastAsia="宋体" w:hAnsi="Calibri" w:cs="Times New Roman"/>
      <w:kern w:val="2"/>
      <w:sz w:val="21"/>
      <w:szCs w:val="24"/>
      <w:lang w:val="en-US" w:eastAsia="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en-US"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4114">
    <w:name w:val="正文_4_1"/>
    <w:next w:val="a13"/>
    <w:pPr>
      <w:widowControl w:val="0"/>
      <w:jc w:val="both"/>
    </w:pPr>
    <w:rPr>
      <w:rFonts w:ascii="Calibri" w:eastAsia="宋体" w:hAnsi="Calibri" w:cs="Times New Roman"/>
      <w:kern w:val="2"/>
      <w:sz w:val="21"/>
      <w:szCs w:val="22"/>
      <w:lang w:val="en-US" w:eastAsia="en-US" w:bidi="ar-SA"/>
    </w:rPr>
  </w:style>
  <w:style w:type="paragraph" w:customStyle="1" w:styleId="5880">
    <w:name w:val="正文588"/>
    <w:pPr>
      <w:widowControl w:val="0"/>
      <w:jc w:val="both"/>
    </w:pPr>
    <w:rPr>
      <w:rFonts w:ascii="Calibri" w:eastAsia="宋体" w:hAnsi="Calibri" w:cs="Times New Roman"/>
      <w:kern w:val="2"/>
      <w:sz w:val="21"/>
      <w:szCs w:val="24"/>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45210">
    <w:name w:val="样式 452 10 磅"/>
    <w:next w:val="1075"/>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91510">
    <w:name w:val="样式 1915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en-US"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hSpace="0" w:vSpace="0"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13"/>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11"/>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0">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6312">
    <w:name w:val="样式 63 小四"/>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11101">
    <w:name w:val="样式 11 "/>
    <w:next w:val="TOC1"/>
    <w:rPr>
      <w:rFonts w:ascii="Times New Roman" w:eastAsia="宋体" w:hAnsi="Times New Roman" w:cs="Times New Roman"/>
      <w:sz w:val="20"/>
      <w:lang w:val="en-US" w:eastAsia="zh-CN" w:bidi="ar-SA"/>
    </w:rPr>
  </w:style>
  <w:style w:type="paragraph" w:customStyle="1" w:styleId="44810">
    <w:name w:val="样式 448 10 磅"/>
    <w:next w:val="4910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8080">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 w:type="character" w:customStyle="1" w:styleId="17Char">
    <w:name w:val="样式 17  Char"/>
    <w:basedOn w:val="DefaultParagraphFont"/>
    <w:link w:val="17"/>
    <w:rPr>
      <w:rFonts w:ascii="Times New Roman" w:eastAsia="宋体" w:hAnsi="Times New Roman" w:cs="Times New Roman"/>
      <w:sz w:val="20"/>
    </w:rPr>
  </w:style>
  <w:style w:type="character" w:customStyle="1" w:styleId="16Char">
    <w:name w:val="样式 16  Char"/>
    <w:basedOn w:val="DefaultParagraphFont"/>
    <w:link w:val="16"/>
    <w:rPr>
      <w:rFonts w:ascii="Times New Roman" w:eastAsia="宋体" w:hAnsi="Times New Roman" w:cs="Times New Roman"/>
      <w:sz w:val="20"/>
    </w:rPr>
  </w:style>
  <w:style w:type="paragraph" w:customStyle="1" w:styleId="3211">
    <w:name w:val="样式 321 小四"/>
    <w:pPr>
      <w:widowControl w:val="0"/>
      <w:spacing w:after="156"/>
      <w:ind w:left="1" w:firstLine="192" w:firstLineChars="192"/>
      <w:jc w:val="both"/>
    </w:pPr>
    <w:rPr>
      <w:rFonts w:eastAsia="黑体"/>
      <w:kern w:val="2"/>
      <w:sz w:val="24"/>
      <w:lang w:eastAsia="zh-CN"/>
    </w:rPr>
  </w:style>
  <w:style w:type="paragraph" w:customStyle="1" w:styleId="3220">
    <w:name w:val="样式 322 小四"/>
    <w:pPr>
      <w:widowControl w:val="0"/>
      <w:spacing w:after="156"/>
      <w:ind w:left="1" w:firstLine="192" w:firstLineChars="192"/>
      <w:jc w:val="both"/>
    </w:pPr>
    <w:rPr>
      <w:rFonts w:eastAsia="黑体"/>
      <w:kern w:val="2"/>
      <w:sz w:val="24"/>
      <w:lang w:eastAsia="zh-CN"/>
    </w:rPr>
  </w:style>
  <w:style w:type="table" w:styleId="TableGrid">
    <w:name w:val="Table Grid"/>
    <w:basedOn w:val="TableNormal"/>
    <w:qFormat/>
    <w:pPr>
      <w:widowControl w:val="0"/>
      <w:jc w:val="both"/>
    </w:pPr>
    <w:rPr>
      <w:rFonts w:eastAsia="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4710">
    <w:name w:val="样式 1947 10 磅"/>
    <w:pPr>
      <w:widowControl w:val="0"/>
      <w:spacing w:after="160" w:line="259" w:lineRule="auto"/>
      <w:jc w:val="both"/>
    </w:pPr>
    <w:rPr>
      <w:rFonts w:eastAsia="宋体"/>
      <w:kern w:val="2"/>
      <w:sz w:val="21"/>
      <w:szCs w:val="24"/>
      <w:lang w:eastAsia="zh-CN"/>
    </w:rPr>
  </w:style>
  <w:style w:type="paragraph" w:customStyle="1" w:styleId="194610">
    <w:name w:val="样式 1946 10 磅"/>
    <w:pPr>
      <w:widowControl w:val="0"/>
      <w:spacing w:after="160" w:line="259" w:lineRule="auto"/>
      <w:jc w:val="both"/>
    </w:pPr>
    <w:rPr>
      <w:rFonts w:eastAsia="宋体"/>
      <w:kern w:val="2"/>
      <w:sz w:val="21"/>
      <w:szCs w:val="24"/>
      <w:lang w:eastAsia="zh-CN"/>
    </w:rPr>
  </w:style>
  <w:style w:type="paragraph" w:customStyle="1" w:styleId="194510">
    <w:name w:val="样式 1945 10 磅"/>
    <w:pPr>
      <w:widowControl w:val="0"/>
      <w:spacing w:after="160" w:line="259" w:lineRule="auto"/>
      <w:jc w:val="both"/>
    </w:pPr>
    <w:rPr>
      <w:rFonts w:eastAsia="宋体"/>
      <w:kern w:val="2"/>
      <w:sz w:val="21"/>
      <w:szCs w:val="24"/>
      <w:lang w:eastAsia="zh-CN"/>
    </w:rPr>
  </w:style>
  <w:style w:type="paragraph" w:customStyle="1" w:styleId="194410">
    <w:name w:val="样式 1944 10 磅"/>
    <w:pPr>
      <w:widowControl w:val="0"/>
      <w:spacing w:after="160" w:line="259" w:lineRule="auto"/>
      <w:jc w:val="both"/>
    </w:pPr>
    <w:rPr>
      <w:rFonts w:eastAsia="宋体"/>
      <w:kern w:val="2"/>
      <w:sz w:val="21"/>
      <w:szCs w:val="24"/>
      <w:lang w:eastAsia="zh-CN"/>
    </w:rPr>
  </w:style>
  <w:style w:type="paragraph" w:customStyle="1" w:styleId="194310">
    <w:name w:val="样式 1943 10 磅"/>
    <w:pPr>
      <w:widowControl w:val="0"/>
      <w:spacing w:after="160" w:line="259" w:lineRule="auto"/>
      <w:jc w:val="both"/>
    </w:pPr>
    <w:rPr>
      <w:rFonts w:eastAsia="宋体"/>
      <w:kern w:val="2"/>
      <w:sz w:val="21"/>
      <w:szCs w:val="24"/>
      <w:lang w:eastAsia="zh-CN"/>
    </w:rPr>
  </w:style>
  <w:style w:type="paragraph" w:customStyle="1" w:styleId="194210">
    <w:name w:val="样式 1942 10 磅"/>
    <w:pPr>
      <w:widowControl w:val="0"/>
      <w:spacing w:after="160" w:line="259" w:lineRule="auto"/>
      <w:jc w:val="both"/>
    </w:pPr>
    <w:rPr>
      <w:rFonts w:eastAsia="宋体"/>
      <w:kern w:val="2"/>
      <w:sz w:val="21"/>
      <w:szCs w:val="24"/>
      <w:lang w:eastAsia="zh-CN"/>
    </w:rPr>
  </w:style>
  <w:style w:type="paragraph" w:customStyle="1" w:styleId="194110">
    <w:name w:val="样式 1941 10 磅"/>
    <w:pPr>
      <w:widowControl w:val="0"/>
      <w:spacing w:after="160" w:line="259" w:lineRule="auto"/>
      <w:jc w:val="both"/>
    </w:pPr>
    <w:rPr>
      <w:rFonts w:eastAsia="宋体"/>
      <w:kern w:val="2"/>
      <w:sz w:val="21"/>
      <w:szCs w:val="24"/>
      <w:lang w:eastAsia="zh-CN"/>
    </w:rPr>
  </w:style>
  <w:style w:type="paragraph" w:customStyle="1" w:styleId="194010">
    <w:name w:val="样式 1940 10 磅"/>
    <w:pPr>
      <w:widowControl w:val="0"/>
      <w:spacing w:after="160" w:line="259" w:lineRule="auto"/>
      <w:jc w:val="both"/>
    </w:pPr>
    <w:rPr>
      <w:rFonts w:eastAsia="宋体"/>
      <w:kern w:val="2"/>
      <w:sz w:val="21"/>
      <w:szCs w:val="24"/>
      <w:lang w:eastAsia="zh-CN"/>
    </w:rPr>
  </w:style>
  <w:style w:type="paragraph" w:customStyle="1" w:styleId="193910">
    <w:name w:val="样式 1939 10 磅"/>
    <w:pPr>
      <w:widowControl w:val="0"/>
      <w:spacing w:after="160" w:line="259" w:lineRule="auto"/>
      <w:jc w:val="both"/>
    </w:pPr>
    <w:rPr>
      <w:rFonts w:eastAsia="宋体"/>
      <w:kern w:val="2"/>
      <w:sz w:val="21"/>
      <w:szCs w:val="24"/>
      <w:lang w:eastAsia="zh-CN"/>
    </w:rPr>
  </w:style>
  <w:style w:type="paragraph" w:customStyle="1" w:styleId="193810">
    <w:name w:val="样式 1938 10 磅"/>
    <w:pPr>
      <w:widowControl w:val="0"/>
      <w:spacing w:after="160" w:line="259" w:lineRule="auto"/>
      <w:jc w:val="both"/>
    </w:pPr>
    <w:rPr>
      <w:rFonts w:eastAsia="宋体"/>
      <w:kern w:val="2"/>
      <w:sz w:val="21"/>
      <w:szCs w:val="24"/>
      <w:lang w:eastAsia="zh-CN"/>
    </w:rPr>
  </w:style>
  <w:style w:type="paragraph" w:customStyle="1" w:styleId="193710">
    <w:name w:val="样式 1937 10 磅"/>
    <w:pPr>
      <w:widowControl w:val="0"/>
      <w:spacing w:after="160" w:line="259" w:lineRule="auto"/>
      <w:jc w:val="both"/>
    </w:pPr>
    <w:rPr>
      <w:rFonts w:eastAsia="宋体"/>
      <w:kern w:val="2"/>
      <w:sz w:val="21"/>
      <w:szCs w:val="24"/>
      <w:lang w:eastAsia="zh-CN"/>
    </w:rPr>
  </w:style>
  <w:style w:type="paragraph" w:customStyle="1" w:styleId="193610">
    <w:name w:val="样式 1936 10 磅"/>
    <w:pPr>
      <w:widowControl w:val="0"/>
      <w:spacing w:after="160" w:line="259" w:lineRule="auto"/>
      <w:jc w:val="both"/>
    </w:pPr>
    <w:rPr>
      <w:rFonts w:eastAsia="宋体"/>
      <w:kern w:val="2"/>
      <w:sz w:val="21"/>
      <w:szCs w:val="24"/>
      <w:lang w:eastAsia="zh-CN"/>
    </w:rPr>
  </w:style>
  <w:style w:type="paragraph" w:customStyle="1" w:styleId="193510">
    <w:name w:val="样式 1935 10 磅"/>
    <w:pPr>
      <w:widowControl w:val="0"/>
      <w:spacing w:after="160" w:line="259" w:lineRule="auto"/>
      <w:jc w:val="both"/>
    </w:pPr>
    <w:rPr>
      <w:rFonts w:eastAsia="宋体"/>
      <w:kern w:val="2"/>
      <w:sz w:val="21"/>
      <w:szCs w:val="24"/>
      <w:lang w:eastAsia="zh-CN"/>
    </w:rPr>
  </w:style>
  <w:style w:type="paragraph" w:customStyle="1" w:styleId="193410">
    <w:name w:val="样式 1934 10 磅"/>
    <w:pPr>
      <w:widowControl w:val="0"/>
      <w:spacing w:after="160" w:line="259" w:lineRule="auto"/>
      <w:jc w:val="both"/>
    </w:pPr>
    <w:rPr>
      <w:rFonts w:eastAsia="宋体"/>
      <w:kern w:val="2"/>
      <w:sz w:val="21"/>
      <w:szCs w:val="24"/>
      <w:lang w:eastAsia="zh-CN"/>
    </w:rPr>
  </w:style>
  <w:style w:type="paragraph" w:customStyle="1" w:styleId="193310">
    <w:name w:val="样式 1933 10 磅"/>
    <w:pPr>
      <w:widowControl w:val="0"/>
      <w:spacing w:after="160" w:line="259" w:lineRule="auto"/>
      <w:jc w:val="both"/>
    </w:pPr>
    <w:rPr>
      <w:rFonts w:eastAsia="宋体"/>
      <w:kern w:val="2"/>
      <w:sz w:val="21"/>
      <w:szCs w:val="24"/>
      <w:lang w:eastAsia="zh-CN"/>
    </w:rPr>
  </w:style>
  <w:style w:type="paragraph" w:customStyle="1" w:styleId="193210">
    <w:name w:val="样式 1932 10 磅"/>
    <w:pPr>
      <w:widowControl w:val="0"/>
      <w:spacing w:after="160" w:line="259" w:lineRule="auto"/>
      <w:jc w:val="both"/>
    </w:pPr>
    <w:rPr>
      <w:rFonts w:eastAsia="宋体"/>
      <w:kern w:val="2"/>
      <w:sz w:val="21"/>
      <w:szCs w:val="24"/>
      <w:lang w:eastAsia="zh-CN"/>
    </w:rPr>
  </w:style>
  <w:style w:type="paragraph" w:customStyle="1" w:styleId="193110">
    <w:name w:val="样式 1931 10 磅"/>
    <w:pPr>
      <w:widowControl w:val="0"/>
      <w:spacing w:after="160" w:line="259" w:lineRule="auto"/>
      <w:jc w:val="both"/>
    </w:pPr>
    <w:rPr>
      <w:rFonts w:eastAsia="宋体"/>
      <w:kern w:val="2"/>
      <w:sz w:val="21"/>
      <w:szCs w:val="24"/>
      <w:lang w:eastAsia="zh-CN"/>
    </w:rPr>
  </w:style>
  <w:style w:type="paragraph" w:customStyle="1" w:styleId="193010">
    <w:name w:val="样式 1930 10 磅"/>
    <w:pPr>
      <w:widowControl w:val="0"/>
      <w:spacing w:after="160" w:line="259" w:lineRule="auto"/>
      <w:jc w:val="both"/>
    </w:pPr>
    <w:rPr>
      <w:rFonts w:eastAsia="宋体"/>
      <w:kern w:val="2"/>
      <w:sz w:val="21"/>
      <w:szCs w:val="24"/>
      <w:lang w:eastAsia="zh-CN"/>
    </w:rPr>
  </w:style>
  <w:style w:type="paragraph" w:customStyle="1" w:styleId="192910">
    <w:name w:val="样式 1929 10 磅"/>
    <w:pPr>
      <w:widowControl w:val="0"/>
      <w:spacing w:after="160" w:line="259" w:lineRule="auto"/>
      <w:jc w:val="both"/>
    </w:pPr>
    <w:rPr>
      <w:rFonts w:eastAsia="宋体"/>
      <w:kern w:val="2"/>
      <w:sz w:val="21"/>
      <w:szCs w:val="24"/>
      <w:lang w:eastAsia="zh-CN"/>
    </w:rPr>
  </w:style>
  <w:style w:type="paragraph" w:customStyle="1" w:styleId="10311">
    <w:name w:val="正文_103"/>
    <w:pPr>
      <w:widowControl w:val="0"/>
      <w:jc w:val="both"/>
    </w:pPr>
    <w:rPr>
      <w:rFonts w:eastAsia="方正仿宋_GBK"/>
      <w:kern w:val="2"/>
      <w:sz w:val="32"/>
      <w:lang w:eastAsia="zh-CN"/>
    </w:rPr>
  </w:style>
  <w:style w:type="paragraph" w:customStyle="1" w:styleId="2311">
    <w:name w:val="正文_23"/>
    <w:pPr>
      <w:widowControl w:val="0"/>
      <w:jc w:val="both"/>
    </w:pPr>
    <w:rPr>
      <w:rFonts w:eastAsia="方正仿宋_GBK"/>
      <w:kern w:val="2"/>
      <w:sz w:val="32"/>
      <w:lang w:eastAsia="zh-CN"/>
    </w:rPr>
  </w:style>
  <w:style w:type="paragraph" w:customStyle="1" w:styleId="2105">
    <w:name w:val="样式 2 三号"/>
    <w:pPr>
      <w:widowControl w:val="0"/>
      <w:jc w:val="both"/>
    </w:pPr>
    <w:rPr>
      <w:rFonts w:eastAsia="方正仿宋_GBK"/>
      <w:kern w:val="2"/>
      <w:sz w:val="32"/>
      <w:lang w:eastAsia="zh-CN"/>
    </w:rPr>
  </w:style>
  <w:style w:type="paragraph" w:customStyle="1" w:styleId="9012">
    <w:name w:val="正文_90"/>
    <w:pPr>
      <w:widowControl w:val="0"/>
      <w:jc w:val="both"/>
    </w:pPr>
    <w:rPr>
      <w:rFonts w:eastAsia="方正仿宋_GBK"/>
      <w:kern w:val="2"/>
      <w:sz w:val="32"/>
      <w:lang w:eastAsia="zh-CN"/>
    </w:rPr>
  </w:style>
  <w:style w:type="paragraph" w:customStyle="1" w:styleId="9311">
    <w:name w:val="正文_93"/>
    <w:pPr>
      <w:widowControl w:val="0"/>
      <w:jc w:val="both"/>
    </w:pPr>
    <w:rPr>
      <w:rFonts w:eastAsia="方正仿宋_GBK"/>
      <w:kern w:val="2"/>
      <w:sz w:val="32"/>
      <w:lang w:eastAsia="zh-CN"/>
    </w:rPr>
  </w:style>
  <w:style w:type="paragraph" w:customStyle="1" w:styleId="9412">
    <w:name w:val="正文_94"/>
    <w:pPr>
      <w:widowControl w:val="0"/>
      <w:jc w:val="both"/>
    </w:pPr>
    <w:rPr>
      <w:rFonts w:eastAsia="方正仿宋_GBK"/>
      <w:kern w:val="2"/>
      <w:sz w:val="32"/>
      <w:lang w:eastAsia="zh-CN"/>
    </w:rPr>
  </w:style>
  <w:style w:type="paragraph" w:customStyle="1" w:styleId="3212">
    <w:name w:val="正文_32"/>
    <w:pPr>
      <w:widowControl w:val="0"/>
      <w:jc w:val="both"/>
    </w:pPr>
    <w:rPr>
      <w:rFonts w:eastAsia="方正仿宋_GBK"/>
      <w:kern w:val="2"/>
      <w:sz w:val="32"/>
      <w:lang w:eastAsia="zh-CN"/>
    </w:rPr>
  </w:style>
  <w:style w:type="paragraph" w:customStyle="1" w:styleId="1812">
    <w:name w:val="正文_18"/>
    <w:pPr>
      <w:widowControl w:val="0"/>
      <w:jc w:val="both"/>
    </w:pPr>
    <w:rPr>
      <w:rFonts w:eastAsia="方正仿宋_GBK"/>
      <w:kern w:val="2"/>
      <w:sz w:val="32"/>
      <w:lang w:eastAsia="zh-CN"/>
    </w:rPr>
  </w:style>
  <w:style w:type="paragraph" w:customStyle="1" w:styleId="11412">
    <w:name w:val="正文_114"/>
    <w:pPr>
      <w:widowControl w:val="0"/>
      <w:jc w:val="both"/>
    </w:pPr>
    <w:rPr>
      <w:rFonts w:eastAsia="方正仿宋_GBK"/>
      <w:kern w:val="2"/>
      <w:sz w:val="32"/>
      <w:lang w:eastAsia="zh-CN"/>
    </w:rPr>
  </w:style>
  <w:style w:type="paragraph" w:customStyle="1" w:styleId="8102">
    <w:name w:val="样式 8 三号"/>
    <w:pPr>
      <w:widowControl w:val="0"/>
      <w:jc w:val="both"/>
    </w:pPr>
    <w:rPr>
      <w:rFonts w:eastAsia="方正仿宋_GBK"/>
      <w:kern w:val="2"/>
      <w:sz w:val="32"/>
      <w:lang w:eastAsia="zh-CN"/>
    </w:rPr>
  </w:style>
  <w:style w:type="paragraph" w:customStyle="1" w:styleId="10912">
    <w:name w:val="正文_109"/>
    <w:pPr>
      <w:widowControl w:val="0"/>
      <w:jc w:val="both"/>
    </w:pPr>
    <w:rPr>
      <w:rFonts w:eastAsia="方正仿宋_GBK"/>
      <w:kern w:val="2"/>
      <w:sz w:val="32"/>
      <w:lang w:eastAsia="zh-CN"/>
    </w:rPr>
  </w:style>
  <w:style w:type="paragraph" w:customStyle="1" w:styleId="1302">
    <w:name w:val="正文_130"/>
    <w:pPr>
      <w:widowControl w:val="0"/>
      <w:jc w:val="both"/>
    </w:pPr>
    <w:rPr>
      <w:rFonts w:eastAsia="方正仿宋_GBK"/>
      <w:kern w:val="2"/>
      <w:sz w:val="32"/>
      <w:lang w:eastAsia="zh-CN"/>
    </w:rPr>
  </w:style>
  <w:style w:type="paragraph" w:customStyle="1" w:styleId="10113">
    <w:name w:val="正文_101"/>
    <w:pPr>
      <w:widowControl w:val="0"/>
      <w:jc w:val="both"/>
    </w:pPr>
    <w:rPr>
      <w:rFonts w:eastAsia="方正仿宋_GBK"/>
      <w:kern w:val="2"/>
      <w:sz w:val="32"/>
      <w:lang w:eastAsia="zh-CN"/>
    </w:rPr>
  </w:style>
  <w:style w:type="paragraph" w:customStyle="1" w:styleId="2171">
    <w:name w:val="样式 2 三号_17"/>
    <w:pPr>
      <w:widowControl w:val="0"/>
      <w:jc w:val="both"/>
    </w:pPr>
    <w:rPr>
      <w:rFonts w:eastAsia="方正仿宋_GBK"/>
      <w:kern w:val="2"/>
      <w:sz w:val="32"/>
      <w:lang w:eastAsia="zh-CN"/>
    </w:rPr>
  </w:style>
  <w:style w:type="paragraph" w:customStyle="1" w:styleId="6012">
    <w:name w:val="正文_60"/>
    <w:pPr>
      <w:widowControl w:val="0"/>
      <w:jc w:val="both"/>
    </w:pPr>
    <w:rPr>
      <w:rFonts w:eastAsia="方正仿宋_GBK"/>
      <w:kern w:val="2"/>
      <w:sz w:val="32"/>
      <w:lang w:eastAsia="zh-CN"/>
    </w:rPr>
  </w:style>
  <w:style w:type="paragraph" w:customStyle="1" w:styleId="5011">
    <w:name w:val="正文_50"/>
    <w:pPr>
      <w:widowControl w:val="0"/>
      <w:jc w:val="both"/>
    </w:pPr>
    <w:rPr>
      <w:rFonts w:eastAsia="方正仿宋_GBK"/>
      <w:kern w:val="2"/>
      <w:sz w:val="32"/>
      <w:lang w:eastAsia="zh-CN"/>
    </w:rPr>
  </w:style>
  <w:style w:type="paragraph" w:customStyle="1" w:styleId="6611">
    <w:name w:val="正文_66"/>
    <w:pPr>
      <w:widowControl w:val="0"/>
      <w:jc w:val="both"/>
    </w:pPr>
    <w:rPr>
      <w:rFonts w:eastAsia="方正仿宋_GBK"/>
      <w:kern w:val="2"/>
      <w:sz w:val="3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14094903</TotalTime>
  <Pages>0</Pages>
  <Words>0</Words>
  <Characters>0</Characters>
  <Application>Microsoft Office Word</Application>
  <DocSecurity>0</DocSecurity>
  <Lines>0</Lines>
  <Paragraphs>0</Paragraphs>
  <ScaleCrop>false</ScaleCrop>
  <Company>ms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Windows 用户</cp:lastModifiedBy>
  <cp:revision>6</cp:revision>
  <cp:lastPrinted>2020-06-24T09:06:00Z</cp:lastPrinted>
  <dcterms:created xsi:type="dcterms:W3CDTF">2021-11-24T16:33:00Z</dcterms:created>
  <dcterms:modified xsi:type="dcterms:W3CDTF">2023-08-31T03:23:25Z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