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CG2024-WT-GK-FW-038</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深圳海关2024年企业信用管理子系统ERP智能化联网分析服务功能项目（软件部分）采购项目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w:t>
      </w:r>
      <w:r>
        <w:rPr>
          <w:rFonts w:ascii="宋体"/>
          <w:b/>
          <w:bCs/>
          <w:color w:val="0000FF"/>
          <w:sz w:val="32"/>
          <w:szCs w:val="32"/>
        </w:rPr>
        <w:t>9</w:t>
      </w:r>
      <w:r>
        <w:rPr>
          <w:rFonts w:ascii="宋体" w:hint="eastAsia"/>
          <w:b/>
          <w:bCs/>
          <w:color w:val="0000FF"/>
          <w:sz w:val="32"/>
          <w:szCs w:val="32"/>
        </w:rPr>
        <w:t>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4</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21</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22</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23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24</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深圳海关2024年企业信用管理子系统ERP智能化联网分析服务功能项目（软件部分）采购项目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CG2024-WT-GK-FW-038</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深圳海关2024年企业信用管理子系统ERP智能化联网分析服务功能项目（软件部分）采购项目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本项目预算金额合计总金额人民币8,129,631.00元，其中包1人民币8,129,631.00元。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748"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218" w:type="dxa"/>
          </w:tcPr>
          <w:p>
            <w:pPr>
              <w:spacing w:after="120" w:line="240" w:lineRule="auto"/>
              <w:rPr>
                <w:rFonts w:ascii="宋体"/>
                <w:b/>
                <w:color w:val="0000FF"/>
                <w:sz w:val="24"/>
                <w:highlight w:val="white"/>
              </w:rPr>
            </w:pPr>
            <w:bookmarkStart w:id="11" w:name="货物一览表_goodsName"/>
            <w:r>
              <w:rPr>
                <w:rFonts w:ascii="宋体" w:hint="eastAsia"/>
                <w:b/>
                <w:color w:val="0000FF"/>
                <w:sz w:val="24"/>
                <w:szCs w:val="24"/>
                <w:highlight w:val="white"/>
                <w:lang w:val="en-US" w:eastAsia="zh-CN"/>
              </w:rPr>
              <w:t>服务内容</w:t>
            </w:r>
            <w:bookmarkEnd w:id="11"/>
          </w:p>
        </w:tc>
        <w:tc>
          <w:tcPr>
            <w:tcW w:w="787"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534" w:type="dxa"/>
          </w:tcPr>
          <w:p>
            <w:pPr>
              <w:spacing w:after="120" w:line="240" w:lineRule="auto"/>
              <w:rPr>
                <w:rFonts w:ascii="宋体"/>
                <w:b/>
                <w:color w:val="0000FF"/>
                <w:sz w:val="24"/>
                <w:highlight w:val="white"/>
              </w:rPr>
            </w:pPr>
            <w:bookmarkStart w:id="13" w:name="货物一览表_deliveryDate"/>
            <w:r>
              <w:rPr>
                <w:rFonts w:ascii="宋体" w:hint="eastAsia"/>
                <w:b/>
                <w:color w:val="0000FF"/>
                <w:sz w:val="24"/>
                <w:highlight w:val="white"/>
                <w:lang w:val="en-US" w:eastAsia="zh-CN"/>
              </w:rPr>
              <w:t>服务完成时间及节点要求</w:t>
            </w:r>
            <w:bookmarkEnd w:id="13"/>
          </w:p>
        </w:tc>
        <w:tc>
          <w:tcPr>
            <w:tcW w:w="1296" w:type="dxa"/>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252"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7820"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包件1</w:t>
            </w:r>
          </w:p>
        </w:tc>
        <w:tc>
          <w:tcPr>
            <w:tcW w:w="748" w:type="dxa"/>
          </w:tcPr>
          <w:p>
            <w:pPr>
              <w:spacing w:after="120" w:line="240" w:lineRule="auto"/>
              <w:rPr>
                <w:rFonts w:ascii="宋体"/>
                <w:b/>
                <w:color w:val="0000FF"/>
                <w:sz w:val="24"/>
                <w:highlight w:val="white"/>
              </w:rPr>
            </w:pPr>
            <w:r>
              <w:t>1</w:t>
            </w:r>
          </w:p>
        </w:tc>
        <w:tc>
          <w:tcPr>
            <w:tcW w:w="1218" w:type="dxa"/>
          </w:tcPr>
          <w:p>
            <w:pPr>
              <w:spacing w:after="120" w:line="240" w:lineRule="auto"/>
              <w:rPr>
                <w:rFonts w:ascii="宋体"/>
                <w:b/>
                <w:color w:val="0000FF"/>
                <w:sz w:val="24"/>
                <w:highlight w:val="white"/>
              </w:rPr>
            </w:pPr>
            <w:r>
              <w:t>ERP智能化联网分析服务功能（软件部分）</w:t>
            </w:r>
          </w:p>
        </w:tc>
        <w:tc>
          <w:tcPr>
            <w:tcW w:w="787" w:type="dxa"/>
          </w:tcPr>
          <w:p>
            <w:pPr>
              <w:spacing w:after="120" w:line="240" w:lineRule="auto"/>
              <w:rPr>
                <w:rFonts w:ascii="宋体"/>
                <w:b/>
                <w:color w:val="0000FF"/>
                <w:sz w:val="24"/>
                <w:highlight w:val="white"/>
              </w:rPr>
            </w:pPr>
            <w:r>
              <w:t>1</w:t>
            </w:r>
          </w:p>
        </w:tc>
        <w:tc>
          <w:tcPr>
            <w:tcW w:w="1534" w:type="dxa"/>
            <w:vAlign w:val="center"/>
          </w:tcPr>
          <w:p>
            <w:pPr>
              <w:spacing w:after="120" w:line="240" w:lineRule="auto"/>
              <w:rPr>
                <w:rFonts w:ascii="宋体"/>
                <w:b/>
                <w:color w:val="0000FF"/>
                <w:sz w:val="24"/>
                <w:highlight w:val="white"/>
              </w:rPr>
            </w:pPr>
            <w:r>
              <w:t>签订合同后至2024年12月25日前，开发上线采购方指定的首批系统功能，2025年4月30日前开发上线系统全部功能。</w:t>
            </w:r>
            <w:r>
              <w:rPr>
                <w:rFonts w:ascii="宋体" w:cs="宋体" w:hint="eastAsia"/>
              </w:rPr>
              <w:t>合同验收后</w:t>
            </w:r>
            <w:r>
              <w:rPr>
                <w:rFonts w:ascii="宋体" w:cs="宋体"/>
              </w:rPr>
              <w:t>提供1年运维服务。</w:t>
            </w:r>
          </w:p>
        </w:tc>
        <w:tc>
          <w:tcPr>
            <w:tcW w:w="1296" w:type="dxa"/>
            <w:vAlign w:val="center"/>
          </w:tcPr>
          <w:p>
            <w:pPr>
              <w:spacing w:after="120" w:line="240" w:lineRule="auto"/>
              <w:rPr>
                <w:rFonts w:ascii="宋体"/>
                <w:b/>
                <w:color w:val="0000FF"/>
                <w:sz w:val="24"/>
                <w:highlight w:val="white"/>
              </w:rPr>
            </w:pPr>
            <w:r>
              <w:t>海关指定地点</w:t>
            </w:r>
          </w:p>
        </w:tc>
        <w:tc>
          <w:tcPr>
            <w:tcW w:w="1252" w:type="dxa"/>
            <w:vAlign w:val="center"/>
          </w:tcPr>
          <w:p>
            <w:pPr>
              <w:spacing w:after="120" w:line="240" w:lineRule="auto"/>
              <w:rPr>
                <w:rFonts w:ascii="宋体" w:hint="eastAsia"/>
                <w:b/>
                <w:color w:val="0000FF"/>
                <w:sz w:val="24"/>
                <w:highlight w:val="white"/>
              </w:rPr>
            </w:pPr>
            <w:r>
              <w:t>详见招标文件</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
      <w:r>
        <w:rPr>
          <w:rFonts w:ascii="宋体" w:hint="eastAsia"/>
          <w:b/>
          <w:bCs/>
          <w:color w:val="0000FF"/>
          <w:sz w:val="24"/>
          <w:highlight w:val="none"/>
        </w:rPr>
        <w:t xml:space="preserve"> 软件和信息技术服务业</w:t>
      </w:r>
      <w:bookmarkEnd w:id="16"/>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8"/>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2024-09-10 00:00:00</w:t>
      </w:r>
      <w:bookmarkEnd w:id="19"/>
      <w:r>
        <w:rPr>
          <w:rFonts w:ascii="宋体" w:hint="eastAsia"/>
          <w:sz w:val="24"/>
        </w:rPr>
        <w:t>至</w:t>
      </w:r>
      <w:bookmarkStart w:id="20" w:name="公告_signUpLastTime"/>
      <w:r>
        <w:rPr>
          <w:rFonts w:ascii="宋体" w:hint="eastAsia"/>
          <w:sz w:val="24"/>
        </w:rPr>
        <w:t>2024-09-18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2024-10-09 08:30:00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22" w:name="项目公告_openBidTime"/>
      <w:r>
        <w:rPr>
          <w:rFonts w:ascii="宋体" w:hint="eastAsia"/>
          <w:b/>
          <w:bCs/>
          <w:sz w:val="24"/>
        </w:rPr>
        <w:t>2024-10-09 08:30:00</w:t>
      </w:r>
      <w:bookmarkEnd w:id="22"/>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23"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010-65194937（业务咨询）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23"/>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24" w:name="公告_siteSurvey"/>
      <w:r>
        <w:rPr>
          <w:rFonts w:ascii="Wingdings 2" w:hAnsi="Wingdings 2"/>
          <w:b/>
          <w:color w:val="0000FF"/>
          <w:sz w:val="24"/>
          <w:highlight w:val="white"/>
        </w:rPr>
        <w:t>不适用</w:t>
      </w:r>
      <w:bookmarkEnd w:id="24"/>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25" w:name="任务单_publicDate"/>
      <w:r>
        <w:rPr>
          <w:rFonts w:ascii="宋体" w:hint="eastAsia"/>
          <w:b/>
          <w:sz w:val="24"/>
          <w:highlight w:val="white"/>
        </w:rPr>
        <w:t>于2024-03-22</w:t>
      </w:r>
      <w:bookmarkEnd w:id="25"/>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26" w:name="_Toc65406664"/>
      <w:r>
        <w:rPr>
          <w:rFonts w:hint="eastAsia"/>
          <w:highlight w:val="white"/>
        </w:rPr>
        <w:t>第二部分  投标人须知</w:t>
      </w:r>
      <w:bookmarkEnd w:id="26"/>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深圳海关</w:t>
            </w:r>
            <w:bookmarkEnd w:id="27"/>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color w:val="0000FF"/>
                <w:sz w:val="24"/>
                <w:lang w:bidi="ar-SA"/>
              </w:rPr>
              <w:t>本项目预算金额合计总金额人民币8,129,631.00元，其中包1人民币8,129,631.00元。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8,129,631.00</w:t>
            </w:r>
            <w:bookmarkEnd w:id="29"/>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30" w:name="投标须知_agentBidding"/>
            <w:r>
              <w:rPr>
                <w:rFonts w:ascii="宋体" w:cs="微软雅黑" w:hint="eastAsia"/>
                <w:color w:val="0000FF"/>
                <w:sz w:val="24"/>
                <w:lang w:bidi="ar-SA"/>
              </w:rPr>
              <w:t>否</w:t>
            </w:r>
            <w:bookmarkEnd w:id="3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31" w:name="投标人须知_canUnion"/>
            <w:r>
              <w:rPr>
                <w:rFonts w:ascii="宋体" w:cs="微软雅黑" w:hint="eastAsia"/>
                <w:bCs/>
                <w:color w:val="0000FF"/>
                <w:sz w:val="24"/>
                <w:lang w:bidi="ar-SA"/>
              </w:rPr>
              <w:t>否</w:t>
            </w:r>
            <w:bookmarkEnd w:id="31"/>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2" w:name="采购任务单_purchaserOrgName_1"/>
      <w:r>
        <w:rPr>
          <w:rFonts w:ascii="宋体" w:hint="eastAsia"/>
          <w:color w:val="0000FF"/>
          <w:sz w:val="24"/>
          <w:lang w:val="en-US" w:eastAsia="zh-CN"/>
        </w:rPr>
        <w:t>深圳海关</w:t>
      </w:r>
      <w:bookmarkEnd w:id="32"/>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color w:val="0000FF"/>
          <w:kern w:val="0"/>
          <w:sz w:val="24"/>
          <w:szCs w:val="21"/>
          <w:highlight w:val="white"/>
        </w:rPr>
      </w:pPr>
      <w:bookmarkStart w:id="33"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（3）投标人提供2021年10月1日至本项目招标公告发布之日止（以合同签订日期为准）同类开发服务项目业绩相关材料。（具体要求详见评审标准，加盖投标人电子签章）。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（4）证明投标人满足投标人资格标准的其他必要资格证明文件（如有）（加盖投标人电子签章）。</w:t>
      </w:r>
      <w:bookmarkEnd w:id="33"/>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4" w:name="技术应答文件"/>
      <w:r>
        <w:rPr>
          <w:rFonts w:ascii="Times New Roman" w:hAnsi="Times New Roman" w:hint="eastAsia"/>
          <w:color w:val="0000FF"/>
          <w:kern w:val="0"/>
          <w:sz w:val="24"/>
          <w:szCs w:val="21"/>
          <w:highlight w:val="white"/>
        </w:rPr>
        <w:t>（1）★《技术偏离表》：须对本招标文件第三部分《项目需求书》中相关内容，按附件格式逐项应答，如有缺项进行相应扣分，格式见第六部分（加盖投标人电子签章）。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（2）投标人需提供需求理解分析、实施管理方案、技术设计方案，具体要求见第四部分评审标准要求（加盖投标人电子签章）。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4"/>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5" w:name="服务应答文件服务应答文件"/>
      <w:r>
        <w:rPr>
          <w:rFonts w:ascii="Times New Roman" w:hAnsi="Times New Roman" w:hint="eastAsia"/>
          <w:color w:val="0000FF"/>
          <w:kern w:val="0"/>
          <w:sz w:val="24"/>
          <w:szCs w:val="21"/>
          <w:highlight w:val="white"/>
        </w:rPr>
        <w:t>（1）投标人需提供运维服务方案，具体要求见第四部分评审标准要求（加盖投标人电子签章）。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（2）投标人按项目需求书提供团队服务人员名单（包括项目履历、在本项目担任的角色等）、提供投标截止前3个月内任意一个月的社保证明</w:t>
      </w:r>
      <w:r>
        <w:rPr>
          <w:rFonts w:ascii="Times New Roman" w:hAnsi="Times New Roman"/>
          <w:color w:val="0000FF"/>
          <w:kern w:val="0"/>
          <w:sz w:val="24"/>
          <w:szCs w:val="21"/>
          <w:highlight w:val="white"/>
        </w:rPr>
        <w:t>或劳务合同等材料</w:t>
      </w:r>
      <w:r>
        <w:rPr>
          <w:rFonts w:ascii="Times New Roman" w:hAnsi="Times New Roman" w:hint="eastAsia"/>
          <w:color w:val="0000FF"/>
          <w:kern w:val="0"/>
          <w:sz w:val="24"/>
          <w:szCs w:val="21"/>
          <w:highlight w:val="white"/>
        </w:rPr>
        <w:t>（未提供的不予认定），格式见第六部分（加盖投标人电子签章）。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5"/>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36" w:name="_Toc65406665"/>
      <w:r>
        <w:rPr>
          <w:rFonts w:hint="eastAsia"/>
          <w:lang w:val="en-US" w:eastAsia="zh-CN"/>
        </w:rPr>
        <w:t>第三部分  项目需求书</w:t>
      </w:r>
      <w:bookmarkEnd w:id="36"/>
    </w:p>
    <w:p>
      <w:pPr>
        <w:rPr>
          <w:highlight w:val="white"/>
        </w:rPr>
      </w:pPr>
    </w:p>
    <w:p>
      <w:pPr>
        <w:rPr>
          <w:highlight w:val="white"/>
        </w:rPr>
      </w:pPr>
    </w:p>
    <w:p>
      <w:pPr>
        <w:ind w:firstLine="0"/>
        <w:rPr>
          <w:rFonts w:ascii="宋体" w:eastAsia="宋体"/>
        </w:rPr>
      </w:pPr>
      <w:bookmarkStart w:id="37" w:name="插入_采购需求书"/>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b/>
          <w:bCs/>
        </w:rPr>
      </w:pPr>
      <w:r>
        <w:rPr>
          <w:rFonts w:ascii="宋体" w:eastAsia="宋体" w:cs="微软雅黑" w:hint="eastAsia"/>
          <w:b/>
          <w:bCs/>
        </w:rPr>
        <w:t>提交投标文件时，须注明需提供证明材料或承诺函等材料项所在位置（页码）。</w:t>
      </w:r>
    </w:p>
    <w:p>
      <w:pPr>
        <w:pStyle w:val="Heading2"/>
        <w:numPr>
          <w:ilvl w:val="0"/>
          <w:numId w:val="2"/>
        </w:numPr>
        <w:rPr>
          <w:rFonts w:ascii="宋体" w:eastAsia="宋体" w:hint="eastAsia"/>
        </w:rPr>
      </w:pPr>
      <w:bookmarkStart w:id="38" w:name="采购政策落实"/>
      <w:r>
        <w:rPr>
          <w:rFonts w:ascii="宋体" w:eastAsia="宋体"/>
        </w:rPr>
        <w:t>承诺项</w:t>
      </w:r>
    </w:p>
    <w:p>
      <w:pPr>
        <w:rPr>
          <w:rFonts w:ascii="宋体" w:eastAsia="宋体" w:cs="Times New Roman"/>
          <w:kern w:val="2"/>
        </w:rPr>
      </w:pPr>
      <w:r>
        <w:rPr>
          <w:rFonts w:ascii="宋体" w:eastAsia="宋体" w:cs="宋体"/>
          <w:kern w:val="2"/>
        </w:rPr>
        <w:t>1.</w:t>
      </w:r>
      <w:r>
        <w:rPr>
          <w:rFonts w:ascii="宋体" w:eastAsia="宋体" w:cs="宋体" w:hint="eastAsia"/>
          <w:kern w:val="2"/>
        </w:rPr>
        <w:t>行业类型（必填项）：</w:t>
      </w:r>
      <w:r>
        <w:rPr>
          <w:rFonts w:ascii="宋体" w:eastAsia="宋体" w:cs="Times New Roman" w:hint="eastAsia"/>
          <w:kern w:val="2"/>
        </w:rPr>
        <w:t xml:space="preserve">  </w:t>
      </w:r>
      <w:r>
        <w:rPr>
          <w:rFonts w:eastAsia="宋体" w:hint="eastAsia"/>
          <w:u w:val="single"/>
        </w:rPr>
        <w:t>软件和信息技术服务业</w:t>
      </w:r>
      <w:r>
        <w:rPr>
          <w:rFonts w:ascii="宋体" w:eastAsia="宋体" w:cs="Times New Roman" w:hint="eastAsia"/>
          <w:kern w:val="2"/>
        </w:rPr>
        <w:t xml:space="preserve">                                        </w:t>
      </w:r>
    </w:p>
    <w:p>
      <w:pPr>
        <w:rPr>
          <w:rFonts w:ascii="宋体" w:eastAsia="宋体" w:cs="Times New Roman"/>
          <w:kern w:val="2"/>
        </w:rPr>
      </w:pPr>
      <w:r>
        <w:rPr>
          <w:rFonts w:ascii="宋体" w:eastAsia="宋体" w:cs="方正仿宋_GBK" w:hint="eastAsia"/>
          <w:kern w:val="2"/>
        </w:rPr>
        <w:t>注：行业类型依据工业和信息化部等主管部门印发的《中小企业划型标准规定》（工信部联企业〔2011〕300号），参考《国民经济行业分类注释》（国家统计局2017年），如工业、建筑业、其他未列明行业等。</w:t>
      </w:r>
    </w:p>
    <w:p>
      <w:pPr>
        <w:rPr>
          <w:rFonts w:ascii="宋体" w:eastAsia="宋体" w:cs="方正仿宋_GBK"/>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rPr>
        <w:t>本项目  否  属于新建、改建或者采用购买服务方式的政务应用程序项目。</w:t>
      </w:r>
    </w:p>
    <w:p>
      <w:pPr>
        <w:pStyle w:val="Heading2"/>
        <w:numPr>
          <w:ilvl w:val="0"/>
          <w:numId w:val="2"/>
        </w:numPr>
        <w:rPr>
          <w:rFonts w:ascii="宋体" w:eastAsia="宋体" w:hint="eastAsia"/>
        </w:rPr>
      </w:pPr>
      <w:r>
        <w:rPr>
          <w:rFonts w:ascii="宋体" w:eastAsia="宋体" w:hint="eastAsia"/>
        </w:rPr>
        <w:t>采购政策落实</w:t>
      </w:r>
      <w:bookmarkEnd w:id="38"/>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ascii="宋体" w:cs="Calibri"/>
                <w:b/>
              </w:rPr>
            </w:pPr>
            <w:bookmarkStart w:id="39" w:name="采购政策落实_index"/>
            <w:bookmarkStart w:id="40" w:name="商务需求"/>
            <w:bookmarkEnd w:id="39"/>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ascii="宋体" w:cs="Calibri"/>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szCs w:val="21"/>
              </w:rPr>
            </w:pPr>
            <w:r>
              <w:rPr>
                <w:rFonts w:ascii="宋体" w:cs="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Cs w:val="21"/>
              </w:rPr>
            </w:pPr>
            <w:r>
              <w:rPr>
                <w:rFonts w:ascii="宋体" w:hAns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cs="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cs="宋体" w:hint="eastAsia"/>
                <w:szCs w:val="21"/>
              </w:rPr>
              <w:t>是，提供《残疾人福利性单位声明函》并加盖单位公章</w:t>
            </w:r>
          </w:p>
        </w:tc>
      </w:tr>
    </w:tbl>
    <w:p/>
    <w:p>
      <w:pPr>
        <w:rPr>
          <w:rFonts w:ascii="宋体" w:eastAsia="宋体"/>
        </w:rPr>
      </w:pPr>
      <w:r>
        <w:rPr>
          <w:rFonts w:ascii="宋体" w:eastAsia="宋体" w:hint="eastAsia"/>
        </w:rPr>
        <w:t>注：本项目不专门面向中小微企业、监狱企业、残疾人企业。</w:t>
      </w:r>
    </w:p>
    <w:p>
      <w:pPr>
        <w:pStyle w:val="Heading2"/>
        <w:numPr>
          <w:ilvl w:val="0"/>
          <w:numId w:val="2"/>
        </w:numPr>
        <w:jc w:val="both"/>
        <w:rPr>
          <w:rFonts w:ascii="宋体" w:eastAsia="宋体" w:hint="eastAsia"/>
        </w:rPr>
      </w:pPr>
      <w:r>
        <w:rPr>
          <w:rFonts w:ascii="宋体" w:eastAsia="宋体" w:hint="eastAsia"/>
        </w:rPr>
        <w:t>商务需求</w:t>
      </w:r>
      <w:bookmarkEnd w:id="40"/>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2973"/>
        <w:gridCol w:w="3281"/>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firstLine="0"/>
              <w:jc w:val="center"/>
              <w:rPr>
                <w:rFonts w:ascii="宋体" w:eastAsia="宋体"/>
                <w:b/>
              </w:rPr>
            </w:pPr>
            <w:r>
              <w:rPr>
                <w:rFonts w:ascii="宋体" w:eastAsia="宋体" w:hint="eastAsia"/>
                <w:b/>
              </w:rPr>
              <w:t>序号</w:t>
            </w:r>
          </w:p>
        </w:tc>
        <w:tc>
          <w:tcPr>
            <w:tcW w:w="1830" w:type="dxa"/>
            <w:shd w:val="clear" w:color="A6A6A6" w:fill="A6A6A6"/>
            <w:vAlign w:val="center"/>
          </w:tcPr>
          <w:p>
            <w:pPr>
              <w:ind w:firstLine="0"/>
              <w:jc w:val="center"/>
              <w:rPr>
                <w:rFonts w:ascii="宋体" w:eastAsia="宋体"/>
                <w:b/>
              </w:rPr>
            </w:pPr>
            <w:r>
              <w:rPr>
                <w:rFonts w:ascii="宋体" w:eastAsia="宋体" w:hint="eastAsia"/>
                <w:b/>
              </w:rPr>
              <w:t>内容</w:t>
            </w:r>
          </w:p>
        </w:tc>
        <w:tc>
          <w:tcPr>
            <w:tcW w:w="2973" w:type="dxa"/>
            <w:shd w:val="clear" w:color="A6A6A6" w:fill="A6A6A6"/>
            <w:vAlign w:val="center"/>
          </w:tcPr>
          <w:p>
            <w:pPr>
              <w:ind w:firstLine="0"/>
              <w:jc w:val="center"/>
              <w:rPr>
                <w:rFonts w:ascii="宋体" w:eastAsia="宋体"/>
                <w:b/>
              </w:rPr>
            </w:pPr>
            <w:bookmarkStart w:id="41" w:name="商务需求_Title_说明_Required_Table"/>
            <w:r>
              <w:rPr>
                <w:rFonts w:ascii="宋体" w:eastAsia="宋体" w:hint="eastAsia"/>
                <w:b/>
              </w:rPr>
              <w:t>说明</w:t>
            </w:r>
            <w:bookmarkEnd w:id="41"/>
          </w:p>
        </w:tc>
        <w:tc>
          <w:tcPr>
            <w:tcW w:w="3281" w:type="dxa"/>
            <w:shd w:val="clear" w:color="A6A6A6" w:fill="A6A6A6"/>
            <w:vAlign w:val="center"/>
          </w:tcPr>
          <w:p>
            <w:pPr>
              <w:ind w:firstLine="0"/>
              <w:jc w:val="center"/>
              <w:rPr>
                <w:rFonts w:ascii="宋体" w:eastAsia="宋体"/>
                <w:b/>
              </w:rPr>
            </w:pPr>
            <w:r>
              <w:rPr>
                <w:rFonts w:ascii="宋体" w:eastAsia="宋体"/>
                <w:b/>
              </w:rPr>
              <w:t>证明材料要求</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hint="eastAsia"/>
                <w:b/>
              </w:rPr>
              <w:t>1</w:t>
            </w:r>
          </w:p>
        </w:tc>
        <w:tc>
          <w:tcPr>
            <w:tcW w:w="1830" w:type="dxa"/>
            <w:vAlign w:val="center"/>
          </w:tcPr>
          <w:p>
            <w:pPr>
              <w:ind w:firstLine="0"/>
              <w:rPr>
                <w:rFonts w:ascii="宋体" w:eastAsia="宋体"/>
                <w:b/>
              </w:rPr>
            </w:pPr>
            <w:r>
              <w:rPr>
                <w:rFonts w:ascii="宋体" w:eastAsia="宋体" w:hint="eastAsia"/>
                <w:b/>
              </w:rPr>
              <w:t>投标人资质</w:t>
            </w:r>
          </w:p>
        </w:tc>
        <w:tc>
          <w:tcPr>
            <w:tcW w:w="2973" w:type="dxa"/>
            <w:vAlign w:val="center"/>
          </w:tcPr>
          <w:p>
            <w:pPr>
              <w:rPr>
                <w:rFonts w:ascii="宋体" w:cs="宋体"/>
                <w:szCs w:val="21"/>
              </w:rPr>
            </w:pPr>
            <w:r>
              <w:rPr>
                <w:rFonts w:hint="eastAsia"/>
              </w:rPr>
              <w:t>★</w:t>
            </w:r>
            <w:r>
              <w:rPr>
                <w:rFonts w:ascii="宋体" w:cs="宋体" w:hint="eastAsia"/>
              </w:rPr>
              <w:t>1.</w:t>
            </w:r>
            <w:r>
              <w:rPr>
                <w:rFonts w:ascii="宋体" w:cs="宋体" w:hint="eastAsia"/>
                <w:szCs w:val="21"/>
              </w:rPr>
              <w:t>本项目不接受联合体投标，不允许分包转包。</w:t>
            </w:r>
          </w:p>
          <w:p>
            <w:pPr>
              <w:rPr>
                <w:rFonts w:ascii="Times New Roman" w:hAnsi="Times New Roman" w:cs="Times New Roman"/>
              </w:rPr>
            </w:pPr>
            <w:r>
              <w:t>2.</w:t>
            </w:r>
            <w:r>
              <w:rPr>
                <w:rFonts w:hint="eastAsia"/>
              </w:rPr>
              <w:t>投标人资格条件详见招标公告。</w:t>
            </w:r>
          </w:p>
          <w:p>
            <w:r>
              <w:rPr>
                <w:rFonts w:hint="eastAsia"/>
              </w:rPr>
              <w:t>其他资质证书：</w:t>
            </w:r>
          </w:p>
          <w:p>
            <w:r>
              <w:t>1</w:t>
            </w:r>
            <w:r>
              <w:rPr>
                <w:rFonts w:hint="eastAsia"/>
              </w:rPr>
              <w:t>、投标人提供有效的</w:t>
            </w:r>
            <w:r>
              <w:t>ISO9001</w:t>
            </w:r>
            <w:r>
              <w:rPr>
                <w:rFonts w:hint="eastAsia"/>
              </w:rPr>
              <w:t>质量管理体系认证证书。</w:t>
            </w:r>
          </w:p>
          <w:p>
            <w:r>
              <w:t>2</w:t>
            </w:r>
            <w:r>
              <w:rPr>
                <w:rFonts w:hint="eastAsia"/>
              </w:rPr>
              <w:t>、投标人提供有效的</w:t>
            </w:r>
            <w:r>
              <w:t>ISO27001</w:t>
            </w:r>
            <w:r>
              <w:rPr>
                <w:rFonts w:hint="eastAsia"/>
              </w:rPr>
              <w:t>信息安全管理体系认证证书。</w:t>
            </w:r>
          </w:p>
          <w:p>
            <w:r>
              <w:t>3</w:t>
            </w:r>
            <w:r>
              <w:rPr>
                <w:rFonts w:hint="eastAsia"/>
              </w:rPr>
              <w:t>、投标人提供有效的</w:t>
            </w:r>
            <w:r>
              <w:t>ISO2000</w:t>
            </w:r>
            <w:r>
              <w:rPr>
                <w:rFonts w:hint="eastAsia"/>
              </w:rPr>
              <w:t>信息技术服务管理体系认证证书。</w:t>
            </w:r>
            <w:r>
              <w:rPr>
                <w:rFonts w:ascii="宋体" w:cs="宋体" w:hint="eastAsia"/>
              </w:rPr>
              <w:t xml:space="preserve"> </w:t>
            </w:r>
          </w:p>
        </w:tc>
        <w:tc>
          <w:tcPr>
            <w:tcW w:w="3281" w:type="dxa"/>
            <w:vAlign w:val="center"/>
          </w:tcPr>
          <w:p>
            <w:pPr>
              <w:ind w:firstLine="0"/>
              <w:rPr>
                <w:rFonts w:ascii="宋体" w:eastAsia="宋体"/>
                <w:i/>
                <w:iCs/>
                <w:lang w:bidi="en-US"/>
              </w:rPr>
            </w:pPr>
            <w:r>
              <w:rPr>
                <w:rFonts w:ascii="宋体" w:eastAsia="宋体" w:hint="eastAsia"/>
                <w:i/>
                <w:iCs/>
                <w:lang w:bidi="en-US"/>
              </w:rPr>
              <w:t>是,须提供相关有效证明材料</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hint="eastAsia"/>
                <w:b/>
              </w:rPr>
              <w:t>2</w:t>
            </w:r>
          </w:p>
        </w:tc>
        <w:tc>
          <w:tcPr>
            <w:tcW w:w="1830" w:type="dxa"/>
            <w:vAlign w:val="center"/>
          </w:tcPr>
          <w:p>
            <w:pPr>
              <w:ind w:firstLine="0"/>
              <w:rPr>
                <w:rFonts w:ascii="宋体" w:eastAsia="宋体"/>
                <w:b/>
              </w:rPr>
            </w:pPr>
            <w:r>
              <w:rPr>
                <w:rFonts w:ascii="宋体" w:eastAsia="宋体" w:hint="eastAsia"/>
                <w:b/>
              </w:rPr>
              <w:t>投标产品资质</w:t>
            </w:r>
          </w:p>
        </w:tc>
        <w:tc>
          <w:tcPr>
            <w:tcW w:w="2973" w:type="dxa"/>
            <w:vAlign w:val="center"/>
          </w:tcPr>
          <w:p>
            <w:pPr>
              <w:ind w:firstLine="0"/>
            </w:pPr>
            <w:r>
              <w:rPr>
                <w:rFonts w:hint="eastAsia"/>
              </w:rPr>
              <w:t>无</w:t>
            </w:r>
          </w:p>
        </w:tc>
        <w:tc>
          <w:tcPr>
            <w:tcW w:w="3281" w:type="dxa"/>
            <w:vAlign w:val="center"/>
          </w:tcPr>
          <w:p>
            <w:pPr>
              <w:ind w:firstLine="0"/>
              <w:rPr>
                <w:rFonts w:ascii="宋体" w:eastAsia="宋体"/>
                <w:i/>
                <w:iCs/>
                <w:lang w:bidi="en-US"/>
              </w:rPr>
            </w:pPr>
            <w:r>
              <w:rPr>
                <w:rFonts w:ascii="宋体" w:eastAsia="宋体" w:hint="eastAsia"/>
                <w:i/>
                <w:iCs/>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b/>
              </w:rPr>
            </w:pPr>
            <w:r>
              <w:rPr>
                <w:rFonts w:ascii="宋体" w:eastAsia="宋体" w:hint="eastAsia"/>
                <w:b/>
              </w:rPr>
              <w:t>3</w:t>
            </w:r>
          </w:p>
        </w:tc>
        <w:tc>
          <w:tcPr>
            <w:tcW w:w="1830" w:type="dxa"/>
            <w:vAlign w:val="center"/>
          </w:tcPr>
          <w:p>
            <w:pPr>
              <w:ind w:firstLine="0"/>
              <w:rPr>
                <w:rFonts w:ascii="宋体" w:eastAsia="宋体"/>
                <w:b/>
              </w:rPr>
            </w:pPr>
            <w:r>
              <w:rPr>
                <w:rFonts w:ascii="宋体" w:eastAsia="宋体" w:hint="eastAsia"/>
                <w:b/>
              </w:rPr>
              <w:t>核心产品</w:t>
            </w:r>
          </w:p>
        </w:tc>
        <w:tc>
          <w:tcPr>
            <w:tcW w:w="2973" w:type="dxa"/>
            <w:vAlign w:val="center"/>
          </w:tcPr>
          <w:p>
            <w:pPr>
              <w:ind w:firstLine="0"/>
              <w:rPr>
                <w:rFonts w:ascii="宋体" w:eastAsia="宋体"/>
                <w:lang w:bidi="en-US"/>
              </w:rPr>
            </w:pPr>
            <w:r>
              <w:rPr>
                <w:rFonts w:hint="eastAsia"/>
              </w:rPr>
              <w:t>无</w:t>
            </w:r>
          </w:p>
        </w:tc>
        <w:tc>
          <w:tcPr>
            <w:tcW w:w="3281" w:type="dxa"/>
            <w:vAlign w:val="center"/>
          </w:tcPr>
          <w:p>
            <w:pPr>
              <w:ind w:firstLine="0"/>
              <w:rPr>
                <w:rFonts w:ascii="宋体" w:eastAsia="宋体"/>
                <w:i/>
                <w:iCs/>
                <w:lang w:bidi="en-US"/>
              </w:rPr>
            </w:pPr>
            <w:r>
              <w:rPr>
                <w:rFonts w:ascii="宋体" w:eastAsia="宋体" w:hint="eastAsia"/>
                <w:i/>
                <w:iCs/>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b/>
              </w:rPr>
              <w:t>4</w:t>
            </w:r>
          </w:p>
        </w:tc>
        <w:tc>
          <w:tcPr>
            <w:tcW w:w="1830" w:type="dxa"/>
            <w:vAlign w:val="center"/>
          </w:tcPr>
          <w:p>
            <w:pPr>
              <w:ind w:firstLine="0"/>
              <w:rPr>
                <w:rFonts w:ascii="宋体" w:eastAsia="宋体"/>
                <w:b/>
              </w:rPr>
            </w:pPr>
            <w:r>
              <w:rPr>
                <w:rFonts w:ascii="宋体" w:hint="eastAsia"/>
                <w:sz w:val="24"/>
              </w:rPr>
              <w:t>★</w:t>
            </w:r>
            <w:r>
              <w:rPr>
                <w:rFonts w:ascii="宋体" w:eastAsia="宋体" w:hint="eastAsia"/>
                <w:b/>
              </w:rPr>
              <w:t>信息安全要求</w:t>
            </w:r>
          </w:p>
        </w:tc>
        <w:tc>
          <w:tcPr>
            <w:tcW w:w="2973" w:type="dxa"/>
            <w:vAlign w:val="center"/>
          </w:tcPr>
          <w:p>
            <w:pPr>
              <w:spacing w:line="560" w:lineRule="exact"/>
              <w:rPr>
                <w:rFonts w:ascii="宋体" w:cs="宋体"/>
                <w:szCs w:val="21"/>
              </w:rPr>
            </w:pPr>
            <w:r>
              <w:rPr>
                <w:rFonts w:ascii="宋体" w:cs="宋体" w:hint="eastAsia"/>
                <w:szCs w:val="21"/>
              </w:rPr>
              <w:t>一、保密要求：</w:t>
            </w:r>
          </w:p>
          <w:p>
            <w:pPr>
              <w:spacing w:line="560" w:lineRule="exact"/>
              <w:ind w:firstLine="630"/>
              <w:rPr>
                <w:rFonts w:ascii="宋体" w:cs="宋体"/>
                <w:szCs w:val="21"/>
              </w:rPr>
            </w:pPr>
            <w:r>
              <w:rPr>
                <w:rFonts w:ascii="宋体" w:cs="宋体" w:hint="eastAsia"/>
                <w:szCs w:val="21"/>
              </w:rPr>
              <w:t>1.保密内容是指与投标人本项目相关的一切信息，包括但不限于：本项目的业务功能、逻辑检查内容、业务数据、业务及系统参数，以及采购人网络系统软硬件的构成、运行状况与各种数据、安全测试结果等，以及投标方的技术、性能、合同、价格等技术、商业秘密。</w:t>
            </w:r>
          </w:p>
          <w:p>
            <w:pPr>
              <w:spacing w:line="560" w:lineRule="exact"/>
              <w:ind w:firstLine="630"/>
              <w:rPr>
                <w:rFonts w:ascii="Times New Roman Regular" w:hAnsi="Times New Roman Regular" w:cs="Times New Roman Regular"/>
              </w:rPr>
            </w:pPr>
            <w:r>
              <w:rPr>
                <w:rFonts w:ascii="宋体" w:cs="宋体" w:hint="eastAsia"/>
                <w:szCs w:val="21"/>
              </w:rPr>
              <w:t>2.在双方合作期间及合作终止后，投标人有义务不向任何第三方披露本协议项下的保密信息内容。投标人承诺将上述保密信息的接触范围在投标人内部限制在指定范围内，并由严格的内控制度加以</w:t>
            </w:r>
            <w:r>
              <w:rPr>
                <w:rFonts w:ascii="Times New Roman Regular" w:hAnsi="Times New Roman Regular" w:cs="Times New Roman Regular" w:hint="eastAsia"/>
              </w:rPr>
              <w:t>保证。未经采购人同意，投标人不得以任何方式复制保密信息，不得对本项目的软硬件、网络系统、相关文档进行修改、改动、工程化、反汇编、改造成其他作品形式或进行分解。</w:t>
            </w:r>
          </w:p>
          <w:p>
            <w:pPr>
              <w:rPr>
                <w:rFonts w:ascii="宋体" w:cs="宋体"/>
                <w:szCs w:val="21"/>
              </w:rPr>
            </w:pPr>
            <w:r>
              <w:rPr>
                <w:rFonts w:ascii="宋体" w:cs="宋体"/>
                <w:szCs w:val="21"/>
              </w:rPr>
              <w:t>二、知识产权保护要求</w:t>
            </w:r>
            <w:r>
              <w:rPr>
                <w:rFonts w:ascii="宋体" w:eastAsia="宋体" w:cs="宋体" w:hint="eastAsia"/>
                <w:szCs w:val="21"/>
              </w:rPr>
              <w:t>：</w:t>
            </w:r>
          </w:p>
          <w:p>
            <w:pPr>
              <w:ind w:firstLine="0"/>
              <w:rPr>
                <w:rFonts w:ascii="宋体" w:eastAsia="宋体"/>
                <w:lang w:bidi="en-US"/>
              </w:rPr>
            </w:pPr>
            <w:r>
              <w:rPr>
                <w:rFonts w:ascii="宋体" w:cs="宋体"/>
                <w:szCs w:val="21"/>
              </w:rPr>
              <w:t>本项目中服务所提供的项目的版权属于甲方所有，乙方应向甲方提供该项目软件开发全部源代码（含运维期内的后续升级版本）等技术资料，保障甲方的二次开发权等权利，乙方不得向任何第三方提供。本项目的设计开发知识产权及专利申请权归甲方所有。本项目的技术秘密的使用权、转让权归甲方所有（如不涉及软件开发工作即标注不适用）</w:t>
            </w:r>
            <w:r>
              <w:rPr>
                <w:rFonts w:ascii="宋体" w:eastAsia="宋体" w:cs="宋体" w:hint="eastAsia"/>
                <w:szCs w:val="21"/>
              </w:rPr>
              <w:t>。</w:t>
            </w:r>
          </w:p>
        </w:tc>
        <w:tc>
          <w:tcPr>
            <w:tcW w:w="3281" w:type="dxa"/>
            <w:vAlign w:val="center"/>
          </w:tcPr>
          <w:p>
            <w:pPr>
              <w:ind w:firstLine="0"/>
              <w:rPr>
                <w:rFonts w:ascii="宋体" w:eastAsia="宋体"/>
                <w:i/>
                <w:iCs/>
                <w:lang w:bidi="en-US"/>
              </w:rPr>
            </w:pPr>
            <w:r>
              <w:rPr>
                <w:rFonts w:ascii="宋体" w:eastAsia="宋体" w:hint="eastAsia"/>
                <w:i/>
                <w:iCs/>
                <w:lang w:bidi="en-US"/>
              </w:rPr>
              <w:t>是,须</w:t>
            </w:r>
            <w:r>
              <w:rPr>
                <w:rFonts w:ascii="宋体" w:eastAsia="宋体"/>
                <w:i/>
                <w:iCs/>
                <w:lang w:bidi="en-US"/>
              </w:rPr>
              <w:t>提供承诺函并加盖公章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rPr>
              <w:t>5</w:t>
            </w:r>
          </w:p>
        </w:tc>
        <w:tc>
          <w:tcPr>
            <w:tcW w:w="1830" w:type="dxa"/>
            <w:vAlign w:val="center"/>
          </w:tcPr>
          <w:p>
            <w:pPr>
              <w:ind w:firstLine="0"/>
              <w:rPr>
                <w:rFonts w:ascii="宋体" w:eastAsia="宋体"/>
                <w:b/>
              </w:rPr>
            </w:pPr>
            <w:r>
              <w:rPr>
                <w:rFonts w:ascii="宋体" w:eastAsia="宋体" w:hint="eastAsia"/>
                <w:b/>
              </w:rPr>
              <w:t>是否需要现场考察</w:t>
            </w:r>
          </w:p>
        </w:tc>
        <w:tc>
          <w:tcPr>
            <w:tcW w:w="2973" w:type="dxa"/>
            <w:vAlign w:val="center"/>
          </w:tcPr>
          <w:p>
            <w:pPr>
              <w:ind w:firstLine="0"/>
            </w:pPr>
            <w:r>
              <w:rPr>
                <w:rFonts w:hint="eastAsia"/>
              </w:rPr>
              <w:t>无</w:t>
            </w:r>
          </w:p>
        </w:tc>
        <w:tc>
          <w:tcPr>
            <w:tcW w:w="3281" w:type="dxa"/>
            <w:vAlign w:val="center"/>
          </w:tcPr>
          <w:p>
            <w:pPr>
              <w:ind w:firstLine="0"/>
              <w:rPr>
                <w:rFonts w:ascii="宋体" w:eastAsia="宋体"/>
                <w:i/>
                <w:iCs/>
                <w:lang w:bidi="en-US"/>
              </w:rPr>
            </w:pPr>
            <w:r>
              <w:rPr>
                <w:rFonts w:ascii="宋体" w:eastAsia="宋体" w:hint="eastAsia"/>
                <w:i/>
                <w:iCs/>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rPr>
              <w:t>6</w:t>
            </w:r>
          </w:p>
        </w:tc>
        <w:tc>
          <w:tcPr>
            <w:tcW w:w="1830" w:type="dxa"/>
            <w:vAlign w:val="center"/>
          </w:tcPr>
          <w:p>
            <w:pPr>
              <w:ind w:firstLine="0"/>
              <w:rPr>
                <w:rFonts w:ascii="宋体" w:eastAsia="宋体"/>
                <w:b/>
              </w:rPr>
            </w:pPr>
            <w:r>
              <w:rPr>
                <w:rFonts w:ascii="宋体" w:eastAsia="宋体" w:hint="eastAsia"/>
                <w:b/>
              </w:rPr>
              <w:t>是否收取履约保证金</w:t>
            </w:r>
          </w:p>
        </w:tc>
        <w:tc>
          <w:tcPr>
            <w:tcW w:w="2973" w:type="dxa"/>
            <w:vAlign w:val="center"/>
          </w:tcPr>
          <w:p>
            <w:pPr>
              <w:ind w:firstLine="0"/>
              <w:rPr>
                <w:rFonts w:eastAsia="宋体"/>
              </w:rPr>
            </w:pPr>
            <w:r>
              <w:rPr>
                <w:rFonts w:ascii="Times New Roman Regular" w:hAnsi="Times New Roman Regular" w:cs="Times New Roman Regular" w:hint="eastAsia"/>
              </w:rPr>
              <w:t>交付合同金额的</w:t>
            </w:r>
            <w:r>
              <w:rPr>
                <w:rFonts w:ascii="Times New Roman Regular" w:hAnsi="Times New Roman Regular" w:cs="Times New Roman Regular"/>
              </w:rPr>
              <w:t>10%</w:t>
            </w:r>
            <w:r>
              <w:rPr>
                <w:rFonts w:ascii="Times New Roman Regular" w:hAnsi="Times New Roman Regular" w:cs="Times New Roman Regular" w:hint="eastAsia"/>
              </w:rPr>
              <w:t>的履约保函。</w:t>
            </w:r>
          </w:p>
        </w:tc>
        <w:tc>
          <w:tcPr>
            <w:tcW w:w="3281" w:type="dxa"/>
            <w:vAlign w:val="center"/>
          </w:tcPr>
          <w:p>
            <w:pPr>
              <w:ind w:firstLine="0"/>
              <w:rPr>
                <w:rFonts w:ascii="宋体" w:eastAsia="宋体"/>
                <w:i/>
                <w:iCs/>
                <w:lang w:bidi="en-US"/>
              </w:rPr>
            </w:pPr>
            <w:r>
              <w:rPr>
                <w:rFonts w:ascii="宋体" w:eastAsia="宋体" w:hint="eastAsia"/>
                <w:i/>
                <w:iCs/>
                <w:lang w:bidi="en-US"/>
              </w:rPr>
              <w:t>否</w:t>
            </w: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rPr>
            </w:pPr>
            <w:r>
              <w:rPr>
                <w:rFonts w:ascii="宋体" w:eastAsia="宋体"/>
              </w:rPr>
              <w:t>7</w:t>
            </w:r>
          </w:p>
        </w:tc>
        <w:tc>
          <w:tcPr>
            <w:tcW w:w="1830" w:type="dxa"/>
            <w:vAlign w:val="center"/>
          </w:tcPr>
          <w:p>
            <w:pPr>
              <w:ind w:firstLine="0"/>
              <w:rPr>
                <w:rFonts w:ascii="宋体" w:eastAsia="宋体"/>
                <w:b/>
              </w:rPr>
            </w:pPr>
            <w:r>
              <w:rPr>
                <w:rFonts w:ascii="宋体" w:eastAsia="宋体"/>
                <w:b/>
              </w:rPr>
              <w:t>支付方式</w:t>
            </w:r>
          </w:p>
        </w:tc>
        <w:tc>
          <w:tcPr>
            <w:tcW w:w="2973" w:type="dxa"/>
            <w:vAlign w:val="center"/>
          </w:tcPr>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w:t>
            </w:r>
            <w:r>
              <w:rPr>
                <w:rFonts w:ascii="Times New Roman Regular" w:hAnsi="Times New Roman Regular" w:cs="Times New Roman Regular" w:hint="eastAsia"/>
              </w:rPr>
              <w:t>）合同签订后，乙方完成项目实施方案、软件需求规格说明书、技术设计方案、测试方案、团队人员明细等文档，并经甲方审核通过，乙方提交下列单据之日起</w:t>
            </w:r>
            <w:r>
              <w:rPr>
                <w:rFonts w:ascii="Times New Roman Regular" w:hAnsi="Times New Roman Regular" w:cs="Times New Roman Regular"/>
              </w:rPr>
              <w:t>10</w:t>
            </w:r>
            <w:r>
              <w:rPr>
                <w:rFonts w:ascii="Times New Roman Regular" w:hAnsi="Times New Roman Regular" w:cs="Times New Roman Regular" w:hint="eastAsia"/>
              </w:rPr>
              <w:t>个工作日内，甲方向乙方支付合同总价</w:t>
            </w:r>
            <w:r>
              <w:rPr>
                <w:rFonts w:ascii="Times New Roman Regular" w:hAnsi="Times New Roman Regular" w:cs="Times New Roman Regular"/>
              </w:rPr>
              <w:t>30%</w:t>
            </w:r>
            <w:r>
              <w:rPr>
                <w:rFonts w:ascii="Times New Roman Regular" w:hAnsi="Times New Roman Regular" w:cs="Times New Roman Regular" w:hint="eastAsia"/>
              </w:rPr>
              <w:t>合同款。</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hint="eastAsia"/>
              </w:rPr>
              <w:t>乙方提交单据：付款申请函（盖章原件）；相应金额发票（原件）；合同正文（复印件并加盖公章）；中标通知书（复印件）。</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2</w:t>
            </w:r>
            <w:r>
              <w:rPr>
                <w:rFonts w:ascii="Times New Roman Regular" w:hAnsi="Times New Roman Regular" w:cs="Times New Roman Regular" w:hint="eastAsia"/>
              </w:rPr>
              <w:t>）项目上线运行后，乙方完成系统测试报告、用户操作手册、部署手册、安全运行维护说明等文档，并经甲方审核通过，乙方提交下列单据之日起</w:t>
            </w:r>
            <w:r>
              <w:rPr>
                <w:rFonts w:ascii="Times New Roman Regular" w:hAnsi="Times New Roman Regular" w:cs="Times New Roman Regular"/>
              </w:rPr>
              <w:t>10</w:t>
            </w:r>
            <w:r>
              <w:rPr>
                <w:rFonts w:ascii="Times New Roman Regular" w:hAnsi="Times New Roman Regular" w:cs="Times New Roman Regular" w:hint="eastAsia"/>
              </w:rPr>
              <w:t>个工作日内，甲方向乙方支付合同总价</w:t>
            </w:r>
            <w:r>
              <w:rPr>
                <w:rFonts w:ascii="Times New Roman Regular" w:hAnsi="Times New Roman Regular" w:cs="Times New Roman Regular"/>
              </w:rPr>
              <w:t>40%</w:t>
            </w:r>
            <w:r>
              <w:rPr>
                <w:rFonts w:ascii="Times New Roman Regular" w:hAnsi="Times New Roman Regular" w:cs="Times New Roman Regular" w:hint="eastAsia"/>
              </w:rPr>
              <w:t>合同款。</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hint="eastAsia"/>
              </w:rPr>
              <w:t>乙方提交单据：付款申请函（盖章原件）；相应金额发票（原件）；合同正文（复印件并加盖公章）。</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hint="eastAsia"/>
              </w:rPr>
              <w:t>乙方完成全部服务内容，乙方完成安全测试报告、试运行报告等文档，并经甲方组织的合同验收通过，乙方提交下列单据之日起</w:t>
            </w:r>
            <w:r>
              <w:rPr>
                <w:rFonts w:ascii="Times New Roman Regular" w:hAnsi="Times New Roman Regular" w:cs="Times New Roman Regular"/>
              </w:rPr>
              <w:t>10</w:t>
            </w:r>
            <w:r>
              <w:rPr>
                <w:rFonts w:ascii="Times New Roman Regular" w:hAnsi="Times New Roman Regular" w:cs="Times New Roman Regular" w:hint="eastAsia"/>
              </w:rPr>
              <w:t>个工作日内，甲方向乙方支付合同总价</w:t>
            </w:r>
            <w:r>
              <w:rPr>
                <w:rFonts w:ascii="Times New Roman Regular" w:hAnsi="Times New Roman Regular" w:cs="Times New Roman Regular"/>
              </w:rPr>
              <w:t>30%</w:t>
            </w:r>
            <w:r>
              <w:rPr>
                <w:rFonts w:ascii="Times New Roman Regular" w:hAnsi="Times New Roman Regular" w:cs="Times New Roman Regular" w:hint="eastAsia"/>
              </w:rPr>
              <w:t>合同款。</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hint="eastAsia"/>
              </w:rPr>
              <w:t>乙方提交单据：付款申请函（盖章原件）；相应金额发票（原件）；合同正文（复印件并加盖公章）；合同总价</w:t>
            </w:r>
            <w:r>
              <w:rPr>
                <w:rFonts w:ascii="Times New Roman Regular" w:hAnsi="Times New Roman Regular" w:cs="Times New Roman Regular"/>
              </w:rPr>
              <w:t>10%</w:t>
            </w:r>
            <w:r>
              <w:rPr>
                <w:rFonts w:ascii="Times New Roman Regular" w:hAnsi="Times New Roman Regular" w:cs="Times New Roman Regular" w:hint="eastAsia"/>
              </w:rPr>
              <w:t>的银行履约保函（原件），其中履约保函期限为项目验收之日起至本项目运维服务期结束之日止，若项目延误，保函期限按期顺延。</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4</w:t>
            </w:r>
            <w:r>
              <w:rPr>
                <w:rFonts w:ascii="Times New Roman Regular" w:hAnsi="Times New Roman Regular" w:cs="Times New Roman Regular" w:hint="eastAsia"/>
              </w:rPr>
              <w:t>）在乙方无违约情形的前提下，银行履约保函在</w:t>
            </w:r>
            <w:r>
              <w:rPr>
                <w:rFonts w:ascii="Times New Roman Regular" w:hAnsi="Times New Roman Regular" w:cs="Times New Roman Regular"/>
              </w:rPr>
              <w:t>运维</w:t>
            </w:r>
            <w:r>
              <w:rPr>
                <w:rFonts w:ascii="Times New Roman Regular" w:hAnsi="Times New Roman Regular" w:cs="Times New Roman Regular" w:hint="eastAsia"/>
              </w:rPr>
              <w:t>期满后</w:t>
            </w:r>
            <w:r>
              <w:rPr>
                <w:rFonts w:ascii="Times New Roman Regular" w:hAnsi="Times New Roman Regular" w:cs="Times New Roman Regular"/>
              </w:rPr>
              <w:t>20</w:t>
            </w:r>
            <w:r>
              <w:rPr>
                <w:rFonts w:ascii="Times New Roman Regular" w:hAnsi="Times New Roman Regular" w:cs="Times New Roman Regular" w:hint="eastAsia"/>
              </w:rPr>
              <w:t>个工作日内退还。</w:t>
            </w:r>
          </w:p>
          <w:p>
            <w:pPr>
              <w:widowControl/>
              <w:jc w:val="left"/>
              <w:rPr>
                <w:rFonts w:ascii="宋体" w:eastAsia="宋体" w:cs="宋体"/>
              </w:rPr>
            </w:pPr>
          </w:p>
        </w:tc>
        <w:tc>
          <w:tcPr>
            <w:tcW w:w="3281" w:type="dxa"/>
            <w:vAlign w:val="center"/>
          </w:tcPr>
          <w:p>
            <w:pPr>
              <w:ind w:firstLine="0"/>
              <w:rPr>
                <w:rFonts w:ascii="宋体" w:cs="宋体"/>
              </w:rPr>
            </w:pPr>
            <w:r>
              <w:rPr>
                <w:rFonts w:ascii="宋体" w:eastAsia="宋体" w:cs="宋体" w:hint="eastAsia"/>
              </w:rPr>
              <w:t>否</w:t>
            </w:r>
          </w:p>
        </w:tc>
      </w:tr>
    </w:tbl>
    <w:p>
      <w:pPr>
        <w:pStyle w:val="Heading2"/>
        <w:numPr>
          <w:ilvl w:val="0"/>
          <w:numId w:val="2"/>
        </w:numPr>
        <w:rPr>
          <w:rFonts w:ascii="宋体" w:eastAsia="宋体" w:hint="eastAsia"/>
        </w:rPr>
      </w:pPr>
      <w:bookmarkStart w:id="42" w:name="项目概述"/>
      <w:r>
        <w:rPr>
          <w:rFonts w:ascii="宋体" w:eastAsia="宋体" w:hint="eastAsia"/>
        </w:rPr>
        <w:t>项目概述</w:t>
      </w:r>
      <w:bookmarkEnd w:id="42"/>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bookmarkStart w:id="43" w:name="项目概述_Title_说明_Required_Table"/>
            <w:r>
              <w:rPr>
                <w:rFonts w:ascii="宋体" w:eastAsia="宋体" w:hint="eastAsia"/>
                <w:b/>
              </w:rPr>
              <w:t>说明</w:t>
            </w:r>
            <w:bookmarkEnd w:id="43"/>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eastAsia="宋体" w:cs="宋体"/>
                <w:szCs w:val="21"/>
              </w:rPr>
            </w:pPr>
            <w:r>
              <w:rPr>
                <w:rFonts w:ascii="宋体" w:cs="宋体" w:hint="eastAsia"/>
              </w:rPr>
              <w:t>为贯彻落实习近平总书记关于支持实体经济、民营经济发展的重要指示精神，推进数字政府建设；聚焦习近平总书记提出的</w:t>
            </w:r>
            <w:r>
              <w:t>“</w:t>
            </w:r>
            <w:r>
              <w:rPr>
                <w:rFonts w:ascii="宋体" w:cs="宋体" w:hint="eastAsia"/>
              </w:rPr>
              <w:t>三智</w:t>
            </w:r>
            <w:r>
              <w:t>”</w:t>
            </w:r>
            <w:r>
              <w:rPr>
                <w:rFonts w:ascii="宋体" w:cs="宋体" w:hint="eastAsia"/>
              </w:rPr>
              <w:t>海关要求、海关十四五规划要求，创新</w:t>
            </w:r>
            <w:r>
              <w:rPr>
                <w:rFonts w:ascii="Times New Roman Regular" w:hAnsi="Times New Roman Regular" w:cs="Times New Roman Regular"/>
              </w:rPr>
              <w:t>ERP</w:t>
            </w:r>
            <w:r>
              <w:rPr>
                <w:rFonts w:ascii="Times New Roman Regular" w:hAnsi="Times New Roman Regular" w:cs="Times New Roman Regular" w:hint="eastAsia"/>
              </w:rPr>
              <w:t>智能化联网监管模式；全国海关工作会议提出的“坚持管用好用实用并重，加快实施科技兴关”的工作要求，进一步创新管理模式、改善营商环境，提升贸易便利化水平；为全面落实促进外贸保稳提质措施，大力推广企业</w:t>
            </w:r>
            <w:r>
              <w:rPr>
                <w:rFonts w:ascii="Times New Roman Regular" w:hAnsi="Times New Roman Regular" w:cs="Times New Roman Regular"/>
              </w:rPr>
              <w:t>ERP</w:t>
            </w:r>
            <w:r>
              <w:rPr>
                <w:rFonts w:ascii="Times New Roman Regular" w:hAnsi="Times New Roman Regular" w:cs="Times New Roman Regular" w:hint="eastAsia"/>
              </w:rPr>
              <w:t>系统与海关系统对接后数据应用，充分发挥科技支撑在海关对企业管理服务的作用，促进更多企业享受相关便利，助力优化营商环境</w:t>
            </w:r>
            <w:r>
              <w:rPr>
                <w:rFonts w:ascii="宋体" w:cs="宋体" w:hint="eastAsia"/>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lang w:bidi="en-US"/>
              </w:rPr>
            </w:pPr>
            <w:r>
              <w:rPr>
                <w:rFonts w:eastAsia="宋体" w:hint="eastAsia"/>
                <w:lang w:bidi="en-US"/>
              </w:rPr>
              <w:t>1.</w:t>
            </w:r>
            <w:r>
              <w:rPr>
                <w:rFonts w:ascii="宋体" w:eastAsia="宋体" w:cs="宋体" w:hint="eastAsia"/>
                <w:lang w:bidi="en-US"/>
              </w:rPr>
              <w:t>业务依据</w:t>
            </w:r>
          </w:p>
          <w:p>
            <w:pPr>
              <w:ind w:firstLine="0"/>
              <w:rPr>
                <w:lang w:bidi="en-US"/>
              </w:rPr>
            </w:pPr>
            <w:r>
              <w:rPr>
                <w:rFonts w:ascii="宋体" w:eastAsia="宋体" w:cs="宋体" w:hint="eastAsia"/>
                <w:lang w:bidi="en-US"/>
              </w:rPr>
              <w:t>《海关总署关于印发〈海关全面深化业务改革</w:t>
            </w:r>
            <w:r>
              <w:rPr>
                <w:lang w:bidi="en-US"/>
              </w:rPr>
              <w:t>2020</w:t>
            </w:r>
            <w:r>
              <w:rPr>
                <w:rFonts w:ascii="宋体" w:eastAsia="宋体" w:cs="宋体" w:hint="eastAsia"/>
                <w:lang w:bidi="en-US"/>
              </w:rPr>
              <w:t>框架方案〉的通知》（署综发〔</w:t>
            </w:r>
            <w:r>
              <w:rPr>
                <w:lang w:bidi="en-US"/>
              </w:rPr>
              <w:t>2019</w:t>
            </w:r>
            <w:r>
              <w:rPr>
                <w:rFonts w:ascii="宋体" w:eastAsia="宋体" w:cs="宋体" w:hint="eastAsia"/>
                <w:lang w:bidi="en-US"/>
              </w:rPr>
              <w:t>〕</w:t>
            </w:r>
            <w:r>
              <w:rPr>
                <w:lang w:bidi="en-US"/>
              </w:rPr>
              <w:t xml:space="preserve">59 </w:t>
            </w:r>
            <w:r>
              <w:rPr>
                <w:rFonts w:ascii="宋体" w:eastAsia="宋体" w:cs="宋体" w:hint="eastAsia"/>
                <w:lang w:bidi="en-US"/>
              </w:rPr>
              <w:t>号）。</w:t>
            </w:r>
          </w:p>
          <w:p>
            <w:pPr>
              <w:ind w:firstLine="0"/>
              <w:rPr>
                <w:lang w:bidi="en-US"/>
              </w:rPr>
            </w:pPr>
            <w:r>
              <w:rPr>
                <w:rFonts w:ascii="宋体" w:eastAsia="宋体" w:cs="宋体" w:hint="eastAsia"/>
                <w:lang w:bidi="en-US"/>
              </w:rPr>
              <w:t>《海关总署关于印发</w:t>
            </w:r>
            <w:r>
              <w:rPr>
                <w:lang w:bidi="en-US"/>
              </w:rPr>
              <w:t>&lt;“</w:t>
            </w:r>
            <w:r>
              <w:rPr>
                <w:rFonts w:ascii="宋体" w:eastAsia="宋体" w:cs="宋体" w:hint="eastAsia"/>
                <w:lang w:bidi="en-US"/>
              </w:rPr>
              <w:t>十四五</w:t>
            </w:r>
            <w:r>
              <w:rPr>
                <w:lang w:bidi="en-US"/>
              </w:rPr>
              <w:t>”</w:t>
            </w:r>
            <w:r>
              <w:rPr>
                <w:rFonts w:ascii="宋体" w:eastAsia="宋体" w:cs="宋体" w:hint="eastAsia"/>
                <w:lang w:bidi="en-US"/>
              </w:rPr>
              <w:t>海关发展规划</w:t>
            </w:r>
            <w:r>
              <w:rPr>
                <w:lang w:bidi="en-US"/>
              </w:rPr>
              <w:t>&gt;</w:t>
            </w:r>
            <w:r>
              <w:rPr>
                <w:rFonts w:ascii="宋体" w:eastAsia="宋体" w:cs="宋体" w:hint="eastAsia"/>
                <w:lang w:bidi="en-US"/>
              </w:rPr>
              <w:t>的通知》（署统发〔</w:t>
            </w:r>
            <w:r>
              <w:rPr>
                <w:lang w:bidi="en-US"/>
              </w:rPr>
              <w:t>2021</w:t>
            </w:r>
            <w:r>
              <w:rPr>
                <w:rFonts w:ascii="宋体" w:eastAsia="宋体" w:cs="宋体" w:hint="eastAsia"/>
                <w:lang w:bidi="en-US"/>
              </w:rPr>
              <w:t>〕</w:t>
            </w:r>
            <w:r>
              <w:rPr>
                <w:lang w:bidi="en-US"/>
              </w:rPr>
              <w:t>51</w:t>
            </w:r>
            <w:r>
              <w:rPr>
                <w:rFonts w:ascii="宋体" w:eastAsia="宋体" w:cs="宋体" w:hint="eastAsia"/>
                <w:lang w:bidi="en-US"/>
              </w:rPr>
              <w:t>号）。</w:t>
            </w:r>
          </w:p>
          <w:p>
            <w:pPr>
              <w:ind w:firstLine="0"/>
              <w:rPr>
                <w:lang w:bidi="en-US"/>
              </w:rPr>
            </w:pPr>
            <w:r>
              <w:rPr>
                <w:rFonts w:ascii="宋体" w:eastAsia="宋体" w:cs="宋体" w:hint="eastAsia"/>
                <w:lang w:bidi="en-US"/>
              </w:rPr>
              <w:t>《企业管理和稽查司、科技司关于推广应用</w:t>
            </w:r>
            <w:r>
              <w:rPr>
                <w:lang w:bidi="en-US"/>
              </w:rPr>
              <w:t xml:space="preserve"> “</w:t>
            </w:r>
            <w:r>
              <w:rPr>
                <w:rFonts w:ascii="宋体" w:eastAsia="宋体" w:cs="宋体" w:hint="eastAsia"/>
                <w:lang w:bidi="en-US"/>
              </w:rPr>
              <w:t>互联网＋稽核查</w:t>
            </w:r>
            <w:r>
              <w:rPr>
                <w:lang w:bidi="en-US"/>
              </w:rPr>
              <w:t>”</w:t>
            </w:r>
            <w:r>
              <w:rPr>
                <w:rFonts w:ascii="宋体" w:eastAsia="宋体" w:cs="宋体" w:hint="eastAsia"/>
                <w:lang w:bidi="en-US"/>
              </w:rPr>
              <w:t>系统的通知》。</w:t>
            </w:r>
          </w:p>
          <w:p>
            <w:pPr>
              <w:ind w:firstLine="0"/>
              <w:rPr>
                <w:lang w:bidi="en-US"/>
              </w:rPr>
            </w:pPr>
            <w:r>
              <w:rPr>
                <w:rFonts w:ascii="宋体" w:eastAsia="宋体" w:cs="宋体" w:hint="eastAsia"/>
                <w:lang w:bidi="en-US"/>
              </w:rPr>
              <w:t>《深圳海关关于全面深化推广</w:t>
            </w:r>
            <w:r>
              <w:rPr>
                <w:lang w:bidi="en-US"/>
              </w:rPr>
              <w:t>“</w:t>
            </w:r>
            <w:r>
              <w:rPr>
                <w:rFonts w:ascii="宋体" w:eastAsia="宋体" w:cs="宋体" w:hint="eastAsia"/>
                <w:lang w:bidi="en-US"/>
              </w:rPr>
              <w:t>互联网</w:t>
            </w:r>
            <w:r>
              <w:rPr>
                <w:lang w:bidi="en-US"/>
              </w:rPr>
              <w:t>+</w:t>
            </w:r>
            <w:r>
              <w:rPr>
                <w:rFonts w:ascii="宋体" w:eastAsia="宋体" w:cs="宋体" w:hint="eastAsia"/>
                <w:lang w:bidi="en-US"/>
              </w:rPr>
              <w:t>网上稽核查</w:t>
            </w:r>
            <w:r>
              <w:rPr>
                <w:lang w:bidi="en-US"/>
              </w:rPr>
              <w:t>”</w:t>
            </w:r>
            <w:r>
              <w:rPr>
                <w:rFonts w:ascii="宋体" w:eastAsia="宋体" w:cs="宋体" w:hint="eastAsia"/>
                <w:lang w:bidi="en-US"/>
              </w:rPr>
              <w:t>监管模式的通告》。</w:t>
            </w:r>
          </w:p>
          <w:p>
            <w:pPr>
              <w:ind w:firstLine="0"/>
              <w:rPr>
                <w:lang w:bidi="en-US"/>
              </w:rPr>
            </w:pPr>
            <w:r>
              <w:rPr>
                <w:rFonts w:ascii="宋体" w:eastAsia="宋体" w:cs="宋体" w:hint="eastAsia"/>
                <w:lang w:bidi="en-US"/>
              </w:rPr>
              <w:t>《深圳海关关于明确</w:t>
            </w:r>
            <w:r>
              <w:rPr>
                <w:lang w:bidi="en-US"/>
              </w:rPr>
              <w:t>“</w:t>
            </w:r>
            <w:r>
              <w:rPr>
                <w:rFonts w:ascii="宋体" w:eastAsia="宋体" w:cs="宋体" w:hint="eastAsia"/>
                <w:lang w:bidi="en-US"/>
              </w:rPr>
              <w:t>互联网</w:t>
            </w:r>
            <w:r>
              <w:rPr>
                <w:lang w:bidi="en-US"/>
              </w:rPr>
              <w:t>+</w:t>
            </w:r>
            <w:r>
              <w:rPr>
                <w:rFonts w:ascii="宋体" w:eastAsia="宋体" w:cs="宋体" w:hint="eastAsia"/>
                <w:lang w:bidi="en-US"/>
              </w:rPr>
              <w:t>网上稽核查</w:t>
            </w:r>
            <w:r>
              <w:rPr>
                <w:lang w:bidi="en-US"/>
              </w:rPr>
              <w:t>”</w:t>
            </w:r>
            <w:r>
              <w:rPr>
                <w:rFonts w:ascii="宋体" w:eastAsia="宋体" w:cs="宋体" w:hint="eastAsia"/>
                <w:lang w:bidi="en-US"/>
              </w:rPr>
              <w:t>监管模式相关事宜的通告》。</w:t>
            </w:r>
          </w:p>
          <w:p>
            <w:pPr>
              <w:ind w:firstLine="0"/>
              <w:rPr>
                <w:lang w:bidi="en-US"/>
              </w:rPr>
            </w:pPr>
            <w:r>
              <w:rPr>
                <w:rFonts w:eastAsia="宋体" w:hint="eastAsia"/>
                <w:lang w:bidi="en-US"/>
              </w:rPr>
              <w:t>2.</w:t>
            </w:r>
            <w:r>
              <w:rPr>
                <w:rFonts w:ascii="宋体" w:eastAsia="宋体" w:cs="宋体" w:hint="eastAsia"/>
                <w:lang w:bidi="en-US"/>
              </w:rPr>
              <w:t>技术依据</w:t>
            </w:r>
          </w:p>
          <w:p>
            <w:pPr>
              <w:ind w:firstLine="0"/>
              <w:rPr>
                <w:lang w:bidi="en-US"/>
              </w:rPr>
            </w:pPr>
            <w:r>
              <w:rPr>
                <w:rFonts w:ascii="宋体" w:eastAsia="宋体" w:cs="宋体" w:hint="eastAsia"/>
                <w:lang w:bidi="en-US"/>
              </w:rPr>
              <w:t>《海关总署关于印发《海关信息化应用项目管理办法》的通知》（署科发〔</w:t>
            </w:r>
            <w:r>
              <w:rPr>
                <w:lang w:bidi="en-US"/>
              </w:rPr>
              <w:t>2020</w:t>
            </w:r>
            <w:r>
              <w:rPr>
                <w:rFonts w:ascii="宋体" w:eastAsia="宋体" w:cs="宋体" w:hint="eastAsia"/>
                <w:lang w:bidi="en-US"/>
              </w:rPr>
              <w:t>〕</w:t>
            </w:r>
            <w:r>
              <w:rPr>
                <w:lang w:bidi="en-US"/>
              </w:rPr>
              <w:t>122</w:t>
            </w:r>
            <w:r>
              <w:rPr>
                <w:rFonts w:ascii="宋体" w:eastAsia="宋体" w:cs="宋体" w:hint="eastAsia"/>
                <w:lang w:bidi="en-US"/>
              </w:rPr>
              <w:t>号）。</w:t>
            </w:r>
          </w:p>
          <w:p>
            <w:pPr>
              <w:ind w:firstLine="0"/>
              <w:rPr>
                <w:lang w:bidi="en-US"/>
              </w:rPr>
            </w:pPr>
            <w:r>
              <w:rPr>
                <w:rFonts w:ascii="宋体" w:eastAsia="宋体" w:cs="宋体" w:hint="eastAsia"/>
                <w:lang w:bidi="en-US"/>
              </w:rPr>
              <w:t>《深圳海关关于修订印发《深圳海关信息化应用项目管理实施细则》的通知》（深关科〔</w:t>
            </w:r>
            <w:r>
              <w:rPr>
                <w:lang w:bidi="en-US"/>
              </w:rPr>
              <w:t>2021</w:t>
            </w:r>
            <w:r>
              <w:rPr>
                <w:rFonts w:ascii="宋体" w:eastAsia="宋体" w:cs="宋体" w:hint="eastAsia"/>
                <w:lang w:bidi="en-US"/>
              </w:rPr>
              <w:t>〕</w:t>
            </w:r>
            <w:r>
              <w:rPr>
                <w:lang w:bidi="en-US"/>
              </w:rPr>
              <w:t xml:space="preserve">89 </w:t>
            </w:r>
            <w:r>
              <w:rPr>
                <w:rFonts w:ascii="宋体" w:eastAsia="宋体" w:cs="宋体" w:hint="eastAsia"/>
                <w:lang w:bidi="en-US"/>
              </w:rPr>
              <w:t>号）</w:t>
            </w:r>
          </w:p>
          <w:p>
            <w:pPr>
              <w:ind w:firstLine="0"/>
              <w:rPr>
                <w:lang w:bidi="en-US"/>
              </w:rPr>
            </w:pPr>
            <w:r>
              <w:rPr>
                <w:rFonts w:ascii="宋体" w:eastAsia="宋体" w:cs="宋体" w:hint="eastAsia"/>
                <w:lang w:bidi="en-US"/>
              </w:rPr>
              <w:t>《海关政务信息系统整合技术规范（试行）》（科技函〔</w:t>
            </w:r>
            <w:r>
              <w:rPr>
                <w:lang w:bidi="en-US"/>
              </w:rPr>
              <w:t>2018</w:t>
            </w:r>
            <w:r>
              <w:rPr>
                <w:rFonts w:ascii="宋体" w:eastAsia="宋体" w:cs="宋体" w:hint="eastAsia"/>
                <w:lang w:bidi="en-US"/>
              </w:rPr>
              <w:t>〕</w:t>
            </w:r>
            <w:r>
              <w:rPr>
                <w:lang w:bidi="en-US"/>
              </w:rPr>
              <w:t>37</w:t>
            </w:r>
            <w:r>
              <w:rPr>
                <w:rFonts w:ascii="宋体" w:eastAsia="宋体" w:cs="宋体" w:hint="eastAsia"/>
                <w:lang w:bidi="en-US"/>
              </w:rPr>
              <w:t>号）。</w:t>
            </w:r>
          </w:p>
          <w:p>
            <w:pPr>
              <w:ind w:firstLine="0"/>
              <w:rPr>
                <w:lang w:bidi="en-US"/>
              </w:rPr>
            </w:pPr>
            <w:r>
              <w:rPr>
                <w:rFonts w:ascii="宋体" w:eastAsia="宋体" w:cs="宋体" w:hint="eastAsia"/>
                <w:lang w:bidi="en-US"/>
              </w:rPr>
              <w:t>《海关信息系统跨网传输指导方案》（科技函〔</w:t>
            </w:r>
            <w:r>
              <w:rPr>
                <w:lang w:bidi="en-US"/>
              </w:rPr>
              <w:t>2016</w:t>
            </w:r>
            <w:r>
              <w:rPr>
                <w:rFonts w:ascii="宋体" w:eastAsia="宋体" w:cs="宋体" w:hint="eastAsia"/>
                <w:lang w:bidi="en-US"/>
              </w:rPr>
              <w:t>〕</w:t>
            </w:r>
            <w:r>
              <w:rPr>
                <w:lang w:bidi="en-US"/>
              </w:rPr>
              <w:t>66</w:t>
            </w:r>
            <w:r>
              <w:rPr>
                <w:rFonts w:ascii="宋体" w:eastAsia="宋体" w:cs="宋体" w:hint="eastAsia"/>
                <w:lang w:bidi="en-US"/>
              </w:rPr>
              <w:t>号）。</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pStyle w:val="BodyText3"/>
              <w:rPr>
                <w:rFonts w:eastAsia="宋体"/>
                <w:color w:val="auto"/>
              </w:rPr>
            </w:pPr>
            <w:r>
              <w:rPr>
                <w:rFonts w:ascii="宋体" w:cs="宋体"/>
                <w:color w:val="auto"/>
                <w:sz w:val="24"/>
                <w:szCs w:val="21"/>
              </w:rPr>
              <w:t>企业信用管理子系统（深圳海关）ERP智能化联网分析服务功能项目主要通过利用前沿的大数据处理技术、数据挖掘技术、智能化分析技术、移动端应用等交互技术增加企业生产信息内容采集手段、丰富动态信息内容来源，夯实数据清洗治理分析，梳理异常提醒处置方式，深化信息智能推荐，进一步扩展全关对企业ERP数据的应用，加速构建符合海关的线上作业和远程应用，拓展企业ERP数据运用的广度、深度，打造新型监管和服务工作模式标杆。具体建设内容包括企业数据采集模块、数据采集监控模块、数据治理监控模块、数据应用需求、驾驶舱等。</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eastAsia="宋体" w:cs="宋体"/>
                <w:szCs w:val="21"/>
              </w:rPr>
            </w:pPr>
            <w:r>
              <w:rPr>
                <w:rFonts w:ascii="宋体" w:cs="宋体" w:hint="eastAsia"/>
              </w:rPr>
              <w:t>本期项目主要通过利用前沿的大数据处理技术、数据挖掘技术、智能化分析技术、移动端应用等交互技术增加企业生产信息内容采集手段、丰富动态信息内容来源，夯实数据清洗治理分析，梳理异常提醒处置方式，深化信息智能推荐，进一步扩展全关对企业</w:t>
            </w:r>
            <w:r>
              <w:rPr>
                <w:rFonts w:ascii="Times New Roman Regular" w:hAnsi="Times New Roman Regular" w:cs="Times New Roman Regular"/>
              </w:rPr>
              <w:t>ERP</w:t>
            </w:r>
            <w:r>
              <w:rPr>
                <w:rFonts w:ascii="Times New Roman Regular" w:hAnsi="Times New Roman Regular" w:cs="Times New Roman Regular" w:hint="eastAsia"/>
              </w:rPr>
              <w:t>数据的应用，加速构建符合海关的线上作业和远程应用，拓展企业</w:t>
            </w:r>
            <w:r>
              <w:rPr>
                <w:rFonts w:ascii="Times New Roman Regular" w:hAnsi="Times New Roman Regular" w:cs="Times New Roman Regular"/>
              </w:rPr>
              <w:t>ERP</w:t>
            </w:r>
            <w:r>
              <w:rPr>
                <w:rFonts w:ascii="Times New Roman Regular" w:hAnsi="Times New Roman Regular" w:cs="Times New Roman Regular" w:hint="eastAsia"/>
              </w:rPr>
              <w:t>数据运用的广度、深度，打造新型监管和服务工作模式标杆。具体建设内容包括企业数据采集模块、数据采集监控模块、数据治理监控模块、数据应用需求、驾驶舱等</w:t>
            </w:r>
            <w:r>
              <w:rPr>
                <w:rFonts w:ascii="宋体" w:cs="宋体" w:hint="eastAsia"/>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Times New Roman Regular" w:hAnsi="Times New Roman Regular" w:cs="Times New Roman Regular"/>
              </w:rPr>
            </w:pPr>
            <w:r>
              <w:rPr>
                <w:rFonts w:ascii="宋体" w:eastAsia="宋体" w:cs="宋体" w:hint="eastAsia"/>
              </w:rPr>
              <w:t>根据《深圳海关关于明确</w:t>
            </w:r>
            <w:r>
              <w:rPr>
                <w:rFonts w:ascii="Times New Roman Regular" w:hAnsi="Times New Roman Regular" w:cs="Times New Roman Regular"/>
              </w:rPr>
              <w:t>“</w:t>
            </w:r>
            <w:r>
              <w:rPr>
                <w:rFonts w:ascii="宋体" w:eastAsia="宋体" w:cs="宋体" w:hint="eastAsia"/>
              </w:rPr>
              <w:t>互联网</w:t>
            </w:r>
            <w:r>
              <w:rPr>
                <w:rFonts w:ascii="Times New Roman Regular" w:hAnsi="Times New Roman Regular" w:cs="Times New Roman Regular"/>
              </w:rPr>
              <w:t>+</w:t>
            </w:r>
            <w:r>
              <w:rPr>
                <w:rFonts w:ascii="宋体" w:eastAsia="宋体" w:cs="宋体" w:hint="eastAsia"/>
              </w:rPr>
              <w:t>网上稽核查</w:t>
            </w:r>
            <w:r>
              <w:rPr>
                <w:rFonts w:ascii="Times New Roman Regular" w:hAnsi="Times New Roman Regular" w:cs="Times New Roman Regular"/>
              </w:rPr>
              <w:t>”</w:t>
            </w:r>
            <w:r>
              <w:rPr>
                <w:rFonts w:ascii="宋体" w:eastAsia="宋体" w:cs="宋体" w:hint="eastAsia"/>
              </w:rPr>
              <w:t>监管模式相关事宜的通告》，海关抓取企业</w:t>
            </w:r>
            <w:r>
              <w:rPr>
                <w:rFonts w:ascii="Times New Roman Regular" w:hAnsi="Times New Roman Regular" w:cs="Times New Roman Regular"/>
              </w:rPr>
              <w:t>ERP</w:t>
            </w:r>
            <w:r>
              <w:rPr>
                <w:rFonts w:ascii="宋体" w:eastAsia="宋体" w:cs="宋体" w:hint="eastAsia"/>
              </w:rPr>
              <w:t>数据，开展</w:t>
            </w:r>
            <w:r>
              <w:rPr>
                <w:rFonts w:ascii="Times New Roman Regular" w:hAnsi="Times New Roman Regular" w:cs="Times New Roman Regular"/>
              </w:rPr>
              <w:t>ERP</w:t>
            </w:r>
            <w:r>
              <w:rPr>
                <w:rFonts w:ascii="宋体" w:eastAsia="宋体" w:cs="宋体" w:hint="eastAsia"/>
              </w:rPr>
              <w:t>智能化联网应用工作，对对接企业实施相应通关红利，助力企业发展。一是提升企业合规管理水平。通过抓取企业</w:t>
            </w:r>
            <w:r>
              <w:rPr>
                <w:rFonts w:ascii="Times New Roman Regular" w:hAnsi="Times New Roman Regular" w:cs="Times New Roman Regular"/>
              </w:rPr>
              <w:t>ERP</w:t>
            </w:r>
            <w:r>
              <w:rPr>
                <w:rFonts w:ascii="宋体" w:eastAsia="宋体" w:cs="宋体" w:hint="eastAsia"/>
              </w:rPr>
              <w:t>数据并开展应用，将数据标准明确告知企业，企业只需要管理好海关关注的</w:t>
            </w:r>
            <w:r>
              <w:rPr>
                <w:rFonts w:ascii="Times New Roman Regular" w:hAnsi="Times New Roman Regular" w:cs="Times New Roman Regular"/>
              </w:rPr>
              <w:t>ERP</w:t>
            </w:r>
            <w:r>
              <w:rPr>
                <w:rFonts w:ascii="宋体" w:eastAsia="宋体" w:cs="宋体" w:hint="eastAsia"/>
              </w:rPr>
              <w:t>数据，就能够确保生产经营、外贸通关合规；同时对于海关通过本系统发现的异常风险，指导企业通过自查自检、主动披露等方式解决，将风险情事消灭在萌芽状态，避免积小成大，提升企业合规管理水平。二是提升企业运营效率。通过抓取企业</w:t>
            </w:r>
            <w:r>
              <w:rPr>
                <w:rFonts w:ascii="Times New Roman Regular" w:hAnsi="Times New Roman Regular" w:cs="Times New Roman Regular"/>
              </w:rPr>
              <w:t>ERP</w:t>
            </w:r>
            <w:r>
              <w:rPr>
                <w:rFonts w:ascii="宋体" w:eastAsia="宋体" w:cs="宋体" w:hint="eastAsia"/>
              </w:rPr>
              <w:t>数据并开展应用，海关能够掌握企业足够准确的生产经营状况，在企业通关、加贸业务办理过程中，减免相关业务涉及的需要缴纳的保金、保函，减轻企业资金占用压力，提升企业运营效率。三是通过数据对接开展的远程无纸化线上作业，不再前往企业工厂开展实地作业，进一步减轻企业配合成本投入，减轻对企业正常生产经营的干扰。</w:t>
            </w:r>
          </w:p>
          <w:p>
            <w:pPr>
              <w:rPr>
                <w:rFonts w:ascii="Times New Roman Regular" w:hAnsi="Times New Roman Regular" w:cs="Times New Roman Regular"/>
              </w:rPr>
            </w:pPr>
            <w:r>
              <w:rPr>
                <w:rFonts w:ascii="Times New Roman Regular" w:hAnsi="Times New Roman Regular" w:cs="Times New Roman Regular"/>
              </w:rPr>
              <w:t>系统开发应用后，深圳海关全业务领域将开展ERP数据应用，将会出台更广、更深、更有吸引力的便利措施帮扶企业</w:t>
            </w:r>
            <w:r>
              <w:rPr>
                <w:rFonts w:ascii="宋体" w:eastAsia="宋体" w:cs="宋体" w:hint="eastAsia"/>
              </w:rPr>
              <w:t>。</w:t>
            </w:r>
          </w:p>
          <w:p>
            <w:pPr>
              <w:pStyle w:val="9101"/>
              <w:spacing w:line="560" w:lineRule="exact"/>
              <w:ind w:firstLine="480" w:firstLineChars="200"/>
              <w:jc w:val="left"/>
              <w:rPr>
                <w:rFonts w:ascii="宋体" w:eastAsia="宋体" w:cs="宋体"/>
                <w:kern w:val="0"/>
                <w:sz w:val="24"/>
                <w:szCs w:val="21"/>
              </w:rPr>
            </w:pPr>
            <w:r>
              <w:rPr>
                <w:rFonts w:ascii="Times New Roman Regular" w:eastAsia="Calibri" w:hAnsi="Times New Roman Regular" w:cs="Times New Roman Regular"/>
                <w:kern w:val="0"/>
                <w:sz w:val="24"/>
              </w:rPr>
              <w:t>结合关区现状和业务特点，在实施对接企业生产经营管理系统的基础上，以“智慧海关”建设为目标，按照“直连抓取、实时展示、智能运算、动态预警”的思路，依托ERP智能化联网监管系统，构建以企业为单元的服务手段，全方位覆盖进出口业务领域，实现“多手段、少手续”的数字化隐形监管和“低干预、高效能”的嵌入式顺势监管，更好实现数据多跑路、企业少跑腿</w:t>
            </w:r>
            <w:r>
              <w:rPr>
                <w:rFonts w:ascii="宋体" w:eastAsia="宋体" w:cs="宋体" w:hint="eastAsia"/>
                <w:kern w:val="0"/>
                <w:sz w:val="24"/>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eastAsia="宋体"/>
                <w:lang w:bidi="en-US"/>
              </w:rPr>
            </w:pPr>
            <w:r>
              <w:rPr>
                <w:rFonts w:ascii="Times New Roman Regular" w:hAnsi="Times New Roman Regular" w:cs="Times New Roman Regular" w:hint="eastAsia"/>
              </w:rPr>
              <w:t>前期项目的优化升级和改造。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ind w:firstLine="0"/>
              <w:jc w:val="center"/>
              <w:rPr>
                <w:rFonts w:ascii="宋体" w:eastAsia="宋体"/>
              </w:rPr>
            </w:pPr>
            <w:r>
              <w:rPr>
                <w:rFonts w:ascii="宋体" w:eastAsia="宋体" w:hint="eastAsia"/>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firstLine="0"/>
              <w:rPr>
                <w:rFonts w:ascii="宋体" w:eastAsia="宋体"/>
                <w:b/>
              </w:rPr>
            </w:pPr>
            <w:r>
              <w:rPr>
                <w:rFonts w:ascii="宋体" w:eastAsia="宋体" w:hint="eastAsia"/>
                <w:b/>
              </w:rPr>
              <w:t>项目履约时间</w:t>
            </w:r>
            <w:r>
              <w:rPr>
                <w:rFonts w:hint="eastAsia"/>
              </w:rPr>
              <w:t>★</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cs="宋体"/>
              </w:rPr>
            </w:pPr>
            <w:r>
              <w:rPr>
                <w:rFonts w:ascii="宋体" w:cs="宋体" w:hint="eastAsia"/>
              </w:rPr>
              <w:t>完成全部功能的系统设计、软件开发、联调测试、部署实施、上线工作，并开展试运行。总体建设计划为：</w:t>
            </w:r>
          </w:p>
          <w:p>
            <w:pPr>
              <w:rPr>
                <w:rFonts w:ascii="宋体" w:cs="宋体"/>
              </w:rPr>
            </w:pPr>
            <w:r>
              <w:rPr>
                <w:rFonts w:ascii="宋体" w:cs="宋体" w:hint="eastAsia"/>
              </w:rPr>
              <w:t>（一）合同生效后1个月内完成需求分析与设计，提供整体全部功能的《软件需求规格说明书》、《项目实施方案》、《技术设计方案》、《测试方案》，需求分析和系统设计根据实际需求由海关实施单位组织进行评审；</w:t>
            </w:r>
            <w:r>
              <w:rPr>
                <w:rFonts w:ascii="宋体" w:cs="宋体"/>
              </w:rPr>
              <w:t xml:space="preserve"> </w:t>
            </w:r>
          </w:p>
          <w:p>
            <w:pPr>
              <w:rPr>
                <w:rFonts w:ascii="宋体" w:eastAsia="宋体" w:cs="宋体"/>
              </w:rPr>
            </w:pPr>
            <w:r>
              <w:rPr>
                <w:rFonts w:ascii="宋体" w:cs="宋体" w:hint="eastAsia"/>
              </w:rPr>
              <w:t>（二）在合同生效后按照采购方要求在规定时间内完成技术实施工作</w:t>
            </w:r>
            <w:r>
              <w:rPr>
                <w:rFonts w:ascii="宋体" w:eastAsia="宋体" w:cs="宋体" w:hint="eastAsia"/>
              </w:rPr>
              <w:t>：</w:t>
            </w:r>
            <w:r>
              <w:rPr>
                <w:rFonts w:ascii="宋体" w:cs="宋体"/>
              </w:rPr>
              <w:t>2024年12月25日前，开发上线</w:t>
            </w:r>
            <w:r>
              <w:rPr>
                <w:rFonts w:ascii="宋体" w:eastAsia="宋体" w:cs="宋体" w:hint="eastAsia"/>
              </w:rPr>
              <w:t>采购方</w:t>
            </w:r>
            <w:r>
              <w:rPr>
                <w:rFonts w:ascii="宋体" w:cs="宋体"/>
              </w:rPr>
              <w:t>指定的首批系统功能，2025年4月30日前</w:t>
            </w:r>
            <w:r>
              <w:rPr>
                <w:rFonts w:ascii="宋体" w:eastAsia="宋体" w:cs="宋体" w:hint="eastAsia"/>
              </w:rPr>
              <w:t>开发</w:t>
            </w:r>
            <w:r>
              <w:rPr>
                <w:rFonts w:ascii="宋体" w:cs="宋体"/>
              </w:rPr>
              <w:t>上线系统全部功能，</w:t>
            </w:r>
            <w:bookmarkStart w:id="44" w:name="_GoBack"/>
            <w:bookmarkEnd w:id="44"/>
            <w:r>
              <w:rPr>
                <w:rFonts w:ascii="宋体" w:cs="宋体"/>
              </w:rPr>
              <w:t>合同验收后为1年运维期。</w:t>
            </w:r>
            <w:r>
              <w:rPr>
                <w:rFonts w:ascii="宋体" w:cs="宋体" w:hint="eastAsia"/>
              </w:rPr>
              <w:t>并提供全部功能的《系统测试报告》、《安全测试报告》、《集成报告》、《系统部署手册》、《用户操作手册》、《安全运行维护说明》、《试运行报告》等，同时提供系统交付书面申请、程序源代码，且源代码必须通过采购方代码安全扫描；</w:t>
            </w:r>
            <w:r>
              <w:rPr>
                <w:rFonts w:ascii="宋体" w:eastAsia="宋体" w:cs="宋体"/>
              </w:rPr>
              <w:t xml:space="preserve"> </w:t>
            </w:r>
          </w:p>
          <w:p>
            <w:pPr>
              <w:rPr>
                <w:rFonts w:ascii="宋体" w:cs="宋体"/>
              </w:rPr>
            </w:pPr>
            <w:r>
              <w:rPr>
                <w:rFonts w:ascii="宋体" w:cs="宋体" w:hint="eastAsia"/>
              </w:rPr>
              <w:t>（三）相关软件服务在全部功能上线试运行期间稳定运行1月后并符合采购方要求后，中标方可申请合同验收，采购方根据试运行情况组织开展验收；</w:t>
            </w:r>
          </w:p>
          <w:p>
            <w:pPr>
              <w:rPr>
                <w:rFonts w:ascii="宋体" w:cs="宋体"/>
              </w:rPr>
            </w:pPr>
            <w:r>
              <w:rPr>
                <w:rFonts w:ascii="宋体" w:cs="宋体" w:hint="eastAsia"/>
              </w:rPr>
              <w:t>（四）中标方必须按照规定的时间完成，如中途出现重大延误，采购方有权终止合同并按合同规定进行处罚；</w:t>
            </w:r>
          </w:p>
          <w:p>
            <w:pPr>
              <w:rPr>
                <w:rFonts w:ascii="宋体" w:cs="宋体"/>
              </w:rPr>
            </w:pPr>
            <w:r>
              <w:rPr>
                <w:rFonts w:ascii="宋体" w:cs="宋体" w:hint="eastAsia"/>
              </w:rPr>
              <w:t>（五）合同验收通过后，中标人需提供</w:t>
            </w:r>
            <w:r>
              <w:rPr>
                <w:rFonts w:ascii="宋体" w:eastAsia="宋体" w:cs="宋体"/>
              </w:rPr>
              <w:t>运维</w:t>
            </w:r>
            <w:r>
              <w:rPr>
                <w:rFonts w:ascii="宋体" w:cs="宋体" w:hint="eastAsia"/>
              </w:rPr>
              <w:t>期的系统维保服务，</w:t>
            </w:r>
            <w:r>
              <w:rPr>
                <w:rFonts w:ascii="宋体" w:eastAsia="宋体" w:cs="宋体"/>
              </w:rPr>
              <w:t>运维</w:t>
            </w:r>
            <w:r>
              <w:rPr>
                <w:rFonts w:ascii="宋体" w:cs="宋体" w:hint="eastAsia"/>
              </w:rPr>
              <w:t>期服务期限为合同验收通过后1年；</w:t>
            </w:r>
          </w:p>
          <w:p>
            <w:pPr>
              <w:rPr>
                <w:rFonts w:ascii="宋体" w:cs="宋体"/>
              </w:rPr>
            </w:pPr>
            <w:r>
              <w:rPr>
                <w:rFonts w:ascii="宋体" w:cs="宋体" w:hint="eastAsia"/>
              </w:rPr>
              <w:t>（六）项目自上线至</w:t>
            </w:r>
            <w:r>
              <w:rPr>
                <w:rFonts w:ascii="宋体" w:eastAsia="宋体" w:cs="宋体"/>
              </w:rPr>
              <w:t>运维</w:t>
            </w:r>
            <w:r>
              <w:rPr>
                <w:rFonts w:ascii="宋体" w:cs="宋体" w:hint="eastAsia"/>
              </w:rPr>
              <w:t>期结束期间，中标方要及时解决出现的各类问题；</w:t>
            </w:r>
          </w:p>
          <w:p>
            <w:pPr>
              <w:rPr>
                <w:rFonts w:ascii="宋体" w:cs="宋体"/>
              </w:rPr>
            </w:pPr>
            <w:r>
              <w:rPr>
                <w:rFonts w:ascii="宋体" w:cs="宋体" w:hint="eastAsia"/>
              </w:rPr>
              <w:t>（七）中标方负责采购第三方供应商的工商、司法数据供项目使用，使用期限为本合同最终验收后1年；</w:t>
            </w:r>
          </w:p>
          <w:p>
            <w:pPr>
              <w:widowControl/>
              <w:ind w:firstLine="420" w:firstLineChars="200"/>
              <w:jc w:val="left"/>
              <w:rPr>
                <w:rFonts w:ascii="Times New Roman Regular" w:hAnsi="Times New Roman Regular" w:cs="Times New Roman Regular"/>
              </w:rPr>
            </w:pPr>
            <w:r>
              <w:rPr>
                <w:rFonts w:ascii="宋体" w:cs="宋体" w:hint="eastAsia"/>
              </w:rPr>
              <w:t>（八）地点：中国电子口岸数据中心深圳分中心指定地点。</w:t>
            </w:r>
          </w:p>
        </w:tc>
      </w:tr>
    </w:tbl>
    <w:p>
      <w:pPr>
        <w:rPr>
          <w:rFonts w:ascii="宋体" w:eastAsia="宋体"/>
        </w:rPr>
      </w:pPr>
    </w:p>
    <w:p>
      <w:pPr>
        <w:pStyle w:val="Heading2"/>
        <w:numPr>
          <w:ilvl w:val="0"/>
          <w:numId w:val="2"/>
        </w:numPr>
        <w:rPr>
          <w:rFonts w:ascii="宋体" w:eastAsia="宋体" w:hint="eastAsia"/>
        </w:rPr>
      </w:pPr>
      <w:bookmarkStart w:id="45" w:name="集成需求"/>
      <w:r>
        <w:rPr>
          <w:rFonts w:ascii="宋体" w:eastAsia="宋体" w:hint="eastAsia"/>
        </w:rPr>
        <w:t>集成需求</w:t>
      </w:r>
      <w:bookmarkEnd w:id="45"/>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625" w:type="dxa"/>
            <w:shd w:val="clear" w:color="A6A6A6" w:fill="A6A6A6"/>
          </w:tcPr>
          <w:p>
            <w:pPr>
              <w:ind w:firstLine="0"/>
              <w:jc w:val="center"/>
              <w:rPr>
                <w:rFonts w:ascii="宋体" w:eastAsia="宋体"/>
                <w:b/>
              </w:rPr>
            </w:pPr>
            <w:r>
              <w:rPr>
                <w:rFonts w:ascii="宋体" w:eastAsia="宋体" w:hint="eastAsia"/>
                <w:b/>
              </w:rPr>
              <w:t>序号</w:t>
            </w:r>
          </w:p>
        </w:tc>
        <w:tc>
          <w:tcPr>
            <w:tcW w:w="1984" w:type="dxa"/>
            <w:shd w:val="clear" w:color="A6A6A6" w:fill="A6A6A6"/>
          </w:tcPr>
          <w:p>
            <w:pPr>
              <w:ind w:firstLine="0"/>
              <w:jc w:val="center"/>
              <w:rPr>
                <w:rFonts w:ascii="宋体" w:eastAsia="宋体"/>
                <w:b/>
              </w:rPr>
            </w:pPr>
            <w:r>
              <w:rPr>
                <w:rFonts w:ascii="宋体" w:eastAsia="宋体" w:hint="eastAsia"/>
                <w:b/>
              </w:rPr>
              <w:t>内容</w:t>
            </w:r>
          </w:p>
        </w:tc>
        <w:tc>
          <w:tcPr>
            <w:tcW w:w="4197" w:type="dxa"/>
            <w:shd w:val="clear" w:color="A6A6A6" w:fill="A6A6A6"/>
          </w:tcPr>
          <w:p>
            <w:pPr>
              <w:ind w:firstLine="0"/>
              <w:jc w:val="center"/>
              <w:rPr>
                <w:rFonts w:ascii="宋体" w:eastAsia="宋体"/>
                <w:b/>
              </w:rPr>
            </w:pPr>
            <w:bookmarkStart w:id="46" w:name="集成需求_Title_说明_Required_Table"/>
            <w:r>
              <w:rPr>
                <w:rFonts w:ascii="宋体" w:eastAsia="宋体" w:hint="eastAsia"/>
                <w:b/>
              </w:rPr>
              <w:t>说明</w:t>
            </w:r>
            <w:bookmarkEnd w:id="46"/>
          </w:p>
        </w:tc>
        <w:tc>
          <w:tcPr>
            <w:tcW w:w="1716" w:type="dxa"/>
            <w:shd w:val="clear" w:color="A6A6A6" w:fill="A6A6A6"/>
          </w:tcPr>
          <w:p>
            <w:pPr>
              <w:ind w:firstLine="0"/>
              <w:jc w:val="center"/>
              <w:rPr>
                <w:rFonts w:ascii="宋体" w:eastAsia="宋体"/>
                <w:b/>
              </w:rPr>
            </w:pPr>
            <w:r>
              <w:rPr>
                <w:rFonts w:ascii="宋体" w:eastAsia="宋体"/>
                <w:b/>
              </w:rPr>
              <w:t>证明材料要求</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625" w:type="dxa"/>
            <w:vAlign w:val="center"/>
          </w:tcPr>
          <w:p>
            <w:pPr>
              <w:ind w:firstLine="0"/>
              <w:jc w:val="center"/>
              <w:rPr>
                <w:rFonts w:ascii="宋体" w:eastAsia="宋体"/>
              </w:rPr>
            </w:pPr>
            <w:r>
              <w:rPr>
                <w:rFonts w:ascii="宋体" w:eastAsia="宋体" w:hint="eastAsia"/>
                <w:b/>
              </w:rPr>
              <w:t>1</w:t>
            </w:r>
          </w:p>
        </w:tc>
        <w:tc>
          <w:tcPr>
            <w:tcW w:w="1984" w:type="dxa"/>
            <w:vAlign w:val="center"/>
          </w:tcPr>
          <w:p>
            <w:pPr>
              <w:ind w:firstLine="0"/>
              <w:rPr>
                <w:rFonts w:ascii="宋体" w:eastAsia="宋体"/>
                <w:b/>
              </w:rPr>
            </w:pPr>
            <w:r>
              <w:rPr>
                <w:rFonts w:ascii="宋体" w:eastAsia="宋体" w:hint="eastAsia"/>
                <w:b/>
              </w:rPr>
              <w:t>业务需求</w:t>
            </w:r>
            <w:r>
              <w:rPr>
                <w:rFonts w:ascii="宋体" w:eastAsia="宋体" w:hint="eastAsia"/>
              </w:rPr>
              <w:t>▲</w:t>
            </w:r>
          </w:p>
        </w:tc>
        <w:tc>
          <w:tcPr>
            <w:tcW w:w="4197" w:type="dxa"/>
            <w:vAlign w:val="center"/>
          </w:tcPr>
          <w:p>
            <w:pPr>
              <w:rPr>
                <w:rFonts w:ascii="宋体" w:cs="宋体"/>
              </w:rPr>
            </w:pPr>
            <w:r>
              <w:rPr>
                <w:rFonts w:ascii="宋体" w:cs="宋体" w:hint="eastAsia"/>
              </w:rPr>
              <w:t>本项目是前期项目的延续，一新增功能，二是对前期已有项目功能进行全面优化与升级。</w:t>
            </w:r>
          </w:p>
          <w:p>
            <w:pPr>
              <w:rPr>
                <w:rFonts w:ascii="宋体" w:cs="宋体"/>
              </w:rPr>
            </w:pPr>
            <w:r>
              <w:rPr>
                <w:rFonts w:ascii="宋体" w:cs="宋体" w:hint="eastAsia"/>
              </w:rPr>
              <w:t>总体规划方案：从各类企业生产经营管理系统中获取生产经营数据，形成数据源，统一采集推送到海关内网数据库，经数据治理后，结合海关内部数据、外部第三方数据，形成一系列数据模型，在此基础上构建数据查询、统计指标、预警指标、分析模型、线上辅助等应用功能。</w:t>
            </w:r>
          </w:p>
          <w:p>
            <w:pPr>
              <w:rPr>
                <w:rFonts w:ascii="宋体" w:cs="宋体"/>
              </w:rPr>
            </w:pPr>
            <w:r>
              <w:rPr>
                <w:rFonts w:ascii="宋体" w:cs="宋体" w:hint="eastAsia"/>
              </w:rPr>
              <w:t>一、本项目建设内容如下：</w:t>
            </w:r>
          </w:p>
          <w:p>
            <w:pPr>
              <w:rPr>
                <w:rFonts w:ascii="宋体" w:cs="宋体"/>
              </w:rPr>
            </w:pPr>
            <w:r>
              <w:rPr>
                <w:rFonts w:ascii="宋体" w:cs="宋体" w:hint="eastAsia"/>
              </w:rPr>
              <w:t>1、数据采集：本项目新增科创、检验检疫业务应用领域，对企业数据采集范围进行拓展，形成新的企业数据采集标准。升级企业数据采集模块，以适应新的采集标准。</w:t>
            </w:r>
          </w:p>
          <w:p>
            <w:pPr>
              <w:rPr>
                <w:rFonts w:ascii="宋体" w:cs="宋体"/>
              </w:rPr>
            </w:pPr>
            <w:r>
              <w:rPr>
                <w:rFonts w:ascii="宋体" w:cs="宋体" w:hint="eastAsia"/>
              </w:rPr>
              <w:t>2、数据治理：新的企业数据采集标准涉及多个业务领域，不同业务领域对应的采集表及字段不同，大大增加了企业数据采集的复杂性。为确保所采集的数据质量，为后续业务应用打好数据基础，新增数据治理监控模块，对采集的数据进行治理，治理后的数据方提供业务应用。</w:t>
            </w:r>
          </w:p>
          <w:p>
            <w:pPr>
              <w:rPr>
                <w:rFonts w:ascii="宋体" w:cs="宋体"/>
              </w:rPr>
            </w:pPr>
            <w:r>
              <w:rPr>
                <w:rFonts w:ascii="宋体" w:cs="宋体" w:hint="eastAsia"/>
              </w:rPr>
              <w:t>3、运维保障：为适应新的企业数据采集标准，升级数据采集监控模块，主要升级对接企业管理、采集任务配置、采集异常监控、采集数据统计功能。为新增的业务应用提供阈值设置，数据维护等辅助功能，升级系统管理模块，主要升级企业维护、功能参数配置、日志查询功能。</w:t>
            </w:r>
          </w:p>
          <w:p>
            <w:pPr>
              <w:rPr>
                <w:rFonts w:ascii="宋体" w:cs="宋体"/>
              </w:rPr>
            </w:pPr>
            <w:r>
              <w:rPr>
                <w:rFonts w:ascii="宋体" w:cs="宋体" w:hint="eastAsia"/>
              </w:rPr>
              <w:t>4、业务应用模块：根据本项目业务需求，升级后续监管业务辅助应用模块、保税日常监管辅助应用模块、税收征管业务辅助模块、卫生检验业务辅助应用模块、动植检监管业务辅助应用模块、食品安全业务辅助应用模块、商检检验业务辅助应用模块，新增通关监管业务辅助应用模块。</w:t>
            </w:r>
          </w:p>
          <w:p>
            <w:pPr>
              <w:rPr>
                <w:rFonts w:ascii="宋体" w:cs="宋体"/>
              </w:rPr>
            </w:pPr>
            <w:r>
              <w:rPr>
                <w:rFonts w:ascii="宋体" w:cs="宋体" w:hint="eastAsia"/>
              </w:rPr>
              <w:t>5、关企交互：根据本项目业务需求，升级关企交互企业web端，增加文字交互、文件交互功能。在“I深关”APP新增核查辅助智能化分析、企业信息采集、企业合规管理提示、对接数据异常提示应用功能。在“深关数”小程序新增核查辅助智能化分析、企业信息采集、企业合规管理提示、对接数据异常提示应用功能。</w:t>
            </w:r>
          </w:p>
          <w:p>
            <w:pPr>
              <w:rPr>
                <w:rFonts w:ascii="宋体" w:cs="宋体"/>
              </w:rPr>
            </w:pPr>
            <w:r>
              <w:rPr>
                <w:rFonts w:ascii="宋体" w:cs="宋体" w:hint="eastAsia"/>
              </w:rPr>
              <w:t>6、智能化：为更好地与企业进行交互，提升企业业务办理体验，本项目新增人脸比对、身份验证、OCR相关智能化功能，应用于关企交互场景。</w:t>
            </w:r>
          </w:p>
          <w:p>
            <w:pPr>
              <w:rPr>
                <w:rFonts w:ascii="宋体" w:cs="宋体"/>
              </w:rPr>
            </w:pPr>
            <w:r>
              <w:rPr>
                <w:rFonts w:ascii="宋体" w:cs="宋体" w:hint="eastAsia"/>
              </w:rPr>
              <w:t>二、本项目需适应千企千面的情况，同时兼容旧采集标准及新采集标准，以及满足业务上对数据记录的追溯需求，需支持以下需求：</w:t>
            </w:r>
          </w:p>
          <w:p>
            <w:pPr>
              <w:rPr>
                <w:rFonts w:ascii="宋体" w:cs="宋体"/>
              </w:rPr>
            </w:pPr>
            <w:r>
              <w:rPr>
                <w:rFonts w:ascii="宋体" w:cs="宋体" w:hint="eastAsia"/>
              </w:rPr>
              <w:t>（1）数据采集：</w:t>
            </w:r>
          </w:p>
          <w:p>
            <w:pPr>
              <w:rPr>
                <w:rFonts w:ascii="宋体" w:cs="宋体"/>
              </w:rPr>
            </w:pPr>
            <w:r>
              <w:rPr>
                <w:rFonts w:ascii="宋体" w:cs="宋体" w:hint="eastAsia"/>
              </w:rPr>
              <w:t>1）兼容性方面，需同时支持新标准表及旧标准表的采集；2）新标准表采集方面，企业涉及一个或多个业务领域，不同业务领域所采集的标准表、字段不同，需支持根据企业的业务情况，采集相应的标准表及字段；3）数据标识方面，新旧标准表处理方式不同，新标准表数据需针对记录级别生成唯一数据标识，旧标准表数据需针对单证/商品级别生成数据标识；4）采集方式方面，需支持对数据进行立即采集和定时采集，以及异常数据修正后的采集。</w:t>
            </w:r>
          </w:p>
          <w:p>
            <w:pPr>
              <w:rPr>
                <w:rFonts w:ascii="宋体" w:cs="宋体"/>
              </w:rPr>
            </w:pPr>
            <w:r>
              <w:rPr>
                <w:rFonts w:ascii="宋体" w:cs="宋体" w:hint="eastAsia"/>
              </w:rPr>
              <w:t>（2）数据监控：需要同时支持对新标准表及旧标准表的采集进行监控。</w:t>
            </w:r>
          </w:p>
          <w:p>
            <w:pPr>
              <w:rPr>
                <w:rFonts w:ascii="宋体" w:cs="宋体"/>
              </w:rPr>
            </w:pPr>
            <w:r>
              <w:rPr>
                <w:rFonts w:ascii="宋体" w:cs="宋体" w:hint="eastAsia"/>
              </w:rPr>
              <w:t>（3）数据治理：1）质量规则检查级别：对数据的质量规则检查细化到记录/字段级；2）质量规则检查规则：需涵盖完备性、有效性、一致性规则。完备性规则包括空格检查、空值检查、长度检查、关联性检查。有效性规则包括社会统一信用代码检查、特殊字符检查、开始结束字符检查。一致性规则包括重复记录检查、数值值域检查、日期值域检查；3）支持不同标准表、不同字段对应不同质量规则；4）支持对不同企业的不同标准表不同字段个性化配置质量规则适用性；5）支持对采集的数据进行追踪，根据数据标识判断采集的数据属于新增、更新或更正；6）质量规则检查后，以记录或单证级别，将检查正常的数据纳入应用。分为两种情况，有数据标识且唯一的数据以单笔记录级别纳入应用，有数据标识但不唯一的数据以单笔单证多笔记录级别纳入应用。</w:t>
            </w:r>
          </w:p>
          <w:p>
            <w:pPr>
              <w:rPr>
                <w:rFonts w:ascii="宋体" w:cs="宋体"/>
              </w:rPr>
            </w:pPr>
            <w:r>
              <w:rPr>
                <w:rFonts w:ascii="宋体" w:cs="宋体" w:hint="eastAsia"/>
              </w:rPr>
              <w:t>（4）异常数据处理：1）支持质量规则检查后异常提示的数据追踪到记录级别；2）支持追踪到记录或单证级别进行修正后数据的采集，分为两种情况，有数据标识且唯一的数据以单笔记录级别进行采集，有数据标识但不唯一的数据以单笔单证多笔记录级别进行采集。</w:t>
            </w:r>
          </w:p>
          <w:p>
            <w:pPr>
              <w:rPr>
                <w:rFonts w:ascii="宋体" w:cs="宋体"/>
              </w:rPr>
            </w:pPr>
            <w:r>
              <w:rPr>
                <w:rFonts w:ascii="宋体" w:cs="宋体" w:hint="eastAsia"/>
              </w:rPr>
              <w:t>（5）数据映射处理：现有的系统功能及本项目新建设的系统功能均需要使用到新标准表及旧标准表数据。一是需要将旧标准表数据映射成新标准，与新接入的数据应用于新系统功能，二是需要将新标准表数据映射成旧标准，与已接入的数据应用于现有系统功能。</w:t>
            </w:r>
          </w:p>
          <w:p>
            <w:pPr>
              <w:spacing w:line="240" w:lineRule="auto"/>
              <w:ind w:firstLine="0"/>
              <w:rPr>
                <w:rFonts w:eastAsia="宋体"/>
                <w:lang w:bidi="en-US"/>
              </w:rPr>
            </w:pPr>
            <w:r>
              <w:rPr>
                <w:rFonts w:ascii="宋体" w:cs="宋体" w:hint="eastAsia"/>
              </w:rPr>
              <w:t>本项目所述37张采集标准表及字段，结合海关业务需要适时调整。</w:t>
            </w:r>
          </w:p>
        </w:tc>
        <w:tc>
          <w:tcPr>
            <w:tcW w:w="1716" w:type="dxa"/>
            <w:vAlign w:val="center"/>
          </w:tcPr>
          <w:p>
            <w:pPr>
              <w:ind w:firstLine="0"/>
              <w:rPr>
                <w:rFonts w:ascii="宋体" w:eastAsia="宋体"/>
                <w:lang w:bidi="en-US"/>
              </w:rPr>
            </w:pPr>
            <w:r>
              <w:rPr>
                <w:rFonts w:ascii="宋体" w:eastAsia="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625" w:type="dxa"/>
            <w:vAlign w:val="center"/>
          </w:tcPr>
          <w:p>
            <w:pPr>
              <w:ind w:firstLine="0"/>
              <w:jc w:val="center"/>
              <w:rPr>
                <w:rFonts w:ascii="宋体" w:eastAsia="宋体"/>
              </w:rPr>
            </w:pPr>
            <w:r>
              <w:rPr>
                <w:rFonts w:ascii="宋体" w:eastAsia="宋体" w:hint="eastAsia"/>
                <w:b/>
              </w:rPr>
              <w:t>2</w:t>
            </w:r>
          </w:p>
        </w:tc>
        <w:tc>
          <w:tcPr>
            <w:tcW w:w="1984" w:type="dxa"/>
            <w:vAlign w:val="center"/>
          </w:tcPr>
          <w:p>
            <w:pPr>
              <w:ind w:firstLine="0"/>
              <w:rPr>
                <w:rFonts w:ascii="宋体" w:eastAsia="宋体"/>
                <w:b/>
              </w:rPr>
            </w:pPr>
            <w:r>
              <w:rPr>
                <w:rFonts w:ascii="宋体" w:eastAsia="宋体" w:hint="eastAsia"/>
                <w:b/>
              </w:rPr>
              <w:t>技术需求</w:t>
            </w:r>
            <w:r>
              <w:rPr>
                <w:rFonts w:ascii="宋体" w:eastAsia="宋体" w:hint="eastAsia"/>
              </w:rPr>
              <w:t>▲</w:t>
            </w:r>
          </w:p>
        </w:tc>
        <w:tc>
          <w:tcPr>
            <w:tcW w:w="4197" w:type="dxa"/>
            <w:vAlign w:val="center"/>
          </w:tcPr>
          <w:p>
            <w:pPr>
              <w:spacing w:line="240" w:lineRule="auto"/>
              <w:ind w:firstLine="0"/>
              <w:rPr>
                <w:rFonts w:ascii="宋体" w:eastAsia="宋体" w:cs="宋体"/>
                <w:kern w:val="2"/>
              </w:rPr>
            </w:pPr>
            <w:r>
              <w:rPr>
                <w:rFonts w:ascii="宋体" w:eastAsia="宋体" w:cs="宋体"/>
                <w:kern w:val="2"/>
              </w:rPr>
              <w:t xml:space="preserve">本系统继续沿用现有企业信用管理子系统（深圳海关）互联网+网上稽核查应用技术体系，本次建设内容可以满足国产化要求，但是该系统前期建设部分仍维持原状（不满足国产化要求），将适时按要求完成前期项目的国产化改造工作。   </w:t>
            </w:r>
          </w:p>
          <w:p>
            <w:pPr>
              <w:spacing w:line="240" w:lineRule="auto"/>
              <w:ind w:firstLine="0"/>
              <w:rPr>
                <w:rFonts w:ascii="宋体" w:eastAsia="宋体" w:cs="宋体"/>
                <w:kern w:val="2"/>
              </w:rPr>
            </w:pPr>
            <w:r>
              <w:rPr>
                <w:rFonts w:ascii="宋体" w:eastAsia="宋体" w:cs="宋体"/>
                <w:kern w:val="2"/>
              </w:rPr>
              <w:t>一、技术架构关键点如下：</w:t>
            </w:r>
          </w:p>
          <w:p>
            <w:pPr>
              <w:spacing w:line="240" w:lineRule="auto"/>
              <w:ind w:firstLine="0"/>
              <w:rPr>
                <w:rFonts w:ascii="宋体" w:eastAsia="宋体" w:cs="宋体"/>
                <w:kern w:val="2"/>
              </w:rPr>
            </w:pPr>
            <w:r>
              <w:rPr>
                <w:rFonts w:ascii="宋体" w:eastAsia="宋体" w:cs="宋体"/>
                <w:kern w:val="2"/>
              </w:rPr>
              <w:t>（1）在互联网端，企业数据采集客户端工具后续会安装在企业终端设备上，帮助海关采集企业生产经营系统数据。程序在设计时需要保证客户端程序的稳定性及数据安全。我们选择采用C++语言进行程序开发，整体技术架构采用C/S模式，并引用多种C++开源技术库。</w:t>
            </w:r>
          </w:p>
          <w:p>
            <w:pPr>
              <w:spacing w:line="240" w:lineRule="auto"/>
              <w:ind w:firstLine="0"/>
              <w:rPr>
                <w:rFonts w:ascii="宋体" w:eastAsia="宋体" w:cs="宋体"/>
                <w:kern w:val="2"/>
              </w:rPr>
            </w:pPr>
            <w:r>
              <w:rPr>
                <w:rFonts w:ascii="宋体" w:eastAsia="宋体" w:cs="宋体"/>
                <w:kern w:val="2"/>
              </w:rPr>
              <w:t>（2）在电子口岸专网和海关业务网端，延用现有技术架构，系统采用前后端分离模式，分布式部署，整体项目框架采用B/S模式。前端展示层基于JavaScript ES6语法实现，使用Vue JavaScript框架，并统一使用HTML5标准。后端采用基于微服务架构的分布式系统设计，利用服务发现、注册、路由、熔断等核心组件，实现复杂业务系统微服务化，使用Redis缓存技术以及沿用原有IBM-MQ消息中间件传输通道。</w:t>
            </w:r>
          </w:p>
          <w:p>
            <w:pPr>
              <w:spacing w:line="240" w:lineRule="auto"/>
              <w:ind w:firstLine="0"/>
              <w:rPr>
                <w:rFonts w:ascii="宋体" w:eastAsia="宋体" w:cs="宋体"/>
                <w:kern w:val="2"/>
              </w:rPr>
            </w:pPr>
            <w:r>
              <w:rPr>
                <w:rFonts w:ascii="宋体" w:eastAsia="宋体" w:cs="宋体"/>
                <w:kern w:val="2"/>
              </w:rPr>
              <w:t>（3）海关公共组件，主要包括：</w:t>
            </w:r>
          </w:p>
          <w:p>
            <w:pPr>
              <w:spacing w:line="240" w:lineRule="auto"/>
              <w:ind w:firstLine="0"/>
              <w:rPr>
                <w:rFonts w:ascii="宋体" w:eastAsia="宋体" w:cs="宋体"/>
                <w:kern w:val="2"/>
              </w:rPr>
            </w:pPr>
            <w:r>
              <w:rPr>
                <w:rFonts w:ascii="宋体" w:eastAsia="宋体" w:cs="宋体"/>
                <w:kern w:val="2"/>
              </w:rPr>
              <w:t>1）H4A系统，所有海关业务网端应用系统都通过WebService方式对接H4A系统，进行统一用户登录和权限管控；</w:t>
            </w:r>
          </w:p>
          <w:p>
            <w:pPr>
              <w:spacing w:line="240" w:lineRule="auto"/>
              <w:ind w:firstLine="0"/>
              <w:rPr>
                <w:rFonts w:ascii="宋体" w:eastAsia="宋体" w:cs="宋体"/>
                <w:kern w:val="2"/>
              </w:rPr>
            </w:pPr>
            <w:r>
              <w:rPr>
                <w:rFonts w:ascii="宋体" w:eastAsia="宋体" w:cs="宋体"/>
                <w:kern w:val="2"/>
              </w:rPr>
              <w:t>2）地图服务（HGIS）：海关业务网端应用系统通过HTTP方式对接海关HGIS地图服务，进行地图功能展示；</w:t>
            </w:r>
          </w:p>
          <w:p>
            <w:pPr>
              <w:spacing w:line="240" w:lineRule="auto"/>
              <w:ind w:firstLine="0"/>
              <w:rPr>
                <w:rFonts w:ascii="宋体" w:eastAsia="宋体" w:cs="宋体"/>
                <w:kern w:val="2"/>
              </w:rPr>
            </w:pPr>
            <w:r>
              <w:rPr>
                <w:rFonts w:ascii="宋体" w:eastAsia="宋体" w:cs="宋体"/>
                <w:kern w:val="2"/>
              </w:rPr>
              <w:t>3）电子签章服务：包含海关和电子口岸两套电子签章系统，分别用于海关关员向企业发送电子文书（ PDF ）和企业向海关发送确认回执时使用。</w:t>
            </w:r>
          </w:p>
          <w:p>
            <w:pPr>
              <w:spacing w:line="240" w:lineRule="auto"/>
              <w:ind w:firstLine="0"/>
              <w:rPr>
                <w:rFonts w:ascii="宋体" w:eastAsia="宋体" w:cs="宋体"/>
                <w:kern w:val="2"/>
              </w:rPr>
            </w:pPr>
            <w:r>
              <w:rPr>
                <w:rFonts w:ascii="宋体" w:eastAsia="宋体" w:cs="宋体"/>
                <w:kern w:val="2"/>
              </w:rPr>
              <w:t>二、微服务架构</w:t>
            </w:r>
          </w:p>
          <w:p>
            <w:pPr>
              <w:spacing w:line="240" w:lineRule="auto"/>
              <w:ind w:firstLine="0"/>
              <w:rPr>
                <w:rFonts w:ascii="宋体" w:eastAsia="宋体" w:cs="宋体"/>
                <w:kern w:val="2"/>
              </w:rPr>
            </w:pPr>
            <w:r>
              <w:rPr>
                <w:rFonts w:ascii="宋体" w:eastAsia="宋体" w:cs="宋体"/>
                <w:kern w:val="2"/>
              </w:rPr>
              <w:t>继续采用基于微服务架构的分布式系统设计，利用服务发现、注册、路由、熔断等核心组件，实现复杂业务系统微服务化；支持平行扩展，每个服务可以根据实际需求独立进行横向扩展，实现系统扩展的灵活性。</w:t>
            </w:r>
          </w:p>
          <w:p>
            <w:pPr>
              <w:spacing w:line="240" w:lineRule="auto"/>
              <w:ind w:firstLine="0"/>
              <w:rPr>
                <w:rFonts w:ascii="宋体" w:eastAsia="宋体" w:cs="宋体"/>
                <w:kern w:val="2"/>
              </w:rPr>
            </w:pPr>
            <w:r>
              <w:rPr>
                <w:rFonts w:ascii="宋体" w:eastAsia="宋体" w:cs="宋体"/>
                <w:kern w:val="2"/>
              </w:rPr>
              <w:t>三、前后端分离开发模式</w:t>
            </w:r>
          </w:p>
          <w:p>
            <w:pPr>
              <w:spacing w:line="240" w:lineRule="auto"/>
              <w:ind w:firstLine="0"/>
              <w:rPr>
                <w:rFonts w:ascii="宋体" w:eastAsia="宋体" w:cs="宋体"/>
                <w:kern w:val="2"/>
              </w:rPr>
            </w:pPr>
            <w:r>
              <w:rPr>
                <w:rFonts w:ascii="宋体" w:eastAsia="宋体" w:cs="宋体"/>
                <w:kern w:val="2"/>
              </w:rPr>
              <w:t>前后端分离已成为互联网项目开发的业界标准使用方式，通过Nginx+J2EE容器的方式有效的进行解耦。前后端分离开发可以实现界面交互与业务逻辑的解耦，只要双方约定好应用所需接口以及接口参数，便可进行并行开发，无需等待对方开发工作结束。与此同时，即使需求发生变更，只要接口与数据格式不变，后端开发人员就不需要调整代码，只需要前端修改即可，从而提升开发效率。</w:t>
            </w:r>
          </w:p>
          <w:p>
            <w:pPr>
              <w:spacing w:line="240" w:lineRule="auto"/>
              <w:ind w:firstLine="0"/>
              <w:rPr>
                <w:rFonts w:ascii="宋体" w:eastAsia="宋体" w:cs="宋体"/>
                <w:kern w:val="2"/>
              </w:rPr>
            </w:pPr>
            <w:r>
              <w:rPr>
                <w:rFonts w:ascii="宋体" w:eastAsia="宋体" w:cs="宋体"/>
                <w:kern w:val="2"/>
              </w:rPr>
              <w:t>四、多层体系结构</w:t>
            </w:r>
          </w:p>
          <w:p>
            <w:pPr>
              <w:spacing w:line="240" w:lineRule="auto"/>
              <w:ind w:firstLine="0"/>
              <w:rPr>
                <w:rFonts w:ascii="宋体" w:eastAsia="宋体" w:cs="宋体"/>
                <w:kern w:val="2"/>
              </w:rPr>
            </w:pPr>
            <w:r>
              <w:rPr>
                <w:rFonts w:ascii="宋体" w:eastAsia="宋体" w:cs="宋体"/>
                <w:kern w:val="2"/>
              </w:rPr>
              <w:t>该项目基于J2EE技术，遵循“约定优于配置”的开发思想，采用MVC设计模式，将各种服务包装为松散耦合的模块，采用Spring Boot、Mybatis等技术开发微服务应用，实现零配置开发和构建，快速打包和部署应用程序。</w:t>
            </w:r>
          </w:p>
          <w:p>
            <w:pPr>
              <w:spacing w:line="240" w:lineRule="auto"/>
              <w:ind w:firstLine="0"/>
              <w:rPr>
                <w:rFonts w:ascii="宋体" w:eastAsia="宋体" w:cs="宋体"/>
                <w:kern w:val="2"/>
              </w:rPr>
            </w:pPr>
            <w:r>
              <w:rPr>
                <w:rFonts w:ascii="宋体" w:eastAsia="宋体" w:cs="宋体"/>
                <w:kern w:val="2"/>
              </w:rPr>
              <w:t>整个系统采用多层体系结构，在体系结构中，客户（请求信息）、程序（处理请求）和数据（被操作）被隔离。多层结构是个更灵活的体系结构,它把显示逻辑从业务逻辑中分离出来，这就意味着业务代码是独立的，可以不关心怎样显示和在哪里显示。业务逻辑层处于中间层，不需要关心由哪种类型的客户来显示数据，也可以与后端系统保持相对独立性，有利于系统扩展。多层结构中安全性也更易于实现，因为应用程序已经同客户隔离。</w:t>
            </w:r>
          </w:p>
          <w:p>
            <w:pPr>
              <w:spacing w:line="240" w:lineRule="auto"/>
              <w:ind w:firstLine="0"/>
              <w:rPr>
                <w:rFonts w:ascii="宋体" w:eastAsia="宋体" w:cs="宋体"/>
                <w:kern w:val="2"/>
              </w:rPr>
            </w:pPr>
            <w:r>
              <w:rPr>
                <w:rFonts w:ascii="宋体" w:eastAsia="宋体" w:cs="宋体"/>
                <w:kern w:val="2"/>
              </w:rPr>
              <w:t>在一个多层次系统中，每一级都支持应用程序的一个独立部分。应用客户机完成描述逻辑，应用服务器完成业务处理逻辑。在一个事务处理过程中，每一个客户机只向应用服务器发出一个请求，这就大大减少了网络通讯和竞争。每个应用程序的业务逻辑是由该应用程序的所有用户共享的,这样就能更好地控制业务处理，同时当修订业务处理而产生变化时，能极大地简化变化的实现。数据服务器负责管理和优化同时并发的数据存取。</w:t>
            </w:r>
          </w:p>
          <w:p>
            <w:pPr>
              <w:spacing w:line="240" w:lineRule="auto"/>
              <w:ind w:firstLine="0"/>
              <w:rPr>
                <w:rFonts w:ascii="宋体" w:eastAsia="宋体" w:cs="宋体"/>
                <w:kern w:val="2"/>
              </w:rPr>
            </w:pPr>
            <w:r>
              <w:rPr>
                <w:rFonts w:ascii="宋体" w:eastAsia="宋体" w:cs="宋体"/>
                <w:kern w:val="2"/>
              </w:rPr>
              <w:t>五、海关数据存储与处理</w:t>
            </w:r>
          </w:p>
          <w:p>
            <w:pPr>
              <w:spacing w:line="240" w:lineRule="auto"/>
              <w:ind w:firstLine="0"/>
              <w:rPr>
                <w:rFonts w:ascii="宋体" w:eastAsia="宋体" w:cs="宋体"/>
                <w:kern w:val="2"/>
              </w:rPr>
            </w:pPr>
            <w:r>
              <w:rPr>
                <w:rFonts w:ascii="宋体" w:eastAsia="宋体" w:cs="宋体"/>
                <w:kern w:val="2"/>
              </w:rPr>
              <w:t>遵循海关业务网端对于应用数据管理规范，海关业务网端所有应用功能模块均使用业主方指定数据工具进行数据存储及处理。</w:t>
            </w:r>
          </w:p>
          <w:p>
            <w:pPr>
              <w:spacing w:line="240" w:lineRule="auto"/>
              <w:ind w:firstLine="0"/>
              <w:rPr>
                <w:rFonts w:ascii="宋体" w:eastAsia="宋体" w:cs="宋体"/>
                <w:kern w:val="2"/>
              </w:rPr>
            </w:pPr>
            <w:r>
              <w:rPr>
                <w:rFonts w:ascii="宋体" w:eastAsia="宋体" w:cs="宋体"/>
                <w:kern w:val="2"/>
              </w:rPr>
              <w:t>六、遵循海关技术路线</w:t>
            </w:r>
          </w:p>
          <w:p>
            <w:pPr>
              <w:spacing w:line="240" w:lineRule="auto"/>
              <w:ind w:firstLine="0"/>
              <w:rPr>
                <w:rFonts w:ascii="宋体" w:eastAsia="宋体" w:cs="宋体"/>
                <w:kern w:val="2"/>
              </w:rPr>
            </w:pPr>
            <w:r>
              <w:rPr>
                <w:rFonts w:ascii="宋体" w:eastAsia="宋体" w:cs="宋体"/>
                <w:kern w:val="2"/>
              </w:rPr>
              <w:t>本项目遵循海关技术架构要求，充分利用海关H4A/HGIS服务能力（统一身份认证、统一用户权限管理等、地图服务），构建本项目的各应用,以适应系统结构复杂、业务量大、吞吐量高的应用环境。</w:t>
            </w:r>
          </w:p>
          <w:p>
            <w:pPr>
              <w:spacing w:line="240" w:lineRule="auto"/>
              <w:ind w:firstLine="0"/>
              <w:rPr>
                <w:rFonts w:ascii="宋体" w:eastAsia="宋体" w:cs="宋体"/>
                <w:kern w:val="2"/>
              </w:rPr>
            </w:pPr>
            <w:r>
              <w:rPr>
                <w:rFonts w:ascii="宋体" w:eastAsia="宋体" w:cs="宋体"/>
                <w:kern w:val="2"/>
              </w:rPr>
              <w:t>七、权限设计</w:t>
            </w:r>
          </w:p>
          <w:p>
            <w:pPr>
              <w:spacing w:line="240" w:lineRule="auto"/>
              <w:ind w:firstLine="0"/>
              <w:rPr>
                <w:rFonts w:ascii="宋体" w:eastAsia="宋体" w:cs="宋体"/>
                <w:kern w:val="2"/>
              </w:rPr>
            </w:pPr>
            <w:r>
              <w:rPr>
                <w:rFonts w:ascii="宋体" w:eastAsia="宋体" w:cs="宋体"/>
                <w:kern w:val="2"/>
              </w:rPr>
              <w:t>在海关业务网端，身份、认证、授权、审计管理系统（H4A）为海关各科技应用项目提供了统一的身份、统一的认证以及统一的授权管理控制平台，为应用系统的整合提供了必要的基础平台。H4A平台为应用系统提供系统认证、身份验证、权限识别的功能，并可以在H4A平台中进行系统的分级授权，对被授权对象进行部门、时间服务范围控制。</w:t>
            </w:r>
          </w:p>
          <w:p>
            <w:pPr>
              <w:spacing w:line="240" w:lineRule="auto"/>
              <w:ind w:firstLine="0"/>
              <w:rPr>
                <w:rFonts w:ascii="宋体" w:eastAsia="宋体" w:cs="宋体"/>
                <w:kern w:val="2"/>
              </w:rPr>
            </w:pPr>
            <w:r>
              <w:rPr>
                <w:rFonts w:ascii="宋体" w:eastAsia="宋体" w:cs="宋体"/>
                <w:kern w:val="2"/>
              </w:rPr>
              <w:t>在电子口岸专网端，项目所建应用系统集成单一窗口身份认证服务,系统通过中国电子口岸卡或单一窗口账密登录的方式实现用户身份因子鉴别。另外，数据采集监控模块通过自建用户体系实现用户通过账号密码登录验证。</w:t>
            </w:r>
          </w:p>
          <w:p>
            <w:pPr>
              <w:spacing w:line="240" w:lineRule="auto"/>
              <w:ind w:firstLine="0"/>
              <w:rPr>
                <w:rFonts w:ascii="宋体" w:eastAsia="宋体" w:cs="宋体"/>
                <w:kern w:val="2"/>
              </w:rPr>
            </w:pPr>
            <w:r>
              <w:rPr>
                <w:rFonts w:ascii="宋体" w:eastAsia="宋体" w:cs="宋体"/>
                <w:kern w:val="2"/>
              </w:rPr>
              <w:t>八、项目性能要求</w:t>
            </w:r>
          </w:p>
          <w:p>
            <w:pPr>
              <w:spacing w:line="240" w:lineRule="auto"/>
              <w:ind w:firstLine="0"/>
              <w:rPr>
                <w:rFonts w:ascii="宋体" w:eastAsia="宋体" w:cs="宋体"/>
                <w:kern w:val="2"/>
              </w:rPr>
            </w:pPr>
            <w:r>
              <w:rPr>
                <w:rFonts w:ascii="宋体" w:eastAsia="宋体" w:cs="宋体"/>
                <w:kern w:val="2"/>
              </w:rPr>
              <w:t>（1）系统响应时间要求</w:t>
            </w:r>
          </w:p>
          <w:p>
            <w:pPr>
              <w:spacing w:line="240" w:lineRule="auto"/>
              <w:ind w:firstLine="0"/>
              <w:rPr>
                <w:rFonts w:ascii="宋体" w:eastAsia="宋体" w:cs="宋体"/>
                <w:kern w:val="2"/>
              </w:rPr>
            </w:pPr>
            <w:r>
              <w:rPr>
                <w:rFonts w:ascii="宋体" w:eastAsia="宋体" w:cs="宋体"/>
                <w:kern w:val="2"/>
              </w:rPr>
              <w:t>系统应具备快速响应的特性，用户打开界面和提交事务的平均响应时间应该低于5秒。用户进行在线实时查询业务操作的数据处理时间应用低于60秒（响应）。</w:t>
            </w:r>
          </w:p>
          <w:p>
            <w:pPr>
              <w:spacing w:line="240" w:lineRule="auto"/>
              <w:ind w:firstLine="0"/>
              <w:rPr>
                <w:rFonts w:ascii="宋体" w:eastAsia="宋体" w:cs="宋体"/>
                <w:kern w:val="2"/>
              </w:rPr>
            </w:pPr>
            <w:r>
              <w:rPr>
                <w:rFonts w:ascii="宋体" w:eastAsia="宋体" w:cs="宋体"/>
                <w:kern w:val="2"/>
              </w:rPr>
              <w:t>（2）系统用户并发访问要求</w:t>
            </w:r>
          </w:p>
          <w:p>
            <w:pPr>
              <w:spacing w:line="240" w:lineRule="auto"/>
              <w:ind w:firstLine="0"/>
              <w:rPr>
                <w:rFonts w:ascii="宋体" w:eastAsia="宋体" w:cs="宋体"/>
                <w:kern w:val="2"/>
              </w:rPr>
            </w:pPr>
            <w:r>
              <w:rPr>
                <w:rFonts w:ascii="宋体" w:eastAsia="宋体" w:cs="宋体"/>
                <w:kern w:val="2"/>
              </w:rPr>
              <w:t>系统可满足现在项目业务场景的用户使用压力要求，海关业务网需至少满足支持500人的用户访问请求，并在高峰时间可支持至少200人同时在线访问。电子口岸专网需至少满足支持500人的用户访问请求，并在高峰时间可支持至少200人同时在线访问。</w:t>
            </w:r>
          </w:p>
          <w:p>
            <w:pPr>
              <w:spacing w:line="240" w:lineRule="auto"/>
              <w:ind w:firstLine="0"/>
              <w:rPr>
                <w:rFonts w:ascii="宋体" w:eastAsia="宋体" w:cs="宋体"/>
                <w:kern w:val="2"/>
              </w:rPr>
            </w:pPr>
            <w:r>
              <w:rPr>
                <w:rFonts w:ascii="宋体" w:eastAsia="宋体" w:cs="宋体"/>
                <w:kern w:val="2"/>
              </w:rPr>
              <w:t>（3）系统数据处理能力要求</w:t>
            </w:r>
          </w:p>
          <w:p>
            <w:pPr>
              <w:spacing w:line="240" w:lineRule="auto"/>
              <w:ind w:firstLine="0"/>
              <w:rPr>
                <w:rFonts w:ascii="宋体" w:eastAsia="宋体" w:cs="宋体"/>
                <w:kern w:val="2"/>
              </w:rPr>
            </w:pPr>
            <w:r>
              <w:rPr>
                <w:rFonts w:ascii="宋体" w:eastAsia="宋体" w:cs="宋体"/>
                <w:kern w:val="2"/>
              </w:rPr>
              <w:t>系统按照目标对接250家各类型企业的工作思路，预计每日增量数据在2000万条。</w:t>
            </w:r>
          </w:p>
          <w:p>
            <w:pPr>
              <w:spacing w:line="240" w:lineRule="auto"/>
              <w:ind w:firstLine="0"/>
              <w:rPr>
                <w:rFonts w:ascii="宋体" w:eastAsia="宋体" w:cs="宋体"/>
                <w:kern w:val="2"/>
              </w:rPr>
            </w:pPr>
            <w:r>
              <w:rPr>
                <w:rFonts w:ascii="宋体" w:eastAsia="宋体" w:cs="宋体"/>
                <w:kern w:val="2"/>
              </w:rPr>
              <w:t>九、系统整体部署架构</w:t>
            </w:r>
          </w:p>
          <w:p>
            <w:pPr>
              <w:spacing w:line="240" w:lineRule="auto"/>
              <w:ind w:firstLine="0"/>
              <w:rPr>
                <w:rFonts w:ascii="宋体" w:eastAsia="宋体" w:cs="宋体"/>
                <w:kern w:val="2"/>
              </w:rPr>
            </w:pPr>
            <w:r>
              <w:rPr>
                <w:rFonts w:ascii="宋体" w:eastAsia="宋体" w:cs="宋体"/>
                <w:kern w:val="2"/>
              </w:rPr>
              <w:t>整体平台需要分为三个网段应用：</w:t>
            </w:r>
          </w:p>
          <w:p>
            <w:pPr>
              <w:spacing w:line="240" w:lineRule="auto"/>
              <w:ind w:firstLine="0"/>
              <w:rPr>
                <w:rFonts w:ascii="宋体" w:eastAsia="宋体" w:cs="宋体"/>
                <w:kern w:val="2"/>
              </w:rPr>
            </w:pPr>
            <w:r>
              <w:rPr>
                <w:rFonts w:ascii="宋体" w:eastAsia="宋体" w:cs="宋体"/>
                <w:kern w:val="2"/>
              </w:rPr>
              <w:t>1、企业数据采集客户端应用，需要支持客户端的升级，支持企业有多个生产经营管理系统和不同数据库类型的情况。</w:t>
            </w:r>
          </w:p>
          <w:p>
            <w:pPr>
              <w:spacing w:line="240" w:lineRule="auto"/>
              <w:ind w:firstLine="0"/>
              <w:rPr>
                <w:rFonts w:ascii="宋体" w:eastAsia="宋体" w:cs="宋体"/>
                <w:kern w:val="2"/>
              </w:rPr>
            </w:pPr>
            <w:r>
              <w:rPr>
                <w:rFonts w:ascii="宋体" w:eastAsia="宋体" w:cs="宋体"/>
                <w:kern w:val="2"/>
              </w:rPr>
              <w:t>2、外网应用（电子口岸专网），需要采用B/S模式，基于J2EE标准，可实现集群和负载均衡，并支持主流中间件部署，并支持海关内部系统数据交互。</w:t>
            </w:r>
          </w:p>
          <w:p>
            <w:pPr>
              <w:spacing w:line="240" w:lineRule="auto"/>
              <w:ind w:firstLine="0"/>
              <w:rPr>
                <w:rFonts w:ascii="宋体" w:eastAsia="宋体" w:cs="宋体"/>
                <w:kern w:val="2"/>
              </w:rPr>
            </w:pPr>
            <w:r>
              <w:rPr>
                <w:rFonts w:ascii="宋体" w:eastAsia="宋体" w:cs="宋体"/>
                <w:kern w:val="2"/>
              </w:rPr>
              <w:t>3、内网应用（海关管理网），需要采用B/S模式，基于J2EE标准，可实现集群和负载均衡，并支持主流中间件部署，并支持海关内部系统数据交互。</w:t>
            </w:r>
          </w:p>
        </w:tc>
        <w:tc>
          <w:tcPr>
            <w:tcW w:w="1716" w:type="dxa"/>
            <w:vAlign w:val="center"/>
          </w:tcPr>
          <w:p>
            <w:pPr>
              <w:ind w:firstLine="0"/>
              <w:rPr>
                <w:rFonts w:ascii="宋体" w:eastAsia="宋体"/>
                <w:lang w:bidi="en-US"/>
              </w:rPr>
            </w:pPr>
            <w:r>
              <w:rPr>
                <w:rFonts w:eastAsia="宋体" w:hint="eastAsia"/>
              </w:rPr>
              <w:t>否</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625" w:type="dxa"/>
            <w:vAlign w:val="center"/>
          </w:tcPr>
          <w:p>
            <w:pPr>
              <w:ind w:firstLine="0"/>
              <w:jc w:val="center"/>
              <w:rPr>
                <w:rFonts w:ascii="宋体" w:eastAsia="宋体"/>
              </w:rPr>
            </w:pPr>
            <w:r>
              <w:rPr>
                <w:rFonts w:ascii="宋体" w:eastAsia="宋体" w:hint="eastAsia"/>
                <w:b/>
              </w:rPr>
              <w:t>3</w:t>
            </w:r>
          </w:p>
        </w:tc>
        <w:tc>
          <w:tcPr>
            <w:tcW w:w="1984" w:type="dxa"/>
            <w:vAlign w:val="center"/>
          </w:tcPr>
          <w:p>
            <w:pPr>
              <w:ind w:firstLine="0"/>
              <w:rPr>
                <w:rFonts w:ascii="宋体" w:eastAsia="宋体"/>
                <w:b/>
              </w:rPr>
            </w:pPr>
            <w:r>
              <w:rPr>
                <w:rFonts w:ascii="宋体" w:eastAsia="宋体" w:hint="eastAsia"/>
                <w:b/>
              </w:rPr>
              <w:t>系统需求</w:t>
            </w:r>
            <w:r>
              <w:rPr>
                <w:rFonts w:ascii="宋体" w:eastAsia="宋体" w:hint="eastAsia"/>
              </w:rPr>
              <w:t>▲</w:t>
            </w:r>
          </w:p>
        </w:tc>
        <w:tc>
          <w:tcPr>
            <w:tcW w:w="4197" w:type="dxa"/>
            <w:vAlign w:val="center"/>
          </w:tcPr>
          <w:p>
            <w:pPr>
              <w:ind w:firstLine="0"/>
              <w:rPr>
                <w:rFonts w:eastAsia="宋体"/>
                <w:lang w:bidi="en-US"/>
              </w:rPr>
            </w:pPr>
            <w:r>
              <w:rPr>
                <w:rFonts w:eastAsia="宋体"/>
                <w:lang w:bidi="en-US"/>
              </w:rPr>
              <w:t>一、内外网数据交互</w:t>
              <w:tab/>
            </w:r>
          </w:p>
          <w:p>
            <w:pPr>
              <w:ind w:firstLine="0"/>
              <w:rPr>
                <w:rFonts w:eastAsia="宋体"/>
                <w:lang w:bidi="en-US"/>
              </w:rPr>
            </w:pPr>
            <w:r>
              <w:rPr>
                <w:rFonts w:eastAsia="宋体"/>
                <w:lang w:bidi="en-US"/>
              </w:rPr>
              <w:t>1、客户端与外网服务端的交互需要使用https, 采用SSL安全认证；</w:t>
            </w:r>
          </w:p>
          <w:p>
            <w:pPr>
              <w:ind w:firstLine="0"/>
              <w:rPr>
                <w:rFonts w:eastAsia="宋体"/>
                <w:lang w:bidi="en-US"/>
              </w:rPr>
            </w:pPr>
            <w:r>
              <w:rPr>
                <w:rFonts w:eastAsia="宋体"/>
                <w:lang w:bidi="en-US"/>
              </w:rPr>
              <w:t>2、客户端与外网服务端的企业生产经营相关数据文件传输需要加密加签处理并使用电子口岸加密加签算法；</w:t>
            </w:r>
          </w:p>
          <w:p>
            <w:pPr>
              <w:ind w:firstLine="0"/>
              <w:rPr>
                <w:rFonts w:eastAsia="宋体"/>
                <w:lang w:bidi="en-US"/>
              </w:rPr>
            </w:pPr>
            <w:r>
              <w:rPr>
                <w:rFonts w:eastAsia="宋体"/>
                <w:lang w:bidi="en-US"/>
              </w:rPr>
              <w:t>3、服务端外网与内网应用交互，需要使用海关IBM-MQ、Nginx或其他海关指定的跨网消息交互方式。</w:t>
            </w:r>
          </w:p>
          <w:p>
            <w:pPr>
              <w:ind w:firstLine="0"/>
              <w:rPr>
                <w:rFonts w:eastAsia="宋体"/>
                <w:lang w:bidi="en-US"/>
              </w:rPr>
            </w:pPr>
            <w:r>
              <w:rPr>
                <w:rFonts w:eastAsia="宋体"/>
                <w:lang w:bidi="en-US"/>
              </w:rPr>
              <w:t>二、系统性能</w:t>
              <w:tab/>
            </w:r>
          </w:p>
          <w:p>
            <w:pPr>
              <w:ind w:firstLine="0"/>
              <w:rPr>
                <w:rFonts w:eastAsia="宋体"/>
                <w:lang w:bidi="en-US"/>
              </w:rPr>
            </w:pPr>
            <w:r>
              <w:rPr>
                <w:rFonts w:eastAsia="宋体"/>
                <w:lang w:bidi="en-US"/>
              </w:rPr>
              <w:t>1、系统响应时间要求：系统应具备快速响应的特性，用户打开界面和提交事务的平均响应时间低于5秒，用户进行在线实时查询业务操作的数据处理时间低于60秒响应；</w:t>
            </w:r>
          </w:p>
          <w:p>
            <w:pPr>
              <w:ind w:firstLine="0"/>
              <w:rPr>
                <w:rFonts w:eastAsia="宋体"/>
                <w:lang w:bidi="en-US"/>
              </w:rPr>
            </w:pPr>
            <w:r>
              <w:rPr>
                <w:rFonts w:eastAsia="宋体"/>
                <w:lang w:bidi="en-US"/>
              </w:rPr>
              <w:t>2、系统用户并发访问要求：系统应能满足现在项目业务场景的用户使用压力要求，内网需至少满足支持500人的用户访问请求，并在高峰时间可支持至少200人同时在线访问；外网需至少满足支持500人的用户访问请求，并在高峰时间可支持至少200人同时在线访问。</w:t>
            </w:r>
          </w:p>
          <w:p>
            <w:pPr>
              <w:ind w:firstLine="0"/>
              <w:rPr>
                <w:rFonts w:eastAsia="宋体"/>
                <w:lang w:bidi="en-US"/>
              </w:rPr>
            </w:pPr>
            <w:r>
              <w:rPr>
                <w:rFonts w:eastAsia="宋体"/>
                <w:lang w:bidi="en-US"/>
              </w:rPr>
              <w:t>3、系统数据处理能力要求：系统按照目标对接250家各类型企业的工作思路，预计每日增量数据在2000万条。</w:t>
            </w:r>
          </w:p>
          <w:p>
            <w:pPr>
              <w:ind w:firstLine="0"/>
              <w:rPr>
                <w:rFonts w:eastAsia="宋体"/>
                <w:lang w:bidi="en-US"/>
              </w:rPr>
            </w:pPr>
            <w:r>
              <w:rPr>
                <w:rFonts w:eastAsia="宋体"/>
                <w:lang w:bidi="en-US"/>
              </w:rPr>
              <w:t>三、系统运行环境</w:t>
              <w:tab/>
            </w:r>
          </w:p>
          <w:p>
            <w:pPr>
              <w:ind w:firstLine="0"/>
              <w:rPr>
                <w:rFonts w:eastAsia="宋体"/>
                <w:lang w:bidi="en-US"/>
              </w:rPr>
            </w:pPr>
            <w:r>
              <w:rPr>
                <w:rFonts w:eastAsia="宋体"/>
                <w:lang w:bidi="en-US"/>
              </w:rPr>
              <w:t>所有服务器运行环境不可使用公有云技术部署。开发后的程序需适配国产化硬件设备和软件环境。</w:t>
            </w:r>
          </w:p>
          <w:p>
            <w:pPr>
              <w:ind w:firstLine="0"/>
              <w:rPr>
                <w:rFonts w:eastAsia="宋体"/>
                <w:lang w:bidi="en-US"/>
              </w:rPr>
            </w:pPr>
            <w:r>
              <w:rPr>
                <w:rFonts w:eastAsia="宋体"/>
                <w:lang w:bidi="en-US"/>
              </w:rPr>
              <w:t>1、客户端运行环境</w:t>
            </w:r>
          </w:p>
          <w:p>
            <w:pPr>
              <w:ind w:firstLine="0"/>
              <w:rPr>
                <w:rFonts w:eastAsia="宋体"/>
                <w:lang w:bidi="en-US"/>
              </w:rPr>
            </w:pPr>
            <w:r>
              <w:rPr>
                <w:rFonts w:eastAsia="宋体"/>
                <w:lang w:bidi="en-US"/>
              </w:rPr>
              <w:t>客户端安装在企业终端设备上，设备操作系统需要为Windows 7及以上操作系统版本或Windows Server2000及以上操作系统版本。</w:t>
            </w:r>
          </w:p>
          <w:p>
            <w:pPr>
              <w:ind w:firstLine="0"/>
              <w:rPr>
                <w:rFonts w:eastAsia="宋体"/>
                <w:lang w:bidi="en-US"/>
              </w:rPr>
            </w:pPr>
            <w:r>
              <w:rPr>
                <w:rFonts w:eastAsia="宋体"/>
                <w:lang w:bidi="en-US"/>
              </w:rPr>
              <w:t>2、外网端应用运行环境</w:t>
            </w:r>
          </w:p>
          <w:p>
            <w:pPr>
              <w:ind w:firstLine="0"/>
              <w:rPr>
                <w:rFonts w:eastAsia="宋体"/>
                <w:lang w:bidi="en-US"/>
              </w:rPr>
            </w:pPr>
            <w:r>
              <w:rPr>
                <w:rFonts w:eastAsia="宋体"/>
                <w:lang w:bidi="en-US"/>
              </w:rPr>
              <w:t>应用服务器：支持Linux系列操作系统和Windows系列操作系统，支持部署反向代理中间件、应用服务中间件、数据库及其他应用运行环境。</w:t>
            </w:r>
          </w:p>
          <w:p>
            <w:pPr>
              <w:ind w:firstLine="0"/>
              <w:rPr>
                <w:rFonts w:eastAsia="宋体"/>
                <w:lang w:bidi="en-US"/>
              </w:rPr>
            </w:pPr>
            <w:r>
              <w:rPr>
                <w:rFonts w:eastAsia="宋体"/>
                <w:lang w:bidi="en-US"/>
              </w:rPr>
              <w:t>应用服务中间件：采用部署中间件 Tomcat，消息交互中间件IBM MQ或Ngnix或其他海关指定的跨网消息交互方式。</w:t>
            </w:r>
          </w:p>
          <w:p>
            <w:pPr>
              <w:ind w:firstLine="0"/>
              <w:rPr>
                <w:rFonts w:eastAsia="宋体"/>
                <w:lang w:bidi="en-US"/>
              </w:rPr>
            </w:pPr>
            <w:r>
              <w:rPr>
                <w:rFonts w:eastAsia="宋体"/>
                <w:lang w:bidi="en-US"/>
              </w:rPr>
              <w:t>数据库系统：使用Oracle 11G及以上版本数据库，采用RAC集群模式部署；使用达梦数据库。</w:t>
            </w:r>
          </w:p>
          <w:p>
            <w:pPr>
              <w:ind w:firstLine="0"/>
              <w:rPr>
                <w:rFonts w:eastAsia="宋体"/>
                <w:lang w:bidi="en-US"/>
              </w:rPr>
            </w:pPr>
            <w:r>
              <w:rPr>
                <w:rFonts w:eastAsia="宋体"/>
                <w:lang w:bidi="en-US"/>
              </w:rPr>
              <w:t>3、内网端应用运行环境</w:t>
            </w:r>
          </w:p>
          <w:p>
            <w:pPr>
              <w:ind w:firstLine="0"/>
              <w:rPr>
                <w:rFonts w:eastAsia="宋体"/>
                <w:lang w:bidi="en-US"/>
              </w:rPr>
            </w:pPr>
            <w:r>
              <w:rPr>
                <w:rFonts w:eastAsia="宋体"/>
                <w:lang w:bidi="en-US"/>
              </w:rPr>
              <w:t>应用服务器：Linux、新增模块需支持国产银河麒麟操作系统，支持部署反向代理中间件、应用服务中间件、数据库及其他应用运行环境。</w:t>
            </w:r>
          </w:p>
          <w:p>
            <w:pPr>
              <w:ind w:firstLine="0"/>
              <w:rPr>
                <w:rFonts w:eastAsia="宋体"/>
                <w:lang w:bidi="en-US"/>
              </w:rPr>
            </w:pPr>
            <w:r>
              <w:rPr>
                <w:rFonts w:eastAsia="宋体"/>
                <w:lang w:bidi="en-US"/>
              </w:rPr>
              <w:t>应用服务中间件：采用Tomcat作为应用中间件。内外网消息交互中间件IBM MQ或Ngnix或其他海关指定的跨网消息交互方式。</w:t>
            </w:r>
          </w:p>
          <w:p>
            <w:pPr>
              <w:ind w:firstLine="0"/>
              <w:rPr>
                <w:rFonts w:eastAsia="宋体"/>
                <w:lang w:bidi="en-US"/>
              </w:rPr>
            </w:pPr>
            <w:r>
              <w:rPr>
                <w:rFonts w:eastAsia="宋体"/>
                <w:lang w:bidi="en-US"/>
              </w:rPr>
              <w:t>数据库系统：使用Oracle 12C数据库，采用RAC集群模式部署。使用高斯或其他国产化数据库。共享数据池使用GBase 8a数据库。</w:t>
            </w:r>
          </w:p>
          <w:p>
            <w:pPr>
              <w:ind w:firstLine="0"/>
              <w:rPr>
                <w:rFonts w:eastAsia="宋体"/>
                <w:lang w:bidi="en-US"/>
              </w:rPr>
            </w:pPr>
            <w:r>
              <w:rPr>
                <w:rFonts w:eastAsia="宋体"/>
                <w:lang w:bidi="en-US"/>
              </w:rPr>
              <w:t>四、企业采数技术方案</w:t>
            </w:r>
          </w:p>
          <w:p>
            <w:pPr>
              <w:ind w:firstLine="0"/>
              <w:rPr>
                <w:rFonts w:eastAsia="宋体"/>
                <w:lang w:bidi="en-US"/>
              </w:rPr>
            </w:pPr>
            <w:r>
              <w:rPr>
                <w:rFonts w:eastAsia="宋体"/>
                <w:lang w:bidi="en-US"/>
              </w:rPr>
              <w:t>1、制定企业采数重采切换方案：在按表采集的方式基础上增加按指定记录采集，需包括150家存量客户端切换方案。充分考虑对于定时周期性下发、临时立刻下发、质量检查异常修复后的企业数据采集任务之间的优先级、调度顺序、触发方式的衔接、回调任务与原任务的关联追溯等事项的梳理。</w:t>
            </w:r>
          </w:p>
          <w:p>
            <w:pPr>
              <w:ind w:firstLine="0"/>
              <w:rPr>
                <w:rFonts w:eastAsia="宋体"/>
                <w:lang w:bidi="en-US"/>
              </w:rPr>
            </w:pPr>
            <w:r>
              <w:rPr>
                <w:rFonts w:eastAsia="宋体"/>
                <w:lang w:bidi="en-US"/>
              </w:rPr>
              <w:t>2、充分考虑定时采集、异常重采的各种情况，制定自动采集批处理流程。</w:t>
            </w:r>
          </w:p>
          <w:p>
            <w:pPr>
              <w:ind w:firstLine="0"/>
              <w:rPr>
                <w:rFonts w:eastAsia="宋体"/>
                <w:lang w:bidi="en-US"/>
              </w:rPr>
            </w:pPr>
            <w:r>
              <w:rPr>
                <w:rFonts w:eastAsia="宋体"/>
                <w:lang w:bidi="en-US"/>
              </w:rPr>
              <w:t>五、数据兼容技术方案</w:t>
            </w:r>
          </w:p>
          <w:p>
            <w:pPr>
              <w:ind w:firstLine="0"/>
              <w:rPr>
                <w:rFonts w:eastAsia="宋体"/>
                <w:lang w:bidi="en-US"/>
              </w:rPr>
            </w:pPr>
            <w:r>
              <w:rPr>
                <w:rFonts w:eastAsia="宋体"/>
                <w:lang w:bidi="en-US"/>
              </w:rPr>
              <w:t>分析新旧标准表、新采集和存量数据的关联关系，提供相应技术方案以满足存量功能及新开发功能的数据展示与使用需求。</w:t>
            </w:r>
          </w:p>
          <w:p>
            <w:pPr>
              <w:ind w:firstLine="0"/>
              <w:rPr>
                <w:rFonts w:eastAsia="宋体"/>
                <w:lang w:bidi="en-US"/>
              </w:rPr>
            </w:pPr>
            <w:r>
              <w:rPr>
                <w:rFonts w:eastAsia="宋体"/>
                <w:lang w:bidi="en-US"/>
              </w:rPr>
              <w:t>六、数据分层技术方案</w:t>
            </w:r>
          </w:p>
          <w:p>
            <w:pPr>
              <w:ind w:firstLine="0"/>
              <w:rPr>
                <w:rFonts w:eastAsia="宋体"/>
                <w:lang w:bidi="en-US"/>
              </w:rPr>
            </w:pPr>
            <w:r>
              <w:rPr>
                <w:rFonts w:eastAsia="宋体"/>
                <w:lang w:bidi="en-US"/>
              </w:rPr>
              <w:t>需提供可以满足数据一致性和质量保证的分层方案，同时方案要满足数据处理和查询效率问题，以及对于复杂业务场景的使用需求。</w:t>
            </w:r>
          </w:p>
          <w:p>
            <w:pPr>
              <w:ind w:firstLine="0"/>
              <w:rPr>
                <w:rFonts w:eastAsia="宋体"/>
                <w:lang w:bidi="en-US"/>
              </w:rPr>
            </w:pPr>
            <w:r>
              <w:rPr>
                <w:rFonts w:eastAsia="宋体"/>
                <w:lang w:bidi="en-US"/>
              </w:rPr>
              <w:t>对不同业务主题域、数据性质、数据存储的指标、以及指标间的关联查询进行分析，提出指标结果层技术方案。</w:t>
            </w:r>
          </w:p>
        </w:tc>
        <w:tc>
          <w:tcPr>
            <w:tcW w:w="1716" w:type="dxa"/>
            <w:vAlign w:val="center"/>
          </w:tcPr>
          <w:p>
            <w:pPr>
              <w:ind w:firstLine="0"/>
              <w:rPr>
                <w:rFonts w:ascii="宋体" w:eastAsia="宋体"/>
                <w:lang w:bidi="en-US"/>
              </w:rPr>
            </w:pPr>
            <w:r>
              <w:rPr>
                <w:rFonts w:eastAsia="宋体" w:hint="eastAsia"/>
              </w:rPr>
              <w:t>否</w:t>
            </w:r>
          </w:p>
        </w:tc>
      </w:tr>
    </w:tbl>
    <w:p>
      <w:pPr>
        <w:rPr>
          <w:rFonts w:ascii="宋体" w:eastAsia="宋体"/>
        </w:rPr>
      </w:pPr>
    </w:p>
    <w:p>
      <w:pPr>
        <w:pStyle w:val="Heading2"/>
        <w:numPr>
          <w:ilvl w:val="0"/>
          <w:numId w:val="2"/>
        </w:numPr>
        <w:rPr>
          <w:rFonts w:ascii="宋体" w:eastAsia="宋体" w:hint="eastAsia"/>
        </w:rPr>
      </w:pPr>
      <w:bookmarkStart w:id="47" w:name="货物或服务指标要求"/>
      <w:r>
        <w:rPr>
          <w:rFonts w:ascii="宋体" w:eastAsia="宋体" w:hint="eastAsia"/>
        </w:rPr>
        <w:t>货物或服务指标要求</w:t>
      </w:r>
      <w:bookmarkEnd w:id="47"/>
    </w:p>
    <w:p>
      <w:pPr>
        <w:rPr>
          <w:rFonts w:ascii="宋体" w:eastAsia="宋体"/>
        </w:rPr>
      </w:pPr>
      <w:r>
        <w:rPr>
          <w:rFonts w:ascii="宋体" w:eastAsia="宋体" w:hint="eastAsia"/>
        </w:rPr>
        <w:t>参数指标要求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840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5"/>
        <w:gridCol w:w="709"/>
        <w:gridCol w:w="2443"/>
        <w:gridCol w:w="3562"/>
        <w:gridCol w:w="1011"/>
      </w:tblGrid>
      <w:tr>
        <w:tblPrEx>
          <w:tblW w:w="840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675" w:type="dxa"/>
            <w:tcBorders>
              <w:top w:val="single" w:sz="4" w:space="0" w:color="auto"/>
              <w:left w:val="single" w:sz="4" w:space="0" w:color="auto"/>
              <w:bottom w:val="single" w:sz="4" w:space="0" w:color="auto"/>
              <w:right w:val="single" w:sz="4" w:space="0" w:color="auto"/>
            </w:tcBorders>
            <w:shd w:val="clear" w:color="auto" w:fill="A6A6A6"/>
          </w:tcPr>
          <w:p>
            <w:pPr>
              <w:ind w:firstLine="0"/>
            </w:pPr>
            <w:r>
              <w:rPr>
                <w:rFonts w:hint="eastAsia"/>
              </w:rPr>
              <w:t>序号</w:t>
            </w:r>
          </w:p>
        </w:tc>
        <w:tc>
          <w:tcPr>
            <w:tcW w:w="709" w:type="dxa"/>
            <w:tcBorders>
              <w:top w:val="single" w:sz="4" w:space="0" w:color="auto"/>
              <w:left w:val="single" w:sz="4" w:space="0" w:color="auto"/>
              <w:bottom w:val="single" w:sz="4" w:space="0" w:color="auto"/>
              <w:right w:val="single" w:sz="4" w:space="0" w:color="auto"/>
            </w:tcBorders>
            <w:shd w:val="clear" w:color="auto" w:fill="A6A6A6"/>
          </w:tcPr>
          <w:p>
            <w:pPr>
              <w:ind w:firstLine="0"/>
            </w:pPr>
            <w:r>
              <w:rPr>
                <w:rFonts w:hint="eastAsia"/>
              </w:rPr>
              <w:t>重要性</w:t>
            </w:r>
          </w:p>
        </w:tc>
        <w:tc>
          <w:tcPr>
            <w:tcW w:w="2443" w:type="dxa"/>
            <w:tcBorders>
              <w:top w:val="single" w:sz="4" w:space="0" w:color="auto"/>
              <w:left w:val="single" w:sz="4" w:space="0" w:color="auto"/>
              <w:bottom w:val="single" w:sz="4" w:space="0" w:color="auto"/>
              <w:right w:val="single" w:sz="4" w:space="0" w:color="auto"/>
            </w:tcBorders>
            <w:shd w:val="clear" w:color="auto" w:fill="A6A6A6"/>
          </w:tcPr>
          <w:p>
            <w:pPr>
              <w:ind w:firstLine="0"/>
            </w:pPr>
            <w:r>
              <w:rPr>
                <w:rFonts w:hint="eastAsia"/>
              </w:rPr>
              <w:t>指标项</w:t>
            </w:r>
          </w:p>
        </w:tc>
        <w:tc>
          <w:tcPr>
            <w:tcW w:w="3562" w:type="dxa"/>
            <w:tcBorders>
              <w:top w:val="single" w:sz="4" w:space="0" w:color="auto"/>
              <w:left w:val="single" w:sz="4" w:space="0" w:color="auto"/>
              <w:bottom w:val="single" w:sz="4" w:space="0" w:color="auto"/>
              <w:right w:val="single" w:sz="4" w:space="0" w:color="auto"/>
            </w:tcBorders>
            <w:shd w:val="clear" w:color="auto" w:fill="A6A6A6"/>
          </w:tcPr>
          <w:p>
            <w:pPr>
              <w:ind w:firstLine="0"/>
              <w:jc w:val="left"/>
            </w:pPr>
            <w:r>
              <w:rPr>
                <w:rFonts w:hint="eastAsia"/>
              </w:rPr>
              <w:t>指标要求</w:t>
            </w:r>
          </w:p>
        </w:tc>
        <w:tc>
          <w:tcPr>
            <w:tcW w:w="1011" w:type="dxa"/>
            <w:tcBorders>
              <w:top w:val="single" w:sz="4" w:space="0" w:color="auto"/>
              <w:left w:val="single" w:sz="4" w:space="0" w:color="auto"/>
              <w:bottom w:val="single" w:sz="4" w:space="0" w:color="auto"/>
              <w:right w:val="single" w:sz="4" w:space="0" w:color="auto"/>
            </w:tcBorders>
            <w:shd w:val="clear" w:color="auto" w:fill="A6A6A6"/>
          </w:tcPr>
          <w:p>
            <w:pPr>
              <w:ind w:firstLine="0"/>
            </w:pPr>
            <w:r>
              <w:rPr>
                <w:rFonts w:hint="eastAsia"/>
              </w:rPr>
              <w:t>证明材料要求</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升级企业数据采集模块-客户端支持新标准表数据采集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rFonts w:eastAsia="宋体"/>
              </w:rPr>
            </w:pPr>
            <w:r>
              <w:rPr>
                <w:rFonts w:hint="eastAsia"/>
              </w:rPr>
              <w:t>客户端需要适应企业如下四种情况：</w:t>
            </w:r>
          </w:p>
          <w:p>
            <w:pPr>
              <w:ind w:firstLine="0"/>
              <w:jc w:val="left"/>
              <w:rPr>
                <w:rFonts w:eastAsia="宋体"/>
              </w:rPr>
            </w:pPr>
            <w:r>
              <w:rPr>
                <w:rFonts w:hint="eastAsia"/>
              </w:rPr>
              <w:t>1)企业升级到新客户端，采用新标准表，提供数据标识且数据标识是唯一的。在企业原有仅支持加工贸易、保税仓储、税收征管业务领域的标准表基础上，升级为支持加工贸易、保税仓储、税收征管、一般贸易制造、科创、动植检疫、食品安全、商品检验、卫生检疫等业务多领域标准表，以适应对一家企业同时存在加贸、一般贸易、科创等多种业务辅助监管需求，数据采集模块功能改造。</w:t>
              <w:br/>
              <w:t>2)现有存量企业升级到新客户端，使用旧标准表，可以提供数据标识且可以标识数据是唯一的。</w:t>
              <w:br/>
              <w:t>3)现有存量企业升级到使用旧标准表，可升级客户端但无法提供数据唯一标识，由系统统一采用联合组件方式生成数据标识。</w:t>
              <w:br/>
              <w:t>4)存量未做升级客户端企业。</w:t>
              <w:br/>
              <w:t>主要内容包括：</w:t>
              <w:br/>
              <w:t>1）电子口岸专网：支持新标准表“定期采集任务”、“立即采集任务”、增加采集进度查询、新增“异常数据采集任务”类型、支持新标准表“异常数据采集任务”进度查询、支持新标准表“异常数据采集任务”采集数据的接收和传输</w:t>
              <w:br/>
              <w:t>2）客户端-支持新标准表“定期采集任务”及“立即采集任务”、缓存数据库增加新标准表、支持新标准表“采集脚本”从企业获取数据、采集数据增加全局唯一标识、增加新标准表采集任务日志、增加新标准表采集任务日志、支持新标准表“异常数据采集任务”、缓存数据库增加“异常数据清单”、支持新标准表“异常采集脚本”从企业获取数据、支持模拟异常采集服务、支持异常数据验证服务、增加新标准表异常采集任务日志。其中客户端增加采集数据记录全局唯一标识，客户端采集每家企业的每条采集数据可以生成采集库全局唯一的数据标识，用于判断采集数据唯一性。</w:t>
              <w:br/>
              <w:t>3）海关业务网-新增海关数据库新标准表、采集任务数据入库支持新标准表、新增完成数据采集通知数据治理模块开展工作、数据库支持异常数据采集任务入库、支持异常数据采集任务通知数据治理模块开展工作。</w:t>
            </w:r>
          </w:p>
        </w:tc>
        <w:tc>
          <w:tcPr>
            <w:tcW w:w="1011" w:type="dxa"/>
            <w:tcBorders>
              <w:top w:val="single" w:sz="4" w:space="0" w:color="auto"/>
              <w:left w:val="single" w:sz="4" w:space="0" w:color="auto"/>
              <w:bottom w:val="single" w:sz="4" w:space="0" w:color="auto"/>
              <w:right w:val="single" w:sz="4" w:space="0" w:color="auto"/>
            </w:tcBorders>
          </w:tcPr>
          <w:p>
            <w:pPr>
              <w:ind w:firstLine="0"/>
            </w:pPr>
          </w:p>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升级企业数据采集模块-客户端支持升级后旧标准表数据采集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针对目前存量企业采用升级后的旧标准表，企业数据采集客户端和海关业务网服务端相关功能升级，主要内容包括：</w:t>
              <w:br/>
              <w:t>1）客户端-原有旧标准表“定期采集脚本”升级，按照在原有旧标准配置脚本文件增加“数据唯一标识”，客户端可以通过升级后的定期采集标准配置文件从ERP中按照升级后的标准表格式要求获取数据。</w:t>
              <w:br/>
              <w:t>2）在缓存数据库中旧标准表新增数据唯一标识，可以支持客户端采集旧标准表数据。</w:t>
              <w:br/>
              <w:t>3）将旧标准配置脚本文件，升级后客户端可以通过升级后采集标准配置文件从ERP中按照升级后的标准表文件格式要求获取数据。数据采集标准表包括：ERP对接标准表、WMS对接标准表，其中ERP对接标准表26张，WMS对接标准表11张，采集标准表结合海关业务需要适时调整。</w:t>
              <w:br/>
              <w:t>4）客户端增加采集数据记录全局唯一标识，客户端采集每家企业的每条采集数据可以生成采集库全局唯一的数据标识，用于判断采集数据唯一性。</w:t>
              <w:br/>
              <w:t>5）客户端支持服务端获取异常数据采集任务，根据任务客户端从企业ERP系统中指定存在异常数据标准表，立即获取当天的更新数据。</w:t>
              <w:br/>
              <w:t>6）电子口岸专网-新增“异常数据采集”任务类型。</w:t>
              <w:br/>
              <w:t>7）海关业务网-海关数据库旧标准表升级，需要在海关数据库中升级旧标准表，增加海关业务网-采集任务数据入库支持新标准表。需将旧标准表新增数据标识，旧数据采集标准表包括：加工贸易：22张表、税收征管：9张、一般贸易制造：11张、仓储管理：11张。需要在海关数据库中升级旧标准表，增加海关业务网-采集任务数据入库支持新标准表。</w:t>
              <w:br/>
              <w:t>8）海关业务网-旧标准表完成数据采集后通知数据治理模块开展工作，旧标准表支持异常数据采集任务入库，旧标准的异常数据采集任务通知数据治理模块开展工作</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升级企业数据采集模块-客户端支持现有客户的旧标准表数据采集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针对存量未升级旧标准表的企业，主要内容包括：</w:t>
              <w:br/>
              <w:t>当平台上线后存量企业采集数据入库时自动增加数据标识，采用“业务单据编号”+“项次号”+“业务时间”（开发前结合海关业务实际微调，如果没有则只采用业务单据编号）。</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升级企业数据采集模块-采购第三方供应商数据</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由于海关辅助监管业务需要向第三方供应商采购数据，数据类型为工商数据、司法数据，提供最多300家企业、24个月每月1次获取一次数据。</w:t>
              <w:br/>
              <w:t>1.采购工商数据为 最多300家企业、24个月每月1次获取一次数据，数据覆盖企业基本信息、股东以及出资信息、主要管理人员信息等多张数据表。具体内容包括：企业基本信息、非企业的组织部门明细、股东及出资信息、主要管理人员信息、法定代表人对外投资信息、法定代表人其他公司任职信息、企业对外投资信息、企业历史变更信息、清算信息、行政处罚历史信息、经营异常名录记录、失信被执行人信息、被执行人信息、股权出质历史信息、动产抵押、动产抵押物信息、股权冻结历史信息</w:t>
              <w:br/>
              <w:t>2.司法数据为最多250家企业，24个月每月1次获取一次数据，具体数据内容包括：司法诉讼汇总信息、司法诉讼汇明细信。</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升级企业数据采集模块-升级第三方数据对接</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原有第三方数据是在电子口岸专网获取第三方数据，同步传输至海关业务网中，入库到工商或司法数据库中，本次对接升级功能包括：</w:t>
              <w:br/>
              <w:t>1、供应商采购的数据需要更换新数据接口，完成传输并入库；需要按照第三方新提供工商数据接口、第三方新提供工商数据接口重新进行对接，由于接口发现变化，数据字段发生增减，需要根据新字段重新对接、数据传入海关业务网、数据入库等全流程修改、联调、测试工作。</w:t>
              <w:br/>
              <w:t>2、原有第三方数据对接日志仅记录调用日志，只记录日期、企业名称、数据类型、状态和入库信息5个字段，本次升级第三方数据对接日志可以查看调用详情信息，便于问题排查。</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升级企业数据采集模块-新增前海联合交易中心数据对接</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前海联合交易中心对接是本次新增需求。</w:t>
              <w:br/>
              <w:t>企业数据采集模块通过电子口岸专网服务端对接前海联合交易中心获取“保税库货物明细与状态”、“交易及交收结算单”、“出库指令”数据，将获取数据通过电子口岸专网分批传入海关业务网，海关业务网服务端完成数据接收后统一入库至海关数据库。</w:t>
              <w:br/>
              <w:t>具体对接功能如下：</w:t>
              <w:br/>
              <w:t>1）“保税库货物明细与状态”数据对接：海关数据库建立“保税库货物明细与状态”数据表，获取“保税库货物明细与状态”数据，将获取的“税库货物明细与状态”数据从电子口岸专网分批推送至海关业务网。提供保税库货物明细与状态数据接收功能，完成数据接收后，系统自动将全部数据入库到海关数据库对应数据表中。</w:t>
              <w:br/>
              <w:t>2）对接前海联合交易所提供“交易及交收结算单”数据接口，获取前海联合交易所交易及交收结算数据，数据包括：成交日期/签订日期、合同编号、交收地、卖方名称、买方名称、产地、成交数量、单位、成交金额（元）、成交价格、实际交收数量、实际交收金额（元）、税率、商品名称、确定价信息表、费用信息表、资金收付信息表、交收信息（线上交收）表、交收信息（线下交收）表。</w:t>
              <w:br/>
              <w:t>3）“出库指令”数据对接：对接前海联合交易所提供“出库指令”数据接口，服务每隔X分获取“交易及交收结算单”，将获取的“出库指令”从电子口岸专网分批推送至海关业务网。提供出库指令数据接收功能，完成数据接收后，系统自动将数据入库到海关数据库中。</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升级企业数据采集模块-升级采集数据的整合处理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系统升级完成后，在一段时间内，会同时存在多种数据上报情况：新对接标准，（客户端）升级完成的已对接企业、等待（客户端）升级的已对接企业。客户端上报的数据文件会同时存在多种格式，因此数据批处理程序需要进行升级改造，以适应数据文件多种格式并存的情况；在数据展示功能及后续数据应用功能上，需要进行数据的兼容性适配及“整合”。新旧客户端并行采集数据，并且需要兼容存量采集数据，因此需要进行如下数据升级，主要包括：</w:t>
              <w:br/>
              <w:t>1、数据批处理程序针对企业数据文件进行智能化识别处理。数据批处理程序在进行数据文件解析入库时，需要对数据文件类型（新对接标准、以增加数据标识的原对接标准、原对接标准等格式）进行识别并应用对应的入库策略，并需要对于对接升级改造未完成的企业数据文件应用默认的标识生成策略，填充缺失的数据标识值。</w:t>
              <w:br/>
              <w:t>2、已对接企业数据于新对接标准的数据标准化整合。通过原有标准向新对接标准的映射适配规则，数据批处理程序将已对接企业的原始数据映射适配至37张新标准表，用于后续的数据治理。</w:t>
              <w:br/>
              <w:t>3、系统兼容处理。通过建立视图、数据同步等方式，持续进行系统兼容处理，避免升级改造数据结构变更引起的程序缺陷。</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升级企业数据采集模块-升级本系统数据上传总署“互联网+稽核查”系统功能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本次新增“任务管理”相关功能，供负责数据对接人员通过界面可视化配置，完成新对接企业的数据同步总署“互联网+稽核查”系统功能。</w:t>
              <w:br/>
              <w:t>具体功能包括：</w:t>
              <w:br/>
              <w:t>1、修改原固定时间触发任务方式，调整为当每家企业的采集数据完成数据治理后，系统可以自动生成数据同步总署的待上传任务；</w:t>
              <w:br/>
              <w:t>2、新增“任务查询”功能，用户可以查看任务执行状态。</w:t>
              <w:br/>
              <w:t>3、新增“查看日志”，用户可以查看每个任务的执行日志详情。</w:t>
              <w:br/>
              <w:t>4、根据新标准表，系统可以支持从治理后的新标准表数据获取所需数据。修改原有数据获取路径，由原旧标准表调整为数据治理后的37张标准表，系统支持从“数据治理后的新标准表”中获取数据。</w:t>
              <w:br/>
              <w:t>5、将“新标准表数据”映射总署标准表，实现新数据上传总署。</w:t>
              <w:br/>
              <w:t>6、新增“数据切片上传”功能。修改原有数据上传方式，新增企业数据分批切片上传功能，可以根据海关要求配置上传切片的数据量，分批进行数据上传操作。</w:t>
              <w:br/>
              <w:t>7、新增“自动记录上传日志”功能</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升级企业数据采集模块-新增企业数据专网入库功能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1.开发企业采集数据专网入库程序。目标对接250家，预计每天处理的入库数据量约3500-5000万条。</w:t>
              <w:br/>
              <w:t>2.根据入库情况形成入库日志，支持其他系统采集日志数据。</w:t>
              <w:br/>
              <w:t>3.当平台上线后存量企业，存量企业采用数据入库时自动增加数据标识，采用“业务单据编号”+“项次号”（如果没有则只采用业务单据编号）。</w:t>
              <w:br/>
              <w:t xml:space="preserve">4.开发检控结果报文处理器，用于接收业务网网段数据治理监控模块的数据检控结果。根据检控结果，对已入库数据进行质量标记的批处理。  </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10</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pPr>
            <w:r>
              <w:rPr>
                <w:rFonts w:hint="eastAsia"/>
              </w:rPr>
              <w:t>升级企业数据采集模块-存量约150家企业对接升级</w:t>
            </w:r>
          </w:p>
          <w:p>
            <w:pPr>
              <w:ind w:firstLine="0"/>
              <w:rPr>
                <w:lang w:bidi="en-US"/>
              </w:rPr>
            </w:pP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已对接企业接的旧标准表，目前旧标准表情况：加工贸易：22张表；税收征管：9张；一般贸易制造：11张；仓储管理：11张，对于存量的150家企业需要完成如下步骤：</w:t>
              <w:br/>
              <w:t>1.客户端升级：(1)重新安装客户端：检查安装客户端安装情况（包括客户端的激活）；(2)重新生成旧标准表（增加数据标识字段）脚本并在客户端执行。</w:t>
              <w:br/>
              <w:t>2.新增数据标识</w:t>
              <w:br/>
              <w:t>3.异常数据处理</w:t>
              <w:br/>
              <w:t>4.对于每家企业每张标准表进行配置异常采数任务；</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11</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升级数据采集监控模块-运维端_新增数据采集总览</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增数据采集监控整体性指标，每天凌晨定时统计T-1日数据，界面展示T-1日统计数据。用户可以通过“数据采集总览”界面全面掌握企业数据采集和异常监控统计数据，并通过采集趋势分析功能了解数据采集和异常趋势变化情况。</w:t>
              <w:br/>
              <w:t>具体内容如下：</w:t>
              <w:br/>
              <w:t>1.整体状况统计数据处理：包括企业总数，新增企业数，采集企业数，各业务领域采集企业数（按照13个业务细分类型中每个业务类型所映射的企业采集数据表进行数据筛选，筛选存在数据采集记录的企业），采集数据量，各业务领域采集数据量（需要分别按照13个业务领域中每个业务领域分别映射的企业采集数据表进行数据筛选，筛选存在数据采集记录的数据表），企业近30天平均采集数据量，各业务领域近30天平均采集数据量。</w:t>
              <w:br/>
              <w:t>2.异常状况统计处理，系统每天定时计算异常状况，统计指标包括：当日需采集企业数、当日采集成功企业数、当日采集失败企业数、当日客户端异常企业数、当日客户端采集异常企业数、当日数据入库异常企业数、当日质量异常企业总数、当日预警级质量异常企业数、近30天需采集企业数、近30天采集成功企业数、近30天采集失败记录企业数、近30天客户端异常企业数、近30天客户端采集异常企业数、近30天数据入库异常企业数、近30天质量异常企业总数、近30天预警级质量异常企业数。</w:t>
              <w:br/>
              <w:t>3.新增“整体状况”功能展示界面，可查看采集整体状况，统计指标包括：数据采集整体情况、业务领域采集情况、近期数据采集情况、最新数据采集异常整体情况、近期数据采集异常情况。</w:t>
              <w:br/>
              <w:t>4.采集趋势分析，通过折线趋势图展示各种采集趋势状态，横轴为时间（日或月），纵轴为指标值，具体包括：采集企业数月趋势分析、各业务领域采集企业数月趋势分析、采集企业数日趋势分析、各业务领域采集企业日趋势分析、采集数据量月趋势分析、各业务领域采集数据量月趋势分析、采集数据量日趋势分析、各业务领域采集数据量日趋势分析、近30天平均采集数据量日趋势分析、各业务领域近30天平均采集数据量日趋势分析。</w:t>
              <w:br/>
              <w:t>5.采集异常趋势分析，通过折线趋势图展示各种采集异常趋势状态，横轴为时间（日或月），纵轴为指标值，具体包括：每日需采集企业数趋势分析、每日采集成功企业趋势分析、每日采集失败企业趋势分析、每日客户端异常企业数趋势分析、每日客户端采集异常企业数趋势分析、每日数据入库异常企业数趋势分析、每日质量异常企业数趋势分析、每日预警级质量异常企业数趋势分析。6.推送数据采集总览数据，系统每天自动将数据采集总览更新数据推送至海关业务网。</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12</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升级数据采集监控模块-运维端_升级企业数据采集监控</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原有系统只提供基于单一采集任务批次的采集明细情况监控，本次改造为基于企业维度的采集状况监控，可以更加全面直观和全面掌握企业每天的详细采集情况。企业数据采集监控用于运维人员查看具体企业的数据采集状况，包括企业采集数据质量监控功能，具体包括：1.企业采集状况，支持通过统一社会信用代码、企业名称、时间、采集状态、数据质量异常等级等过滤条件、展示指定时间段内每天需采集企业清单记录，包括：统一社会信用代码、企业名称、任务下达时间、采集状态、质量异常数、预警级质量异常数等。</w:t>
              <w:br/>
              <w:t>2.企业数据采集数据统计处理，每天定期统计企业的数据采集统计指标，具体包括：当日采集批次数、当日采集成功批次数、当日采集成功批次数、当日采集记录数、当日质量检查记录数、当日质量检查异常记录数、当日企业采集重点数据表采集成功记录数、当日批次需采集数据表数、当日批次采集数据表数、当日批次采集记录数、当日批次每张表采集成功记录数、当日批次数据质量检查记录数、当日批次数据质量检查异常记录数、当日批次预警级数据质量异常字段数。</w:t>
              <w:br/>
              <w:t>3.企业数据最新采集整体状况展示：点击企业可以查看具体每家企业当前最新统计时间的当日采集批次数、当日采集成功批次数、当日采集记录数、是否存在采集异常。</w:t>
              <w:br/>
              <w:t>4.采集企业趋势分析，通过“趋势分析”功能界面查看指定企业的采集异常整体状况，横轴为时间（日），纵轴为指标值，趋势分析包括：采集状态日趋势分析、采集成功记录日趋势分析、企业采集重点数据表采集成功记录数日趋势分析、数据质量检查记录数日趋势分析、数据质量检查异常日趋势分析。5.采集企业数据详情，通过“详情”功能界面查看指定企业的采集具体采集状况，具体包括：企业采集批次详情、采集数据详情、客户端异常详情、采集异常详情、入库异常详情、数据质量情况、数据质量异常。6.推送企业数据采集监控数据：系统每天将企业数据采集监控更新数据推送至海关业务网。</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13</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升级数据采集监控模块-运维端_升级采集企业管理功能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采集企业管理功能升级主要包括：1、新增业务领域以及每个业务领域对应的数据采集标准表映射关系。需要预设13个业务领域数据，以及每个业务领域对应的数据采集标准表映射关系，包括：ERP对接标准表、WMS对接标准表，其中ERP对接标准表26张，WMS对接标准表11张，结合海关业务需要适时调整。2、新增运维小组、企业采集标准配置等功能以及企业管理功能升级。运维用户可以选择某一企业展示所有业务领域预设所需采集的标准表以及对应字段合集。可以自动解析当前企业的数据采集配置文件，展示针对每张字段当前企业是否需要采集。</w:t>
              <w:br/>
              <w:t>3、企业数据推送至关企交互企业移动端以及业务应用模块。在监控模块企业管理中完成企业基础数据修改后，服务自动将企业数据推送至“业务应用模块”以及“关企交互企业移动端”，推送数据表包括：企业唯一标识、统一社会信用代码、企业名称、、隶属海关业务领域、经纬度。</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14</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升级数据采集监控模块-运维端_新增数据质量检查管理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rFonts w:eastAsia="宋体"/>
              </w:rPr>
            </w:pPr>
            <w:r>
              <w:rPr>
                <w:rFonts w:hint="eastAsia"/>
              </w:rPr>
              <w:t>在数据采集监控模块新增“数据质量检查管理”功能，部署在电子口岸专网。运维人员可以在默认质量检查规则模版的基础上，在质量检查配置针对每家企业进行规则启用/停用，实现个性化质量检查设置。设置完成后，系统将企业修改后的质量规则自动推送到海关业务网中的数据治理监控模块中。当企业数据采集完成后通知数据治理监控模块开展数据质量检查工作，具体数据质量检查功能和规则描述详见数据治理平监控模块。当数据治理监控完成质量检查后，将质量检查结果数据同步到电子口岸专网数据采集监控模块中展示相应指标和明细结果。</w:t>
              <w:br/>
              <w:t>1.预设质量检查规则：需要在数据库中根据13个业务领域对应每张标准表，针对每个业务领域预设相应的质量检查规则模版。</w:t>
            </w:r>
          </w:p>
          <w:p>
            <w:pPr>
              <w:ind w:firstLine="0"/>
              <w:jc w:val="left"/>
              <w:rPr>
                <w:rFonts w:eastAsia="宋体"/>
              </w:rPr>
            </w:pPr>
            <w:r>
              <w:rPr>
                <w:rFonts w:hint="eastAsia"/>
              </w:rPr>
              <w:t>2.查询质量检查规则模版：通过“业务领域”清单查看各业务领域标准表默认质量检查字段以及检查规则。</w:t>
            </w:r>
          </w:p>
          <w:p>
            <w:pPr>
              <w:ind w:firstLine="0"/>
              <w:jc w:val="left"/>
              <w:rPr>
                <w:rFonts w:eastAsia="宋体"/>
              </w:rPr>
            </w:pPr>
            <w:r>
              <w:rPr>
                <w:rFonts w:hint="eastAsia"/>
              </w:rPr>
              <w:t>3.企业质量检查配置：选择某一企业进行企业质量检查配置，界面展示企业所需采集表的全部所需的企业质量检查字段，用户可选择支持每个字段是否启用质量检查。</w:t>
            </w:r>
          </w:p>
          <w:p>
            <w:pPr>
              <w:ind w:firstLine="0"/>
              <w:jc w:val="left"/>
              <w:rPr>
                <w:lang w:bidi="en-US"/>
              </w:rPr>
            </w:pPr>
            <w:r>
              <w:rPr>
                <w:rFonts w:hint="eastAsia"/>
              </w:rPr>
              <w:t>4.质量检查支撑服务：当企业质量检查被修改后，自动将修改后结果推送至数据治理监控模块。当数据治理监控模块完成质量检查后，数据采集监控模块可接收数据治理监控模块推送的质量检查结果数据。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15</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升级数据采集监控模块-运维端_新增数据采集异常处理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eastAsia="宋体" w:hint="eastAsia"/>
              </w:rPr>
              <w:t xml:space="preserve">    </w:t>
            </w:r>
            <w:r>
              <w:rPr>
                <w:rFonts w:hint="eastAsia"/>
              </w:rPr>
              <w:t xml:space="preserve">新增“数据采集异常处理”功能，面向运维用户。 </w:t>
              <w:br/>
              <w:t>首先，由运维人员根据预设的异常处理模版，可以设置每家企业每个类型的异常是否触发异常处理任务以及对应处理用户类型。其次，当出现采集异常时，系统根据企业配置自动触发异常处理任务，运维用户收到任务后，处理完成后在系统反馈处理状态。1.预设采集异常处理模版：需要预设采集异常处理模版，根据不同类型异常设置2.企业采集异常配置：可以根据企业设置4种异常类型是否启用异常处理流程</w:t>
              <w:br/>
              <w:t>3.在企业采集异常配置增加“是否允许企业触发数据重采”参数设置。4.系统自动触发异常处理任务：系统根据企业采集异常通知设置，企业每个批次采集执行完成后存在每种类型的异常，自动触发一条异常处理任务。5.系统自动检查历史数据质量异常数据是否更新，自动触发异常处理任务</w:t>
            </w:r>
            <w:r>
              <w:rPr>
                <w:rFonts w:ascii="宋体" w:eastAsia="宋体" w:hint="eastAsia"/>
              </w:rPr>
              <w:t>。</w:t>
            </w:r>
            <w:r>
              <w:rPr>
                <w:rFonts w:hint="eastAsia"/>
              </w:rPr>
              <w:t>6.异常处理任务管理</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16</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升级数据采集监控模块-运维端_新增知识库管理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增“知识库”功能，运维人员在知识库管理功能发布的知识库内容，提升企业问题解决能力。1.运维人员可以管理知识库，包括：知识库分类管理、内容新增、修改、删除、上架、下架等操作。2.列表展示知识库信息包括：标题、摘要信息和发布日期，按照发布日期最近记录倒序。</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17</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升级数据采集监控模块-运维端_升级数据采集批量查询</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1.“采集批次”查询</w:t>
              <w:br/>
              <w:t>支持按照统一社会信用代码、企业名称、时间、批次号、异常等级等过滤查询企业采集批次记录，包括：统一社会信用代码、企业名称、批次号、任务下达时间、采集状态、预警级质量异常数。</w:t>
              <w:br/>
              <w:t>2.“客户端异常”查询</w:t>
              <w:br/>
              <w:t>支持按照统一社会信用代码、企业名称、时间过滤查询客户端异常记录，包括：统一社会信用代码、企业名称、异常开始时间、异常接收时间、异常原因。3.“采集异常”查询</w:t>
              <w:br/>
              <w:t>支持按照统一社会信用代码、企业名称、时间、批次号过滤查询支持采集异常记录，包括：统一社会信用代码、企业名称、异常开始时间、异常接收时间、异常原因。</w:t>
              <w:br/>
              <w:t>4.“入库异常”查询</w:t>
              <w:br/>
              <w:t>支持按照统一社会信用代码、企业名称、时间、批次号过滤查询入库异常记录，包括：统一社会信用代码、企业名称、异常开始时间、异常接收时间、异常原因。</w:t>
              <w:br/>
              <w:t>5.“质量异常”查询</w:t>
              <w:br/>
              <w:t>支持按照统一社会信用代码、企业名称、时间、批次号、质量异常等级等过滤查询质量异常记录，包括：统一社会信用代码、企业名称、批次号、表、字段、记录唯一标识、异常原因、等级。</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18</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升级数据采集监控模块-运维端_升级“用户权限”管理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1.用户增加运维小组字段</w:t>
              <w:br/>
              <w:t>运维用户增加运维小组字段，用户查询、新增、编辑、查看详情界面增加运维小组字段。</w:t>
              <w:br/>
              <w:t>2.运维用户数据隔离</w:t>
              <w:br/>
              <w:t>运维用户登录采集运维端时，当运维用户隶属某个运维小组时，企业采集监控、企业管理等界面，只显示属于该运维小组的企业。新增、编辑企业界面中运维小组只允许选择当前运维小组。3.运维端升级权限配置功能针对运维端新增功能模块增加使用权限控制，对功能模块入口、菜单分别设置权限点。</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升级数据采集监控模块-运维端_新增日志查询</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新增下列日志查询功能：</w:t>
              <w:br/>
              <w:t>1.查询“推送企业质量检查设置”日志支持通过日期查询推送企业质量检查设置日志，显示信息包括：统一社会信用代码、企业名称、操作时间。</w:t>
              <w:br/>
              <w:t>2.查询“接收质量检查结果”日志</w:t>
              <w:br/>
              <w:t>支持通过统一社会信用代码、日期查询接收企业质量检查数据日志，显示信息包括：统一社会信用代码、企业名称、操作时间。</w:t>
              <w:br/>
              <w:t>3.查询“推送企业数据”日志</w:t>
              <w:br/>
              <w:t>支持通过统一社会信用代码、日期查询推送企业数据日志，显示信息包括：统一社会信用代码、企业名称、推送系统名称、操作时间。</w:t>
              <w:br/>
              <w:t>4.查询“推送企业数据监控数据”日志</w:t>
              <w:br/>
              <w:t>支持通过统一社会信用代码、日期查询推送企业数据日志，显示信息包括：统一社会信用代码、企业名称、推送系统名称、操作时间。</w:t>
              <w:br/>
              <w:t>5.查询“同步异常处理任务”日志</w:t>
              <w:br/>
              <w:t>支持通过日期查询同步异常处理任务日志，显示信息包括：统一社会信用代码、企业名称、推送系统名称、操作时间。</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20</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升级数据采集监控模块-企业端_新增企业端模块</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原有数据采集监控模块部署在电子口岸专网面向运维人员，下面简称运维端。在原来只有运维端的基础上，在企业端采数客户端增加“数据采集监控模块”企业端安全访问入口</w:t>
              <w:br/>
              <w:t>企业用户点击装在企业里的采数客户端（PC程序）中“数据采集监控”的入口，通过打开浏览器实现安全访问当前企业的“数据采集监控”功能界面。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21</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升级数据采集监控模块-企业端_新增查看当前企业数据采集监控</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面向企业用户，提供客户端访问的企业用户，可以查看当前企业维度的采集状况监控，可以更加全面直观和全面掌握当前企业每天的详细采集情况。</w:t>
              <w:br/>
              <w:t>企业数据采集监控用于查看具体企业的数据采集状况，包括企业采集数据质量监控功能，</w:t>
              <w:br/>
              <w:t>具体包括：</w:t>
              <w:br/>
              <w:t>1.企业采集状况：支持通过统一社会信用代码、企业名称、时间、采集状态、数据质量异常等级等过滤条件、展示指定时间段内每天需采集企业清单记录。</w:t>
              <w:br/>
              <w:t>2.企业数据采集统计处理，每天定期统计指定企业的数据采集统计指标，具体包括：当日采集批次数、当日采集成功批次数、当日采集记录数、当日质量检查记录数、当日质量检查异常记录数、当日企业采集重点数据表采集成功记录数、当日批次需采集数据表数、当日批次采集数据表数、当日批次采集记录数、当日批次每张表采集成功记录数、当日批次数据质量检查记录数、当日批次数据质量检查异常记录数、当日批次预警级数据质量异常字段数。</w:t>
              <w:br/>
              <w:t>3.企业数据最新采集整体状况展示：展示企业当前最新统计时间的当日采集批次数、当日采集成功批次数、当日采集记录数、是否存在采集异常。</w:t>
              <w:br/>
              <w:t>4.采集企业趋势分析</w:t>
              <w:br/>
              <w:t>通过“趋势分析”功能界面查看指定企业的采集异常整体状况，横轴为时间（日），纵轴为指标值，趋势分析包括：采集状态日趋势分析、采集成功记录日趋势分析、企业采集重点数据表采集成功记录数日趋势分析、数据质量检查记录数日趋势分析、数据质量检查异常日趋势分析。</w:t>
              <w:br/>
              <w:t>5.采集企业数据详情，通过“详情”功能界面查看指定企业的采集具体采集状况，具体包括：企业采集批次详情、采集数据详情、客户端异常详情、采集异常详情、入库异常详情、数据质量情况、数据质量异常。</w:t>
              <w:br/>
              <w:t>6.推送企业数据监控数据：当企业数据监控服务完成企业数据监控统计后，服务将监控数据推送至海关业务网。</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22</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升级数据采集监控模块-企业端_新增数据采集异常处理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新增“数据采集异常处理”功能，面向企业用户，企业可以受理系统推送至企业的采集异常任务。</w:t>
              <w:br/>
              <w:t>1.异常处理任务管理</w:t>
              <w:br/>
              <w:t>2.新标准表异常采集</w:t>
              <w:br/>
              <w:t>采用新标准表采集标准的企业，当收到异常处理任务时，可以在任务当天，完成异常处理任务后（状态为已完成），可以在任务界面点击“重新采集”发起当天“异常数据”重新采集请求。</w:t>
              <w:br/>
              <w:t>3.旧标准表异常采集</w:t>
              <w:br/>
              <w:t>采用旧标准表的存量企业升级到新客户端后，当收到异常处理任务时，可以在任务当天，完成异常处理任务后（状态为已完成），可以在任务界面点击“重新采集”发起当天“异常数据”重新采集请求。</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23</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升级数据采集监控模块-企业端_新增知识库栏目</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新增“知识库”功能，企业可查看发布的知识库内容，提升问题解决能力。</w:t>
              <w:br/>
              <w:t>1.列表展示</w:t>
              <w:br/>
              <w:t>列表展示知识库信息包括：标题、摘要信息和发布日期，按照发布日期最近记录倒序。</w:t>
              <w:br/>
              <w:t>2.分类过滤</w:t>
              <w:br/>
              <w:t>点击分类展示隶属该分类下的内容记录列表，列表信息包括：标题、摘要信息和发布日期，按照发布日期最近记录倒序。</w:t>
              <w:br/>
              <w:t>3.关键字搜索</w:t>
              <w:br/>
              <w:t>支持用户输入关键字，按照内容名称进行搜索，返回包含该关键字信息对内容列表，列表信息包括：标题、摘要信息和发布日期，按照发布日期最近记录倒序。</w:t>
              <w:br/>
              <w:t>4.内容详情</w:t>
              <w:br/>
              <w:t>用户点击一条展示内容详情，包括：标题、发布部门、发布日期、文本内容。</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24</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升级数据采集监控模块-海关端_接收数据采集监控数据</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海关端部署在海关业务内网，用于处理从在电子口岸专网传入的数据采集监控数据，无用户操作界面，主要包括：</w:t>
              <w:br/>
              <w:t xml:space="preserve">1.提供数据采集总览数据接口 </w:t>
              <w:br/>
              <w:t>在海关端提供数据采集总览数据接口，用于接收数据采集监控总览数据，完成数据接收后，系统自动将数据入库到海关数据库中，用于智能化联网管理驾驶仓。</w:t>
              <w:br/>
              <w:t xml:space="preserve">2.提供企业数据采集明细数据接口 </w:t>
              <w:br/>
              <w:t>在海关端提供数据采集明细数据接口，用于接收数据采集监控明细总数据，完成数据接收后，系统自动将数据入库到海关数据库中存档。</w:t>
              <w:br/>
              <w:t xml:space="preserve">3.海关端提供接收异常处理事项接口 </w:t>
              <w:br/>
              <w:t>海关端提供异常处理事项接收接口，用于接收异常处理事项明细数据，完成数据接收后，系统自动将数据入库到海关数据库中存档。</w:t>
              <w:br/>
              <w:t>4.海关数据库建立数据采集总览数据表</w:t>
              <w:br/>
              <w:t>数据总览数据表包括：整体状况8个指标数据以及16个异常处理指标数据，需要在海关数据库中建立一套全新数据表进行存储。</w:t>
              <w:br/>
              <w:t>5.海关数据库建立企业数据采集明细数据表</w:t>
              <w:br/>
              <w:t>数据采集明细数据表包括：13个企业数据采集指标数据，需要在海关数据库中建立一套全新数据表进行存储。</w:t>
              <w:br/>
              <w:t>6.海关数据库建立异常处理事项表</w:t>
              <w:br/>
              <w:t>异常处理事件数据表包括：待处理、已处理等全部异常清单记录以及详细记录，需要在海关数据库中建立一套全新数据表进行存储。</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25</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新建数据治理监控模块-企业数据标准管理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数据标准是数据规范、数据质量的基础，制定标准落地执行，是海关提高企业数据标准化程度的保障，是数据治理的前提。</w:t>
              <w:br/>
              <w:t>目前海关相关系统建设人员及运维人员没有一个可以遵循的统一标准规范，容易出现数据库、表、字段、索引等元数据[1]定义时不规范的问题，例如有些表中的字段英文名使用了数据库关键字导致调用报错等。</w:t>
              <w:br/>
              <w:t>需建设数据标准管理模块，首先需基于深圳海关相关业务场景梳理并制定统一的标准规范（下文统称“海关的标准规范”），在此基础上，建设符合海关数据标准规范落地的数据标准规范管理、标准用语管理、标准检测等功能实现数据标准的维护管理等功能模块，为后续数仓建设标准和元数据检测是否符合标准做好准备。</w:t>
              <w:br/>
              <w:t>1.标准规范管理</w:t>
              <w:br/>
              <w:t>针对海关本次项目计划采集的37张采集标准表，平均一张表30个字段，在数据库中创建这些信息之前，需进行业务需求调研，再根据调研结果建立统一的数据标准，规范每张表和每个字段以及对应的数据库定义规范的名称、长度和约束，避免“同词不同意，同意不同词”的问题。需定制化建设标准规范管理模块，功能层面需包含内置标准规范和展示、自定义约束规则、支持扩展标准规范。</w:t>
              <w:br/>
              <w:t>2.标准用语管理</w:t>
              <w:br/>
              <w:t>基于海关的标准规范，为保证后续易维护性及可扩展性，需要定制化建设支持手工配置的标准用语功能。标准用语主要需对数据库中字段定义标准，通过定义字段的英文名、中文名、类型、长度、精度、值域（数据取值范围）、约束、业务定义、样例数据、描述等确保每个字段的数据在不同系统、模块和组织之间能够有效地流转、共享和理解。例如对采购订单表、收货单表、物料商品入库等采集表中的企业统一社会信用代码字段定义统一的标准用语。</w:t>
              <w:br/>
              <w:t>3.值域管理</w:t>
              <w:br/>
              <w:t>基于海关的标准规范，需定制化建设值域管理功能，要求该功能支持手工配置维护。该功能针对企业数据表中某些字段的取值范围（如采购订单表中业务模式字段要求“1-单抬头；2-双抬头”，物料商品入库表中入库类型字段要求1-保税海外进口物料入库；2-深加工结转物料入库；3-边角料入库；4-残次品入库等），提供维护功能保障值域的统一管理，并为标准用语提供值域选择</w:t>
              <w:br/>
              <w:t>4.标准文档管理</w:t>
              <w:br/>
              <w:t>为统一管理海关线下的标准文档，需定制化建设标准文档管理功能，作为在标准用语和值域管理外补充，通过直接上传文档的形式，方便海关内部相关人员进行查询和查阅。</w:t>
              <w:br/>
              <w:t>5.标准检测</w:t>
              <w:br/>
              <w:t>海关的标准规范制定并落地后，需根据海关标准规范定制化建设标准检测的功能，为了保障后续业务的可扩展性，该功能需支持人工配置，包括灵活选择需要检测的目标数据即对应的标准等。主要功能为：标准检测将元数据的名称、类型、长度等信息和标准用语进行检测，自动发现与标准不符合的字段，通过标准检测，可以了解元数据与标准的匹配情况，为后续的标准落地提供修改依据。</w:t>
              <w:br/>
              <w:t>6.分布分析</w:t>
              <w:br/>
              <w:t>为方便海关业务及运维人员全面了解或汇报数据标准对应的元数据与标准检测的情况，需定制化建设标准分布分析功能，支持按数据库/Schema统计元数据个数和标准数。</w:t>
              <w:br/>
              <w:t>7.标准总览</w:t>
              <w:br/>
              <w:t>为了便于业务和运维了解海关当前的已创建的标准数以及标准的使用情况，需定制化建设标准总览模块，以图表可视化方式呈现标准统计数据，便于业务和运维了解海关当前的已创建的标准数以及标准的使用情况。内容包括但不限于标准用语和使用率、值域和使用率、标准目录和使用率、数据标准和数据趋势图、标准检测情况统计5大版块</w:t>
              <w:br/>
              <w:t>8.数据库类型配置</w:t>
              <w:br/>
              <w:t>目前，深圳海关相关业务系统主要使用GBase 8a、Gauss两类数据库，为了便于后续维护，不同的数据库类型会对应不同的字段类型，数据库类型作为常用的元数据，需定制化建设数据库类型配置模块，内置数据库类型和字段类型，并支持自定义维护数据库字段类型，提供给标准用语、数据模型等模块调用。</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26</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新建数据治理监控模块-业数据存储管理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为了提升海关运维人员数据库管理及维护的效率，需对数据仓库进行分层改造的同时将数据仓库的管理在线化、可视化，便于直观了解底层数据库和运维情况。</w:t>
              <w:br/>
              <w:t>需提供数据库连接管理、数据模型管理、元数据管理等功能，并提供数仓分层设计、数据仓库建设实施服务。</w:t>
              <w:br/>
              <w:t>1.数据库连接管理</w:t>
              <w:br/>
              <w:t>目前数据库都在数据库管理客户端中进行管理，为实现海关数据仓库的在线管理，并支持系统和客户端的通信和数据交互，需定制化建设数据库连接管理模块，支持连接项目中已使用的GBase、Gauss、Oracle数据库类型，同时支持扩展接入其他数据源。</w:t>
              <w:br/>
              <w:t>数据库连接也为后续的数据模型管理、元数据管理、质量检测等模块提供数据源头。</w:t>
              <w:br/>
              <w:t>2.需定制化建设数据模型管理功能，在已连接数据库的前提下，实现在线维护数据模型，基于数仓分层设计，将37张企业采集表按照标准规范、标准用语设计数据模型，并最终在数据库中实现数据库、表、字段、索引、关系、分区等元数据的定义，功能要求如下：</w:t>
              <w:br/>
              <w:t>（1）支持新建、编辑、查看、删除模型，模型包含表的基本信息、字段信息、索引信息、表之间关系信息、分区信息等；</w:t>
              <w:br/>
              <w:t>（2）支持按权限分配管理数仓，降低数据库数据安全风险。</w:t>
              <w:br/>
              <w:t>3.数据仓库建设</w:t>
              <w:br/>
              <w:t>按照海关数据仓库分层设计原则及相关要求，企业采集的原始数据入库到GBase数据库，作为原始数据层（STG层）存储，技术人员需另外定制化建设数据仓库其他层，包括操作数据层（ODS层）和已治理数据层（DWD层）。</w:t>
              <w:br/>
              <w:t>4.元数据管理</w:t>
              <w:br/>
              <w:t>元数据是数据治理的基础组成部分，是获取和理解数据的桥梁，为数据质量检测和数据共享的前提。数据质量检测模块需先获取到元数据中表、字段信息，再配置质量检测规则，才能执行对应数据的质量检测任务。</w:t>
              <w:br/>
              <w:t>目前数据库中的元数据在数据库管理客户端中进行管理，海关业务部门需要查询或进行系统数据对接时需运维人员登录客户端进行查询，缺少一个可视化查看数据库中元数据的看板。需定制化建设元数据管理模块，提供元数据的定义、存储、查询及维护等功能，以利于发现与定位信息资源、管理与整合信息资源，改进系统有效存储、检索和移动数据的能力。</w:t>
              <w:br/>
              <w:t>通过元数据“采集—&gt;检测—&gt;生成目录—&gt;统计”的闭环实现对海关业务网数据仓库各层数据源的元数据进行统一管理，包括表的基本信息、字段信息、索引信息、分区信息等。</w:t>
              <w:br/>
              <w:t>5.数据集成入库</w:t>
              <w:br/>
              <w:t>鉴于海关每天产生的数据量大，为满足海关每天数GB的企业数据及时从原始数据库加载至操作层数据库、已治理层数据库，需定制化建设数据入库模块，要求该模块具备以下能力：</w:t>
              <w:br/>
              <w:t>异构数据源数据采集及入库能力，即从GBase采集数据，入库至Gauss数据库；从Gauss数据库采集数据，入库至GBase数据库；</w:t>
              <w:br/>
              <w:t>1）数据入库管理</w:t>
              <w:br/>
              <w:t>数据入库管理模块为海关运维人员提供一个“可视化”数据入库工具，需内置常用的数据处理组件（不低于100+），并支持拖拽组件的方式快速配置数据入库任务和作业，实现数据从原始数据层到操作数据层再到已治理数据层的数据校验和入库管理，提升数据处理效率。</w:t>
              <w:br/>
              <w:t>2）每日企业采集的数据传输到海关业务网，解析入库到GBase数据库后，应及时入库至操作层数据库（高斯数据库），方便及时进行数据治理。</w:t>
              <w:br/>
              <w:t>涉及表：详见37张企业采集标准表。</w:t>
              <w:br/>
              <w:t>涉及字段：超800个字段。</w:t>
              <w:br/>
              <w:t>3）已治理数据层数据入库</w:t>
              <w:br/>
              <w:t>操作层的数据经过数据治理后，质量合格的数据入库至已治理层（GBase数据库），供海关业务系统使用。</w:t>
              <w:br/>
              <w:t>涉及表：详见37张企业采集标准表。</w:t>
              <w:br/>
              <w:t>涉及字段：超800个字段。</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27</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新建数据治理监控模块-企业数据质量检测</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因需对海关内网数据质量从产生、采集、检测、维护全流程监控，为业务提供准确、一致和及时数据，需建设数据质量检测功能，支持全面的数据质量报告，对关键业务数据的质量情况进行全方位把控；支持快速定位数据质量问题影响范围，降低由数据问题带来的影响。</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28</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新建数据治理监控模块-企业数据质量反馈</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为了持续改善海关相关数据质量，若数据质量检测发现异常数据，需通过系统及时通知到企业相关责任人进行数据整改并重新采集。</w:t>
              <w:br/>
              <w:t>1.企业异常数据存储</w:t>
              <w:br/>
              <w:t xml:space="preserve"> 将企业检测的异常数据定制化统一存储在数据库中，需存储内容包括企业名称、企业类型、表名称、字段名称、数据类型、数据异常类型、数据异常描述、异常上报时间。</w:t>
              <w:br/>
              <w:t>2.检测结果反馈接口开发</w:t>
              <w:br/>
              <w:t>为将企业数据质量异常信息通过接口推送到数据采集监控模块，进而通知到企业整改，需定制化建设检测结果反馈接口。</w:t>
              <w:br/>
              <w:t>接口类型：http接口</w:t>
              <w:br/>
              <w:t>数据传输方向：海关业务网--&gt;电子口岸专网</w:t>
              <w:br/>
              <w:t>数据发送方：数据治理监控模块</w:t>
              <w:br/>
              <w:t>数据接收方：数据采集监控模块</w:t>
              <w:br/>
              <w:t xml:space="preserve">3.质量检测结果反馈 </w:t>
              <w:br/>
              <w:t>海关的质量检测作业检测到某企业数据质量异常需反馈给企业，需定制化建设质量检测结果反馈功能，程序自动调用上述接口通知到数据采集监控模块，通知内容包括：企业名称、企业类型、表名称、字段名称、数据类型、数据异常类型、数据异常描述、异常上报时间。并记录异常数据状态：“已通知企业”。</w:t>
              <w:br/>
              <w:t>若通知数据采集监控模块异常，采取“指数退避”策略的重试机制，失败后间隔5秒、10秒、20秒、40秒、80秒共5次重试。若某次重试成功，结束；若5次重试均不成功，记录不成功信息，作为线下沟通依据。</w:t>
              <w:br/>
              <w:t>4.重采的数据重新检测</w:t>
              <w:br/>
              <w:t>企业异常数据经过整改重新采集后，需定制化建设接口通知数据治理模块进行重新质量检测。</w:t>
              <w:br/>
              <w:t>5.异常数据处理状态查询</w:t>
              <w:br/>
              <w:t>为便于海关运维人员查看异常数据的处理状态，定制化建设企业异常数据查询页面，展示信息包括时间、企业名称、表名称、字段名称、异常信息、当前处理状态（已通知企业/企业已处理）。可按时间段、企业名称、表名称、处理状态等条件进行过滤查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29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新建数据治理监控模块-企业数据治理成效综合展示</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为了能快速且全面了解数据治理的成效，需定制化建设企业数据治理成效综合展示功能，对企业数据及质量相关数据进行综合统计与展示。内容需包含元数据数量、标准数量、质量规则数量、数据源总量、数据采集总量、问题数据总量、质量规则执行次数、今日质量问题数、累计质量问题数、数据质量Top5、维度问题数量统计、本期质量问题数、去年同期质量问题数、上期质量问题数、质量问题本期同比增幅、质量问题本期环比增幅、本期质量问题率、去年同期质量问题率、上期质量问题率、质量问题本期同比增幅、质量问题本期环比增幅、问题趋势。</w:t>
              <w:br/>
              <w:t>1.数据统计：统计数据治理成效核心指标。包括：元数据数量、标准数量、质量规则数量、数据源数据总量、数据采集总量、问题数据总量、数据清洗总量、质量规则执行次数、今日质量问题数、累计质量问题数、数据质量TOP5、维度问题数量统计、本期质量问题数、去年同期质量问题数、上期质量问题数、质量问题数本期同比增幅、质量问题数本期环比增幅、本期质量问题率、去年同期质量问题率、上期质量问题率、质量问题率本期同比增幅、质量问题率本期环比增幅、问题趋势、</w:t>
              <w:br/>
              <w:t>2.指标展示：为海关管理人员能直观查看数据治理成效，将上述指标以图表形式定制化直观展示。整个展示界面分为顶部、左侧、右侧、中部、底部共五个区域。其中中部自动轮转展示每个企业的核心指标，其他区域涉及企业维度的数据指标随企业的轮转而变化。</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30</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新建数据治理监控模块-权限控制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海关数据是高度敏感的内容，数据治理过程需要加强权限管控，具体要求如下：</w:t>
              <w:br/>
              <w:t>（1）数据治理监控模块应用功能使用权限控制</w:t>
              <w:br/>
              <w:t>对功能模块入口、菜单及按钮（“增”、“删”、“改”、“查”、“执行”）分别设置权限控制点；模块权限配置包括数据治理子模块、数据集成子模块；菜单需支持各级菜单及菜单内的操作进行权限配置，预计菜单约60多个，菜单内的操作大致分为“增”、“删”、“改”、“查”、“执行”、“检测”、“切换”等几类操作。</w:t>
              <w:br/>
              <w:t>（2）数据查询范围控制</w:t>
              <w:br/>
              <w:t>数据治理监控模块应用功能根据用户所在的不同部门，对用户的数据查询范围进行控制，实现系统应用数据隔离。</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31</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pPr>
            <w:r>
              <w:rPr>
                <w:rFonts w:hint="eastAsia"/>
              </w:rPr>
              <w:t>数据治理监控质量检测</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rFonts w:eastAsia="宋体"/>
              </w:rPr>
            </w:pPr>
            <w:r>
              <w:rPr>
                <w:rFonts w:hint="eastAsia"/>
              </w:rPr>
              <w:t>1、投标人应梳理9大业务领域不同标准表不同字段的质量检测规则。</w:t>
            </w:r>
          </w:p>
        </w:tc>
        <w:tc>
          <w:tcPr>
            <w:tcW w:w="1011" w:type="dxa"/>
            <w:tcBorders>
              <w:top w:val="single" w:sz="4" w:space="0" w:color="auto"/>
              <w:left w:val="single" w:sz="4" w:space="0" w:color="auto"/>
              <w:bottom w:val="single" w:sz="4" w:space="0" w:color="auto"/>
              <w:right w:val="single" w:sz="4" w:space="0" w:color="auto"/>
            </w:tcBorders>
          </w:tcPr>
          <w:p>
            <w:pPr>
              <w:ind w:firstLine="0"/>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32</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pPr>
            <w:r>
              <w:rPr>
                <w:rFonts w:hint="eastAsia"/>
              </w:rPr>
              <w:t>数据采集、传输、入库、治理及异常处理全流程</w:t>
            </w:r>
          </w:p>
        </w:tc>
        <w:tc>
          <w:tcPr>
            <w:tcW w:w="3562" w:type="dxa"/>
            <w:tcBorders>
              <w:top w:val="single" w:sz="4" w:space="0" w:color="auto"/>
              <w:left w:val="single" w:sz="4" w:space="0" w:color="auto"/>
              <w:bottom w:val="single" w:sz="4" w:space="0" w:color="auto"/>
              <w:right w:val="single" w:sz="4" w:space="0" w:color="auto"/>
            </w:tcBorders>
          </w:tcPr>
          <w:p>
            <w:pPr>
              <w:ind w:firstLine="0"/>
              <w:jc w:val="left"/>
            </w:pPr>
            <w:r>
              <w:rPr>
                <w:rFonts w:hint="eastAsia"/>
              </w:rPr>
              <w:t>投标人应通过对项目需求进行深化分析，清晰准确识别出数据采集、监控、治理的升级需求，能够梳理出数据采集、传输、入库、治理及异常处理全流程，能够用清晰文字描述流程情况。</w:t>
            </w:r>
          </w:p>
        </w:tc>
        <w:tc>
          <w:tcPr>
            <w:tcW w:w="1011" w:type="dxa"/>
            <w:tcBorders>
              <w:top w:val="single" w:sz="4" w:space="0" w:color="auto"/>
              <w:left w:val="single" w:sz="4" w:space="0" w:color="auto"/>
              <w:bottom w:val="single" w:sz="4" w:space="0" w:color="auto"/>
              <w:right w:val="single" w:sz="4" w:space="0" w:color="auto"/>
            </w:tcBorders>
          </w:tcPr>
          <w:p>
            <w:pPr>
              <w:ind w:firstLine="0"/>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33</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升级业务应用需求-升级后续监管业务辅助应用-新建企业管理功能-企业信息一键采集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新建企业信息一键采集功能，可针对单个企业发起信息采集任务，采用从关企交互企业端收集的信息，自动形成报告。</w:t>
            </w:r>
          </w:p>
          <w:p>
            <w:pPr>
              <w:ind w:firstLine="0"/>
              <w:jc w:val="left"/>
            </w:pPr>
            <w:r>
              <w:rPr>
                <w:rFonts w:hint="eastAsia"/>
              </w:rPr>
              <w:t>企业列表。支持查询已对接企业列表，列表信息包括企业海关编码、企业名称、主管海关等。</w:t>
            </w:r>
          </w:p>
          <w:p>
            <w:pPr>
              <w:ind w:firstLine="0"/>
              <w:jc w:val="left"/>
            </w:pPr>
            <w:r>
              <w:rPr>
                <w:rFonts w:hint="eastAsia"/>
              </w:rPr>
              <w:t>采集记录列表。支持查询所选企业的采集记录列表，列表信息包括报告日期、采集人员等。</w:t>
            </w:r>
          </w:p>
          <w:p>
            <w:pPr>
              <w:ind w:firstLine="0"/>
              <w:jc w:val="left"/>
            </w:pPr>
            <w:r>
              <w:rPr>
                <w:rFonts w:hint="eastAsia"/>
              </w:rPr>
              <w:t>新增报告。1）支持对工商信息进行自动比对及手动修改，判断法人代表、经营地址、经营范围等是否一致；2）支持进行活跃度判断，系统根据指标结果及预定规则，自动生成活跃度结果并支持手动修改。活跃度指标包括生产型3个月是否有开新的工单，贸易型3个月是否有新的订单；3个月内是否有报关单；3）支持定位信息展示及修改；4）支持暂存报告；5）支持根据自动生成及手动修改后的结果生产报告。</w:t>
            </w:r>
          </w:p>
          <w:p>
            <w:pPr>
              <w:ind w:firstLine="0"/>
              <w:jc w:val="left"/>
              <w:rPr>
                <w:lang w:bidi="en-US"/>
              </w:rPr>
            </w:pPr>
            <w:r>
              <w:rPr>
                <w:rFonts w:hint="eastAsia"/>
              </w:rPr>
              <w:t>报告查询。支持查询已生成的正报告。</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34</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升级业务应用需求-升级后续监管业务辅助应用-新建企业管理功能-合规管理建议对企推送</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新建合规管理建议对企推动功能，由系统自动生成合规管理建议指标，推送至关企交互企业端。</w:t>
            </w:r>
          </w:p>
          <w:p>
            <w:pPr>
              <w:ind w:firstLine="0"/>
              <w:jc w:val="left"/>
            </w:pPr>
            <w:r>
              <w:rPr>
                <w:rFonts w:hint="eastAsia"/>
              </w:rPr>
              <w:t>深加工结转转入申报提示指标：关联加工贸易企业物料/商品入库表及物料对应关系表数据，比对上个月深加工结转转入核注清单与上个月及上上个月物料入库记录，对有入库但无关联核注清单的入库记录进行标识。</w:t>
            </w:r>
          </w:p>
          <w:p>
            <w:pPr>
              <w:ind w:firstLine="0"/>
              <w:jc w:val="left"/>
            </w:pPr>
            <w:r>
              <w:rPr>
                <w:rFonts w:hint="eastAsia"/>
              </w:rPr>
              <w:t>深加工结转转出申报提示指标：关联加工贸易企业成品/商品出库表及成品对应关系表数据，比对上个月深加工结转转出核注清单与上个月及上上个月成品出库记录，对申报但无出库记录的核注清单记录进行标识。</w:t>
            </w:r>
          </w:p>
          <w:p>
            <w:pPr>
              <w:ind w:firstLine="0"/>
              <w:jc w:val="left"/>
            </w:pPr>
            <w:r>
              <w:rPr>
                <w:rFonts w:hint="eastAsia"/>
              </w:rPr>
              <w:t>外发加工备案提示指标：筛选加工贸易企业外发加工出库表记录，关联物料归并关系表数据，比对账册备案数据，对出现外发加工但未进行备案的出库记录进行提示。</w:t>
            </w:r>
          </w:p>
          <w:p>
            <w:pPr>
              <w:ind w:firstLine="0"/>
              <w:jc w:val="left"/>
            </w:pPr>
            <w:r>
              <w:rPr>
                <w:rFonts w:hint="eastAsia"/>
              </w:rPr>
              <w:t>内销申报提示指标：筛选加工贸易企业内销出库表记录，关联查询报关单数据，对出现内销但未进行申报的出库记录进行标识。</w:t>
            </w:r>
          </w:p>
          <w:p>
            <w:pPr>
              <w:ind w:firstLine="0"/>
              <w:jc w:val="left"/>
            </w:pPr>
            <w:r>
              <w:rPr>
                <w:rFonts w:hint="eastAsia"/>
              </w:rPr>
              <w:t>保税货物是否在仓提示指标：筛选仓储企业收货入仓及发货出仓记录，按同个商品料号，比对最晚入仓时间与最早出仓时间，超过3个月的商品料号进行标识。</w:t>
            </w:r>
          </w:p>
          <w:p>
            <w:pPr>
              <w:ind w:firstLine="0"/>
              <w:jc w:val="left"/>
            </w:pPr>
            <w:r>
              <w:rPr>
                <w:rFonts w:hint="eastAsia"/>
              </w:rPr>
              <w:t>价格偏离度提示指标：统计一般贸易企业采购订单数据，对周期内同商品编码、商品名称、规格型号的价格偏差较大的企业及商品进行标识。</w:t>
            </w:r>
          </w:p>
          <w:p>
            <w:pPr>
              <w:ind w:firstLine="0"/>
              <w:jc w:val="left"/>
              <w:rPr>
                <w:lang w:bidi="en-US"/>
              </w:rPr>
            </w:pPr>
            <w:r>
              <w:rPr>
                <w:rFonts w:hint="eastAsia"/>
              </w:rPr>
              <w:t>支持查询推送记录及推送详情。</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46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35</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升级业务应用需求-升级后续监管业务辅助应用-新建核查辅助智能化分析功能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新建核查辅助智能化分析功能，通过收集的企业信息，自动生成比对结果及表单内容，经复核最终生成评估报告。</w:t>
            </w:r>
          </w:p>
          <w:p>
            <w:pPr>
              <w:ind w:firstLine="0"/>
              <w:jc w:val="left"/>
            </w:pPr>
            <w:r>
              <w:rPr>
                <w:rFonts w:hint="eastAsia"/>
              </w:rPr>
              <w:t>增加核查辅助智能化应用统计信息。</w:t>
            </w:r>
          </w:p>
          <w:p>
            <w:pPr>
              <w:ind w:firstLine="0"/>
              <w:jc w:val="left"/>
            </w:pPr>
            <w:r>
              <w:rPr>
                <w:rFonts w:hint="eastAsia"/>
              </w:rPr>
              <w:t>一键分析辅助应用新增。支持选择任务方式、时间段新增一键分析辅助应用记录。</w:t>
            </w:r>
          </w:p>
          <w:p>
            <w:pPr>
              <w:ind w:firstLine="0"/>
              <w:jc w:val="left"/>
            </w:pPr>
            <w:r>
              <w:rPr>
                <w:rFonts w:hint="eastAsia"/>
              </w:rPr>
              <w:t>一键分析辅助应用实施。支持1）企业的对接标准表数据、海关数据、第三方数据查询；2）查询的企业对接标准表数据保存；3）根据比对结果，自动填充表单；4）表单编辑；5）表单比对展示；6）表单暂存；7）提交复核。</w:t>
            </w:r>
          </w:p>
          <w:p>
            <w:pPr>
              <w:ind w:firstLine="0"/>
              <w:jc w:val="left"/>
            </w:pPr>
            <w:r>
              <w:rPr>
                <w:rFonts w:hint="eastAsia"/>
              </w:rPr>
              <w:t>一键分析辅助应用复核。支持1）企业的对接标准表数据、海关数据、第三方数据查询；2）已保存企业对接标准表数据记录查询；3）已保存的应用表单查询。</w:t>
            </w:r>
          </w:p>
          <w:p>
            <w:pPr>
              <w:ind w:firstLine="0"/>
              <w:jc w:val="left"/>
            </w:pPr>
            <w:r>
              <w:rPr>
                <w:rFonts w:hint="eastAsia"/>
              </w:rPr>
              <w:t>一键分析辅助应用评估报告。支持1）根据收集的表单信息自动生成评估报告；2）查看自动生成的评估报告；3）评估报告发送；4）查看企业返回的评估报告。</w:t>
            </w:r>
          </w:p>
          <w:p>
            <w:pPr>
              <w:ind w:firstLine="0"/>
              <w:jc w:val="left"/>
            </w:pPr>
            <w:r>
              <w:rPr>
                <w:rFonts w:hint="eastAsia"/>
              </w:rPr>
              <w:t>一键分析辅助应用修改。支持查看数据及修改表单内容，并提交复核。</w:t>
            </w:r>
          </w:p>
          <w:p>
            <w:pPr>
              <w:ind w:firstLine="0"/>
              <w:jc w:val="left"/>
            </w:pPr>
            <w:r>
              <w:rPr>
                <w:rFonts w:hint="eastAsia"/>
              </w:rPr>
              <w:t>一键分析辅助应用查询。支持查询已办结主页面、查询数据、查询数据保存记录、应用表单。</w:t>
            </w:r>
          </w:p>
          <w:p>
            <w:pPr>
              <w:ind w:firstLine="0"/>
              <w:jc w:val="left"/>
            </w:pPr>
            <w:r>
              <w:rPr>
                <w:rFonts w:hint="eastAsia"/>
              </w:rPr>
              <w:t>一键分析辅助应用电子档案。支持展示1）应用信息；2）过程数据；3）结果数据。</w:t>
            </w:r>
          </w:p>
          <w:p>
            <w:pPr>
              <w:ind w:firstLine="0"/>
              <w:jc w:val="left"/>
              <w:rPr>
                <w:lang w:bidi="en-US"/>
              </w:rPr>
            </w:pPr>
            <w:r>
              <w:rPr>
                <w:rFonts w:hint="eastAsia"/>
              </w:rPr>
              <w:t>一键分析辅助应用管理。支持对一键分析辅助应用进行查询及转交。</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36</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升级业务应用需求-升级后续监管业务辅助应用-优化企业数据查询功能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支持查询对接的企业标准表数据。包括标准表详情查询及单证数据完整性查询。标准表包括：采购订单表、香港报关单、收货单表、物料商品入库表、销售订单表、成品商品出库表</w:t>
            </w:r>
          </w:p>
          <w:p>
            <w:pPr>
              <w:ind w:firstLine="0"/>
              <w:jc w:val="left"/>
              <w:rPr>
                <w:lang w:bidi="en-US"/>
              </w:rPr>
            </w:pPr>
            <w:r>
              <w:rPr>
                <w:rFonts w:hint="eastAsia"/>
              </w:rPr>
              <w:t>、送货单表、库存明细表、危险货物包装业务表、物料设备信息表、运输表、工单表、原物料发料表、成品入库表、下脚料处置表、物料对应关系表、成品对应关系表、到货订单表、收货入仓记录表、货物上架信息表、发货订单表、货物下架信息表、发货出仓记录表、运单表、库存信息表、货物移动信息表、企业货号海关料号对应关系表。</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37</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升级业务应用需求-升级后续监管业务辅助应用-升级关企交互功能-营业执照信息识别服务</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营业执照信息识别服务为SaaS服务，需与互联网数据进行交互。</w:t>
            </w:r>
          </w:p>
          <w:p>
            <w:pPr>
              <w:ind w:firstLine="0"/>
              <w:jc w:val="left"/>
              <w:rPr>
                <w:lang w:bidi="en-US"/>
              </w:rPr>
            </w:pPr>
            <w:r>
              <w:rPr>
                <w:rFonts w:hint="eastAsia"/>
              </w:rPr>
              <w:t>识别字段信息包括：统一社会信用代码、公司名称、主体类型、地址、法定代表人、注册资本、组成形式、成立日期、营业期限、经营范围、登记日期。</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38</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升级业务应用需求-升级后续监管业务辅助应用-升级关企交互功能-公安人证核验服务</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公安数据源为SaaS平台服务，需与互联网数据进行交互，供应商需提供有官方授权证明的SaaS平台供在海关系统在业务流程中进行对接调用。</w:t>
            </w:r>
          </w:p>
          <w:p>
            <w:pPr>
              <w:ind w:firstLine="0"/>
              <w:jc w:val="left"/>
              <w:rPr>
                <w:lang w:bidi="en-US"/>
              </w:rPr>
            </w:pPr>
            <w:r>
              <w:rPr>
                <w:rFonts w:hint="eastAsia"/>
              </w:rPr>
              <w:t>同步与公安库核验用户身份及人脸信息，传入姓名、身份证号、人脸照片，与公安底库校验。</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39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升级业务应用需求-升级后续监管业务辅助应用-升级关企交互功能-应用场景功能（小程序）</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新增企业端移动端（小程序）消息通知功能。将企业信息一键采集、合规管理建议对企推送、评估报告业务场景消息通知企业。</w:t>
            </w:r>
          </w:p>
          <w:p>
            <w:pPr>
              <w:ind w:firstLine="0"/>
              <w:jc w:val="left"/>
            </w:pPr>
            <w:r>
              <w:rPr>
                <w:rFonts w:hint="eastAsia"/>
              </w:rPr>
              <w:t>新建核查辅助智能化分析功能。由业务应用模块发起一键分析辅助应用指令，企业人员进入“深关数”小程序核查辅助智能化分析模块后，系统进行核查指引、身份验证、信息收集，将收集信息返回业务应用模块。</w:t>
            </w:r>
          </w:p>
          <w:p>
            <w:pPr>
              <w:ind w:firstLine="0"/>
              <w:jc w:val="left"/>
            </w:pPr>
            <w:r>
              <w:rPr>
                <w:rFonts w:hint="eastAsia"/>
              </w:rPr>
              <w:t>企业信息采集。由业务应用模块发起企业信息采集指令，企业人员进入“深关数”小程序企业信息采集模块后，系统进行指引、信息收集，将收集信息返回业务应用模块。</w:t>
            </w:r>
          </w:p>
          <w:p>
            <w:pPr>
              <w:ind w:firstLine="0"/>
              <w:jc w:val="left"/>
            </w:pPr>
            <w:r>
              <w:rPr>
                <w:rFonts w:hint="eastAsia"/>
              </w:rPr>
              <w:t>企业合规管理提示。业务应用模块将企业合规管理建议信息推送至关企交互企业移动端，企业人员进入“深关数”小程序企业合规管理提示模块后，系统展示合规管理提示内容，并提供相应指引。</w:t>
            </w:r>
          </w:p>
          <w:p>
            <w:pPr>
              <w:ind w:firstLine="0"/>
              <w:jc w:val="left"/>
              <w:rPr>
                <w:lang w:bidi="en-US"/>
              </w:rPr>
            </w:pPr>
            <w:r>
              <w:rPr>
                <w:rFonts w:hint="eastAsia"/>
              </w:rPr>
              <w:t>对接数据异常提示。企业人员进入“深关数”小程序对接数据异常提示模块后，可通过问题查询窗口自主查询固定的对接数据问题及解决方案。</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40</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升级业务应用需求-升级后续监管业务辅助应用-升级关企交互功能-应用场景功能（APP）</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1、新建核查辅助智能化分析功能。由业务应用模块发起一键分析辅助应用指令，企业人员进入“I深关”APP核查辅助智能化分析模块后，系统进行核查指引、身份验证、信息收集，将收集信息返回业务应用模块。</w:t>
            </w:r>
          </w:p>
          <w:p>
            <w:pPr>
              <w:ind w:firstLine="0"/>
              <w:jc w:val="left"/>
            </w:pPr>
            <w:r>
              <w:rPr>
                <w:rFonts w:hint="eastAsia"/>
              </w:rPr>
              <w:t>2、企业信息采集。由业务应用模块发起企业信息采集指令，企业人员进入“I深关”APP企业信息采集模块后，系统进行指引、信息收集，将收集信息返回业务应用模块。</w:t>
            </w:r>
          </w:p>
          <w:p>
            <w:pPr>
              <w:ind w:firstLine="0"/>
              <w:jc w:val="left"/>
            </w:pPr>
            <w:r>
              <w:rPr>
                <w:rFonts w:hint="eastAsia"/>
              </w:rPr>
              <w:t>3、企业合规管理提示。业务应用模块将企业合规管理建议信息推送至关企交互企业移动端，企业人员进入“I深关”APP企业合规管理提示模块后，系统展示合规管理提示内容，并提供相应指引。</w:t>
            </w:r>
          </w:p>
          <w:p>
            <w:pPr>
              <w:ind w:firstLine="0"/>
              <w:jc w:val="left"/>
              <w:rPr>
                <w:lang w:bidi="en-US"/>
              </w:rPr>
            </w:pPr>
            <w:r>
              <w:rPr>
                <w:rFonts w:hint="eastAsia"/>
              </w:rPr>
              <w:t>4、对接数据异常提示。企业人员进入“I深关”APP对接数据异常提示模块后，可通过问题查询窗口自主查询固定的对接数据问题及解决方案。</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41</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升级业务应用需求-升级后续监管业务辅助应用-权限控制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1、海关端应用功能使用权限控制。</w:t>
            </w:r>
          </w:p>
          <w:p>
            <w:pPr>
              <w:ind w:firstLine="0"/>
              <w:jc w:val="left"/>
            </w:pPr>
            <w:r>
              <w:rPr>
                <w:rFonts w:hint="eastAsia"/>
              </w:rPr>
              <w:t>对功能模块入口、菜单分别设置权限点；对“企业管理-主动推送披露建议推送-推送详情查询”功能设置独立权限点。</w:t>
            </w:r>
          </w:p>
          <w:p>
            <w:pPr>
              <w:ind w:firstLine="0"/>
              <w:jc w:val="left"/>
              <w:rPr>
                <w:lang w:bidi="en-US"/>
              </w:rPr>
            </w:pPr>
            <w:r>
              <w:rPr>
                <w:rFonts w:hint="eastAsia"/>
              </w:rPr>
              <w:t>2、数据查询范围控制。海关端应用功能根据用户所在的不同部门，对用户的数据查询范围进行控制，实现系统应用数据隔离；企业端应用功能根据用户的所属企业，对用户的数据查询范围进行控制，用户仅可见所属企业的数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42</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升级保税日常监管业务辅助应用-新建首页展示功能-地图展示</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地图展示。引用hgis地图，地图上按不同颜色标识不同类型企业及其卡片信息，地图上标识关区，支持切换关区数据。</w:t>
            </w:r>
          </w:p>
          <w:p>
            <w:pPr>
              <w:ind w:firstLine="0"/>
              <w:jc w:val="left"/>
            </w:pPr>
            <w:r>
              <w:rPr>
                <w:rFonts w:hint="eastAsia"/>
              </w:rPr>
              <w:t>2、模块入口。按智慧加贸、智慧物流、智慧科创、智慧维修、智慧预警、智慧辅助提供功能模块入口。</w:t>
            </w:r>
          </w:p>
          <w:p>
            <w:pPr>
              <w:ind w:firstLine="0"/>
              <w:jc w:val="left"/>
            </w:pPr>
            <w:r>
              <w:rPr>
                <w:rFonts w:hint="eastAsia"/>
              </w:rPr>
              <w:t>3、统计指标展示。展示对接保税企业有效数、保税进出口额、对接保税企业保税进出口额及占比、今日预警数指标。</w:t>
            </w:r>
          </w:p>
          <w:p>
            <w:pPr>
              <w:ind w:firstLine="0"/>
              <w:jc w:val="left"/>
              <w:rPr>
                <w:lang w:bidi="en-US"/>
              </w:rPr>
            </w:pPr>
            <w:r>
              <w:rPr>
                <w:rFonts w:hint="eastAsia"/>
              </w:rPr>
              <w:t>4、业务领域指标展示。以柱形图展示近12个月进出口额趋势，以条形图展示前5关区/企业及占比，包括1）加工贸易的对接保税企业有效数、当年累计保税进出口额、对接保税企业保税进出口额占比指标；2）保税维修-区内的企业数量、进出口额（当年累计）、占比指标；3）保税维修-区外的企业数量、进出口额（当年累计）、占比指标；4）保税仓储的企业数量、进出口额（当年累计）、占比指标；5）科创企业的企业数量、进出口额（当年累计）、占比指标。</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43</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升级保税日常监管业务辅助应用-新建智慧科创功能-统计数据展示</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展示统计数据：</w:t>
            </w:r>
          </w:p>
          <w:p>
            <w:pPr>
              <w:ind w:firstLine="0"/>
              <w:jc w:val="left"/>
            </w:pPr>
            <w:r>
              <w:rPr>
                <w:rFonts w:hint="eastAsia"/>
              </w:rPr>
              <w:t>企业相关</w:t>
            </w:r>
          </w:p>
          <w:p>
            <w:pPr>
              <w:ind w:firstLine="0"/>
              <w:jc w:val="left"/>
            </w:pPr>
            <w:r>
              <w:rPr>
                <w:rFonts w:hint="eastAsia"/>
              </w:rPr>
              <w:t>1）企业数：统计科创企业数量，点击企业数，下钻展示企业列表。</w:t>
            </w:r>
          </w:p>
          <w:p>
            <w:pPr>
              <w:ind w:firstLine="0"/>
              <w:jc w:val="left"/>
            </w:pPr>
            <w:r>
              <w:rPr>
                <w:rFonts w:hint="eastAsia"/>
              </w:rPr>
              <w:t>2）进出口额及同比：统计全量科创企业的报关单当年累计进出口额，上一年相同月份累计进出口额，同比=当年累计进出口额/上一年相同月份累计进出口额*100%。</w:t>
            </w:r>
          </w:p>
          <w:p>
            <w:pPr>
              <w:ind w:firstLine="0"/>
              <w:jc w:val="left"/>
            </w:pPr>
            <w:r>
              <w:rPr>
                <w:rFonts w:hint="eastAsia"/>
              </w:rPr>
              <w:t>2、货物相关</w:t>
            </w:r>
          </w:p>
          <w:p>
            <w:pPr>
              <w:ind w:firstLine="0"/>
              <w:jc w:val="left"/>
            </w:pPr>
            <w:r>
              <w:rPr>
                <w:rFonts w:hint="eastAsia"/>
              </w:rPr>
              <w:t>1）商品编码数：统计科创企业的当年报关单商品编码个数，展示商品编码列表，点击某商品编码，下钻展示对应的企业列表，展示企业对应的进出口额及占比。</w:t>
            </w:r>
          </w:p>
          <w:p>
            <w:pPr>
              <w:ind w:firstLine="0"/>
              <w:jc w:val="left"/>
              <w:rPr>
                <w:lang w:bidi="en-US"/>
              </w:rPr>
            </w:pPr>
            <w:r>
              <w:rPr>
                <w:rFonts w:hint="eastAsia"/>
              </w:rPr>
              <w:t>2）进出口额及同比：统计科创企业的报关单当年累计进出口额，上一年相同月份累计进出口额，同比=当年累计进出口额/上一年相同月份累计进出口额*100%。</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44</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升级保税日常监管业务辅助应用-新建智慧科创功能-商品流转出区风险提示及“客带货”情况监控</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商品流转出区风险提示：采用科创企业清单、非准入国家清单、报关单标记非准入国家和地区的动植物及其产品，采用企业出库表判断是否出区。2.“客带货”情况监控：采用科创企业清单、运输方式筛选“客带货”当年报关单，按月统计企业数量、货值数量及商品数量。</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45</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升级保税日常监管业务辅助应用-新建智慧科创功能-研后监控</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采用科创企业清单、企业出库表、报关单，按“二线报关出区”、“二线非报关出区”两种类型分开统计，按月（当年）统计企业数量、货值数量及商品数量。</w:t>
            </w:r>
          </w:p>
          <w:p>
            <w:pPr>
              <w:ind w:firstLine="0"/>
              <w:jc w:val="left"/>
            </w:pPr>
            <w:r>
              <w:rPr>
                <w:rFonts w:hint="eastAsia"/>
              </w:rPr>
              <w:t>统计数据展示。包括二线报关出区-企业当年累计、二线报关出区-货物当年累计、二线报关出区-数量当年累计、二线报关出区-企业当年每月、二线报关出区-货物当年每月、二线报关出区-数量当年每月、二线非报关出区-企业当年累计、二线非报关出区-货物当年累计、二线非报关出区-数量当年累计、二线非报关出区-企业当年每月、二线非报关出区-货物当年每月、二线非报关出区-数量当年每月。</w:t>
            </w:r>
          </w:p>
          <w:p>
            <w:pPr>
              <w:ind w:firstLine="0"/>
              <w:jc w:val="left"/>
            </w:pPr>
            <w:r>
              <w:rPr>
                <w:rFonts w:hint="eastAsia"/>
              </w:rPr>
              <w:t>二线报关出区出库单查询。展示类型为“二线报关出区”的出库单记录列表，列表字段包括统一社会信用代码、企业名称、出库单号等。</w:t>
            </w:r>
          </w:p>
          <w:p>
            <w:pPr>
              <w:ind w:firstLine="0"/>
              <w:jc w:val="left"/>
              <w:rPr>
                <w:lang w:bidi="en-US"/>
              </w:rPr>
            </w:pPr>
            <w:r>
              <w:rPr>
                <w:rFonts w:hint="eastAsia"/>
              </w:rPr>
              <w:t>二线非报关出区出库单查询。展示类型为“二线非报关出区”的出库单记录列表，列表字段包括统一社会信用代码、企业名称、出库单号等。</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46</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升级保税日常监管业务辅助应用-新建智慧科创功能-长期未退运风险提示及货物销毁情况监控</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长期未退运风险提示：关联科创企业清单、企业物料设备信息表、物料入库表，形成设备类型为“其他设备”，入库类型为“二线非报关入区”的入库记录。2.货物销毁情况监控：关联科创企业清单、企业出库表、报关单，筛选监管方式代码为“0200”的出库记录。</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688"/>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47</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升级保税日常监管业务辅助应用-新建智慧科创功能-科研企业信息查询</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1、企业列表查询。展示科创企业列表，列表字段包括统一社会信用代码、企业海关编码、企业名称等。</w:t>
            </w:r>
          </w:p>
          <w:p>
            <w:pPr>
              <w:ind w:firstLine="0"/>
              <w:jc w:val="left"/>
            </w:pPr>
            <w:r>
              <w:rPr>
                <w:rFonts w:hint="eastAsia"/>
              </w:rPr>
              <w:t>2、企业信息展示。获取自贸处现有企业信息采集数据，展示企业信息。</w:t>
            </w:r>
          </w:p>
          <w:p>
            <w:pPr>
              <w:ind w:firstLine="0"/>
              <w:jc w:val="left"/>
            </w:pPr>
            <w:r>
              <w:rPr>
                <w:rFonts w:hint="eastAsia"/>
              </w:rPr>
              <w:t>3、企业信息附件下载。获取自贸处现有企业信息采集数据，提供附件进行下载。</w:t>
            </w:r>
          </w:p>
          <w:p>
            <w:pPr>
              <w:ind w:firstLine="0"/>
              <w:jc w:val="left"/>
              <w:rPr>
                <w:lang w:bidi="en-US"/>
              </w:rPr>
            </w:pPr>
            <w:r>
              <w:rPr>
                <w:rFonts w:hint="eastAsia"/>
              </w:rPr>
              <w:t>4、年度盘点报告。下载企业PC端（web）提交的年度报告附件。</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48</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升级保税日常监管业务辅助应用-新建智慧科创功能-参数维护</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1、科创企业清单。支持维护科创企业记录列表，列表字段包括企业编码、企业名称、状态。</w:t>
            </w:r>
          </w:p>
          <w:p>
            <w:pPr>
              <w:ind w:firstLine="0"/>
              <w:jc w:val="left"/>
            </w:pPr>
            <w:r>
              <w:rPr>
                <w:rFonts w:hint="eastAsia"/>
              </w:rPr>
              <w:t>2、非准入国家。支持维护非准入国家列表，列表字段包括国别代码、国家名称。</w:t>
            </w:r>
          </w:p>
          <w:p>
            <w:pPr>
              <w:ind w:firstLine="0"/>
              <w:jc w:val="left"/>
            </w:pPr>
            <w:r>
              <w:rPr>
                <w:rFonts w:hint="eastAsia"/>
              </w:rPr>
              <w:t>3、通用指标参数。支持设置针对所有企业的指标阈值，以及设置指标停启用。</w:t>
            </w:r>
          </w:p>
          <w:p>
            <w:pPr>
              <w:ind w:firstLine="0"/>
              <w:jc w:val="left"/>
              <w:rPr>
                <w:lang w:bidi="en-US"/>
              </w:rPr>
            </w:pPr>
            <w:r>
              <w:rPr>
                <w:rFonts w:hint="eastAsia"/>
              </w:rPr>
              <w:t>4、企业个性化指标参数。支持设置针对单个企业的指标阈值，以及设置指标停启用。</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49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升级保税日常监管业务辅助应用-升级智慧加贸功能-新建分行业监管辅助统计功能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优化视同已报备功能：对原有视同已报备功能入口进行调整，将入口调整至“智慧加贸”功能菜单下。2.新建分行业监管辅助统计功能：分行业监管应用场景应用于深圳关区加工贸易企业（手动维护的分行业企业列表），主要功能包含对企业情况、业务量情况、行业/商品/关区情况的统计功能；稽核查作业数、信息采集数等数据智能提示功能；保税进口货值同比差异、保税进口货值环比差异分析等智能分析功能。</w:t>
            </w:r>
          </w:p>
          <w:p>
            <w:pPr>
              <w:ind w:firstLine="0"/>
              <w:jc w:val="left"/>
            </w:pPr>
            <w:r>
              <w:rPr>
                <w:rFonts w:hint="eastAsia"/>
              </w:rPr>
              <w:t>企业情况</w:t>
            </w:r>
          </w:p>
          <w:p>
            <w:pPr>
              <w:ind w:firstLine="0"/>
              <w:jc w:val="left"/>
            </w:pPr>
            <w:r>
              <w:rPr>
                <w:rFonts w:hint="eastAsia"/>
              </w:rPr>
              <w:t>1）企业数：展示企业数（统计当前有手账册的企业数量）；</w:t>
            </w:r>
          </w:p>
          <w:p>
            <w:pPr>
              <w:ind w:firstLine="0"/>
              <w:jc w:val="left"/>
            </w:pPr>
            <w:r>
              <w:rPr>
                <w:rFonts w:hint="eastAsia"/>
              </w:rPr>
              <w:t>2）E账册企业数：展示E账册企业数（统计当前账册类型为“E”的企业数量）；</w:t>
            </w:r>
          </w:p>
          <w:p>
            <w:pPr>
              <w:ind w:firstLine="0"/>
              <w:jc w:val="left"/>
            </w:pPr>
            <w:r>
              <w:rPr>
                <w:rFonts w:hint="eastAsia"/>
              </w:rPr>
              <w:t>3）H账册企业数：展示H账册企业数（统计当前账册类型为“H”的企业数量）；</w:t>
            </w:r>
          </w:p>
          <w:p>
            <w:pPr>
              <w:ind w:firstLine="0"/>
              <w:jc w:val="left"/>
            </w:pPr>
            <w:r>
              <w:rPr>
                <w:rFonts w:hint="eastAsia"/>
              </w:rPr>
              <w:t>4）手册企业数：展示手册企业数（统计当前为手册企业的企业数量）；</w:t>
            </w:r>
          </w:p>
          <w:p>
            <w:pPr>
              <w:ind w:firstLine="0"/>
              <w:jc w:val="left"/>
            </w:pPr>
            <w:r>
              <w:rPr>
                <w:rFonts w:hint="eastAsia"/>
              </w:rPr>
              <w:t>5）企业集团/成员数：展示企业集团/成员数（统计当前集团数量及集团成员数量）；</w:t>
            </w:r>
          </w:p>
          <w:p>
            <w:pPr>
              <w:ind w:firstLine="0"/>
              <w:jc w:val="left"/>
            </w:pPr>
            <w:r>
              <w:rPr>
                <w:rFonts w:hint="eastAsia"/>
              </w:rPr>
              <w:t>6）高认企业数：展示高认企业数（统计信用等级为“高级认证”的企业数量）；</w:t>
            </w:r>
          </w:p>
          <w:p>
            <w:pPr>
              <w:ind w:firstLine="0"/>
              <w:jc w:val="left"/>
            </w:pPr>
            <w:r>
              <w:rPr>
                <w:rFonts w:hint="eastAsia"/>
              </w:rPr>
              <w:t>7）失信企业数：展示失信企业数（统计信用等级为“失信企业”的企业数量）。</w:t>
            </w:r>
          </w:p>
          <w:p>
            <w:pPr>
              <w:ind w:firstLine="0"/>
              <w:jc w:val="left"/>
            </w:pPr>
            <w:r>
              <w:rPr>
                <w:rFonts w:hint="eastAsia"/>
              </w:rPr>
              <w:t>业务量情况</w:t>
            </w:r>
          </w:p>
          <w:p>
            <w:pPr>
              <w:ind w:firstLine="0"/>
              <w:jc w:val="left"/>
            </w:pPr>
            <w:r>
              <w:rPr>
                <w:rFonts w:hint="eastAsia"/>
              </w:rPr>
              <w:t>1）加工贸易进出口：展示加工贸易进出口金额（统计监管方式为加工贸易相关的报关单申报金额，单位为“亿元”）；</w:t>
            </w:r>
          </w:p>
          <w:p>
            <w:pPr>
              <w:ind w:firstLine="0"/>
              <w:jc w:val="left"/>
            </w:pPr>
            <w:r>
              <w:rPr>
                <w:rFonts w:hint="eastAsia"/>
              </w:rPr>
              <w:t>2）二线进出口：展示二线进出口金额（统计报关类型为二线进出口的报关单申报金额，单位为“亿元”）；</w:t>
            </w:r>
          </w:p>
          <w:p>
            <w:pPr>
              <w:ind w:firstLine="0"/>
              <w:jc w:val="left"/>
            </w:pPr>
            <w:r>
              <w:rPr>
                <w:rFonts w:hint="eastAsia"/>
              </w:rPr>
              <w:t>3）深加工结转：展示深加工结转金额（统计监管方式为深加工结转相关的报关单申报金额，单位为“亿元”）；</w:t>
            </w:r>
          </w:p>
          <w:p>
            <w:pPr>
              <w:ind w:firstLine="0"/>
              <w:jc w:val="left"/>
            </w:pPr>
            <w:r>
              <w:rPr>
                <w:rFonts w:hint="eastAsia"/>
              </w:rPr>
              <w:t>4）内销：展示内销金额（统计监管方式为内销相关的报关单申报金额，单位为“亿元”）。</w:t>
            </w:r>
          </w:p>
          <w:p>
            <w:pPr>
              <w:ind w:firstLine="0"/>
              <w:jc w:val="left"/>
            </w:pPr>
            <w:r>
              <w:rPr>
                <w:rFonts w:hint="eastAsia"/>
              </w:rPr>
              <w:t>行业/商品/关区情况</w:t>
            </w:r>
          </w:p>
          <w:p>
            <w:pPr>
              <w:ind w:firstLine="0"/>
              <w:jc w:val="left"/>
            </w:pPr>
            <w:r>
              <w:rPr>
                <w:rFonts w:hint="eastAsia"/>
              </w:rPr>
              <w:t>1）行业情况列表。按行业统计本年度进出口货值（亿元）及同比、占比。展示行业名称、进出口货值（亿元）、同比、占比。</w:t>
            </w:r>
          </w:p>
          <w:p>
            <w:pPr>
              <w:ind w:firstLine="0"/>
              <w:jc w:val="left"/>
            </w:pPr>
            <w:r>
              <w:rPr>
                <w:rFonts w:hint="eastAsia"/>
              </w:rPr>
              <w:t>2）行业情况详情-商品。在行业维度下，按商品统计本年度进出口货值（亿元）及同比、占比。展示商品名称、进出口货值（亿元）、同比、占比。</w:t>
            </w:r>
          </w:p>
          <w:p>
            <w:pPr>
              <w:ind w:firstLine="0"/>
              <w:jc w:val="left"/>
            </w:pPr>
            <w:r>
              <w:rPr>
                <w:rFonts w:hint="eastAsia"/>
              </w:rPr>
              <w:t>3）行业情况详情-关区。在行业维度下，按关区统计本年度进出口货值（亿元）及同比、占比。展示关区名称、进出口货值（亿元）、同比、占比。</w:t>
            </w:r>
          </w:p>
          <w:p>
            <w:pPr>
              <w:ind w:firstLine="0"/>
              <w:jc w:val="left"/>
            </w:pPr>
            <w:r>
              <w:rPr>
                <w:rFonts w:hint="eastAsia"/>
              </w:rPr>
              <w:t>4）商品情况列表。按商品统计本年度进出口货值（亿元）及同比、占比。展示商品名称、进出口货值（亿元）、同比、占比。</w:t>
            </w:r>
          </w:p>
          <w:p>
            <w:pPr>
              <w:ind w:firstLine="0"/>
              <w:jc w:val="left"/>
            </w:pPr>
            <w:r>
              <w:rPr>
                <w:rFonts w:hint="eastAsia"/>
              </w:rPr>
              <w:t>5）商品情况详情-行业。在商品维度下，按行业统计本年度进出口货值（亿元）及同比、占比。展示行业名称、进出口货值（亿元）、同比、占比。</w:t>
            </w:r>
          </w:p>
          <w:p>
            <w:pPr>
              <w:ind w:firstLine="0"/>
              <w:jc w:val="left"/>
            </w:pPr>
            <w:r>
              <w:rPr>
                <w:rFonts w:hint="eastAsia"/>
              </w:rPr>
              <w:t>6）商品情况详情-关区。在商品维度下，按关区统计本年度进出口货值（亿元）及同比、占比。展示关区名称、进出口货值（亿元）、同比、占比。</w:t>
            </w:r>
          </w:p>
          <w:p>
            <w:pPr>
              <w:ind w:firstLine="0"/>
              <w:jc w:val="left"/>
            </w:pPr>
            <w:r>
              <w:rPr>
                <w:rFonts w:hint="eastAsia"/>
              </w:rPr>
              <w:t>7）关区情况列表。按关区统计本年度进出口货值（亿元）及同比、占比。展示关区名称、进出口货值（亿元）、同比、占比。</w:t>
              <w:tab/>
            </w:r>
          </w:p>
          <w:p>
            <w:pPr>
              <w:ind w:firstLine="0"/>
              <w:jc w:val="left"/>
            </w:pPr>
            <w:r>
              <w:rPr>
                <w:rFonts w:hint="eastAsia"/>
              </w:rPr>
              <w:t>8）关区情况详情-行业。在关区维度下，按行业统计本年度进出口货值（亿元）及同比、占比。展示行业名称、进出口货值（亿元）、同比、占比。</w:t>
            </w:r>
          </w:p>
          <w:p>
            <w:pPr>
              <w:ind w:firstLine="0"/>
              <w:jc w:val="left"/>
            </w:pPr>
            <w:r>
              <w:rPr>
                <w:rFonts w:hint="eastAsia"/>
              </w:rPr>
              <w:t>9）关区情况详情-商品。在关区维度下，按商品统计本年度进出口货值（亿元）及同比、占比。展示商品名称、进出口货值（亿元）、同比、占比。</w:t>
            </w:r>
          </w:p>
          <w:p>
            <w:pPr>
              <w:ind w:firstLine="0"/>
              <w:jc w:val="left"/>
            </w:pPr>
            <w:r>
              <w:rPr>
                <w:rFonts w:hint="eastAsia"/>
              </w:rPr>
              <w:t>智能提示</w:t>
            </w:r>
          </w:p>
          <w:p>
            <w:pPr>
              <w:ind w:firstLine="0"/>
              <w:jc w:val="left"/>
            </w:pPr>
            <w:r>
              <w:rPr>
                <w:rFonts w:hint="eastAsia"/>
              </w:rPr>
              <w:t>1）查验异常：统计企业行业列表中企业，近7天查验异常的报关单数量。支持查询统计值及明细。</w:t>
            </w:r>
          </w:p>
          <w:p>
            <w:pPr>
              <w:ind w:firstLine="0"/>
              <w:jc w:val="left"/>
            </w:pPr>
            <w:r>
              <w:rPr>
                <w:rFonts w:hint="eastAsia"/>
              </w:rPr>
              <w:t>2）稽核查作业：统计本年度保税领域企业的网上稽核查作业数量。支持查询统计值及明细。</w:t>
            </w:r>
          </w:p>
          <w:p>
            <w:pPr>
              <w:ind w:firstLine="0"/>
              <w:jc w:val="left"/>
            </w:pPr>
            <w:r>
              <w:rPr>
                <w:rFonts w:hint="eastAsia"/>
              </w:rPr>
              <w:t>3）信息采集：信息采集总数统计值展示（获取本年度信息采集总数进行展示）；信息采集异常数统计值展示（获取本年度信息采集异常数进行展示）；信息采集明细记录查询（下钻查询信息采集记录列表，区分异常记录）。</w:t>
            </w:r>
          </w:p>
          <w:p>
            <w:pPr>
              <w:ind w:firstLine="0"/>
              <w:jc w:val="left"/>
            </w:pPr>
            <w:r>
              <w:rPr>
                <w:rFonts w:hint="eastAsia"/>
              </w:rPr>
              <w:t>4）信息等级调整。信息等级调整统计值展示（统计上月企业海关备案信息等级调整记录数）。信息等级调整明细记录查询（下钻查询信息等级调整记录）。</w:t>
            </w:r>
          </w:p>
          <w:p>
            <w:pPr>
              <w:ind w:firstLine="0"/>
              <w:jc w:val="left"/>
            </w:pPr>
            <w:r>
              <w:rPr>
                <w:rFonts w:hint="eastAsia"/>
              </w:rPr>
              <w:t>5）企业注册信息变化。企业注册信息变化统计值展示（获取上月企业海关注册信息变化记录数进行展示）。注册信息变化明细记录查询（下钻查询注册信息变化记录）。</w:t>
            </w:r>
          </w:p>
          <w:p>
            <w:pPr>
              <w:ind w:firstLine="0"/>
              <w:jc w:val="left"/>
            </w:pPr>
            <w:r>
              <w:rPr>
                <w:rFonts w:hint="eastAsia"/>
              </w:rPr>
              <w:t>6）近3月无加贸进出口：统计企业行业列表中，近3个月无监管方式为加工贸易相关报关单的企业数量。支持查询统计值及明细。</w:t>
            </w:r>
          </w:p>
          <w:p>
            <w:pPr>
              <w:ind w:firstLine="0"/>
              <w:jc w:val="left"/>
            </w:pPr>
            <w:r>
              <w:rPr>
                <w:rFonts w:hint="eastAsia"/>
              </w:rPr>
              <w:t>7）新厂：统计企业行业列表中，对比上个月新增的企业数量。支持查询统计值及明细。</w:t>
            </w:r>
          </w:p>
          <w:p>
            <w:pPr>
              <w:ind w:firstLine="0"/>
              <w:jc w:val="left"/>
            </w:pPr>
            <w:r>
              <w:rPr>
                <w:rFonts w:hint="eastAsia"/>
              </w:rPr>
              <w:t>8）停办加贸业务：统计企业行业列表中，对比上个月减少的企业数量。支持查询统计值及明细。</w:t>
            </w:r>
          </w:p>
          <w:p>
            <w:pPr>
              <w:ind w:firstLine="0"/>
              <w:jc w:val="left"/>
            </w:pPr>
            <w:r>
              <w:rPr>
                <w:rFonts w:hint="eastAsia"/>
              </w:rPr>
              <w:t>9）逾期手（账）册：采用手册基本信息表，筛选后形成加工贸易手册目录，采用账册备案基本表，形成加工贸易账册目录。统计手册的“手册有效期”+30日，形成手册的报核截止日期。统计账册的“最近核销日期”+“核销周期”，形成账册的报核截止日期。支持查询统计值及明细。</w:t>
            </w:r>
          </w:p>
          <w:p>
            <w:pPr>
              <w:ind w:firstLine="0"/>
              <w:jc w:val="left"/>
            </w:pPr>
            <w:r>
              <w:rPr>
                <w:rFonts w:hint="eastAsia"/>
              </w:rPr>
              <w:t>智能分析</w:t>
            </w:r>
          </w:p>
          <w:p>
            <w:pPr>
              <w:ind w:firstLine="0"/>
              <w:jc w:val="left"/>
            </w:pPr>
            <w:r>
              <w:rPr>
                <w:rFonts w:hint="eastAsia"/>
              </w:rPr>
              <w:t>1）保税进出口货值。采用已对接企业，企业行业列表、报关单，按不同行业、进口/出口、统计已对接企业当月、上个月、上一年度对应月份的申报金额汇总值。展示保税进口货值同比差异、保税进口货值环比差异、保税出口货值同比差异、保税出口货值环比差异</w:t>
            </w:r>
          </w:p>
          <w:p>
            <w:pPr>
              <w:ind w:firstLine="0"/>
              <w:jc w:val="left"/>
            </w:pPr>
            <w:r>
              <w:rPr>
                <w:rFonts w:hint="eastAsia"/>
              </w:rPr>
              <w:t>2）平均价格。展示保税进口平均价格差异企业列表（同个行业，进口，申报平均价格与统计申报平均价格差异值（包括正、负）前10的企业）、保税出口平均价格差异企业列表（同个行业，出口，申报平均价格与统计申报平均价格差异值（包括正、负）前10的企业）。</w:t>
            </w:r>
          </w:p>
          <w:p>
            <w:pPr>
              <w:ind w:firstLine="0"/>
              <w:jc w:val="left"/>
            </w:pPr>
            <w:r>
              <w:rPr>
                <w:rFonts w:hint="eastAsia"/>
              </w:rPr>
              <w:t>3）内销平均价格。展示企业列表（同个行业，内销平均价格与统计申报平均价格差异值（包括正、负）前10的企业）。</w:t>
            </w:r>
          </w:p>
          <w:p>
            <w:pPr>
              <w:ind w:firstLine="0"/>
              <w:jc w:val="left"/>
              <w:rPr>
                <w:lang w:bidi="en-US"/>
              </w:rPr>
            </w:pPr>
            <w:r>
              <w:rPr>
                <w:rFonts w:hint="eastAsia"/>
              </w:rPr>
              <w:t>参数维护</w:t>
            </w:r>
          </w:p>
          <w:p>
            <w:pPr>
              <w:ind w:firstLine="0"/>
              <w:jc w:val="left"/>
            </w:pPr>
            <w:r>
              <w:rPr>
                <w:rFonts w:hint="eastAsia"/>
              </w:rPr>
              <w:t>1）海关统计商品编码与国民经济行业分类对照表。支持按年份维护海关统计商品编码与国民经济行业分类对照表，列表字段包括商品编码、商品中文名称、行业代码、行业名称。</w:t>
            </w:r>
          </w:p>
          <w:p>
            <w:pPr>
              <w:ind w:firstLine="0"/>
              <w:jc w:val="left"/>
              <w:rPr>
                <w:lang w:bidi="en-US"/>
              </w:rPr>
            </w:pPr>
            <w:r>
              <w:rPr>
                <w:rFonts w:hint="eastAsia"/>
              </w:rPr>
              <w:t>2）企业集团关系。支持维护集团与企业关系记录，关系字段包括集团名称、企业编码、企业名称、信用等级、属地海关、企业类型、省、市。</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50</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升级保税日常监管业务辅助应用-升级智慧物流功能-整合“互联网+保税物流”功能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本项目对原有“互联网+保税”功能进行整合如下：</w:t>
            </w:r>
          </w:p>
          <w:p>
            <w:pPr>
              <w:ind w:firstLine="0"/>
              <w:jc w:val="left"/>
            </w:pPr>
            <w:r>
              <w:rPr>
                <w:rFonts w:hint="eastAsia"/>
              </w:rPr>
              <w:t>1、功能入口调整。将入口调整至“智慧物流”功能菜单下。</w:t>
            </w:r>
          </w:p>
          <w:p>
            <w:pPr>
              <w:ind w:firstLine="0"/>
              <w:jc w:val="left"/>
              <w:rPr>
                <w:lang w:bidi="en-US"/>
              </w:rPr>
            </w:pPr>
            <w:r>
              <w:rPr>
                <w:rFonts w:hint="eastAsia"/>
              </w:rPr>
              <w:t>2、前端页面整合调整。包括库存查询功能页面、企业展示指标功能页面、企业展示指标阈值设置功能页面。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51</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升级保税日常监管业务辅助应用-升级智慧物流功能-升级网上巡仓功能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本项目对原有“网上巡仓”功能进行如下升级：</w:t>
            </w:r>
          </w:p>
          <w:p>
            <w:pPr>
              <w:ind w:firstLine="0"/>
              <w:jc w:val="left"/>
            </w:pPr>
            <w:r>
              <w:rPr>
                <w:rFonts w:hint="eastAsia"/>
              </w:rPr>
              <w:t>1、合并网上巡仓类别。原有“网上巡仓”功能包含重点巡仓、随机巡仓两大类，现调整为一类。重点巡仓、随机巡仓不再作为巡仓任务的类别，仅作为挑选巡仓标的的方式。</w:t>
            </w:r>
          </w:p>
          <w:p>
            <w:pPr>
              <w:ind w:firstLine="0"/>
              <w:jc w:val="left"/>
            </w:pPr>
            <w:r>
              <w:rPr>
                <w:rFonts w:hint="eastAsia"/>
              </w:rPr>
              <w:t>2、升级网上巡仓流程。调整原有网上巡仓流程为企业列表查询、企业巡仓记录列表查询、发起巡仓、实施巡仓、网上巡仓转实地巡仓。其中企业列表查询、企业巡仓记录列表查询为新增流程，发起巡仓、实施巡仓、网上巡仓转实地巡仓功能在原有功能基础上进行优化。</w:t>
            </w:r>
          </w:p>
          <w:p>
            <w:pPr>
              <w:ind w:firstLine="0"/>
              <w:jc w:val="left"/>
            </w:pPr>
            <w:r>
              <w:rPr>
                <w:rFonts w:hint="eastAsia"/>
              </w:rPr>
              <w:t>3、根据新的网上巡仓类别，对巡仓统计功能进行调整。</w:t>
            </w:r>
          </w:p>
          <w:p>
            <w:pPr>
              <w:ind w:firstLine="0"/>
              <w:jc w:val="left"/>
              <w:rPr>
                <w:lang w:bidi="en-US"/>
              </w:rPr>
            </w:pPr>
            <w:r>
              <w:rPr>
                <w:rFonts w:hint="eastAsia"/>
              </w:rPr>
              <w:t>4、对前端页面进行整合调整。</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52</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升级保税日常监管业务辅助应用-升级智慧物流功能-新建数据比对与分析功能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数据比对与分析功能应用于已对接的保税仓储企业，主要功能包含数据关联分析、保税仓库分送集报监管。</w:t>
            </w:r>
          </w:p>
          <w:p>
            <w:pPr>
              <w:ind w:firstLine="0"/>
              <w:jc w:val="left"/>
            </w:pPr>
            <w:r>
              <w:rPr>
                <w:rFonts w:hint="eastAsia"/>
              </w:rPr>
              <w:t>数据关联分析</w:t>
            </w:r>
          </w:p>
          <w:p>
            <w:pPr>
              <w:ind w:firstLine="0"/>
              <w:jc w:val="left"/>
            </w:pPr>
            <w:r>
              <w:rPr>
                <w:rFonts w:hint="eastAsia"/>
              </w:rPr>
              <w:t>1）企业列表：展示已对接仓储企业列表。列表字段包括企业海关编码、海关名称、主管海关等。</w:t>
            </w:r>
          </w:p>
          <w:p>
            <w:pPr>
              <w:ind w:firstLine="0"/>
              <w:jc w:val="left"/>
            </w:pPr>
            <w:r>
              <w:rPr>
                <w:rFonts w:hint="eastAsia"/>
              </w:rPr>
              <w:t>2）对应关系分析：按不同账册编号，展示所采集的企业货号海关料号对应关系数据。支持选择重点商品进行筛选。</w:t>
            </w:r>
          </w:p>
          <w:p>
            <w:pPr>
              <w:ind w:firstLine="0"/>
              <w:jc w:val="left"/>
            </w:pPr>
            <w:r>
              <w:rPr>
                <w:rFonts w:hint="eastAsia"/>
              </w:rPr>
              <w:t>3）入库关联分析：按不同账册编号，展示所采集的收货入仓记录数据。支持选择重点商品进行筛选。</w:t>
            </w:r>
          </w:p>
          <w:p>
            <w:pPr>
              <w:ind w:firstLine="0"/>
              <w:jc w:val="left"/>
            </w:pPr>
            <w:r>
              <w:rPr>
                <w:rFonts w:hint="eastAsia"/>
              </w:rPr>
              <w:t>4）出库关联分析：按不同账册编号，展示所采集的发货出仓记录数据。支持选择重点商品进行筛选。</w:t>
            </w:r>
          </w:p>
          <w:p>
            <w:pPr>
              <w:ind w:firstLine="0"/>
              <w:jc w:val="left"/>
            </w:pPr>
            <w:r>
              <w:rPr>
                <w:rFonts w:hint="eastAsia"/>
              </w:rPr>
              <w:t>5）仓储情况分析：按不同账册编号，展示所采集的库存信息数据。支持选择重点商品进行筛选。</w:t>
            </w:r>
          </w:p>
          <w:p>
            <w:pPr>
              <w:ind w:firstLine="0"/>
              <w:jc w:val="left"/>
            </w:pPr>
            <w:r>
              <w:rPr>
                <w:rFonts w:hint="eastAsia"/>
              </w:rPr>
              <w:t>2、保税仓库分送集报监管</w:t>
            </w:r>
          </w:p>
          <w:p>
            <w:pPr>
              <w:ind w:firstLine="0"/>
              <w:jc w:val="left"/>
            </w:pPr>
            <w:r>
              <w:rPr>
                <w:rFonts w:hint="eastAsia"/>
              </w:rPr>
              <w:t>采用仓储企业运单表，通过筛选、分组、聚合，搭建保税仓库分送集报监管模型，按不同保税仓库，统计近3年，每个年度的下游供应链企业数量及出仓单数量。形成数据报告，将数据报告在页面上进行展示。</w:t>
            </w:r>
          </w:p>
          <w:p>
            <w:pPr>
              <w:ind w:firstLine="0"/>
              <w:jc w:val="left"/>
            </w:pPr>
            <w:r>
              <w:rPr>
                <w:rFonts w:hint="eastAsia"/>
              </w:rPr>
              <w:t>1）保税仓信息展示。展示保税仓信息及对应的下游供应链企业数，列表字段包括仓库编码、仓库名称、下游供应链企业数。</w:t>
            </w:r>
          </w:p>
          <w:p>
            <w:pPr>
              <w:ind w:firstLine="0"/>
              <w:jc w:val="left"/>
              <w:rPr>
                <w:lang w:bidi="en-US"/>
              </w:rPr>
            </w:pPr>
            <w:r>
              <w:rPr>
                <w:rFonts w:hint="eastAsia"/>
              </w:rPr>
              <w:t>2）下游供应链企业列表及出仓单数量查询。保税仓信息及对应的下游供应链企业数列表，下钻查询相应的下游供应链企业列表及出仓单数量，列表字段包括企业名称、出仓单数量等。</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53</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升级保税日常监管业务辅助应用-升级智慧物流功能及优化智慧维修功能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升级智慧物流功能-新建重点商品：支持维护重点商品列表，列表字段包括商品编号、商品名称。2.优化智慧维修功能：对原有区内耗料分析功能入口进行调整，将入口调整至“智慧维修-耗料式管理”功能菜单下。</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54</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升级保税日常监管业务辅助应用-升级智慧预警功能-数据处理</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企业风险预警指标</w:t>
            </w:r>
          </w:p>
          <w:p>
            <w:pPr>
              <w:ind w:firstLine="0"/>
              <w:jc w:val="left"/>
            </w:pPr>
            <w:r>
              <w:rPr>
                <w:rFonts w:hint="eastAsia"/>
              </w:rPr>
              <w:t>1）出入库单超期未集报预警：采用已对接仓储企业海关出入库单数据，根据申报日期，集报标志进行判断，超过阈值的出入库单进行提示。</w:t>
            </w:r>
          </w:p>
          <w:p>
            <w:pPr>
              <w:ind w:firstLine="0"/>
              <w:jc w:val="left"/>
            </w:pPr>
            <w:r>
              <w:rPr>
                <w:rFonts w:hint="eastAsia"/>
              </w:rPr>
              <w:t>2）两仓“到货确认”核放单超期未申报预警：采用企业入库、出库所关联的核注清单/报关单，查找核注清单所关联的核放单，对24小时后无核放单的入库/出库记录进行提示。</w:t>
            </w:r>
          </w:p>
          <w:p>
            <w:pPr>
              <w:ind w:firstLine="0"/>
              <w:jc w:val="left"/>
            </w:pPr>
            <w:r>
              <w:rPr>
                <w:rFonts w:hint="eastAsia"/>
              </w:rPr>
              <w:t>3）在途运输时间预警：关联出库单与运单记录，将出库时间与签收时间进行比对，对超过阈值的出库记录进行预警。</w:t>
            </w:r>
          </w:p>
          <w:p>
            <w:pPr>
              <w:ind w:firstLine="0"/>
              <w:jc w:val="left"/>
            </w:pPr>
            <w:r>
              <w:rPr>
                <w:rFonts w:hint="eastAsia"/>
              </w:rPr>
              <w:t>2、规则模型监测预警指标</w:t>
            </w:r>
          </w:p>
          <w:p>
            <w:pPr>
              <w:ind w:firstLine="0"/>
              <w:jc w:val="left"/>
            </w:pPr>
            <w:r>
              <w:rPr>
                <w:rFonts w:hint="eastAsia"/>
              </w:rPr>
              <w:t>1）企业周期时长内无新增工单：筛选已对接加工贸易企业的生产工单记录，对超过阈值时长无新增工单的企业进行标识。</w:t>
            </w:r>
          </w:p>
          <w:p>
            <w:pPr>
              <w:ind w:firstLine="0"/>
              <w:jc w:val="left"/>
            </w:pPr>
            <w:r>
              <w:rPr>
                <w:rFonts w:hint="eastAsia"/>
              </w:rPr>
              <w:t>2）企业周期时长内无入库：筛选已对接加工贸易企业的物料入库记录，对超过阈值时长无入库记录的企业进行标识。</w:t>
            </w:r>
          </w:p>
          <w:p>
            <w:pPr>
              <w:ind w:firstLine="0"/>
              <w:jc w:val="left"/>
            </w:pPr>
            <w:r>
              <w:rPr>
                <w:rFonts w:hint="eastAsia"/>
              </w:rPr>
              <w:t>3）企业周期时长内无出库：筛选对接加工贸易企业的成品出库记录，对超过阈值时长无出库记录的企业进行标识。</w:t>
            </w:r>
          </w:p>
          <w:p>
            <w:pPr>
              <w:ind w:firstLine="0"/>
              <w:jc w:val="left"/>
            </w:pPr>
            <w:r>
              <w:rPr>
                <w:rFonts w:hint="eastAsia"/>
              </w:rPr>
              <w:t>4）深加工结转转入真实性：关联企业物料入库表及物料对应关系表，筛选已对接加工贸易企业上个月深加工结转转入核注清单记录，对申报的物料不存在上上个月入库记录或上个月入库记录的核注清单及物料进行标识。</w:t>
            </w:r>
          </w:p>
          <w:p>
            <w:pPr>
              <w:ind w:firstLine="0"/>
              <w:jc w:val="left"/>
            </w:pPr>
            <w:r>
              <w:rPr>
                <w:rFonts w:hint="eastAsia"/>
              </w:rPr>
              <w:t>5）深加工结转转出真实性：关联企业成品出库表及成品对应关系表，筛选已对接加工贸易企业上个月深加工结转转出核注清单记录，对申报的成品不存在上上个月出库记录或上个月出库记录的核注清单及成品进行标识。</w:t>
            </w:r>
          </w:p>
          <w:p>
            <w:pPr>
              <w:ind w:firstLine="0"/>
              <w:jc w:val="left"/>
            </w:pPr>
            <w:r>
              <w:rPr>
                <w:rFonts w:hint="eastAsia"/>
              </w:rPr>
              <w:t>6）“仓厂联动”货物流转真实性：根据转出的核注清单筛选保税物流企业出库记录，汇总出库数量。根据转出的核注清单关联的转入核注清单，筛选加贸企业入库记录，汇总入库数量。对比出库与入库的数量，差异进行提示。</w:t>
            </w:r>
          </w:p>
          <w:p>
            <w:pPr>
              <w:ind w:firstLine="0"/>
              <w:jc w:val="left"/>
            </w:pPr>
            <w:r>
              <w:rPr>
                <w:rFonts w:hint="eastAsia"/>
              </w:rPr>
              <w:t>7）库存比对：企业库存为最新库存信息表的记录，通过《企业货号海关料号对应关系表》进行查找和换算成对应备案商品编码、商品名称及申报计量单位的企业库存数量。海关理论库存为入库数量减出库数量，入库数量=进区卡口登记货物核放单的商品数量+进境备案清单的商品数量+收货入仓记录表的商品数量，出库数量=出区卡口登记货物核放单的商品数量+出境备案清单的商品数量+发货出仓记录表的商品数量。按不同商品对企业库存数量与海关理论库存数量进行比对。</w:t>
            </w:r>
          </w:p>
          <w:p>
            <w:pPr>
              <w:ind w:firstLine="0"/>
              <w:jc w:val="left"/>
            </w:pPr>
            <w:r>
              <w:rPr>
                <w:rFonts w:hint="eastAsia"/>
              </w:rPr>
              <w:t>8）出库数量偏差：海关单证出口数量通过核放单及备案清单，按商品编码、原产地均一致的合并为一条记录，并汇总数量。企业出库数量根据核放单号/备案清单号查询所关联的企业发货出仓记录，通过《企业货号海关料号对应关系表》，将企业内部商品料号和数量换算成对应备案商品编码、原产地及备案计量单位的出库数量。将海关单证出口数量与企业出库数量进行比对。</w:t>
            </w:r>
          </w:p>
          <w:p>
            <w:pPr>
              <w:ind w:firstLine="0"/>
              <w:jc w:val="left"/>
              <w:rPr>
                <w:lang w:bidi="en-US"/>
              </w:rPr>
            </w:pPr>
            <w:r>
              <w:rPr>
                <w:rFonts w:hint="eastAsia"/>
              </w:rPr>
              <w:t>9）入库数量偏差：海关单证进口数量通过核放单及备案清单，按商品编码、原产地均一致的合并为一条记录，并汇总数量。企业入库数量根据核放单号/备案清单号查询所关联的企业收货入仓记录，通过《企业货号海关料号对应关系表》，将企业内部商品料号和数量换算成对应备案商品编码、原产地及备案计量单位的入库数量。将海关单证进口数量与企业入库数量进行比对。</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55</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升级保税日常监管业务辅助应用-升级智慧预警功能-优化指标展示与处置功能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pPr>
            <w:r>
              <w:rPr>
                <w:rFonts w:hint="eastAsia"/>
              </w:rPr>
              <w:t>优化后预警指标展示与处置功能，系统根据不同指标类型及风险等级进行分类处置：</w:t>
            </w:r>
          </w:p>
          <w:p>
            <w:pPr>
              <w:ind w:firstLine="0"/>
              <w:jc w:val="left"/>
            </w:pPr>
            <w:r>
              <w:rPr>
                <w:rFonts w:hint="eastAsia"/>
              </w:rPr>
              <w:t>1、企业风险预警指标：所有风险等级指标均由关员进行处置。</w:t>
            </w:r>
          </w:p>
          <w:p>
            <w:pPr>
              <w:ind w:firstLine="0"/>
              <w:jc w:val="left"/>
            </w:pPr>
            <w:r>
              <w:rPr>
                <w:rFonts w:hint="eastAsia"/>
              </w:rPr>
              <w:t>2、规则模型监测预警指标：中低风险指标首次提示推送给企业进行核实，下一监控节点如不再提示系统自动办结，下一监控节点如继续提示转高风险，提示关员进行处置；高风险指标直接提示关员，由多部门多环节联合研判处置。</w:t>
            </w:r>
          </w:p>
          <w:p>
            <w:pPr>
              <w:ind w:firstLine="0"/>
              <w:jc w:val="left"/>
            </w:pPr>
            <w:r>
              <w:rPr>
                <w:rFonts w:hint="eastAsia"/>
              </w:rPr>
              <w:t>企业风险预警包括系统连接断开超时、企业库存商品长时间未出仓预警、出入库单超期未集报预警、两仓“到货确认”核放单超期未申报预警、货物一线入区（仓）超时预警、在途运输时间预警6个中风险指标。</w:t>
            </w:r>
          </w:p>
          <w:p>
            <w:pPr>
              <w:ind w:firstLine="0"/>
              <w:jc w:val="left"/>
            </w:pPr>
            <w:r>
              <w:rPr>
                <w:rFonts w:hint="eastAsia"/>
              </w:rPr>
              <w:t>规则模型监测预警包括企业周期时长内无新增工单1个低风险指标；深加工结转转入真实性、深加工结转转出真实性、“仓厂联动”货物流转真实性、库存比对、出库数量偏差、入库数量偏差6个中风险指标；企业周期时长内无入库、企业周期时长内无出库2个高风险指标。</w:t>
            </w:r>
          </w:p>
          <w:p>
            <w:pPr>
              <w:ind w:firstLine="0"/>
              <w:jc w:val="left"/>
            </w:pPr>
            <w:r>
              <w:rPr>
                <w:rFonts w:hint="eastAsia"/>
              </w:rPr>
              <w:t>3、指标推送。系统自动将中低风险规则模型监测预警指标数据推送至企业PC端（web）。</w:t>
            </w:r>
          </w:p>
          <w:p>
            <w:pPr>
              <w:ind w:firstLine="0"/>
              <w:jc w:val="left"/>
            </w:pPr>
            <w:r>
              <w:rPr>
                <w:rFonts w:hint="eastAsia"/>
              </w:rPr>
              <w:t>4、推送记录查询。查询推送到企业的中低风险规则模型监测预警指标记录。包括推送列表及推送详情查询。</w:t>
            </w:r>
          </w:p>
          <w:p>
            <w:pPr>
              <w:ind w:firstLine="0"/>
              <w:jc w:val="left"/>
            </w:pPr>
            <w:r>
              <w:rPr>
                <w:rFonts w:hint="eastAsia"/>
              </w:rPr>
              <w:t>5、企业风险预警指标查询。</w:t>
            </w:r>
          </w:p>
          <w:p>
            <w:pPr>
              <w:ind w:firstLine="0"/>
              <w:jc w:val="left"/>
            </w:pPr>
            <w:r>
              <w:rPr>
                <w:rFonts w:hint="eastAsia"/>
              </w:rPr>
              <w:t>指标包括系统连接断开超时、企业库存商品长时间未出仓预警、出入库单超期未集报预警、两仓“到货确认”核放单超期未申报预警、货物一线入区（仓）超时预警、在途运输超时间预警。</w:t>
            </w:r>
          </w:p>
          <w:p>
            <w:pPr>
              <w:ind w:firstLine="0"/>
              <w:jc w:val="left"/>
            </w:pPr>
            <w:r>
              <w:rPr>
                <w:rFonts w:hint="eastAsia"/>
              </w:rPr>
              <w:t>1）指标记录列表查询。展示企业风险预警类指标记录列表。列表字段包括企业海关编码、企业名称、企业类型、风险点、风险级别、预警时间、状态、处置意见、处置人、处置时间。</w:t>
            </w:r>
          </w:p>
          <w:p>
            <w:pPr>
              <w:ind w:firstLine="0"/>
              <w:jc w:val="left"/>
            </w:pPr>
            <w:r>
              <w:rPr>
                <w:rFonts w:hint="eastAsia"/>
              </w:rPr>
              <w:t>2）指标详情查询。指标记录列表下钻，展示指标详细信息。不同指标展示不同详情信息。</w:t>
            </w:r>
          </w:p>
          <w:p>
            <w:pPr>
              <w:ind w:firstLine="0"/>
              <w:jc w:val="left"/>
            </w:pPr>
            <w:r>
              <w:rPr>
                <w:rFonts w:hint="eastAsia"/>
              </w:rPr>
              <w:t>6、规则模型监测预警指标查询。</w:t>
            </w:r>
          </w:p>
          <w:p>
            <w:pPr>
              <w:ind w:firstLine="0"/>
              <w:jc w:val="left"/>
            </w:pPr>
            <w:r>
              <w:rPr>
                <w:rFonts w:hint="eastAsia"/>
              </w:rPr>
              <w:t>指标包括企业周期时长内无新增工单、深加工结转转入真实性、深加工结转转出真实性、“仓厂联动”货物流转真实性、库存比对、出库数量偏差、入库数量偏差、企业周期时长内无入库、企业周期时长内无出库。</w:t>
            </w:r>
          </w:p>
          <w:p>
            <w:pPr>
              <w:ind w:firstLine="0"/>
              <w:jc w:val="left"/>
            </w:pPr>
            <w:r>
              <w:rPr>
                <w:rFonts w:hint="eastAsia"/>
              </w:rPr>
              <w:t>指标列表查询。展示规则模型监测预警类指标记录列表，列表字段包括指标名称、指标类型、未处置数、已处置数。</w:t>
            </w:r>
          </w:p>
          <w:p>
            <w:pPr>
              <w:ind w:firstLine="0"/>
              <w:jc w:val="left"/>
            </w:pPr>
            <w:r>
              <w:rPr>
                <w:rFonts w:hint="eastAsia"/>
              </w:rPr>
              <w:t>待处置记录查询。支持查询待处置列表及详情。</w:t>
            </w:r>
          </w:p>
          <w:p>
            <w:pPr>
              <w:ind w:firstLine="0"/>
              <w:jc w:val="left"/>
            </w:pPr>
            <w:r>
              <w:rPr>
                <w:rFonts w:hint="eastAsia"/>
              </w:rPr>
              <w:t>已处置记录查询。支持查询已处置列表及详情。</w:t>
            </w:r>
          </w:p>
          <w:p>
            <w:pPr>
              <w:ind w:firstLine="0"/>
              <w:jc w:val="left"/>
            </w:pPr>
            <w:r>
              <w:rPr>
                <w:rFonts w:hint="eastAsia"/>
              </w:rPr>
              <w:t>7、指标处置。1）待处置详情页面，输入处置意见，提交后完成处置；</w:t>
            </w:r>
          </w:p>
          <w:p>
            <w:pPr>
              <w:ind w:firstLine="0"/>
              <w:jc w:val="left"/>
            </w:pPr>
            <w:r>
              <w:rPr>
                <w:rFonts w:hint="eastAsia"/>
              </w:rPr>
              <w:t>2）企业风险预警指标支持选择多笔记录，输入处置意见，提交后完成批量处置。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712"/>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56</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升级保税日常监管业务辅助应用-升级智慧预警功能-升级参数维护功能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参数维护功能升级内容：</w:t>
            </w:r>
          </w:p>
          <w:p>
            <w:pPr>
              <w:ind w:firstLine="0"/>
              <w:jc w:val="left"/>
            </w:pPr>
            <w:r>
              <w:rPr>
                <w:rFonts w:hint="eastAsia"/>
              </w:rPr>
              <w:t>优化原有指标阈值设置功能。企业周期时长内无入库指标、企业周期时长内无出库指标、企业周期时长无新增工单指标由推送指标、分析指标调整为预警指标，原有指标阈值设置功能相应进行调整。</w:t>
            </w:r>
          </w:p>
          <w:p>
            <w:pPr>
              <w:ind w:firstLine="0"/>
              <w:jc w:val="left"/>
            </w:pPr>
            <w:r>
              <w:rPr>
                <w:rFonts w:hint="eastAsia"/>
              </w:rPr>
              <w:t>指标阈值设置功能新增指标。原有通用指标阈值设置及企业个性化指标阈值设置功能新增在途运输时间预警指标、两仓“到货确认”核放单超期未申报预警指标、“仓厂联动”货物流转真实性指标。</w:t>
            </w:r>
          </w:p>
          <w:p>
            <w:pPr>
              <w:ind w:firstLine="0"/>
              <w:jc w:val="left"/>
            </w:pPr>
            <w:r>
              <w:rPr>
                <w:rFonts w:hint="eastAsia"/>
              </w:rPr>
              <w:t>新建指标停/启用设置功能。指标停用、启用设置功能分为通用指标停用/启用设置及企业个性化指标停用/启用设置。指标是否启用优先遵循企业个性化指标设置。指标包括：企业周期时长内无入库指标、企业周期时长内无出库指标、企业周期时长内无新增工单指标、在途运输时间预警指标、深加工结转转入真实性预警指标、深加工结转转出真实性预警指标、“仓厂联动”货物流转真实性指标、库存比对预警指标、出库数量偏差指标、入库数量偏差指标、两仓“到货确认”核放单超期未申报预警。</w:t>
            </w:r>
          </w:p>
          <w:p>
            <w:pPr>
              <w:ind w:firstLine="0"/>
              <w:jc w:val="left"/>
            </w:pPr>
            <w:r>
              <w:rPr>
                <w:rFonts w:hint="eastAsia"/>
              </w:rPr>
              <w:t>整合原有仓储指标参数维护功能。本项目对原有仓储指标参数维护功能整合如下：</w:t>
            </w:r>
          </w:p>
          <w:p>
            <w:pPr>
              <w:ind w:firstLine="0"/>
              <w:jc w:val="left"/>
            </w:pPr>
            <w:r>
              <w:rPr>
                <w:rFonts w:hint="eastAsia"/>
              </w:rPr>
              <w:t>1）通用指标阈值设置功能页面及页面取数逻辑调整；</w:t>
            </w:r>
          </w:p>
          <w:p>
            <w:pPr>
              <w:ind w:firstLine="0"/>
              <w:jc w:val="left"/>
            </w:pPr>
            <w:r>
              <w:rPr>
                <w:rFonts w:hint="eastAsia"/>
              </w:rPr>
              <w:t>2）企业个性化指标阈值设置功能页面及页面取数逻辑调整；</w:t>
            </w:r>
          </w:p>
          <w:p>
            <w:pPr>
              <w:ind w:firstLine="0"/>
              <w:jc w:val="left"/>
            </w:pPr>
            <w:r>
              <w:rPr>
                <w:rFonts w:hint="eastAsia"/>
              </w:rPr>
              <w:t>3）通用指标停用/启用设置功能页面及页面取数逻辑调整；</w:t>
            </w:r>
          </w:p>
          <w:p>
            <w:pPr>
              <w:ind w:firstLine="0"/>
              <w:jc w:val="left"/>
            </w:pPr>
            <w:r>
              <w:rPr>
                <w:rFonts w:hint="eastAsia"/>
              </w:rPr>
              <w:t>4）企业个性化指标停用/启用设置功能页面及页面取数逻辑调整。</w:t>
            </w:r>
          </w:p>
          <w:p>
            <w:pPr>
              <w:ind w:firstLine="0"/>
              <w:jc w:val="left"/>
              <w:rPr>
                <w:lang w:bidi="en-US"/>
              </w:rPr>
            </w:pPr>
            <w:r>
              <w:rPr>
                <w:rFonts w:hint="eastAsia"/>
              </w:rPr>
              <w:t>指标包含：系统连接断开超时预警指标、企业库存商品长时间未出仓预警指标、出入库单超期未集报预警、货物入区（一线）超时预警指标。</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57</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升级保税日常监管业务辅助应用-升级智慧辅助功能-升级企业数据查询功能及优化支持工具功能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优化企业展示列表功能。因业务领域的拓展与应用功能的整合，需对原有企业展示列表进行优化，优化后企业展示列表信息包括统一社会信用代码、企业海关编码/仓库编码、企业名称、主管海关、业务领域等。</w:t>
            </w:r>
          </w:p>
          <w:p>
            <w:pPr>
              <w:ind w:firstLine="0"/>
              <w:jc w:val="left"/>
            </w:pPr>
            <w:r>
              <w:rPr>
                <w:rFonts w:hint="eastAsia"/>
              </w:rPr>
              <w:t>2、优化标准表展示入口功能。因业务领域的拓展与应用功能的整合，需对原有标准表展示入口功能进行优化，优化后标准表展示入口功能：1）根据系统所维护的企业业务领域，展示相应标准表入口；2）根据数据采集监控模块的对接信息进行区分展示，已对接的标准表可点入进行查询，未对接的标准表置灰不可点；3）对于仓储管理企业，根据不同企业性质（旧对接企业、新对接企业）展示相应标准表入口。</w:t>
            </w:r>
          </w:p>
          <w:p>
            <w:pPr>
              <w:ind w:firstLine="0"/>
              <w:jc w:val="left"/>
            </w:pPr>
            <w:r>
              <w:rPr>
                <w:rFonts w:hint="eastAsia"/>
              </w:rPr>
              <w:t>3、优化加工贸易企业标准表详情查询。展示标识为“正常”记录，以及标识为“更新”、“更正”、“更新/更正”其中一种，企业数据更新时间为最新的记录。对于无标识的记录，全部进行展示。有数据标识且唯一的记录，可下钻查询同一全局唯一标识的历史记录。默认按“企业数据更新日期”进行倒序排序。有数据标识但不唯一的记录，可下钻查询同一数据标识下的历史记录。默认按“企业数据更新日期”进行倒序排序。根据最新对接标准，对展示字段及筛选条件，手动排序功能进行优化，涉及标准表：采购订单表、收货单表、物料/商品入库表、销售订单表、成品/商品出库表、送货单表、库存明细表增加备用、标识字段及备用、标识字段筛选条件；8）物料设备信息表、工单表、原物料发料表、成品入库表、物料对应关系表、成品对应关系表、物料中英文对照表、成品中英文对照表、耗能表、付款记账表、收款记账表。</w:t>
            </w:r>
          </w:p>
          <w:p>
            <w:pPr>
              <w:ind w:firstLine="0"/>
              <w:jc w:val="left"/>
            </w:pPr>
            <w:r>
              <w:rPr>
                <w:rFonts w:hint="eastAsia"/>
              </w:rPr>
              <w:t>4、新增科创企业标准表详情查询。可对所采集的企业标准表数据进行筛选查询，所查询信息包括所采集</w:t>
            </w:r>
          </w:p>
          <w:p>
            <w:pPr>
              <w:ind w:firstLine="0"/>
              <w:jc w:val="left"/>
            </w:pPr>
            <w:r>
              <w:rPr>
                <w:rFonts w:hint="eastAsia"/>
              </w:rPr>
              <w:t>的企业数据及相应的标识。系统以全局唯一标识判断为同一笔记录，对记录进行标识，分为正常、更新、更正3种。“正常”指该笔记录数据治理结果正常且未进行更新。“更新”指该笔记录出现更新的情况；“更正”指该笔记录出现过数据治理结果异常的情况。科创企业标准表包括采购订单表、收货单表、物料/商品入库表、销售订单表、成品/商品出库表、送货单表、库存明细表、物料设备信息表、工单表、原物料发料表。</w:t>
            </w:r>
          </w:p>
          <w:p>
            <w:pPr>
              <w:ind w:firstLine="0"/>
              <w:jc w:val="left"/>
            </w:pPr>
            <w:r>
              <w:rPr>
                <w:rFonts w:hint="eastAsia"/>
              </w:rPr>
              <w:t>优化仓储管理企业标准表详情查询。</w:t>
            </w:r>
          </w:p>
          <w:p>
            <w:pPr>
              <w:ind w:firstLine="0"/>
              <w:jc w:val="left"/>
            </w:pPr>
            <w:r>
              <w:rPr>
                <w:rFonts w:hint="eastAsia"/>
              </w:rPr>
              <w:t>新对接数据：展示标识为“正常”记录，以及标识为“更新”、“更正”、“更新/更正”其中一种，企业数据更新时间为最新的记录。对于无标识的记录，全部进行展示。有数据标识且唯一的记录，可下钻查询同一全局唯一标识的历史记录。默认按“企业数据更新日期”进行倒序排序。有数据标识但不唯一的记录，可下钻查询同一数据标识下的历史记录。默认按“企业数据更新日期”进行倒序排序。根据最新对接标准，对新对接数据展示字段及筛选条件，手动排序功能进行优化，涉及标准表：到货订单表、收货入仓记录表、货物上架信息表、库存信息表、货物移动信息表、企业货号与海关料号对应关系表、发货订单表、货物下架信息表、发货出仓记录表、运单表。对旧对接数据展示字段及筛选条件，手动排序功能进行优化，涉及标准表：货物移动信息表、库存信息表、库位货物信息表、</w:t>
            </w:r>
          </w:p>
          <w:p>
            <w:pPr>
              <w:ind w:firstLine="0"/>
              <w:jc w:val="left"/>
              <w:rPr>
                <w:lang w:bidi="en-US"/>
              </w:rPr>
            </w:pPr>
            <w:r>
              <w:rPr>
                <w:rFonts w:hint="eastAsia"/>
              </w:rPr>
              <w:t>企业车辆装卸记录、企业货号海关料号对应关系、企业货物出入库记录表、企业货物上下架信息表。6.优化支持工具功能：对原有支持工具功能入口进行调整，将入口调整至“智慧辅助”功能菜单下。</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58</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升级保税日常监管业务辅助应用-升级保税日常监管业务关企交互功能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1.新增企业端移动端（小程序）消息：通知系统推送指标数据至企业PC端（web）时，同时在企业移动端（小程序）产生通知消息给企业人员。  2.新增年度盘点报告功能：1）企业PC端（web）提供年度盘点报告功能，用于企业上传及查询年度盘点报告。</w:t>
            </w:r>
          </w:p>
          <w:p>
            <w:pPr>
              <w:ind w:firstLine="0"/>
              <w:jc w:val="left"/>
              <w:rPr>
                <w:lang w:bidi="en-US"/>
              </w:rPr>
            </w:pPr>
            <w:r>
              <w:rPr>
                <w:rFonts w:hint="eastAsia"/>
              </w:rPr>
              <w:t>2）支持展示当前未上报年度记录列表，列表字段为年度。系统可自动生成最新年度记录。3）支持选定年度，上传附件，附件支持图片、PDF。完成附件上传，提交报告至海关端。4）支持重新上传报告。支持查看已上传的报告。3.新增指标推送查询功能：企业PC端（web）提供指标推送查询功能，用于企业查询海关推送的指标。1）推送指标包括企业周期时长内无新增工单详情查询、深加工结转转入真实性详情查询、深加工结转转出真实性详情查询、“仓厂联动”货物流转真实性详情查询、库存比对详情查询、出库数量偏差详情查询、入库数量偏差详情查询。2）展示海关端的指标推送记录。列表字段：包括推送日期、推送指标、指标详情。3）推送记录列表下钻，展示指标详情，不同指标展示不同详情信息。4）支持输入处置说明，提交后完成指标的处置。5）支持查看已处置的指标记录及详情。</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59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升级保税日常监管业务辅助应用-新建可视化适用配置功能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支持针对单个企业，对企业是否适用分析模型进行可视化配置。</w:t>
            </w:r>
          </w:p>
          <w:p>
            <w:pPr>
              <w:ind w:firstLine="0"/>
              <w:jc w:val="left"/>
            </w:pPr>
            <w:r>
              <w:rPr>
                <w:rFonts w:hint="eastAsia"/>
              </w:rPr>
              <w:t>1、企业列表查询。展示已对接企业记录列表。列表字段包括企业海关编码、企业名称、业务领域等。</w:t>
            </w:r>
          </w:p>
          <w:p>
            <w:pPr>
              <w:ind w:firstLine="0"/>
              <w:jc w:val="left"/>
            </w:pPr>
            <w:r>
              <w:rPr>
                <w:rFonts w:hint="eastAsia"/>
              </w:rPr>
              <w:t>2、分析模型查询。企业列表下钻展示企业所属业务领域分析模型列表，分析模型包括：1）视同已报备相关功能，包括归并关系分析、耗料动态分析、报核数据自动关联分析、保税货物收发货情况分析、仓储情况分析、工单发料分析、边角料残次品动态分析、通关单证与ERP物料信息比对查询、在途货物报备情况查询、保税料件耗用全流程分析；2）数据关联分析相关功能，包括对应关系分析、入库关联分析、出库关联分析、仓储情况分析；3）保税仓库分送集报监管、商品流转出区风险提示、长期未退运风险提示、货物销毁情况监控、区内耗料分析功能。</w:t>
            </w:r>
          </w:p>
          <w:p>
            <w:pPr>
              <w:ind w:firstLine="0"/>
              <w:jc w:val="left"/>
              <w:rPr>
                <w:lang w:bidi="en-US"/>
              </w:rPr>
            </w:pPr>
            <w:r>
              <w:rPr>
                <w:rFonts w:hint="eastAsia"/>
              </w:rPr>
              <w:t>3、停启用设置。支持对企业所属业务领域分析模型进行停用/启用设置。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60</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升级保税日常监管业务辅助应用-权限控制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1、海关端功能使用权限控制</w:t>
            </w:r>
          </w:p>
          <w:p>
            <w:pPr>
              <w:ind w:firstLine="0"/>
              <w:jc w:val="left"/>
            </w:pPr>
            <w:r>
              <w:rPr>
                <w:rFonts w:hint="eastAsia"/>
              </w:rPr>
              <w:t>1）对功能模块入口、菜单分别设置权限点。</w:t>
            </w:r>
          </w:p>
          <w:p>
            <w:pPr>
              <w:ind w:firstLine="0"/>
              <w:jc w:val="left"/>
            </w:pPr>
            <w:r>
              <w:rPr>
                <w:rFonts w:hint="eastAsia"/>
              </w:rPr>
              <w:t>2）企业数据查询功能及智慧预警功能，按加工贸易、科创、保税物流、保税维修分别设置对应权限点。</w:t>
            </w:r>
          </w:p>
          <w:p>
            <w:pPr>
              <w:ind w:firstLine="0"/>
              <w:jc w:val="left"/>
            </w:pPr>
            <w:r>
              <w:rPr>
                <w:rFonts w:hint="eastAsia"/>
              </w:rPr>
              <w:t>3）南头海关监管全深圳关区的加工贸易企业，为适应南头海关的应用需求，对智慧预警功能中加工贸易指标、加工贸易企业数据查询功能分别增设一个权限点，此两个权限点不进行数据隔离，用于南头海关授权。</w:t>
            </w:r>
          </w:p>
          <w:p>
            <w:pPr>
              <w:ind w:firstLine="0"/>
              <w:jc w:val="left"/>
            </w:pPr>
            <w:r>
              <w:rPr>
                <w:rFonts w:hint="eastAsia"/>
              </w:rPr>
              <w:t>4）风控管理部门监管全深圳关区的企业，为适应风控管理部门的应用需求，对智慧预警功能及企业数据查询功能分别增设一个权限点，此两个权限点不进行数据隔离，用于风控管理部门授权。</w:t>
            </w:r>
          </w:p>
          <w:p>
            <w:pPr>
              <w:ind w:firstLine="0"/>
              <w:jc w:val="left"/>
            </w:pPr>
            <w:r>
              <w:rPr>
                <w:rFonts w:hint="eastAsia"/>
              </w:rPr>
              <w:t>2、数据查询范围控制</w:t>
            </w:r>
          </w:p>
          <w:p>
            <w:pPr>
              <w:ind w:firstLine="0"/>
              <w:jc w:val="left"/>
            </w:pPr>
            <w:r>
              <w:rPr>
                <w:rFonts w:hint="eastAsia"/>
              </w:rPr>
              <w:t>1）海关端应用功能根据用户所在的不同部门，对用户的数据查询范围进行控制，实现系统应用数据隔离。</w:t>
            </w:r>
          </w:p>
          <w:p>
            <w:pPr>
              <w:ind w:firstLine="0"/>
              <w:jc w:val="left"/>
              <w:rPr>
                <w:lang w:bidi="en-US"/>
              </w:rPr>
            </w:pPr>
            <w:r>
              <w:rPr>
                <w:rFonts w:hint="eastAsia"/>
              </w:rPr>
              <w:t>2）企业端应用功能根据用户的所属企业，对用户的数据查询范围进行控制，用户仅可见所属企业的数据。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61</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升级税收征管业务辅助应用-升级归类异动查询功能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提示相同商品名称及规格型号、不同商品编码的采购订单记录。</w:t>
            </w:r>
          </w:p>
          <w:p>
            <w:pPr>
              <w:ind w:firstLine="0"/>
              <w:jc w:val="left"/>
              <w:rPr>
                <w:lang w:bidi="en-US"/>
              </w:rPr>
            </w:pPr>
            <w:r>
              <w:rPr>
                <w:rFonts w:hint="eastAsia"/>
              </w:rPr>
              <w:t>支持输入条件包括时间段、企业（指定具体企业、不指定企业、多选企业）、商品编码、商品名称、规格型号、匹配情况（精准匹配、模糊匹配）等。系统根据条件筛选一般贸易企业采购订单、报关单数据，然后根据相同商品名称及规格型号进行分组，同一组中出现不同商品编码的记录进行提示。</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62</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升级税收征管业务辅助应用-升级价格异动查询功能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提示相同商品名称及规格型号、单价差异较大的采购订单记录。</w:t>
            </w:r>
          </w:p>
          <w:p>
            <w:pPr>
              <w:ind w:firstLine="0"/>
              <w:jc w:val="left"/>
              <w:rPr>
                <w:lang w:bidi="en-US"/>
              </w:rPr>
            </w:pPr>
            <w:r>
              <w:rPr>
                <w:rFonts w:hint="eastAsia"/>
              </w:rPr>
              <w:t>支持输入条件包括时间段、企业（指定具体企业、不指定企业、多选企业）、商品编码、商品名称、规格型号、匹配情况（精准匹配、模糊匹配）、价格偏离比例（较最高值差值比例）等。系统根据条件筛选一般贸易企业采购订单、报关单数据，然后根据相同商品名称、规格型号进行分组，同一组中出现商品单价（人民币计）偏离的记录进行提示。该功能允许增加汇率参数，根据币种和汇率参数计算人民币计单价；汇率参数仅保留最新汇率数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63</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升级税收征管业务辅助应用-优化原有指标阈值设置功能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原有指标阈值设置功能新增价格异动偏离比例设置，支持对价格异动查询功能中的价格偏离比例进行修改。</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64</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升级税收征管业务辅助应用-权限控制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1、海关端功能使用权限控制。对功能菜单分别设置权限点。</w:t>
            </w:r>
          </w:p>
          <w:p>
            <w:pPr>
              <w:ind w:firstLine="0"/>
              <w:jc w:val="left"/>
              <w:rPr>
                <w:lang w:bidi="en-US"/>
              </w:rPr>
            </w:pPr>
            <w:r>
              <w:rPr>
                <w:rFonts w:hint="eastAsia"/>
              </w:rPr>
              <w:t>2、数据查询范围控制。海关端应用功能根据用户所在的不同部门，对用户的数据查询范围进行控制，实现系统应用数据隔离。</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65</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升级卫生检验业务辅助应用-升级首页展示功能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1、新建统计数据展示功能。统计指标包括企业数量、审批数量、通关批次、货值。</w:t>
            </w:r>
          </w:p>
          <w:p>
            <w:pPr>
              <w:ind w:firstLine="0"/>
              <w:jc w:val="left"/>
            </w:pPr>
            <w:r>
              <w:rPr>
                <w:rFonts w:hint="eastAsia"/>
              </w:rPr>
              <w:t>2、新建属地展示功能。1）展示深圳关区矢量图（标识属地海关，可切换至口岸地图），可切换属地海关数据；2）展示属地统计数据，包括各辖区特殊物品企业数量、各辖区审批量、不同风险等级审批量、各辖区特殊物品企业通关批次及货值。</w:t>
            </w:r>
          </w:p>
          <w:p>
            <w:pPr>
              <w:ind w:firstLine="0"/>
              <w:jc w:val="left"/>
            </w:pPr>
            <w:r>
              <w:rPr>
                <w:rFonts w:hint="eastAsia"/>
              </w:rPr>
              <w:t>3、新建口岸展示功能。1）展示深圳关区矢量图（标识口岸海关，可切换至属地地图），可切换口岸海关数据；2）展示口岸统计数据，包括各口岸特殊物品通关批次、来源国、口岸来源国、输出国、口岸输出国。</w:t>
            </w:r>
          </w:p>
          <w:p>
            <w:pPr>
              <w:ind w:firstLine="0"/>
              <w:jc w:val="left"/>
            </w:pPr>
            <w:r>
              <w:rPr>
                <w:rFonts w:hint="eastAsia"/>
              </w:rPr>
              <w:t>4、新建企业分析功能。1）展示企业基本信息，包括企业海关编码、企业名称、主管海关等；2）柱状图按月展示当年每月审批单数量统计值及同比（近两年）；3）列表展示来源国，当年每月批次（报关单票数）、货值；4）列表展示生产厂家，当年每月批次（报关单票数）、货值。</w:t>
            </w:r>
          </w:p>
          <w:p>
            <w:pPr>
              <w:ind w:firstLine="0"/>
              <w:jc w:val="left"/>
              <w:rPr>
                <w:lang w:bidi="en-US"/>
              </w:rPr>
            </w:pPr>
            <w:r>
              <w:rPr>
                <w:rFonts w:hint="eastAsia"/>
              </w:rPr>
              <w:t>5、升级企业数据查询功能。新增采购订单表、库存明细表、工单表、原物料发料表详情查询功能。</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66</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升级卫生检验业务辅助应用-新建监测预警功能-预警指标</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货证不符预警：筛选已对接卫检企业审批单数据，通过审批单关联报关单，根据报关单筛选企业入库记录，比对审批单上与入库记录的商品名称、规格型号、原产国，输出比对不符记录；</w:t>
            </w:r>
          </w:p>
          <w:p>
            <w:pPr>
              <w:ind w:firstLine="0"/>
              <w:jc w:val="left"/>
            </w:pPr>
            <w:r>
              <w:rPr>
                <w:rFonts w:hint="eastAsia"/>
              </w:rPr>
              <w:t>长期未入库预警：筛选已对接卫检企业的报关单数据，通过报关单上的货物属性区分高风险特殊物品（A、B级），获取已办结的入境高风险特殊物品报关单号，输出超过设定阈值未关联入库记录的报关单号及相关高风险特殊物品名称；</w:t>
            </w:r>
          </w:p>
          <w:p>
            <w:pPr>
              <w:ind w:firstLine="0"/>
              <w:jc w:val="left"/>
            </w:pPr>
            <w:r>
              <w:rPr>
                <w:rFonts w:hint="eastAsia"/>
              </w:rPr>
              <w:t>生成上述指标产生的预警待处置列表，列表可按日期、企业、指标等进行查询，并可对预警进行处置；</w:t>
            </w:r>
          </w:p>
          <w:p>
            <w:pPr>
              <w:ind w:firstLine="0"/>
              <w:jc w:val="left"/>
              <w:rPr>
                <w:lang w:bidi="en-US"/>
              </w:rPr>
            </w:pPr>
            <w:r>
              <w:rPr>
                <w:rFonts w:hint="eastAsia"/>
              </w:rPr>
              <w:t>处置完成后进入已处置列表，列表可按日期、企业、指标等进行查询。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67</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升级卫生检验业务辅助应用-新建监测预警功能-监测指标</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使用情况异常监测：筛选已对接卫检企业的库存、入库、发料记录，取最早库存日期的库存记录作为基础库存，取最新库存日期的库存记录作为累计库存，按不同物料名称，输出累计入库数、累计发料数、基础库存数、累计库存数、合计数（发料+库存），对基础库存+累计入库数-累计发料数≠累计库存数的高亮显示。</w:t>
            </w:r>
          </w:p>
          <w:p>
            <w:pPr>
              <w:ind w:firstLine="0"/>
              <w:jc w:val="left"/>
              <w:rPr>
                <w:lang w:bidi="en-US"/>
              </w:rPr>
            </w:pPr>
            <w:r>
              <w:rPr>
                <w:rFonts w:hint="eastAsia"/>
              </w:rPr>
              <w:t>上述指标可按企业、物料进行查询，并可对累计入库、累计发料、基础库存、累计库存进行详情查询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68</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升级卫生检验业务辅助应用-新建特殊物品后续监管网上辅助功能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任务新增：支持输入任务基本信息，审批单号、报关单号、选择任务组员等进行特殊物品后续监管网上辅助任务新增。</w:t>
            </w:r>
          </w:p>
          <w:p>
            <w:pPr>
              <w:ind w:firstLine="0"/>
              <w:jc w:val="left"/>
            </w:pPr>
            <w:r>
              <w:rPr>
                <w:rFonts w:hint="eastAsia"/>
              </w:rPr>
              <w:t>任务实施：自动获取任务基本信息，并随附相关照片，对实验室、生产商家、规格、数量等进行一致性分析并进行表单自动回写，支持填写任务结果，并可对表单进行暂存、预览、提交确认及正式提交。</w:t>
            </w:r>
          </w:p>
          <w:p>
            <w:pPr>
              <w:ind w:firstLine="0"/>
              <w:jc w:val="left"/>
            </w:pPr>
            <w:r>
              <w:rPr>
                <w:rFonts w:hint="eastAsia"/>
              </w:rPr>
              <w:t>任务复合及修改：建立任务流转流程，任务组复核岗可对任务进行审批，可返回经办岗进行修改。</w:t>
            </w:r>
          </w:p>
          <w:p>
            <w:pPr>
              <w:ind w:firstLine="0"/>
              <w:jc w:val="left"/>
            </w:pPr>
            <w:r>
              <w:rPr>
                <w:rFonts w:hint="eastAsia"/>
              </w:rPr>
              <w:t>企业文件查询：复核通过的任务，触发系统将表单发送至企业PC端，企业根据要求提交文件后，在相关任务中展示企业返回的文件，并可对文件进行查看、下载、删除，复核岗审核完毕后可办结任务。</w:t>
            </w:r>
          </w:p>
          <w:p>
            <w:pPr>
              <w:ind w:firstLine="0"/>
              <w:jc w:val="left"/>
            </w:pPr>
            <w:r>
              <w:rPr>
                <w:rFonts w:hint="eastAsia"/>
              </w:rPr>
              <w:t>任务查询与统计：在个人工作台展示待办及已办列表，对已提交及办结的任务，可查询表单详情及流转记录。统计用户本人经办的任务总笔数、及用户本人经办的不同状态的任务笔数。</w:t>
            </w:r>
          </w:p>
          <w:p>
            <w:pPr>
              <w:ind w:firstLine="0"/>
              <w:jc w:val="left"/>
              <w:rPr>
                <w:lang w:bidi="en-US"/>
              </w:rPr>
            </w:pPr>
            <w:r>
              <w:rPr>
                <w:rFonts w:hint="eastAsia"/>
              </w:rPr>
              <w:t>任务管理：根据授权按全关区及不同关区分别查询任务列表记录；按全关区及不同关区统计任务总笔数、不同状态下的任务笔数；支持经办岗、复核岗因调岗等原因将任务转交其他人员进行操作。</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69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升级卫生检验业务辅助应用-新建卫生检验业务关企交互功能-海关端-特殊物品后续监管网上辅助</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支持新增、实施及查询特殊物品后续监管网上辅助任务。</w:t>
            </w:r>
          </w:p>
          <w:p>
            <w:pPr>
              <w:ind w:firstLine="0"/>
              <w:jc w:val="left"/>
            </w:pPr>
            <w:r>
              <w:rPr>
                <w:rFonts w:hint="eastAsia"/>
              </w:rPr>
              <w:t>1、任务新增：支持输入任务基本信息，审批单号、报关单号、选择任务组员等进行任务新增。</w:t>
            </w:r>
          </w:p>
          <w:p>
            <w:pPr>
              <w:ind w:firstLine="0"/>
              <w:jc w:val="left"/>
            </w:pPr>
            <w:r>
              <w:rPr>
                <w:rFonts w:hint="eastAsia"/>
              </w:rPr>
              <w:t>2、任务实施：1）支持通过审批单及报关单，自动获取联系人、联系电话、使用单位/实验室名称、地点等信息；2）支持触发随附照片收集任务，查看企业发送的照片，支持本地照片上传及管理；3）支持对审批单及企业入库记录进行一致性分析，分析比对内容包括实验室、名称、生产厂家、输入国家、规格、数量、存储条件；4）支持根据任务基本信息，展示辅助分析信息，辅助分析信息包括审批单信息及企业入库记录信息；5）支持对填写任务表单评价、处理方式，提交复核。</w:t>
            </w:r>
          </w:p>
          <w:p>
            <w:pPr>
              <w:ind w:firstLine="0"/>
              <w:jc w:val="left"/>
            </w:pPr>
            <w:r>
              <w:rPr>
                <w:rFonts w:hint="eastAsia"/>
              </w:rPr>
              <w:t>3、任务复核：支持任务组员查看表单内容及链接数据，提交通过或不通过结果。不通过则进行修改，通过触发表单发送至企业。</w:t>
            </w:r>
          </w:p>
          <w:p>
            <w:pPr>
              <w:ind w:firstLine="0"/>
              <w:jc w:val="left"/>
            </w:pPr>
            <w:r>
              <w:rPr>
                <w:rFonts w:hint="eastAsia"/>
              </w:rPr>
              <w:t>4、任务修改：支持修改复核不通过的任务表单内容，并重新提交复核，</w:t>
            </w:r>
          </w:p>
          <w:p>
            <w:pPr>
              <w:ind w:firstLine="0"/>
              <w:jc w:val="left"/>
            </w:pPr>
            <w:r>
              <w:rPr>
                <w:rFonts w:hint="eastAsia"/>
              </w:rPr>
              <w:t>5、支持查看、下载企业返回的文件，并支持本地上传文件。</w:t>
            </w:r>
          </w:p>
          <w:p>
            <w:pPr>
              <w:ind w:firstLine="0"/>
              <w:jc w:val="left"/>
            </w:pPr>
            <w:r>
              <w:rPr>
                <w:rFonts w:hint="eastAsia"/>
              </w:rPr>
              <w:t>6、支持查看对已提交及办结的任务，表单详情及流转记录。</w:t>
            </w:r>
          </w:p>
          <w:p>
            <w:pPr>
              <w:ind w:firstLine="0"/>
              <w:jc w:val="left"/>
            </w:pPr>
            <w:r>
              <w:rPr>
                <w:rFonts w:hint="eastAsia"/>
              </w:rPr>
              <w:t>7、支持对任务进行统计，包括统计用户本人经办的任务总笔数，以及统计用户本人经办的不同状态任务笔数。</w:t>
            </w:r>
          </w:p>
          <w:p>
            <w:pPr>
              <w:ind w:firstLine="0"/>
              <w:jc w:val="left"/>
              <w:rPr>
                <w:lang w:bidi="en-US"/>
              </w:rPr>
            </w:pPr>
            <w:r>
              <w:rPr>
                <w:rFonts w:hint="eastAsia"/>
              </w:rPr>
              <w:t>8、支持对任务进行管理，包括对任务的查看、统计（用户所在关区维度）及转交。</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70</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升级卫生检验业务辅助应用-新建卫生检验业务关企交互功能-企业PC端（web）-特殊物品后续监管网上辅助</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企业待办任务：企业可查询海关端发送的记录列表，查询监管记录表详情信息，支持企业上传照片、下载照片、发送照片、及查看照片列表；支持监管记录表下载及附件上传，完成任务填写后提交海关端。</w:t>
            </w:r>
          </w:p>
          <w:p>
            <w:pPr>
              <w:ind w:firstLine="0"/>
              <w:jc w:val="left"/>
              <w:rPr>
                <w:lang w:bidi="en-US"/>
              </w:rPr>
            </w:pPr>
            <w:r>
              <w:rPr>
                <w:rFonts w:hint="eastAsia"/>
              </w:rPr>
              <w:t>企业已办任务：可对已办结的任务进行查询、可查看详情，可下载照片及附件。</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71</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升级卫生检验业务辅助应用-新建参数维护功能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预警指标参数：展示指标列表，包括指标名称、指标类型、阈值等。对阈值设置弹框，可对阈值进行修改。修改后列表阈值同步更新。2.卫检企业货仓信息：海关可对卫检企业的货仓信息进行维护，可按企业、货仓代码、货仓地址等进行查询。并可对企业下的货仓及其仓位信息进行新增、修改、删除。</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p>
          <w:p>
            <w:pPr>
              <w:ind w:firstLine="0"/>
            </w:pPr>
            <w:r>
              <w:rPr>
                <w:rFonts w:hint="eastAsia"/>
              </w:rPr>
              <w:t>72</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升级卫生检验业务辅助应用-权限控制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对海关端功能模块入口、菜单分别设置权限点。相关功能根据用户所在的不同部门，对用户的数据查询范围进行控制，实现系统应用数据隔离；企业端应用功能根据用户的所属企业，对用户的数据查询范围进行控制，用户仅可见所属企业的数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73</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升级动植检监管业务辅助应用-升级进口粮食监管功能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进口加工、存储粮食监管模型：筛选已对接的粮食企业，再通过企业、10位商品编码筛选报关单（消费使用单位为该企业的），关联实验室报告数据，获取实验室报告最晚出具时间。通过报关单关联企业入库表、采购订单表、工单表数据，获取企业最早加工时间。比对实验室报告最晚出具时间、企业最早加工时间。</w:t>
            </w:r>
          </w:p>
          <w:p>
            <w:pPr>
              <w:ind w:firstLine="0"/>
              <w:jc w:val="left"/>
            </w:pPr>
            <w:r>
              <w:rPr>
                <w:rFonts w:hint="eastAsia"/>
              </w:rPr>
              <w:t>保税交易库监管模型：比对前海联合交易中心出库指令数据与保税交易库出仓提货数据，比对商品申报数量，标识出库指令商品数量与出仓提货数据不符的记录。</w:t>
            </w:r>
          </w:p>
          <w:p>
            <w:pPr>
              <w:ind w:firstLine="0"/>
              <w:jc w:val="left"/>
            </w:pPr>
            <w:r>
              <w:rPr>
                <w:rFonts w:hint="eastAsia"/>
              </w:rPr>
              <w:t>3、生成上述模型产生的异常待办列表，列表可按企业、报关单、商品等进行查询及详情展示，并可对异常进行处置；</w:t>
            </w:r>
          </w:p>
          <w:p>
            <w:pPr>
              <w:ind w:firstLine="0"/>
              <w:jc w:val="left"/>
              <w:rPr>
                <w:lang w:bidi="en-US"/>
              </w:rPr>
            </w:pPr>
            <w:r>
              <w:rPr>
                <w:rFonts w:hint="eastAsia"/>
              </w:rPr>
              <w:t>4、处置完成后进入已办列表及详情展示，列表可按企业、报关单、商品等进行查询。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74</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升级动植检监管业务辅助应用-升级数据查询功能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新增物料/商品入库表、工单表、下脚料处置表、运输表详情查询功能。</w:t>
            </w:r>
          </w:p>
          <w:p>
            <w:pPr>
              <w:ind w:firstLine="0"/>
              <w:jc w:val="left"/>
              <w:rPr>
                <w:lang w:bidi="en-US"/>
              </w:rPr>
            </w:pPr>
            <w:r>
              <w:rPr>
                <w:rFonts w:hint="eastAsia"/>
              </w:rPr>
              <w:t>展示对接的前海联合交易中心数据。包括保税库货物明细与状态、交易及交收结算单、出库指令三大项数据。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75</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升级动植检监管业务辅助应用-新建进境新鲜水果监管功能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新鲜水果监管模型；通过将采购订单表和销售订单表中的提运单号、销售订单的销售日期、报关单的提运单号以及实验室管理系统中的原始编号进行关联，查询签发时间。对于销售日期早于检测结果签发时间的为有异常的，提醒关员处置。</w:t>
            </w:r>
          </w:p>
          <w:p>
            <w:pPr>
              <w:ind w:firstLine="0"/>
              <w:jc w:val="left"/>
              <w:rPr>
                <w:lang w:bidi="en-US"/>
              </w:rPr>
            </w:pPr>
            <w:r>
              <w:rPr>
                <w:rFonts w:hint="eastAsia"/>
              </w:rPr>
              <w:t>生成上述模型产生的异常关联查询结果，并可对企业数据、报关单、实验室报告等进行详情查询。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76</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升级动植检监管业务辅助应用-权限控制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对海关端功能模块入口、菜单分别设置权限点。相关功能根据用户所在的不同部门，对用户的数据查询范围进行控制，实现系统应用数据隔离。</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77</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升级食品安全业务辅助应用-升级首页展示功能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统计分析：对进出口量进行趋势分析，可按企业类型、时间等维度进行分类统计。</w:t>
            </w:r>
          </w:p>
          <w:p>
            <w:pPr>
              <w:ind w:firstLine="0"/>
              <w:jc w:val="left"/>
            </w:pPr>
            <w:r>
              <w:rPr>
                <w:rFonts w:hint="eastAsia"/>
              </w:rPr>
              <w:t>统计分析：产品、进口口岸、进口国别等对进出口量进行细化分析，可按企业类型、时间等纬度进行分类统计。</w:t>
            </w:r>
          </w:p>
          <w:p>
            <w:pPr>
              <w:ind w:firstLine="0"/>
              <w:jc w:val="left"/>
              <w:rPr>
                <w:lang w:bidi="en-US"/>
              </w:rPr>
            </w:pPr>
            <w:r>
              <w:rPr>
                <w:rFonts w:hint="eastAsia"/>
              </w:rPr>
              <w:t>上述分析需在中国地图或世界地图上进行切换展示。</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78</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升级食品安全业务辅助应用-新建进口食品进口商智能监控功能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进口食品进口商智能监控模型：</w:t>
            </w:r>
          </w:p>
          <w:p>
            <w:pPr>
              <w:ind w:firstLine="0"/>
              <w:jc w:val="left"/>
            </w:pPr>
            <w:r>
              <w:rPr>
                <w:rFonts w:hint="eastAsia"/>
              </w:rPr>
              <w:t>销售时间异常：比对销售订单表的销售日期与关联的实验室报告出具日期，对销售时间早于实验室报告出具时间的销售记录进行标识。</w:t>
            </w:r>
          </w:p>
          <w:p>
            <w:pPr>
              <w:ind w:firstLine="0"/>
              <w:jc w:val="left"/>
            </w:pPr>
            <w:r>
              <w:rPr>
                <w:rFonts w:hint="eastAsia"/>
              </w:rPr>
              <w:t>准入国家地区名单异常：比对进口食品准入国家地区表与采购订单表上的商品编号，对不在进口食品准入国家地区表上的采购订单商品编号进行标识。</w:t>
            </w:r>
          </w:p>
          <w:p>
            <w:pPr>
              <w:ind w:firstLine="0"/>
              <w:jc w:val="left"/>
            </w:pPr>
            <w:r>
              <w:rPr>
                <w:rFonts w:hint="eastAsia"/>
              </w:rPr>
              <w:t>进口国家地区异常：比对进口食品疫区和禁止进口国家地区表与采购订单表上的商品编号及日期（生产日期及禁止进口开始日期），对在进口食品疫区和禁止进口国家地区表上的采购订单商品编号进行标识。</w:t>
            </w:r>
          </w:p>
          <w:p>
            <w:pPr>
              <w:ind w:firstLine="0"/>
              <w:jc w:val="left"/>
            </w:pPr>
            <w:r>
              <w:rPr>
                <w:rFonts w:hint="eastAsia"/>
              </w:rPr>
              <w:t>库存食品超期异常：企业当日有库存的商品，通过采购订单找最晚生产日期和保质期，比对当前日期，对最晚生产日期+保质期超过当前日期的商品编号及入库记录进行标识。</w:t>
            </w:r>
          </w:p>
          <w:p>
            <w:pPr>
              <w:ind w:firstLine="0"/>
              <w:jc w:val="left"/>
              <w:rPr>
                <w:lang w:bidi="en-US"/>
              </w:rPr>
            </w:pPr>
            <w:r>
              <w:rPr>
                <w:rFonts w:hint="eastAsia"/>
              </w:rPr>
              <w:t>生成上述模型产生的异常关联查询结果，并可对企业数据、报关单等进行详情查询，并进行异常提示。</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79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升级食品安全业务辅助应用-新建供港食品生产企业监控功能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供港食品生产企业监控模型：对可按企业查询企业成品出库记录，并对运输信息、库存信息、入库信息等进行关联查询分析。</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80</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升级食品安全业务辅助应用-新建参数维护功能及权限控制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新建参数维护功能：对进口食品准入国家地区、进口食品疫区和禁止进口国家地区进行参数维护，包括商品编号、国别代码国家名称等。对进行新增、删除、查询，也可通过导入模版下载、导入。2.权限控制：对海关端功能模块入口、菜单分别设置权限点。相关功能根据用户所在的不同部门，对用户的数据查询范围进行控制，实现系统应用数据隔离。</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81</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升级商品检验业务辅助应用-升级首页展示及企业数据查询功能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升级首页展示：1）待办及消息列表：显示预计指标待处置待办、消息记录列表。</w:t>
            </w:r>
          </w:p>
          <w:p>
            <w:pPr>
              <w:ind w:firstLine="0"/>
              <w:jc w:val="left"/>
            </w:pPr>
            <w:r>
              <w:rPr>
                <w:rFonts w:hint="eastAsia"/>
              </w:rPr>
              <w:t>2）指标-各业务对接企业：根据对接企业所维护的业务领域，按危包、零部件、出口退运分别统计企业数量及其占比。</w:t>
            </w:r>
          </w:p>
          <w:p>
            <w:pPr>
              <w:ind w:firstLine="0"/>
              <w:jc w:val="left"/>
            </w:pPr>
            <w:r>
              <w:rPr>
                <w:rFonts w:hint="eastAsia"/>
              </w:rPr>
              <w:t>3）指标-各关对接企业：筛选业务领域为危包、零部件、出口退运的对接企业，根据对接企业所维护的主管关区，按不同主管关区分别统计企业数量及占比。</w:t>
            </w:r>
          </w:p>
          <w:p>
            <w:pPr>
              <w:ind w:firstLine="0"/>
              <w:jc w:val="left"/>
            </w:pPr>
            <w:r>
              <w:rPr>
                <w:rFonts w:hint="eastAsia"/>
              </w:rPr>
              <w:t>4）指标-各业务批次：根据对接企业所维护的业务领域，按年、月、日，以及危包、零部件、出口退运分别统计对接企业的报关单申报票数及占比。</w:t>
            </w:r>
          </w:p>
          <w:p>
            <w:pPr>
              <w:ind w:firstLine="0"/>
              <w:jc w:val="left"/>
            </w:pPr>
            <w:r>
              <w:rPr>
                <w:rFonts w:hint="eastAsia"/>
              </w:rPr>
              <w:t>5）指标-智慧监管批次总数：根据对接企业所维护的业务领域，按月统计近3年商检对接企业的报关单申报票数。</w:t>
            </w:r>
          </w:p>
          <w:p>
            <w:pPr>
              <w:ind w:firstLine="0"/>
              <w:jc w:val="left"/>
            </w:pPr>
            <w:r>
              <w:rPr>
                <w:rFonts w:hint="eastAsia"/>
              </w:rPr>
              <w:t>6）指标-效率：通过本系统获取非现场检验数据，按月统计无需下厂次数。筛选已对接商检企业，通过报关单按月统计申报票数及效率。</w:t>
            </w:r>
          </w:p>
          <w:p>
            <w:pPr>
              <w:ind w:firstLine="0"/>
              <w:jc w:val="left"/>
            </w:pPr>
            <w:r>
              <w:rPr>
                <w:rFonts w:hint="eastAsia"/>
              </w:rPr>
              <w:t>7）上述指标需按企业、属地关区、业务类型三个维度进行数据统计。同时按当月、当年计算同比、环比，</w:t>
            </w:r>
          </w:p>
          <w:p>
            <w:pPr>
              <w:ind w:firstLine="0"/>
              <w:jc w:val="left"/>
              <w:rPr>
                <w:lang w:bidi="en-US"/>
              </w:rPr>
            </w:pPr>
            <w:r>
              <w:rPr>
                <w:rFonts w:hint="eastAsia"/>
              </w:rPr>
              <w:t>8）通过深圳关分关区地图及各类图形图表进行展示。2.企业数据查询功能：新增购订单表、收货单表、物料/商品入库表、销售订单表、成品/商品出库表、工单表、成品入库表详情查询功能。</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388"/>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82</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升级商品检验业务辅助应用-新建智慧危包功能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支持按照不同企业，查看企业的危包业务统计信息、商品分派及报检信息。</w:t>
            </w:r>
          </w:p>
          <w:p>
            <w:pPr>
              <w:ind w:firstLine="0"/>
              <w:jc w:val="left"/>
            </w:pPr>
            <w:r>
              <w:rPr>
                <w:rFonts w:hint="eastAsia"/>
              </w:rPr>
              <w:t>1、统计信息：统计指标包括申报批次、出证批次、在检批次-总数。</w:t>
            </w:r>
          </w:p>
          <w:p>
            <w:pPr>
              <w:ind w:firstLine="0"/>
              <w:jc w:val="left"/>
            </w:pPr>
            <w:r>
              <w:rPr>
                <w:rFonts w:hint="eastAsia"/>
              </w:rPr>
              <w:t>2、在检批次自动分派：系统根据预设规则，自动将在检批次分派为现场检查或非现场检查。</w:t>
            </w:r>
          </w:p>
          <w:p>
            <w:pPr>
              <w:ind w:firstLine="0"/>
              <w:jc w:val="left"/>
            </w:pPr>
            <w:r>
              <w:rPr>
                <w:rFonts w:hint="eastAsia"/>
              </w:rPr>
              <w:t>3、企业报检信息：支持查看企业的报检记录及企业发送的报检单信息，报检记录信息包括报检单号、危险货物使用鉴定结果单号、货物名称等。</w:t>
            </w:r>
          </w:p>
          <w:p>
            <w:pPr>
              <w:ind w:firstLine="0"/>
              <w:jc w:val="left"/>
            </w:pPr>
            <w:r>
              <w:rPr>
                <w:rFonts w:hint="eastAsia"/>
              </w:rPr>
              <w:t>4、在检商品核对：非现场检查的报检记录，1）支持选择报检单号、危险货物使用鉴定结果单号、货物名称、型号、件数、UN标记、性能结果单号一项或几项条件，展示关联的核对记录，核对记录信息包括物料编号、物料名称、锂离子电池容量、换算后锂离子电池容量、锂金属电池锂金属含量、库存数量、计量单位等；2）支持统计核对记录的库存数量；3）支持全选或多选核对记录，进行保存、查看管理；4）支持上传附件，填写核对意见，提交核对结果。</w:t>
            </w:r>
          </w:p>
          <w:p>
            <w:pPr>
              <w:ind w:firstLine="0"/>
              <w:jc w:val="left"/>
              <w:rPr>
                <w:lang w:bidi="en-US"/>
              </w:rPr>
            </w:pPr>
            <w:r>
              <w:rPr>
                <w:rFonts w:hint="eastAsia"/>
              </w:rPr>
              <w:t>5、检毕信息查询：支持对完成核对的记录及结果进行查询。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83</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升级商品检验业务辅助应用-新建智慧零部件功能-智慧评估模型</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根据手动维护的白名单范围表数据、进口零部件质量验收制度数据、重点关注国家数据，以及海关系统数据，构建13个风险因子的模型，用于判断中控报关单的处理方式。</w:t>
            </w:r>
          </w:p>
          <w:p>
            <w:pPr>
              <w:ind w:firstLine="0"/>
              <w:jc w:val="left"/>
            </w:pPr>
            <w:r>
              <w:rPr>
                <w:rFonts w:hint="eastAsia"/>
              </w:rPr>
              <w:t>风险因子包括1）准入评估因子，包括是否为白名单企业、是否为白名单商品编码、是否为主管属地海关指标；2）企业信息因素因子，包括信用等级、企业过往三年的查获率、企业过往三年内的处罚记录情况、企业过往一年内的处置记录情况、企业是否建立进口零部件质量验收制度、企业是否与海关对接ERP指标；3）报关信息因素因子，包括监管方式（一般贸易、进料对口）、原产国、6个月内商品编码关区检出率、货物属性指标；4）中控批数因子，包括中控批次指标。根据权重规则，综合各因子评分计算整体得分。</w:t>
            </w:r>
          </w:p>
          <w:p>
            <w:pPr>
              <w:ind w:firstLine="0"/>
              <w:jc w:val="left"/>
            </w:pPr>
            <w:r>
              <w:rPr>
                <w:rFonts w:hint="eastAsia"/>
              </w:rPr>
              <w:t>支持查询中控的报关单记录及详情。如处理方式是文件查验的记录，支持查看及下载企业上传的质量声明文件。</w:t>
            </w:r>
          </w:p>
          <w:p>
            <w:pPr>
              <w:ind w:firstLine="0"/>
              <w:jc w:val="left"/>
              <w:rPr>
                <w:lang w:bidi="en-US"/>
              </w:rPr>
            </w:pPr>
            <w:r>
              <w:rPr>
                <w:rFonts w:hint="eastAsia"/>
              </w:rPr>
              <w:t>支持选择处置结果，填写备注信息、上传附件进行任务办结。</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84</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升级商品检验业务辅助应用-新建智慧零部件功能-3C证书监管</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3C证书货物监控。将已对接的，涉及3C证书货物监控的仓储企业出仓记录关联对应关系表，获取备案料号、备案名称、商品编号、商品名称。采用所维护的“L”证商品编码清单，筛选“L”证相关的出库记录。展示出库记录及详情，以及关联的入库记录及详情。</w:t>
            </w:r>
          </w:p>
          <w:p>
            <w:pPr>
              <w:ind w:firstLine="0"/>
              <w:jc w:val="left"/>
              <w:rPr>
                <w:lang w:bidi="en-US"/>
              </w:rPr>
            </w:pPr>
            <w:r>
              <w:rPr>
                <w:rFonts w:hint="eastAsia"/>
              </w:rPr>
              <w:t>2、3C证书核准提示。将已对接的，涉及3C证书货物监控的仓储企业出仓记录关联对应关系表，获取备案料号、备案名称、商品编号、商品名称。采用所维护的“L”证商品编码清单，筛选“L”证相关的出库记录。1）支持按企业查询、下载企业上传的证书；2）支持展示企业的3C免办证明余量信息，包括证明编号、商品编码、申报数量（总量）、实际入库数量、余量。对超过有效期的证明编号进行标识；3）分别展示与证书关联、未关联的入库记录。</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85</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升级商品检验业务辅助应用-新建智慧预警功能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1、件数偏差预警：比对使用鉴定核准件数与性能鉴定结果单件数，如使用鉴定核准件数大于性能鉴定结果单件数则进行标识。</w:t>
            </w:r>
          </w:p>
          <w:p>
            <w:pPr>
              <w:ind w:firstLine="0"/>
              <w:jc w:val="left"/>
            </w:pPr>
            <w:r>
              <w:rPr>
                <w:rFonts w:hint="eastAsia"/>
              </w:rPr>
              <w:t>2、3C免办证明货物预警：采用海关的分送集报核注清单，根据出的核注清单筛选仓储出库记录，汇总出库数量。根据出的核注清单关联的入的核注清单，筛选加贸企业入库记录，汇总入库数量。对比出库与入库的数量，差异进行提示。</w:t>
            </w:r>
          </w:p>
          <w:p>
            <w:pPr>
              <w:ind w:firstLine="0"/>
              <w:jc w:val="left"/>
            </w:pPr>
            <w:r>
              <w:rPr>
                <w:rFonts w:hint="eastAsia"/>
              </w:rPr>
              <w:t>3、生成上述指标产生的预警待阅列表，列表可按日期、企业、指标等进行查询，并可对预警进行处置；</w:t>
            </w:r>
          </w:p>
          <w:p>
            <w:pPr>
              <w:ind w:firstLine="0"/>
              <w:jc w:val="left"/>
              <w:rPr>
                <w:lang w:bidi="en-US"/>
              </w:rPr>
            </w:pPr>
            <w:r>
              <w:rPr>
                <w:rFonts w:hint="eastAsia"/>
              </w:rPr>
              <w:t>处置完成后进入已阅列表，列表可按日期、企业、指标等进行查询。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86</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升级商品检验业务辅助应用-新建商品检验业务关企交互功能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1.海关端</w:t>
            </w:r>
          </w:p>
          <w:p>
            <w:pPr>
              <w:ind w:firstLine="0"/>
              <w:jc w:val="left"/>
            </w:pPr>
            <w:r>
              <w:rPr>
                <w:rFonts w:hint="eastAsia"/>
              </w:rPr>
              <w:t>1）支持查询企业提交的3C证书备案记录及详情。</w:t>
            </w:r>
          </w:p>
          <w:p>
            <w:pPr>
              <w:ind w:firstLine="0"/>
              <w:jc w:val="left"/>
            </w:pPr>
            <w:r>
              <w:rPr>
                <w:rFonts w:hint="eastAsia"/>
              </w:rPr>
              <w:t>2）支持对企业提交的3C证书备案申请进行审核。</w:t>
            </w:r>
          </w:p>
          <w:p>
            <w:pPr>
              <w:ind w:firstLine="0"/>
              <w:jc w:val="left"/>
            </w:pPr>
            <w:r>
              <w:rPr>
                <w:rFonts w:hint="eastAsia"/>
              </w:rPr>
              <w:t>3）系统3C业务领域企业，入库表中有未备案的证书编号，则触发通知消息给企业人员。</w:t>
            </w:r>
          </w:p>
          <w:p>
            <w:pPr>
              <w:ind w:firstLine="0"/>
              <w:jc w:val="left"/>
            </w:pPr>
            <w:r>
              <w:rPr>
                <w:rFonts w:hint="eastAsia"/>
              </w:rPr>
              <w:t>2.企业端-3C证书备案</w:t>
            </w:r>
          </w:p>
          <w:p>
            <w:pPr>
              <w:ind w:firstLine="0"/>
              <w:jc w:val="left"/>
            </w:pPr>
            <w:r>
              <w:rPr>
                <w:rFonts w:hint="eastAsia"/>
              </w:rPr>
              <w:t>1）3C业务领域企业，入库表中有未备案的证书编号，则触发在企业移动端（小程序）产生通知消息给企业人员，提示企业备案该编号证书。</w:t>
            </w:r>
          </w:p>
          <w:p>
            <w:pPr>
              <w:ind w:firstLine="0"/>
              <w:jc w:val="left"/>
            </w:pPr>
            <w:r>
              <w:rPr>
                <w:rFonts w:hint="eastAsia"/>
              </w:rPr>
              <w:t>2）企业通过web端新增3C证书备案，进行信息录入，附件上传及备案提交；并可对提报记录进行修改、流转。</w:t>
            </w:r>
          </w:p>
          <w:p>
            <w:pPr>
              <w:ind w:firstLine="0"/>
              <w:jc w:val="left"/>
            </w:pPr>
            <w:r>
              <w:rPr>
                <w:rFonts w:hint="eastAsia"/>
              </w:rPr>
              <w:t>3）企业可对备案信息进行列表查询、详情查询和附件下载。</w:t>
            </w:r>
          </w:p>
          <w:p>
            <w:pPr>
              <w:ind w:firstLine="0"/>
              <w:jc w:val="left"/>
            </w:pPr>
            <w:r>
              <w:rPr>
                <w:rFonts w:hint="eastAsia"/>
              </w:rPr>
              <w:t>3.企业端-报检单信息补充</w:t>
            </w:r>
          </w:p>
          <w:p>
            <w:pPr>
              <w:ind w:firstLine="0"/>
              <w:jc w:val="left"/>
            </w:pPr>
            <w:r>
              <w:rPr>
                <w:rFonts w:hint="eastAsia"/>
              </w:rPr>
              <w:t>1）触发系统推送报检单信息补充任务至企业PC端（web）时，在企业移动端（小程序）产生通知消息给企业人员，提示企业人员在关企交互企业PC端（web）补充报检单信息。</w:t>
            </w:r>
          </w:p>
          <w:p>
            <w:pPr>
              <w:ind w:firstLine="0"/>
              <w:jc w:val="left"/>
            </w:pPr>
            <w:r>
              <w:rPr>
                <w:rFonts w:hint="eastAsia"/>
              </w:rPr>
              <w:t>2）待办信息：企业根据系统推送的待办信息进行附件上传、发送；</w:t>
            </w:r>
          </w:p>
          <w:p>
            <w:pPr>
              <w:ind w:firstLine="0"/>
              <w:jc w:val="left"/>
            </w:pPr>
            <w:r>
              <w:rPr>
                <w:rFonts w:hint="eastAsia"/>
              </w:rPr>
              <w:t>3）已办信息：企业可查询已办的信息，并进行附件下载。</w:t>
            </w:r>
          </w:p>
          <w:p>
            <w:pPr>
              <w:ind w:firstLine="0"/>
              <w:jc w:val="left"/>
            </w:pPr>
            <w:r>
              <w:rPr>
                <w:rFonts w:hint="eastAsia"/>
              </w:rPr>
              <w:t>4.企业端-企业质量声明</w:t>
            </w:r>
          </w:p>
          <w:p>
            <w:pPr>
              <w:ind w:firstLine="0"/>
              <w:jc w:val="left"/>
              <w:rPr>
                <w:lang w:bidi="en-US"/>
              </w:rPr>
            </w:pPr>
            <w:r>
              <w:rPr>
                <w:rFonts w:hint="eastAsia"/>
              </w:rPr>
              <w:t>系统判断需要文件查验的报关单，企业移动端（小程序）产生通知消息给企业人员，提示企业提供质量声明。企业在需要进行质量生命的列表中进行模版下载、填写完成后进行附件上传，并可对上传记录进行查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87</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升级商品检验业务辅助应用-新建参数维护功能及可视化适用配置功能功能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新建参数维护功能：对商检业务关区试点的白名单企业、白名单商品、进口零部件验收、重点关注国家、L证商品编码等参数表格，可进行新增、删除、查询及数据初始化，也可通过导入模版下载、导入。2.新建可视化适用配置功能功能：展示企业列表、指标列表，对预警指标进行停用、启用控制。</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88</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商品检验业务辅助应用-权限控制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对海关端功能模块入口、菜单分别设置权限点。相关功能根据用户所在的不同部门，对用户的数据查询范围进行控制，实现系统应用数据隔离；企业端应用功能根据用户的所属企业，对用户的数据查询范围进行控制，用户仅可见所属企业的数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89</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新建通关监管业务辅助应用-对接企业报关单查验自动比对</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筛选已对接加工贸易企业，查验系统下发的非集报出口报关单，关联成品出库表与成品对应关系表，获取成品出库表中企业内部料号对应的商品编码。比对报关单及关联的成品出库数据，对同一商品编码申报数量与出库数量不一致的报关单记录标识异常。</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90</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新建通关监管业务辅助应用-权限控制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1、海关端功能使用权限控制。对功能模块入口、菜单分别设置权限点。</w:t>
            </w:r>
          </w:p>
          <w:p>
            <w:pPr>
              <w:ind w:firstLine="0"/>
              <w:jc w:val="left"/>
              <w:rPr>
                <w:lang w:bidi="en-US"/>
              </w:rPr>
            </w:pPr>
            <w:r>
              <w:rPr>
                <w:rFonts w:hint="eastAsia"/>
              </w:rPr>
              <w:t>2、海关端数据查询范围控制。根据用户所在的不同部门，对用户的数据查询范围进行控制，实现系统应用数据隔离。</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91</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升级共用功能-升级海关端共用功能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新建待办功能。对于指定人员的待办事项，系统新增待办任务，系统根据不同待办任务类型，展示相应待办记录内容。支持查询待办任务列表及已办任务列表。待办任务类型包括：1）稽核查作业复核；2）稽核查作业修改；3）网上巡仓；4）实地巡仓；5）实地巡仓日志复核；6）实地巡仓日志修改；7）特殊物品后续监管网上辅助任务复核；8）特殊物品后续监管网上辅助任务修改。</w:t>
            </w:r>
          </w:p>
          <w:p>
            <w:pPr>
              <w:ind w:firstLine="0"/>
              <w:jc w:val="left"/>
            </w:pPr>
            <w:r>
              <w:rPr>
                <w:rFonts w:hint="eastAsia"/>
              </w:rPr>
              <w:t>2、新建通知功能。对于用户所负责的事项状态变动，新增消息记录，系统根据不同通知类型，展示相应通知内容。支持查询通知记录列表。通知类型包括：1）3C证书备案；2）报检单信息补充；3）企业质量声明；4）企业信息采集；5）网上核查信息收集；6）网上核查评估报告反馈。</w:t>
            </w:r>
          </w:p>
          <w:p>
            <w:pPr>
              <w:ind w:firstLine="0"/>
              <w:jc w:val="left"/>
              <w:rPr>
                <w:lang w:bidi="en-US"/>
              </w:rPr>
            </w:pPr>
            <w:r>
              <w:rPr>
                <w:rFonts w:hint="eastAsia"/>
              </w:rPr>
              <w:t>3、优化对接企业信息维护功能。1）优化企业信息新增功能，支持接收数据采集监控模块同步的新增企业信息，新增对接企业记录。所接收的企业信息包括企业唯一标识、统一社会信用代码、企业名称、业务领域、经纬度、主管海关；2）优化企业信息修改功能，支持接收数据采集监控模块同步的修改企业信息，对统一社会信用代码、企业名称、业务领域、经纬度、主管海关信息进行自动更新。统一社会信用代码、企业名称、业务领域、经纬度、主管海关信息不可进行手动修改；3）优化企业信息删除功能，将原有企业信息删除功能调整为不可删除企业信息。</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748"/>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92</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升级共用功能-升级企业端共用功能</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3C证书备案通知。1）3C业务领域企业，入库表中有未备案的证书编号，则触发系统生成通知给企业人员，提示企业备案该编号证书；2）海关人员完成3C证书备案审核，则触发系统生成一笔审核结果通知至3C证书备案企业用户。</w:t>
            </w:r>
          </w:p>
          <w:p>
            <w:pPr>
              <w:ind w:firstLine="0"/>
              <w:jc w:val="left"/>
            </w:pPr>
            <w:r>
              <w:rPr>
                <w:rFonts w:hint="eastAsia"/>
              </w:rPr>
              <w:t>2、报检单信息补充通知。系统推送报检单信息补充任务至企业PC端（web）时，则触发系统生成通知给企业人员，提示企业人员补充报检单信息。</w:t>
            </w:r>
          </w:p>
          <w:p>
            <w:pPr>
              <w:ind w:firstLine="0"/>
              <w:jc w:val="left"/>
              <w:rPr>
                <w:lang w:bidi="en-US"/>
              </w:rPr>
            </w:pPr>
            <w:r>
              <w:rPr>
                <w:rFonts w:hint="eastAsia"/>
              </w:rPr>
              <w:t>3、企业质量声明通知。系统判断需要文件查验的报关单，则触发系统生成通知给企业人员，提示企业提供质量声明。</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93</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新建ERP智能化联网监管驾驶舱-首页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展示深圳关区整体指标情况。</w:t>
            </w:r>
          </w:p>
          <w:p>
            <w:pPr>
              <w:ind w:firstLine="0"/>
              <w:jc w:val="left"/>
            </w:pPr>
            <w:r>
              <w:rPr>
                <w:rFonts w:hint="eastAsia"/>
              </w:rPr>
              <w:t>1、贸易额指标展示：1）对接企业进出口贸易总额，点击进入对接企业进出口贸易额二级页面；2）对接企业进出口总额占比。</w:t>
            </w:r>
          </w:p>
          <w:p>
            <w:pPr>
              <w:ind w:firstLine="0"/>
              <w:jc w:val="left"/>
            </w:pPr>
            <w:r>
              <w:rPr>
                <w:rFonts w:hint="eastAsia"/>
              </w:rPr>
              <w:t>2、纳税额指标展示：1）对接企业纳税总额，点击进入对接企业纳税额二级页面；2）对接企业纳税占比。</w:t>
            </w:r>
          </w:p>
          <w:p>
            <w:pPr>
              <w:ind w:firstLine="0"/>
              <w:jc w:val="left"/>
            </w:pPr>
            <w:r>
              <w:rPr>
                <w:rFonts w:hint="eastAsia"/>
              </w:rPr>
              <w:t>3、对接企业指标展示：1）对接企业总数，点击进入企业对接概况二级页面；2）对接AEO企业数。</w:t>
            </w:r>
          </w:p>
          <w:p>
            <w:pPr>
              <w:ind w:firstLine="0"/>
              <w:jc w:val="left"/>
            </w:pPr>
            <w:r>
              <w:rPr>
                <w:rFonts w:hint="eastAsia"/>
              </w:rPr>
              <w:t>4、属地海关展示。1）静态按地图分属地海关展示各属地海关对接企业数；2）属地海关清单：笋岗海关、龙岗海关、布吉海关、同乐海关、福田海关、坪山海关、观澜海关、西沥海关、梅沙海关、蛇口海关、惠州海关。</w:t>
            </w:r>
          </w:p>
          <w:p>
            <w:pPr>
              <w:ind w:firstLine="0"/>
              <w:jc w:val="left"/>
            </w:pPr>
            <w:r>
              <w:rPr>
                <w:rFonts w:hint="eastAsia"/>
              </w:rPr>
              <w:t>5、应用记录展示。柱状图静态展示近一年应用记录数，点击后跳转至二级页面应用记录库。</w:t>
            </w:r>
          </w:p>
          <w:p>
            <w:pPr>
              <w:ind w:firstLine="0"/>
              <w:jc w:val="left"/>
            </w:pPr>
            <w:r>
              <w:rPr>
                <w:rFonts w:hint="eastAsia"/>
              </w:rPr>
              <w:t>6、企业档案展示。卡片滚动展示企业档案，每个卡片内容为企业名称、企业标签，点击后进入二级页面企业档案页。</w:t>
            </w:r>
          </w:p>
          <w:p>
            <w:pPr>
              <w:ind w:firstLine="0"/>
              <w:jc w:val="left"/>
            </w:pPr>
            <w:r>
              <w:rPr>
                <w:rFonts w:hint="eastAsia"/>
              </w:rPr>
              <w:t>7、应用功能展示。滚动展示全量应用功能入口，点击后跳转至相应应用功能首页。</w:t>
            </w:r>
          </w:p>
          <w:p>
            <w:pPr>
              <w:ind w:firstLine="0"/>
              <w:jc w:val="left"/>
            </w:pPr>
            <w:r>
              <w:rPr>
                <w:rFonts w:hint="eastAsia"/>
              </w:rPr>
              <w:t>8、对接企业情况展示。下设两个子区域：柱状图展示业务领域企业数量；两张饼图分别展示进口物料出口产品排行榜，6个饼图分区，分别展示Top5的情况及其他情况，支持年、月、日维度筛选统计，点击Top5内容跳转至二级页面进口物料、出口产品详情页，点击其他饼图不跳转。</w:t>
            </w:r>
          </w:p>
          <w:p>
            <w:pPr>
              <w:ind w:firstLine="0"/>
              <w:jc w:val="left"/>
            </w:pPr>
            <w:r>
              <w:rPr>
                <w:rFonts w:hint="eastAsia"/>
              </w:rPr>
              <w:t>9、数据监控及数据治理情况展示。两根折线图分别展示近30天异常企业情况分布及近30天治理企业情况分布。</w:t>
            </w:r>
          </w:p>
          <w:p>
            <w:pPr>
              <w:ind w:firstLine="0"/>
              <w:jc w:val="left"/>
            </w:pPr>
            <w:r>
              <w:rPr>
                <w:rFonts w:hint="eastAsia"/>
              </w:rPr>
              <w:t>10、数据池情况展示。1）展示企业数据量，包括数据条数、数据量；2）展示海关数据类型数；3）展示第三方数据来源，包括工商数据、司法数据、粮食平台数据。</w:t>
            </w:r>
          </w:p>
          <w:p>
            <w:pPr>
              <w:ind w:firstLine="0"/>
              <w:jc w:val="left"/>
            </w:pPr>
            <w:r>
              <w:rPr>
                <w:rFonts w:hint="eastAsia"/>
              </w:rPr>
              <w:t>11、智能化应用情况展示。静态柱状图及折线图按各应用类型展示智能化应用情况，点击后跳转至二级页面智能化应用情况页。</w:t>
            </w:r>
          </w:p>
          <w:p>
            <w:pPr>
              <w:ind w:firstLine="0"/>
              <w:jc w:val="left"/>
              <w:rPr>
                <w:lang w:bidi="en-US"/>
              </w:rPr>
            </w:pPr>
            <w:r>
              <w:rPr>
                <w:rFonts w:hint="eastAsia"/>
              </w:rPr>
              <w:t>12、分析、预警列表展示。列表展示分析、预警指标记录。列表字段包括业务类别、指标类别、指标名称、待处置数、已处置数。</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316"/>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94</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新建ERP智能化联网监管驾驶舱-二级页面属地海关页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展示属地关区指标情况。</w:t>
            </w:r>
          </w:p>
          <w:p>
            <w:pPr>
              <w:ind w:firstLine="0"/>
              <w:jc w:val="left"/>
            </w:pPr>
            <w:r>
              <w:rPr>
                <w:rFonts w:hint="eastAsia"/>
              </w:rPr>
              <w:t>1、静态按地图展示各属地海关对接企业数，高亮当前选中属地海关。</w:t>
            </w:r>
          </w:p>
          <w:p>
            <w:pPr>
              <w:ind w:firstLine="0"/>
              <w:jc w:val="left"/>
            </w:pPr>
            <w:r>
              <w:rPr>
                <w:rFonts w:hint="eastAsia"/>
              </w:rPr>
              <w:t>2、应用记录展示。柱状图静态展示近一年应用记录数，点击后跳转至二级页面应用记录库。</w:t>
            </w:r>
          </w:p>
          <w:p>
            <w:pPr>
              <w:ind w:firstLine="0"/>
              <w:jc w:val="left"/>
            </w:pPr>
            <w:r>
              <w:rPr>
                <w:rFonts w:hint="eastAsia"/>
              </w:rPr>
              <w:t>3、企业档案展示。卡片滚动展示企业档案，每个卡片内容为企业名称、企业标签，点击后进入二级页面企业档案页。</w:t>
            </w:r>
          </w:p>
          <w:p>
            <w:pPr>
              <w:ind w:firstLine="0"/>
              <w:jc w:val="left"/>
            </w:pPr>
            <w:r>
              <w:rPr>
                <w:rFonts w:hint="eastAsia"/>
              </w:rPr>
              <w:t>4、应用功能展示。滚动展示全量应用功能入口，点击后跳转至相应应用功能首页。</w:t>
            </w:r>
          </w:p>
          <w:p>
            <w:pPr>
              <w:ind w:firstLine="0"/>
              <w:jc w:val="left"/>
            </w:pPr>
            <w:r>
              <w:rPr>
                <w:rFonts w:hint="eastAsia"/>
              </w:rPr>
              <w:t>5、对接企业情况展示。下设两个子区域：柱状图展示业务领域企业数量；两张饼图分别展示进口物料出口产品排行榜，6个饼图分区，分别展示Top5的情况及其他情况，支持年、月、日维度筛选统计，点击Top5内容跳转至二级页面进口物料、出口产品详情页，点击其他饼图不跳转。</w:t>
            </w:r>
          </w:p>
          <w:p>
            <w:pPr>
              <w:ind w:firstLine="0"/>
              <w:jc w:val="left"/>
            </w:pPr>
            <w:r>
              <w:rPr>
                <w:rFonts w:hint="eastAsia"/>
              </w:rPr>
              <w:t>6、数据监控及治理情况展示。两根折线图分别展示近30天异常企业情况分布及近30天治理企业情况分布。</w:t>
            </w:r>
          </w:p>
          <w:p>
            <w:pPr>
              <w:ind w:firstLine="0"/>
              <w:jc w:val="left"/>
            </w:pPr>
            <w:r>
              <w:rPr>
                <w:rFonts w:hint="eastAsia"/>
              </w:rPr>
              <w:t>7、数据池情况展示。1）展示企业数据量，包括数据条数、数据量；2）展示海关数据类型数；3）展示第三方数据来源，包括工商数据、司法数据、粮食平台数据。</w:t>
            </w:r>
          </w:p>
          <w:p>
            <w:pPr>
              <w:ind w:firstLine="0"/>
              <w:jc w:val="left"/>
            </w:pPr>
            <w:r>
              <w:rPr>
                <w:rFonts w:hint="eastAsia"/>
              </w:rPr>
              <w:t>8、智能化应用情况展示。静态柱状图及折线图按各应用类型展示智能化应用情况，点击后跳转至二级页面智能化应用情况页。</w:t>
            </w:r>
          </w:p>
          <w:p>
            <w:pPr>
              <w:ind w:firstLine="0"/>
              <w:jc w:val="left"/>
              <w:rPr>
                <w:lang w:bidi="en-US"/>
              </w:rPr>
            </w:pPr>
            <w:r>
              <w:rPr>
                <w:rFonts w:hint="eastAsia"/>
              </w:rPr>
              <w:t>9、分析、预警列表展示。列表展示分析、预警指标记录。列表字段包括业务类别、指标类别、指标名称、待处置数、已处置数。</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95</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新建ERP智能化联网监管驾驶舱-二级页面-进出口贸易额</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展示由首页下钻查询的进出口贸易额指标详情。</w:t>
            </w:r>
          </w:p>
          <w:p>
            <w:pPr>
              <w:ind w:firstLine="0"/>
              <w:jc w:val="left"/>
            </w:pPr>
            <w:r>
              <w:rPr>
                <w:rFonts w:hint="eastAsia"/>
              </w:rPr>
              <w:t>1、进出口贸易额。搜索维度为起始月份、终止月份。展示检索月份的统计结果，及按月展示统计结果柱状图。</w:t>
            </w:r>
          </w:p>
          <w:p>
            <w:pPr>
              <w:ind w:firstLine="0"/>
              <w:jc w:val="left"/>
              <w:rPr>
                <w:lang w:bidi="en-US"/>
              </w:rPr>
            </w:pPr>
            <w:r>
              <w:rPr>
                <w:rFonts w:hint="eastAsia"/>
              </w:rPr>
              <w:t>2、进口物料、出口成品排行榜。按年度进行搜索。1）展示检索年度申报金额前5进口物料占比饼图；2）列表展示排名前5进口物料，每个物料对应的企业列表及进口额；3）展示检索年度申报金额前5出口成品占比饼图；4）列表展示排名前5出口产品，每个产品对应的企业列表及出口额。</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96</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新建ERP智能化联网监管驾驶舱-二级页面-对接企业纳税额</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展示由首页下钻查询的对接企业纳税额指标详情。搜索维度为起始月份、终止月份。展示检索月份的统计结果，及按月展示统计结果柱状图。</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97</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新建ERP智能化联网监管驾驶舱-二级页面-企业对接概况页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展示由首页下钻查询的企业对接指标详情。</w:t>
            </w:r>
          </w:p>
          <w:p>
            <w:pPr>
              <w:ind w:firstLine="0"/>
              <w:jc w:val="left"/>
            </w:pPr>
            <w:r>
              <w:rPr>
                <w:rFonts w:hint="eastAsia"/>
              </w:rPr>
              <w:t>各业务领域采集数据量及趋势展示：以“标题、值”的形式展示个业务领域的采集数据量，通过“趋势分析”功能界面查看指定企业的采集异常整体状况，横轴为时间（日），纵轴为指标值。指标包括当日采集批次数、当日采集成功批次数、当日采集记录数、数据资产。</w:t>
            </w:r>
          </w:p>
          <w:p>
            <w:pPr>
              <w:ind w:firstLine="0"/>
              <w:jc w:val="left"/>
            </w:pPr>
            <w:r>
              <w:rPr>
                <w:rFonts w:hint="eastAsia"/>
              </w:rPr>
              <w:t>质量规则问题展示：以环比、同比、折线图的形式展示质量规则问题数。指标包括当日质量检查记录数、当日质量检查异常记录数、质量规则问题数、质量规则问题数去年同期数量、质量规则问题数上期数量、质量规则问题数本期同比增幅、质量规则问题数本期环比增幅。</w:t>
            </w:r>
          </w:p>
          <w:p>
            <w:pPr>
              <w:ind w:firstLine="0"/>
              <w:jc w:val="left"/>
            </w:pPr>
            <w:r>
              <w:rPr>
                <w:rFonts w:hint="eastAsia"/>
              </w:rPr>
              <w:t>任务执行情况展示：以“标题：值”的形式展示任务执行情况。指标包括今日任务执行情况、今日作业执行情况、今日规则执行情况、累计任务执行情况、累计作业执行情况、累计规则执行情况、数据质量问题趋势。</w:t>
            </w:r>
          </w:p>
          <w:p>
            <w:pPr>
              <w:ind w:firstLine="0"/>
              <w:jc w:val="left"/>
            </w:pPr>
            <w:r>
              <w:rPr>
                <w:rFonts w:hint="eastAsia"/>
              </w:rPr>
              <w:t>接入企业总体情况展示：饼图分关区展示对接企业数量。指标为对接企业数。</w:t>
            </w:r>
          </w:p>
          <w:p>
            <w:pPr>
              <w:ind w:firstLine="0"/>
              <w:jc w:val="left"/>
              <w:rPr>
                <w:lang w:bidi="en-US"/>
              </w:rPr>
            </w:pPr>
            <w:r>
              <w:rPr>
                <w:rFonts w:hint="eastAsia"/>
              </w:rPr>
              <w:t>业务领域企业数量展示：显示某关区各业务领域对接的企业数量，按照数值从高到底展示，跑马灯循环各个关区的卡片。指标为业务领域企业数量。</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98</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新建ERP智能化联网监管驾驶舱-二级页面-AEO企业列表页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展示由首页下钻查询的AEO企业列表详情。</w:t>
            </w:r>
          </w:p>
          <w:p>
            <w:pPr>
              <w:ind w:firstLine="0"/>
              <w:jc w:val="left"/>
            </w:pPr>
            <w:r>
              <w:rPr>
                <w:rFonts w:hint="eastAsia"/>
              </w:rPr>
              <w:t>标题：AEO企业列表。</w:t>
            </w:r>
          </w:p>
          <w:p>
            <w:pPr>
              <w:ind w:firstLine="0"/>
              <w:jc w:val="left"/>
            </w:pPr>
            <w:r>
              <w:rPr>
                <w:rFonts w:hint="eastAsia"/>
              </w:rPr>
              <w:t>搜索维度：起始日期、终止日期、企业名称。</w:t>
            </w:r>
          </w:p>
          <w:p>
            <w:pPr>
              <w:ind w:firstLine="0"/>
              <w:jc w:val="left"/>
              <w:rPr>
                <w:lang w:bidi="en-US"/>
              </w:rPr>
            </w:pPr>
            <w:r>
              <w:rPr>
                <w:rFonts w:hint="eastAsia"/>
              </w:rPr>
              <w:t>指标结果：展示AEO企业名称列表。</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683"/>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99</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新建ERP智能化联网监管驾驶舱-二级页面-应用记录库页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展示由首页下钻查询的应用记录详情。对已办结的任务、提交的日志、上传的文件进行存档，作为应用记录。</w:t>
            </w:r>
          </w:p>
          <w:p>
            <w:pPr>
              <w:ind w:firstLine="0"/>
              <w:jc w:val="left"/>
            </w:pPr>
            <w:r>
              <w:rPr>
                <w:rFonts w:hint="eastAsia"/>
              </w:rPr>
              <w:t>1、应用记录类型包括：稽核查作业、网上巡仓、特殊物品后续监管网上辅助、关企交互、重点商品分析报告。</w:t>
            </w:r>
          </w:p>
          <w:p>
            <w:pPr>
              <w:ind w:firstLine="0"/>
              <w:jc w:val="left"/>
            </w:pPr>
            <w:r>
              <w:rPr>
                <w:rFonts w:hint="eastAsia"/>
              </w:rPr>
              <w:t>2、不同应用记录展示不同详情信息。1）稽核查作业应用记录详情展示该笔稽核查作业结论；2）网上巡查应用记录详情展示网上仓储巡仓日志结论；3）特殊物品后续监管网上辅助应用记录详情展示卫检特殊物品后续监管网上辅助任务记录结论；4）重点商品分析报告应用记录详情展示展示归类分析报告及价格分析报告，报告内容包括分析条件、分析结果列表、结果提示，以及分析报告对应的分析结果数据。</w:t>
            </w:r>
          </w:p>
          <w:p>
            <w:pPr>
              <w:ind w:firstLine="0"/>
              <w:jc w:val="left"/>
            </w:pPr>
            <w:r>
              <w:rPr>
                <w:rFonts w:hint="eastAsia"/>
              </w:rPr>
              <w:t>3、电子证据库。对应用异常记录、指标异常记录、重点商品分析报告异常记录进行存档，作为电子证据库。应用异常记录包含结果异常的稽核查作业记录、结果异常的特殊物品后续监管网上辅助记录、结果异常的网上巡仓记录。重点商品分析报告包含归类分析报告、价格分析报告。</w:t>
            </w:r>
          </w:p>
          <w:p>
            <w:pPr>
              <w:ind w:firstLine="0"/>
              <w:jc w:val="left"/>
            </w:pPr>
            <w:r>
              <w:rPr>
                <w:rFonts w:hint="eastAsia"/>
              </w:rPr>
              <w:t>（1）统计数据展示。柱状图静态展示累计电子证据数，点击后跳转至二级页面电子证据库。</w:t>
            </w:r>
          </w:p>
          <w:p>
            <w:pPr>
              <w:ind w:firstLine="0"/>
              <w:jc w:val="left"/>
            </w:pPr>
            <w:r>
              <w:rPr>
                <w:rFonts w:hint="eastAsia"/>
              </w:rPr>
              <w:t>（2）电子证据类型列表。展示各电子证据类型及对应的电子证据数。</w:t>
            </w:r>
          </w:p>
          <w:p>
            <w:pPr>
              <w:ind w:firstLine="0"/>
              <w:jc w:val="left"/>
            </w:pPr>
            <w:r>
              <w:rPr>
                <w:rFonts w:hint="eastAsia"/>
              </w:rPr>
              <w:t>（3）各类电子证据记录列表。电子证据类型列表下钻，按不同电子证据类型，展示不同记录列表。</w:t>
            </w:r>
          </w:p>
          <w:p>
            <w:pPr>
              <w:ind w:firstLine="0"/>
              <w:jc w:val="left"/>
            </w:pPr>
            <w:r>
              <w:rPr>
                <w:rFonts w:hint="eastAsia"/>
              </w:rPr>
              <w:t>（4）各类电子证据详情。按不同电子证据类型，展示不同电子证据详情。1）稽核查作业电子档案详情包括作业信息、作业过程数据、作业结果数据；2）仓储企业巡仓日志详情包括巡仓基本信息及巡仓结果信息；3）卫检特殊物品后续监管网上辅助任务记录详情包括任务基本信息、任务结果信息；4）预警指标详情根据不同预警指标展示不同详情数据。预警指标包括出入库单超期未集报预、两仓“到货确认”核放单超期未申报预警、在途运输时间预警、企业周期时长内无新增工单、企业周期时长内无入库、企业周期时长内无出库、深加工结转转入真实性、深加工结转转出真实性、“仓厂联动”货物流转真实性、库存比对、出库数量偏差、入库数量偏差、货证不符预警、期未入库预警、进口加工/存储粮食监管、保税交易库监管、件数偏差预警、3C免办证明货物预警。</w:t>
            </w:r>
          </w:p>
          <w:p>
            <w:pPr>
              <w:ind w:firstLine="0"/>
              <w:jc w:val="left"/>
              <w:rPr>
                <w:lang w:bidi="en-US"/>
              </w:rPr>
            </w:pPr>
            <w:r>
              <w:rPr>
                <w:rFonts w:hint="eastAsia"/>
              </w:rPr>
              <w:t>4、重点商品分析报告。重点商品分析报告记录列表页面下钻，展示分析报告详情。重点商品分析报告详情展示展示归类分析报告及价格分析报告，报告内容包括分析条件、分析结果列表、结果提示，以及分析报告对应的分析结果数据。</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100</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新建ERP智能化联网监管驾驶舱-二级页面-企业档案页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展示由企业列表下钻查询的企业档案详情。</w:t>
            </w:r>
          </w:p>
          <w:p>
            <w:pPr>
              <w:ind w:firstLine="0"/>
              <w:jc w:val="left"/>
            </w:pPr>
            <w:r>
              <w:rPr>
                <w:rFonts w:hint="eastAsia"/>
              </w:rPr>
              <w:t>企业信息。1）展示企业名称、企业标签、海关信用等级、企业基本信息。企业基本信息包括同一社会信用代码、纳税人识别号、组织部门代码、企业状态、成立时间、登记注册类型、经营范围；2）企业对外投资的信息。</w:t>
            </w:r>
          </w:p>
          <w:p>
            <w:pPr>
              <w:ind w:firstLine="0"/>
              <w:jc w:val="left"/>
            </w:pPr>
            <w:r>
              <w:rPr>
                <w:rFonts w:hint="eastAsia"/>
              </w:rPr>
              <w:t>指标信息：</w:t>
            </w:r>
          </w:p>
          <w:p>
            <w:pPr>
              <w:ind w:firstLine="0"/>
              <w:jc w:val="left"/>
            </w:pPr>
            <w:r>
              <w:rPr>
                <w:rFonts w:hint="eastAsia"/>
              </w:rPr>
              <w:t>主动披露次数汇总（次）：展示所查询企业当年、近三年主动披露次数汇总值。</w:t>
            </w:r>
          </w:p>
          <w:p>
            <w:pPr>
              <w:ind w:firstLine="0"/>
              <w:jc w:val="left"/>
            </w:pPr>
            <w:r>
              <w:rPr>
                <w:rFonts w:hint="eastAsia"/>
              </w:rPr>
              <w:t>稽核查次数汇总（次）：展示所查询企业当年、近三年稽核查次数汇总值。</w:t>
            </w:r>
          </w:p>
          <w:p>
            <w:pPr>
              <w:ind w:firstLine="0"/>
              <w:jc w:val="left"/>
            </w:pPr>
            <w:r>
              <w:rPr>
                <w:rFonts w:hint="eastAsia"/>
              </w:rPr>
              <w:t>贸易额：展示所查询企业当年、近三年贸易额汇总值。</w:t>
            </w:r>
          </w:p>
          <w:p>
            <w:pPr>
              <w:ind w:firstLine="0"/>
              <w:jc w:val="left"/>
            </w:pPr>
            <w:r>
              <w:rPr>
                <w:rFonts w:hint="eastAsia"/>
              </w:rPr>
              <w:t>数据条数：展示所查询企业当年、近三年数据条数汇总值。</w:t>
            </w:r>
          </w:p>
          <w:p>
            <w:pPr>
              <w:ind w:firstLine="0"/>
              <w:jc w:val="left"/>
            </w:pPr>
            <w:r>
              <w:rPr>
                <w:rFonts w:hint="eastAsia"/>
              </w:rPr>
              <w:t>存储容量（GB）：展示所查询企业当年、近三年存储容量汇总值。</w:t>
            </w:r>
          </w:p>
          <w:p>
            <w:pPr>
              <w:ind w:firstLine="0"/>
              <w:jc w:val="left"/>
            </w:pPr>
            <w:r>
              <w:rPr>
                <w:rFonts w:hint="eastAsia"/>
              </w:rPr>
              <w:t>纳税额排名：展示所查询企业当年、近三年纳税额排名位数。</w:t>
            </w:r>
          </w:p>
          <w:p>
            <w:pPr>
              <w:ind w:firstLine="0"/>
              <w:jc w:val="left"/>
            </w:pPr>
            <w:r>
              <w:rPr>
                <w:rFonts w:hint="eastAsia"/>
              </w:rPr>
              <w:t>进出口排名：展示所查询企业当年、近三年进出口排名位数。</w:t>
            </w:r>
          </w:p>
          <w:p>
            <w:pPr>
              <w:ind w:firstLine="0"/>
              <w:jc w:val="left"/>
            </w:pPr>
            <w:r>
              <w:rPr>
                <w:rFonts w:hint="eastAsia"/>
              </w:rPr>
              <w:t>所属行业：展示所查询企业所属行业名称。</w:t>
            </w:r>
          </w:p>
          <w:p>
            <w:pPr>
              <w:ind w:firstLine="0"/>
              <w:jc w:val="left"/>
            </w:pPr>
            <w:r>
              <w:rPr>
                <w:rFonts w:hint="eastAsia"/>
              </w:rPr>
              <w:t>进出口行业排名：展示所查询企业当年、近三年行业进出口排名位数。</w:t>
            </w:r>
          </w:p>
          <w:p>
            <w:pPr>
              <w:ind w:firstLine="0"/>
              <w:jc w:val="left"/>
            </w:pPr>
            <w:r>
              <w:rPr>
                <w:rFonts w:hint="eastAsia"/>
              </w:rPr>
              <w:t>主营商品名称：展示所查询企业当年、近三年主营商品名称。</w:t>
            </w:r>
          </w:p>
          <w:p>
            <w:pPr>
              <w:ind w:firstLine="0"/>
              <w:jc w:val="left"/>
            </w:pPr>
            <w:r>
              <w:rPr>
                <w:rFonts w:hint="eastAsia"/>
              </w:rPr>
              <w:t>全年申报报关单数：展示所查询企业当年、近三年申报报关单数量值。</w:t>
            </w:r>
          </w:p>
          <w:p>
            <w:pPr>
              <w:ind w:firstLine="0"/>
              <w:jc w:val="left"/>
            </w:pPr>
            <w:r>
              <w:rPr>
                <w:rFonts w:hint="eastAsia"/>
              </w:rPr>
              <w:t>查验数：展示所查询企业当年、近三年查验数量汇总值。</w:t>
            </w:r>
          </w:p>
          <w:p>
            <w:pPr>
              <w:ind w:firstLine="0"/>
              <w:jc w:val="left"/>
            </w:pPr>
            <w:r>
              <w:rPr>
                <w:rFonts w:hint="eastAsia"/>
              </w:rPr>
              <w:t>异常处理单数：展示所查询企业当年、近三年异常处理单数汇总值。</w:t>
            </w:r>
          </w:p>
          <w:p>
            <w:pPr>
              <w:ind w:firstLine="0"/>
              <w:jc w:val="left"/>
            </w:pPr>
            <w:r>
              <w:rPr>
                <w:rFonts w:hint="eastAsia"/>
              </w:rPr>
              <w:t>查验次数：展示所查询企业当年、近三年查验次数汇总值。</w:t>
            </w:r>
          </w:p>
          <w:p>
            <w:pPr>
              <w:ind w:firstLine="0"/>
              <w:jc w:val="left"/>
            </w:pPr>
            <w:r>
              <w:rPr>
                <w:rFonts w:hint="eastAsia"/>
              </w:rPr>
              <w:t>查验通过率：展示所查询企业当年、近三年查验通过率。</w:t>
            </w:r>
          </w:p>
          <w:p>
            <w:pPr>
              <w:ind w:firstLine="0"/>
              <w:jc w:val="left"/>
            </w:pPr>
            <w:r>
              <w:rPr>
                <w:rFonts w:hint="eastAsia"/>
              </w:rPr>
              <w:t>查发率：展示所查询企业当年、近三年查发率。</w:t>
            </w:r>
          </w:p>
          <w:p>
            <w:pPr>
              <w:ind w:firstLine="0"/>
              <w:jc w:val="left"/>
            </w:pPr>
            <w:r>
              <w:rPr>
                <w:rFonts w:hint="eastAsia"/>
              </w:rPr>
              <w:t>稽核查作业数量：展示所查询企业当年、近三年稽核查作业数量汇总值。</w:t>
            </w:r>
          </w:p>
          <w:p>
            <w:pPr>
              <w:ind w:firstLine="0"/>
              <w:jc w:val="left"/>
            </w:pPr>
            <w:r>
              <w:rPr>
                <w:rFonts w:hint="eastAsia"/>
              </w:rPr>
              <w:t>合规引导次数：展示所查询企业当年、近三年合规引导次数汇总值。</w:t>
            </w:r>
          </w:p>
          <w:p>
            <w:pPr>
              <w:ind w:firstLine="0"/>
              <w:jc w:val="left"/>
            </w:pPr>
            <w:r>
              <w:rPr>
                <w:rFonts w:hint="eastAsia"/>
              </w:rPr>
              <w:t>企业信息采集次数：展示所查询企业当年、近三年企业信息采集次数汇总值。</w:t>
            </w:r>
          </w:p>
          <w:p>
            <w:pPr>
              <w:ind w:firstLine="0"/>
              <w:jc w:val="left"/>
              <w:rPr>
                <w:lang w:bidi="en-US"/>
              </w:rPr>
            </w:pPr>
            <w:r>
              <w:rPr>
                <w:rFonts w:hint="eastAsia"/>
              </w:rPr>
              <w:t>分析、预警：展示所查询企业分析、预警指标记录列表，列表字段包括业务类别、指标类别、指标名称、累计预警数、待处理预警数。</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101</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新建ERP智能化联网监管驾驶舱-二级页面-海关数据类别列表页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展示由首页下钻查询的海关数据类别详情。</w:t>
            </w:r>
          </w:p>
          <w:p>
            <w:pPr>
              <w:ind w:firstLine="0"/>
              <w:jc w:val="left"/>
            </w:pPr>
            <w:r>
              <w:rPr>
                <w:rFonts w:hint="eastAsia"/>
              </w:rPr>
              <w:t>1、标题展示“海关数据类别”。</w:t>
            </w:r>
          </w:p>
          <w:p>
            <w:pPr>
              <w:ind w:firstLine="0"/>
              <w:jc w:val="left"/>
            </w:pPr>
            <w:r>
              <w:rPr>
                <w:rFonts w:hint="eastAsia"/>
              </w:rPr>
              <w:t>2、搜索维度为数据类别名称。</w:t>
            </w:r>
          </w:p>
          <w:p>
            <w:pPr>
              <w:ind w:firstLine="0"/>
              <w:jc w:val="left"/>
              <w:rPr>
                <w:lang w:bidi="en-US"/>
              </w:rPr>
            </w:pPr>
            <w:r>
              <w:rPr>
                <w:rFonts w:hint="eastAsia"/>
              </w:rPr>
              <w:t>3、序号及海关数据类别，点击海关数据类别，跳转至相应海关数据查询页面。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102</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新建ERP智能化联网监管驾驶舱-二级页面-智能化应用情况页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展示由首页下钻查询的智能化应用详情。</w:t>
            </w:r>
          </w:p>
          <w:p>
            <w:pPr>
              <w:ind w:firstLine="0"/>
              <w:jc w:val="left"/>
              <w:rPr>
                <w:lang w:bidi="en-US"/>
              </w:rPr>
            </w:pPr>
            <w:r>
              <w:rPr>
                <w:rFonts w:hint="eastAsia"/>
              </w:rPr>
              <w:t>智能化应用情况详情以列表形式展示各业务类型的应用家次。支持按照起始月份、终止月份、业务类型名称进行搜索。</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103</w:t>
            </w:r>
          </w:p>
        </w:tc>
        <w:tc>
          <w:tcPr>
            <w:tcW w:w="709" w:type="dxa"/>
            <w:tcBorders>
              <w:top w:val="single" w:sz="4" w:space="0" w:color="auto"/>
              <w:left w:val="single" w:sz="4" w:space="0" w:color="auto"/>
              <w:bottom w:val="single" w:sz="4" w:space="0" w:color="auto"/>
              <w:right w:val="single" w:sz="4" w:space="0" w:color="auto"/>
            </w:tcBorders>
          </w:tcPr>
          <w:p>
            <w:pPr>
              <w:ind w:firstLine="0"/>
            </w:pP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新建ERP智能化联网监管驾驶舱-二级页面-分析、预警页</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展示由首页下钻查询的分析、预警详情。</w:t>
            </w:r>
          </w:p>
          <w:p>
            <w:pPr>
              <w:ind w:firstLine="0"/>
              <w:jc w:val="left"/>
            </w:pPr>
            <w:r>
              <w:rPr>
                <w:rFonts w:hint="eastAsia"/>
              </w:rPr>
              <w:t>分析、预警详情以列表形式展示统计结果，展示信息包括序号、业务类别、指标类别、指标名称、企业名称、正常数、异常数。支持按企业名称进行搜索。</w:t>
            </w:r>
          </w:p>
          <w:p>
            <w:pPr>
              <w:ind w:firstLine="0"/>
              <w:jc w:val="left"/>
              <w:rPr>
                <w:lang w:bidi="en-US"/>
              </w:rPr>
            </w:pPr>
            <w:r>
              <w:rPr>
                <w:rFonts w:hint="eastAsia"/>
              </w:rPr>
              <w:t>正常数与异常数采用不同颜色进行标识。</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104</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新建ERP智能化联网监管驾驶舱-重点商品分析</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展示由首页下钻查询的重点商品分析详情。</w:t>
            </w:r>
          </w:p>
          <w:p>
            <w:pPr>
              <w:ind w:firstLine="0"/>
              <w:jc w:val="left"/>
            </w:pPr>
            <w:r>
              <w:rPr>
                <w:rFonts w:hint="eastAsia"/>
              </w:rPr>
              <w:t>调用归类异动模型，对模型进行加工，功能新增，形成重点商品归类分析功能。重点商品归类分析功能基于对接企业采购订单数据及报关单数据，根据输入的分析条件，通过数据处理后展示分析结果。支持将分析结果生成重点商品归类分析报告，保存分析结果数据，供应用记录库页面进行查询。</w:t>
            </w:r>
          </w:p>
          <w:p>
            <w:pPr>
              <w:ind w:firstLine="0"/>
              <w:jc w:val="left"/>
            </w:pPr>
            <w:r>
              <w:rPr>
                <w:rFonts w:hint="eastAsia"/>
              </w:rPr>
              <w:t>支持输入商品名称（必输）、规格型号（非必输）、时间周期（必输）作为分析条件，展示与分析条件相关的企业采购订单和报关单记录信息，记录信息包括单号、日期等。</w:t>
            </w:r>
          </w:p>
          <w:p>
            <w:pPr>
              <w:ind w:firstLine="0"/>
              <w:jc w:val="left"/>
            </w:pPr>
            <w:r>
              <w:rPr>
                <w:rFonts w:hint="eastAsia"/>
              </w:rPr>
              <w:t>调用商品价格分析模型，对模型进行升级，功能新增，形成重点商品价格分析功能。重点商品价格分析功能基于对接企业采购订单数据及报关单数据，根据输入的分析条件，通过数据处理后展示分析结果。支持将分析结果生成重点商品价格分析报告，保存分析结果数据，供应用记录库页面进行查询。</w:t>
            </w:r>
          </w:p>
          <w:p>
            <w:pPr>
              <w:ind w:firstLine="0"/>
              <w:jc w:val="left"/>
              <w:rPr>
                <w:lang w:bidi="en-US"/>
              </w:rPr>
            </w:pPr>
            <w:r>
              <w:rPr>
                <w:rFonts w:hint="eastAsia"/>
              </w:rPr>
              <w:t>支持输入商品编码、商品名称、规格型号（商品编码、商品名称、规格型号三个条件至少必输一个）、计量单位（必输）、币种（必输）、时间周期（必输）作为分析条件，展示与分析条件相关的企业采购订单和报关单记录信息，记录信息包括商品、单证数量等。</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ascii="宋体" w:eastAsia="宋体" w:hint="eastAsia"/>
                <w:i/>
                <w:iCs/>
                <w:lang w:bidi="en-US"/>
              </w:rPr>
              <w:t>是,须</w:t>
            </w:r>
            <w:r>
              <w:rPr>
                <w:rFonts w:ascii="宋体" w:eastAsia="宋体"/>
                <w:i/>
                <w:iCs/>
                <w:lang w:bidi="en-US"/>
              </w:rPr>
              <w:t>提供承诺函并加盖公章</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105</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新建ERP智能化联网监管驾驶舱-平台管理参数维护</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增加后台管理功能，支持维护平台以下管理参数。</w:t>
            </w:r>
          </w:p>
          <w:p>
            <w:pPr>
              <w:ind w:firstLine="0"/>
              <w:jc w:val="left"/>
            </w:pPr>
            <w:r>
              <w:rPr>
                <w:rFonts w:hint="eastAsia"/>
              </w:rPr>
              <w:t>1、进出口贸易总额。1）支持人工维护每月数值；2）支持配置显示人工维护数值或显示系统统计数值。</w:t>
            </w:r>
          </w:p>
          <w:p>
            <w:pPr>
              <w:ind w:firstLine="0"/>
              <w:jc w:val="left"/>
            </w:pPr>
            <w:r>
              <w:rPr>
                <w:rFonts w:hint="eastAsia"/>
              </w:rPr>
              <w:t>2、对接企业纳税总额。1）支持人工维护每月数值；2）支持配置显示人工维护数值或显示系统统计数值。</w:t>
            </w:r>
          </w:p>
          <w:p>
            <w:pPr>
              <w:ind w:firstLine="0"/>
              <w:jc w:val="left"/>
              <w:rPr>
                <w:lang w:bidi="en-US"/>
              </w:rPr>
            </w:pPr>
            <w:r>
              <w:rPr>
                <w:rFonts w:hint="eastAsia"/>
              </w:rPr>
              <w:t>3、对接AEO企业数。1）支持人工维护数值；2）支持配置显示人工维护数值或显示系统统计数值；3）支持人工增加、删除AEO企业名称。</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r>
        <w:tblPrEx>
          <w:tblW w:w="8400" w:type="dxa"/>
          <w:jc w:val="left"/>
          <w:tblInd w:w="0" w:type="dxa"/>
          <w:tblLayout w:type="fixed"/>
          <w:tblCellMar>
            <w:top w:w="0" w:type="dxa"/>
            <w:left w:w="108" w:type="dxa"/>
            <w:bottom w:w="0" w:type="dxa"/>
            <w:right w:w="108" w:type="dxa"/>
          </w:tblCellMar>
        </w:tblPrEx>
        <w:trPr>
          <w:trHeight w:val="1010"/>
          <w:jc w:val="left"/>
        </w:trPr>
        <w:tc>
          <w:tcPr>
            <w:tcW w:w="675" w:type="dxa"/>
            <w:tcBorders>
              <w:top w:val="single" w:sz="4" w:space="0" w:color="auto"/>
              <w:left w:val="single" w:sz="4" w:space="0" w:color="auto"/>
              <w:bottom w:val="single" w:sz="4" w:space="0" w:color="auto"/>
              <w:right w:val="single" w:sz="4" w:space="0" w:color="auto"/>
            </w:tcBorders>
          </w:tcPr>
          <w:p>
            <w:pPr>
              <w:ind w:firstLine="0"/>
            </w:pPr>
            <w:r>
              <w:rPr>
                <w:rFonts w:hint="eastAsia"/>
              </w:rPr>
              <w:t>106</w:t>
            </w:r>
          </w:p>
        </w:tc>
        <w:tc>
          <w:tcPr>
            <w:tcW w:w="709" w:type="dxa"/>
            <w:tcBorders>
              <w:top w:val="single" w:sz="4" w:space="0" w:color="auto"/>
              <w:left w:val="single" w:sz="4" w:space="0" w:color="auto"/>
              <w:bottom w:val="single" w:sz="4" w:space="0" w:color="auto"/>
              <w:right w:val="single" w:sz="4" w:space="0" w:color="auto"/>
            </w:tcBorders>
          </w:tcPr>
          <w:p>
            <w:pPr>
              <w:ind w:firstLine="0"/>
            </w:pPr>
            <w:r>
              <w:rPr>
                <w:rFonts w:hint="eastAsia"/>
              </w:rPr>
              <w:t xml:space="preserve">   </w:t>
            </w:r>
          </w:p>
        </w:tc>
        <w:tc>
          <w:tcPr>
            <w:tcW w:w="2443"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新建ERP智能化联网监管驾驶舱-权限控制</w:t>
            </w:r>
          </w:p>
        </w:tc>
        <w:tc>
          <w:tcPr>
            <w:tcW w:w="3562" w:type="dxa"/>
            <w:tcBorders>
              <w:top w:val="single" w:sz="4" w:space="0" w:color="auto"/>
              <w:left w:val="single" w:sz="4" w:space="0" w:color="auto"/>
              <w:bottom w:val="single" w:sz="4" w:space="0" w:color="auto"/>
              <w:right w:val="single" w:sz="4" w:space="0" w:color="auto"/>
            </w:tcBorders>
          </w:tcPr>
          <w:p>
            <w:pPr>
              <w:ind w:firstLine="0"/>
              <w:jc w:val="left"/>
              <w:rPr>
                <w:lang w:bidi="en-US"/>
              </w:rPr>
            </w:pPr>
            <w:r>
              <w:rPr>
                <w:rFonts w:hint="eastAsia"/>
              </w:rPr>
              <w:t>1、应用功能使用权限控制。对功能模块设置权限点。</w:t>
            </w:r>
          </w:p>
          <w:p>
            <w:pPr>
              <w:ind w:firstLine="0"/>
              <w:jc w:val="left"/>
            </w:pPr>
            <w:r>
              <w:rPr>
                <w:rFonts w:hint="eastAsia"/>
              </w:rPr>
              <w:t>2、数据查询范围控制。根据用户所在的不同部门，对用户的数据查询范围进行控制，实现系统应用数据隔离。</w:t>
            </w:r>
          </w:p>
          <w:p>
            <w:pPr>
              <w:ind w:firstLine="0"/>
              <w:jc w:val="left"/>
              <w:rPr>
                <w:lang w:bidi="en-US"/>
              </w:rPr>
            </w:pPr>
            <w:r>
              <w:rPr>
                <w:rFonts w:hint="eastAsia"/>
              </w:rPr>
              <w:t>3、对首页、二级页面属地海关页中，应用功能的展示单独设置两个权限点。权限点一展示所有应用功能入口；权限点二仅展示用户有授权的应用功能入口。</w:t>
            </w:r>
          </w:p>
        </w:tc>
        <w:tc>
          <w:tcPr>
            <w:tcW w:w="1011" w:type="dxa"/>
            <w:tcBorders>
              <w:top w:val="single" w:sz="4" w:space="0" w:color="auto"/>
              <w:left w:val="single" w:sz="4" w:space="0" w:color="auto"/>
              <w:bottom w:val="single" w:sz="4" w:space="0" w:color="auto"/>
              <w:right w:val="single" w:sz="4" w:space="0" w:color="auto"/>
            </w:tcBorders>
          </w:tcPr>
          <w:p>
            <w:pPr>
              <w:ind w:firstLine="0"/>
              <w:rPr>
                <w:lang w:bidi="en-US"/>
              </w:rPr>
            </w:pPr>
            <w:r>
              <w:rPr>
                <w:rFonts w:hint="eastAsia"/>
              </w:rPr>
              <w:t>否</w:t>
            </w:r>
          </w:p>
        </w:tc>
      </w:tr>
    </w:tbl>
    <w:p>
      <w:pPr>
        <w:ind w:firstLine="0"/>
        <w:rPr>
          <w:rFonts w:ascii="宋体" w:eastAsia="宋体"/>
        </w:rPr>
      </w:pPr>
    </w:p>
    <w:p>
      <w:pPr>
        <w:pStyle w:val="BodyText3"/>
        <w:rPr>
          <w:rFonts w:ascii="宋体" w:eastAsia="宋体"/>
          <w:color w:val="auto"/>
        </w:rPr>
      </w:pPr>
      <w:bookmarkStart w:id="48" w:name="指标明细_index_Required_goodsId"/>
      <w:bookmarkEnd w:id="48"/>
    </w:p>
    <w:p>
      <w:pPr>
        <w:pStyle w:val="Heading2"/>
        <w:numPr>
          <w:ilvl w:val="0"/>
          <w:numId w:val="2"/>
        </w:numPr>
        <w:rPr>
          <w:rFonts w:ascii="宋体" w:eastAsia="宋体" w:hint="eastAsia"/>
        </w:rPr>
      </w:pPr>
      <w:bookmarkStart w:id="49" w:name="服务要求"/>
      <w:r>
        <w:rPr>
          <w:rFonts w:ascii="宋体" w:eastAsia="宋体" w:hint="eastAsia"/>
        </w:rPr>
        <w:t>服务要求</w:t>
      </w:r>
      <w:bookmarkEnd w:id="49"/>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bookmarkStart w:id="50" w:name="服务要求_Title_服务要求标准_Required_Table"/>
            <w:r>
              <w:rPr>
                <w:rFonts w:ascii="宋体" w:eastAsia="宋体" w:hint="eastAsia"/>
              </w:rPr>
              <w:t>服务要求标准</w:t>
            </w:r>
            <w:bookmarkEnd w:id="50"/>
          </w:p>
        </w:tc>
        <w:tc>
          <w:tcPr>
            <w:tcW w:w="1685" w:type="dxa"/>
          </w:tcPr>
          <w:p>
            <w:pPr>
              <w:ind w:firstLine="0"/>
              <w:jc w:val="center"/>
              <w:rPr>
                <w:rFonts w:ascii="宋体" w:eastAsia="宋体"/>
              </w:rPr>
            </w:pPr>
            <w:bookmarkStart w:id="51" w:name="服务要求_Title_证明材料要求_Required_Table"/>
            <w:r>
              <w:rPr>
                <w:rFonts w:ascii="宋体" w:eastAsia="宋体" w:hint="eastAsia"/>
              </w:rPr>
              <w:t>证明材料要求</w:t>
            </w:r>
            <w:bookmarkEnd w:id="51"/>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w:t>
            </w:r>
          </w:p>
        </w:tc>
        <w:tc>
          <w:tcPr>
            <w:tcW w:w="1140" w:type="dxa"/>
            <w:vAlign w:val="center"/>
          </w:tcPr>
          <w:p>
            <w:pPr>
              <w:ind w:firstLine="0"/>
              <w:jc w:val="center"/>
              <w:rPr>
                <w:rFonts w:ascii="宋体" w:eastAsia="宋体"/>
              </w:rPr>
            </w:pPr>
            <w:r>
              <w:rPr>
                <w:rFonts w:ascii="宋体" w:eastAsia="宋体" w:hint="eastAsia"/>
              </w:rPr>
              <w:t>售后服务承诺函</w:t>
            </w:r>
          </w:p>
        </w:tc>
        <w:tc>
          <w:tcPr>
            <w:tcW w:w="1196" w:type="dxa"/>
            <w:vAlign w:val="center"/>
          </w:tcPr>
          <w:p>
            <w:pPr>
              <w:ind w:firstLine="0"/>
              <w:jc w:val="center"/>
              <w:rPr>
                <w:rFonts w:ascii="宋体" w:eastAsia="宋体"/>
              </w:rPr>
            </w:pPr>
          </w:p>
        </w:tc>
        <w:tc>
          <w:tcPr>
            <w:tcW w:w="3690" w:type="dxa"/>
            <w:vAlign w:val="center"/>
          </w:tcPr>
          <w:p>
            <w:pPr>
              <w:pStyle w:val="10711"/>
              <w:ind w:firstLine="0"/>
              <w:rPr>
                <w:rFonts w:ascii="Times New Roman Regular" w:hAnsi="Times New Roman Regular" w:cs="Times New Roman Regular"/>
              </w:rPr>
            </w:pPr>
            <w:r>
              <w:rPr>
                <w:rFonts w:ascii="宋体" w:hAnsi="宋体" w:hint="eastAsia"/>
              </w:rPr>
              <w:t>售后服务方案完全满足招标文件要求，提供完整的售后服务方案，售后服务体系完善，按要求提供技术支持服务。</w:t>
            </w:r>
          </w:p>
        </w:tc>
        <w:tc>
          <w:tcPr>
            <w:tcW w:w="1685" w:type="dxa"/>
            <w:vAlign w:val="center"/>
          </w:tcPr>
          <w:p>
            <w:pPr>
              <w:ind w:firstLine="0"/>
              <w:jc w:val="center"/>
              <w:rPr>
                <w:rFonts w:eastAsia="宋体"/>
              </w:rPr>
            </w:pPr>
            <w:r>
              <w:rPr>
                <w:rFonts w:eastAsia="宋体" w:hint="eastAsia"/>
              </w:rPr>
              <w:t>是，提供售后服务承诺函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2</w:t>
            </w:r>
          </w:p>
        </w:tc>
        <w:tc>
          <w:tcPr>
            <w:tcW w:w="1140" w:type="dxa"/>
            <w:vAlign w:val="center"/>
          </w:tcPr>
          <w:p>
            <w:pPr>
              <w:ind w:firstLine="0"/>
              <w:jc w:val="center"/>
              <w:rPr>
                <w:rFonts w:ascii="宋体" w:eastAsia="宋体"/>
              </w:rPr>
            </w:pPr>
            <w:r>
              <w:rPr>
                <w:rFonts w:ascii="宋体" w:eastAsia="宋体" w:hint="eastAsia"/>
              </w:rPr>
              <w:t>驻场人员要求</w:t>
            </w:r>
          </w:p>
        </w:tc>
        <w:tc>
          <w:tcPr>
            <w:tcW w:w="1196" w:type="dxa"/>
            <w:vAlign w:val="center"/>
          </w:tcPr>
          <w:p>
            <w:pPr>
              <w:ind w:firstLine="0"/>
              <w:jc w:val="center"/>
              <w:rPr>
                <w:rFonts w:ascii="宋体" w:eastAsia="宋体"/>
              </w:rPr>
            </w:pPr>
          </w:p>
        </w:tc>
        <w:tc>
          <w:tcPr>
            <w:tcW w:w="3690" w:type="dxa"/>
          </w:tcPr>
          <w:p>
            <w:pPr>
              <w:ind w:firstLine="0"/>
            </w:pPr>
            <w:r>
              <w:rPr>
                <w:rFonts w:ascii="宋体" w:cs="宋体"/>
              </w:rPr>
              <w:t>驻场服务团队人员应不少于30人</w:t>
            </w:r>
            <w:r>
              <w:rPr>
                <w:rFonts w:ascii="宋体" w:cs="宋体" w:hint="eastAsia"/>
              </w:rPr>
              <w:t>，要求提供团队成员在投标人单位缴纳的距开标之日三个月内任意一个月的社保证明</w:t>
            </w:r>
            <w:r>
              <w:rPr>
                <w:rFonts w:ascii="宋体" w:cs="宋体"/>
              </w:rPr>
              <w:t>或劳务合同</w:t>
            </w:r>
            <w:r>
              <w:rPr>
                <w:rFonts w:ascii="宋体" w:cs="宋体" w:hint="eastAsia"/>
              </w:rPr>
              <w:t>。</w:t>
            </w:r>
          </w:p>
        </w:tc>
        <w:tc>
          <w:tcPr>
            <w:tcW w:w="1685" w:type="dxa"/>
            <w:vAlign w:val="center"/>
          </w:tcPr>
          <w:p>
            <w:pPr>
              <w:ind w:firstLine="0"/>
              <w:rPr>
                <w:rFonts w:eastAsia="宋体"/>
              </w:rPr>
            </w:pPr>
            <w:r>
              <w:rPr>
                <w:rFonts w:ascii="宋体" w:eastAsia="宋体" w:cs="宋体"/>
              </w:rPr>
              <w:t>是，提供人员团队方案，提供团队成员在投标人单位缴纳的距开标之日三个月内任意一个月的社保证明或劳务合同等证明材料</w:t>
            </w:r>
            <w:r>
              <w:rPr>
                <w:rFonts w:ascii="宋体" w:eastAsia="宋体" w:cs="宋体" w:hint="eastAsia"/>
              </w:rPr>
              <w:t>，</w:t>
            </w:r>
            <w:r>
              <w:rPr>
                <w:rFonts w:ascii="宋体" w:eastAsia="宋体" w:cs="宋体"/>
              </w:rPr>
              <w:t>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restart"/>
            <w:vAlign w:val="center"/>
          </w:tcPr>
          <w:p>
            <w:pPr>
              <w:ind w:firstLine="0"/>
              <w:jc w:val="center"/>
              <w:rPr>
                <w:rFonts w:ascii="宋体" w:eastAsia="宋体"/>
              </w:rPr>
            </w:pPr>
            <w:r>
              <w:rPr>
                <w:rFonts w:ascii="宋体" w:eastAsia="宋体" w:hint="eastAsia"/>
              </w:rPr>
              <w:t>3</w:t>
            </w:r>
          </w:p>
        </w:tc>
        <w:tc>
          <w:tcPr>
            <w:tcW w:w="1140" w:type="dxa"/>
            <w:vAlign w:val="center"/>
          </w:tcPr>
          <w:p>
            <w:pPr>
              <w:ind w:firstLine="0"/>
              <w:jc w:val="center"/>
              <w:rPr>
                <w:rFonts w:ascii="宋体" w:eastAsia="宋体"/>
              </w:rPr>
            </w:pPr>
            <w:r>
              <w:rPr>
                <w:rFonts w:ascii="宋体" w:eastAsia="宋体" w:hint="eastAsia"/>
              </w:rPr>
              <w:t>投标人服务标准（1）</w:t>
            </w:r>
          </w:p>
        </w:tc>
        <w:tc>
          <w:tcPr>
            <w:tcW w:w="1196" w:type="dxa"/>
            <w:vAlign w:val="center"/>
          </w:tcPr>
          <w:p>
            <w:pPr>
              <w:pStyle w:val="10711"/>
              <w:ind w:firstLine="0"/>
              <w:jc w:val="center"/>
            </w:pPr>
            <w:r>
              <w:rPr>
                <w:rFonts w:hint="eastAsia"/>
              </w:rPr>
              <w:t>★</w:t>
            </w:r>
          </w:p>
        </w:tc>
        <w:tc>
          <w:tcPr>
            <w:tcW w:w="3690" w:type="dxa"/>
          </w:tcPr>
          <w:p>
            <w:pPr>
              <w:pStyle w:val="10711"/>
              <w:ind w:firstLine="0"/>
              <w:rPr>
                <w:rFonts w:ascii="Times New Roman Regular" w:eastAsia="宋体" w:hAnsi="Times New Roman Regular" w:cs="Times New Roman Regular"/>
              </w:rPr>
            </w:pPr>
            <w:r>
              <w:rPr>
                <w:rFonts w:ascii="Times New Roman Regular" w:hAnsi="Times New Roman Regular" w:cs="Times New Roman Regular" w:hint="eastAsia"/>
              </w:rPr>
              <w:t>投标人承诺项目验收后提供</w:t>
            </w:r>
            <w:r>
              <w:rPr>
                <w:rFonts w:ascii="Times New Roman Regular" w:hAnsi="Times New Roman Regular" w:cs="Times New Roman Regular"/>
              </w:rPr>
              <w:t>1</w:t>
            </w:r>
            <w:r>
              <w:rPr>
                <w:rFonts w:ascii="Times New Roman Regular" w:hAnsi="Times New Roman Regular" w:cs="Times New Roman Regular" w:hint="eastAsia"/>
              </w:rPr>
              <w:t>年</w:t>
            </w:r>
            <w:r>
              <w:rPr>
                <w:rFonts w:ascii="Times New Roman Regular" w:hAnsi="Times New Roman Regular" w:cs="Times New Roman Regular"/>
              </w:rPr>
              <w:t>7x24</w:t>
            </w:r>
            <w:r>
              <w:rPr>
                <w:rFonts w:ascii="Times New Roman Regular" w:hAnsi="Times New Roman Regular" w:cs="Times New Roman Regular" w:hint="eastAsia"/>
              </w:rPr>
              <w:t>小时免费技术服务支持响应，系统维保需在</w:t>
            </w:r>
            <w:r>
              <w:rPr>
                <w:rFonts w:ascii="Times New Roman Regular" w:hAnsi="Times New Roman Regular" w:cs="Times New Roman Regular"/>
              </w:rPr>
              <w:t>0.5</w:t>
            </w:r>
            <w:r>
              <w:rPr>
                <w:rFonts w:ascii="Times New Roman Regular" w:hAnsi="Times New Roman Regular" w:cs="Times New Roman Regular" w:hint="eastAsia"/>
              </w:rPr>
              <w:t>小时内响应，</w:t>
            </w:r>
            <w:r>
              <w:rPr>
                <w:rFonts w:ascii="Times New Roman Regular" w:hAnsi="Times New Roman Regular" w:cs="Times New Roman Regular"/>
              </w:rPr>
              <w:t>1</w:t>
            </w:r>
            <w:r>
              <w:rPr>
                <w:rFonts w:ascii="Times New Roman Regular" w:hAnsi="Times New Roman Regular" w:cs="Times New Roman Regular" w:hint="eastAsia"/>
              </w:rPr>
              <w:t>天内解决相关故障问题。</w:t>
            </w:r>
          </w:p>
        </w:tc>
        <w:tc>
          <w:tcPr>
            <w:tcW w:w="1685" w:type="dxa"/>
            <w:vAlign w:val="center"/>
          </w:tcPr>
          <w:p>
            <w:pPr>
              <w:pStyle w:val="10711"/>
              <w:ind w:firstLine="0"/>
              <w:rPr>
                <w:rFonts w:eastAsia="宋体"/>
              </w:rPr>
            </w:pPr>
            <w:r>
              <w:rPr>
                <w:rFonts w:eastAsia="宋体" w:hint="eastAsia"/>
              </w:rPr>
              <w:t>是，</w:t>
            </w:r>
            <w:r>
              <w:t>提供承诺函并加盖公章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投标人服务标准（2）</w:t>
            </w:r>
          </w:p>
        </w:tc>
        <w:tc>
          <w:tcPr>
            <w:tcW w:w="1196" w:type="dxa"/>
            <w:vAlign w:val="center"/>
          </w:tcPr>
          <w:p>
            <w:pPr>
              <w:ind w:firstLine="0"/>
              <w:jc w:val="center"/>
            </w:pPr>
          </w:p>
        </w:tc>
        <w:tc>
          <w:tcPr>
            <w:tcW w:w="3690" w:type="dxa"/>
          </w:tcPr>
          <w:p>
            <w:pPr>
              <w:pStyle w:val="10711"/>
              <w:ind w:firstLine="0"/>
              <w:rPr>
                <w:rFonts w:ascii="宋体" w:eastAsia="宋体" w:cs="宋体"/>
              </w:rPr>
            </w:pPr>
            <w:r>
              <w:rPr>
                <w:rFonts w:ascii="宋体" w:eastAsia="宋体" w:cs="宋体" w:hint="eastAsia"/>
              </w:rPr>
              <w:t>如果遇到影响系统正常运行且甲方判定属于系统故障，最迟在</w:t>
            </w:r>
            <w:r>
              <w:rPr>
                <w:rFonts w:ascii="Times New Roman Regular" w:hAnsi="Times New Roman Regular" w:cs="Times New Roman Regular"/>
              </w:rPr>
              <w:t>8小时内提供应急方案并实施，遇到仅影响系统性能但不影响系统正常使用的故障，最迟在72小时内提供应急方案并实施</w:t>
            </w:r>
            <w:r>
              <w:rPr>
                <w:rFonts w:ascii="宋体" w:eastAsia="宋体" w:cs="宋体" w:hint="eastAsia"/>
              </w:rPr>
              <w:t>。</w:t>
            </w:r>
          </w:p>
        </w:tc>
        <w:tc>
          <w:tcPr>
            <w:tcW w:w="1685" w:type="dxa"/>
            <w:vAlign w:val="center"/>
          </w:tcPr>
          <w:p>
            <w:pPr>
              <w:pStyle w:val="10711"/>
              <w:ind w:firstLine="0"/>
            </w:pPr>
            <w:r>
              <w:rPr>
                <w:rFonts w:eastAsia="宋体" w:hint="eastAsia"/>
              </w:rPr>
              <w:t>是，</w:t>
            </w:r>
            <w:r>
              <w:t>提供承诺函并加盖公章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投标人服务标准（3）</w:t>
            </w:r>
          </w:p>
        </w:tc>
        <w:tc>
          <w:tcPr>
            <w:tcW w:w="1196" w:type="dxa"/>
            <w:vAlign w:val="center"/>
          </w:tcPr>
          <w:p>
            <w:pPr>
              <w:ind w:firstLine="0"/>
              <w:jc w:val="center"/>
            </w:pPr>
          </w:p>
        </w:tc>
        <w:tc>
          <w:tcPr>
            <w:tcW w:w="3690" w:type="dxa"/>
          </w:tcPr>
          <w:p>
            <w:pPr>
              <w:pStyle w:val="10711"/>
              <w:ind w:firstLine="0"/>
            </w:pPr>
            <w:r>
              <w:rPr>
                <w:rFonts w:ascii="宋体" w:eastAsia="宋体" w:cs="宋体"/>
              </w:rPr>
              <w:t>运维</w:t>
            </w:r>
            <w:r>
              <w:rPr>
                <w:rFonts w:ascii="宋体" w:eastAsia="宋体" w:cs="宋体" w:hint="eastAsia"/>
              </w:rPr>
              <w:t>期内</w:t>
            </w:r>
            <w:r>
              <w:t xml:space="preserve"> </w:t>
            </w:r>
            <w:r>
              <w:rPr>
                <w:rFonts w:ascii="宋体" w:eastAsia="宋体" w:cs="宋体" w:hint="eastAsia"/>
              </w:rPr>
              <w:t>，如发生系统软件扩展升级等情况，应提供升级到最新版本的服务。</w:t>
            </w:r>
          </w:p>
          <w:p>
            <w:pPr>
              <w:pStyle w:val="10711"/>
              <w:ind w:firstLine="0"/>
              <w:rPr>
                <w:rFonts w:ascii="宋体" w:eastAsia="宋体" w:cs="宋体"/>
              </w:rPr>
            </w:pPr>
            <w:r>
              <w:rPr>
                <w:rFonts w:ascii="宋体" w:eastAsia="宋体" w:cs="宋体" w:hint="eastAsia"/>
              </w:rPr>
              <w:t>提供对所开发的产品进行系统巡检的服务；对系统存在的潜在安全和故障隐患进行分析并提出相应的解决方案加以排除。</w:t>
            </w:r>
          </w:p>
        </w:tc>
        <w:tc>
          <w:tcPr>
            <w:tcW w:w="1685" w:type="dxa"/>
            <w:vAlign w:val="center"/>
          </w:tcPr>
          <w:p>
            <w:pPr>
              <w:pStyle w:val="10711"/>
              <w:ind w:firstLine="0"/>
            </w:pPr>
            <w:r>
              <w:rPr>
                <w:rFonts w:eastAsia="宋体" w:hint="eastAsia"/>
              </w:rPr>
              <w:t>是，</w:t>
            </w:r>
            <w:r>
              <w:t>提供承诺函并加盖公章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投标人服务标准（4）</w:t>
            </w:r>
          </w:p>
        </w:tc>
        <w:tc>
          <w:tcPr>
            <w:tcW w:w="1196" w:type="dxa"/>
            <w:vAlign w:val="center"/>
          </w:tcPr>
          <w:p>
            <w:pPr>
              <w:ind w:firstLine="0"/>
              <w:jc w:val="center"/>
            </w:pPr>
          </w:p>
        </w:tc>
        <w:tc>
          <w:tcPr>
            <w:tcW w:w="3690" w:type="dxa"/>
          </w:tcPr>
          <w:p>
            <w:pPr>
              <w:pStyle w:val="10711"/>
              <w:ind w:firstLine="0"/>
              <w:rPr>
                <w:rFonts w:ascii="宋体" w:eastAsia="宋体" w:cs="宋体"/>
              </w:rPr>
            </w:pPr>
            <w:r>
              <w:rPr>
                <w:rFonts w:ascii="宋体" w:eastAsia="宋体" w:cs="宋体"/>
              </w:rPr>
              <w:t>提供系统性能调试方面的建议和支持，提供系统维护及安全性能设置方面的建议和支持。</w:t>
            </w:r>
          </w:p>
        </w:tc>
        <w:tc>
          <w:tcPr>
            <w:tcW w:w="1685" w:type="dxa"/>
            <w:vAlign w:val="center"/>
          </w:tcPr>
          <w:p>
            <w:pPr>
              <w:pStyle w:val="10711"/>
              <w:ind w:firstLine="0"/>
              <w:rPr>
                <w:rFonts w:eastAsia="宋体"/>
              </w:rPr>
            </w:pPr>
            <w:r>
              <w:rPr>
                <w:rFonts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投标人服务标准（5）</w:t>
            </w:r>
          </w:p>
        </w:tc>
        <w:tc>
          <w:tcPr>
            <w:tcW w:w="1196" w:type="dxa"/>
            <w:vAlign w:val="center"/>
          </w:tcPr>
          <w:p>
            <w:pPr>
              <w:ind w:firstLine="0"/>
              <w:jc w:val="center"/>
            </w:pPr>
            <w:r>
              <w:rPr>
                <w:rFonts w:hint="eastAsia"/>
              </w:rPr>
              <w:t>★</w:t>
            </w:r>
          </w:p>
        </w:tc>
        <w:tc>
          <w:tcPr>
            <w:tcW w:w="3690" w:type="dxa"/>
          </w:tcPr>
          <w:p>
            <w:pPr>
              <w:pStyle w:val="10711"/>
              <w:ind w:firstLine="0"/>
              <w:rPr>
                <w:rFonts w:eastAsia="宋体"/>
              </w:rPr>
            </w:pPr>
            <w:r>
              <w:rPr>
                <w:rFonts w:ascii="微软雅黑" w:hAnsi="微软雅黑" w:hint="eastAsia"/>
                <w:szCs w:val="21"/>
              </w:rPr>
              <w:t>投标人在中标后须和甲方签订保密承诺书。</w:t>
            </w:r>
          </w:p>
        </w:tc>
        <w:tc>
          <w:tcPr>
            <w:tcW w:w="1685" w:type="dxa"/>
            <w:vAlign w:val="center"/>
          </w:tcPr>
          <w:p>
            <w:pPr>
              <w:pStyle w:val="10711"/>
              <w:ind w:firstLine="0"/>
              <w:rPr>
                <w:rFonts w:eastAsia="宋体"/>
              </w:rPr>
            </w:pPr>
            <w:r>
              <w:rPr>
                <w:rFonts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投标人服务标准（6）</w:t>
            </w:r>
          </w:p>
        </w:tc>
        <w:tc>
          <w:tcPr>
            <w:tcW w:w="1196" w:type="dxa"/>
            <w:vAlign w:val="center"/>
          </w:tcPr>
          <w:p>
            <w:pPr>
              <w:ind w:firstLine="0"/>
              <w:jc w:val="center"/>
            </w:pPr>
          </w:p>
        </w:tc>
        <w:tc>
          <w:tcPr>
            <w:tcW w:w="3690" w:type="dxa"/>
            <w:vAlign w:val="center"/>
          </w:tcPr>
          <w:p>
            <w:pPr>
              <w:ind w:firstLine="0"/>
              <w:rPr>
                <w:kern w:val="2"/>
                <w:sz w:val="21"/>
                <w:lang w:bidi="en-US"/>
              </w:rPr>
            </w:pPr>
            <w:r>
              <w:rPr>
                <w:rFonts w:ascii="微软雅黑" w:hAnsi="微软雅黑" w:hint="eastAsia"/>
                <w:szCs w:val="21"/>
              </w:rPr>
              <w:t>提供</w:t>
            </w:r>
            <w:r>
              <w:rPr>
                <w:rFonts w:ascii="宋体" w:hint="eastAsia"/>
                <w:bCs/>
                <w:szCs w:val="21"/>
              </w:rPr>
              <w:t>对本项目的需求理解，需包含：①建设背景、建设目标、②建设内容的理解程度进行评价</w:t>
            </w:r>
          </w:p>
        </w:tc>
        <w:tc>
          <w:tcPr>
            <w:tcW w:w="1685" w:type="dxa"/>
            <w:vAlign w:val="center"/>
          </w:tcPr>
          <w:p>
            <w:pPr>
              <w:ind w:firstLine="0"/>
              <w:rPr>
                <w:kern w:val="2"/>
                <w:sz w:val="21"/>
              </w:rPr>
            </w:pPr>
            <w:r>
              <w:rPr>
                <w:rFonts w:hint="eastAsia"/>
              </w:rPr>
              <w:t>是，</w:t>
            </w:r>
            <w:r>
              <w:rPr>
                <w:rFonts w:ascii="微软雅黑" w:hAnsi="微软雅黑" w:hint="eastAsia"/>
                <w:szCs w:val="21"/>
              </w:rPr>
              <w:t>提供</w:t>
            </w:r>
            <w:r>
              <w:rPr>
                <w:rFonts w:ascii="宋体" w:hint="eastAsia"/>
                <w:bCs/>
                <w:szCs w:val="21"/>
              </w:rPr>
              <w:t>对本项目的需求理解</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投标人服务标准（7）</w:t>
            </w:r>
          </w:p>
        </w:tc>
        <w:tc>
          <w:tcPr>
            <w:tcW w:w="1196" w:type="dxa"/>
            <w:vAlign w:val="center"/>
          </w:tcPr>
          <w:p>
            <w:pPr>
              <w:ind w:firstLine="0"/>
              <w:jc w:val="center"/>
            </w:pPr>
          </w:p>
        </w:tc>
        <w:tc>
          <w:tcPr>
            <w:tcW w:w="3690" w:type="dxa"/>
            <w:vAlign w:val="center"/>
          </w:tcPr>
          <w:p>
            <w:pPr>
              <w:ind w:firstLine="0"/>
              <w:rPr>
                <w:rFonts w:ascii="宋体" w:cs="宋体"/>
                <w:kern w:val="2"/>
              </w:rPr>
            </w:pPr>
            <w:r>
              <w:rPr>
                <w:rFonts w:ascii="微软雅黑" w:hAnsi="微软雅黑" w:hint="eastAsia"/>
                <w:szCs w:val="21"/>
              </w:rPr>
              <w:t>提供</w:t>
            </w:r>
            <w:r>
              <w:rPr>
                <w:rFonts w:ascii="宋体" w:eastAsia="宋体" w:cs="宋体" w:hint="eastAsia"/>
                <w:bCs/>
                <w:szCs w:val="21"/>
              </w:rPr>
              <w:t>对本项目的业务流程</w:t>
            </w:r>
            <w:r>
              <w:rPr>
                <w:rFonts w:ascii="宋体" w:hint="eastAsia"/>
                <w:bCs/>
                <w:szCs w:val="21"/>
              </w:rPr>
              <w:t>设计</w:t>
            </w:r>
            <w:r>
              <w:rPr>
                <w:rFonts w:ascii="宋体" w:eastAsia="宋体" w:cs="宋体" w:hint="eastAsia"/>
                <w:bCs/>
                <w:szCs w:val="21"/>
              </w:rPr>
              <w:t>，投标人应提供各业务模块的</w:t>
            </w:r>
            <w:r>
              <w:rPr>
                <w:rFonts w:ascii="宋体"/>
                <w:bCs/>
                <w:szCs w:val="21"/>
              </w:rPr>
              <w:t>①</w:t>
            </w:r>
            <w:r>
              <w:rPr>
                <w:rFonts w:ascii="宋体" w:eastAsia="宋体" w:cs="宋体" w:hint="eastAsia"/>
                <w:bCs/>
                <w:szCs w:val="21"/>
              </w:rPr>
              <w:t>业务流程图、</w:t>
            </w:r>
            <w:r>
              <w:rPr>
                <w:rFonts w:ascii="宋体"/>
                <w:bCs/>
                <w:szCs w:val="21"/>
              </w:rPr>
              <w:t>②</w:t>
            </w:r>
            <w:r>
              <w:rPr>
                <w:rFonts w:ascii="宋体" w:eastAsia="宋体" w:cs="宋体" w:hint="eastAsia"/>
                <w:bCs/>
                <w:szCs w:val="21"/>
              </w:rPr>
              <w:t>流程说明、</w:t>
            </w:r>
            <w:r>
              <w:rPr>
                <w:rFonts w:ascii="宋体"/>
                <w:bCs/>
                <w:szCs w:val="21"/>
              </w:rPr>
              <w:t>③</w:t>
            </w:r>
            <w:r>
              <w:rPr>
                <w:rFonts w:ascii="宋体" w:eastAsia="宋体" w:cs="宋体" w:hint="eastAsia"/>
                <w:bCs/>
                <w:szCs w:val="21"/>
              </w:rPr>
              <w:t>数据治理分析、数据采集验证的业务要点、</w:t>
            </w:r>
            <w:r>
              <w:rPr>
                <w:rFonts w:ascii="宋体"/>
                <w:bCs/>
                <w:szCs w:val="21"/>
              </w:rPr>
              <w:t>④</w:t>
            </w:r>
            <w:r>
              <w:rPr>
                <w:rFonts w:ascii="宋体" w:eastAsia="宋体" w:cs="宋体" w:hint="eastAsia"/>
                <w:bCs/>
                <w:szCs w:val="21"/>
              </w:rPr>
              <w:t>卫检、动植检、食品安全、商检等不同业务领域应用场景的业务要点；</w:t>
            </w:r>
          </w:p>
        </w:tc>
        <w:tc>
          <w:tcPr>
            <w:tcW w:w="1685" w:type="dxa"/>
            <w:vAlign w:val="center"/>
          </w:tcPr>
          <w:p>
            <w:pPr>
              <w:ind w:firstLine="0"/>
              <w:rPr>
                <w:kern w:val="2"/>
                <w:sz w:val="21"/>
              </w:rPr>
            </w:pPr>
            <w:r>
              <w:rPr>
                <w:rFonts w:hint="eastAsia"/>
              </w:rPr>
              <w:t>是，</w:t>
            </w:r>
            <w:r>
              <w:rPr>
                <w:rFonts w:ascii="微软雅黑" w:hAnsi="微软雅黑" w:hint="eastAsia"/>
                <w:szCs w:val="21"/>
              </w:rPr>
              <w:t>提供</w:t>
            </w:r>
            <w:r>
              <w:rPr>
                <w:rFonts w:ascii="宋体" w:eastAsia="宋体" w:cs="宋体" w:hint="eastAsia"/>
                <w:bCs/>
                <w:szCs w:val="21"/>
              </w:rPr>
              <w:t>对本项目的业务流程</w:t>
            </w:r>
            <w:r>
              <w:rPr>
                <w:rFonts w:ascii="宋体" w:hint="eastAsia"/>
                <w:bCs/>
                <w:szCs w:val="21"/>
              </w:rPr>
              <w:t>设计</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投标人服务标准（8）</w:t>
            </w:r>
          </w:p>
        </w:tc>
        <w:tc>
          <w:tcPr>
            <w:tcW w:w="1196" w:type="dxa"/>
            <w:vAlign w:val="center"/>
          </w:tcPr>
          <w:p>
            <w:pPr>
              <w:ind w:firstLine="0"/>
              <w:jc w:val="center"/>
            </w:pPr>
          </w:p>
        </w:tc>
        <w:tc>
          <w:tcPr>
            <w:tcW w:w="3690" w:type="dxa"/>
            <w:vAlign w:val="center"/>
          </w:tcPr>
          <w:p>
            <w:pPr>
              <w:adjustRightInd w:val="0"/>
              <w:snapToGrid w:val="0"/>
              <w:ind w:firstLine="0"/>
              <w:jc w:val="left"/>
              <w:rPr>
                <w:rFonts w:ascii="宋体"/>
                <w:bCs/>
                <w:kern w:val="2"/>
                <w:sz w:val="21"/>
                <w:szCs w:val="21"/>
              </w:rPr>
            </w:pPr>
            <w:r>
              <w:rPr>
                <w:rFonts w:ascii="宋体" w:hint="eastAsia"/>
                <w:bCs/>
                <w:szCs w:val="21"/>
              </w:rPr>
              <w:t>提供解决方案全面覆盖需求点，提供具有前瞻性及方向性的战略规划建议、方案细化可执行落地，不是纯粹学术性的词汇堆积。</w:t>
            </w:r>
          </w:p>
          <w:p>
            <w:pPr>
              <w:adjustRightInd w:val="0"/>
              <w:snapToGrid w:val="0"/>
              <w:ind w:firstLine="0"/>
              <w:jc w:val="left"/>
              <w:rPr>
                <w:rFonts w:ascii="宋体"/>
                <w:bCs/>
                <w:kern w:val="2"/>
                <w:sz w:val="21"/>
                <w:szCs w:val="21"/>
              </w:rPr>
            </w:pPr>
            <w:r>
              <w:rPr>
                <w:rFonts w:ascii="宋体" w:hint="eastAsia"/>
                <w:bCs/>
                <w:szCs w:val="21"/>
              </w:rPr>
              <w:t>涉及内容包括：①架构设计、②功能清单、③UI/UE产品设计、④系统集成、⑤信息安全、⑥接口技术、⑦数据存储、⑧测试方案、⑨产品部署、⑩培训/运维等。</w:t>
            </w:r>
            <w:r>
              <w:rPr>
                <w:rFonts w:ascii="宋体" w:cs="宋体" w:hint="eastAsia"/>
              </w:rPr>
              <w:t xml:space="preserve"> </w:t>
            </w:r>
          </w:p>
        </w:tc>
        <w:tc>
          <w:tcPr>
            <w:tcW w:w="1685" w:type="dxa"/>
            <w:vAlign w:val="center"/>
          </w:tcPr>
          <w:p>
            <w:pPr>
              <w:ind w:firstLine="0"/>
              <w:rPr>
                <w:kern w:val="2"/>
                <w:sz w:val="21"/>
              </w:rPr>
            </w:pPr>
            <w:r>
              <w:rPr>
                <w:rFonts w:hint="eastAsia"/>
              </w:rPr>
              <w:t>是，</w:t>
            </w:r>
            <w:r>
              <w:rPr>
                <w:rFonts w:ascii="宋体" w:hint="eastAsia"/>
                <w:bCs/>
                <w:szCs w:val="21"/>
              </w:rPr>
              <w:t>提供解决方案全面覆盖需求点</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投标人服务标准（9）</w:t>
            </w:r>
          </w:p>
        </w:tc>
        <w:tc>
          <w:tcPr>
            <w:tcW w:w="1196" w:type="dxa"/>
            <w:vAlign w:val="center"/>
          </w:tcPr>
          <w:p>
            <w:pPr>
              <w:ind w:firstLine="0"/>
              <w:jc w:val="center"/>
            </w:pPr>
          </w:p>
        </w:tc>
        <w:tc>
          <w:tcPr>
            <w:tcW w:w="3690" w:type="dxa"/>
            <w:vAlign w:val="center"/>
          </w:tcPr>
          <w:p>
            <w:pPr>
              <w:ind w:firstLine="0"/>
              <w:rPr>
                <w:rFonts w:ascii="宋体"/>
                <w:bCs/>
                <w:kern w:val="2"/>
                <w:sz w:val="21"/>
                <w:szCs w:val="21"/>
              </w:rPr>
            </w:pPr>
            <w:r>
              <w:rPr>
                <w:rFonts w:ascii="宋体" w:hint="eastAsia"/>
                <w:bCs/>
                <w:szCs w:val="21"/>
              </w:rPr>
              <w:t>提供对本项目业务需求进行功能分析设计，包括：</w:t>
            </w:r>
          </w:p>
          <w:p>
            <w:pPr>
              <w:ind w:firstLine="0"/>
              <w:rPr>
                <w:rFonts w:ascii="宋体"/>
                <w:bCs/>
                <w:szCs w:val="21"/>
              </w:rPr>
            </w:pPr>
            <w:r>
              <w:rPr>
                <w:rFonts w:ascii="宋体" w:hint="eastAsia"/>
                <w:bCs/>
                <w:szCs w:val="21"/>
              </w:rPr>
              <w:t>①企业数据采集模块、②数据采集监控模块、③数据治理监控模块、④业务应用需求模块、⑤ERP智能化联网监管驾驶舱模块</w:t>
            </w:r>
          </w:p>
          <w:p>
            <w:pPr>
              <w:ind w:firstLine="0"/>
              <w:rPr>
                <w:rFonts w:ascii="宋体" w:cs="宋体"/>
                <w:kern w:val="2"/>
              </w:rPr>
            </w:pPr>
            <w:r>
              <w:rPr>
                <w:rFonts w:ascii="宋体" w:hint="eastAsia"/>
                <w:bCs/>
                <w:szCs w:val="21"/>
              </w:rPr>
              <w:t>要求方案在采购建设需求的基础上展开了详细、有针对性的拓展，设计说明详细、具体，设计思路清晰、明确，有利于项目实施</w:t>
            </w:r>
          </w:p>
        </w:tc>
        <w:tc>
          <w:tcPr>
            <w:tcW w:w="1685" w:type="dxa"/>
            <w:vAlign w:val="center"/>
          </w:tcPr>
          <w:p>
            <w:pPr>
              <w:ind w:firstLine="0"/>
              <w:rPr>
                <w:kern w:val="2"/>
                <w:sz w:val="21"/>
              </w:rPr>
            </w:pPr>
            <w:r>
              <w:rPr>
                <w:rFonts w:hint="eastAsia"/>
              </w:rPr>
              <w:t>是，</w:t>
            </w:r>
            <w:r>
              <w:rPr>
                <w:rFonts w:ascii="宋体" w:hint="eastAsia"/>
                <w:bCs/>
                <w:szCs w:val="21"/>
              </w:rPr>
              <w:t>提供对本项目业务需求功能分析设计方案</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投标人服务标准（10）</w:t>
            </w:r>
          </w:p>
        </w:tc>
        <w:tc>
          <w:tcPr>
            <w:tcW w:w="1196" w:type="dxa"/>
            <w:vAlign w:val="center"/>
          </w:tcPr>
          <w:p>
            <w:pPr>
              <w:ind w:firstLine="0"/>
              <w:jc w:val="center"/>
            </w:pPr>
          </w:p>
        </w:tc>
        <w:tc>
          <w:tcPr>
            <w:tcW w:w="3690" w:type="dxa"/>
            <w:vAlign w:val="center"/>
          </w:tcPr>
          <w:p>
            <w:pPr>
              <w:ind w:firstLine="0"/>
              <w:rPr>
                <w:rFonts w:ascii="宋体" w:cs="宋体"/>
                <w:kern w:val="2"/>
              </w:rPr>
            </w:pPr>
            <w:r>
              <w:rPr>
                <w:rFonts w:ascii="宋体" w:hint="eastAsia"/>
              </w:rPr>
              <w:t>提供对本项目的</w:t>
            </w:r>
            <w:r>
              <w:rPr>
                <w:rFonts w:ascii="宋体" w:hint="eastAsia"/>
                <w:bCs/>
                <w:szCs w:val="21"/>
              </w:rPr>
              <w:t>优化分析方案，需包含：</w:t>
            </w:r>
            <w:r>
              <w:rPr>
                <w:rFonts w:ascii="宋体" w:hint="eastAsia"/>
              </w:rPr>
              <w:t>①技术要求、②性能要求、③部署及运行环境要求设计进行评价，详细描述且能够根据本项目的特点进行有针对性优化</w:t>
            </w:r>
          </w:p>
        </w:tc>
        <w:tc>
          <w:tcPr>
            <w:tcW w:w="1685" w:type="dxa"/>
            <w:vAlign w:val="center"/>
          </w:tcPr>
          <w:p>
            <w:pPr>
              <w:ind w:firstLine="0"/>
              <w:rPr>
                <w:kern w:val="2"/>
                <w:sz w:val="21"/>
              </w:rPr>
            </w:pPr>
            <w:r>
              <w:rPr>
                <w:rFonts w:hint="eastAsia"/>
              </w:rPr>
              <w:t>是，</w:t>
            </w:r>
            <w:r>
              <w:rPr>
                <w:rFonts w:ascii="宋体" w:hint="eastAsia"/>
              </w:rPr>
              <w:t>提供对本项目的</w:t>
            </w:r>
            <w:r>
              <w:rPr>
                <w:rFonts w:ascii="宋体" w:hint="eastAsia"/>
                <w:bCs/>
                <w:szCs w:val="21"/>
              </w:rPr>
              <w:t>优化分析方案</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投标人服务标准（11）</w:t>
            </w:r>
          </w:p>
        </w:tc>
        <w:tc>
          <w:tcPr>
            <w:tcW w:w="1196" w:type="dxa"/>
            <w:vAlign w:val="center"/>
          </w:tcPr>
          <w:p>
            <w:pPr>
              <w:ind w:firstLine="0"/>
              <w:jc w:val="center"/>
            </w:pPr>
          </w:p>
        </w:tc>
        <w:tc>
          <w:tcPr>
            <w:tcW w:w="3690" w:type="dxa"/>
            <w:vAlign w:val="center"/>
          </w:tcPr>
          <w:p>
            <w:pPr>
              <w:ind w:firstLine="0"/>
              <w:rPr>
                <w:rFonts w:ascii="宋体"/>
                <w:bCs/>
                <w:kern w:val="2"/>
                <w:sz w:val="21"/>
                <w:szCs w:val="21"/>
              </w:rPr>
            </w:pPr>
            <w:r>
              <w:rPr>
                <w:rFonts w:ascii="宋体" w:hint="eastAsia"/>
                <w:bCs/>
                <w:szCs w:val="21"/>
              </w:rPr>
              <w:t>提供对本项目技术方案设计，包括：</w:t>
            </w:r>
          </w:p>
          <w:p>
            <w:pPr>
              <w:spacing w:line="240" w:lineRule="auto"/>
              <w:ind w:firstLine="0"/>
              <w:jc w:val="left"/>
              <w:rPr>
                <w:rFonts w:ascii="宋体"/>
                <w:kern w:val="2"/>
                <w:sz w:val="21"/>
              </w:rPr>
            </w:pPr>
            <w:r>
              <w:rPr>
                <w:rFonts w:ascii="宋体" w:hint="eastAsia"/>
              </w:rPr>
              <w:t>①</w:t>
            </w:r>
            <w:r>
              <w:rPr>
                <w:rFonts w:ascii="宋体" w:hint="eastAsia"/>
                <w:bCs/>
                <w:szCs w:val="21"/>
              </w:rPr>
              <w:t>系统架构的设计方案，包含对系统架构图和系统架构图描述情况、②网络架构的设计方案，包含对网络架构图和网络架构图描述情况、③系统安全性设计进行评价，设计内容包含系统的网络安全、数据交换安全（包括联网数据安全）、安全管理运维体系、④业务数据保护措施、⑤突发情况的应急处理与故障恢复方案</w:t>
            </w:r>
          </w:p>
        </w:tc>
        <w:tc>
          <w:tcPr>
            <w:tcW w:w="1685" w:type="dxa"/>
            <w:vAlign w:val="center"/>
          </w:tcPr>
          <w:p>
            <w:pPr>
              <w:ind w:firstLine="0"/>
              <w:rPr>
                <w:rFonts w:ascii="宋体" w:eastAsia="宋体"/>
                <w:bCs/>
                <w:kern w:val="2"/>
                <w:sz w:val="21"/>
                <w:szCs w:val="21"/>
              </w:rPr>
            </w:pPr>
            <w:r>
              <w:rPr>
                <w:rFonts w:hint="eastAsia"/>
              </w:rPr>
              <w:t>是，</w:t>
            </w:r>
            <w:r>
              <w:rPr>
                <w:rFonts w:ascii="宋体" w:hint="eastAsia"/>
                <w:bCs/>
                <w:szCs w:val="21"/>
              </w:rPr>
              <w:t>提供对本项目技术方案设计</w:t>
            </w:r>
            <w:r>
              <w:rPr>
                <w:rFonts w:ascii="宋体" w:eastAsia="宋体" w:hint="eastAsia"/>
                <w:bCs/>
                <w:kern w:val="2"/>
                <w:sz w:val="21"/>
                <w:szCs w:val="21"/>
              </w:rPr>
              <w:t>，包含</w:t>
            </w:r>
            <w:r>
              <w:rPr>
                <w:rFonts w:ascii="宋体" w:hint="eastAsia"/>
                <w:bCs/>
                <w:szCs w:val="21"/>
              </w:rPr>
              <w:t>整体部署架构图，总体技术架构图，应用功能逻辑架构图</w:t>
            </w:r>
            <w:r>
              <w:rPr>
                <w:rFonts w:ascii="宋体" w:eastAsia="宋体" w:hint="eastAsia"/>
                <w:bCs/>
                <w:szCs w:val="21"/>
              </w:rPr>
              <w:t>等内容</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投标人服务标准（12）</w:t>
            </w:r>
          </w:p>
        </w:tc>
        <w:tc>
          <w:tcPr>
            <w:tcW w:w="1196" w:type="dxa"/>
            <w:vAlign w:val="center"/>
          </w:tcPr>
          <w:p>
            <w:pPr>
              <w:ind w:firstLine="0"/>
              <w:jc w:val="center"/>
            </w:pPr>
          </w:p>
        </w:tc>
        <w:tc>
          <w:tcPr>
            <w:tcW w:w="3690" w:type="dxa"/>
            <w:vAlign w:val="center"/>
          </w:tcPr>
          <w:p>
            <w:pPr>
              <w:ind w:firstLine="0"/>
              <w:rPr>
                <w:rFonts w:ascii="宋体"/>
                <w:bCs/>
                <w:kern w:val="2"/>
                <w:sz w:val="21"/>
                <w:szCs w:val="21"/>
              </w:rPr>
            </w:pPr>
            <w:r>
              <w:rPr>
                <w:rFonts w:ascii="宋体" w:hint="eastAsia"/>
              </w:rPr>
              <w:t>提供的针对项目提出的总体工作方案（含实施方案、进度安排等）</w:t>
            </w:r>
          </w:p>
        </w:tc>
        <w:tc>
          <w:tcPr>
            <w:tcW w:w="1685" w:type="dxa"/>
            <w:vAlign w:val="center"/>
          </w:tcPr>
          <w:p>
            <w:pPr>
              <w:ind w:firstLine="0"/>
              <w:rPr>
                <w:kern w:val="2"/>
                <w:sz w:val="21"/>
              </w:rPr>
            </w:pPr>
            <w:r>
              <w:rPr>
                <w:rFonts w:hint="eastAsia"/>
              </w:rPr>
              <w:t>是，</w:t>
            </w:r>
            <w:r>
              <w:rPr>
                <w:rFonts w:ascii="宋体" w:hint="eastAsia"/>
              </w:rPr>
              <w:t>提供的针对项目提出的总体工作方案</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Merge/>
            <w:vAlign w:val="center"/>
          </w:tcPr>
          <w:p/>
        </w:tc>
        <w:tc>
          <w:tcPr>
            <w:tcW w:w="1140" w:type="dxa"/>
            <w:vAlign w:val="center"/>
          </w:tcPr>
          <w:p>
            <w:pPr>
              <w:ind w:firstLine="0"/>
              <w:jc w:val="center"/>
              <w:rPr>
                <w:rFonts w:ascii="宋体" w:eastAsia="宋体"/>
              </w:rPr>
            </w:pPr>
            <w:r>
              <w:rPr>
                <w:rFonts w:ascii="宋体" w:eastAsia="宋体" w:hint="eastAsia"/>
              </w:rPr>
              <w:t>投标人服务标准（13）</w:t>
            </w:r>
          </w:p>
        </w:tc>
        <w:tc>
          <w:tcPr>
            <w:tcW w:w="1196" w:type="dxa"/>
            <w:vAlign w:val="center"/>
          </w:tcPr>
          <w:p>
            <w:pPr>
              <w:ind w:firstLine="0"/>
              <w:jc w:val="center"/>
            </w:pPr>
          </w:p>
        </w:tc>
        <w:tc>
          <w:tcPr>
            <w:tcW w:w="3690" w:type="dxa"/>
            <w:vAlign w:val="center"/>
          </w:tcPr>
          <w:p>
            <w:pPr>
              <w:ind w:firstLine="0"/>
              <w:rPr>
                <w:rFonts w:ascii="宋体"/>
                <w:kern w:val="2"/>
                <w:sz w:val="21"/>
              </w:rPr>
            </w:pPr>
            <w:r>
              <w:rPr>
                <w:rFonts w:ascii="宋体" w:hint="eastAsia"/>
              </w:rPr>
              <w:t>提供的服务质量保障方案设计方案，包含质量管理计划、质量保障措施、关键节点风险控制三个方面</w:t>
            </w:r>
          </w:p>
        </w:tc>
        <w:tc>
          <w:tcPr>
            <w:tcW w:w="1685" w:type="dxa"/>
            <w:vAlign w:val="center"/>
          </w:tcPr>
          <w:p>
            <w:pPr>
              <w:ind w:firstLine="0"/>
              <w:rPr>
                <w:kern w:val="2"/>
                <w:sz w:val="21"/>
              </w:rPr>
            </w:pPr>
            <w:r>
              <w:rPr>
                <w:rFonts w:hint="eastAsia"/>
              </w:rPr>
              <w:t>是，</w:t>
            </w:r>
            <w:r>
              <w:rPr>
                <w:rFonts w:ascii="宋体" w:hint="eastAsia"/>
              </w:rPr>
              <w:t>提供的服务质量保障方案设计方案</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vAlign w:val="center"/>
          </w:tcPr>
          <w:p>
            <w:pPr>
              <w:ind w:firstLine="0"/>
              <w:jc w:val="center"/>
              <w:rPr>
                <w:rFonts w:ascii="宋体" w:eastAsia="宋体"/>
              </w:rPr>
            </w:pPr>
            <w:r>
              <w:rPr>
                <w:rFonts w:ascii="宋体" w:eastAsia="宋体" w:hint="eastAsia"/>
              </w:rPr>
              <w:t>硬件、软件制造商服务标准</w:t>
            </w:r>
          </w:p>
        </w:tc>
        <w:tc>
          <w:tcPr>
            <w:tcW w:w="1196" w:type="dxa"/>
            <w:vAlign w:val="center"/>
          </w:tcPr>
          <w:p>
            <w:pPr>
              <w:ind w:firstLine="0"/>
              <w:jc w:val="center"/>
            </w:pPr>
          </w:p>
        </w:tc>
        <w:tc>
          <w:tcPr>
            <w:tcW w:w="3690" w:type="dxa"/>
            <w:vAlign w:val="center"/>
          </w:tcPr>
          <w:p>
            <w:pPr>
              <w:rPr>
                <w:rFonts w:ascii="宋体" w:eastAsia="宋体"/>
              </w:rPr>
            </w:pPr>
            <w:r>
              <w:rPr>
                <w:rFonts w:ascii="宋体" w:eastAsia="宋体" w:hint="eastAsia"/>
              </w:rPr>
              <w:t>无</w:t>
            </w:r>
          </w:p>
        </w:tc>
        <w:tc>
          <w:tcPr>
            <w:tcW w:w="1685" w:type="dxa"/>
            <w:vAlign w:val="center"/>
          </w:tcPr>
          <w:p>
            <w:pPr>
              <w:pStyle w:val="10711"/>
              <w:ind w:firstLine="0"/>
              <w:rPr>
                <w:rFonts w:eastAsia="宋体"/>
              </w:rPr>
            </w:pPr>
            <w:r>
              <w:rPr>
                <w:rFonts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vAlign w:val="center"/>
          </w:tcPr>
          <w:p>
            <w:pPr>
              <w:ind w:firstLine="0"/>
              <w:jc w:val="center"/>
              <w:rPr>
                <w:rFonts w:ascii="宋体" w:eastAsia="宋体"/>
              </w:rPr>
            </w:pPr>
            <w:r>
              <w:rPr>
                <w:rFonts w:ascii="宋体" w:eastAsia="宋体" w:hint="eastAsia"/>
              </w:rPr>
              <w:t>人员资格标准</w:t>
            </w:r>
          </w:p>
        </w:tc>
        <w:tc>
          <w:tcPr>
            <w:tcW w:w="1196" w:type="dxa"/>
            <w:vAlign w:val="center"/>
          </w:tcPr>
          <w:p>
            <w:pPr>
              <w:ind w:firstLine="0"/>
              <w:jc w:val="center"/>
            </w:pPr>
          </w:p>
        </w:tc>
        <w:tc>
          <w:tcPr>
            <w:tcW w:w="3690" w:type="dxa"/>
          </w:tcPr>
          <w:p>
            <w:pPr>
              <w:adjustRightInd w:val="0"/>
              <w:snapToGrid w:val="0"/>
              <w:spacing w:line="300" w:lineRule="auto"/>
              <w:ind w:left="-65" w:firstLine="0" w:leftChars="-31"/>
              <w:jc w:val="left"/>
              <w:rPr>
                <w:rFonts w:ascii="Times New Roman Regular" w:eastAsia="宋体" w:hAnsi="Times New Roman Regular" w:cs="Times New Roman Regular"/>
              </w:rPr>
            </w:pPr>
            <w:r>
              <w:rPr>
                <w:rFonts w:ascii="Times New Roman Regular" w:eastAsia="宋体" w:hAnsi="Times New Roman Regular" w:cs="Times New Roman Regular" w:hint="eastAsia"/>
              </w:rPr>
              <w:t>（一）</w:t>
            </w:r>
            <w:r>
              <w:rPr>
                <w:rFonts w:ascii="Times New Roman Regular" w:hAnsi="Times New Roman Regular" w:cs="Times New Roman Regular" w:hint="eastAsia"/>
              </w:rPr>
              <w:t>投标人拟派负责本项目的项目经理（项目负责人）具备由人力资源和社会保障部、工业和信息化部颁发的信息系统项目管理师证书。（需提供证书扫描件</w:t>
            </w:r>
            <w:r>
              <w:rPr>
                <w:rFonts w:ascii="Times New Roman Regular" w:eastAsia="宋体" w:hAnsi="Times New Roman Regular" w:cs="Times New Roman Regular" w:hint="eastAsia"/>
              </w:rPr>
              <w:t>）</w:t>
            </w:r>
          </w:p>
          <w:p>
            <w:pPr>
              <w:adjustRightInd w:val="0"/>
              <w:snapToGrid w:val="0"/>
              <w:spacing w:line="300" w:lineRule="auto"/>
              <w:ind w:left="-65" w:firstLine="0" w:leftChars="-31"/>
              <w:jc w:val="left"/>
              <w:rPr>
                <w:rFonts w:ascii="Times New Roman Regular" w:eastAsia="宋体" w:hAnsi="Times New Roman Regular" w:cs="Times New Roman Regular"/>
              </w:rPr>
            </w:pPr>
            <w:r>
              <w:rPr>
                <w:rFonts w:ascii="Times New Roman Regular" w:eastAsia="宋体" w:hAnsi="Times New Roman Regular" w:cs="Times New Roman Regular" w:hint="eastAsia"/>
              </w:rPr>
              <w:t>（二）</w:t>
            </w:r>
            <w:r>
              <w:rPr>
                <w:rFonts w:ascii="Times New Roman Regular" w:hAnsi="Times New Roman Regular" w:cs="Times New Roman Regular"/>
              </w:rPr>
              <w:t>投标人团队人员（含项目经理）50%及以</w:t>
            </w:r>
            <w:r>
              <w:rPr>
                <w:rFonts w:ascii="宋体" w:eastAsia="宋体" w:cs="宋体" w:hint="eastAsia"/>
              </w:rPr>
              <w:t>上</w:t>
            </w:r>
            <w:r>
              <w:rPr>
                <w:rFonts w:ascii="Times New Roman Regular" w:hAnsi="Times New Roman Regular" w:cs="Times New Roman Regular"/>
              </w:rPr>
              <w:t>具有</w:t>
            </w:r>
            <w:r>
              <w:rPr>
                <w:rFonts w:ascii="Times New Roman Regular" w:eastAsia="宋体" w:hAnsi="Times New Roman Regular" w:cs="Times New Roman Regular" w:hint="eastAsia"/>
              </w:rPr>
              <w:t>同类业绩</w:t>
            </w:r>
            <w:r>
              <w:rPr>
                <w:rFonts w:ascii="Times New Roman Regular" w:hAnsi="Times New Roman Regular" w:cs="Times New Roman Regular"/>
              </w:rPr>
              <w:t>1年及以上实施经验。</w:t>
            </w:r>
            <w:r>
              <w:rPr>
                <w:rFonts w:ascii="Times New Roman Regular" w:eastAsia="宋体" w:hAnsi="Times New Roman Regular" w:cs="Times New Roman Regular" w:hint="eastAsia"/>
              </w:rPr>
              <w:t>（</w:t>
            </w:r>
            <w:r>
              <w:rPr>
                <w:rFonts w:ascii="宋体" w:eastAsia="宋体" w:cs="宋体" w:hint="eastAsia"/>
              </w:rPr>
              <w:t>提供团队</w:t>
            </w:r>
            <w:r>
              <w:rPr>
                <w:rFonts w:ascii="宋体" w:eastAsia="宋体" w:cs="宋体"/>
              </w:rPr>
              <w:t>成</w:t>
            </w:r>
            <w:r>
              <w:rPr>
                <w:rFonts w:ascii="宋体" w:eastAsia="宋体" w:cs="宋体" w:hint="eastAsia"/>
              </w:rPr>
              <w:t>员在投标人单位缴纳的距开标之日三个月内任意一个月的社保证明</w:t>
            </w:r>
            <w:r>
              <w:rPr>
                <w:rFonts w:ascii="宋体" w:eastAsia="宋体" w:cs="宋体"/>
              </w:rPr>
              <w:t>或劳务合同</w:t>
            </w:r>
            <w:r>
              <w:rPr>
                <w:rFonts w:ascii="宋体" w:eastAsia="宋体" w:cs="Arial"/>
                <w:snapToGrid w:val="0"/>
                <w:szCs w:val="21"/>
              </w:rPr>
              <w:t>并加盖公章</w:t>
            </w:r>
            <w:r>
              <w:rPr>
                <w:rFonts w:ascii="宋体" w:eastAsia="宋体" w:cs="宋体"/>
              </w:rPr>
              <w:t>)</w:t>
            </w:r>
            <w:r>
              <w:rPr>
                <w:rFonts w:ascii="Times New Roman Regular" w:eastAsia="宋体" w:hAnsi="Times New Roman Regular" w:cs="Times New Roman Regular"/>
              </w:rPr>
              <w:t>。</w:t>
            </w:r>
          </w:p>
        </w:tc>
        <w:tc>
          <w:tcPr>
            <w:tcW w:w="1685" w:type="dxa"/>
            <w:vAlign w:val="center"/>
          </w:tcPr>
          <w:p>
            <w:pPr>
              <w:ind w:firstLine="0"/>
            </w:pPr>
            <w:r>
              <w:rPr>
                <w:rFonts w:eastAsia="宋体" w:hint="eastAsia"/>
              </w:rPr>
              <w:t>是，</w:t>
            </w:r>
            <w:r>
              <w:rPr>
                <w:rFonts w:eastAsia="宋体"/>
              </w:rPr>
              <w:t>提供人员团队方案，</w:t>
            </w:r>
            <w:r>
              <w:rPr>
                <w:rFonts w:eastAsia="宋体" w:hint="eastAsia"/>
              </w:rPr>
              <w:t>包含同类工作经验证明材料，</w:t>
            </w:r>
            <w:r>
              <w:rPr>
                <w:rFonts w:eastAsia="宋体"/>
              </w:rPr>
              <w:t>加盖单位公章</w:t>
            </w:r>
            <w:r>
              <w:rPr>
                <w:rFonts w:eastAsia="宋体" w:hint="eastAsia"/>
              </w:rPr>
              <w:t>，</w:t>
            </w:r>
            <w:r>
              <w:rPr>
                <w:rFonts w:eastAsia="宋体"/>
              </w:rPr>
              <w:t>证书</w:t>
            </w:r>
            <w:r>
              <w:rPr>
                <w:rFonts w:ascii="宋体" w:eastAsia="宋体" w:cs="微软雅黑"/>
                <w:szCs w:val="21"/>
              </w:rPr>
              <w:t>原件备查</w:t>
            </w:r>
            <w:r>
              <w:rPr>
                <w:rFonts w:ascii="宋体" w:eastAsia="宋体" w:cs="微软雅黑" w:hint="eastAsia"/>
                <w:szCs w:val="21"/>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vAlign w:val="center"/>
          </w:tcPr>
          <w:p>
            <w:pPr>
              <w:ind w:firstLine="0"/>
              <w:jc w:val="center"/>
              <w:rPr>
                <w:rFonts w:ascii="宋体" w:eastAsia="宋体"/>
              </w:rPr>
            </w:pPr>
            <w:r>
              <w:rPr>
                <w:rFonts w:ascii="宋体" w:eastAsia="宋体" w:hint="eastAsia"/>
              </w:rPr>
              <w:t>服务网络标准</w:t>
            </w:r>
          </w:p>
        </w:tc>
        <w:tc>
          <w:tcPr>
            <w:tcW w:w="1196" w:type="dxa"/>
            <w:vAlign w:val="center"/>
          </w:tcPr>
          <w:p>
            <w:pPr>
              <w:ind w:firstLine="0"/>
              <w:jc w:val="center"/>
            </w:pPr>
          </w:p>
        </w:tc>
        <w:tc>
          <w:tcPr>
            <w:tcW w:w="3690" w:type="dxa"/>
            <w:vAlign w:val="center"/>
          </w:tcPr>
          <w:p>
            <w:pPr>
              <w:ind w:firstLine="0"/>
              <w:rPr>
                <w:rFonts w:eastAsia="宋体"/>
              </w:rPr>
            </w:pPr>
            <w:r>
              <w:rPr>
                <w:rFonts w:eastAsia="宋体" w:hint="eastAsia"/>
              </w:rPr>
              <w:t>无</w:t>
            </w:r>
          </w:p>
        </w:tc>
        <w:tc>
          <w:tcPr>
            <w:tcW w:w="1685" w:type="dxa"/>
            <w:vAlign w:val="center"/>
          </w:tcPr>
          <w:p>
            <w:pPr>
              <w:ind w:firstLine="0"/>
              <w:jc w:val="center"/>
              <w:rPr>
                <w:rFonts w:eastAsia="宋体"/>
              </w:rPr>
            </w:pPr>
            <w:r>
              <w:rPr>
                <w:rFonts w:eastAsia="宋体" w:hint="eastAsia"/>
              </w:rPr>
              <w:t>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vAlign w:val="center"/>
          </w:tcPr>
          <w:p>
            <w:pPr>
              <w:ind w:firstLine="0"/>
              <w:jc w:val="center"/>
              <w:rPr>
                <w:rFonts w:ascii="宋体" w:eastAsia="宋体"/>
              </w:rPr>
            </w:pPr>
            <w:r>
              <w:rPr>
                <w:rFonts w:ascii="宋体" w:eastAsia="宋体" w:hint="eastAsia"/>
              </w:rPr>
              <w:t>培训标准</w:t>
            </w:r>
          </w:p>
        </w:tc>
        <w:tc>
          <w:tcPr>
            <w:tcW w:w="1196" w:type="dxa"/>
            <w:vAlign w:val="center"/>
          </w:tcPr>
          <w:p>
            <w:pPr>
              <w:ind w:firstLine="0"/>
              <w:jc w:val="center"/>
            </w:pPr>
          </w:p>
        </w:tc>
        <w:tc>
          <w:tcPr>
            <w:tcW w:w="3690" w:type="dxa"/>
          </w:tcPr>
          <w:p>
            <w:pPr>
              <w:ind w:firstLine="0"/>
              <w:rPr>
                <w:rFonts w:ascii="Times New Roman Regular" w:hAnsi="Times New Roman Regular" w:cs="Times New Roman Regular"/>
              </w:rPr>
            </w:pPr>
            <w:r>
              <w:rPr>
                <w:rFonts w:ascii="宋体" w:cs="宋体" w:hint="eastAsia"/>
              </w:rPr>
              <w:t>投标人必须根据系统软件的功能和特点，充分考虑到招标人员实际水平，提出详细的培训方案，以达到招标方管理人员能够独立管理投标人所提供的系统软件和日常的维护处理能力。</w:t>
            </w:r>
          </w:p>
          <w:p>
            <w:pPr>
              <w:ind w:firstLine="0"/>
            </w:pPr>
            <w:r>
              <w:rPr>
                <w:rFonts w:ascii="宋体" w:cs="宋体" w:hint="eastAsia"/>
              </w:rPr>
              <w:t>根据项目的总体要求和招标方的实际情况，投标人需配合进行培训，培训总时长不少于</w:t>
            </w:r>
            <w:r>
              <w:rPr>
                <w:rFonts w:ascii="Times New Roman Regular" w:hAnsi="Times New Roman Regular" w:cs="Times New Roman Regular"/>
              </w:rPr>
              <w:t>24</w:t>
            </w:r>
            <w:r>
              <w:rPr>
                <w:rFonts w:ascii="宋体" w:cs="宋体" w:hint="eastAsia"/>
              </w:rPr>
              <w:t>学时（小时）。</w:t>
            </w:r>
          </w:p>
        </w:tc>
        <w:tc>
          <w:tcPr>
            <w:tcW w:w="1685" w:type="dxa"/>
            <w:vAlign w:val="center"/>
          </w:tcPr>
          <w:p>
            <w:pPr>
              <w:ind w:firstLine="0"/>
            </w:pPr>
            <w:r>
              <w:rPr>
                <w:rFonts w:eastAsia="宋体"/>
              </w:rPr>
              <w:t>是，提供培训方案</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8</w:t>
            </w:r>
          </w:p>
        </w:tc>
        <w:tc>
          <w:tcPr>
            <w:tcW w:w="1140" w:type="dxa"/>
            <w:vAlign w:val="center"/>
          </w:tcPr>
          <w:p>
            <w:pPr>
              <w:ind w:firstLine="0"/>
              <w:jc w:val="center"/>
              <w:rPr>
                <w:rFonts w:ascii="宋体" w:eastAsia="宋体"/>
              </w:rPr>
            </w:pPr>
            <w:r>
              <w:rPr>
                <w:rFonts w:ascii="宋体" w:eastAsia="宋体" w:hint="eastAsia"/>
              </w:rPr>
              <w:t>集成标准</w:t>
            </w:r>
          </w:p>
        </w:tc>
        <w:tc>
          <w:tcPr>
            <w:tcW w:w="1196" w:type="dxa"/>
            <w:vAlign w:val="center"/>
          </w:tcPr>
          <w:p>
            <w:pPr>
              <w:ind w:firstLine="0"/>
              <w:jc w:val="center"/>
            </w:pPr>
          </w:p>
        </w:tc>
        <w:tc>
          <w:tcPr>
            <w:tcW w:w="3690" w:type="dxa"/>
          </w:tcPr>
          <w:p>
            <w:pPr>
              <w:ind w:firstLine="0"/>
              <w:rPr>
                <w:rFonts w:ascii="宋体" w:eastAsia="宋体" w:cs="Arial"/>
                <w:snapToGrid w:val="0"/>
                <w:szCs w:val="21"/>
              </w:rPr>
            </w:pPr>
            <w:r>
              <w:rPr>
                <w:rFonts w:ascii="宋体" w:eastAsia="宋体" w:cs="Arial"/>
                <w:snapToGrid w:val="0"/>
                <w:szCs w:val="21"/>
              </w:rPr>
              <w:t>投标人在投标时须提供承诺函，承诺满足以下集成服务标准：</w:t>
            </w:r>
          </w:p>
          <w:p>
            <w:pPr>
              <w:ind w:firstLine="0"/>
              <w:rPr>
                <w:rFonts w:ascii="宋体" w:eastAsia="宋体" w:cs="Arial"/>
                <w:snapToGrid w:val="0"/>
                <w:szCs w:val="21"/>
              </w:rPr>
            </w:pPr>
            <w:r>
              <w:rPr>
                <w:rFonts w:ascii="宋体" w:eastAsia="宋体" w:cs="Arial"/>
                <w:snapToGrid w:val="0"/>
                <w:szCs w:val="21"/>
              </w:rPr>
              <w:t>1</w:t>
            </w:r>
            <w:r>
              <w:rPr>
                <w:rFonts w:ascii="宋体" w:eastAsia="宋体" w:cs="Arial" w:hint="eastAsia"/>
                <w:snapToGrid w:val="0"/>
                <w:szCs w:val="21"/>
              </w:rPr>
              <w:t>、投标人应组织完成本项目的部署实施工作，组织完成各项软、硬件产品的集成、安装、调试，并完成与招标人现有软、硬件系统之间的联调工作。</w:t>
            </w:r>
          </w:p>
          <w:p>
            <w:pPr>
              <w:ind w:firstLine="0"/>
            </w:pPr>
            <w:r>
              <w:rPr>
                <w:rFonts w:ascii="宋体" w:eastAsia="宋体" w:cs="Arial" w:hint="eastAsia"/>
                <w:snapToGrid w:val="0"/>
                <w:szCs w:val="21"/>
              </w:rPr>
              <w:t>2、项目所建应用系统需集成甲方统一身份认证体系，同时需兼容原有系统。</w:t>
            </w:r>
          </w:p>
        </w:tc>
        <w:tc>
          <w:tcPr>
            <w:tcW w:w="1685" w:type="dxa"/>
            <w:vAlign w:val="center"/>
          </w:tcPr>
          <w:p>
            <w:pPr>
              <w:ind w:firstLine="0"/>
            </w:pPr>
            <w:r>
              <w:rPr>
                <w:rFonts w:eastAsia="宋体" w:hint="eastAsia"/>
              </w:rPr>
              <w:t>是，</w:t>
            </w:r>
            <w:r>
              <w:t>提供承诺函并加盖公章</w:t>
            </w:r>
          </w:p>
        </w:tc>
      </w:tr>
    </w:tbl>
    <w:p>
      <w:pPr>
        <w:pStyle w:val="Heading2"/>
        <w:numPr>
          <w:ilvl w:val="0"/>
          <w:numId w:val="2"/>
        </w:numPr>
        <w:rPr>
          <w:rFonts w:ascii="宋体" w:eastAsia="宋体" w:hint="eastAsia"/>
        </w:rPr>
      </w:pPr>
      <w:bookmarkStart w:id="52" w:name="实施方案"/>
      <w:r>
        <w:rPr>
          <w:rFonts w:ascii="宋体" w:eastAsia="宋体" w:hint="eastAsia"/>
        </w:rPr>
        <w:t>实施</w:t>
      </w:r>
      <w:bookmarkEnd w:id="52"/>
      <w:r>
        <w:rPr>
          <w:rFonts w:ascii="宋体" w:eastAsia="宋体"/>
        </w:rPr>
        <w:t>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bookmarkStart w:id="53" w:name="实施方案_Title_实施标准_Required_Table"/>
            <w:r>
              <w:rPr>
                <w:rFonts w:ascii="宋体" w:eastAsia="宋体" w:hint="eastAsia"/>
              </w:rPr>
              <w:t>实施标准</w:t>
            </w:r>
            <w:bookmarkEnd w:id="53"/>
          </w:p>
        </w:tc>
        <w:tc>
          <w:tcPr>
            <w:tcW w:w="1685" w:type="dxa"/>
          </w:tcPr>
          <w:p>
            <w:pPr>
              <w:ind w:firstLine="0"/>
              <w:jc w:val="center"/>
              <w:rPr>
                <w:rFonts w:ascii="宋体" w:eastAsia="宋体"/>
              </w:rPr>
            </w:pPr>
            <w:bookmarkStart w:id="54" w:name="实施方案_Title_证明材料要求_Required_Table"/>
            <w:r>
              <w:rPr>
                <w:rFonts w:ascii="宋体" w:eastAsia="宋体" w:hint="eastAsia"/>
              </w:rPr>
              <w:t>证明材料要求</w:t>
            </w:r>
            <w:bookmarkEnd w:id="54"/>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w:t>
            </w:r>
          </w:p>
        </w:tc>
        <w:tc>
          <w:tcPr>
            <w:tcW w:w="1140" w:type="dxa"/>
            <w:vAlign w:val="center"/>
          </w:tcPr>
          <w:p>
            <w:pPr>
              <w:ind w:firstLine="0"/>
              <w:jc w:val="center"/>
              <w:rPr>
                <w:rFonts w:ascii="宋体" w:eastAsia="宋体"/>
              </w:rPr>
            </w:pPr>
            <w:r>
              <w:rPr>
                <w:rFonts w:ascii="宋体" w:eastAsia="宋体" w:hint="eastAsia"/>
              </w:rPr>
              <w:t>项目实施过程控制</w:t>
            </w:r>
          </w:p>
        </w:tc>
        <w:tc>
          <w:tcPr>
            <w:tcW w:w="1196" w:type="dxa"/>
            <w:vAlign w:val="center"/>
          </w:tcPr>
          <w:p>
            <w:pPr>
              <w:ind w:firstLine="0"/>
              <w:jc w:val="center"/>
            </w:pPr>
          </w:p>
        </w:tc>
        <w:tc>
          <w:tcPr>
            <w:tcW w:w="3690" w:type="dxa"/>
          </w:tcPr>
          <w:p>
            <w:pPr>
              <w:adjustRightInd w:val="0"/>
              <w:snapToGrid w:val="0"/>
              <w:spacing w:line="300" w:lineRule="auto"/>
              <w:ind w:left="-65" w:firstLine="0" w:leftChars="-31"/>
              <w:jc w:val="left"/>
            </w:pPr>
            <w:r>
              <w:rPr>
                <w:rFonts w:hint="eastAsia"/>
              </w:rPr>
              <w:t>供应商应在项目实施过程中，承诺做到：服从采购人的组织、协调；按深圳海关相应的技术、管理等规范要求开展工作。</w:t>
            </w:r>
            <w:r>
              <w:rPr>
                <w:rFonts w:ascii="Times New Roman Regular" w:hAnsi="Times New Roman Regular" w:cs="Times New Roman Regular" w:hint="eastAsia"/>
              </w:rPr>
              <w:t>需指派专职项目经理进行项目实施的资源协调和进行控制；编制施工总进度计划并控制其执行，按期完成整个施工项目的任务。</w:t>
            </w:r>
          </w:p>
        </w:tc>
        <w:tc>
          <w:tcPr>
            <w:tcW w:w="1685" w:type="dxa"/>
            <w:vAlign w:val="center"/>
          </w:tcPr>
          <w:p>
            <w:pPr>
              <w:ind w:firstLine="0"/>
              <w:jc w:val="center"/>
            </w:pPr>
            <w:r>
              <w:rPr>
                <w:rFonts w:ascii="宋体" w:eastAsia="宋体" w:cs="宋体" w:hint="eastAsia"/>
              </w:rPr>
              <w:t>是，投标文件中提供履约保障措施和质量保证体系</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2</w:t>
            </w:r>
          </w:p>
        </w:tc>
        <w:tc>
          <w:tcPr>
            <w:tcW w:w="1140" w:type="dxa"/>
            <w:vAlign w:val="center"/>
          </w:tcPr>
          <w:p>
            <w:pPr>
              <w:ind w:firstLine="0"/>
              <w:jc w:val="center"/>
              <w:rPr>
                <w:rFonts w:ascii="宋体" w:eastAsia="宋体"/>
              </w:rPr>
            </w:pPr>
            <w:r>
              <w:rPr>
                <w:rFonts w:ascii="宋体" w:eastAsia="宋体" w:hint="eastAsia"/>
              </w:rPr>
              <w:t>项目实施过程文档管理</w:t>
            </w:r>
          </w:p>
        </w:tc>
        <w:tc>
          <w:tcPr>
            <w:tcW w:w="1196" w:type="dxa"/>
            <w:vAlign w:val="center"/>
          </w:tcPr>
          <w:p>
            <w:pPr>
              <w:ind w:firstLine="0"/>
              <w:jc w:val="center"/>
            </w:pPr>
          </w:p>
        </w:tc>
        <w:tc>
          <w:tcPr>
            <w:tcW w:w="3690" w:type="dxa"/>
          </w:tcPr>
          <w:p>
            <w:pPr>
              <w:ind w:firstLine="0"/>
            </w:pPr>
            <w:r>
              <w:rPr>
                <w:rFonts w:ascii="宋体" w:eastAsia="宋体" w:cs="宋体" w:hint="eastAsia"/>
              </w:rPr>
              <w:t>在项目实施过程中，所有有关需求、建议、解决方案、技术文档和结论都必须文档化、标准化，以便查阅和引用。</w:t>
            </w:r>
          </w:p>
        </w:tc>
        <w:tc>
          <w:tcPr>
            <w:tcW w:w="1685" w:type="dxa"/>
            <w:vAlign w:val="center"/>
          </w:tcPr>
          <w:p>
            <w:pPr>
              <w:ind w:firstLine="0"/>
              <w:jc w:val="center"/>
            </w:pPr>
            <w:r>
              <w:rPr>
                <w:rFonts w:eastAsia="宋体" w:hint="eastAsia"/>
              </w:rPr>
              <w:t>是,</w:t>
            </w:r>
            <w:r>
              <w:rPr>
                <w:rFonts w:eastAsia="宋体"/>
              </w:rPr>
              <w:t xml:space="preserve"> 投标文件中提供</w:t>
            </w:r>
            <w:r>
              <w:rPr>
                <w:rFonts w:eastAsia="宋体" w:hint="eastAsia"/>
              </w:rPr>
              <w:t>相关管理规范文档。</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3</w:t>
            </w:r>
          </w:p>
        </w:tc>
        <w:tc>
          <w:tcPr>
            <w:tcW w:w="1140" w:type="dxa"/>
            <w:vAlign w:val="center"/>
          </w:tcPr>
          <w:p>
            <w:pPr>
              <w:ind w:firstLine="0"/>
              <w:jc w:val="center"/>
              <w:rPr>
                <w:rFonts w:ascii="宋体" w:eastAsia="宋体"/>
              </w:rPr>
            </w:pPr>
            <w:r>
              <w:rPr>
                <w:rFonts w:ascii="宋体" w:eastAsia="宋体" w:hint="eastAsia"/>
              </w:rPr>
              <w:t>项目实施组织架构</w:t>
            </w:r>
          </w:p>
        </w:tc>
        <w:tc>
          <w:tcPr>
            <w:tcW w:w="1196" w:type="dxa"/>
            <w:vAlign w:val="center"/>
          </w:tcPr>
          <w:p>
            <w:pPr>
              <w:ind w:firstLine="0"/>
              <w:jc w:val="center"/>
            </w:pPr>
            <w:r>
              <w:rPr>
                <w:rFonts w:hint="eastAsia"/>
              </w:rPr>
              <w:t>▲</w:t>
            </w:r>
          </w:p>
        </w:tc>
        <w:tc>
          <w:tcPr>
            <w:tcW w:w="3690" w:type="dxa"/>
          </w:tcPr>
          <w:p>
            <w:pPr>
              <w:ind w:firstLine="0"/>
              <w:jc w:val="left"/>
              <w:rPr>
                <w:rFonts w:ascii="Times New Roman Regular" w:hAnsi="Times New Roman Regular" w:cs="Times New Roman Regular"/>
              </w:rPr>
            </w:pPr>
            <w:r>
              <w:rPr>
                <w:rFonts w:ascii="Times New Roman Regular" w:hAnsi="Times New Roman Regular" w:cs="Times New Roman Regular"/>
              </w:rPr>
              <w:t>(</w:t>
            </w:r>
            <w:r>
              <w:rPr>
                <w:rFonts w:ascii="Times New Roman Regular" w:hAnsi="Times New Roman Regular" w:cs="Times New Roman Regular" w:hint="eastAsia"/>
              </w:rPr>
              <w:t>一</w:t>
            </w:r>
            <w:r>
              <w:rPr>
                <w:rFonts w:ascii="Times New Roman Regular" w:hAnsi="Times New Roman Regular" w:cs="Times New Roman Regular"/>
              </w:rPr>
              <w:t>)</w:t>
            </w:r>
            <w:r>
              <w:rPr>
                <w:rFonts w:ascii="Times New Roman Regular" w:hAnsi="Times New Roman Regular" w:cs="Times New Roman Regular" w:hint="eastAsia"/>
              </w:rPr>
              <w:t>人员配置要求。</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投标人应负责提出本项目实施的人员配置方案，主要要求如下：</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投标人应提供人员名单、项目履历、本单位的社保证明或劳务合同等材料、在本项目中职责分工。项目人员配备齐全</w:t>
            </w:r>
            <w:r>
              <w:rPr>
                <w:rFonts w:ascii="Times New Roman Regular" w:hAnsi="Times New Roman Regular" w:cs="Times New Roman Regular"/>
              </w:rPr>
              <w:t>,</w:t>
            </w:r>
            <w:r>
              <w:rPr>
                <w:rFonts w:ascii="Times New Roman Regular" w:hAnsi="Times New Roman Regular" w:cs="Times New Roman Regular" w:hint="eastAsia"/>
              </w:rPr>
              <w:t>项目实施人员结构合理、分工明确、队伍稳定、具有丰富的实施经验。项目团队核心成员至少需包括：项目经理、产品经理、系统架构师、系统分析师、</w:t>
            </w:r>
            <w:r>
              <w:rPr>
                <w:rFonts w:ascii="Times New Roman Regular" w:hAnsi="Times New Roman Regular" w:cs="Times New Roman Regular"/>
              </w:rPr>
              <w:t>UI</w:t>
            </w:r>
            <w:r>
              <w:rPr>
                <w:rFonts w:ascii="Times New Roman Regular" w:hAnsi="Times New Roman Regular" w:cs="Times New Roman Regular" w:hint="eastAsia"/>
              </w:rPr>
              <w:t>设计师、前端开发工程师、后端开发工程师、测试工程师等。</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项目经理、主要开发人员需具有承担过同类系统软件开发经验能够与用户进行良好的沟通熟悉系统开发架构本项目执行过程中，项目经理要专职于本项目，核心技术人员要保证本项目投入时间，不得参与与本项目无关的工作，在项目验收之前不得调离该项目。</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投标人应明确项目人员在本项目中的岗位职责、任职资格及管理权限，重点明确项目经理调动相关资源的权力，以确保项目顺利交付。</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项目实施过程中，投标人不得随意更换项目团队中的人员。除个人原因外</w:t>
            </w:r>
            <w:r>
              <w:rPr>
                <w:rFonts w:ascii="Times New Roman Regular" w:hAnsi="Times New Roman Regular" w:cs="Times New Roman Regular"/>
              </w:rPr>
              <w:t>(</w:t>
            </w:r>
            <w:r>
              <w:rPr>
                <w:rFonts w:ascii="Times New Roman Regular" w:hAnsi="Times New Roman Regular" w:cs="Times New Roman Regular" w:hint="eastAsia"/>
              </w:rPr>
              <w:t>如员工从企业离职，但不包括调动到投标人关联单位</w:t>
            </w:r>
            <w:r>
              <w:rPr>
                <w:rFonts w:ascii="Times New Roman Regular" w:hAnsi="Times New Roman Regular" w:cs="Times New Roman Regular"/>
              </w:rPr>
              <w:t>)</w:t>
            </w:r>
            <w:r>
              <w:rPr>
                <w:rFonts w:ascii="Times New Roman Regular" w:hAnsi="Times New Roman Regular" w:cs="Times New Roman Regular" w:hint="eastAsia"/>
              </w:rPr>
              <w:t>，其他人员调动需提前两周以书面形式向采购人申请，并提交人员更换相关材料。采购人有权根据项目情况否决或调整上述申请。采购人批准申请后，方可按批准后的内容进行相关调整，</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如投标人未经采购人批准更换人员，采购人有权扣除更换人员相关费用，并由投标人赔偿由此造成的一切直接损失与间接损失。</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（二）项目人员工作要求。</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严格遵守项目进度及采购人的项目管理制度；</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应签署项目相关保密协议并严格执行，规范内部安全管理；</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为保证项目正常进行，须保证项目人员相对固定，除采购方批准外，不得更换项目经理、核心技术人员；如需更换，则必须通过采购人组织的面试。</w:t>
            </w:r>
          </w:p>
          <w:p>
            <w:pPr>
              <w:ind w:firstLine="0"/>
              <w:jc w:val="left"/>
              <w:rPr>
                <w:rFonts w:ascii="Times New Roman Regular" w:hAnsi="Times New Roman Regular" w:cs="Times New Roman Regular"/>
              </w:rPr>
            </w:pPr>
            <w:r>
              <w:rPr>
                <w:rFonts w:ascii="Times New Roman Regular" w:hAnsi="Times New Roman Regular" w:cs="Times New Roman Regular" w:hint="eastAsia"/>
              </w:rPr>
              <w:t>服务期间，项目经理、架构师和主要技术人员须提供</w:t>
            </w:r>
            <w:r>
              <w:rPr>
                <w:rFonts w:ascii="Times New Roman Regular" w:hAnsi="Times New Roman Regular" w:cs="Times New Roman Regular"/>
              </w:rPr>
              <w:t>7*24</w:t>
            </w:r>
            <w:r>
              <w:rPr>
                <w:rFonts w:ascii="Times New Roman Regular" w:hAnsi="Times New Roman Regular" w:cs="Times New Roman Regular" w:hint="eastAsia"/>
              </w:rPr>
              <w:t>小时联系方式，并保证联系渠道畅通；</w:t>
            </w:r>
          </w:p>
          <w:p>
            <w:pPr>
              <w:ind w:firstLine="0"/>
              <w:jc w:val="left"/>
            </w:pPr>
            <w:r>
              <w:rPr>
                <w:rFonts w:ascii="Times New Roman Regular" w:hAnsi="Times New Roman Regular" w:cs="Times New Roman Regular" w:hint="eastAsia"/>
              </w:rPr>
              <w:t>必须保证提供的服务具有针对性，能够满足采购人的要求。必须保证提供的服务具有针对性，能够满足采购人的要求。</w:t>
            </w:r>
          </w:p>
        </w:tc>
        <w:tc>
          <w:tcPr>
            <w:tcW w:w="1685" w:type="dxa"/>
            <w:vAlign w:val="center"/>
          </w:tcPr>
          <w:p>
            <w:pPr>
              <w:ind w:firstLine="0"/>
              <w:rPr>
                <w:rFonts w:ascii="Times New Roman Regular" w:eastAsia="宋体" w:hAnsi="Times New Roman Regular" w:cs="Times New Roman Regular"/>
              </w:rPr>
            </w:pPr>
            <w:r>
              <w:rPr>
                <w:rFonts w:eastAsia="宋体" w:hint="eastAsia"/>
              </w:rPr>
              <w:t>是。</w:t>
            </w:r>
            <w:r>
              <w:rPr>
                <w:rFonts w:ascii="宋体" w:eastAsia="宋体" w:cs="宋体"/>
              </w:rPr>
              <w:t>（</w:t>
            </w:r>
            <w:r>
              <w:rPr>
                <w:rFonts w:ascii="宋体" w:eastAsia="宋体" w:cs="宋体" w:hint="eastAsia"/>
              </w:rPr>
              <w:t>一</w:t>
            </w:r>
            <w:r>
              <w:rPr>
                <w:rFonts w:ascii="宋体" w:eastAsia="宋体" w:cs="宋体"/>
              </w:rPr>
              <w:t>）</w:t>
            </w:r>
            <w:r>
              <w:rPr>
                <w:rFonts w:ascii="Times New Roman Regular" w:hAnsi="Times New Roman Regular" w:cs="Times New Roman Regular" w:hint="eastAsia"/>
              </w:rPr>
              <w:t>人员配置要求</w:t>
            </w:r>
            <w:r>
              <w:rPr>
                <w:rFonts w:ascii="Times New Roman Regular" w:eastAsia="宋体" w:hAnsi="Times New Roman Regular" w:cs="Times New Roman Regular" w:hint="eastAsia"/>
              </w:rPr>
              <w:t>。需</w:t>
            </w:r>
            <w:r>
              <w:rPr>
                <w:rFonts w:ascii="宋体" w:eastAsia="宋体" w:cs="微软雅黑"/>
                <w:szCs w:val="21"/>
              </w:rPr>
              <w:t>提供工作经验证明材料</w:t>
            </w:r>
            <w:r>
              <w:rPr>
                <w:rFonts w:ascii="宋体" w:eastAsia="宋体" w:cs="微软雅黑" w:hint="eastAsia"/>
                <w:szCs w:val="21"/>
              </w:rPr>
              <w:t>，包含</w:t>
            </w:r>
            <w:r>
              <w:rPr>
                <w:rFonts w:ascii="Times New Roman Regular" w:eastAsia="宋体" w:hAnsi="Times New Roman Regular" w:cs="Times New Roman Regular" w:hint="eastAsia"/>
              </w:rPr>
              <w:t>：</w:t>
            </w:r>
            <w:r>
              <w:rPr>
                <w:rFonts w:ascii="Times New Roman Regular" w:hAnsi="Times New Roman Regular" w:cs="Times New Roman Regular" w:hint="eastAsia"/>
              </w:rPr>
              <w:t>人员名单、项目履历、本单位的社保证明或劳务合同等材料、在本项目中职责分工。</w:t>
            </w:r>
          </w:p>
          <w:p>
            <w:pPr>
              <w:pStyle w:val="BodyText3"/>
              <w:ind w:firstLine="0"/>
              <w:rPr>
                <w:rFonts w:eastAsia="宋体"/>
                <w:color w:val="auto"/>
              </w:rPr>
            </w:pPr>
            <w:r>
              <w:rPr>
                <w:rFonts w:ascii="宋体" w:eastAsia="宋体" w:cs="宋体"/>
                <w:color w:val="auto"/>
                <w:sz w:val="24"/>
              </w:rPr>
              <w:t>（二）</w:t>
            </w:r>
            <w:r>
              <w:rPr>
                <w:rFonts w:ascii="宋体" w:eastAsia="宋体" w:cs="宋体" w:hint="eastAsia"/>
                <w:color w:val="auto"/>
                <w:sz w:val="24"/>
              </w:rPr>
              <w:t>项目人员工作要求。</w:t>
            </w:r>
            <w:r>
              <w:rPr>
                <w:rFonts w:ascii="Times New Roman Regular" w:hAnsi="Times New Roman Regular" w:cs="Times New Roman Regular"/>
                <w:color w:val="auto"/>
                <w:sz w:val="24"/>
              </w:rPr>
              <w:t>提供承诺函并加盖公章</w:t>
            </w:r>
            <w:r>
              <w:rPr>
                <w:rFonts w:ascii="Times New Roman Regular" w:eastAsia="宋体" w:hAnsi="Times New Roman Regular" w:cs="Times New Roman Regular" w:hint="eastAsia"/>
                <w:color w:val="auto"/>
                <w:sz w:val="24"/>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vAlign w:val="center"/>
          </w:tcPr>
          <w:p>
            <w:pPr>
              <w:ind w:firstLine="0"/>
              <w:jc w:val="center"/>
              <w:rPr>
                <w:rFonts w:ascii="宋体" w:eastAsia="宋体"/>
              </w:rPr>
            </w:pPr>
            <w:r>
              <w:rPr>
                <w:rFonts w:ascii="宋体" w:eastAsia="宋体" w:hint="eastAsia"/>
              </w:rPr>
              <w:t>项目实施进度安排</w:t>
            </w:r>
          </w:p>
        </w:tc>
        <w:tc>
          <w:tcPr>
            <w:tcW w:w="1196" w:type="dxa"/>
            <w:vAlign w:val="center"/>
          </w:tcPr>
          <w:p>
            <w:pPr>
              <w:ind w:firstLine="0"/>
              <w:jc w:val="center"/>
            </w:pPr>
          </w:p>
        </w:tc>
        <w:tc>
          <w:tcPr>
            <w:tcW w:w="3690" w:type="dxa"/>
          </w:tcPr>
          <w:p>
            <w:pPr>
              <w:ind w:firstLine="0"/>
              <w:jc w:val="left"/>
              <w:rPr>
                <w:rFonts w:eastAsia="宋体"/>
              </w:rPr>
            </w:pPr>
            <w:r>
              <w:rPr>
                <w:rFonts w:eastAsia="宋体"/>
              </w:rPr>
              <w:t xml:space="preserve"> </w:t>
            </w:r>
            <w:r>
              <w:rPr>
                <w:rFonts w:ascii="宋体" w:eastAsia="宋体" w:cs="宋体" w:hint="eastAsia"/>
              </w:rPr>
              <w:t>项目实施计划及进度安排需内容详细，时间安排紧凑、合理，充分满足本项目需求。</w:t>
            </w:r>
          </w:p>
          <w:p>
            <w:pPr>
              <w:ind w:firstLine="0"/>
              <w:jc w:val="left"/>
              <w:rPr>
                <w:rFonts w:eastAsia="宋体"/>
              </w:rPr>
            </w:pPr>
            <w:r>
              <w:rPr>
                <w:rFonts w:eastAsia="宋体"/>
              </w:rPr>
              <w:t>1</w:t>
            </w:r>
            <w:r>
              <w:rPr>
                <w:rFonts w:ascii="宋体" w:eastAsia="宋体" w:cs="宋体" w:hint="eastAsia"/>
              </w:rPr>
              <w:t>、</w:t>
            </w:r>
            <w:r>
              <w:rPr>
                <w:rFonts w:eastAsia="宋体"/>
              </w:rPr>
              <w:t>1</w:t>
            </w:r>
            <w:r>
              <w:rPr>
                <w:rFonts w:ascii="宋体" w:eastAsia="宋体" w:cs="宋体" w:hint="eastAsia"/>
              </w:rPr>
              <w:t>个月内：</w:t>
            </w:r>
            <w:r>
              <w:rPr>
                <w:rFonts w:eastAsia="宋体"/>
              </w:rPr>
              <w:t>1</w:t>
            </w:r>
            <w:r>
              <w:rPr>
                <w:rFonts w:ascii="宋体" w:eastAsia="宋体" w:cs="宋体" w:hint="eastAsia"/>
              </w:rPr>
              <w:t>个月内完成企业数据、前海联合交易中心和第三方数据集成上线；完成需求分析、详细技术方案设计和测试方案。</w:t>
            </w:r>
          </w:p>
          <w:p>
            <w:pPr>
              <w:ind w:firstLine="0"/>
              <w:jc w:val="left"/>
              <w:rPr>
                <w:rFonts w:eastAsia="宋体"/>
              </w:rPr>
            </w:pPr>
            <w:r>
              <w:rPr>
                <w:rFonts w:eastAsia="宋体"/>
              </w:rPr>
              <w:t>2</w:t>
            </w:r>
            <w:r>
              <w:rPr>
                <w:rFonts w:ascii="宋体" w:eastAsia="宋体" w:cs="宋体" w:hint="eastAsia"/>
              </w:rPr>
              <w:t>、</w:t>
            </w:r>
            <w:r>
              <w:rPr>
                <w:rFonts w:ascii="宋体" w:cs="宋体"/>
              </w:rPr>
              <w:t>2024年12月25日前</w:t>
            </w:r>
            <w:r>
              <w:rPr>
                <w:rFonts w:ascii="宋体" w:eastAsia="宋体" w:cs="宋体" w:hint="eastAsia"/>
              </w:rPr>
              <w:t>：完成数据驾驶舱、相关业务场景等主要功能上线；完成数据采集、传输、治理、异常处理主要功能上线。</w:t>
            </w:r>
          </w:p>
          <w:p>
            <w:pPr>
              <w:ind w:firstLine="0"/>
              <w:jc w:val="left"/>
              <w:rPr>
                <w:rFonts w:eastAsia="宋体"/>
              </w:rPr>
            </w:pPr>
            <w:r>
              <w:rPr>
                <w:rFonts w:eastAsia="宋体"/>
              </w:rPr>
              <w:t>3</w:t>
            </w:r>
            <w:r>
              <w:rPr>
                <w:rFonts w:ascii="宋体" w:eastAsia="宋体" w:cs="宋体" w:hint="eastAsia"/>
              </w:rPr>
              <w:t>、</w:t>
            </w:r>
            <w:r>
              <w:rPr>
                <w:rFonts w:ascii="宋体" w:cs="宋体"/>
              </w:rPr>
              <w:t>2025年4月30日前</w:t>
            </w:r>
            <w:r>
              <w:rPr>
                <w:rFonts w:ascii="宋体" w:eastAsia="宋体" w:cs="宋体" w:hint="eastAsia"/>
              </w:rPr>
              <w:t>：系统全部功能开发上线：</w:t>
            </w:r>
          </w:p>
        </w:tc>
        <w:tc>
          <w:tcPr>
            <w:tcW w:w="1685" w:type="dxa"/>
            <w:vAlign w:val="center"/>
          </w:tcPr>
          <w:p>
            <w:pPr>
              <w:ind w:firstLine="0"/>
              <w:jc w:val="center"/>
              <w:rPr>
                <w:rFonts w:eastAsia="宋体"/>
              </w:rPr>
            </w:pPr>
            <w:r>
              <w:rPr>
                <w:rFonts w:eastAsia="宋体" w:hint="eastAsia"/>
              </w:rPr>
              <w:t>是,</w:t>
            </w:r>
            <w:r>
              <w:rPr>
                <w:rFonts w:eastAsia="宋体"/>
              </w:rPr>
              <w:t xml:space="preserve"> 投标文件中提供</w:t>
            </w:r>
            <w:r>
              <w:rPr>
                <w:rFonts w:eastAsia="宋体" w:hint="eastAsia"/>
              </w:rPr>
              <w:t>项目计划方案并</w:t>
            </w:r>
            <w:r>
              <w:t>提供承诺函并加盖公章</w:t>
            </w:r>
            <w:r>
              <w:rPr>
                <w:rFonts w:eastAsia="宋体" w:hint="eastAsia"/>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vAlign w:val="center"/>
          </w:tcPr>
          <w:p>
            <w:pPr>
              <w:ind w:firstLine="0"/>
              <w:jc w:val="center"/>
              <w:rPr>
                <w:rFonts w:ascii="宋体" w:eastAsia="宋体"/>
              </w:rPr>
            </w:pPr>
            <w:r>
              <w:rPr>
                <w:rFonts w:ascii="宋体" w:eastAsia="宋体" w:hint="eastAsia"/>
              </w:rPr>
              <w:t>项目安装过程安排</w:t>
            </w:r>
          </w:p>
        </w:tc>
        <w:tc>
          <w:tcPr>
            <w:tcW w:w="1196" w:type="dxa"/>
            <w:vAlign w:val="center"/>
          </w:tcPr>
          <w:p>
            <w:pPr>
              <w:ind w:firstLine="0"/>
              <w:jc w:val="center"/>
            </w:pPr>
          </w:p>
        </w:tc>
        <w:tc>
          <w:tcPr>
            <w:tcW w:w="3690" w:type="dxa"/>
          </w:tcPr>
          <w:p>
            <w:pPr>
              <w:ind w:firstLine="0"/>
            </w:pPr>
            <w:r>
              <w:rPr>
                <w:rFonts w:ascii="Times New Roman Regular" w:hAnsi="Times New Roman Regular" w:cs="Times New Roman Regular" w:hint="eastAsia"/>
              </w:rPr>
              <w:t>项目上线应满足进度计划要求，实施过程应符合相关行业规范。</w:t>
            </w:r>
          </w:p>
        </w:tc>
        <w:tc>
          <w:tcPr>
            <w:tcW w:w="1685" w:type="dxa"/>
            <w:vAlign w:val="center"/>
          </w:tcPr>
          <w:p>
            <w:pPr>
              <w:ind w:firstLine="0"/>
              <w:jc w:val="center"/>
            </w:pPr>
            <w:r>
              <w:rPr>
                <w:rFonts w:eastAsia="宋体" w:hint="eastAsia"/>
              </w:rPr>
              <w:t>是，</w:t>
            </w:r>
            <w:r>
              <w:t>提供承诺函并加盖公章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vAlign w:val="center"/>
          </w:tcPr>
          <w:p>
            <w:pPr>
              <w:ind w:firstLine="0"/>
              <w:jc w:val="center"/>
              <w:rPr>
                <w:rFonts w:ascii="宋体" w:eastAsia="宋体"/>
              </w:rPr>
            </w:pPr>
            <w:r>
              <w:rPr>
                <w:rFonts w:ascii="宋体" w:eastAsia="宋体" w:hint="eastAsia"/>
              </w:rPr>
              <w:t>项目验收安排</w:t>
            </w:r>
          </w:p>
        </w:tc>
        <w:tc>
          <w:tcPr>
            <w:tcW w:w="1196" w:type="dxa"/>
            <w:vAlign w:val="center"/>
          </w:tcPr>
          <w:p>
            <w:pPr>
              <w:ind w:firstLine="0"/>
              <w:jc w:val="center"/>
            </w:pPr>
          </w:p>
        </w:tc>
        <w:tc>
          <w:tcPr>
            <w:tcW w:w="3690" w:type="dxa"/>
          </w:tcPr>
          <w:p>
            <w:pPr>
              <w:pStyle w:val="10711"/>
              <w:ind w:firstLine="0"/>
              <w:rPr>
                <w:rFonts w:ascii="Times New Roman Regular" w:hAnsi="Times New Roman Regular" w:cs="Times New Roman Regular"/>
              </w:rPr>
            </w:pPr>
            <w:r>
              <w:rPr>
                <w:rFonts w:ascii="宋体" w:eastAsia="宋体" w:cs="宋体" w:hint="eastAsia"/>
              </w:rPr>
              <w:t>合同验收合格的条件必须至少满足以下要求：</w:t>
            </w:r>
          </w:p>
          <w:p>
            <w:pPr>
              <w:pStyle w:val="10711"/>
              <w:ind w:firstLine="0"/>
              <w:rPr>
                <w:rFonts w:ascii="Times New Roman Regular" w:hAnsi="Times New Roman Regular" w:cs="Times New Roman Regular"/>
              </w:rPr>
            </w:pPr>
            <w:r>
              <w:rPr>
                <w:rFonts w:ascii="Times New Roman Regular" w:hAnsi="Times New Roman Regular" w:cs="Times New Roman Regular" w:hint="eastAsia"/>
              </w:rPr>
              <w:t>（一）系统上线运行时功能、性能满足国家相关标准（含国产化技术标准）、合同和实施方案的要求；</w:t>
            </w:r>
          </w:p>
          <w:p>
            <w:pPr>
              <w:pStyle w:val="10711"/>
              <w:ind w:firstLine="0"/>
              <w:rPr>
                <w:rFonts w:ascii="Times New Roman Regular" w:hAnsi="Times New Roman Regular" w:cs="Times New Roman Regular"/>
              </w:rPr>
            </w:pPr>
            <w:r>
              <w:rPr>
                <w:rFonts w:ascii="Times New Roman Regular" w:hAnsi="Times New Roman Regular" w:cs="Times New Roman Regular" w:hint="eastAsia"/>
              </w:rPr>
              <w:t>（二）系统总体功能、性能测试和试运行验收时出现的问题已被解决；</w:t>
            </w:r>
          </w:p>
          <w:p>
            <w:pPr>
              <w:pStyle w:val="10711"/>
              <w:ind w:firstLine="0"/>
              <w:rPr>
                <w:rFonts w:ascii="Times New Roman Regular" w:hAnsi="Times New Roman Regular" w:cs="Times New Roman Regular"/>
              </w:rPr>
            </w:pPr>
            <w:r>
              <w:rPr>
                <w:rFonts w:ascii="Times New Roman Regular" w:hAnsi="Times New Roman Regular" w:cs="Times New Roman Regular" w:hint="eastAsia"/>
              </w:rPr>
              <w:t>（三）已提供了合同要求的全部资料；</w:t>
            </w:r>
          </w:p>
          <w:p>
            <w:pPr>
              <w:pStyle w:val="10711"/>
              <w:ind w:firstLine="0"/>
              <w:rPr>
                <w:rFonts w:ascii="Times New Roman Regular" w:hAnsi="Times New Roman Regular" w:cs="Times New Roman Regular"/>
              </w:rPr>
            </w:pPr>
            <w:r>
              <w:rPr>
                <w:rFonts w:ascii="Times New Roman Regular" w:hAnsi="Times New Roman Regular" w:cs="Times New Roman Regular" w:hint="eastAsia"/>
              </w:rPr>
              <w:t>（四）移交与本项目有关的相关技术资料。项目成果以及由此形成的知识产权属中国电子口岸数据中心深圳分中心所有，包括文档资料、软件源代码等；</w:t>
            </w:r>
          </w:p>
          <w:p>
            <w:pPr>
              <w:ind w:firstLine="0"/>
            </w:pPr>
            <w:r>
              <w:rPr>
                <w:rFonts w:ascii="Times New Roman Regular" w:hAnsi="Times New Roman Regular" w:cs="Times New Roman Regular" w:hint="eastAsia"/>
              </w:rPr>
              <w:t>（五）具体验收由</w:t>
            </w:r>
            <w:r>
              <w:rPr>
                <w:rFonts w:ascii="Times New Roman Regular" w:eastAsia="宋体" w:hAnsi="Times New Roman Regular" w:cs="Times New Roman Regular" w:hint="eastAsia"/>
              </w:rPr>
              <w:t>深圳海关</w:t>
            </w:r>
            <w:r>
              <w:rPr>
                <w:rFonts w:ascii="Times New Roman Regular" w:hAnsi="Times New Roman Regular" w:cs="Times New Roman Regular" w:hint="eastAsia"/>
              </w:rPr>
              <w:t>组织相关业务、技术专家进行评审。中标方需承诺协助为验收提供相关服务</w:t>
            </w:r>
            <w:r>
              <w:rPr>
                <w:rFonts w:ascii="宋体" w:eastAsia="宋体" w:cs="宋体" w:hint="eastAsia"/>
              </w:rPr>
              <w:t>。</w:t>
            </w:r>
          </w:p>
        </w:tc>
        <w:tc>
          <w:tcPr>
            <w:tcW w:w="1685" w:type="dxa"/>
            <w:vAlign w:val="center"/>
          </w:tcPr>
          <w:p>
            <w:pPr>
              <w:ind w:firstLine="0"/>
              <w:jc w:val="center"/>
              <w:rPr>
                <w:rFonts w:eastAsia="宋体"/>
              </w:rPr>
            </w:pPr>
            <w:r>
              <w:rPr>
                <w:rFonts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vAlign w:val="center"/>
          </w:tcPr>
          <w:p>
            <w:pPr>
              <w:ind w:firstLine="0"/>
              <w:jc w:val="center"/>
              <w:rPr>
                <w:rFonts w:ascii="宋体" w:eastAsia="宋体"/>
              </w:rPr>
            </w:pPr>
            <w:r>
              <w:rPr>
                <w:rFonts w:ascii="宋体" w:eastAsia="宋体" w:hint="eastAsia"/>
              </w:rPr>
              <w:t>项目培训安排</w:t>
            </w:r>
          </w:p>
        </w:tc>
        <w:tc>
          <w:tcPr>
            <w:tcW w:w="1196" w:type="dxa"/>
            <w:vAlign w:val="center"/>
          </w:tcPr>
          <w:p>
            <w:pPr>
              <w:ind w:firstLine="0"/>
              <w:jc w:val="center"/>
            </w:pPr>
          </w:p>
        </w:tc>
        <w:tc>
          <w:tcPr>
            <w:tcW w:w="3690" w:type="dxa"/>
          </w:tcPr>
          <w:p>
            <w:pPr>
              <w:pStyle w:val="10711"/>
              <w:ind w:firstLine="0"/>
              <w:rPr>
                <w:rFonts w:ascii="宋体" w:eastAsia="宋体" w:cs="宋体"/>
              </w:rPr>
            </w:pPr>
            <w:r>
              <w:rPr>
                <w:rFonts w:ascii="宋体" w:eastAsia="宋体" w:cs="宋体" w:hint="eastAsia"/>
              </w:rPr>
              <w:t>中标方必须根据系统软件的功能和特点，充分考虑到海关系统人员实际水平，提出详细的培训方案，以达到系统管理人员能够独立管理中标方所提供的系统软件和日常的维护处理能力。</w:t>
            </w:r>
          </w:p>
          <w:p>
            <w:pPr>
              <w:pStyle w:val="10711"/>
              <w:ind w:firstLine="0"/>
              <w:rPr>
                <w:rFonts w:ascii="宋体" w:eastAsia="宋体" w:cs="宋体"/>
              </w:rPr>
            </w:pPr>
            <w:r>
              <w:rPr>
                <w:rFonts w:ascii="宋体" w:eastAsia="宋体" w:cs="宋体" w:hint="eastAsia"/>
              </w:rPr>
              <w:t>根据项目的总体要求和采购方的实际情况，中标方需配合进行培训，培训时长不少于24学时，培训地点由采购方指定。</w:t>
            </w:r>
          </w:p>
          <w:p>
            <w:pPr>
              <w:ind w:firstLine="0"/>
            </w:pPr>
            <w:r>
              <w:rPr>
                <w:rFonts w:ascii="宋体" w:eastAsia="宋体" w:cs="宋体" w:hint="eastAsia"/>
              </w:rPr>
              <w:t>中标方提供的培训方案内容至少应包括培训目的、培训课程、培训师资情况、培训组织方式等。</w:t>
            </w:r>
          </w:p>
        </w:tc>
        <w:tc>
          <w:tcPr>
            <w:tcW w:w="1685" w:type="dxa"/>
            <w:vAlign w:val="center"/>
          </w:tcPr>
          <w:p>
            <w:pPr>
              <w:ind w:firstLine="0"/>
              <w:jc w:val="center"/>
            </w:pPr>
            <w:r>
              <w:rPr>
                <w:rFonts w:eastAsia="宋体" w:hint="eastAsia"/>
              </w:rPr>
              <w:t>是，</w:t>
            </w:r>
            <w:r>
              <w:t>提供承诺函并加盖公章</w:t>
            </w:r>
          </w:p>
        </w:tc>
      </w:tr>
      <w:tr>
        <w:tblPrEx>
          <w:tblW w:w="8519" w:type="dxa"/>
          <w:jc w:val="left"/>
          <w:tblInd w:w="0" w:type="dxa"/>
          <w:tblLayout w:type="fixed"/>
          <w:tblCellMar>
            <w:top w:w="0" w:type="dxa"/>
            <w:left w:w="108" w:type="dxa"/>
            <w:bottom w:w="0" w:type="dxa"/>
            <w:right w:w="108" w:type="dxa"/>
          </w:tblCellMar>
        </w:tblPrEx>
        <w:trPr>
          <w:trHeight w:val="70"/>
          <w:jc w:val="left"/>
        </w:trPr>
        <w:tc>
          <w:tcPr>
            <w:tcW w:w="808" w:type="dxa"/>
            <w:vAlign w:val="center"/>
          </w:tcPr>
          <w:p>
            <w:pPr>
              <w:pStyle w:val="49"/>
              <w:ind w:firstLine="0"/>
              <w:jc w:val="center"/>
              <w:rPr>
                <w:rFonts w:ascii="宋体" w:eastAsia="宋体"/>
              </w:rPr>
            </w:pPr>
            <w:r>
              <w:rPr>
                <w:rFonts w:ascii="宋体" w:eastAsia="宋体" w:hint="eastAsia"/>
              </w:rPr>
              <w:t>8</w:t>
            </w:r>
          </w:p>
        </w:tc>
        <w:tc>
          <w:tcPr>
            <w:tcW w:w="1140" w:type="dxa"/>
            <w:vAlign w:val="center"/>
          </w:tcPr>
          <w:p>
            <w:pPr>
              <w:pStyle w:val="506"/>
              <w:ind w:firstLine="0"/>
              <w:jc w:val="center"/>
              <w:rPr>
                <w:rFonts w:ascii="宋体" w:eastAsia="宋体"/>
              </w:rPr>
            </w:pPr>
            <w:r>
              <w:rPr>
                <w:rFonts w:ascii="宋体" w:eastAsia="宋体" w:hint="eastAsia"/>
              </w:rPr>
              <w:t>集成标准</w:t>
            </w:r>
          </w:p>
        </w:tc>
        <w:tc>
          <w:tcPr>
            <w:tcW w:w="1196" w:type="dxa"/>
            <w:vAlign w:val="center"/>
          </w:tcPr>
          <w:p>
            <w:pPr>
              <w:ind w:firstLine="0"/>
              <w:jc w:val="center"/>
            </w:pPr>
          </w:p>
        </w:tc>
        <w:tc>
          <w:tcPr>
            <w:tcW w:w="3690" w:type="dxa"/>
            <w:vAlign w:val="center"/>
          </w:tcPr>
          <w:p>
            <w:pPr>
              <w:ind w:firstLine="0"/>
              <w:jc w:val="center"/>
            </w:pPr>
            <w:r>
              <w:rPr>
                <w:rFonts w:ascii="宋体" w:eastAsia="宋体" w:cs="Arial" w:hint="eastAsia"/>
                <w:snapToGrid w:val="0"/>
                <w:szCs w:val="21"/>
              </w:rPr>
              <w:t>无</w:t>
            </w:r>
          </w:p>
        </w:tc>
        <w:tc>
          <w:tcPr>
            <w:tcW w:w="1685" w:type="dxa"/>
            <w:vAlign w:val="center"/>
          </w:tcPr>
          <w:p>
            <w:pPr>
              <w:ind w:firstLine="0"/>
              <w:jc w:val="center"/>
              <w:rPr>
                <w:rFonts w:eastAsia="宋体"/>
              </w:rPr>
            </w:pPr>
            <w:r>
              <w:rPr>
                <w:rFonts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rPr>
              <w:t>9</w:t>
            </w:r>
          </w:p>
        </w:tc>
        <w:tc>
          <w:tcPr>
            <w:tcW w:w="1140" w:type="dxa"/>
            <w:vAlign w:val="center"/>
          </w:tcPr>
          <w:p>
            <w:pPr>
              <w:ind w:firstLine="0"/>
              <w:jc w:val="center"/>
              <w:rPr>
                <w:rFonts w:ascii="宋体" w:eastAsia="宋体"/>
              </w:rPr>
            </w:pPr>
            <w:r>
              <w:rPr>
                <w:rFonts w:ascii="宋体" w:eastAsia="宋体"/>
              </w:rPr>
              <w:t>交付或实施地点</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eastAsia="宋体" w:hint="eastAsia"/>
              </w:rPr>
              <w:t>中国电子口岸数据中心深圳分中心指定地点。</w:t>
            </w:r>
          </w:p>
        </w:tc>
        <w:tc>
          <w:tcPr>
            <w:tcW w:w="1685" w:type="dxa"/>
            <w:vAlign w:val="center"/>
          </w:tcPr>
          <w:p>
            <w:pPr>
              <w:rPr>
                <w:rFonts w:ascii="宋体" w:eastAsia="宋体"/>
              </w:rPr>
            </w:pPr>
            <w:r>
              <w:rPr>
                <w:rFonts w:eastAsia="宋体" w:hint="eastAsia"/>
              </w:rPr>
              <w:t>否</w:t>
            </w:r>
          </w:p>
        </w:tc>
      </w:tr>
    </w:tbl>
    <w:p>
      <w:pPr>
        <w:pStyle w:val="Heading2"/>
        <w:numPr>
          <w:ilvl w:val="0"/>
          <w:numId w:val="2"/>
        </w:numPr>
        <w:rPr>
          <w:rFonts w:ascii="宋体" w:eastAsia="宋体" w:hint="eastAsia"/>
        </w:rPr>
      </w:pPr>
      <w:r>
        <w:rPr>
          <w:rFonts w:ascii="宋体" w:eastAsia="宋体" w:hint="eastAsia"/>
        </w:rPr>
        <w:t>其它内容</w:t>
      </w:r>
    </w:p>
    <w:p>
      <w:pPr>
        <w:pStyle w:val="BodyText3"/>
        <w:rPr>
          <w:color w:val="auto"/>
        </w:rPr>
      </w:pPr>
    </w:p>
    <w:p>
      <w:pPr>
        <w:ind w:firstLine="420" w:firstLineChars="200"/>
        <w:rPr>
          <w:rFonts w:ascii="宋体" w:eastAsia="宋体"/>
        </w:rPr>
      </w:pPr>
      <w:r>
        <w:rPr>
          <w:rFonts w:ascii="宋体" w:eastAsia="宋体"/>
        </w:rPr>
        <w:t>1</w:t>
      </w:r>
      <w:r>
        <w:rPr>
          <w:rFonts w:ascii="宋体" w:eastAsia="宋体" w:hint="eastAsia"/>
        </w:rPr>
        <w:t>.</w:t>
      </w:r>
      <w:r>
        <w:rPr>
          <w:rFonts w:ascii="宋体" w:eastAsia="宋体"/>
        </w:rPr>
        <w:t>业绩要求。</w:t>
      </w:r>
    </w:p>
    <w:p>
      <w:pPr>
        <w:ind w:firstLine="420" w:firstLineChars="200"/>
        <w:rPr>
          <w:rFonts w:eastAsia="宋体"/>
        </w:rPr>
      </w:pPr>
      <w:r>
        <w:t>投标人提供2021年</w:t>
      </w:r>
      <w:r>
        <w:rPr>
          <w:rFonts w:eastAsia="宋体" w:hint="eastAsia"/>
        </w:rPr>
        <w:t>10</w:t>
      </w:r>
      <w:r>
        <w:t>月1日起至本项目招标公告发布之日止(以合同签订日期为准)，完成本项目同类开发服务项目的相关资料，并应附带合同首页、签章页、付款证明、验收证明等相关材料。</w:t>
      </w:r>
    </w:p>
    <w:p>
      <w:pPr>
        <w:ind w:firstLine="420" w:firstLineChars="200"/>
        <w:rPr>
          <w:rFonts w:ascii="宋体" w:eastAsia="宋体"/>
        </w:rPr>
      </w:pPr>
      <w:r>
        <w:rPr>
          <w:rFonts w:ascii="宋体" w:eastAsia="宋体"/>
        </w:rPr>
        <w:t>2.相关主观评审因素要求。</w:t>
      </w:r>
    </w:p>
    <w:p>
      <w:pPr>
        <w:ind w:firstLine="420" w:firstLineChars="200"/>
      </w:pPr>
      <w:r>
        <w:t>(一)需求理解分析</w:t>
      </w:r>
    </w:p>
    <w:p>
      <w:pPr>
        <w:ind w:firstLine="420" w:firstLineChars="200"/>
      </w:pPr>
      <w:r>
        <w:t>阐述对项目业务需求以及业务系统建设现状和优化升级的理解,对本项目的功能性需求与非功能性需求进行分析，至少包括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w:t>
      </w:r>
    </w:p>
    <w:p>
      <w:pPr>
        <w:ind w:firstLine="525" w:firstLineChars="250"/>
      </w:pPr>
      <w:r>
        <w:t>(二)实施管理方案</w:t>
      </w:r>
    </w:p>
    <w:p>
      <w:pPr>
        <w:ind w:firstLine="315" w:firstLineChars="150"/>
      </w:pPr>
      <w:r>
        <w:t>提供项目实施管理方案，对项目实施过程中项目进度控制、应急措施、风险管理、质量管理、人员控制、配置管理、文档管理等方面进行说明。方案措施完善合理、内容全面详细。</w:t>
      </w:r>
    </w:p>
    <w:p>
      <w:pPr>
        <w:ind w:firstLine="420" w:firstLineChars="200"/>
      </w:pPr>
      <w:r>
        <w:t>(三)技术设计方案</w:t>
      </w:r>
    </w:p>
    <w:p>
      <w:pPr>
        <w:ind w:firstLine="420" w:firstLineChars="200"/>
      </w:pPr>
      <w:r>
        <w:t>提供技术设计方案，能够充分理解业务需求，对各项功能进行详细描述，包含业务功能设计、系统架构、部署设计、安全设计、系统接口设计等内容。技术设计方案考虑全面、完整，针对性，可行性强。技术设计方案考虑全面、完整，针对性，可行性强。</w:t>
      </w:r>
    </w:p>
    <w:p>
      <w:pPr>
        <w:ind w:firstLine="420" w:firstLineChars="200"/>
      </w:pPr>
      <w:r>
        <w:t>(四)运维服务方案</w:t>
      </w:r>
    </w:p>
    <w:p>
      <w:pPr>
        <w:ind w:firstLine="420" w:firstLineChars="200"/>
      </w:pPr>
      <w:r>
        <w:t>提供运维服务方案，包括运维服务团队配置、服务内容、服务响应时间、故障处理、应急措施、运维期内功能调整、运维期外服务方案及报价等内容等。方案内容全面、处理方式合理、可行性强。</w:t>
      </w:r>
    </w:p>
    <w:p>
      <w:pPr>
        <w:ind w:firstLine="420" w:firstLineChars="200"/>
      </w:pPr>
    </w:p>
    <w:p>
      <w:pPr>
        <w:rPr>
          <w:rFonts w:ascii="宋体" w:eastAsia="宋体"/>
        </w:rPr>
      </w:pPr>
      <w:r>
        <w:rPr>
          <w:rFonts w:ascii="宋体" w:eastAsia="宋体"/>
        </w:rPr>
        <w:t>3.技术服务需求响应程度表</w:t>
      </w:r>
    </w:p>
    <w:tbl>
      <w:tblPr>
        <w:tblW w:w="850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79"/>
        <w:gridCol w:w="4678"/>
      </w:tblGrid>
      <w:tr>
        <w:tblPrEx>
          <w:tblW w:w="850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op w:val="single" w:sz="4" w:space="0" w:color="auto"/>
              <w:left w:val="single" w:sz="4" w:space="0" w:color="auto"/>
              <w:bottom w:val="single" w:sz="4" w:space="0" w:color="auto"/>
              <w:right w:val="single" w:sz="4" w:space="0" w:color="auto"/>
            </w:tcBorders>
          </w:tcPr>
          <w:p>
            <w:pPr>
              <w:ind w:firstLine="0"/>
              <w:jc w:val="center"/>
              <w:rPr>
                <w:kern w:val="2"/>
                <w:sz w:val="21"/>
              </w:rPr>
            </w:pPr>
            <w:r>
              <w:rPr>
                <w:rFonts w:hint="eastAsia"/>
              </w:rPr>
              <w:t>序号</w:t>
            </w:r>
          </w:p>
        </w:tc>
        <w:tc>
          <w:tcPr>
            <w:tcW w:w="1140" w:type="dxa"/>
            <w:tcBorders>
              <w:top w:val="single" w:sz="4" w:space="0" w:color="auto"/>
              <w:left w:val="single" w:sz="4" w:space="0" w:color="auto"/>
              <w:bottom w:val="single" w:sz="4" w:space="0" w:color="auto"/>
              <w:right w:val="single" w:sz="4" w:space="0" w:color="auto"/>
            </w:tcBorders>
          </w:tcPr>
          <w:p>
            <w:pPr>
              <w:ind w:firstLine="0"/>
              <w:jc w:val="center"/>
              <w:rPr>
                <w:kern w:val="2"/>
                <w:sz w:val="21"/>
              </w:rPr>
            </w:pPr>
            <w:r>
              <w:rPr>
                <w:rFonts w:hint="eastAsia"/>
              </w:rPr>
              <w:t>内容</w:t>
            </w:r>
          </w:p>
        </w:tc>
        <w:tc>
          <w:tcPr>
            <w:tcW w:w="1880" w:type="dxa"/>
            <w:tcBorders>
              <w:top w:val="single" w:sz="4" w:space="0" w:color="auto"/>
              <w:left w:val="single" w:sz="4" w:space="0" w:color="auto"/>
              <w:bottom w:val="single" w:sz="4" w:space="0" w:color="auto"/>
              <w:right w:val="single" w:sz="4" w:space="0" w:color="auto"/>
            </w:tcBorders>
          </w:tcPr>
          <w:p>
            <w:pPr>
              <w:ind w:firstLine="0"/>
              <w:jc w:val="center"/>
              <w:rPr>
                <w:kern w:val="2"/>
                <w:sz w:val="21"/>
              </w:rPr>
            </w:pPr>
            <w:r>
              <w:rPr>
                <w:rFonts w:hint="eastAsia"/>
              </w:rPr>
              <w:t>数量</w:t>
            </w:r>
          </w:p>
        </w:tc>
        <w:tc>
          <w:tcPr>
            <w:tcW w:w="4680" w:type="dxa"/>
            <w:tcBorders>
              <w:top w:val="single" w:sz="4" w:space="0" w:color="auto"/>
              <w:left w:val="single" w:sz="4" w:space="0" w:color="auto"/>
              <w:bottom w:val="single" w:sz="4" w:space="0" w:color="auto"/>
              <w:right w:val="single" w:sz="4" w:space="0" w:color="auto"/>
            </w:tcBorders>
          </w:tcPr>
          <w:p>
            <w:pPr>
              <w:ind w:firstLine="0"/>
              <w:jc w:val="center"/>
              <w:rPr>
                <w:kern w:val="2"/>
                <w:sz w:val="21"/>
              </w:rPr>
            </w:pPr>
            <w:r>
              <w:rPr>
                <w:rFonts w:hint="eastAsia"/>
              </w:rPr>
              <w:t>所在位置</w:t>
            </w:r>
          </w:p>
        </w:tc>
      </w:tr>
      <w:tr>
        <w:tblPrEx>
          <w:tblW w:w="8505" w:type="dxa"/>
          <w:jc w:val="left"/>
          <w:tblInd w:w="0" w:type="dxa"/>
          <w:tblLayout w:type="fixed"/>
          <w:tblCellMar>
            <w:top w:w="0" w:type="dxa"/>
            <w:left w:w="108" w:type="dxa"/>
            <w:bottom w:w="0" w:type="dxa"/>
            <w:right w:w="108" w:type="dxa"/>
          </w:tblCellMar>
        </w:tblPrEx>
        <w:trPr>
          <w:trHeight w:val="668"/>
          <w:jc w:val="left"/>
        </w:trPr>
        <w:tc>
          <w:tcPr>
            <w:tcW w:w="808" w:type="dxa"/>
            <w:tcBorders>
              <w:top w:val="single" w:sz="4" w:space="0" w:color="auto"/>
              <w:left w:val="single" w:sz="4" w:space="0" w:color="auto"/>
              <w:bottom w:val="single" w:sz="4" w:space="0" w:color="auto"/>
              <w:right w:val="single" w:sz="4" w:space="0" w:color="auto"/>
            </w:tcBorders>
            <w:vAlign w:val="center"/>
          </w:tcPr>
          <w:p>
            <w:pPr>
              <w:ind w:firstLine="0"/>
              <w:jc w:val="center"/>
              <w:rPr>
                <w:kern w:val="2"/>
                <w:sz w:val="21"/>
              </w:rPr>
            </w:pPr>
            <w:r>
              <w:t>1</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jc w:val="center"/>
              <w:rPr>
                <w:kern w:val="2"/>
                <w:sz w:val="21"/>
              </w:rPr>
            </w:pPr>
            <w:r>
              <w:rPr>
                <w:rFonts w:hint="eastAsia"/>
              </w:rPr>
              <w:t>重要指标项</w:t>
            </w:r>
          </w:p>
        </w:tc>
        <w:tc>
          <w:tcPr>
            <w:tcW w:w="1880" w:type="dxa"/>
            <w:tcBorders>
              <w:top w:val="single" w:sz="4" w:space="0" w:color="auto"/>
              <w:left w:val="single" w:sz="4" w:space="0" w:color="auto"/>
              <w:bottom w:val="single" w:sz="4" w:space="0" w:color="auto"/>
              <w:right w:val="single" w:sz="4" w:space="0" w:color="auto"/>
            </w:tcBorders>
            <w:vAlign w:val="center"/>
          </w:tcPr>
          <w:p>
            <w:pPr>
              <w:ind w:firstLine="0"/>
              <w:jc w:val="center"/>
              <w:rPr>
                <w:rFonts w:eastAsia="宋体"/>
                <w:kern w:val="2"/>
                <w:sz w:val="21"/>
              </w:rPr>
            </w:pPr>
            <w:r>
              <w:t>3</w:t>
            </w:r>
            <w:r>
              <w:rPr>
                <w:rFonts w:eastAsia="宋体" w:hint="eastAsia"/>
              </w:rPr>
              <w:t>6</w:t>
            </w:r>
          </w:p>
        </w:tc>
        <w:tc>
          <w:tcPr>
            <w:tcW w:w="4680" w:type="dxa"/>
            <w:tcBorders>
              <w:top w:val="single" w:sz="4" w:space="0" w:color="auto"/>
              <w:left w:val="single" w:sz="4" w:space="0" w:color="auto"/>
              <w:bottom w:val="single" w:sz="4" w:space="0" w:color="auto"/>
              <w:right w:val="single" w:sz="4" w:space="0" w:color="auto"/>
            </w:tcBorders>
          </w:tcPr>
          <w:p>
            <w:pPr>
              <w:ind w:firstLine="0"/>
              <w:jc w:val="left"/>
              <w:rPr>
                <w:kern w:val="2"/>
                <w:sz w:val="21"/>
                <w:szCs w:val="21"/>
              </w:rPr>
            </w:pPr>
            <w:r>
              <w:rPr>
                <w:rFonts w:hint="eastAsia"/>
                <w:szCs w:val="21"/>
              </w:rPr>
              <w:t>分别为：</w:t>
            </w:r>
            <w:r>
              <w:rPr>
                <w:szCs w:val="21"/>
              </w:rPr>
              <w:t xml:space="preserve"> </w:t>
            </w:r>
          </w:p>
          <w:p>
            <w:pPr>
              <w:ind w:firstLine="0"/>
              <w:jc w:val="left"/>
              <w:rPr>
                <w:szCs w:val="21"/>
              </w:rPr>
            </w:pPr>
            <w:r>
              <w:rPr>
                <w:rFonts w:hint="eastAsia"/>
                <w:szCs w:val="21"/>
              </w:rPr>
              <w:t>五、集成需求（</w:t>
            </w:r>
            <w:r>
              <w:rPr>
                <w:szCs w:val="21"/>
              </w:rPr>
              <w:t>17</w:t>
            </w:r>
            <w:r>
              <w:rPr>
                <w:rFonts w:hint="eastAsia"/>
                <w:szCs w:val="21"/>
              </w:rPr>
              <w:t>个）：第</w:t>
            </w:r>
            <w:r>
              <w:rPr>
                <w:szCs w:val="21"/>
              </w:rPr>
              <w:t>1</w:t>
            </w:r>
            <w:r>
              <w:rPr>
                <w:rFonts w:hint="eastAsia"/>
                <w:szCs w:val="21"/>
              </w:rPr>
              <w:t>项</w:t>
            </w:r>
            <w:r>
              <w:rPr>
                <w:szCs w:val="21"/>
              </w:rPr>
              <w:t>2</w:t>
            </w:r>
            <w:r>
              <w:rPr>
                <w:rFonts w:hint="eastAsia"/>
                <w:szCs w:val="21"/>
              </w:rPr>
              <w:t>个，第</w:t>
            </w:r>
            <w:r>
              <w:rPr>
                <w:szCs w:val="21"/>
              </w:rPr>
              <w:t>2</w:t>
            </w:r>
            <w:r>
              <w:rPr>
                <w:rFonts w:hint="eastAsia"/>
                <w:szCs w:val="21"/>
              </w:rPr>
              <w:t>项</w:t>
            </w:r>
            <w:r>
              <w:rPr>
                <w:szCs w:val="21"/>
              </w:rPr>
              <w:t>9</w:t>
            </w:r>
            <w:r>
              <w:rPr>
                <w:rFonts w:hint="eastAsia"/>
                <w:szCs w:val="21"/>
              </w:rPr>
              <w:t>个，第</w:t>
            </w:r>
            <w:r>
              <w:rPr>
                <w:szCs w:val="21"/>
              </w:rPr>
              <w:t>3</w:t>
            </w:r>
            <w:r>
              <w:rPr>
                <w:rFonts w:hint="eastAsia"/>
                <w:szCs w:val="21"/>
              </w:rPr>
              <w:t>项</w:t>
            </w:r>
            <w:r>
              <w:rPr>
                <w:szCs w:val="21"/>
              </w:rPr>
              <w:t>6</w:t>
            </w:r>
            <w:r>
              <w:rPr>
                <w:rFonts w:hint="eastAsia"/>
                <w:szCs w:val="21"/>
              </w:rPr>
              <w:t>个。</w:t>
            </w:r>
            <w:r>
              <w:rPr>
                <w:szCs w:val="21"/>
              </w:rPr>
              <w:t xml:space="preserve"> </w:t>
            </w:r>
          </w:p>
          <w:p>
            <w:pPr>
              <w:numPr>
                <w:ilvl w:val="0"/>
                <w:numId w:val="3"/>
              </w:numPr>
              <w:spacing w:line="240" w:lineRule="auto"/>
              <w:jc w:val="left"/>
              <w:rPr>
                <w:szCs w:val="21"/>
              </w:rPr>
            </w:pPr>
            <w:r>
              <w:rPr>
                <w:rFonts w:hint="eastAsia"/>
                <w:szCs w:val="21"/>
              </w:rPr>
              <w:t>货物或服务指标要求（</w:t>
            </w:r>
            <w:r>
              <w:rPr>
                <w:szCs w:val="21"/>
              </w:rPr>
              <w:t>1</w:t>
            </w:r>
            <w:r>
              <w:rPr>
                <w:rFonts w:eastAsia="宋体" w:hint="eastAsia"/>
                <w:szCs w:val="21"/>
              </w:rPr>
              <w:t>7</w:t>
            </w:r>
            <w:r>
              <w:rPr>
                <w:rFonts w:hint="eastAsia"/>
                <w:szCs w:val="21"/>
              </w:rPr>
              <w:t>个）：第</w:t>
            </w:r>
            <w:r>
              <w:rPr>
                <w:rFonts w:eastAsia="宋体" w:hint="eastAsia"/>
                <w:szCs w:val="21"/>
              </w:rPr>
              <w:t>1、2、3、4、5、6、7、8、10、31、32、33、35、54、93、99、104项各1个。</w:t>
            </w:r>
          </w:p>
          <w:p>
            <w:pPr>
              <w:ind w:firstLine="0"/>
              <w:jc w:val="left"/>
              <w:rPr>
                <w:szCs w:val="21"/>
              </w:rPr>
            </w:pPr>
            <w:r>
              <w:rPr>
                <w:rFonts w:hint="eastAsia"/>
                <w:szCs w:val="21"/>
              </w:rPr>
              <w:t>八、实施要求（</w:t>
            </w:r>
            <w:r>
              <w:rPr>
                <w:szCs w:val="21"/>
              </w:rPr>
              <w:t>2</w:t>
            </w:r>
            <w:r>
              <w:rPr>
                <w:rFonts w:hint="eastAsia"/>
                <w:szCs w:val="21"/>
              </w:rPr>
              <w:t>个）：第</w:t>
            </w:r>
            <w:r>
              <w:rPr>
                <w:szCs w:val="21"/>
              </w:rPr>
              <w:t>3</w:t>
            </w:r>
            <w:r>
              <w:rPr>
                <w:rFonts w:hint="eastAsia"/>
                <w:szCs w:val="21"/>
              </w:rPr>
              <w:t>项</w:t>
            </w:r>
            <w:r>
              <w:rPr>
                <w:szCs w:val="21"/>
              </w:rPr>
              <w:t>2</w:t>
            </w:r>
            <w:r>
              <w:rPr>
                <w:rFonts w:hint="eastAsia"/>
                <w:szCs w:val="21"/>
              </w:rPr>
              <w:t>个。</w:t>
            </w:r>
          </w:p>
          <w:p>
            <w:pPr>
              <w:ind w:firstLine="0"/>
              <w:jc w:val="left"/>
              <w:rPr>
                <w:kern w:val="2"/>
                <w:sz w:val="21"/>
                <w:szCs w:val="21"/>
              </w:rPr>
            </w:pPr>
          </w:p>
        </w:tc>
      </w:tr>
      <w:tr>
        <w:tblPrEx>
          <w:tblW w:w="8505" w:type="dxa"/>
          <w:jc w:val="left"/>
          <w:tblInd w:w="0" w:type="dxa"/>
          <w:tblLayout w:type="fixed"/>
          <w:tblCellMar>
            <w:top w:w="0" w:type="dxa"/>
            <w:left w:w="108" w:type="dxa"/>
            <w:bottom w:w="0" w:type="dxa"/>
            <w:right w:w="108" w:type="dxa"/>
          </w:tblCellMar>
        </w:tblPrEx>
        <w:trPr>
          <w:trHeight w:val="447"/>
          <w:jc w:val="left"/>
        </w:trPr>
        <w:tc>
          <w:tcPr>
            <w:tcW w:w="808" w:type="dxa"/>
            <w:tcBorders>
              <w:top w:val="single" w:sz="4" w:space="0" w:color="auto"/>
              <w:left w:val="single" w:sz="4" w:space="0" w:color="auto"/>
              <w:bottom w:val="single" w:sz="4" w:space="0" w:color="auto"/>
              <w:right w:val="single" w:sz="4" w:space="0" w:color="auto"/>
            </w:tcBorders>
            <w:vAlign w:val="center"/>
          </w:tcPr>
          <w:p>
            <w:pPr>
              <w:ind w:firstLine="0"/>
              <w:jc w:val="center"/>
              <w:rPr>
                <w:kern w:val="2"/>
                <w:sz w:val="21"/>
              </w:rPr>
            </w:pPr>
            <w:r>
              <w:t>2</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jc w:val="center"/>
              <w:rPr>
                <w:kern w:val="2"/>
                <w:sz w:val="21"/>
              </w:rPr>
            </w:pPr>
            <w:r>
              <w:rPr>
                <w:rFonts w:hint="eastAsia"/>
              </w:rPr>
              <w:t>一般指标项</w:t>
            </w:r>
          </w:p>
        </w:tc>
        <w:tc>
          <w:tcPr>
            <w:tcW w:w="1880" w:type="dxa"/>
            <w:tcBorders>
              <w:top w:val="single" w:sz="4" w:space="0" w:color="auto"/>
              <w:left w:val="single" w:sz="4" w:space="0" w:color="auto"/>
              <w:bottom w:val="single" w:sz="4" w:space="0" w:color="auto"/>
              <w:right w:val="single" w:sz="4" w:space="0" w:color="auto"/>
            </w:tcBorders>
            <w:vAlign w:val="center"/>
          </w:tcPr>
          <w:p>
            <w:pPr>
              <w:ind w:firstLine="0"/>
              <w:jc w:val="center"/>
              <w:rPr>
                <w:rFonts w:eastAsia="宋体"/>
                <w:kern w:val="2"/>
                <w:sz w:val="21"/>
              </w:rPr>
            </w:pPr>
            <w:r>
              <w:t>1</w:t>
            </w:r>
            <w:r>
              <w:rPr>
                <w:rFonts w:eastAsia="宋体" w:hint="eastAsia"/>
              </w:rPr>
              <w:t>15</w:t>
            </w:r>
          </w:p>
        </w:tc>
        <w:tc>
          <w:tcPr>
            <w:tcW w:w="4680" w:type="dxa"/>
            <w:tcBorders>
              <w:top w:val="single" w:sz="4" w:space="0" w:color="auto"/>
              <w:left w:val="single" w:sz="4" w:space="0" w:color="auto"/>
              <w:bottom w:val="single" w:sz="4" w:space="0" w:color="auto"/>
              <w:right w:val="single" w:sz="4" w:space="0" w:color="auto"/>
            </w:tcBorders>
          </w:tcPr>
          <w:p>
            <w:pPr>
              <w:ind w:firstLine="0"/>
              <w:jc w:val="left"/>
              <w:rPr>
                <w:kern w:val="2"/>
                <w:sz w:val="21"/>
                <w:szCs w:val="21"/>
              </w:rPr>
            </w:pPr>
            <w:r>
              <w:rPr>
                <w:rFonts w:hint="eastAsia"/>
                <w:szCs w:val="21"/>
              </w:rPr>
              <w:t>分别为：</w:t>
            </w:r>
            <w:r>
              <w:rPr>
                <w:szCs w:val="21"/>
              </w:rPr>
              <w:t xml:space="preserve"> </w:t>
            </w:r>
          </w:p>
          <w:p>
            <w:pPr>
              <w:ind w:firstLine="0"/>
              <w:jc w:val="left"/>
              <w:rPr>
                <w:szCs w:val="21"/>
              </w:rPr>
            </w:pPr>
            <w:r>
              <w:rPr>
                <w:rFonts w:hint="eastAsia"/>
                <w:szCs w:val="21"/>
              </w:rPr>
              <w:t>四、项目概述（</w:t>
            </w:r>
            <w:r>
              <w:rPr>
                <w:szCs w:val="21"/>
              </w:rPr>
              <w:t>2</w:t>
            </w:r>
            <w:r>
              <w:rPr>
                <w:rFonts w:hint="eastAsia"/>
                <w:szCs w:val="21"/>
              </w:rPr>
              <w:t>个）：第</w:t>
            </w:r>
            <w:r>
              <w:rPr>
                <w:szCs w:val="21"/>
              </w:rPr>
              <w:t>3</w:t>
            </w:r>
            <w:r>
              <w:rPr>
                <w:rFonts w:hint="eastAsia"/>
                <w:szCs w:val="21"/>
              </w:rPr>
              <w:t>项</w:t>
            </w:r>
            <w:r>
              <w:rPr>
                <w:szCs w:val="21"/>
              </w:rPr>
              <w:t>1</w:t>
            </w:r>
            <w:r>
              <w:rPr>
                <w:rFonts w:hint="eastAsia"/>
                <w:szCs w:val="21"/>
              </w:rPr>
              <w:t>个，第</w:t>
            </w:r>
            <w:r>
              <w:rPr>
                <w:szCs w:val="21"/>
              </w:rPr>
              <w:t>4</w:t>
            </w:r>
            <w:r>
              <w:rPr>
                <w:rFonts w:hint="eastAsia"/>
                <w:szCs w:val="21"/>
              </w:rPr>
              <w:t>项</w:t>
            </w:r>
            <w:r>
              <w:rPr>
                <w:szCs w:val="21"/>
              </w:rPr>
              <w:t>1</w:t>
            </w:r>
            <w:r>
              <w:rPr>
                <w:rFonts w:hint="eastAsia"/>
                <w:szCs w:val="21"/>
              </w:rPr>
              <w:t>个。</w:t>
            </w:r>
          </w:p>
          <w:p>
            <w:pPr>
              <w:ind w:firstLine="0"/>
              <w:jc w:val="left"/>
              <w:rPr>
                <w:szCs w:val="21"/>
              </w:rPr>
            </w:pPr>
            <w:r>
              <w:rPr>
                <w:rFonts w:hint="eastAsia"/>
                <w:szCs w:val="21"/>
              </w:rPr>
              <w:t>六、货物或服务指标要求（</w:t>
            </w:r>
            <w:r>
              <w:rPr>
                <w:rFonts w:eastAsia="宋体" w:hint="eastAsia"/>
                <w:szCs w:val="21"/>
              </w:rPr>
              <w:t>89</w:t>
            </w:r>
            <w:r>
              <w:rPr>
                <w:rFonts w:hint="eastAsia"/>
                <w:szCs w:val="21"/>
              </w:rPr>
              <w:t>个）：第</w:t>
            </w:r>
            <w:r>
              <w:rPr>
                <w:rFonts w:eastAsia="宋体" w:hint="eastAsia"/>
                <w:szCs w:val="21"/>
              </w:rPr>
              <w:t>9、11-30、34、36-53、55-92、94-98、100-103、105、106各1个</w:t>
            </w:r>
            <w:r>
              <w:rPr>
                <w:rFonts w:hint="eastAsia"/>
                <w:szCs w:val="21"/>
              </w:rPr>
              <w:t>。</w:t>
            </w:r>
            <w:r>
              <w:rPr>
                <w:szCs w:val="21"/>
              </w:rPr>
              <w:t xml:space="preserve"> </w:t>
            </w:r>
          </w:p>
          <w:p>
            <w:pPr>
              <w:ind w:firstLine="0"/>
              <w:jc w:val="left"/>
              <w:rPr>
                <w:szCs w:val="21"/>
              </w:rPr>
            </w:pPr>
            <w:r>
              <w:rPr>
                <w:rFonts w:hint="eastAsia"/>
                <w:szCs w:val="21"/>
              </w:rPr>
              <w:t>七、服务要求（</w:t>
            </w:r>
            <w:r>
              <w:rPr>
                <w:szCs w:val="21"/>
              </w:rPr>
              <w:t>1</w:t>
            </w:r>
            <w:r>
              <w:rPr>
                <w:rFonts w:ascii="宋体" w:eastAsia="宋体" w:hint="eastAsia"/>
                <w:szCs w:val="21"/>
              </w:rPr>
              <w:t>7</w:t>
            </w:r>
            <w:r>
              <w:rPr>
                <w:rFonts w:hint="eastAsia"/>
                <w:szCs w:val="21"/>
              </w:rPr>
              <w:t>个）：第</w:t>
            </w:r>
            <w:r>
              <w:rPr>
                <w:szCs w:val="21"/>
              </w:rPr>
              <w:t>2</w:t>
            </w:r>
            <w:r>
              <w:rPr>
                <w:rFonts w:hint="eastAsia"/>
                <w:szCs w:val="21"/>
              </w:rPr>
              <w:t>项</w:t>
            </w:r>
            <w:r>
              <w:rPr>
                <w:szCs w:val="21"/>
              </w:rPr>
              <w:t>1</w:t>
            </w:r>
            <w:r>
              <w:rPr>
                <w:rFonts w:hint="eastAsia"/>
                <w:szCs w:val="21"/>
              </w:rPr>
              <w:t>个，第</w:t>
            </w:r>
            <w:r>
              <w:rPr>
                <w:szCs w:val="21"/>
              </w:rPr>
              <w:t>3</w:t>
            </w:r>
            <w:r>
              <w:rPr>
                <w:rFonts w:hint="eastAsia"/>
                <w:szCs w:val="21"/>
              </w:rPr>
              <w:t>项</w:t>
            </w:r>
            <w:r>
              <w:rPr>
                <w:szCs w:val="21"/>
              </w:rPr>
              <w:t>1</w:t>
            </w:r>
            <w:r>
              <w:rPr>
                <w:rFonts w:ascii="宋体" w:eastAsia="宋体" w:hint="eastAsia"/>
                <w:szCs w:val="21"/>
              </w:rPr>
              <w:t>1</w:t>
            </w:r>
            <w:r>
              <w:rPr>
                <w:rFonts w:hint="eastAsia"/>
                <w:szCs w:val="21"/>
              </w:rPr>
              <w:t>个，第</w:t>
            </w:r>
            <w:r>
              <w:rPr>
                <w:szCs w:val="21"/>
              </w:rPr>
              <w:t>5</w:t>
            </w:r>
            <w:r>
              <w:rPr>
                <w:rFonts w:hint="eastAsia"/>
                <w:szCs w:val="21"/>
              </w:rPr>
              <w:t>项</w:t>
            </w:r>
            <w:r>
              <w:rPr>
                <w:szCs w:val="21"/>
              </w:rPr>
              <w:t>2</w:t>
            </w:r>
            <w:r>
              <w:rPr>
                <w:rFonts w:hint="eastAsia"/>
                <w:szCs w:val="21"/>
              </w:rPr>
              <w:t>个，第</w:t>
            </w:r>
            <w:r>
              <w:rPr>
                <w:szCs w:val="21"/>
              </w:rPr>
              <w:t>7</w:t>
            </w:r>
            <w:r>
              <w:rPr>
                <w:rFonts w:hint="eastAsia"/>
                <w:szCs w:val="21"/>
              </w:rPr>
              <w:t>项</w:t>
            </w:r>
            <w:r>
              <w:rPr>
                <w:szCs w:val="21"/>
              </w:rPr>
              <w:t>1</w:t>
            </w:r>
            <w:r>
              <w:rPr>
                <w:rFonts w:hint="eastAsia"/>
                <w:szCs w:val="21"/>
              </w:rPr>
              <w:t>个，第</w:t>
            </w:r>
            <w:r>
              <w:rPr>
                <w:szCs w:val="21"/>
              </w:rPr>
              <w:t>8</w:t>
            </w:r>
            <w:r>
              <w:rPr>
                <w:rFonts w:hint="eastAsia"/>
                <w:szCs w:val="21"/>
              </w:rPr>
              <w:t>项</w:t>
            </w:r>
            <w:r>
              <w:rPr>
                <w:szCs w:val="21"/>
              </w:rPr>
              <w:t>2</w:t>
            </w:r>
            <w:r>
              <w:rPr>
                <w:rFonts w:hint="eastAsia"/>
                <w:szCs w:val="21"/>
              </w:rPr>
              <w:t>个</w:t>
            </w:r>
            <w:r>
              <w:rPr>
                <w:szCs w:val="21"/>
              </w:rPr>
              <w:t xml:space="preserve"> </w:t>
            </w:r>
            <w:r>
              <w:rPr>
                <w:rFonts w:hint="eastAsia"/>
                <w:szCs w:val="21"/>
              </w:rPr>
              <w:t>。</w:t>
            </w:r>
            <w:r>
              <w:rPr>
                <w:szCs w:val="21"/>
              </w:rPr>
              <w:t xml:space="preserve"> </w:t>
            </w:r>
          </w:p>
          <w:p>
            <w:pPr>
              <w:ind w:firstLine="0"/>
              <w:jc w:val="left"/>
              <w:rPr>
                <w:kern w:val="2"/>
                <w:sz w:val="21"/>
                <w:szCs w:val="21"/>
              </w:rPr>
            </w:pPr>
            <w:r>
              <w:rPr>
                <w:rFonts w:hint="eastAsia"/>
                <w:szCs w:val="21"/>
              </w:rPr>
              <w:t>八、实施方案（</w:t>
            </w:r>
            <w:r>
              <w:rPr>
                <w:rFonts w:ascii="宋体" w:eastAsia="宋体" w:hint="eastAsia"/>
                <w:szCs w:val="21"/>
              </w:rPr>
              <w:t>7</w:t>
            </w:r>
            <w:r>
              <w:rPr>
                <w:rFonts w:hint="eastAsia"/>
                <w:szCs w:val="21"/>
              </w:rPr>
              <w:t>个）：第</w:t>
            </w:r>
            <w:r>
              <w:rPr>
                <w:szCs w:val="21"/>
              </w:rPr>
              <w:t>1</w:t>
            </w:r>
            <w:r>
              <w:rPr>
                <w:rFonts w:hint="eastAsia"/>
                <w:szCs w:val="21"/>
              </w:rPr>
              <w:t>、</w:t>
            </w:r>
            <w:r>
              <w:rPr>
                <w:szCs w:val="21"/>
              </w:rPr>
              <w:t>2</w:t>
            </w:r>
            <w:r>
              <w:rPr>
                <w:rFonts w:hint="eastAsia"/>
                <w:szCs w:val="21"/>
              </w:rPr>
              <w:t>、</w:t>
            </w:r>
            <w:r>
              <w:rPr>
                <w:rFonts w:eastAsia="宋体" w:hint="eastAsia"/>
                <w:szCs w:val="21"/>
              </w:rPr>
              <w:t>4</w:t>
            </w:r>
            <w:r>
              <w:rPr>
                <w:rFonts w:hint="eastAsia"/>
                <w:szCs w:val="21"/>
              </w:rPr>
              <w:t>、</w:t>
            </w:r>
            <w:r>
              <w:rPr>
                <w:rFonts w:eastAsia="宋体" w:hint="eastAsia"/>
                <w:szCs w:val="21"/>
              </w:rPr>
              <w:t>5、</w:t>
            </w:r>
            <w:r>
              <w:rPr>
                <w:szCs w:val="21"/>
              </w:rPr>
              <w:t>6</w:t>
            </w:r>
            <w:r>
              <w:rPr>
                <w:rFonts w:hint="eastAsia"/>
                <w:szCs w:val="21"/>
              </w:rPr>
              <w:t>、</w:t>
            </w:r>
            <w:r>
              <w:rPr>
                <w:szCs w:val="21"/>
              </w:rPr>
              <w:t>7</w:t>
            </w:r>
            <w:r>
              <w:rPr>
                <w:rFonts w:ascii="宋体" w:eastAsia="宋体" w:hint="eastAsia"/>
                <w:szCs w:val="21"/>
              </w:rPr>
              <w:t>、9</w:t>
            </w:r>
            <w:r>
              <w:rPr>
                <w:rFonts w:hint="eastAsia"/>
                <w:szCs w:val="21"/>
              </w:rPr>
              <w:t>项各</w:t>
            </w:r>
            <w:r>
              <w:rPr>
                <w:szCs w:val="21"/>
              </w:rPr>
              <w:t>1</w:t>
            </w:r>
            <w:r>
              <w:rPr>
                <w:rFonts w:hint="eastAsia"/>
                <w:szCs w:val="21"/>
              </w:rPr>
              <w:t>个。</w:t>
            </w:r>
          </w:p>
        </w:tc>
      </w:tr>
    </w:tbl>
    <w:p>
      <w:pPr>
        <w:pStyle w:val="BodyText3"/>
        <w:ind w:firstLine="0"/>
        <w:rPr>
          <w:rFonts w:eastAsia="宋体"/>
          <w:color w:val="auto"/>
        </w:rPr>
      </w:pPr>
    </w:p>
    <w:p>
      <w:pPr>
        <w:pStyle w:val="3601"/>
        <w:rPr>
          <w:rFonts w:ascii="宋体" w:eastAsia="宋体"/>
          <w:b/>
          <w:bCs/>
        </w:rPr>
      </w:pPr>
      <w:r>
        <w:rPr>
          <w:rFonts w:ascii="宋体" w:eastAsia="宋体" w:hint="eastAsia"/>
          <w:b/>
          <w:bCs/>
        </w:rPr>
        <w:t>备注：</w:t>
      </w:r>
    </w:p>
    <w:p>
      <w:pPr>
        <w:pStyle w:val="3601"/>
        <w:rPr>
          <w:rFonts w:ascii="宋体" w:eastAsia="宋体"/>
        </w:rPr>
      </w:pPr>
      <w:r>
        <w:rPr>
          <w:rFonts w:ascii="宋体" w:eastAsia="宋体" w:hint="eastAsia"/>
        </w:rPr>
        <w:t>①表格内容填写完整、规范，确保无缺漏项。</w:t>
      </w:r>
    </w:p>
    <w:p>
      <w:pPr>
        <w:pStyle w:val="37"/>
        <w:rPr>
          <w:rFonts w:ascii="宋体" w:eastAsia="宋体"/>
        </w:rPr>
      </w:pPr>
      <w:r>
        <w:rPr>
          <w:rFonts w:ascii="宋体" w:eastAsia="宋体" w:hint="eastAsia"/>
        </w:rPr>
        <w:t>②第</w:t>
      </w:r>
      <w:r>
        <w:rPr>
          <w:rFonts w:ascii="宋体" w:eastAsia="宋体"/>
        </w:rPr>
        <w:t>五</w:t>
      </w:r>
      <w:r>
        <w:rPr>
          <w:rFonts w:ascii="宋体" w:eastAsia="宋体" w:hint="eastAsia"/>
        </w:rPr>
        <w:t>部分至第</w:t>
      </w:r>
      <w:r>
        <w:rPr>
          <w:rFonts w:ascii="宋体" w:eastAsia="宋体"/>
        </w:rPr>
        <w:t>九</w:t>
      </w:r>
      <w:r>
        <w:rPr>
          <w:rFonts w:ascii="宋体" w:eastAsia="宋体" w:hint="eastAsia"/>
        </w:rPr>
        <w:t>部分（集成需求、货物或服务指标要求、服务要求、实施</w:t>
      </w:r>
      <w:r>
        <w:rPr>
          <w:rFonts w:ascii="宋体" w:eastAsia="宋体"/>
        </w:rPr>
        <w:t>要求、其它内容</w:t>
      </w:r>
      <w:r>
        <w:rPr>
          <w:rFonts w:ascii="宋体" w:eastAsia="宋体" w:hint="eastAsia"/>
        </w:rPr>
        <w:t>）内容需按照法律规定将评审因素细化、量化，制定科学合理评分标准，第</w:t>
      </w:r>
      <w:r>
        <w:rPr>
          <w:rFonts w:ascii="宋体" w:eastAsia="宋体"/>
        </w:rPr>
        <w:t>四</w:t>
      </w:r>
      <w:r>
        <w:rPr>
          <w:rFonts w:ascii="宋体" w:eastAsia="宋体" w:hint="eastAsia"/>
        </w:rPr>
        <w:t>部分（项目概述）根据具体内容研判是否设置评分标准。</w:t>
      </w:r>
    </w:p>
    <w:p>
      <w:pPr>
        <w:pStyle w:val="37"/>
        <w:rPr>
          <w:rFonts w:ascii="宋体" w:eastAsia="宋体"/>
        </w:rPr>
      </w:pPr>
      <w:r>
        <w:rPr>
          <w:rFonts w:ascii="宋体" w:eastAsia="宋体" w:hint="eastAsia"/>
        </w:rPr>
        <w:t>③需统计重要指标项和一般指标项数量，并分别填入</w:t>
      </w:r>
      <w:r>
        <w:rPr>
          <w:rFonts w:ascii="宋体" w:eastAsia="宋体"/>
        </w:rPr>
        <w:t>《技术服务需求响应程度表》</w:t>
      </w:r>
      <w:r>
        <w:rPr>
          <w:rFonts w:ascii="宋体" w:eastAsia="宋体" w:hint="eastAsia"/>
        </w:rPr>
        <w:t>。</w:t>
      </w:r>
    </w:p>
    <w:p>
      <w:pPr>
        <w:rPr>
          <w:color w:val="0000FF"/>
          <w:lang w:val="en-US" w:eastAsia="zh-CN"/>
        </w:rPr>
      </w:pPr>
      <w:bookmarkEnd w:id="37"/>
    </w:p>
    <w:p>
      <w:pPr>
        <w:rPr>
          <w:rFonts w:hint="eastAsia"/>
          <w:highlight w:val="white"/>
        </w:rPr>
      </w:pPr>
    </w:p>
    <w:p>
      <w:pPr>
        <w:pStyle w:val="Heading1"/>
      </w:pPr>
      <w:r>
        <w:rPr>
          <w:highlight w:val="white"/>
        </w:rPr>
        <w:br w:type="page"/>
      </w:r>
      <w:bookmarkStart w:id="55"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55"/>
    </w:p>
    <w:p>
      <w:bookmarkStart w:id="56"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921"/>
        <w:gridCol w:w="6034"/>
        <w:gridCol w:w="1146"/>
      </w:tblGrid>
      <w:tr>
        <w:tblPrEx>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0" w:type="dxa"/>
          </w:tcPr>
          <w:p>
            <w:r>
              <w:t>主客观项</w:t>
            </w:r>
          </w:p>
        </w:tc>
        <w:tc>
          <w:tcPr>
            <w:tcW w:w="942" w:type="dxa"/>
          </w:tcPr>
          <w:p>
            <w:r>
              <w:t>评审因素</w:t>
            </w:r>
          </w:p>
        </w:tc>
        <w:tc>
          <w:tcPr>
            <w:tcW w:w="6174" w:type="dxa"/>
          </w:tcPr>
          <w:p>
            <w:r>
              <w:t>评分标准说明</w:t>
            </w:r>
          </w:p>
        </w:tc>
        <w:tc>
          <w:tcPr>
            <w:tcW w:w="1173" w:type="dxa"/>
          </w:tcPr>
          <w:p>
            <w:r>
              <w:t>分值范围</w:t>
            </w:r>
          </w:p>
        </w:tc>
      </w:tr>
      <w:tr>
        <w:tblPrEx>
          <w:tblW w:w="4999" w:type="pct"/>
          <w:jc w:val="left"/>
          <w:tblInd w:w="0" w:type="dxa"/>
          <w:tblCellMar>
            <w:top w:w="0" w:type="dxa"/>
            <w:left w:w="108" w:type="dxa"/>
            <w:bottom w:w="0" w:type="dxa"/>
            <w:right w:w="108" w:type="dxa"/>
          </w:tblCellMar>
        </w:tblPrEx>
        <w:trPr>
          <w:jc w:val="left"/>
        </w:trPr>
        <w:tc>
          <w:tcPr>
            <w:tcW w:w="240" w:type="dxa"/>
          </w:tcPr>
          <w:p>
            <w:r>
              <w:t>价格分</w:t>
            </w:r>
          </w:p>
        </w:tc>
        <w:tc>
          <w:tcPr>
            <w:tcW w:w="942" w:type="dxa"/>
          </w:tcPr>
          <w:p>
            <w:r>
              <w:t>价格评审</w:t>
            </w:r>
          </w:p>
        </w:tc>
        <w:tc>
          <w:tcPr>
            <w:tcW w:w="6174" w:type="dxa"/>
          </w:tcPr>
          <w:p>
            <w:r>
              <w:t>采用低价优先法计算，即满足招标文件要求且投标价格最低的投标报价为评标基准价，其价格分为满分。其他投标人的价格分按照下列公式计算：价格得分=(评标基准价／投标报价)×10%×100。</w:t>
            </w:r>
          </w:p>
        </w:tc>
        <w:tc>
          <w:tcPr>
            <w:tcW w:w="1173" w:type="dxa"/>
          </w:tcPr>
          <w:p>
            <w:r>
              <w:t>区间打分(0-10)</w:t>
            </w:r>
          </w:p>
        </w:tc>
      </w:tr>
      <w:tr>
        <w:tblPrEx>
          <w:tblW w:w="4999" w:type="pct"/>
          <w:jc w:val="left"/>
          <w:tblInd w:w="0" w:type="dxa"/>
          <w:tblCellMar>
            <w:top w:w="0" w:type="dxa"/>
            <w:left w:w="108" w:type="dxa"/>
            <w:bottom w:w="0" w:type="dxa"/>
            <w:right w:w="108" w:type="dxa"/>
          </w:tblCellMar>
        </w:tblPrEx>
        <w:trPr>
          <w:jc w:val="left"/>
        </w:trPr>
        <w:tc>
          <w:tcPr>
            <w:tcW w:w="240" w:type="dxa"/>
            <w:vMerge w:val="restart"/>
          </w:tcPr>
          <w:p>
            <w:r>
              <w:t>商务部分</w:t>
            </w:r>
          </w:p>
        </w:tc>
        <w:tc>
          <w:tcPr>
            <w:tcW w:w="942" w:type="dxa"/>
          </w:tcPr>
          <w:p>
            <w:r>
              <w:t>企业综合实力</w:t>
            </w:r>
          </w:p>
        </w:tc>
        <w:tc>
          <w:tcPr>
            <w:tcW w:w="6174" w:type="dxa"/>
          </w:tcPr>
          <w:p>
            <w:r>
              <w:t xml:space="preserve">1.投标人提供ISO20000 信息技术服务管理体系认证证书，完整准确有效无误提供得0.5分，不提供不得分；   </w:t>
            </w:r>
          </w:p>
          <w:p>
            <w:r>
              <w:t xml:space="preserve">2.投标人提供ISO27001 信息安全管理体系认证证书，完整准确有效无误提供得0.5分，不提供不得分。  </w:t>
            </w:r>
          </w:p>
          <w:p>
            <w:r>
              <w:t>2.投标人提供ISO9001质量管理体系认证证书，完整准确有效无误提供得0.5分，不提供不得分。</w:t>
            </w:r>
          </w:p>
        </w:tc>
        <w:tc>
          <w:tcPr>
            <w:tcW w:w="1173" w:type="dxa"/>
          </w:tcPr>
          <w:p>
            <w:r>
              <w:t>勾选打分(0;0.5;1;1.5)</w:t>
            </w:r>
          </w:p>
        </w:tc>
      </w:tr>
      <w:tr>
        <w:tblPrEx>
          <w:tblW w:w="4999" w:type="pct"/>
          <w:jc w:val="left"/>
          <w:tblInd w:w="0" w:type="dxa"/>
          <w:tblCellMar>
            <w:top w:w="0" w:type="dxa"/>
            <w:left w:w="108" w:type="dxa"/>
            <w:bottom w:w="0" w:type="dxa"/>
            <w:right w:w="108" w:type="dxa"/>
          </w:tblCellMar>
        </w:tblPrEx>
        <w:trPr>
          <w:jc w:val="left"/>
        </w:trPr>
        <w:tc>
          <w:tcPr>
            <w:tcW w:w="240" w:type="dxa"/>
            <w:vMerge/>
          </w:tcPr>
          <w:p/>
        </w:tc>
        <w:tc>
          <w:tcPr>
            <w:tcW w:w="942" w:type="dxa"/>
          </w:tcPr>
          <w:p>
            <w:r>
              <w:t>投标文件编制质量、对招标文件的响应程度</w:t>
            </w:r>
          </w:p>
        </w:tc>
        <w:tc>
          <w:tcPr>
            <w:tcW w:w="6174" w:type="dxa"/>
          </w:tcPr>
          <w:p>
            <w:r>
              <w:t xml:space="preserve">电子投标文件的逐项响应、定位和绑定清晰准确得1.6分; </w:t>
            </w:r>
          </w:p>
          <w:p>
            <w:r>
              <w:t xml:space="preserve">有一项未响应或定位和绑定模糊、有偏差的得0.8分；  </w:t>
            </w:r>
          </w:p>
          <w:p>
            <w:r>
              <w:t xml:space="preserve"> 有两项或两项以上未响应或定位和绑定模糊、有偏差的得0分。</w:t>
            </w:r>
          </w:p>
        </w:tc>
        <w:tc>
          <w:tcPr>
            <w:tcW w:w="1173" w:type="dxa"/>
          </w:tcPr>
          <w:p>
            <w:r>
              <w:t>勾选打分(0;0.8;1.6)</w:t>
            </w:r>
          </w:p>
        </w:tc>
      </w:tr>
      <w:tr>
        <w:tblPrEx>
          <w:tblW w:w="4999" w:type="pct"/>
          <w:jc w:val="left"/>
          <w:tblInd w:w="0" w:type="dxa"/>
          <w:tblCellMar>
            <w:top w:w="0" w:type="dxa"/>
            <w:left w:w="108" w:type="dxa"/>
            <w:bottom w:w="0" w:type="dxa"/>
            <w:right w:w="108" w:type="dxa"/>
          </w:tblCellMar>
        </w:tblPrEx>
        <w:trPr>
          <w:jc w:val="left"/>
        </w:trPr>
        <w:tc>
          <w:tcPr>
            <w:tcW w:w="240" w:type="dxa"/>
            <w:vMerge/>
          </w:tcPr>
          <w:p/>
        </w:tc>
        <w:tc>
          <w:tcPr>
            <w:tcW w:w="942" w:type="dxa"/>
          </w:tcPr>
          <w:p>
            <w:r>
              <w:t>投标人业绩</w:t>
            </w:r>
          </w:p>
        </w:tc>
        <w:tc>
          <w:tcPr>
            <w:tcW w:w="6174" w:type="dxa"/>
          </w:tcPr>
          <w:p>
            <w:r>
              <w:t xml:space="preserve">投标人须提供与本项目同类服务项目业绩材料 ，提供一份有效合同得1分，最多得5分。        </w:t>
            </w:r>
          </w:p>
          <w:p>
            <w:r>
              <w:t xml:space="preserve">注：1.上述销售业绩指与本项目同类开发服务项目的相关销售业绩。    </w:t>
            </w:r>
          </w:p>
          <w:p>
            <w:r>
              <w:t xml:space="preserve"> 2.合同签订时间须为2021年10月1日起至本项目招标公告发布之日止。     </w:t>
            </w:r>
          </w:p>
          <w:p>
            <w:r>
              <w:t xml:space="preserve"> 3.合同销售方（乙方）必须为投标人自身且销售业绩合同中必须至少包含合同双方印章、服务内容、签订时间、合同履行第一笔付款乙方开具的发票复印件等信息内容（以上内容缺少一项，案例不予承认）。      </w:t>
            </w:r>
          </w:p>
          <w:p>
            <w:r>
              <w:t>4.提供销售业绩合同复印件须字迹清晰，辨识无误。 不符合上述要求或未按要求提供有效证明文件的业绩在评审时将不予以承认。</w:t>
            </w:r>
          </w:p>
        </w:tc>
        <w:tc>
          <w:tcPr>
            <w:tcW w:w="1173" w:type="dxa"/>
          </w:tcPr>
          <w:p>
            <w:r>
              <w:t>勾选打分(0;1;2;3;4;5)</w:t>
            </w:r>
          </w:p>
        </w:tc>
      </w:tr>
      <w:tr>
        <w:tblPrEx>
          <w:tblW w:w="4999" w:type="pct"/>
          <w:jc w:val="left"/>
          <w:tblInd w:w="0" w:type="dxa"/>
          <w:tblCellMar>
            <w:top w:w="0" w:type="dxa"/>
            <w:left w:w="108" w:type="dxa"/>
            <w:bottom w:w="0" w:type="dxa"/>
            <w:right w:w="108" w:type="dxa"/>
          </w:tblCellMar>
        </w:tblPrEx>
        <w:trPr>
          <w:jc w:val="left"/>
        </w:trPr>
        <w:tc>
          <w:tcPr>
            <w:tcW w:w="240" w:type="dxa"/>
            <w:vMerge w:val="restart"/>
          </w:tcPr>
          <w:p>
            <w:r>
              <w:t>技术部分</w:t>
            </w:r>
          </w:p>
        </w:tc>
        <w:tc>
          <w:tcPr>
            <w:tcW w:w="942" w:type="dxa"/>
          </w:tcPr>
          <w:p>
            <w:r>
              <w:t>重要技术服务指标响应程度</w:t>
            </w:r>
          </w:p>
        </w:tc>
        <w:tc>
          <w:tcPr>
            <w:tcW w:w="6174" w:type="dxa"/>
          </w:tcPr>
          <w:p>
            <w:r>
              <w:t xml:space="preserve">完全满足文件指标要求得32.4分，▲标记重要指标项每有一项不满足扣0.9分。             </w:t>
            </w:r>
          </w:p>
          <w:p>
            <w:r>
              <w:t xml:space="preserve"> 注：一共有36个重要指标，分别在： </w:t>
            </w:r>
          </w:p>
          <w:p>
            <w:r>
              <w:t xml:space="preserve"> 五、集成需求（17个）：第1项2个，第2项9个，第3项6个。 </w:t>
            </w:r>
          </w:p>
          <w:p>
            <w:r>
              <w:t xml:space="preserve"> 六、货物或服务指标要求（17个）：第1、2、3、4、5、6、7、8、10、31、32、33、35、54、93、99、104项各1个。</w:t>
            </w:r>
          </w:p>
          <w:p>
            <w:r>
              <w:t xml:space="preserve"> 八、实施要求（2个）：第3项2个。</w:t>
            </w:r>
          </w:p>
        </w:tc>
        <w:tc>
          <w:tcPr>
            <w:tcW w:w="1173" w:type="dxa"/>
          </w:tcPr>
          <w:p>
            <w:r>
              <w:t>区间打分(0-32.4)</w:t>
            </w:r>
          </w:p>
        </w:tc>
      </w:tr>
      <w:tr>
        <w:tblPrEx>
          <w:tblW w:w="4999" w:type="pct"/>
          <w:jc w:val="left"/>
          <w:tblInd w:w="0" w:type="dxa"/>
          <w:tblCellMar>
            <w:top w:w="0" w:type="dxa"/>
            <w:left w:w="108" w:type="dxa"/>
            <w:bottom w:w="0" w:type="dxa"/>
            <w:right w:w="108" w:type="dxa"/>
          </w:tblCellMar>
        </w:tblPrEx>
        <w:trPr>
          <w:jc w:val="left"/>
        </w:trPr>
        <w:tc>
          <w:tcPr>
            <w:tcW w:w="240" w:type="dxa"/>
            <w:vMerge/>
          </w:tcPr>
          <w:p/>
        </w:tc>
        <w:tc>
          <w:tcPr>
            <w:tcW w:w="942" w:type="dxa"/>
          </w:tcPr>
          <w:p>
            <w:r>
              <w:t>一般技术服务指标响应程度</w:t>
            </w:r>
          </w:p>
        </w:tc>
        <w:tc>
          <w:tcPr>
            <w:tcW w:w="6174" w:type="dxa"/>
          </w:tcPr>
          <w:p>
            <w:r>
              <w:t xml:space="preserve">完全满足文件指标要求得34.5分，普通指标项每有一项不满足扣0.3分。             </w:t>
            </w:r>
          </w:p>
          <w:p>
            <w:r>
              <w:t xml:space="preserve"> 注：一共有115个重要指标，分别在：   </w:t>
            </w:r>
          </w:p>
          <w:p>
            <w:r>
              <w:t>四、项目概述（2个）：第3项1个，第4项1个。</w:t>
            </w:r>
          </w:p>
          <w:p>
            <w:r>
              <w:t xml:space="preserve"> 六、货物或服务指标要求（89个）：第9、11-30、34、36-53、55-92、94-98、100-103、105、106各1个。  </w:t>
            </w:r>
          </w:p>
          <w:p>
            <w:r>
              <w:t xml:space="preserve">七、服务要求（17个）：第2项1个，第3项11个，第5项2个，第7项1个，第8项2个 。  </w:t>
            </w:r>
          </w:p>
          <w:p>
            <w:r>
              <w:t>八、实施方案（7个）：第1、2、4、5、6、7、9项各1个。</w:t>
            </w:r>
          </w:p>
        </w:tc>
        <w:tc>
          <w:tcPr>
            <w:tcW w:w="1173" w:type="dxa"/>
          </w:tcPr>
          <w:p>
            <w:r>
              <w:t>区间打分(0-34.5)</w:t>
            </w:r>
          </w:p>
        </w:tc>
      </w:tr>
      <w:tr>
        <w:tblPrEx>
          <w:tblW w:w="4999" w:type="pct"/>
          <w:jc w:val="left"/>
          <w:tblInd w:w="0" w:type="dxa"/>
          <w:tblCellMar>
            <w:top w:w="0" w:type="dxa"/>
            <w:left w:w="108" w:type="dxa"/>
            <w:bottom w:w="0" w:type="dxa"/>
            <w:right w:w="108" w:type="dxa"/>
          </w:tblCellMar>
        </w:tblPrEx>
        <w:trPr>
          <w:jc w:val="left"/>
        </w:trPr>
        <w:tc>
          <w:tcPr>
            <w:tcW w:w="240" w:type="dxa"/>
            <w:vMerge/>
          </w:tcPr>
          <w:p/>
        </w:tc>
        <w:tc>
          <w:tcPr>
            <w:tcW w:w="942" w:type="dxa"/>
          </w:tcPr>
          <w:p>
            <w:r>
              <w:t>需求理解分析</w:t>
            </w:r>
          </w:p>
        </w:tc>
        <w:tc>
          <w:tcPr>
            <w:tcW w:w="6174" w:type="dxa"/>
          </w:tcPr>
          <w:p>
            <w:r>
              <w:t xml:space="preserve">阐述对项目业务需求以及业务系统建设现状和优化升级的理解,对本项目的功能性需求与非功能性需求进行分析，至少包括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  </w:t>
            </w:r>
          </w:p>
          <w:p/>
          <w:p>
            <w:r>
              <w:t xml:space="preserve">需求理解分析内容科学周密，完全契合项目需求实际，计划措施针对性可行性强，工作进度安排科学合理，完全契合项目实施要求、实施进度要求及交付要求等，得4分；            </w:t>
            </w:r>
          </w:p>
          <w:p>
            <w:r>
              <w:t xml:space="preserve">需求理解分析内容完整，可以满足项目需求，针对性可行性较强，但其中一项方案小项有缺陷（缺陷包括：与事实不符、前后内容不一致、逻辑错误、不符合采购需求、内容有缺失等），得2.5分；     </w:t>
            </w:r>
          </w:p>
          <w:p>
            <w:r>
              <w:t xml:space="preserve">需求理解分析内容有漏项，未完全包括上述几小项内容，或两个及以上方案小项中存在缺陷，得1分； </w:t>
            </w:r>
          </w:p>
          <w:p>
            <w:r>
              <w:t>未提供需求理解分析内容或方案严重脱离项目实际，得0分。</w:t>
            </w:r>
          </w:p>
        </w:tc>
        <w:tc>
          <w:tcPr>
            <w:tcW w:w="1173" w:type="dxa"/>
          </w:tcPr>
          <w:p>
            <w:r>
              <w:t>勾选打分(0;1;2.5;4)</w:t>
            </w:r>
          </w:p>
        </w:tc>
      </w:tr>
      <w:tr>
        <w:tblPrEx>
          <w:tblW w:w="4999" w:type="pct"/>
          <w:jc w:val="left"/>
          <w:tblInd w:w="0" w:type="dxa"/>
          <w:tblCellMar>
            <w:top w:w="0" w:type="dxa"/>
            <w:left w:w="108" w:type="dxa"/>
            <w:bottom w:w="0" w:type="dxa"/>
            <w:right w:w="108" w:type="dxa"/>
          </w:tblCellMar>
        </w:tblPrEx>
        <w:trPr>
          <w:jc w:val="left"/>
        </w:trPr>
        <w:tc>
          <w:tcPr>
            <w:tcW w:w="240" w:type="dxa"/>
            <w:vMerge/>
          </w:tcPr>
          <w:p/>
        </w:tc>
        <w:tc>
          <w:tcPr>
            <w:tcW w:w="942" w:type="dxa"/>
          </w:tcPr>
          <w:p>
            <w:r>
              <w:t>实施管理方案</w:t>
            </w:r>
          </w:p>
        </w:tc>
        <w:tc>
          <w:tcPr>
            <w:tcW w:w="6174" w:type="dxa"/>
          </w:tcPr>
          <w:p>
            <w:r>
              <w:t xml:space="preserve">提供项目实施管理方案，对项目实施过程中项目进度控制、应急措施、风险管理、质量管理、人员控制、配置管理、文档管理等方面进行说明。方案措施完善合理、内容全面详细。  </w:t>
            </w:r>
          </w:p>
          <w:p/>
          <w:p>
            <w:r>
              <w:t xml:space="preserve">实施管理方案内容科学周密，完全契合项目需求实际，计划措施针对性可行性强，工作进度安排科学合理，完全契合项目实施要求、实施进度要求及交付要求等，得4分；            </w:t>
            </w:r>
          </w:p>
          <w:p>
            <w:r>
              <w:t xml:space="preserve">实施管理方案内容完整，可以满足项目需求，针对性可行性较强，但其中一项方案小项有缺陷（缺陷包括：与事实不符、前后内容不一致、逻辑错误、不符合采购需求、内容有缺失等），得2.5分；     </w:t>
            </w:r>
          </w:p>
          <w:p>
            <w:r>
              <w:t>实施管理方案内容有漏项，未完全包括上述几小项内容，或两个及以上方案小项中存在缺陷，得1分；</w:t>
            </w:r>
          </w:p>
          <w:p>
            <w:r>
              <w:t xml:space="preserve"> 未提供实施管理方案内容或方案严重脱离项目实际，得0分。</w:t>
            </w:r>
          </w:p>
        </w:tc>
        <w:tc>
          <w:tcPr>
            <w:tcW w:w="1173" w:type="dxa"/>
          </w:tcPr>
          <w:p>
            <w:r>
              <w:t>勾选打分(0;1;2.5;4)</w:t>
            </w:r>
          </w:p>
        </w:tc>
      </w:tr>
      <w:tr>
        <w:tblPrEx>
          <w:tblW w:w="4999" w:type="pct"/>
          <w:jc w:val="left"/>
          <w:tblInd w:w="0" w:type="dxa"/>
          <w:tblCellMar>
            <w:top w:w="0" w:type="dxa"/>
            <w:left w:w="108" w:type="dxa"/>
            <w:bottom w:w="0" w:type="dxa"/>
            <w:right w:w="108" w:type="dxa"/>
          </w:tblCellMar>
        </w:tblPrEx>
        <w:trPr>
          <w:jc w:val="left"/>
        </w:trPr>
        <w:tc>
          <w:tcPr>
            <w:tcW w:w="240" w:type="dxa"/>
            <w:vMerge/>
          </w:tcPr>
          <w:p/>
        </w:tc>
        <w:tc>
          <w:tcPr>
            <w:tcW w:w="942" w:type="dxa"/>
          </w:tcPr>
          <w:p>
            <w:r>
              <w:t>技术设计方案</w:t>
            </w:r>
          </w:p>
        </w:tc>
        <w:tc>
          <w:tcPr>
            <w:tcW w:w="6174" w:type="dxa"/>
          </w:tcPr>
          <w:p>
            <w:r>
              <w:t>提供技术设计方案，能够充分理解业务需求，对各项功能进行详细描述，包含业务功能设计、系统架构、部署设计、安全设计、系统接口设计等内容。技术设计方案考虑全面、完整，针对性，可行性强。</w:t>
            </w:r>
          </w:p>
          <w:p/>
          <w:p>
            <w:r>
              <w:t xml:space="preserve"> 技术设计方案内容科学周密，完全契合项目需求实际，计划措施针对性可行性强，工作进度安排科学合理，完全契合项目实施要求、实施进度要求及交付要求等，得4分；            </w:t>
            </w:r>
          </w:p>
          <w:p>
            <w:r>
              <w:t xml:space="preserve">技术设计方案内容完整，可以满足项目需求，针对性可行性较强，但其中一项方案小项有缺陷（缺陷包括：与事实不符、前后内容不一致、逻辑错误、不符合采购需求、内容有缺失等），得2.5分；    </w:t>
            </w:r>
          </w:p>
          <w:p>
            <w:r>
              <w:t xml:space="preserve">技术设计方案内容有漏项，未完全包括上述几小项内容，或两个及以上方案小项中存在缺陷，得1分； </w:t>
            </w:r>
          </w:p>
          <w:p>
            <w:r>
              <w:t>未提供技术设计方案内容或方案严重脱离项目实际，得0分。</w:t>
            </w:r>
          </w:p>
        </w:tc>
        <w:tc>
          <w:tcPr>
            <w:tcW w:w="1173" w:type="dxa"/>
          </w:tcPr>
          <w:p>
            <w:r>
              <w:t>勾选打分(0;1;2.5;4)</w:t>
            </w:r>
          </w:p>
        </w:tc>
      </w:tr>
      <w:tr>
        <w:tblPrEx>
          <w:tblW w:w="4999" w:type="pct"/>
          <w:jc w:val="left"/>
          <w:tblInd w:w="0" w:type="dxa"/>
          <w:tblCellMar>
            <w:top w:w="0" w:type="dxa"/>
            <w:left w:w="108" w:type="dxa"/>
            <w:bottom w:w="0" w:type="dxa"/>
            <w:right w:w="108" w:type="dxa"/>
          </w:tblCellMar>
        </w:tblPrEx>
        <w:trPr>
          <w:jc w:val="left"/>
        </w:trPr>
        <w:tc>
          <w:tcPr>
            <w:tcW w:w="240" w:type="dxa"/>
          </w:tcPr>
          <w:p>
            <w:r>
              <w:t>服务部分</w:t>
            </w:r>
          </w:p>
        </w:tc>
        <w:tc>
          <w:tcPr>
            <w:tcW w:w="942" w:type="dxa"/>
          </w:tcPr>
          <w:p>
            <w:r>
              <w:t>运维服务方案</w:t>
            </w:r>
          </w:p>
        </w:tc>
        <w:tc>
          <w:tcPr>
            <w:tcW w:w="6174" w:type="dxa"/>
          </w:tcPr>
          <w:p>
            <w:r>
              <w:t xml:space="preserve">提供运维服务方案，包括运维服务团队配置、服务内容、服务响应时间、故障处理、应急措施、运维期内功能调整、运维期外服务方案及报价等内容等。方案内容全面、处理方式合理、可行性强。  </w:t>
            </w:r>
          </w:p>
          <w:p/>
          <w:p>
            <w:r>
              <w:t xml:space="preserve">运维服务方案内容科学周密，完全契合项目需求实际，计划措施针对性可行性强，工作进度安排科学合理，完全契合项目实施要求、实施进度要求及交付要求等，得3分；            </w:t>
            </w:r>
          </w:p>
          <w:p>
            <w:r>
              <w:t xml:space="preserve">运维服务方案内容完整，可以满足项目需求，针对性可行性较强，但其中一项方案小项有缺陷（缺陷包括：与事实不符、前后内容不一致、逻辑错误、不符合采购需求、内容有缺失等），得2分；     </w:t>
            </w:r>
          </w:p>
          <w:p>
            <w:r>
              <w:t xml:space="preserve">运维服务方案内容有漏项，未完全包括上述几小项内容，或两个及以上方案小项中存在缺陷，得1分； </w:t>
            </w:r>
          </w:p>
          <w:p>
            <w:r>
              <w:t>未提供运维服务方案内容或方案严重脱离项目实际，得0分。</w:t>
            </w:r>
          </w:p>
        </w:tc>
        <w:tc>
          <w:tcPr>
            <w:tcW w:w="1173" w:type="dxa"/>
          </w:tcPr>
          <w:p>
            <w:r>
              <w:t>勾选打分(0;1;2;3)</w:t>
            </w:r>
          </w:p>
        </w:tc>
      </w:tr>
    </w:tbl>
    <w:p>
      <w:pPr>
        <w:pStyle w:val="1414"/>
      </w:pPr>
      <w:bookmarkEnd w:id="56"/>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57"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57"/>
    </w:p>
    <w:p>
      <w:pPr>
        <w:rPr>
          <w:rFonts w:eastAsia="黑体"/>
          <w:sz w:val="28"/>
        </w:rPr>
      </w:pPr>
      <w:bookmarkStart w:id="58" w:name="插入_TBWJGS_CONTRACT"/>
      <w:r>
        <w:rPr>
          <w:rFonts w:eastAsia="黑体" w:hint="eastAsia"/>
          <w:sz w:val="28"/>
        </w:rPr>
        <w:t>合同编号：</w:t>
      </w:r>
    </w:p>
    <w:p>
      <w:pPr>
        <w:jc w:val="center"/>
        <w:rPr>
          <w:rFonts w:eastAsia="黑体"/>
          <w:sz w:val="52"/>
        </w:rPr>
      </w:pPr>
    </w:p>
    <w:p>
      <w:pPr>
        <w:jc w:val="center"/>
        <w:rPr>
          <w:rFonts w:ascii="方正小标宋_GBK" w:eastAsia="方正小标宋_GBK"/>
          <w:b/>
          <w:sz w:val="36"/>
        </w:rPr>
      </w:pPr>
      <w:r>
        <w:rPr>
          <w:rFonts w:ascii="方正小标宋_GBK" w:eastAsia="方正小标宋_GBK" w:hint="eastAsia"/>
          <w:b/>
          <w:sz w:val="36"/>
          <w:u w:val="single"/>
        </w:rPr>
        <w:t>企业信用管理子系统（深圳海关）ERP智能化联网分析服务功能</w:t>
      </w:r>
      <w:r>
        <w:rPr>
          <w:rFonts w:ascii="方正小标宋_GBK" w:eastAsia="方正小标宋_GBK" w:hint="eastAsia"/>
          <w:b/>
          <w:sz w:val="36"/>
        </w:rPr>
        <w:t>项目（软件部分）</w:t>
      </w:r>
    </w:p>
    <w:p>
      <w:pPr>
        <w:ind w:firstLine="1422" w:firstLineChars="395"/>
        <w:jc w:val="left"/>
        <w:rPr>
          <w:rFonts w:ascii="方正小标宋_GBK" w:eastAsia="方正小标宋_GBK"/>
          <w:b/>
          <w:sz w:val="36"/>
        </w:rPr>
      </w:pPr>
    </w:p>
    <w:p>
      <w:pPr>
        <w:ind w:firstLine="1422" w:firstLineChars="395"/>
        <w:jc w:val="left"/>
        <w:rPr>
          <w:rFonts w:ascii="方正小标宋_GBK" w:eastAsia="方正小标宋_GBK"/>
          <w:b/>
          <w:sz w:val="36"/>
        </w:rPr>
      </w:pPr>
    </w:p>
    <w:p>
      <w:pPr>
        <w:jc w:val="center"/>
        <w:rPr>
          <w:rFonts w:ascii="方正小标宋_GBK" w:eastAsia="方正小标宋_GBK"/>
          <w:b/>
          <w:sz w:val="96"/>
        </w:rPr>
      </w:pPr>
      <w:r>
        <w:rPr>
          <w:rFonts w:ascii="方正小标宋_GBK" w:eastAsia="方正小标宋_GBK" w:hint="eastAsia"/>
          <w:b/>
          <w:sz w:val="96"/>
        </w:rPr>
        <w:t>合</w:t>
      </w:r>
    </w:p>
    <w:p>
      <w:pPr>
        <w:jc w:val="center"/>
        <w:rPr>
          <w:rFonts w:ascii="方正小标宋_GBK" w:eastAsia="方正小标宋_GBK"/>
          <w:b/>
          <w:sz w:val="96"/>
        </w:rPr>
      </w:pPr>
      <w:r>
        <w:rPr>
          <w:rFonts w:ascii="方正小标宋_GBK" w:eastAsia="方正小标宋_GBK" w:hint="eastAsia"/>
          <w:b/>
          <w:sz w:val="96"/>
        </w:rPr>
        <w:t>同</w:t>
      </w:r>
    </w:p>
    <w:p>
      <w:pPr>
        <w:jc w:val="center"/>
        <w:rPr>
          <w:rFonts w:ascii="方正小标宋_GBK" w:eastAsia="方正小标宋_GBK"/>
          <w:b/>
          <w:sz w:val="96"/>
        </w:rPr>
      </w:pPr>
      <w:r>
        <w:rPr>
          <w:rFonts w:ascii="方正小标宋_GBK" w:eastAsia="方正小标宋_GBK" w:hint="eastAsia"/>
          <w:b/>
          <w:sz w:val="96"/>
        </w:rPr>
        <w:t>书</w:t>
      </w:r>
    </w:p>
    <w:p>
      <w:pPr>
        <w:jc w:val="center"/>
        <w:rPr>
          <w:rFonts w:eastAsia="黑体"/>
          <w:sz w:val="36"/>
        </w:rPr>
      </w:pPr>
    </w:p>
    <w:p>
      <w:pPr>
        <w:jc w:val="left"/>
        <w:rPr>
          <w:rFonts w:ascii="方正仿宋_GBK" w:eastAsia="方正仿宋_GBK"/>
          <w:b/>
          <w:sz w:val="36"/>
          <w:u w:val="single"/>
        </w:rPr>
      </w:pPr>
    </w:p>
    <w:p>
      <w:pPr>
        <w:jc w:val="left"/>
        <w:rPr>
          <w:rFonts w:ascii="方正仿宋_GBK" w:eastAsia="方正仿宋_GBK"/>
          <w:b/>
          <w:sz w:val="36"/>
          <w:u w:val="single"/>
        </w:rPr>
      </w:pPr>
      <w:r>
        <w:rPr>
          <w:rFonts w:ascii="方正仿宋_GBK" w:eastAsia="方正仿宋_GBK" w:hint="eastAsia"/>
          <w:b/>
          <w:sz w:val="36"/>
        </w:rPr>
        <w:t xml:space="preserve">      委托方（甲方）：</w:t>
      </w:r>
      <w:r>
        <w:rPr>
          <w:rFonts w:ascii="方正仿宋_GBK" w:eastAsia="方正仿宋_GBK" w:hint="eastAsia"/>
          <w:b/>
          <w:sz w:val="36"/>
          <w:u w:val="single"/>
        </w:rPr>
        <w:t xml:space="preserve">                    </w:t>
      </w:r>
    </w:p>
    <w:p>
      <w:pPr>
        <w:jc w:val="left"/>
        <w:rPr>
          <w:rFonts w:ascii="方正仿宋_GBK" w:eastAsia="方正仿宋_GBK"/>
          <w:b/>
          <w:sz w:val="36"/>
        </w:rPr>
      </w:pPr>
      <w:r>
        <w:rPr>
          <w:rFonts w:ascii="方正仿宋_GBK" w:eastAsia="方正仿宋_GBK" w:hint="eastAsia"/>
          <w:b/>
          <w:sz w:val="36"/>
        </w:rPr>
        <w:t xml:space="preserve">      受托方（乙方）：</w:t>
      </w:r>
      <w:r>
        <w:rPr>
          <w:rFonts w:ascii="方正仿宋_GBK" w:eastAsia="方正仿宋_GBK" w:hint="eastAsia"/>
          <w:b/>
          <w:sz w:val="36"/>
          <w:u w:val="single"/>
        </w:rPr>
        <w:t xml:space="preserve">                    </w:t>
      </w:r>
    </w:p>
    <w:p>
      <w:pPr>
        <w:jc w:val="left"/>
        <w:rPr>
          <w:rFonts w:ascii="方正仿宋_GBK" w:eastAsia="方正仿宋_GBK"/>
          <w:b/>
          <w:sz w:val="36"/>
          <w:u w:val="single"/>
        </w:rPr>
      </w:pPr>
      <w:r>
        <w:rPr>
          <w:rFonts w:ascii="方正仿宋_GBK" w:eastAsia="方正仿宋_GBK" w:hint="eastAsia"/>
          <w:b/>
          <w:sz w:val="36"/>
        </w:rPr>
        <w:t xml:space="preserve">      签订时间：</w:t>
      </w:r>
      <w:r>
        <w:rPr>
          <w:rFonts w:ascii="方正仿宋_GBK" w:eastAsia="方正仿宋_GBK" w:hint="eastAsia"/>
          <w:b/>
          <w:sz w:val="36"/>
          <w:u w:val="single"/>
        </w:rPr>
        <w:t xml:space="preserve">                         </w:t>
      </w:r>
    </w:p>
    <w:p>
      <w:pPr>
        <w:jc w:val="left"/>
        <w:rPr>
          <w:rFonts w:ascii="方正仿宋_GBK" w:eastAsia="方正仿宋_GBK"/>
          <w:b/>
          <w:sz w:val="36"/>
          <w:u w:val="single"/>
        </w:rPr>
      </w:pPr>
      <w:r>
        <w:rPr>
          <w:rFonts w:ascii="方正仿宋_GBK" w:eastAsia="方正仿宋_GBK" w:hint="eastAsia"/>
          <w:b/>
          <w:sz w:val="36"/>
        </w:rPr>
        <w:t xml:space="preserve">      有效期限：</w:t>
      </w:r>
      <w:r>
        <w:rPr>
          <w:rFonts w:ascii="方正仿宋_GBK" w:eastAsia="方正仿宋_GBK" w:hint="eastAsia"/>
          <w:b/>
          <w:sz w:val="36"/>
          <w:u w:val="single"/>
        </w:rPr>
        <w:t xml:space="preserve">                         </w:t>
      </w:r>
    </w:p>
    <w:p>
      <w:pPr>
        <w:widowControl/>
        <w:ind w:firstLine="640" w:firstLineChars="200"/>
        <w:jc w:val="left"/>
        <w:rPr>
          <w:rFonts w:ascii="Times New Roman Regular" w:hAnsi="Times New Roman Regular" w:cs="Times New Roman Regular"/>
          <w:sz w:val="32"/>
        </w:rPr>
      </w:pPr>
      <w:r>
        <w:rPr>
          <w:rFonts w:ascii="方正黑体_GBK" w:eastAsia="方正黑体_GBK" w:hint="eastAsia"/>
          <w:sz w:val="32"/>
          <w:szCs w:val="32"/>
        </w:rPr>
        <w:br w:type="page"/>
      </w:r>
    </w:p>
    <w:p>
      <w:pPr>
        <w:widowControl/>
        <w:spacing w:line="360" w:lineRule="auto"/>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甲方：</w:t>
      </w:r>
      <w:r>
        <w:rPr>
          <w:rFonts w:ascii="Times New Roman Regular" w:hAnsi="Times New Roman Regular" w:cs="Times New Roman Regular"/>
          <w:color w:val="000000"/>
        </w:rPr>
        <w:t xml:space="preserve"> </w:t>
      </w:r>
    </w:p>
    <w:p>
      <w:pPr>
        <w:widowControl/>
        <w:spacing w:line="360" w:lineRule="auto"/>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乙方：</w:t>
      </w:r>
    </w:p>
    <w:p>
      <w:pPr>
        <w:widowControl/>
        <w:spacing w:line="360" w:lineRule="auto"/>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根据《中华人民共和国政府采购法》、《中华人民共和国民法典》等相关法律规定，甲方对</w:t>
      </w:r>
      <w:r>
        <w:rPr>
          <w:rFonts w:ascii="Times New Roman Regular" w:hAnsi="Times New Roman Regular" w:cs="Times New Roman Regular" w:hint="eastAsia"/>
          <w:color w:val="000000"/>
          <w:u w:val="single"/>
        </w:rPr>
        <w:t>企业信用管理子系统（深圳海关）</w:t>
      </w:r>
      <w:r>
        <w:rPr>
          <w:rFonts w:ascii="Times New Roman Regular" w:hAnsi="Times New Roman Regular" w:cs="Times New Roman Regular"/>
          <w:color w:val="000000"/>
          <w:u w:val="single"/>
        </w:rPr>
        <w:t>ERP</w:t>
      </w:r>
      <w:r>
        <w:rPr>
          <w:rFonts w:ascii="Times New Roman Regular" w:hAnsi="Times New Roman Regular" w:cs="Times New Roman Regular" w:hint="eastAsia"/>
          <w:color w:val="000000"/>
          <w:u w:val="single"/>
        </w:rPr>
        <w:t>智能化联网分析服务功能项目（软件部分）</w:t>
      </w:r>
      <w:r>
        <w:rPr>
          <w:rFonts w:ascii="Times New Roman Regular" w:hAnsi="Times New Roman Regular" w:cs="Times New Roman Regular" w:hint="eastAsia"/>
          <w:color w:val="000000"/>
        </w:rPr>
        <w:t>以</w:t>
      </w:r>
      <w:r>
        <w:rPr>
          <w:rFonts w:ascii="Times New Roman Regular" w:hAnsi="Times New Roman Regular" w:cs="Times New Roman Regular" w:hint="eastAsia"/>
          <w:color w:val="000000"/>
          <w:u w:val="single"/>
        </w:rPr>
        <w:t>公开招标</w:t>
      </w:r>
      <w:r>
        <w:rPr>
          <w:rFonts w:ascii="Times New Roman Regular" w:hAnsi="Times New Roman Regular" w:cs="Times New Roman Regular" w:hint="eastAsia"/>
          <w:color w:val="000000"/>
        </w:rPr>
        <w:t>方式进行采购（采购编号：</w:t>
      </w:r>
      <w:r>
        <w:rPr>
          <w:rFonts w:ascii="Times New Roman Regular" w:hAnsi="Times New Roman Regular" w:cs="Times New Roman Regular"/>
          <w:color w:val="000000"/>
          <w:u w:val="single"/>
        </w:rPr>
        <w:t xml:space="preserve"> </w:t>
      </w:r>
      <w:r>
        <w:rPr>
          <w:rFonts w:ascii="Times New Roman Regular" w:hAnsi="Times New Roman Regular" w:cs="Times New Roman Regular" w:hint="eastAsia"/>
          <w:color w:val="000000"/>
          <w:u w:val="single"/>
        </w:rPr>
        <w:t xml:space="preserve">          </w:t>
      </w:r>
      <w:r>
        <w:rPr>
          <w:rFonts w:ascii="Times New Roman Regular" w:hAnsi="Times New Roman Regular" w:cs="Times New Roman Regular" w:hint="eastAsia"/>
          <w:color w:val="000000"/>
        </w:rPr>
        <w:t>），确定乙方为中标供应商，现依招标文件、投标文件等相关文件的内容，双方达成如下协议：</w:t>
      </w:r>
      <w:r>
        <w:rPr>
          <w:rFonts w:ascii="Times New Roman Regular" w:hAnsi="Times New Roman Regular" w:cs="Times New Roman Regular"/>
          <w:color w:val="000000"/>
        </w:rPr>
        <w:t xml:space="preserve"> </w:t>
      </w:r>
    </w:p>
    <w:p>
      <w:pPr>
        <w:spacing w:line="360" w:lineRule="auto"/>
        <w:jc w:val="center"/>
        <w:rPr>
          <w:rFonts w:ascii="Times New Roman Regular" w:hAnsi="Times New Roman Regular" w:cs="Times New Roman Regular"/>
          <w:sz w:val="36"/>
        </w:rPr>
      </w:pPr>
      <w:r>
        <w:rPr>
          <w:rFonts w:ascii="Times New Roman Regular" w:hAnsi="Times New Roman Regular" w:cs="Times New Roman Regular" w:hint="eastAsia"/>
          <w:sz w:val="36"/>
        </w:rPr>
        <w:t>第一部分</w:t>
      </w:r>
      <w:r>
        <w:rPr>
          <w:rFonts w:ascii="Times New Roman Regular" w:hAnsi="Times New Roman Regular" w:cs="Times New Roman Regular"/>
          <w:sz w:val="36"/>
        </w:rPr>
        <w:t xml:space="preserve"> </w:t>
      </w:r>
      <w:r>
        <w:rPr>
          <w:rFonts w:ascii="Times New Roman Regular" w:hAnsi="Times New Roman Regular" w:cs="Times New Roman Regular" w:hint="eastAsia"/>
          <w:sz w:val="36"/>
        </w:rPr>
        <w:t>基本情况</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一、合同标的</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项目名称：</w:t>
      </w:r>
      <w:r>
        <w:rPr>
          <w:rFonts w:ascii="Times New Roman Regular" w:hAnsi="Times New Roman Regular" w:cs="Times New Roman Regular" w:hint="eastAsia"/>
          <w:color w:val="000000"/>
          <w:u w:val="single"/>
        </w:rPr>
        <w:t>企业信用管理子系统（深圳海关）</w:t>
      </w:r>
      <w:r>
        <w:rPr>
          <w:rFonts w:ascii="Times New Roman Regular" w:hAnsi="Times New Roman Regular" w:cs="Times New Roman Regular"/>
          <w:color w:val="000000"/>
          <w:u w:val="single"/>
        </w:rPr>
        <w:t>ERP</w:t>
      </w:r>
      <w:r>
        <w:rPr>
          <w:rFonts w:ascii="Times New Roman Regular" w:hAnsi="Times New Roman Regular" w:cs="Times New Roman Regular" w:hint="eastAsia"/>
          <w:color w:val="000000"/>
          <w:u w:val="single"/>
        </w:rPr>
        <w:t>智能化联网分析服务功能项目（软件部分）</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项目实施地点：中国电子口岸数据中心深圳分中心指定地点</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合同暂定总价：人民币</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元整（￥</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服务目标：提供企业信用管理子系统（深圳海关）</w:t>
      </w:r>
      <w:r>
        <w:rPr>
          <w:rFonts w:ascii="Times New Roman Regular" w:hAnsi="Times New Roman Regular" w:cs="Times New Roman Regular"/>
          <w:color w:val="000000"/>
        </w:rPr>
        <w:t>ERP</w:t>
      </w:r>
      <w:r>
        <w:rPr>
          <w:rFonts w:ascii="Times New Roman Regular" w:hAnsi="Times New Roman Regular" w:cs="Times New Roman Regular" w:hint="eastAsia"/>
          <w:color w:val="000000"/>
        </w:rPr>
        <w:t>智能化联网分析服务功能项目定制开发服务。</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服务方式：定制开发服务。</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服务质量要求：乙方在甲方规定的工期进度内完成应交付的服务，并符合服务质量要求。</w:t>
      </w:r>
    </w:p>
    <w:p>
      <w:pPr>
        <w:widowControl/>
        <w:ind w:firstLine="420" w:firstLineChars="200"/>
        <w:jc w:val="left"/>
        <w:rPr>
          <w:rFonts w:ascii="宋体" w:eastAsia="宋体" w:cs="宋体"/>
        </w:rPr>
      </w:pPr>
      <w:r>
        <w:rPr>
          <w:rFonts w:ascii="Times New Roman Regular" w:hAnsi="Times New Roman Regular" w:cs="Times New Roman Regular" w:hint="eastAsia"/>
          <w:color w:val="000000"/>
        </w:rPr>
        <w:t>项目周期要求：（一）合同生效后</w:t>
      </w:r>
      <w:r>
        <w:rPr>
          <w:rFonts w:ascii="Times New Roman Regular" w:hAnsi="Times New Roman Regular" w:cs="Times New Roman Regular"/>
          <w:color w:val="000000"/>
        </w:rPr>
        <w:t>1</w:t>
      </w:r>
      <w:r>
        <w:rPr>
          <w:rFonts w:ascii="Times New Roman Regular" w:hAnsi="Times New Roman Regular" w:cs="Times New Roman Regular" w:hint="eastAsia"/>
          <w:color w:val="000000"/>
        </w:rPr>
        <w:t>个月内完成需求分析与设计，提供整体全部功能的《软件需求规格说明书》、《项目实施方案》、《技术设计方案》、《测试方案》，需求分析和系统设计根据实际需求由甲方组织进行评审；</w:t>
      </w:r>
    </w:p>
    <w:p>
      <w:pPr>
        <w:widowControl/>
        <w:ind w:firstLine="420" w:firstLineChars="200"/>
        <w:jc w:val="left"/>
        <w:rPr>
          <w:rFonts w:ascii="宋体" w:eastAsia="宋体" w:cs="宋体"/>
        </w:rPr>
      </w:pPr>
      <w:r>
        <w:rPr>
          <w:rFonts w:ascii="Times New Roman Regular" w:hAnsi="Times New Roman Regular" w:cs="Times New Roman Regular" w:hint="eastAsia"/>
          <w:color w:val="000000"/>
        </w:rPr>
        <w:t>（二）</w:t>
      </w:r>
      <w:r>
        <w:rPr>
          <w:rFonts w:ascii="宋体" w:cs="宋体"/>
        </w:rPr>
        <w:t>在合同生效后按照采购方要求在规定时间内完成技术实施工作</w:t>
      </w:r>
      <w:r>
        <w:rPr>
          <w:rFonts w:ascii="宋体" w:eastAsia="宋体" w:cs="宋体" w:hint="eastAsia"/>
        </w:rPr>
        <w:t>：</w:t>
      </w:r>
      <w:r>
        <w:rPr>
          <w:rFonts w:ascii="宋体" w:cs="宋体" w:hint="eastAsia"/>
          <w:color w:val="FF0000"/>
          <w:highlight w:val="yellow"/>
        </w:rPr>
        <w:t>2024</w:t>
      </w:r>
      <w:r>
        <w:rPr>
          <w:rFonts w:ascii="宋体" w:cs="宋体"/>
          <w:color w:val="FF0000"/>
          <w:highlight w:val="yellow"/>
        </w:rPr>
        <w:t>年</w:t>
      </w:r>
      <w:r>
        <w:rPr>
          <w:rFonts w:ascii="宋体" w:cs="宋体" w:hint="eastAsia"/>
          <w:color w:val="FF0000"/>
          <w:highlight w:val="yellow"/>
        </w:rPr>
        <w:t>12</w:t>
      </w:r>
      <w:r>
        <w:rPr>
          <w:rFonts w:ascii="宋体" w:cs="宋体"/>
          <w:color w:val="FF0000"/>
          <w:highlight w:val="yellow"/>
        </w:rPr>
        <w:t>月</w:t>
      </w:r>
      <w:r>
        <w:rPr>
          <w:rFonts w:ascii="宋体" w:cs="宋体" w:hint="eastAsia"/>
          <w:color w:val="FF0000"/>
          <w:highlight w:val="yellow"/>
        </w:rPr>
        <w:t>25</w:t>
      </w:r>
      <w:r>
        <w:rPr>
          <w:rFonts w:ascii="宋体" w:cs="宋体"/>
          <w:color w:val="FF0000"/>
          <w:highlight w:val="yellow"/>
        </w:rPr>
        <w:t>日前，开发上线</w:t>
      </w:r>
      <w:r>
        <w:rPr>
          <w:rFonts w:ascii="宋体" w:eastAsia="宋体" w:cs="宋体" w:hint="eastAsia"/>
          <w:color w:val="FF0000"/>
        </w:rPr>
        <w:t>乙方</w:t>
      </w:r>
      <w:r>
        <w:rPr>
          <w:rFonts w:ascii="宋体" w:eastAsia="宋体" w:cs="宋体" w:hint="eastAsia"/>
          <w:color w:val="FF0000"/>
          <w:highlight w:val="yellow"/>
        </w:rPr>
        <w:t>指定的首批系统功能</w:t>
      </w:r>
      <w:r>
        <w:rPr>
          <w:rFonts w:ascii="宋体" w:cs="宋体"/>
          <w:color w:val="FF0000"/>
          <w:highlight w:val="yellow"/>
        </w:rPr>
        <w:t>，</w:t>
      </w:r>
      <w:r>
        <w:rPr>
          <w:rFonts w:ascii="宋体" w:cs="宋体" w:hint="eastAsia"/>
          <w:color w:val="FF0000"/>
          <w:highlight w:val="yellow"/>
        </w:rPr>
        <w:t>2025</w:t>
      </w:r>
      <w:r>
        <w:rPr>
          <w:rFonts w:ascii="宋体" w:cs="宋体"/>
          <w:color w:val="FF0000"/>
          <w:highlight w:val="yellow"/>
        </w:rPr>
        <w:t>年</w:t>
      </w:r>
      <w:r>
        <w:rPr>
          <w:rFonts w:ascii="宋体" w:cs="宋体" w:hint="eastAsia"/>
          <w:color w:val="FF0000"/>
          <w:highlight w:val="yellow"/>
        </w:rPr>
        <w:t>4</w:t>
      </w:r>
      <w:r>
        <w:rPr>
          <w:rFonts w:ascii="宋体" w:cs="宋体"/>
          <w:color w:val="FF0000"/>
          <w:highlight w:val="yellow"/>
        </w:rPr>
        <w:t>月</w:t>
      </w:r>
      <w:r>
        <w:rPr>
          <w:rFonts w:ascii="宋体" w:cs="宋体" w:hint="eastAsia"/>
          <w:color w:val="FF0000"/>
          <w:highlight w:val="yellow"/>
        </w:rPr>
        <w:t>30</w:t>
      </w:r>
      <w:r>
        <w:rPr>
          <w:rFonts w:ascii="宋体" w:cs="宋体"/>
          <w:color w:val="FF0000"/>
          <w:highlight w:val="yellow"/>
        </w:rPr>
        <w:t>日前</w:t>
      </w:r>
      <w:r>
        <w:rPr>
          <w:rFonts w:ascii="宋体" w:eastAsia="宋体" w:cs="宋体" w:hint="eastAsia"/>
          <w:color w:val="FF0000"/>
          <w:highlight w:val="yellow"/>
        </w:rPr>
        <w:t>开发</w:t>
      </w:r>
      <w:r>
        <w:rPr>
          <w:rFonts w:ascii="宋体" w:cs="宋体"/>
          <w:color w:val="FF0000"/>
          <w:highlight w:val="yellow"/>
        </w:rPr>
        <w:t>上线系统全部功能。</w:t>
      </w:r>
      <w:r>
        <w:rPr>
          <w:rFonts w:ascii="宋体" w:eastAsia="宋体" w:cs="宋体" w:hint="eastAsia"/>
        </w:rPr>
        <w:t xml:space="preserve"> </w:t>
      </w:r>
      <w:r>
        <w:rPr>
          <w:rFonts w:ascii="Times New Roman Regular" w:hAnsi="Times New Roman Regular" w:cs="Times New Roman Regular" w:hint="eastAsia"/>
          <w:color w:val="000000"/>
        </w:rPr>
        <w:t>并提供全部功能的《系统测试报告》、《安全测试报告》、《集成报告》、《系统部署手册》、《用户操作手册》、《安全运行维护说明》、《试运行报告》等，同时提供系统交付书面申请、程序源代码、且源代码必须通过甲方代码安全扫描。</w:t>
      </w:r>
    </w:p>
    <w:p>
      <w:pPr>
        <w:widowControl/>
        <w:ind w:firstLine="420" w:firstLineChars="200"/>
        <w:jc w:val="left"/>
      </w:pPr>
      <w:r>
        <w:rPr>
          <w:rFonts w:ascii="Times New Roman Regular" w:hAnsi="Times New Roman Regular" w:cs="Times New Roman Regular" w:hint="eastAsia"/>
          <w:color w:val="000000"/>
        </w:rPr>
        <w:t>（三）系统在全部功能上线并稳定试运行</w:t>
      </w:r>
      <w:r>
        <w:rPr>
          <w:rFonts w:ascii="Times New Roman Regular" w:hAnsi="Times New Roman Regular" w:cs="Times New Roman Regular"/>
          <w:color w:val="000000"/>
        </w:rPr>
        <w:t>1</w:t>
      </w:r>
      <w:r>
        <w:rPr>
          <w:rFonts w:ascii="Times New Roman Regular" w:hAnsi="Times New Roman Regular" w:cs="Times New Roman Regular" w:hint="eastAsia"/>
          <w:color w:val="000000"/>
        </w:rPr>
        <w:t>个月后，同时符合甲方要求，乙方可提出合同验收申请，由甲方根据试运行情况组织验收。合同验收合格之日起，提供</w:t>
      </w:r>
      <w:r>
        <w:rPr>
          <w:rFonts w:ascii="Times New Roman Regular" w:hAnsi="Times New Roman Regular" w:cs="Times New Roman Regular"/>
          <w:color w:val="000000"/>
        </w:rPr>
        <w:t>1</w:t>
      </w:r>
      <w:r>
        <w:rPr>
          <w:rFonts w:ascii="Times New Roman Regular" w:hAnsi="Times New Roman Regular" w:cs="Times New Roman Regular" w:hint="eastAsia"/>
          <w:color w:val="000000"/>
        </w:rPr>
        <w:t>年</w:t>
      </w:r>
      <w:r>
        <w:rPr>
          <w:rFonts w:ascii="Times New Roman Regular" w:hAnsi="Times New Roman Regular" w:cs="Times New Roman Regular"/>
          <w:color w:val="000000"/>
        </w:rPr>
        <w:t>7x24</w:t>
      </w:r>
      <w:r>
        <w:rPr>
          <w:rFonts w:ascii="Times New Roman Regular" w:hAnsi="Times New Roman Regular" w:cs="Times New Roman Regular" w:hint="eastAsia"/>
          <w:color w:val="000000"/>
        </w:rPr>
        <w:t>小时技术服务支持响应。</w:t>
      </w:r>
      <w:r>
        <w:rPr>
          <w:rFonts w:hint="eastAsia"/>
        </w:rPr>
        <w:t>合同有效期限：至项目</w:t>
      </w:r>
      <w:r>
        <w:t>运维</w:t>
      </w:r>
      <w:r>
        <w:rPr>
          <w:rFonts w:hint="eastAsia"/>
        </w:rPr>
        <w:t>期结束时止。</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二、本合同中的有关词语含义与本合同第二部分《标准条件》中赋予它们的定义相同。</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三、与履行本合同有关的下列文件，为本合同的组成部分，下述文件互相补充和解释，如有不明确或不一致之处，以合同约定次序在先者为准：</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w:t>
      </w:r>
      <w:r>
        <w:rPr>
          <w:rFonts w:ascii="Times New Roman Regular" w:hAnsi="Times New Roman Regular" w:cs="Times New Roman Regular" w:hint="eastAsia"/>
          <w:color w:val="000000"/>
        </w:rPr>
        <w:t>在实施过程中双方共同签署的补充与修正文件；</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2.</w:t>
      </w:r>
      <w:r>
        <w:rPr>
          <w:rFonts w:ascii="Times New Roman Regular" w:hAnsi="Times New Roman Regular" w:cs="Times New Roman Regular" w:hint="eastAsia"/>
          <w:color w:val="000000"/>
        </w:rPr>
        <w:t>合同文件；</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w:t>
      </w:r>
      <w:r>
        <w:rPr>
          <w:rFonts w:ascii="Times New Roman Regular" w:hAnsi="Times New Roman Regular" w:cs="Times New Roman Regular" w:hint="eastAsia"/>
          <w:color w:val="000000"/>
        </w:rPr>
        <w:t>中标通知书；</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4.</w:t>
      </w:r>
      <w:r>
        <w:rPr>
          <w:rFonts w:ascii="Times New Roman Regular" w:hAnsi="Times New Roman Regular" w:cs="Times New Roman Regular" w:hint="eastAsia"/>
          <w:color w:val="000000"/>
        </w:rPr>
        <w:t>投标文件。</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四、本合同自双方法定代表人或者授权签字人签字并盖章之日起生效。</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五、本合同一式陆份。甲方执叁份，乙方执叁份。附件为主合同的一部分，具有同等法律效力。附件与主合同内容不一致的，以主合同为准。</w:t>
      </w:r>
      <w:r>
        <w:rPr>
          <w:rFonts w:ascii="Times New Roman Regular" w:hAnsi="Times New Roman Regular" w:cs="Times New Roman Regular"/>
          <w:color w:val="000000"/>
        </w:rPr>
        <w:t xml:space="preserve"> </w:t>
      </w:r>
    </w:p>
    <w:p>
      <w:pPr>
        <w:spacing w:line="360" w:lineRule="auto"/>
        <w:jc w:val="center"/>
        <w:rPr>
          <w:rFonts w:ascii="Times New Roman Regular" w:hAnsi="Times New Roman Regular" w:cs="Times New Roman Regular"/>
          <w:sz w:val="36"/>
        </w:rPr>
      </w:pPr>
      <w:r>
        <w:rPr>
          <w:rFonts w:ascii="Times New Roman Regular" w:hAnsi="Times New Roman Regular" w:cs="Times New Roman Regular" w:hint="eastAsia"/>
          <w:sz w:val="36"/>
        </w:rPr>
        <w:t>第二部分</w:t>
      </w:r>
      <w:r>
        <w:rPr>
          <w:rFonts w:ascii="Times New Roman Regular" w:hAnsi="Times New Roman Regular" w:cs="Times New Roman Regular"/>
          <w:sz w:val="36"/>
        </w:rPr>
        <w:t xml:space="preserve"> </w:t>
      </w:r>
      <w:r>
        <w:rPr>
          <w:rFonts w:ascii="Times New Roman Regular" w:hAnsi="Times New Roman Regular" w:cs="Times New Roman Regular" w:hint="eastAsia"/>
          <w:sz w:val="36"/>
        </w:rPr>
        <w:t>标准条件</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一、合同名词</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下列名词和用语，除上下文另有规定外，有如下含义：</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1.1“</w:t>
      </w:r>
      <w:r>
        <w:rPr>
          <w:rFonts w:ascii="Times New Roman Regular" w:hAnsi="Times New Roman Regular" w:cs="Times New Roman Regular" w:hint="eastAsia"/>
          <w:color w:val="000000"/>
        </w:rPr>
        <w:t>甲方</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是指中国电子口岸数据中心深圳分中心。</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1.2“</w:t>
      </w:r>
      <w:r>
        <w:rPr>
          <w:rFonts w:ascii="Times New Roman Regular" w:hAnsi="Times New Roman Regular" w:cs="Times New Roman Regular" w:hint="eastAsia"/>
          <w:color w:val="000000"/>
        </w:rPr>
        <w:t>乙方</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是指提供项目开发服务的单位，即：</w:t>
      </w:r>
      <w:r>
        <w:rPr>
          <w:rFonts w:ascii="Times New Roman Regular" w:hAnsi="Times New Roman Regular" w:cs="Times New Roman Regular"/>
          <w:color w:val="000000"/>
          <w:u w:val="single"/>
        </w:rPr>
        <w:t xml:space="preserve">          </w:t>
      </w:r>
      <w:r>
        <w:rPr>
          <w:rFonts w:ascii="Times New Roman Regular" w:hAnsi="Times New Roman Regular" w:cs="Times New Roman Regular" w:hint="eastAsia"/>
          <w:color w:val="000000"/>
        </w:rPr>
        <w:t>。</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二、甲方的权利和义务</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2.1</w:t>
      </w:r>
      <w:r>
        <w:rPr>
          <w:rFonts w:ascii="Times New Roman Regular" w:hAnsi="Times New Roman Regular" w:cs="Times New Roman Regular" w:hint="eastAsia"/>
          <w:color w:val="000000"/>
        </w:rPr>
        <w:t>甲方有权要求乙方按本合同约定及时提供服务。甲方对服务的工作成果进行评估和确认，提出修改意见。</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2.2</w:t>
      </w:r>
      <w:r>
        <w:rPr>
          <w:rFonts w:ascii="Times New Roman Regular" w:hAnsi="Times New Roman Regular" w:cs="Times New Roman Regular" w:hint="eastAsia"/>
          <w:color w:val="000000"/>
        </w:rPr>
        <w:t>甲方对服务成果拥有所有权及全部、完整的知识产权（包括但不限于著作权、专利权、商标权以及知识产权申请权等）。乙方需向甲方提供完整源代码。</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2.3</w:t>
      </w:r>
      <w:r>
        <w:rPr>
          <w:rFonts w:ascii="Times New Roman Regular" w:hAnsi="Times New Roman Regular" w:cs="Times New Roman Regular" w:hint="eastAsia"/>
          <w:color w:val="000000"/>
        </w:rPr>
        <w:t>甲方有权对项目涉及的所有成果在海关范围内进行推广应用。</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2.4</w:t>
      </w:r>
      <w:r>
        <w:rPr>
          <w:rFonts w:ascii="Times New Roman Regular" w:hAnsi="Times New Roman Regular" w:cs="Times New Roman Regular" w:hint="eastAsia"/>
          <w:color w:val="000000"/>
        </w:rPr>
        <w:t>如果乙方不能按照本合同的要求履行义务，甲方以书面形式通知乙方，乙方应在</w:t>
      </w:r>
      <w:r>
        <w:rPr>
          <w:rFonts w:ascii="Times New Roman Regular" w:hAnsi="Times New Roman Regular" w:cs="Times New Roman Regular"/>
          <w:color w:val="000000"/>
        </w:rPr>
        <w:t xml:space="preserve"> 5 </w:t>
      </w:r>
      <w:r>
        <w:rPr>
          <w:rFonts w:ascii="Times New Roman Regular" w:hAnsi="Times New Roman Regular" w:cs="Times New Roman Regular" w:hint="eastAsia"/>
          <w:color w:val="000000"/>
        </w:rPr>
        <w:t>个工作日内予以补正和改进；如果乙方在规定的期限内未能补正和改进，甲方有权中止支付，直至乙方能够按照本合同规定的内容履行义务。若乙方的补正和改进在甲方规定的工作日内仍无法达到合同要求，甲方有权按第九条违约责任处理。</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2.5</w:t>
      </w:r>
      <w:r>
        <w:rPr>
          <w:rFonts w:ascii="Times New Roman Regular" w:hAnsi="Times New Roman Regular" w:cs="Times New Roman Regular" w:hint="eastAsia"/>
          <w:color w:val="000000"/>
        </w:rPr>
        <w:t>在乙方完成相应阶段工作并满足付款条件时，甲方应按照本合同的约定及时支付合同价款。</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三、乙方的权利和义务</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3.1</w:t>
      </w:r>
      <w:r>
        <w:rPr>
          <w:rFonts w:ascii="Times New Roman Regular" w:hAnsi="Times New Roman Regular" w:cs="Times New Roman Regular" w:hint="eastAsia"/>
          <w:color w:val="000000"/>
        </w:rPr>
        <w:t>乙方在为甲方提供服务的过程当中，必须坚持中国共产党的领导，严格遵守国家政治纪律和政治规矩，严格遵守国家法律法规。</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3.2</w:t>
      </w:r>
      <w:r>
        <w:rPr>
          <w:rFonts w:ascii="Times New Roman Regular" w:hAnsi="Times New Roman Regular" w:cs="Times New Roman Regular" w:hint="eastAsia"/>
          <w:color w:val="000000"/>
        </w:rPr>
        <w:t>乙方应按照本合同及合同附件的要求，为甲方提供合格的服务，具体内容详见招标书。</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本项目包含数据服务，乙方负责采购第三方供应商的工商、司法数据供项目使用，使用期限为本合同最终验收后</w:t>
      </w:r>
      <w:r>
        <w:rPr>
          <w:rFonts w:ascii="Times New Roman Regular" w:hAnsi="Times New Roman Regular" w:cs="Times New Roman Regular"/>
          <w:color w:val="000000"/>
        </w:rPr>
        <w:t>1</w:t>
      </w:r>
      <w:r>
        <w:rPr>
          <w:rFonts w:ascii="Times New Roman Regular" w:hAnsi="Times New Roman Regular" w:cs="Times New Roman Regular" w:hint="eastAsia"/>
          <w:color w:val="000000"/>
        </w:rPr>
        <w:t>年。</w:t>
      </w:r>
    </w:p>
    <w:p>
      <w:pPr>
        <w:widowControl/>
        <w:ind w:firstLine="420" w:firstLineChars="200"/>
        <w:jc w:val="left"/>
        <w:rPr>
          <w:rFonts w:ascii="Times New Roman Regular" w:eastAsia="宋体" w:hAnsi="Times New Roman Regular" w:cs="Times New Roman Regular"/>
          <w:color w:val="000000"/>
        </w:rPr>
      </w:pPr>
      <w:r>
        <w:rPr>
          <w:rFonts w:ascii="Times New Roman Regular" w:hAnsi="Times New Roman Regular" w:cs="Times New Roman Regular"/>
          <w:color w:val="000000"/>
        </w:rPr>
        <w:t>3.3</w:t>
      </w:r>
      <w:r>
        <w:rPr>
          <w:rFonts w:ascii="Times New Roman Regular" w:hAnsi="Times New Roman Regular" w:cs="Times New Roman Regular" w:hint="eastAsia"/>
          <w:color w:val="000000"/>
        </w:rPr>
        <w:t>乙方在服务实施中应按照国家有关法律、法规、标准规范、海关信息化建设有关技术标准</w:t>
      </w:r>
      <w:r>
        <w:rPr>
          <w:rFonts w:ascii="Times New Roman Regular" w:hAnsi="Times New Roman Regular" w:cs="Times New Roman Regular" w:hint="eastAsia"/>
        </w:rPr>
        <w:t>（含国产化技术标准）</w:t>
      </w:r>
      <w:r>
        <w:rPr>
          <w:rFonts w:ascii="Times New Roman Regular" w:hAnsi="Times New Roman Regular" w:cs="Times New Roman Regular" w:hint="eastAsia"/>
          <w:color w:val="000000"/>
        </w:rPr>
        <w:t>、设计方案、信息安全等级保护、运行管理等有关规定和要求，执行严格的质量管理，以确保本项目质量符合信息化标准和合规性检查的要求，完成合同履约。</w:t>
      </w:r>
      <w:r>
        <w:rPr>
          <w:rFonts w:ascii="Times New Roman Regular" w:hAnsi="Times New Roman Regular" w:cs="Times New Roman Regular" w:hint="eastAsia"/>
        </w:rPr>
        <w:t>乙方提交的资料须满足甲方对于国产化技术标准的要求。</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3.4</w:t>
      </w:r>
      <w:r>
        <w:rPr>
          <w:rFonts w:ascii="Times New Roman Regular" w:hAnsi="Times New Roman Regular" w:cs="Times New Roman Regular" w:hint="eastAsia"/>
          <w:color w:val="000000"/>
        </w:rPr>
        <w:t>乙方应分阶段及时向甲方提供服务报告、管理及技术文件和资料，以满足系统软、硬件设备安装、管理及运行维护、项目管理等需要。</w:t>
      </w:r>
    </w:p>
    <w:p>
      <w:pPr>
        <w:widowControl/>
        <w:tabs>
          <w:tab w:val="left" w:pos="426"/>
        </w:tabs>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项目最终验收前，乙方应将项目所有相关文件和资料归档整理并形成正式档案，提供给甲方。文档应以纸质文件和电子资料（光盘）的形式提供。</w:t>
      </w:r>
      <w:r>
        <w:rPr>
          <w:rFonts w:ascii="Times New Roman Regular" w:hAnsi="Times New Roman Regular" w:cs="Times New Roman Regular" w:hint="eastAsia"/>
        </w:rPr>
        <w:t>包括但不限于项目实施方案、软件需求规格说明书、技术设计方案、</w:t>
      </w:r>
      <w:r>
        <w:rPr>
          <w:rFonts w:ascii="Times New Roman Regular" w:hAnsi="Times New Roman Regular" w:cs="Times New Roman Regular" w:hint="eastAsia"/>
          <w:color w:val="000000"/>
        </w:rPr>
        <w:t>测试方案、</w:t>
      </w:r>
      <w:r>
        <w:rPr>
          <w:rFonts w:ascii="Times New Roman Regular" w:hAnsi="Times New Roman Regular" w:cs="Times New Roman Regular" w:hint="eastAsia"/>
        </w:rPr>
        <w:t>系统测试报告、安全测试报告、用户操作手册、部署手册、安全运行维护说明、试运行报告等，具体以甲方要求为准；</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3.5 </w:t>
      </w:r>
      <w:r>
        <w:rPr>
          <w:rFonts w:ascii="Times New Roman Regular" w:hAnsi="Times New Roman Regular" w:cs="Times New Roman Regular" w:hint="eastAsia"/>
          <w:color w:val="000000"/>
        </w:rPr>
        <w:t>乙方应为甲方提供培训、集中工作和会议保障、项目推动等服务，同时协助相关建设成果推广应用，不增加额外费用。</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3.6</w:t>
      </w:r>
      <w:r>
        <w:rPr>
          <w:rFonts w:ascii="Times New Roman Regular" w:hAnsi="Times New Roman Regular" w:cs="Times New Roman Regular" w:hint="eastAsia"/>
          <w:color w:val="000000"/>
        </w:rPr>
        <w:t>乙方应加强项目风险分析及控制，对项目的风险要有详细的分析，并有可靠的控制手段和措施</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并及时向甲方汇报。</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3.7</w:t>
      </w:r>
      <w:r>
        <w:rPr>
          <w:rFonts w:ascii="Times New Roman Regular" w:hAnsi="Times New Roman Regular" w:cs="Times New Roman Regular" w:hint="eastAsia"/>
          <w:color w:val="000000"/>
        </w:rPr>
        <w:t>在安装和调试本项目软件系统及提供其他服务过程中，由于乙方人员的过错、过失造成的设备损坏、损失、人身安全事故，其责任由乙方承担。</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3.8</w:t>
      </w:r>
      <w:r>
        <w:rPr>
          <w:rFonts w:ascii="Times New Roman Regular" w:hAnsi="Times New Roman Regular" w:cs="Times New Roman Regular" w:hint="eastAsia"/>
          <w:color w:val="000000"/>
        </w:rPr>
        <w:t>乙方应指定</w:t>
      </w:r>
      <w:r>
        <w:rPr>
          <w:rFonts w:ascii="Times New Roman Regular" w:hAnsi="Times New Roman Regular" w:cs="Times New Roman Regular"/>
          <w:color w:val="000000"/>
          <w:u w:val="single"/>
        </w:rPr>
        <w:t>_____________</w:t>
      </w:r>
      <w:r>
        <w:rPr>
          <w:rFonts w:ascii="Times New Roman Regular" w:hAnsi="Times New Roman Regular" w:cs="Times New Roman Regular" w:hint="eastAsia"/>
          <w:color w:val="000000"/>
        </w:rPr>
        <w:t>（联系电话：</w:t>
      </w:r>
      <w:r>
        <w:rPr>
          <w:rFonts w:ascii="Times New Roman Regular" w:hAnsi="Times New Roman Regular" w:cs="Times New Roman Regular"/>
          <w:color w:val="000000"/>
          <w:u w:val="single"/>
        </w:rPr>
        <w:t>_____________</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为项目经理，</w:t>
      </w:r>
      <w:r>
        <w:rPr>
          <w:rFonts w:ascii="Times New Roman Regular" w:hAnsi="Times New Roman Regular" w:cs="Times New Roman Regular"/>
          <w:color w:val="000000"/>
          <w:u w:val="single"/>
        </w:rPr>
        <w:t>_____________</w:t>
      </w:r>
      <w:r>
        <w:rPr>
          <w:rFonts w:ascii="Times New Roman Regular" w:hAnsi="Times New Roman Regular" w:cs="Times New Roman Regular" w:hint="eastAsia"/>
          <w:color w:val="000000"/>
        </w:rPr>
        <w:t>（联系电话：</w:t>
      </w:r>
      <w:r>
        <w:rPr>
          <w:rFonts w:ascii="Times New Roman Regular" w:hAnsi="Times New Roman Regular" w:cs="Times New Roman Regular"/>
          <w:color w:val="000000"/>
          <w:u w:val="single"/>
        </w:rPr>
        <w:t>_____________</w:t>
      </w:r>
      <w:r>
        <w:rPr>
          <w:rFonts w:ascii="Times New Roman Regular" w:hAnsi="Times New Roman Regular" w:cs="Times New Roman Regular" w:hint="eastAsia"/>
          <w:color w:val="000000"/>
        </w:rPr>
        <w:t>）为项目技术负责人，</w:t>
      </w:r>
      <w:r>
        <w:rPr>
          <w:rFonts w:ascii="Times New Roman Regular" w:hAnsi="Times New Roman Regular" w:cs="Times New Roman Regular"/>
          <w:color w:val="000000"/>
        </w:rPr>
        <w:t>运维</w:t>
      </w:r>
      <w:r>
        <w:rPr>
          <w:rFonts w:ascii="Times New Roman Regular" w:hAnsi="Times New Roman Regular" w:cs="Times New Roman Regular" w:hint="eastAsia"/>
          <w:color w:val="000000"/>
        </w:rPr>
        <w:t>期内为甲方提供运行维护服务，如出现故障需在</w:t>
      </w:r>
      <w:r>
        <w:rPr>
          <w:rFonts w:ascii="Times New Roman Regular" w:hAnsi="Times New Roman Regular" w:cs="Times New Roman Regular"/>
          <w:color w:val="000000"/>
        </w:rPr>
        <w:t>0.5</w:t>
      </w:r>
      <w:r>
        <w:rPr>
          <w:rFonts w:ascii="Times New Roman Regular" w:hAnsi="Times New Roman Regular" w:cs="Times New Roman Regular" w:hint="eastAsia"/>
          <w:color w:val="000000"/>
        </w:rPr>
        <w:t>小时内响应，</w:t>
      </w:r>
      <w:r>
        <w:rPr>
          <w:rFonts w:ascii="Times New Roman Regular" w:hAnsi="Times New Roman Regular" w:cs="Times New Roman Regular"/>
          <w:color w:val="000000"/>
        </w:rPr>
        <w:t>2</w:t>
      </w:r>
      <w:r>
        <w:rPr>
          <w:rFonts w:ascii="Times New Roman Regular" w:hAnsi="Times New Roman Regular" w:cs="Times New Roman Regular" w:hint="eastAsia"/>
          <w:color w:val="000000"/>
        </w:rPr>
        <w:t>小时内到场，</w:t>
      </w:r>
      <w:r>
        <w:rPr>
          <w:rFonts w:ascii="Times New Roman Regular" w:hAnsi="Times New Roman Regular" w:cs="Times New Roman Regular"/>
          <w:color w:val="000000"/>
        </w:rPr>
        <w:t>1</w:t>
      </w:r>
      <w:r>
        <w:rPr>
          <w:rFonts w:ascii="Times New Roman Regular" w:hAnsi="Times New Roman Regular" w:cs="Times New Roman Regular" w:hint="eastAsia"/>
          <w:color w:val="000000"/>
        </w:rPr>
        <w:t>天内解决相关故障问题。乙方承担开展运行维护服务所产生的相应费用。</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3.9</w:t>
      </w:r>
      <w:r>
        <w:rPr>
          <w:rFonts w:ascii="Times New Roman Regular" w:hAnsi="Times New Roman Regular" w:cs="Times New Roman Regular" w:hint="eastAsia"/>
          <w:color w:val="000000"/>
        </w:rPr>
        <w:t>如果乙方有合理佐证材料证明项目经理、项目技术负责人、核心技术人员不能履行合同约定的职责，乙方需提前</w:t>
      </w:r>
      <w:r>
        <w:rPr>
          <w:rFonts w:ascii="Times New Roman Regular" w:hAnsi="Times New Roman Regular" w:cs="Times New Roman Regular"/>
          <w:color w:val="000000"/>
        </w:rPr>
        <w:t>15</w:t>
      </w:r>
      <w:r>
        <w:rPr>
          <w:rFonts w:ascii="Times New Roman Regular" w:hAnsi="Times New Roman Regular" w:cs="Times New Roman Regular" w:hint="eastAsia"/>
          <w:color w:val="000000"/>
        </w:rPr>
        <w:t>个工作日以书面形式通知甲方，甲方有权要求乙方限期更换相同资历或者更高资历的项目经理、项目技术负责人、核心技术人员，未经甲方同意，乙方不得擅自更换。未经甲方同意，乙方不得擅自更换项目经理、项目技术负责人、核心技术人员（疾病、意外事件原因除外）。如果甲方认为项目经理、项目技术负责人、核心技术人员不能履行合同约定的职责，甲方有权要求乙方限期更换相同资历或者更高资历的项目经理、项目技术负责人、核心技术人员。</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3.10</w:t>
      </w:r>
      <w:r>
        <w:rPr>
          <w:rFonts w:ascii="Times New Roman Regular" w:hAnsi="Times New Roman Regular" w:cs="Times New Roman Regular" w:hint="eastAsia"/>
          <w:color w:val="000000"/>
        </w:rPr>
        <w:t>乙方服务外包人员离开本项目，应完成工作交接并经甲方审核同意后，人员方可离开，离开人员不得以任何方式获取甲方及项目的一切资料。</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3.11 </w:t>
      </w:r>
      <w:r>
        <w:rPr>
          <w:rFonts w:ascii="Times New Roman Regular" w:hAnsi="Times New Roman Regular" w:cs="Times New Roman Regular" w:hint="eastAsia"/>
          <w:color w:val="000000"/>
        </w:rPr>
        <w:t>乙方应在</w:t>
      </w:r>
      <w:r>
        <w:rPr>
          <w:rFonts w:ascii="Times New Roman Regular" w:hAnsi="Times New Roman Regular" w:cs="Times New Roman Regular"/>
          <w:color w:val="000000"/>
        </w:rPr>
        <w:t>运维</w:t>
      </w:r>
      <w:r>
        <w:rPr>
          <w:rFonts w:ascii="Times New Roman Regular" w:hAnsi="Times New Roman Regular" w:cs="Times New Roman Regular" w:hint="eastAsia"/>
          <w:color w:val="000000"/>
        </w:rPr>
        <w:t>期内及时修复漏洞。</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3.12 </w:t>
      </w:r>
      <w:r>
        <w:rPr>
          <w:rFonts w:ascii="Times New Roman Regular" w:hAnsi="Times New Roman Regular" w:cs="Times New Roman Regular" w:hint="eastAsia"/>
          <w:color w:val="000000"/>
        </w:rPr>
        <w:t>乙方应在合同期内在甲方指定的办公场所进行办公，自行解决办公设备和工具。如甲方无特定要求，由乙方自行解决开展工作的办公场所、办公设备和工具等。</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3.13</w:t>
      </w:r>
      <w:r>
        <w:rPr>
          <w:rFonts w:ascii="Times New Roman Regular" w:hAnsi="Times New Roman Regular" w:cs="Times New Roman Regular" w:hint="eastAsia"/>
          <w:color w:val="000000"/>
        </w:rPr>
        <w:t>乙方在履行合同义务的情形下有权要求甲方按本合同的约定及时支付合同价款。</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3.14</w:t>
      </w:r>
      <w:r>
        <w:rPr>
          <w:rFonts w:ascii="Times New Roman Regular" w:hAnsi="Times New Roman Regular" w:cs="Times New Roman Regular" w:hint="eastAsia"/>
          <w:color w:val="000000"/>
        </w:rPr>
        <w:t>乙方须协助完成深圳海关信息安全等级保护测评与验收工作，保证根据测评结果承担相关整改工作，直至通过信息安全等级保护验收。</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szCs w:val="21"/>
        </w:rPr>
      </w:pPr>
      <w:r>
        <w:rPr>
          <w:rFonts w:ascii="Times New Roman Regular" w:hAnsi="Times New Roman Regular" w:cs="Times New Roman Regular"/>
          <w:color w:val="000000"/>
        </w:rPr>
        <w:t>3.15</w:t>
      </w:r>
      <w:r>
        <w:rPr>
          <w:rFonts w:ascii="Times New Roman Regular" w:hAnsi="Times New Roman Regular" w:cs="Times New Roman Regular" w:hint="eastAsia"/>
          <w:szCs w:val="21"/>
        </w:rPr>
        <w:t>未经甲方同意，乙方不得将本合同项目部分或全部实施服务工作转让第三人承担。</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3.16</w:t>
      </w:r>
      <w:r>
        <w:rPr>
          <w:rFonts w:ascii="Times New Roman Regular" w:hAnsi="Times New Roman Regular" w:cs="Times New Roman Regular" w:hint="eastAsia"/>
          <w:color w:val="000000"/>
        </w:rPr>
        <w:t>乙方履行合约结束后，乙方服务外包人员应当与甲方签订离岗承诺书，保护数据分中心的技术信息和商业利益。</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四、付款</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4.1 </w:t>
      </w:r>
      <w:r>
        <w:rPr>
          <w:rFonts w:ascii="Times New Roman Regular" w:hAnsi="Times New Roman Regular" w:cs="Times New Roman Regular" w:hint="eastAsia"/>
          <w:color w:val="000000"/>
        </w:rPr>
        <w:t>合同暂定总价款（人民币大写）：</w:t>
      </w:r>
      <w:r>
        <w:rPr>
          <w:rFonts w:ascii="Times New Roman Regular" w:hAnsi="Times New Roman Regular" w:cs="Times New Roman Regular"/>
          <w:color w:val="000000"/>
        </w:rPr>
        <w:t>XXXXXX</w:t>
      </w:r>
      <w:r>
        <w:rPr>
          <w:rFonts w:ascii="Times New Roman Regular" w:hAnsi="Times New Roman Regular" w:cs="Times New Roman Regular" w:hint="eastAsia"/>
          <w:color w:val="000000"/>
        </w:rPr>
        <w:t>元整，小写：￥</w:t>
      </w:r>
      <w:r>
        <w:rPr>
          <w:rFonts w:ascii="Times New Roman Regular" w:hAnsi="Times New Roman Regular" w:cs="Times New Roman Regular"/>
          <w:color w:val="000000"/>
        </w:rPr>
        <w:t>XXXX.XX</w:t>
      </w:r>
      <w:r>
        <w:rPr>
          <w:rFonts w:ascii="Times New Roman Regular" w:hAnsi="Times New Roman Regular" w:cs="Times New Roman Regular" w:hint="eastAsia"/>
          <w:color w:val="000000"/>
        </w:rPr>
        <w:t>元</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合同暂定总价款为甲方购买项目全部服务内容的总价。除本合同另有约定外，甲方不承担除合同价款之外与本合同有关的其他任何费用。甲方有权单方调减开发模块，最终结算价格以甲方确定的实际开发模块对应的价格为准。</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4.2 </w:t>
      </w:r>
      <w:r>
        <w:rPr>
          <w:rFonts w:ascii="Times New Roman Regular" w:hAnsi="Times New Roman Regular" w:cs="Times New Roman Regular" w:hint="eastAsia"/>
          <w:color w:val="000000"/>
        </w:rPr>
        <w:t>具体支付方式和时间</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4.2.1</w:t>
      </w:r>
      <w:r>
        <w:rPr>
          <w:rFonts w:ascii="Times New Roman Regular" w:hAnsi="Times New Roman Regular" w:cs="Times New Roman Regular" w:hint="eastAsia"/>
          <w:color w:val="000000"/>
        </w:rPr>
        <w:t>本合同以人民币付款。</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4.2.2</w:t>
      </w:r>
      <w:r>
        <w:rPr>
          <w:rFonts w:ascii="Times New Roman Regular" w:hAnsi="Times New Roman Regular" w:cs="Times New Roman Regular" w:hint="eastAsia"/>
          <w:color w:val="000000"/>
        </w:rPr>
        <w:t>付款办法：</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w:t>
      </w:r>
      <w:r>
        <w:rPr>
          <w:rFonts w:ascii="Times New Roman Regular" w:hAnsi="Times New Roman Regular" w:cs="Times New Roman Regular" w:hint="eastAsia"/>
          <w:color w:val="000000"/>
        </w:rPr>
        <w:t>）合同签订后，乙方</w:t>
      </w:r>
      <w:r>
        <w:rPr>
          <w:rFonts w:ascii="Times New Roman Regular" w:hAnsi="Times New Roman Regular" w:cs="Times New Roman Regular" w:hint="eastAsia"/>
        </w:rPr>
        <w:t>完成项目实施方案、软件需求规格说明书、技术设计方案、测试方案、团队人员明细等文档，并经甲方审核通过，乙方</w:t>
      </w:r>
      <w:r>
        <w:rPr>
          <w:rFonts w:ascii="Times New Roman Regular" w:hAnsi="Times New Roman Regular" w:cs="Times New Roman Regular" w:hint="eastAsia"/>
          <w:color w:val="000000"/>
        </w:rPr>
        <w:t>提交下列单据之日起</w:t>
      </w:r>
      <w:r>
        <w:rPr>
          <w:rFonts w:ascii="Times New Roman Regular" w:hAnsi="Times New Roman Regular" w:cs="Times New Roman Regular"/>
          <w:color w:val="000000"/>
        </w:rPr>
        <w:t>10</w:t>
      </w:r>
      <w:r>
        <w:rPr>
          <w:rFonts w:ascii="Times New Roman Regular" w:hAnsi="Times New Roman Regular" w:cs="Times New Roman Regular" w:hint="eastAsia"/>
          <w:color w:val="000000"/>
        </w:rPr>
        <w:t>个工作日内，甲方向乙方支付合同总价</w:t>
      </w:r>
      <w:r>
        <w:rPr>
          <w:rFonts w:ascii="Times New Roman Regular" w:hAnsi="Times New Roman Regular" w:cs="Times New Roman Regular"/>
          <w:color w:val="000000"/>
        </w:rPr>
        <w:t>30%</w:t>
      </w:r>
      <w:r>
        <w:rPr>
          <w:rFonts w:ascii="Times New Roman Regular" w:hAnsi="Times New Roman Regular" w:cs="Times New Roman Regular" w:hint="eastAsia"/>
          <w:color w:val="000000"/>
        </w:rPr>
        <w:t>合同款。</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乙方提交单据：付款申请函（盖章原件）；相应金额发票（原件）；合同正文（复印件并加盖公章）；中标通知书（复印件）。</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2</w:t>
      </w:r>
      <w:r>
        <w:rPr>
          <w:rFonts w:ascii="Times New Roman Regular" w:hAnsi="Times New Roman Regular" w:cs="Times New Roman Regular" w:hint="eastAsia"/>
          <w:color w:val="000000"/>
        </w:rPr>
        <w:t>）项目上线运行后，乙方完成</w:t>
      </w:r>
      <w:r>
        <w:rPr>
          <w:rFonts w:ascii="Times New Roman Regular" w:hAnsi="Times New Roman Regular" w:cs="Times New Roman Regular" w:hint="eastAsia"/>
        </w:rPr>
        <w:t>系统测试报告、用户操作手册、部署手册、安全运行维护说明等文档，并经甲方审核通过，乙方</w:t>
      </w:r>
      <w:r>
        <w:rPr>
          <w:rFonts w:ascii="Times New Roman Regular" w:hAnsi="Times New Roman Regular" w:cs="Times New Roman Regular" w:hint="eastAsia"/>
          <w:color w:val="000000"/>
        </w:rPr>
        <w:t>提交下列单据之日起</w:t>
      </w:r>
      <w:r>
        <w:rPr>
          <w:rFonts w:ascii="Times New Roman Regular" w:hAnsi="Times New Roman Regular" w:cs="Times New Roman Regular"/>
          <w:color w:val="000000"/>
        </w:rPr>
        <w:t>10</w:t>
      </w:r>
      <w:r>
        <w:rPr>
          <w:rFonts w:ascii="Times New Roman Regular" w:hAnsi="Times New Roman Regular" w:cs="Times New Roman Regular" w:hint="eastAsia"/>
          <w:color w:val="000000"/>
        </w:rPr>
        <w:t>个工作日内，甲方向乙方支付合同总价</w:t>
      </w:r>
      <w:r>
        <w:rPr>
          <w:rFonts w:ascii="Times New Roman Regular" w:hAnsi="Times New Roman Regular" w:cs="Times New Roman Regular"/>
          <w:color w:val="000000"/>
        </w:rPr>
        <w:t>40%</w:t>
      </w:r>
      <w:r>
        <w:rPr>
          <w:rFonts w:ascii="Times New Roman Regular" w:hAnsi="Times New Roman Regular" w:cs="Times New Roman Regular" w:hint="eastAsia"/>
          <w:color w:val="000000"/>
        </w:rPr>
        <w:t>合同款。</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乙方提交单据：付款申请函（盖章原件）；相应金额发票（原件）；合同正文（复印件并加盖公章）。</w:t>
      </w:r>
    </w:p>
    <w:p>
      <w:pPr>
        <w:widowControl/>
        <w:numPr>
          <w:ilvl w:val="0"/>
          <w:numId w:val="4"/>
        </w:numPr>
        <w:ind w:left="0" w:firstLine="420" w:firstLineChars="200"/>
        <w:jc w:val="left"/>
        <w:rPr>
          <w:rFonts w:ascii="Times New Roman Regular" w:hAnsi="Times New Roman Regular" w:cs="Times New Roman Regular"/>
        </w:rPr>
      </w:pPr>
      <w:r>
        <w:rPr>
          <w:rFonts w:ascii="Times New Roman Regular" w:hAnsi="Times New Roman Regular" w:cs="Times New Roman Regular" w:hint="eastAsia"/>
          <w:color w:val="000000"/>
        </w:rPr>
        <w:t>乙方完成全部服务内容，乙方完成安全测试报告、</w:t>
      </w:r>
      <w:r>
        <w:rPr>
          <w:rFonts w:ascii="Times New Roman Regular" w:hAnsi="Times New Roman Regular" w:cs="Times New Roman Regular" w:hint="eastAsia"/>
        </w:rPr>
        <w:t>试运行报告等文档，并</w:t>
      </w:r>
      <w:r>
        <w:rPr>
          <w:rFonts w:ascii="Times New Roman Regular" w:hAnsi="Times New Roman Regular" w:cs="Times New Roman Regular" w:hint="eastAsia"/>
          <w:color w:val="000000"/>
        </w:rPr>
        <w:t>经甲方组织的合同验收通过，乙方提交下列单据之日起</w:t>
      </w:r>
      <w:r>
        <w:rPr>
          <w:rFonts w:ascii="Times New Roman Regular" w:hAnsi="Times New Roman Regular" w:cs="Times New Roman Regular"/>
          <w:color w:val="000000"/>
        </w:rPr>
        <w:t>10</w:t>
      </w:r>
      <w:r>
        <w:rPr>
          <w:rFonts w:ascii="Times New Roman Regular" w:hAnsi="Times New Roman Regular" w:cs="Times New Roman Regular" w:hint="eastAsia"/>
          <w:color w:val="000000"/>
        </w:rPr>
        <w:t>个工作日内，甲方向乙方支付合同总价</w:t>
      </w:r>
      <w:r>
        <w:rPr>
          <w:rFonts w:ascii="Times New Roman Regular" w:hAnsi="Times New Roman Regular" w:cs="Times New Roman Regular"/>
          <w:color w:val="000000"/>
        </w:rPr>
        <w:t>30%</w:t>
      </w:r>
      <w:r>
        <w:rPr>
          <w:rFonts w:ascii="Times New Roman Regular" w:hAnsi="Times New Roman Regular" w:cs="Times New Roman Regular" w:hint="eastAsia"/>
          <w:color w:val="000000"/>
        </w:rPr>
        <w:t>合同款。</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乙方提交单据：付款申请函（盖章原件）；相应金额发票（原件）；合同正文（复印件并加盖公章）；</w:t>
      </w:r>
      <w:r>
        <w:rPr>
          <w:rFonts w:ascii="Times New Roman Regular" w:hAnsi="Times New Roman Regular" w:cs="Times New Roman Regular" w:hint="eastAsia"/>
          <w:color w:val="000000"/>
          <w:highlight w:val="yellow"/>
        </w:rPr>
        <w:t>合同总价</w:t>
      </w:r>
      <w:r>
        <w:rPr>
          <w:rFonts w:ascii="Times New Roman Regular" w:hAnsi="Times New Roman Regular" w:cs="Times New Roman Regular"/>
          <w:color w:val="000000"/>
          <w:highlight w:val="yellow"/>
        </w:rPr>
        <w:t>10%</w:t>
      </w:r>
      <w:r>
        <w:rPr>
          <w:rFonts w:ascii="Times New Roman Regular" w:hAnsi="Times New Roman Regular" w:cs="Times New Roman Regular" w:hint="eastAsia"/>
          <w:color w:val="000000"/>
          <w:highlight w:val="yellow"/>
        </w:rPr>
        <w:t>的银行履约保函（原件），其中履约保函期限为项目验收之日起至本项目运维服务期结束之日止，若项目延误，保函期限按期顺延。</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highlight w:val="yellow"/>
        </w:rPr>
        <w:t>4</w:t>
      </w:r>
      <w:r>
        <w:rPr>
          <w:rFonts w:ascii="Times New Roman Regular" w:hAnsi="Times New Roman Regular" w:cs="Times New Roman Regular" w:hint="eastAsia"/>
          <w:color w:val="000000"/>
          <w:highlight w:val="yellow"/>
        </w:rPr>
        <w:t>）在乙方无违约情形的前提下，银行履约保函在</w:t>
      </w:r>
      <w:r>
        <w:rPr>
          <w:rFonts w:ascii="Times New Roman Regular" w:hAnsi="Times New Roman Regular" w:cs="Times New Roman Regular"/>
          <w:color w:val="000000"/>
          <w:highlight w:val="yellow"/>
        </w:rPr>
        <w:t>运维</w:t>
      </w:r>
      <w:r>
        <w:rPr>
          <w:rFonts w:ascii="Times New Roman Regular" w:hAnsi="Times New Roman Regular" w:cs="Times New Roman Regular" w:hint="eastAsia"/>
          <w:color w:val="000000"/>
          <w:highlight w:val="yellow"/>
        </w:rPr>
        <w:t>期满后</w:t>
      </w:r>
      <w:r>
        <w:rPr>
          <w:rFonts w:ascii="Times New Roman Regular" w:hAnsi="Times New Roman Regular" w:cs="Times New Roman Regular"/>
          <w:color w:val="000000"/>
          <w:highlight w:val="yellow"/>
        </w:rPr>
        <w:t>20</w:t>
      </w:r>
      <w:r>
        <w:rPr>
          <w:rFonts w:ascii="Times New Roman Regular" w:hAnsi="Times New Roman Regular" w:cs="Times New Roman Regular" w:hint="eastAsia"/>
          <w:color w:val="000000"/>
          <w:highlight w:val="yellow"/>
        </w:rPr>
        <w:t>个工作日内退还。</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4.2.3</w:t>
      </w:r>
      <w:r>
        <w:rPr>
          <w:rFonts w:ascii="Times New Roman Regular" w:hAnsi="Times New Roman Regular" w:cs="Times New Roman Regular" w:hint="eastAsia"/>
          <w:color w:val="000000"/>
        </w:rPr>
        <w:t>若出现财政资金不到位、集中支付延误、工程延期等情况，由双方协商支付。</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4.2.4</w:t>
      </w:r>
      <w:r>
        <w:rPr>
          <w:rFonts w:ascii="Times New Roman Regular" w:hAnsi="Times New Roman Regular" w:cs="Times New Roman Regular" w:hint="eastAsia"/>
          <w:color w:val="000000"/>
        </w:rPr>
        <w:t>因财政集中支付延误时间不计算在内，乙方提交付款单据迟延或缺失的，甲方有权相应顺延付款期限。</w:t>
      </w:r>
      <w:r>
        <w:rPr>
          <w:rFonts w:ascii="Times New Roman Regular" w:hAnsi="Times New Roman Regular" w:cs="Times New Roman Regular"/>
          <w:color w:val="000000"/>
        </w:rPr>
        <w:t xml:space="preserve"> </w:t>
      </w:r>
    </w:p>
    <w:p>
      <w:pPr>
        <w:pStyle w:val="4710"/>
        <w:autoSpaceDN w:val="0"/>
        <w:ind w:firstLine="420" w:firstLineChars="200"/>
        <w:jc w:val="left"/>
        <w:rPr>
          <w:rFonts w:ascii="宋体" w:cs="微软雅黑"/>
          <w:snapToGrid w:val="0"/>
          <w:kern w:val="0"/>
          <w:szCs w:val="21"/>
        </w:rPr>
      </w:pPr>
      <w:r>
        <w:rPr>
          <w:rFonts w:ascii="宋体" w:cs="微软雅黑" w:hint="eastAsia"/>
          <w:snapToGrid w:val="0"/>
          <w:kern w:val="0"/>
          <w:szCs w:val="21"/>
        </w:rPr>
        <w:t>乙方指定收款账户：</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tcBorders>
              <w:top w:val="single" w:sz="4" w:space="0" w:color="auto"/>
              <w:left w:val="single" w:sz="4" w:space="0" w:color="auto"/>
              <w:bottom w:val="single" w:sz="4" w:space="0" w:color="auto"/>
              <w:right w:val="single" w:sz="4" w:space="0" w:color="auto"/>
            </w:tcBorders>
            <w:vAlign w:val="center"/>
          </w:tcPr>
          <w:p>
            <w:pPr>
              <w:pStyle w:val="4710"/>
              <w:autoSpaceDN w:val="0"/>
              <w:jc w:val="left"/>
              <w:rPr>
                <w:rFonts w:ascii="宋体" w:cs="微软雅黑"/>
                <w:snapToGrid w:val="0"/>
                <w:kern w:val="0"/>
                <w:szCs w:val="21"/>
              </w:rPr>
            </w:pPr>
            <w:r>
              <w:rPr>
                <w:rFonts w:ascii="宋体" w:cs="微软雅黑" w:hint="eastAsia"/>
                <w:snapToGrid w:val="0"/>
                <w:kern w:val="0"/>
                <w:szCs w:val="21"/>
              </w:rPr>
              <w:t>乙方全称</w:t>
            </w:r>
          </w:p>
        </w:tc>
        <w:tc>
          <w:tcPr>
            <w:tcW w:w="6051" w:type="dxa"/>
            <w:tcBorders>
              <w:top w:val="single" w:sz="4" w:space="0" w:color="auto"/>
              <w:left w:val="single" w:sz="4" w:space="0" w:color="auto"/>
              <w:bottom w:val="single" w:sz="4" w:space="0" w:color="auto"/>
              <w:right w:val="single" w:sz="4" w:space="0" w:color="auto"/>
            </w:tcBorders>
            <w:vAlign w:val="center"/>
          </w:tcPr>
          <w:p>
            <w:pPr>
              <w:pStyle w:val="4710"/>
              <w:autoSpaceDN w:val="0"/>
              <w:jc w:val="left"/>
              <w:rPr>
                <w:rFonts w:ascii="宋体" w:cs="微软雅黑"/>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1804" w:type="dxa"/>
            <w:tcBorders>
              <w:top w:val="single" w:sz="4" w:space="0" w:color="auto"/>
              <w:left w:val="single" w:sz="4" w:space="0" w:color="auto"/>
              <w:bottom w:val="single" w:sz="4" w:space="0" w:color="auto"/>
              <w:right w:val="single" w:sz="4" w:space="0" w:color="auto"/>
            </w:tcBorders>
            <w:vAlign w:val="center"/>
          </w:tcPr>
          <w:p>
            <w:pPr>
              <w:pStyle w:val="4710"/>
              <w:autoSpaceDN w:val="0"/>
              <w:jc w:val="left"/>
              <w:rPr>
                <w:rFonts w:ascii="宋体" w:cs="微软雅黑"/>
                <w:snapToGrid w:val="0"/>
                <w:kern w:val="0"/>
                <w:szCs w:val="21"/>
              </w:rPr>
            </w:pPr>
            <w:r>
              <w:rPr>
                <w:rFonts w:ascii="宋体" w:cs="微软雅黑" w:hint="eastAsia"/>
                <w:snapToGrid w:val="0"/>
                <w:kern w:val="0"/>
                <w:szCs w:val="21"/>
              </w:rPr>
              <w:t>开户银行</w:t>
            </w:r>
          </w:p>
        </w:tc>
        <w:tc>
          <w:tcPr>
            <w:tcW w:w="6051" w:type="dxa"/>
            <w:tcBorders>
              <w:top w:val="single" w:sz="4" w:space="0" w:color="auto"/>
              <w:left w:val="single" w:sz="4" w:space="0" w:color="auto"/>
              <w:bottom w:val="single" w:sz="4" w:space="0" w:color="auto"/>
              <w:right w:val="single" w:sz="4" w:space="0" w:color="auto"/>
            </w:tcBorders>
            <w:vAlign w:val="center"/>
          </w:tcPr>
          <w:p>
            <w:pPr>
              <w:pStyle w:val="4710"/>
              <w:autoSpaceDN w:val="0"/>
              <w:jc w:val="left"/>
              <w:rPr>
                <w:rFonts w:ascii="宋体" w:cs="微软雅黑"/>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1804" w:type="dxa"/>
            <w:tcBorders>
              <w:top w:val="single" w:sz="4" w:space="0" w:color="auto"/>
              <w:left w:val="single" w:sz="4" w:space="0" w:color="auto"/>
              <w:bottom w:val="single" w:sz="4" w:space="0" w:color="auto"/>
              <w:right w:val="single" w:sz="4" w:space="0" w:color="auto"/>
            </w:tcBorders>
            <w:vAlign w:val="center"/>
          </w:tcPr>
          <w:p>
            <w:pPr>
              <w:pStyle w:val="4710"/>
              <w:autoSpaceDN w:val="0"/>
              <w:jc w:val="left"/>
              <w:rPr>
                <w:rFonts w:ascii="宋体" w:cs="微软雅黑"/>
                <w:snapToGrid w:val="0"/>
                <w:kern w:val="0"/>
                <w:szCs w:val="21"/>
              </w:rPr>
            </w:pPr>
            <w:r>
              <w:rPr>
                <w:rFonts w:ascii="宋体" w:cs="微软雅黑" w:hint="eastAsia"/>
                <w:snapToGrid w:val="0"/>
                <w:kern w:val="0"/>
                <w:szCs w:val="21"/>
              </w:rPr>
              <w:t>账号</w:t>
            </w:r>
          </w:p>
        </w:tc>
        <w:tc>
          <w:tcPr>
            <w:tcW w:w="6051" w:type="dxa"/>
            <w:tcBorders>
              <w:top w:val="single" w:sz="4" w:space="0" w:color="auto"/>
              <w:left w:val="single" w:sz="4" w:space="0" w:color="auto"/>
              <w:bottom w:val="single" w:sz="4" w:space="0" w:color="auto"/>
              <w:right w:val="single" w:sz="4" w:space="0" w:color="auto"/>
            </w:tcBorders>
            <w:vAlign w:val="center"/>
          </w:tcPr>
          <w:p>
            <w:pPr>
              <w:pStyle w:val="4710"/>
              <w:autoSpaceDN w:val="0"/>
              <w:jc w:val="left"/>
              <w:rPr>
                <w:rFonts w:ascii="宋体" w:cs="微软雅黑"/>
                <w:snapToGrid w:val="0"/>
                <w:kern w:val="0"/>
                <w:szCs w:val="21"/>
              </w:rPr>
            </w:pPr>
          </w:p>
        </w:tc>
      </w:tr>
    </w:tbl>
    <w:p>
      <w:pPr>
        <w:widowControl/>
        <w:spacing w:line="360" w:lineRule="auto"/>
        <w:ind w:firstLine="420" w:firstLineChars="200"/>
        <w:jc w:val="left"/>
        <w:rPr>
          <w:rFonts w:ascii="Times New Roman Regular" w:hAnsi="Times New Roman Regular" w:cs="Times New Roman Regular"/>
          <w:color w:val="000000"/>
        </w:rPr>
      </w:pP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五、验收</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5.1 </w:t>
      </w:r>
      <w:r>
        <w:rPr>
          <w:rFonts w:ascii="Times New Roman Regular" w:hAnsi="Times New Roman Regular" w:cs="Times New Roman Regular" w:hint="eastAsia"/>
          <w:color w:val="000000"/>
        </w:rPr>
        <w:t>验收标准及方式</w:t>
      </w:r>
      <w:r>
        <w:rPr>
          <w:rFonts w:ascii="Times New Roman Regular" w:hAnsi="Times New Roman Regular" w:cs="Times New Roman Regular" w:hint="eastAsia"/>
          <w:color w:val="000000"/>
          <w:u w:val="single"/>
        </w:rPr>
        <w:t>：具体验收由甲方组织相关业务技术专家进行评审。</w:t>
      </w:r>
    </w:p>
    <w:p>
      <w:pPr>
        <w:widowControl/>
        <w:spacing w:line="360" w:lineRule="auto"/>
        <w:ind w:firstLine="420" w:firstLineChars="200"/>
        <w:jc w:val="left"/>
        <w:rPr>
          <w:rFonts w:ascii="Times New Roman Regular" w:hAnsi="Times New Roman Regular" w:cs="Times New Roman Regular"/>
          <w:color w:val="000000"/>
          <w:u w:val="single"/>
        </w:rPr>
      </w:pPr>
      <w:r>
        <w:rPr>
          <w:rFonts w:ascii="Times New Roman Regular" w:hAnsi="Times New Roman Regular" w:cs="Times New Roman Regular"/>
          <w:color w:val="000000"/>
          <w:u w:val="single"/>
        </w:rPr>
        <w:t xml:space="preserve">5.2 </w:t>
      </w:r>
      <w:r>
        <w:rPr>
          <w:rFonts w:ascii="Times New Roman Regular" w:hAnsi="Times New Roman Regular" w:cs="Times New Roman Regular" w:hint="eastAsia"/>
          <w:color w:val="000000"/>
          <w:u w:val="single"/>
        </w:rPr>
        <w:t>在验收阶段，乙方应严格遵循甲方的有关验收流程，提交完整的成果物，完成项目整改等工作；乙方应协助甲方完成相关验收准备工作。</w:t>
      </w:r>
    </w:p>
    <w:p>
      <w:pPr>
        <w:widowControl/>
        <w:spacing w:line="360" w:lineRule="auto"/>
        <w:ind w:firstLine="420" w:firstLineChars="200"/>
        <w:jc w:val="left"/>
        <w:rPr>
          <w:rFonts w:ascii="Times New Roman Regular" w:hAnsi="Times New Roman Regular" w:cs="Times New Roman Regular"/>
          <w:color w:val="000000"/>
          <w:u w:val="single"/>
        </w:rPr>
      </w:pPr>
      <w:r>
        <w:rPr>
          <w:rFonts w:ascii="Times New Roman Regular" w:hAnsi="Times New Roman Regular" w:cs="Times New Roman Regular"/>
          <w:color w:val="000000"/>
          <w:u w:val="single"/>
        </w:rPr>
        <w:t>5.3</w:t>
      </w:r>
      <w:r>
        <w:rPr>
          <w:rFonts w:ascii="Times New Roman Regular" w:hAnsi="Times New Roman Regular" w:cs="Times New Roman Regular" w:hint="eastAsia"/>
          <w:color w:val="000000"/>
          <w:u w:val="single"/>
        </w:rPr>
        <w:t>各环节流程、文档、成果满足甲方相关管理规范、招标文件、合同要求，试运行时功能、性能满足国家相关标准（包括国产化技术标准）、合同和实施方案的要求。</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六、售后服务期</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6.1 </w:t>
      </w:r>
      <w:r>
        <w:rPr>
          <w:rFonts w:ascii="Times New Roman Regular" w:hAnsi="Times New Roman Regular" w:cs="Times New Roman Regular" w:hint="eastAsia"/>
          <w:color w:val="000000"/>
        </w:rPr>
        <w:t>自本合同验收合格之日起，提供</w:t>
      </w:r>
      <w:r>
        <w:rPr>
          <w:rFonts w:ascii="Times New Roman Regular" w:hAnsi="Times New Roman Regular" w:cs="Times New Roman Regular"/>
          <w:color w:val="000000"/>
        </w:rPr>
        <w:t>1</w:t>
      </w:r>
      <w:r>
        <w:rPr>
          <w:rFonts w:ascii="Times New Roman Regular" w:hAnsi="Times New Roman Regular" w:cs="Times New Roman Regular" w:hint="eastAsia"/>
          <w:color w:val="000000"/>
        </w:rPr>
        <w:t>年</w:t>
      </w:r>
      <w:r>
        <w:rPr>
          <w:rFonts w:ascii="Times New Roman Regular" w:hAnsi="Times New Roman Regular" w:cs="Times New Roman Regular"/>
          <w:color w:val="000000"/>
        </w:rPr>
        <w:t>7x24</w:t>
      </w:r>
      <w:r>
        <w:rPr>
          <w:rFonts w:ascii="Times New Roman Regular" w:hAnsi="Times New Roman Regular" w:cs="Times New Roman Regular" w:hint="eastAsia"/>
          <w:color w:val="000000"/>
        </w:rPr>
        <w:t>小时技术服务支持响应。系统维保需在</w:t>
      </w:r>
      <w:r>
        <w:rPr>
          <w:rFonts w:ascii="Times New Roman Regular" w:hAnsi="Times New Roman Regular" w:cs="Times New Roman Regular"/>
          <w:color w:val="000000"/>
        </w:rPr>
        <w:t>0.5</w:t>
      </w:r>
      <w:r>
        <w:rPr>
          <w:rFonts w:ascii="Times New Roman Regular" w:hAnsi="Times New Roman Regular" w:cs="Times New Roman Regular" w:hint="eastAsia"/>
          <w:color w:val="000000"/>
        </w:rPr>
        <w:t>小时内响应，</w:t>
      </w:r>
      <w:r>
        <w:rPr>
          <w:rFonts w:ascii="Times New Roman Regular" w:hAnsi="Times New Roman Regular" w:cs="Times New Roman Regular"/>
          <w:color w:val="000000"/>
        </w:rPr>
        <w:t>1</w:t>
      </w:r>
      <w:r>
        <w:rPr>
          <w:rFonts w:ascii="Times New Roman Regular" w:hAnsi="Times New Roman Regular" w:cs="Times New Roman Regular" w:hint="eastAsia"/>
          <w:color w:val="000000"/>
        </w:rPr>
        <w:t>天内解决相关故障问题。</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6.2</w:t>
      </w:r>
      <w:r>
        <w:rPr>
          <w:rFonts w:ascii="Times New Roman Regular" w:hAnsi="Times New Roman Regular" w:cs="Times New Roman Regular" w:hint="eastAsia"/>
          <w:color w:val="000000"/>
        </w:rPr>
        <w:t>乙方应为甲方提供培训、集中工作和会议保障、项目推动等服务，同时相关建设成果在海关范围内应用，不增加额外费用。</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6.3</w:t>
      </w:r>
      <w:r>
        <w:rPr>
          <w:rFonts w:ascii="Times New Roman Regular" w:hAnsi="Times New Roman Regular" w:cs="Times New Roman Regular" w:hint="eastAsia"/>
          <w:color w:val="000000"/>
        </w:rPr>
        <w:t>乙方应加强项目风险分析及控制，对项目的风险要有详细的分析，并有可靠的控制手段和措施并及时向甲方汇报。</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七、保密</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乙方需与甲方签订保密协议，约定双方保密权利与义务；乙方服务人员须签订《保密承诺书》，承诺遵守保密协议，接受保密管理。乙方及服务人员在双方约定的保密期限内如违反协议中的保密义务，乙方和服务人员承担相应违约责任。</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八、合同修改</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8.1</w:t>
      </w:r>
      <w:r>
        <w:rPr>
          <w:rFonts w:ascii="Times New Roman Regular" w:hAnsi="Times New Roman Regular" w:cs="Times New Roman Regular" w:hint="eastAsia"/>
          <w:color w:val="000000"/>
        </w:rPr>
        <w:t>除合同条款第十条的规定外，任何对合同的变更、修改和补充，只有在甲乙双方授权代表签署书面文件并盖章后方才有效，该书面文件作为附件成为本合同不可分割的组成部分，具有同等法律效力。</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九、违约责任</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9.1</w:t>
      </w:r>
      <w:r>
        <w:rPr>
          <w:rFonts w:ascii="Times New Roman Regular" w:hAnsi="Times New Roman Regular" w:cs="Times New Roman Regular" w:hint="eastAsia"/>
          <w:color w:val="000000"/>
        </w:rPr>
        <w:t>本合同生效后，任何一方不履行或不完全履行本合同约定义务的，即构成违约，另一方有权要求违约方赔偿守约方全部损失。</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9.2</w:t>
      </w:r>
      <w:r>
        <w:rPr>
          <w:rFonts w:ascii="Times New Roman Regular" w:hAnsi="Times New Roman Regular" w:cs="Times New Roman Regular" w:hint="eastAsia"/>
          <w:color w:val="000000"/>
        </w:rPr>
        <w:t>由于乙方的过错造成其提供的服务不能满足合同中规定的要求，则甲方有权视情况要求乙方支付违约金，违约金的金额为不满足合同要求部分的服务费金额，并赔偿由此给甲方带来的相关全部损失。如乙方未能按合同约定项目实施计划时间节点时限内完成服务或延期完成项目，每逾期一天，乙方应按合同金额每</w:t>
      </w:r>
      <w:r>
        <w:rPr>
          <w:rFonts w:ascii="Times New Roman Regular" w:hAnsi="Times New Roman Regular" w:cs="Times New Roman Regular" w:hint="eastAsia"/>
          <w:color w:val="FF0000"/>
        </w:rPr>
        <w:t>天</w:t>
      </w:r>
      <w:r>
        <w:rPr>
          <w:rFonts w:ascii="Times New Roman Regular" w:hAnsi="Times New Roman Regular" w:cs="Times New Roman Regular"/>
          <w:color w:val="000000"/>
        </w:rPr>
        <w:t>2</w:t>
      </w:r>
      <w:r>
        <w:rPr>
          <w:rFonts w:ascii="宋体" w:eastAsia="宋体" w:cs="宋体" w:hint="eastAsia"/>
          <w:color w:val="000000"/>
        </w:rPr>
        <w:t>‰</w:t>
      </w:r>
      <w:r>
        <w:rPr>
          <w:rFonts w:ascii="Times New Roman Regular" w:hAnsi="Times New Roman Regular" w:cs="Times New Roman Regular"/>
          <w:color w:val="FF0000"/>
        </w:rPr>
        <w:t xml:space="preserve"> </w:t>
      </w:r>
      <w:r>
        <w:rPr>
          <w:rFonts w:ascii="Times New Roman Regular" w:hAnsi="Times New Roman Regular" w:cs="Times New Roman Regular" w:hint="eastAsia"/>
          <w:color w:val="000000"/>
        </w:rPr>
        <w:t>的比例向甲方支付违约金。若逾期超过【</w:t>
      </w:r>
      <w:r>
        <w:rPr>
          <w:rFonts w:ascii="Times New Roman Regular" w:hAnsi="Times New Roman Regular" w:cs="Times New Roman Regular"/>
          <w:color w:val="000000"/>
        </w:rPr>
        <w:t xml:space="preserve"> 90 </w:t>
      </w:r>
      <w:r>
        <w:rPr>
          <w:rFonts w:ascii="Times New Roman Regular" w:hAnsi="Times New Roman Regular" w:cs="Times New Roman Regular" w:hint="eastAsia"/>
          <w:color w:val="000000"/>
        </w:rPr>
        <w:t>】日，甲方有权终止合同，并要求乙方赔偿按照本条款约定的违约金以及由此给甲方带来的全部经济损失。</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9.3</w:t>
      </w:r>
      <w:r>
        <w:rPr>
          <w:rFonts w:ascii="Times New Roman Regular" w:hAnsi="Times New Roman Regular" w:cs="Times New Roman Regular" w:hint="eastAsia"/>
          <w:color w:val="000000"/>
        </w:rPr>
        <w:t>若乙方未能按照本合同</w:t>
      </w:r>
      <w:r>
        <w:rPr>
          <w:rFonts w:ascii="Times New Roman Regular" w:hAnsi="Times New Roman Regular" w:cs="Times New Roman Regular" w:hint="eastAsia"/>
          <w:color w:val="0000FF"/>
        </w:rPr>
        <w:t>【</w:t>
      </w:r>
      <w:r>
        <w:rPr>
          <w:rFonts w:ascii="Times New Roman Regular" w:hAnsi="Times New Roman Regular" w:cs="Times New Roman Regular"/>
          <w:color w:val="0000FF"/>
        </w:rPr>
        <w:t xml:space="preserve"> 3.9 </w:t>
      </w:r>
      <w:r>
        <w:rPr>
          <w:rFonts w:ascii="Times New Roman Regular" w:hAnsi="Times New Roman Regular" w:cs="Times New Roman Regular" w:hint="eastAsia"/>
          <w:color w:val="0000FF"/>
        </w:rPr>
        <w:t>】</w:t>
      </w:r>
      <w:r>
        <w:rPr>
          <w:rFonts w:ascii="Times New Roman Regular" w:hAnsi="Times New Roman Regular" w:cs="Times New Roman Regular" w:hint="eastAsia"/>
          <w:color w:val="000000"/>
        </w:rPr>
        <w:t>条约定响应服务，被甲方需求部门书面投诉累计三次，经查情况属实，甲方有权终止服务合同，并要求乙方支付违约金【</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合同总额的</w:t>
      </w:r>
      <w:r>
        <w:rPr>
          <w:rFonts w:ascii="Times New Roman Regular" w:hAnsi="Times New Roman Regular" w:cs="Times New Roman Regular"/>
          <w:color w:val="000000"/>
        </w:rPr>
        <w:t xml:space="preserve">2% </w:t>
      </w:r>
      <w:r>
        <w:rPr>
          <w:rFonts w:ascii="Times New Roman Regular" w:hAnsi="Times New Roman Regular" w:cs="Times New Roman Regular" w:hint="eastAsia"/>
          <w:color w:val="000000"/>
        </w:rPr>
        <w:t>】元和由此给甲方带来的全部经济损失。</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9.4</w:t>
      </w:r>
      <w:r>
        <w:rPr>
          <w:rFonts w:ascii="Times New Roman Regular" w:hAnsi="Times New Roman Regular" w:cs="Times New Roman Regular" w:hint="eastAsia"/>
          <w:color w:val="000000"/>
        </w:rPr>
        <w:t>乙方服务质量不能达到甲方组织的专家组的评估要求，甲方有权终止合同，乙方应退还甲方已支付的全部费用（计息，利息从乙方实际收到款项之日起按照贷款市场报价利率的</w:t>
      </w:r>
      <w:r>
        <w:rPr>
          <w:rFonts w:ascii="Times New Roman Regular" w:hAnsi="Times New Roman Regular" w:cs="Times New Roman Regular"/>
          <w:color w:val="000000"/>
        </w:rPr>
        <w:t>1.5</w:t>
      </w:r>
      <w:r>
        <w:rPr>
          <w:rFonts w:ascii="Times New Roman Regular" w:hAnsi="Times New Roman Regular" w:cs="Times New Roman Regular" w:hint="eastAsia"/>
          <w:color w:val="000000"/>
        </w:rPr>
        <w:t>倍计算，计至款项实际退还之日止），并要求乙方赔偿相应的全部损失。</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9.5</w:t>
      </w:r>
      <w:r>
        <w:rPr>
          <w:rFonts w:ascii="Times New Roman Regular" w:hAnsi="Times New Roman Regular" w:cs="Times New Roman Regular" w:hint="eastAsia"/>
          <w:color w:val="000000"/>
        </w:rPr>
        <w:t>若甲方逾期付款的，应按照贷款市场报价利率的标准向乙方支付逾期付款违约金，但因财政资金未到位、政府集中支付导致延误付款无需承担违约责任，乙方不得以此为由擅自停止执行合同或停止提供服务。</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9.6</w:t>
      </w:r>
      <w:r>
        <w:rPr>
          <w:rFonts w:ascii="Times New Roman Regular" w:hAnsi="Times New Roman Regular" w:cs="Times New Roman Regular" w:hint="eastAsia"/>
          <w:color w:val="000000"/>
        </w:rPr>
        <w:t>若乙方在收到甲方的违约通知书或类似的其它书面通知之日起</w:t>
      </w:r>
      <w:r>
        <w:rPr>
          <w:rFonts w:ascii="Times New Roman Regular" w:hAnsi="Times New Roman Regular" w:cs="Times New Roman Regular"/>
          <w:color w:val="000000"/>
        </w:rPr>
        <w:t>7</w:t>
      </w:r>
      <w:r>
        <w:rPr>
          <w:rFonts w:ascii="Times New Roman Regular" w:hAnsi="Times New Roman Regular" w:cs="Times New Roman Regular" w:hint="eastAsia"/>
          <w:color w:val="000000"/>
        </w:rPr>
        <w:t>日内未作答复，也没有按照甲方选择的方式承担违约责任，则甲方有权直接从尚未支付的合同价款中扣留相当于甲方选择的方式计算的索赔金额，包括违约金。若这些金额不足以补偿，乙方仍应承担不足部分的赔偿或支付责任。</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9.7</w:t>
      </w:r>
      <w:r>
        <w:rPr>
          <w:rFonts w:ascii="Times New Roman Regular" w:hAnsi="Times New Roman Regular" w:cs="Times New Roman Regular" w:hint="eastAsia"/>
          <w:color w:val="000000"/>
        </w:rPr>
        <w:t>任何一方由于自然灾害、政府行为、社会异常事件等不可抗力原因不能按约履行合同时，应在不可抗力事件结束后</w:t>
      </w:r>
      <w:r>
        <w:rPr>
          <w:rFonts w:ascii="Times New Roman Regular" w:hAnsi="Times New Roman Regular" w:cs="Times New Roman Regular"/>
          <w:color w:val="000000"/>
        </w:rPr>
        <w:t>7</w:t>
      </w:r>
      <w:r>
        <w:rPr>
          <w:rFonts w:ascii="Times New Roman Regular" w:hAnsi="Times New Roman Regular" w:cs="Times New Roman Regular" w:hint="eastAsia"/>
          <w:color w:val="000000"/>
        </w:rPr>
        <w:t>天内向对方有效通报，以减轻可能给对方造成的损失，在取得有关机构的不可抗力证明或双方谅解并书面确认后，应当根据具体情况允许延期履行、修订或终止合同，并根据情况可部分或全部免于承担违约责任。</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9.8</w:t>
      </w:r>
      <w:r>
        <w:rPr>
          <w:rFonts w:ascii="Times New Roman Regular" w:hAnsi="Times New Roman Regular" w:cs="Times New Roman Regular" w:hint="eastAsia"/>
          <w:color w:val="000000"/>
        </w:rPr>
        <w:t>乙方同意并保证尊重任何他方的知识产权及其它合法权益，承诺其所提供的产品或服务均为有合法权利的，不会侵犯、导致或引起侵犯第三方知识产权及其它合法权益，若因本合同所提供的相关产品或服务及因履行本合同导致侵犯第三方的知识产权及其它合法权益，所引起的任何及</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或全部责任均应当由乙方承担。</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9.9</w:t>
      </w:r>
      <w:r>
        <w:rPr>
          <w:rFonts w:ascii="Times New Roman Regular" w:hAnsi="Times New Roman Regular" w:cs="Times New Roman Regular" w:hint="eastAsia"/>
          <w:color w:val="000000"/>
        </w:rPr>
        <w:t>因合同一方原因致使另一方遭受第三方追诉的，经被追诉方立即书面告知并同意违约方全权处理后，违约方应承担有关司法机关在具有法律执行力的裁判文书中列明的由被追诉方承担的全部责任。</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9.10</w:t>
      </w:r>
      <w:r>
        <w:rPr>
          <w:rFonts w:ascii="Times New Roman Regular" w:hAnsi="Times New Roman Regular" w:cs="Times New Roman Regular" w:hint="eastAsia"/>
          <w:color w:val="000000"/>
        </w:rPr>
        <w:t>若乙方通过协议、设立控股或分支机构或其它方式就供货或服务等与任何独立或非独立的第三方构成联合、分属或其它关系、相关责任义务等均由乙方与该等组织机构自行协商约定，但在与本合同相关的任何情形下，乙方与其任何一家该等机构二者之间的约定仅属于其内部分担权利义务及其内部约定分担对外责任的办法，乙方与该等机构二者对甲方、用户、相关第三方则应承担连带责任，而乙方依据本合同原所应承担的对甲方、用户或第三方的责任，均并不因此被减免。</w:t>
      </w:r>
    </w:p>
    <w:p>
      <w:pPr>
        <w:widowControl/>
        <w:ind w:firstLine="420" w:firstLineChars="200"/>
        <w:jc w:val="left"/>
        <w:outlineLvl w:val="0"/>
        <w:rPr>
          <w:rFonts w:ascii="Times New Roman Regular" w:hAnsi="Times New Roman Regular" w:cs="Times New Roman Regular"/>
          <w:color w:val="000000"/>
        </w:rPr>
      </w:pPr>
      <w:r>
        <w:rPr>
          <w:rFonts w:ascii="Times New Roman Regular" w:hAnsi="Times New Roman Regular" w:cs="Times New Roman Regular" w:hint="eastAsia"/>
          <w:color w:val="000000"/>
        </w:rPr>
        <w:t>十、合同终止</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由于合同一方不履行合同或严重违反合同，造成合同部分或全部无法履行时，对方除有权向违约方索赔外，有权部分或全部终止合同。对于部分终止的合同，违约方除应承担规定的责任外，还应继续履行合同的剩余部分。</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10.1</w:t>
      </w:r>
      <w:r>
        <w:rPr>
          <w:rFonts w:ascii="Times New Roman Regular" w:hAnsi="Times New Roman Regular" w:cs="Times New Roman Regular" w:hint="eastAsia"/>
          <w:color w:val="000000"/>
        </w:rPr>
        <w:t>违约终止合同</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在甲方对乙方违约而采取的任何补救措施不受影响的情况下，甲方可向乙方发出书面违约通知书，提出终止部分或全部合同：</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w:t>
      </w:r>
      <w:r>
        <w:rPr>
          <w:rFonts w:ascii="Times New Roman Regular" w:hAnsi="Times New Roman Regular" w:cs="Times New Roman Regular"/>
          <w:color w:val="000000"/>
        </w:rPr>
        <w:t>1</w:t>
      </w:r>
      <w:r>
        <w:rPr>
          <w:rFonts w:ascii="Times New Roman Regular" w:hAnsi="Times New Roman Regular" w:cs="Times New Roman Regular" w:hint="eastAsia"/>
          <w:color w:val="000000"/>
        </w:rPr>
        <w:t>）如果乙方未能在合同规定的期限或甲方根据合同条款的规定同意延长的限期内提供部分或全部的货物或服务，达到合同所规定的建设需求和服务；</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w:t>
      </w:r>
      <w:r>
        <w:rPr>
          <w:rFonts w:ascii="Times New Roman Regular" w:hAnsi="Times New Roman Regular" w:cs="Times New Roman Regular"/>
          <w:color w:val="000000"/>
        </w:rPr>
        <w:t>2</w:t>
      </w:r>
      <w:r>
        <w:rPr>
          <w:rFonts w:ascii="Times New Roman Regular" w:hAnsi="Times New Roman Regular" w:cs="Times New Roman Regular" w:hint="eastAsia"/>
          <w:color w:val="000000"/>
        </w:rPr>
        <w:t>）如果乙方未能履行合同规定的其他任何义务。</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如果甲方根据上述规定与乙方全部或部分终止合同，经双方协商，甲方可以依其认为适当的条件和方法购买与未交付成果类似的货物或服务，乙方应承担甲方因购买类似货物或服务而产生的额外支出（支出总额应不超过合同总价的</w:t>
      </w:r>
      <w:r>
        <w:rPr>
          <w:rFonts w:ascii="Times New Roman Regular" w:hAnsi="Times New Roman Regular" w:cs="Times New Roman Regular"/>
          <w:color w:val="000000"/>
        </w:rPr>
        <w:t>5%</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10.2 </w:t>
      </w:r>
      <w:r>
        <w:rPr>
          <w:rFonts w:ascii="Times New Roman Regular" w:hAnsi="Times New Roman Regular" w:cs="Times New Roman Regular" w:hint="eastAsia"/>
          <w:color w:val="000000"/>
        </w:rPr>
        <w:t>因破产而终止合同</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如果乙方破产或无清偿能力，甲方可在任何时候以书面形式通知乙方，提出终止合同而不给乙方补偿，并有权要求乙方退回甲方已支付的合同经费。该终止合同将不损害或影响甲方已经采取或将要采取的任何行动或补救措施的权利。</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十一、乙方的保证</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11.1</w:t>
      </w:r>
      <w:r>
        <w:rPr>
          <w:rFonts w:ascii="Times New Roman Regular" w:hAnsi="Times New Roman Regular" w:cs="Times New Roman Regular" w:hint="eastAsia"/>
          <w:color w:val="000000"/>
        </w:rPr>
        <w:t>乙方保证在履行本合同过程中提供的服务不因乙方原因侵犯任何第三方的合法权益或引起任何第三方的指控或行政机关的处罚，如有任何第三方向甲方主张侵权或赔偿或行政处罚，经甲方立即书面告知并同意乙方全权处理后，乙方应承担有关司法机关在具有法律执行力的裁判文书中列明的由甲方承担的全部责任；因甲方指示行为造成的侵权情形除外。同时乙方需提供全力支持，防止因上述侵权或可能的侵权给甲方造成的损失，包括但不限于提供甲方继续使用本合同项下的服务而需取得的第三方授权、修改本合同项下服务使其至少在功能上可以替代原服务、提供功能上相等的使甲方可以达到本合同目的的其他服务，并由乙方承担因此而产生的所有费用。</w:t>
      </w:r>
      <w:r>
        <w:rPr>
          <w:rFonts w:ascii="Times New Roman Regular" w:hAnsi="Times New Roman Regular" w:cs="Times New Roman Regular"/>
          <w:color w:val="000000"/>
        </w:rPr>
        <w:t xml:space="preserve"> </w:t>
      </w:r>
    </w:p>
    <w:p>
      <w:pPr>
        <w:widowControl/>
        <w:ind w:firstLine="420" w:firstLineChars="200"/>
        <w:jc w:val="left"/>
        <w:rPr>
          <w:rFonts w:ascii="Times New Roman Regular" w:eastAsia="宋体" w:hAnsi="Times New Roman Regular" w:cs="Times New Roman Regular"/>
          <w:color w:val="000000"/>
        </w:rPr>
      </w:pPr>
      <w:r>
        <w:rPr>
          <w:rFonts w:ascii="Times New Roman Regular" w:hAnsi="Times New Roman Regular" w:cs="Times New Roman Regular"/>
          <w:color w:val="000000"/>
        </w:rPr>
        <w:t xml:space="preserve">11.2 </w:t>
      </w:r>
      <w:r>
        <w:rPr>
          <w:rFonts w:ascii="Times New Roman Regular" w:hAnsi="Times New Roman Regular" w:cs="Times New Roman Regular" w:hint="eastAsia"/>
          <w:color w:val="000000"/>
        </w:rPr>
        <w:t>乙方驻场服务人员须按照甲方管理要求执行甲方上下班作息。</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11.3 </w:t>
      </w:r>
      <w:r>
        <w:rPr>
          <w:rFonts w:ascii="Times New Roman Regular" w:hAnsi="Times New Roman Regular" w:cs="Times New Roman Regular" w:hint="eastAsia"/>
          <w:color w:val="000000"/>
        </w:rPr>
        <w:t>乙方承诺配备完整的项目团队，具体包括：项目经理、产品经理、</w:t>
      </w:r>
      <w:r>
        <w:rPr>
          <w:rFonts w:ascii="Times New Roman Regular" w:hAnsi="Times New Roman Regular" w:cs="Times New Roman Regular"/>
          <w:color w:val="000000"/>
        </w:rPr>
        <w:t>UI</w:t>
      </w:r>
      <w:r>
        <w:rPr>
          <w:rFonts w:ascii="Times New Roman Regular" w:hAnsi="Times New Roman Regular" w:cs="Times New Roman Regular" w:hint="eastAsia"/>
          <w:color w:val="000000"/>
        </w:rPr>
        <w:t>设计师、开发人员、测试人员、运维人员等。</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十二、不可抗力</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12.1 </w:t>
      </w:r>
      <w:r>
        <w:rPr>
          <w:rFonts w:ascii="Times New Roman Regular" w:hAnsi="Times New Roman Regular" w:cs="Times New Roman Regular" w:hint="eastAsia"/>
          <w:color w:val="000000"/>
        </w:rPr>
        <w:t>如果出现不可抗力，双方在本合同中的义务在不可抗力影响范围及其持续期间内将中止履行。合同期限可根据中止的期限作相应延长，但须双方协商一致。任何一方均不会因此而承担违约责任。</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12.2 </w:t>
      </w:r>
      <w:r>
        <w:rPr>
          <w:rFonts w:ascii="Times New Roman Regular" w:hAnsi="Times New Roman Regular" w:cs="Times New Roman Regular" w:hint="eastAsia"/>
          <w:color w:val="000000"/>
        </w:rPr>
        <w:t>受不可抗力影响一方应在不可抗力事件发生后</w:t>
      </w:r>
      <w:r>
        <w:rPr>
          <w:rFonts w:ascii="Times New Roman Regular" w:hAnsi="Times New Roman Regular" w:cs="Times New Roman Regular"/>
          <w:color w:val="000000"/>
        </w:rPr>
        <w:t xml:space="preserve"> 7 </w:t>
      </w:r>
      <w:r>
        <w:rPr>
          <w:rFonts w:ascii="Times New Roman Regular" w:hAnsi="Times New Roman Regular" w:cs="Times New Roman Regular" w:hint="eastAsia"/>
          <w:color w:val="000000"/>
        </w:rPr>
        <w:t>个工作日内将不能履行本合同的原因书面通知对方，并提供有关证明文件。</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12.3 </w:t>
      </w:r>
      <w:r>
        <w:rPr>
          <w:rFonts w:ascii="Times New Roman Regular" w:hAnsi="Times New Roman Regular" w:cs="Times New Roman Regular" w:hint="eastAsia"/>
          <w:color w:val="000000"/>
        </w:rPr>
        <w:t>不可抗力影响结束后，受影响一方应在</w:t>
      </w:r>
      <w:r>
        <w:rPr>
          <w:rFonts w:ascii="Times New Roman Regular" w:hAnsi="Times New Roman Regular" w:cs="Times New Roman Regular"/>
          <w:color w:val="000000"/>
        </w:rPr>
        <w:t xml:space="preserve"> 7 </w:t>
      </w:r>
      <w:r>
        <w:rPr>
          <w:rFonts w:ascii="Times New Roman Regular" w:hAnsi="Times New Roman Regular" w:cs="Times New Roman Regular" w:hint="eastAsia"/>
          <w:color w:val="000000"/>
        </w:rPr>
        <w:t>个工作日内书面通知对方。</w:t>
      </w:r>
      <w:r>
        <w:rPr>
          <w:rFonts w:ascii="Times New Roman Regular" w:hAnsi="Times New Roman Regular" w:cs="Times New Roman Regular"/>
          <w:color w:val="000000"/>
        </w:rPr>
        <w:t xml:space="preserve"> </w:t>
      </w:r>
    </w:p>
    <w:p>
      <w:pPr>
        <w:widowControl/>
        <w:spacing w:line="360" w:lineRule="auto"/>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12.4 </w:t>
      </w:r>
      <w:r>
        <w:rPr>
          <w:rFonts w:ascii="Times New Roman Regular" w:hAnsi="Times New Roman Regular" w:cs="Times New Roman Regular" w:hint="eastAsia"/>
          <w:color w:val="000000"/>
        </w:rPr>
        <w:t>如果不可抗力影响超过</w:t>
      </w:r>
      <w:r>
        <w:rPr>
          <w:rFonts w:ascii="Times New Roman Regular" w:hAnsi="Times New Roman Regular" w:cs="Times New Roman Regular"/>
          <w:color w:val="000000"/>
        </w:rPr>
        <w:t xml:space="preserve"> 60 </w:t>
      </w:r>
      <w:r>
        <w:rPr>
          <w:rFonts w:ascii="Times New Roman Regular" w:hAnsi="Times New Roman Regular" w:cs="Times New Roman Regular" w:hint="eastAsia"/>
          <w:color w:val="000000"/>
        </w:rPr>
        <w:t>天，各方可协商解决此后的合同执行问题。</w:t>
      </w:r>
      <w:r>
        <w:rPr>
          <w:rFonts w:ascii="Times New Roman Regular" w:hAnsi="Times New Roman Regular" w:cs="Times New Roman Regular"/>
          <w:color w:val="000000"/>
        </w:rPr>
        <w:t xml:space="preserve"> </w:t>
      </w:r>
    </w:p>
    <w:p>
      <w:pPr>
        <w:widowControl/>
        <w:ind w:firstLine="420" w:firstLineChars="200"/>
        <w:jc w:val="left"/>
        <w:outlineLvl w:val="0"/>
        <w:rPr>
          <w:rFonts w:ascii="Times New Roman Regular" w:hAnsi="Times New Roman Regular" w:cs="Times New Roman Regular"/>
          <w:color w:val="000000"/>
        </w:rPr>
      </w:pPr>
      <w:r>
        <w:rPr>
          <w:rFonts w:ascii="Times New Roman Regular" w:hAnsi="Times New Roman Regular" w:cs="Times New Roman Regular" w:hint="eastAsia"/>
          <w:color w:val="000000"/>
        </w:rPr>
        <w:t>十三、项目知识产权</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13.1</w:t>
      </w:r>
      <w:r>
        <w:rPr>
          <w:rFonts w:ascii="Times New Roman Regular" w:hAnsi="Times New Roman Regular" w:cs="Times New Roman Regular" w:hint="eastAsia"/>
          <w:color w:val="000000"/>
        </w:rPr>
        <w:t>本项目中服务所提供的项目的版权属于甲方所有，乙方应向甲方提供该项目软件开发全部源代码</w:t>
      </w:r>
      <w:r>
        <w:rPr>
          <w:rFonts w:ascii="Times New Roman Regular" w:hAnsi="Times New Roman Regular" w:cs="Times New Roman Regular" w:hint="eastAsia"/>
        </w:rPr>
        <w:t>（含所有使用的技术组件的源代码、</w:t>
      </w:r>
      <w:r>
        <w:rPr>
          <w:rFonts w:ascii="Times New Roman Regular" w:hAnsi="Times New Roman Regular" w:cs="Times New Roman Regular"/>
        </w:rPr>
        <w:t>运维</w:t>
      </w:r>
      <w:r>
        <w:rPr>
          <w:rFonts w:ascii="Times New Roman Regular" w:hAnsi="Times New Roman Regular" w:cs="Times New Roman Regular" w:hint="eastAsia"/>
        </w:rPr>
        <w:t>期内的后续升级版本）</w:t>
      </w:r>
      <w:r>
        <w:rPr>
          <w:rFonts w:ascii="Times New Roman Regular" w:hAnsi="Times New Roman Regular" w:cs="Times New Roman Regular" w:hint="eastAsia"/>
          <w:color w:val="000000"/>
        </w:rPr>
        <w:t>等技术资料，保障甲方的二次开发权等权利，乙方不得向任何第三方提供。本项目的设计开发知识产权及专利申请权归甲方所有。本项目的技术秘密的使用权、转让权归甲方所有。</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13.2 </w:t>
      </w:r>
      <w:r>
        <w:rPr>
          <w:rFonts w:ascii="Times New Roman Regular" w:hAnsi="Times New Roman Regular" w:cs="Times New Roman Regular" w:hint="eastAsia"/>
          <w:color w:val="000000"/>
        </w:rPr>
        <w:t>如涉及软件开发工作，乙方应允许甲方安排海关骨干人员参与核心工作，工作结束后带回源代码，并纳入甲方原版库管理，以便后续修改维护。</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13.3</w:t>
      </w:r>
      <w:r>
        <w:rPr>
          <w:rFonts w:ascii="Times New Roman Regular" w:hAnsi="Times New Roman Regular" w:cs="Times New Roman Regular" w:hint="eastAsia"/>
          <w:color w:val="000000"/>
        </w:rPr>
        <w:t>乙方应保证甲方在中华人民共和国使用该项目产品或项目产品的任何一部分时，免受因乙方原因导致的第三方提出的侵犯其专利权、商标权或工业设计权的索赔或起诉。</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13.4</w:t>
      </w:r>
      <w:r>
        <w:rPr>
          <w:rFonts w:ascii="Times New Roman Regular" w:hAnsi="Times New Roman Regular" w:cs="Times New Roman Regular" w:hint="eastAsia"/>
          <w:color w:val="000000"/>
        </w:rPr>
        <w:t>如果甲方在使用该软件及服务或软件及服务的任何一部分时被任何第三方诉称侵犯了其第三方知识产权或任何其它权利，甲方应立即通知乙方。乙方应负责处理这一指控，并应以乙方的名义自负费用向起诉方提出抗辩。甲方将尽可能地对乙方抗辩给予协助，由此发生的费用由乙方承担。</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13.5</w:t>
      </w:r>
      <w:r>
        <w:rPr>
          <w:rFonts w:ascii="Times New Roman Regular" w:hAnsi="Times New Roman Regular" w:cs="Times New Roman Regular" w:hint="eastAsia"/>
          <w:color w:val="000000"/>
        </w:rPr>
        <w:t>如果甲方发现任何第三方在甲方未被许可的范围内非法使用甲方获得的知识产权，甲方应立即通知乙方。乙方应在收到通知后</w:t>
      </w:r>
      <w:r>
        <w:rPr>
          <w:rFonts w:ascii="Times New Roman Regular" w:hAnsi="Times New Roman Regular" w:cs="Times New Roman Regular"/>
          <w:color w:val="000000"/>
        </w:rPr>
        <w:t>14</w:t>
      </w:r>
      <w:r>
        <w:rPr>
          <w:rFonts w:ascii="Times New Roman Regular" w:hAnsi="Times New Roman Regular" w:cs="Times New Roman Regular" w:hint="eastAsia"/>
          <w:color w:val="000000"/>
        </w:rPr>
        <w:t>日内采取适当行动，制止非法使用行为；否则，如果甲方要求，乙方应授权甲方根据中国法律规定对该第三方提起诉讼，并给甲方尽可能的协助。甲方应负担诉讼中发生的全部费用，并有权获得判决给付的全部赔偿。如果有乙方的责任，由乙方承担相应的责任。</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13.6</w:t>
      </w:r>
      <w:r>
        <w:rPr>
          <w:rFonts w:ascii="Times New Roman Regular" w:hAnsi="Times New Roman Regular" w:cs="Times New Roman Regular" w:hint="eastAsia"/>
          <w:color w:val="000000"/>
        </w:rPr>
        <w:t>在本项目的实施过程中，如果根据设计需要购置其他软件产品或组件，包括乙方自主知识产权的产品，都必须向甲方做出详细说明，并列出软件产品的详细清单，包括产品名称、功能、用途、供应商、用户数、质量保证期等。</w:t>
      </w:r>
      <w:r>
        <w:rPr>
          <w:rFonts w:ascii="Times New Roman Regular" w:hAnsi="Times New Roman Regular" w:cs="Times New Roman Regular"/>
          <w:color w:val="000000"/>
        </w:rPr>
        <w:t xml:space="preserve"> </w:t>
      </w:r>
    </w:p>
    <w:p>
      <w:pPr>
        <w:widowControl/>
        <w:ind w:firstLine="420" w:firstLineChars="200"/>
        <w:jc w:val="left"/>
        <w:outlineLvl w:val="0"/>
        <w:rPr>
          <w:rFonts w:ascii="Times New Roman Regular" w:hAnsi="Times New Roman Regular" w:cs="Times New Roman Regular"/>
          <w:color w:val="000000"/>
        </w:rPr>
      </w:pPr>
      <w:r>
        <w:rPr>
          <w:rFonts w:ascii="Times New Roman Regular" w:hAnsi="Times New Roman Regular" w:cs="Times New Roman Regular" w:hint="eastAsia"/>
          <w:color w:val="000000"/>
        </w:rPr>
        <w:t>十四、诉讼</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14.1</w:t>
      </w:r>
      <w:r>
        <w:rPr>
          <w:rFonts w:ascii="Times New Roman Regular" w:hAnsi="Times New Roman Regular" w:cs="Times New Roman Regular" w:hint="eastAsia"/>
          <w:color w:val="000000"/>
        </w:rPr>
        <w:t>合同的实施或与合同有关的一切争端应通过双方友好协商解决。如果友好协商仍无法解决，任何一方都可依法向甲方所在地人民法院提起诉讼。</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14.2</w:t>
      </w:r>
      <w:r>
        <w:rPr>
          <w:rFonts w:ascii="Times New Roman Regular" w:hAnsi="Times New Roman Regular" w:cs="Times New Roman Regular" w:hint="eastAsia"/>
          <w:color w:val="000000"/>
        </w:rPr>
        <w:t>诉讼费除人民法院另有裁决外均由败诉方负担。</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14.3</w:t>
      </w:r>
      <w:r>
        <w:rPr>
          <w:rFonts w:ascii="Times New Roman Regular" w:hAnsi="Times New Roman Regular" w:cs="Times New Roman Regular" w:hint="eastAsia"/>
          <w:color w:val="000000"/>
        </w:rPr>
        <w:t>在诉讼期间，除正在进行诉讼的部分以外，双方应继续执行合同的其余部分。</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14.4</w:t>
      </w:r>
      <w:r>
        <w:rPr>
          <w:rFonts w:ascii="Times New Roman Regular" w:hAnsi="Times New Roman Regular" w:cs="Times New Roman Regular" w:hint="eastAsia"/>
          <w:color w:val="000000"/>
        </w:rPr>
        <w:t>本合同适用中华人民共和国法律。</w:t>
      </w:r>
    </w:p>
    <w:p>
      <w:pPr>
        <w:widowControl/>
        <w:ind w:firstLine="420" w:firstLineChars="200"/>
        <w:jc w:val="left"/>
        <w:outlineLvl w:val="0"/>
        <w:rPr>
          <w:rFonts w:ascii="Times New Roman Regular" w:hAnsi="Times New Roman Regular" w:cs="Times New Roman Regular"/>
          <w:color w:val="000000"/>
        </w:rPr>
      </w:pPr>
      <w:r>
        <w:rPr>
          <w:rFonts w:ascii="Times New Roman Regular" w:hAnsi="Times New Roman Regular" w:cs="Times New Roman Regular" w:hint="eastAsia"/>
          <w:color w:val="000000"/>
        </w:rPr>
        <w:t>十五、其他</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15.1 </w:t>
      </w:r>
      <w:r>
        <w:rPr>
          <w:rFonts w:ascii="Times New Roman Regular" w:hAnsi="Times New Roman Regular" w:cs="Times New Roman Regular" w:hint="eastAsia"/>
          <w:color w:val="000000"/>
        </w:rPr>
        <w:t>在本合同履行期间及履行完毕的任何时候，如未经对方同意，任何一方不得以任何形式公开本合同及附件内容，以确保双方的商业机密。</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15.2 </w:t>
      </w:r>
      <w:r>
        <w:rPr>
          <w:rFonts w:ascii="Times New Roman Regular" w:hAnsi="Times New Roman Regular" w:cs="Times New Roman Regular" w:hint="eastAsia"/>
          <w:color w:val="000000"/>
        </w:rPr>
        <w:t>合同履行期内，甲乙双方均不得随意变更或解除合同。未尽事宜，由双方共同协商达成补充协议解决。补充协议与本合同不一致的，以补充协议为准。</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color w:val="000000"/>
        </w:rPr>
        <w:t xml:space="preserve">15.3 </w:t>
      </w:r>
      <w:r>
        <w:rPr>
          <w:rFonts w:ascii="Times New Roman Regular" w:hAnsi="Times New Roman Regular" w:cs="Times New Roman Regular" w:hint="eastAsia"/>
          <w:color w:val="000000"/>
        </w:rPr>
        <w:t>若由于乙方原因造成甲方信息项目损坏，乙方应赔偿甲方的全部损失。</w:t>
      </w:r>
      <w:r>
        <w:rPr>
          <w:rFonts w:ascii="Times New Roman Regular" w:hAnsi="Times New Roman Regular" w:cs="Times New Roman Regular"/>
          <w:color w:val="000000"/>
        </w:rPr>
        <w:t xml:space="preserve">  </w:t>
      </w:r>
    </w:p>
    <w:p>
      <w:pPr>
        <w:tabs>
          <w:tab w:val="left" w:pos="426"/>
        </w:tabs>
        <w:ind w:firstLine="420" w:firstLineChars="200"/>
        <w:rPr>
          <w:rFonts w:ascii="Times New Roman Regular" w:hAnsi="Times New Roman Regular" w:cs="Times New Roman Regular"/>
          <w:szCs w:val="21"/>
          <w:u w:val="single"/>
        </w:rPr>
      </w:pPr>
      <w:r>
        <w:rPr>
          <w:rFonts w:ascii="Times New Roman Regular" w:hAnsi="Times New Roman Regular" w:cs="Times New Roman Regular"/>
          <w:color w:val="000000"/>
        </w:rPr>
        <w:t>15.4</w:t>
      </w:r>
      <w:r>
        <w:rPr>
          <w:rFonts w:ascii="Times New Roman Regular" w:hAnsi="Times New Roman Regular" w:cs="Times New Roman Regular" w:hint="eastAsia"/>
          <w:szCs w:val="21"/>
        </w:rPr>
        <w:t>在本合同履行中，因乙方技术能力导致实施服务整体失败或部分失败，对于项目</w:t>
      </w:r>
      <w:r>
        <w:rPr>
          <w:rFonts w:ascii="Times New Roman Regular" w:hAnsi="Times New Roman Regular" w:cs="Times New Roman Regular" w:hint="eastAsia"/>
          <w:color w:val="000000"/>
          <w:szCs w:val="21"/>
          <w:u w:val="single"/>
        </w:rPr>
        <w:t>未完成部分，已支付的款项退还甲方，未支付的不再收取。对甲方造成的损害部分，由乙方进行赔偿</w:t>
      </w:r>
      <w:r>
        <w:rPr>
          <w:rFonts w:ascii="Times New Roman Regular" w:hAnsi="Times New Roman Regular" w:cs="Times New Roman Regular" w:hint="eastAsia"/>
          <w:szCs w:val="21"/>
          <w:u w:val="single"/>
        </w:rPr>
        <w:t>。</w:t>
      </w:r>
    </w:p>
    <w:p>
      <w:pPr>
        <w:tabs>
          <w:tab w:val="left" w:pos="426"/>
        </w:tabs>
        <w:ind w:firstLine="420" w:firstLineChars="200"/>
        <w:rPr>
          <w:rFonts w:ascii="Times New Roman Regular" w:hAnsi="Times New Roman Regular" w:cs="Times New Roman Regular"/>
          <w:szCs w:val="21"/>
        </w:rPr>
      </w:pPr>
      <w:r>
        <w:rPr>
          <w:rFonts w:ascii="Times New Roman Regular" w:hAnsi="Times New Roman Regular" w:cs="Times New Roman Regular"/>
          <w:szCs w:val="21"/>
        </w:rPr>
        <w:t>15.5</w:t>
      </w:r>
      <w:r>
        <w:rPr>
          <w:rFonts w:ascii="Times New Roman Regular" w:hAnsi="Times New Roman Regular" w:cs="Times New Roman Regular" w:hint="eastAsia"/>
          <w:szCs w:val="21"/>
        </w:rPr>
        <w:t>一方发现技术风险存在并有可能致使实施服务失败或部分失败的情形时，应当在</w:t>
      </w:r>
      <w:r>
        <w:rPr>
          <w:rFonts w:ascii="Times New Roman Regular" w:hAnsi="Times New Roman Regular" w:cs="Times New Roman Regular"/>
          <w:szCs w:val="21"/>
          <w:u w:val="single"/>
        </w:rPr>
        <w:t xml:space="preserve"> 15 </w:t>
      </w:r>
      <w:r>
        <w:rPr>
          <w:rFonts w:ascii="Times New Roman Regular" w:hAnsi="Times New Roman Regular" w:cs="Times New Roman Regular" w:hint="eastAsia"/>
          <w:szCs w:val="21"/>
          <w:u w:val="single"/>
        </w:rPr>
        <w:t>个自然</w:t>
      </w:r>
      <w:r>
        <w:rPr>
          <w:rFonts w:ascii="Times New Roman Regular" w:hAnsi="Times New Roman Regular" w:cs="Times New Roman Regular" w:hint="eastAsia"/>
          <w:szCs w:val="21"/>
        </w:rPr>
        <w:t>日内通知另一方并协助采取适当措施减少损失。逾期未通知并未采取适当措施而致使损失扩大的，应当就扩大的损失承担责任。</w:t>
      </w:r>
    </w:p>
    <w:p>
      <w:pPr>
        <w:widowControl/>
        <w:ind w:firstLine="420" w:firstLineChars="200"/>
        <w:jc w:val="left"/>
        <w:outlineLvl w:val="0"/>
        <w:rPr>
          <w:rFonts w:ascii="Times New Roman Regular" w:hAnsi="Times New Roman Regular" w:cs="Times New Roman Regular"/>
          <w:color w:val="000000"/>
        </w:rPr>
      </w:pPr>
      <w:r>
        <w:rPr>
          <w:rFonts w:ascii="Times New Roman Regular" w:hAnsi="Times New Roman Regular" w:cs="Times New Roman Regular" w:hint="eastAsia"/>
          <w:color w:val="000000"/>
        </w:rPr>
        <w:t>十六、反虚假宣传条款</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甲乙双方均清楚并愿意严格遵守中华人民共和国《著作权法》、《商标法》、《专利法》、《反不正当竞争法》等知识产权类、合同法及广告法等相关法律的规定，双方均有权就本合同所约定事项以约定方式在约定范围内进行真实、合理的使用或宣传，但不得涉及合同所约定的保密内容。为避免商标侵权及不当宣传等风险的发生，双方均同意，在使用对方的商标、品牌、企业名称等进行宣传前，均须获得对方事先的书面认可，否则，不得进行此类使用或宣传。双方在此承诺，会积极响应对方提出的就合作事项的合理使用或宣传申请。双方均承认，未经对方事先书面同意而利用其商标、品牌及企业名称等进行商业宣传；虚构合作事项；夸大合作范围、内容、效果、规模、程度等，均属对本合同的违反，并可能因虚假宣传构成不正当竞争，守约方或被侵权人将保留追究相应法律责任的权利。</w:t>
      </w:r>
    </w:p>
    <w:p>
      <w:pPr>
        <w:pageBreakBefore/>
        <w:widowControl/>
        <w:ind w:firstLine="420" w:firstLineChars="200"/>
        <w:jc w:val="left"/>
        <w:outlineLvl w:val="0"/>
        <w:rPr>
          <w:rFonts w:ascii="Times New Roman Regular" w:hAnsi="Times New Roman Regular" w:cs="Times New Roman Regular"/>
          <w:color w:val="000000"/>
        </w:rPr>
      </w:pPr>
      <w:r>
        <w:rPr>
          <w:rFonts w:ascii="Times New Roman Regular" w:hAnsi="Times New Roman Regular" w:cs="Times New Roman Regular" w:hint="eastAsia"/>
          <w:color w:val="000000"/>
        </w:rPr>
        <w:t>十七、附件</w:t>
      </w:r>
      <w:r>
        <w:rPr>
          <w:rFonts w:ascii="Times New Roman Regular" w:hAnsi="Times New Roman Regular" w:cs="Times New Roman Regular"/>
          <w:color w:val="000000"/>
        </w:rPr>
        <w:t xml:space="preserve"> </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附件一：保密承诺书</w:t>
      </w:r>
    </w:p>
    <w:p>
      <w:pPr>
        <w:pStyle w:val="BodyText"/>
      </w:pPr>
      <w:r>
        <w:rPr>
          <w:rFonts w:ascii="Times New Roman Regular" w:hAnsi="Times New Roman Regular" w:cs="Times New Roman Regular"/>
          <w:color w:val="000000"/>
        </w:rPr>
        <w:t xml:space="preserve"> </w:t>
      </w:r>
      <w:r>
        <w:rPr>
          <w:rFonts w:ascii="Times New Roman Regular" w:hAnsi="Times New Roman Regular" w:cs="Times New Roman Regular"/>
          <w:b w:val="0"/>
          <w:bCs w:val="0"/>
          <w:color w:val="000000"/>
          <w:sz w:val="21"/>
        </w:rPr>
        <w:t xml:space="preserve">   </w:t>
      </w:r>
      <w:r>
        <w:rPr>
          <w:rFonts w:ascii="Times New Roman Regular" w:hAnsi="Times New Roman Regular" w:cs="Times New Roman Regular" w:hint="eastAsia"/>
          <w:b w:val="0"/>
          <w:bCs w:val="0"/>
          <w:color w:val="000000"/>
          <w:sz w:val="21"/>
        </w:rPr>
        <w:t>附件二：廉政承诺书</w:t>
      </w:r>
    </w:p>
    <w:p>
      <w:pPr>
        <w:widowControl/>
        <w:ind w:firstLine="420" w:firstLineChars="200"/>
        <w:jc w:val="left"/>
        <w:rPr>
          <w:rFonts w:ascii="Times New Roman Regular" w:hAnsi="Times New Roman Regular" w:cs="Times New Roman Regular"/>
          <w:color w:val="000000"/>
        </w:rPr>
      </w:pPr>
      <w:r>
        <w:rPr>
          <w:rFonts w:ascii="Times New Roman Regular" w:hAnsi="Times New Roman Regular" w:cs="Times New Roman Regular" w:hint="eastAsia"/>
          <w:color w:val="000000"/>
        </w:rPr>
        <w:t>附件三：离岗承诺书</w:t>
      </w:r>
    </w:p>
    <w:p>
      <w:pPr>
        <w:widowControl/>
        <w:ind w:firstLine="420" w:firstLineChars="200"/>
        <w:jc w:val="left"/>
        <w:rPr>
          <w:rFonts w:ascii="Times New Roman Regular" w:hAnsi="Times New Roman Regular" w:cs="Times New Roman Regular"/>
          <w:color w:val="000000"/>
        </w:rPr>
      </w:pPr>
    </w:p>
    <w:p>
      <w:pPr>
        <w:widowControl/>
        <w:ind w:firstLine="420" w:firstLineChars="200"/>
        <w:jc w:val="left"/>
        <w:rPr>
          <w:rFonts w:ascii="Times New Roman Regular" w:hAnsi="Times New Roman Regular" w:cs="Times New Roman Regular"/>
          <w:color w:val="000000"/>
        </w:rPr>
      </w:pPr>
    </w:p>
    <w:p>
      <w:pPr>
        <w:widowControl/>
        <w:ind w:firstLine="420" w:firstLineChars="200"/>
        <w:jc w:val="left"/>
        <w:rPr>
          <w:rFonts w:ascii="Times New Roman Regular" w:hAnsi="Times New Roman Regular" w:cs="Times New Roman Regular"/>
          <w:color w:val="000000"/>
        </w:rPr>
      </w:pPr>
    </w:p>
    <w:p>
      <w:pPr>
        <w:widowControl/>
        <w:ind w:firstLine="420" w:firstLineChars="200"/>
        <w:jc w:val="left"/>
        <w:rPr>
          <w:rFonts w:ascii="Times New Roman Regular" w:hAnsi="Times New Roman Regular" w:cs="Times New Roman Regular"/>
          <w:color w:val="000000"/>
        </w:rPr>
      </w:pPr>
    </w:p>
    <w:p>
      <w:pPr>
        <w:widowControl/>
        <w:ind w:firstLine="420" w:firstLineChars="200"/>
        <w:jc w:val="left"/>
        <w:rPr>
          <w:rFonts w:ascii="Times New Roman Regular" w:hAnsi="Times New Roman Regular" w:cs="Times New Roman Regular"/>
          <w:color w:val="000000"/>
        </w:rPr>
      </w:pPr>
    </w:p>
    <w:p>
      <w:pPr>
        <w:widowControl/>
        <w:ind w:firstLine="420" w:firstLineChars="200"/>
        <w:jc w:val="left"/>
        <w:rPr>
          <w:rFonts w:ascii="Times New Roman Regular" w:hAnsi="Times New Roman Regular" w:cs="Times New Roman Regular"/>
          <w:color w:val="000000"/>
        </w:rPr>
      </w:pPr>
    </w:p>
    <w:p>
      <w:pPr>
        <w:widowControl/>
        <w:ind w:firstLine="420" w:firstLineChars="200"/>
        <w:jc w:val="left"/>
        <w:rPr>
          <w:rFonts w:ascii="Times New Roman Regular" w:hAnsi="Times New Roman Regular" w:cs="Times New Roman Regular"/>
          <w:color w:val="000000"/>
        </w:rPr>
      </w:pPr>
    </w:p>
    <w:tbl>
      <w:tblPr>
        <w:jc w:val="left"/>
        <w:tblInd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4148"/>
        <w:gridCol w:w="4148"/>
      </w:tblGrid>
      <w:tr>
        <w:tblPrEx>
          <w:jc w:val="left"/>
          <w:tblInd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jc w:val="left"/>
        </w:trPr>
        <w:tc>
          <w:tcPr>
            <w:tcW w:w="4148" w:type="dxa"/>
          </w:tcPr>
          <w:p>
            <w:pPr>
              <w:widowControl/>
              <w:jc w:val="left"/>
              <w:rPr>
                <w:rFonts w:ascii="Times New Roman Regular" w:hAnsi="Times New Roman Regular" w:cs="Times New Roman Regular"/>
                <w:color w:val="000000"/>
                <w:kern w:val="2"/>
                <w:sz w:val="24"/>
                <w:szCs w:val="22"/>
              </w:rPr>
            </w:pPr>
            <w:r>
              <w:rPr>
                <w:rFonts w:ascii="Times New Roman Regular" w:hAnsi="Times New Roman Regular" w:cs="Times New Roman Regular" w:hint="eastAsia"/>
                <w:color w:val="000000"/>
                <w:sz w:val="24"/>
              </w:rPr>
              <w:t>甲方签字、盖章：</w:t>
            </w:r>
          </w:p>
        </w:tc>
        <w:tc>
          <w:tcPr>
            <w:tcW w:w="4148" w:type="dxa"/>
          </w:tcPr>
          <w:p>
            <w:pPr>
              <w:widowControl/>
              <w:jc w:val="left"/>
              <w:rPr>
                <w:rFonts w:ascii="Times New Roman Regular" w:hAnsi="Times New Roman Regular" w:cs="Times New Roman Regular"/>
                <w:color w:val="000000"/>
                <w:kern w:val="2"/>
                <w:sz w:val="24"/>
                <w:szCs w:val="22"/>
              </w:rPr>
            </w:pPr>
            <w:r>
              <w:rPr>
                <w:rFonts w:ascii="Times New Roman Regular" w:hAnsi="Times New Roman Regular" w:cs="Times New Roman Regular" w:hint="eastAsia"/>
                <w:color w:val="000000"/>
                <w:sz w:val="24"/>
              </w:rPr>
              <w:t>乙方签字、盖章：</w:t>
            </w:r>
          </w:p>
        </w:tc>
      </w:tr>
      <w:tr>
        <w:tblPrEx>
          <w:jc w:val="left"/>
          <w:tblInd w:w="0" w:type="dxa"/>
          <w:tblCellMar>
            <w:top w:w="0" w:type="dxa"/>
            <w:left w:w="0" w:type="dxa"/>
            <w:bottom w:w="0" w:type="dxa"/>
            <w:right w:w="0" w:type="dxa"/>
          </w:tblCellMar>
        </w:tblPrEx>
        <w:trPr>
          <w:jc w:val="left"/>
        </w:trPr>
        <w:tc>
          <w:tcPr>
            <w:tcW w:w="4148" w:type="dxa"/>
          </w:tcPr>
          <w:p>
            <w:pPr>
              <w:widowControl/>
              <w:jc w:val="left"/>
              <w:rPr>
                <w:rFonts w:ascii="Times New Roman Regular" w:hAnsi="Times New Roman Regular" w:cs="Times New Roman Regular"/>
                <w:color w:val="000000"/>
                <w:kern w:val="2"/>
                <w:sz w:val="24"/>
                <w:szCs w:val="22"/>
              </w:rPr>
            </w:pPr>
            <w:r>
              <w:rPr>
                <w:rFonts w:ascii="Times New Roman Regular" w:hAnsi="Times New Roman Regular" w:cs="Times New Roman Regular" w:hint="eastAsia"/>
                <w:color w:val="000000"/>
                <w:sz w:val="24"/>
              </w:rPr>
              <w:t>（法人代表或委托代理人签字）</w:t>
            </w:r>
          </w:p>
          <w:p>
            <w:pPr>
              <w:widowControl/>
              <w:jc w:val="left"/>
              <w:rPr>
                <w:rFonts w:ascii="Times New Roman Regular" w:hAnsi="Times New Roman Regular" w:cs="Times New Roman Regular"/>
                <w:color w:val="000000"/>
                <w:kern w:val="2"/>
                <w:sz w:val="24"/>
                <w:szCs w:val="22"/>
              </w:rPr>
            </w:pPr>
            <w:r>
              <w:rPr>
                <w:rFonts w:ascii="Times New Roman Regular" w:hAnsi="Times New Roman Regular" w:cs="Times New Roman Regular" w:hint="eastAsia"/>
                <w:color w:val="000000"/>
                <w:sz w:val="24"/>
              </w:rPr>
              <w:t>日期：</w:t>
            </w:r>
            <w:r>
              <w:rPr>
                <w:rFonts w:ascii="Times New Roman Regular" w:hAnsi="Times New Roman Regular" w:cs="Times New Roman Regular"/>
                <w:color w:val="000000"/>
                <w:sz w:val="24"/>
              </w:rPr>
              <w:t xml:space="preserve">    </w:t>
            </w:r>
            <w:r>
              <w:rPr>
                <w:rFonts w:ascii="Times New Roman Regular" w:hAnsi="Times New Roman Regular" w:cs="Times New Roman Regular" w:hint="eastAsia"/>
                <w:color w:val="000000"/>
                <w:sz w:val="24"/>
              </w:rPr>
              <w:t>年</w:t>
            </w:r>
            <w:r>
              <w:rPr>
                <w:rFonts w:ascii="Times New Roman Regular" w:hAnsi="Times New Roman Regular" w:cs="Times New Roman Regular"/>
                <w:color w:val="000000"/>
                <w:sz w:val="24"/>
              </w:rPr>
              <w:t xml:space="preserve">     </w:t>
            </w:r>
            <w:r>
              <w:rPr>
                <w:rFonts w:ascii="Times New Roman Regular" w:hAnsi="Times New Roman Regular" w:cs="Times New Roman Regular" w:hint="eastAsia"/>
                <w:color w:val="000000"/>
                <w:sz w:val="24"/>
              </w:rPr>
              <w:t>月</w:t>
            </w:r>
            <w:r>
              <w:rPr>
                <w:rFonts w:ascii="Times New Roman Regular" w:hAnsi="Times New Roman Regular" w:cs="Times New Roman Regular"/>
                <w:color w:val="000000"/>
                <w:sz w:val="24"/>
              </w:rPr>
              <w:t xml:space="preserve">      </w:t>
            </w:r>
            <w:r>
              <w:rPr>
                <w:rFonts w:ascii="Times New Roman Regular" w:hAnsi="Times New Roman Regular" w:cs="Times New Roman Regular" w:hint="eastAsia"/>
                <w:color w:val="000000"/>
                <w:sz w:val="24"/>
              </w:rPr>
              <w:t>日</w:t>
            </w:r>
          </w:p>
        </w:tc>
        <w:tc>
          <w:tcPr>
            <w:tcW w:w="4148" w:type="dxa"/>
          </w:tcPr>
          <w:p>
            <w:pPr>
              <w:widowControl/>
              <w:jc w:val="left"/>
              <w:rPr>
                <w:rFonts w:ascii="Times New Roman Regular" w:hAnsi="Times New Roman Regular" w:cs="Times New Roman Regular"/>
                <w:color w:val="000000"/>
                <w:kern w:val="2"/>
                <w:sz w:val="24"/>
                <w:szCs w:val="22"/>
              </w:rPr>
            </w:pPr>
            <w:r>
              <w:rPr>
                <w:rFonts w:ascii="Times New Roman Regular" w:hAnsi="Times New Roman Regular" w:cs="Times New Roman Regular" w:hint="eastAsia"/>
                <w:color w:val="000000"/>
                <w:sz w:val="24"/>
              </w:rPr>
              <w:t>（法人代表或委托代理人签字）</w:t>
            </w:r>
          </w:p>
          <w:p>
            <w:pPr>
              <w:widowControl/>
              <w:jc w:val="left"/>
              <w:rPr>
                <w:rFonts w:ascii="Times New Roman Regular" w:hAnsi="Times New Roman Regular" w:cs="Times New Roman Regular"/>
                <w:color w:val="000000"/>
                <w:kern w:val="2"/>
                <w:sz w:val="24"/>
                <w:szCs w:val="22"/>
              </w:rPr>
            </w:pPr>
            <w:r>
              <w:rPr>
                <w:rFonts w:ascii="Times New Roman Regular" w:hAnsi="Times New Roman Regular" w:cs="Times New Roman Regular" w:hint="eastAsia"/>
                <w:color w:val="000000"/>
                <w:sz w:val="24"/>
              </w:rPr>
              <w:t>日期：</w:t>
            </w:r>
            <w:r>
              <w:rPr>
                <w:rFonts w:ascii="Times New Roman Regular" w:hAnsi="Times New Roman Regular" w:cs="Times New Roman Regular"/>
                <w:color w:val="000000"/>
                <w:sz w:val="24"/>
              </w:rPr>
              <w:t xml:space="preserve">    </w:t>
            </w:r>
            <w:r>
              <w:rPr>
                <w:rFonts w:ascii="Times New Roman Regular" w:hAnsi="Times New Roman Regular" w:cs="Times New Roman Regular" w:hint="eastAsia"/>
                <w:color w:val="000000"/>
                <w:sz w:val="24"/>
              </w:rPr>
              <w:t>年</w:t>
            </w:r>
            <w:r>
              <w:rPr>
                <w:rFonts w:ascii="Times New Roman Regular" w:hAnsi="Times New Roman Regular" w:cs="Times New Roman Regular"/>
                <w:color w:val="000000"/>
                <w:sz w:val="24"/>
              </w:rPr>
              <w:t xml:space="preserve">     </w:t>
            </w:r>
            <w:r>
              <w:rPr>
                <w:rFonts w:ascii="Times New Roman Regular" w:hAnsi="Times New Roman Regular" w:cs="Times New Roman Regular" w:hint="eastAsia"/>
                <w:color w:val="000000"/>
                <w:sz w:val="24"/>
              </w:rPr>
              <w:t>月</w:t>
            </w:r>
            <w:r>
              <w:rPr>
                <w:rFonts w:ascii="Times New Roman Regular" w:hAnsi="Times New Roman Regular" w:cs="Times New Roman Regular"/>
                <w:color w:val="000000"/>
                <w:sz w:val="24"/>
              </w:rPr>
              <w:t xml:space="preserve">      </w:t>
            </w:r>
            <w:r>
              <w:rPr>
                <w:rFonts w:ascii="Times New Roman Regular" w:hAnsi="Times New Roman Regular" w:cs="Times New Roman Regular" w:hint="eastAsia"/>
                <w:color w:val="000000"/>
                <w:sz w:val="24"/>
              </w:rPr>
              <w:t>日</w:t>
            </w:r>
          </w:p>
        </w:tc>
      </w:tr>
      <w:tr>
        <w:tblPrEx>
          <w:jc w:val="left"/>
          <w:tblInd w:w="0" w:type="dxa"/>
          <w:tblCellMar>
            <w:top w:w="0" w:type="dxa"/>
            <w:left w:w="0" w:type="dxa"/>
            <w:bottom w:w="0" w:type="dxa"/>
            <w:right w:w="0" w:type="dxa"/>
          </w:tblCellMar>
        </w:tblPrEx>
        <w:trPr>
          <w:jc w:val="left"/>
        </w:trPr>
        <w:tc>
          <w:tcPr>
            <w:tcW w:w="4148" w:type="dxa"/>
          </w:tcPr>
          <w:p>
            <w:pPr>
              <w:widowControl/>
              <w:jc w:val="left"/>
              <w:rPr>
                <w:rFonts w:ascii="Times New Roman Regular" w:hAnsi="Times New Roman Regular" w:cs="Times New Roman Regular"/>
                <w:color w:val="000000"/>
                <w:kern w:val="2"/>
                <w:sz w:val="24"/>
                <w:szCs w:val="22"/>
              </w:rPr>
            </w:pPr>
            <w:r>
              <w:rPr>
                <w:rFonts w:ascii="Times New Roman Regular" w:hAnsi="Times New Roman Regular" w:cs="Times New Roman Regular" w:hint="eastAsia"/>
                <w:color w:val="000000"/>
                <w:sz w:val="24"/>
              </w:rPr>
              <w:t>甲方名称：</w:t>
            </w:r>
          </w:p>
          <w:p>
            <w:pPr>
              <w:widowControl/>
              <w:jc w:val="left"/>
              <w:rPr>
                <w:rFonts w:ascii="Times New Roman Regular" w:hAnsi="Times New Roman Regular" w:cs="Times New Roman Regular"/>
                <w:color w:val="000000"/>
                <w:sz w:val="24"/>
              </w:rPr>
            </w:pPr>
            <w:r>
              <w:rPr>
                <w:rFonts w:ascii="Times New Roman Regular" w:hAnsi="Times New Roman Regular" w:cs="Times New Roman Regular" w:hint="eastAsia"/>
                <w:color w:val="000000"/>
                <w:sz w:val="24"/>
              </w:rPr>
              <w:t>法定代表人：</w:t>
            </w:r>
          </w:p>
          <w:p>
            <w:pPr>
              <w:widowControl/>
              <w:jc w:val="left"/>
              <w:rPr>
                <w:rFonts w:ascii="Times New Roman Regular" w:hAnsi="Times New Roman Regular" w:cs="Times New Roman Regular"/>
                <w:color w:val="000000"/>
                <w:sz w:val="24"/>
              </w:rPr>
            </w:pPr>
            <w:r>
              <w:rPr>
                <w:rFonts w:ascii="Times New Roman Regular" w:hAnsi="Times New Roman Regular" w:cs="Times New Roman Regular" w:hint="eastAsia"/>
                <w:color w:val="000000"/>
                <w:sz w:val="24"/>
              </w:rPr>
              <w:t>通讯地址：</w:t>
            </w:r>
          </w:p>
          <w:p>
            <w:pPr>
              <w:widowControl/>
              <w:jc w:val="left"/>
              <w:rPr>
                <w:rFonts w:ascii="Times New Roman Regular" w:hAnsi="Times New Roman Regular" w:cs="Times New Roman Regular"/>
                <w:color w:val="000000"/>
                <w:sz w:val="24"/>
              </w:rPr>
            </w:pPr>
            <w:r>
              <w:rPr>
                <w:rFonts w:ascii="Times New Roman Regular" w:hAnsi="Times New Roman Regular" w:cs="Times New Roman Regular" w:hint="eastAsia"/>
                <w:color w:val="000000"/>
                <w:sz w:val="24"/>
              </w:rPr>
              <w:t>电话：</w:t>
            </w:r>
          </w:p>
          <w:p>
            <w:pPr>
              <w:widowControl/>
              <w:jc w:val="left"/>
              <w:rPr>
                <w:rFonts w:ascii="Times New Roman Regular" w:hAnsi="Times New Roman Regular" w:cs="Times New Roman Regular"/>
                <w:color w:val="000000"/>
                <w:sz w:val="24"/>
              </w:rPr>
            </w:pPr>
          </w:p>
          <w:p>
            <w:pPr>
              <w:widowControl/>
              <w:jc w:val="left"/>
              <w:rPr>
                <w:rFonts w:ascii="Times New Roman Regular" w:hAnsi="Times New Roman Regular" w:cs="Times New Roman Regular"/>
                <w:color w:val="000000"/>
                <w:sz w:val="24"/>
              </w:rPr>
            </w:pPr>
          </w:p>
          <w:p>
            <w:pPr>
              <w:widowControl/>
              <w:jc w:val="left"/>
              <w:rPr>
                <w:rFonts w:ascii="Times New Roman Regular" w:hAnsi="Times New Roman Regular" w:cs="Times New Roman Regular"/>
                <w:color w:val="000000"/>
                <w:kern w:val="2"/>
                <w:sz w:val="24"/>
                <w:szCs w:val="22"/>
              </w:rPr>
            </w:pPr>
          </w:p>
        </w:tc>
        <w:tc>
          <w:tcPr>
            <w:tcW w:w="4148" w:type="dxa"/>
          </w:tcPr>
          <w:p>
            <w:pPr>
              <w:widowControl/>
              <w:jc w:val="left"/>
              <w:rPr>
                <w:rFonts w:ascii="Times New Roman Regular" w:hAnsi="Times New Roman Regular" w:cs="Times New Roman Regular"/>
                <w:color w:val="000000"/>
                <w:kern w:val="2"/>
                <w:sz w:val="24"/>
                <w:szCs w:val="22"/>
              </w:rPr>
            </w:pPr>
            <w:r>
              <w:rPr>
                <w:rFonts w:ascii="Times New Roman Regular" w:hAnsi="Times New Roman Regular" w:cs="Times New Roman Regular" w:hint="eastAsia"/>
                <w:color w:val="000000"/>
                <w:sz w:val="24"/>
              </w:rPr>
              <w:t>乙方名称：</w:t>
            </w:r>
          </w:p>
          <w:p>
            <w:pPr>
              <w:widowControl/>
              <w:jc w:val="left"/>
              <w:rPr>
                <w:rFonts w:ascii="Times New Roman Regular" w:hAnsi="Times New Roman Regular" w:cs="Times New Roman Regular"/>
                <w:color w:val="000000"/>
                <w:sz w:val="24"/>
              </w:rPr>
            </w:pPr>
            <w:r>
              <w:rPr>
                <w:rFonts w:ascii="Times New Roman Regular" w:hAnsi="Times New Roman Regular" w:cs="Times New Roman Regular" w:hint="eastAsia"/>
                <w:color w:val="000000"/>
                <w:sz w:val="24"/>
              </w:rPr>
              <w:t>法定代表人：</w:t>
            </w:r>
            <w:r>
              <w:rPr>
                <w:rFonts w:ascii="Times New Roman Regular" w:hAnsi="Times New Roman Regular" w:cs="Times New Roman Regular"/>
                <w:color w:val="000000"/>
                <w:sz w:val="24"/>
              </w:rPr>
              <w:t xml:space="preserve"> </w:t>
            </w:r>
          </w:p>
          <w:p>
            <w:pPr>
              <w:widowControl/>
              <w:jc w:val="left"/>
              <w:rPr>
                <w:rFonts w:ascii="Times New Roman Regular" w:hAnsi="Times New Roman Regular" w:cs="Times New Roman Regular"/>
                <w:color w:val="000000"/>
                <w:sz w:val="24"/>
              </w:rPr>
            </w:pPr>
            <w:r>
              <w:rPr>
                <w:rFonts w:ascii="Times New Roman Regular" w:hAnsi="Times New Roman Regular" w:cs="Times New Roman Regular" w:hint="eastAsia"/>
                <w:color w:val="000000"/>
                <w:sz w:val="24"/>
              </w:rPr>
              <w:t>通讯地址：</w:t>
            </w:r>
            <w:r>
              <w:rPr>
                <w:rFonts w:ascii="Times New Roman Regular" w:hAnsi="Times New Roman Regular" w:cs="Times New Roman Regular"/>
                <w:color w:val="000000"/>
                <w:sz w:val="24"/>
              </w:rPr>
              <w:t xml:space="preserve"> </w:t>
            </w:r>
          </w:p>
          <w:p>
            <w:pPr>
              <w:widowControl/>
              <w:jc w:val="left"/>
              <w:rPr>
                <w:rFonts w:ascii="Times New Roman Regular" w:hAnsi="Times New Roman Regular" w:cs="Times New Roman Regular"/>
                <w:color w:val="000000"/>
                <w:sz w:val="24"/>
              </w:rPr>
            </w:pPr>
            <w:r>
              <w:rPr>
                <w:rFonts w:ascii="Times New Roman Regular" w:hAnsi="Times New Roman Regular" w:cs="Times New Roman Regular" w:hint="eastAsia"/>
                <w:color w:val="000000"/>
                <w:sz w:val="24"/>
              </w:rPr>
              <w:t>电话：</w:t>
            </w:r>
          </w:p>
          <w:p>
            <w:pPr>
              <w:widowControl/>
              <w:jc w:val="left"/>
              <w:rPr>
                <w:rFonts w:ascii="Times New Roman Regular" w:hAnsi="Times New Roman Regular" w:cs="Times New Roman Regular"/>
                <w:color w:val="000000"/>
                <w:sz w:val="24"/>
              </w:rPr>
            </w:pPr>
            <w:r>
              <w:rPr>
                <w:rFonts w:ascii="Times New Roman Regular" w:hAnsi="Times New Roman Regular" w:cs="Times New Roman Regular" w:hint="eastAsia"/>
                <w:color w:val="000000"/>
                <w:sz w:val="24"/>
              </w:rPr>
              <w:t>开户银行：</w:t>
            </w:r>
          </w:p>
          <w:p>
            <w:pPr>
              <w:widowControl/>
              <w:jc w:val="left"/>
              <w:rPr>
                <w:rFonts w:ascii="Times New Roman Regular" w:hAnsi="Times New Roman Regular" w:cs="Times New Roman Regular"/>
                <w:color w:val="000000"/>
                <w:sz w:val="24"/>
              </w:rPr>
            </w:pPr>
            <w:r>
              <w:rPr>
                <w:rFonts w:ascii="Times New Roman Regular" w:hAnsi="Times New Roman Regular" w:cs="Times New Roman Regular" w:hint="eastAsia"/>
                <w:color w:val="000000"/>
                <w:sz w:val="24"/>
              </w:rPr>
              <w:t>账号：</w:t>
            </w:r>
          </w:p>
          <w:p>
            <w:pPr>
              <w:widowControl/>
              <w:jc w:val="left"/>
              <w:rPr>
                <w:rFonts w:ascii="Times New Roman Regular" w:hAnsi="Times New Roman Regular" w:cs="Times New Roman Regular"/>
                <w:color w:val="000000"/>
                <w:kern w:val="2"/>
                <w:sz w:val="24"/>
                <w:szCs w:val="22"/>
              </w:rPr>
            </w:pPr>
          </w:p>
        </w:tc>
      </w:tr>
    </w:tbl>
    <w:p/>
    <w:p/>
    <w:p/>
    <w:p/>
    <w:p/>
    <w:p/>
    <w:p/>
    <w:p/>
    <w:p/>
    <w:p/>
    <w:p/>
    <w:p/>
    <w:p/>
    <w:p/>
    <w:p/>
    <w:p/>
    <w:p/>
    <w:p/>
    <w:p/>
    <w:p/>
    <w:p/>
    <w:p/>
    <w:p/>
    <w:p>
      <w:pPr>
        <w:rPr>
          <w:rFonts w:ascii="Times New Roman Regular" w:hAnsi="Times New Roman Regular" w:cs="Times New Roman Regular"/>
        </w:rPr>
      </w:pPr>
      <w:r>
        <w:rPr>
          <w:rFonts w:ascii="Times New Roman Regular" w:hAnsi="Times New Roman Regular" w:cs="Times New Roman Regular" w:hint="eastAsia"/>
        </w:rPr>
        <w:t>附件一</w:t>
      </w:r>
    </w:p>
    <w:p>
      <w:pPr>
        <w:pStyle w:val="Heading2"/>
        <w:jc w:val="center"/>
      </w:pPr>
      <w:r>
        <w:rPr>
          <w:rFonts w:hint="eastAsia"/>
        </w:rPr>
        <w:t>保密承诺书</w:t>
      </w:r>
    </w:p>
    <w:p>
      <w:pPr>
        <w:spacing w:line="560" w:lineRule="exact"/>
        <w:ind w:firstLine="420" w:firstLineChars="200"/>
        <w:rPr>
          <w:rFonts w:ascii="Times New Roman Regular" w:hAnsi="Times New Roman Regular" w:cs="Times New Roman Regular"/>
        </w:rPr>
      </w:pP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u w:val="single"/>
        </w:rPr>
        <w:t xml:space="preserve">                        </w:t>
      </w:r>
      <w:r>
        <w:rPr>
          <w:rFonts w:ascii="Times New Roman Regular" w:hAnsi="Times New Roman Regular" w:cs="Times New Roman Regular" w:hint="eastAsia"/>
        </w:rPr>
        <w:t>公司承担</w:t>
      </w:r>
      <w:r>
        <w:rPr>
          <w:rFonts w:ascii="Times New Roman Regular" w:hAnsi="Times New Roman Regular" w:cs="Times New Roman Regular"/>
        </w:rPr>
        <w:t>_</w:t>
      </w:r>
      <w:r>
        <w:rPr>
          <w:rFonts w:ascii="Times New Roman Regular" w:hAnsi="Times New Roman Regular" w:cs="Times New Roman Regular" w:hint="eastAsia"/>
        </w:rPr>
        <w:t>“</w:t>
      </w:r>
      <w:r>
        <w:rPr>
          <w:rFonts w:ascii="方正仿宋_GBK" w:eastAsia="方正仿宋_GBK" w:hint="eastAsia"/>
          <w:szCs w:val="21"/>
        </w:rPr>
        <w:t>企业信用管理子系统（深圳海关）ERP智能化联网分析服务功能项目(软件部分）</w:t>
      </w:r>
      <w:r>
        <w:rPr>
          <w:rFonts w:ascii="Times New Roman Regular" w:hAnsi="Times New Roman Regular" w:cs="Times New Roman Regular" w:hint="eastAsia"/>
        </w:rPr>
        <w:t>”工作。为保护中国电子口岸数据中心深圳分中心有关工作信息，我单位在向中国电子口岸数据中心深圳分中心提供信息系统服务（包括但不限于项目、设备、软件开发、咨询、调试、维护、更换软硬件）前，特做出如下承诺：</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一、本承诺书所述及的</w:t>
      </w:r>
      <w:r>
        <w:rPr>
          <w:rFonts w:ascii="Times New Roman Regular" w:hAnsi="Times New Roman Regular" w:cs="Times New Roman Regular"/>
        </w:rPr>
        <w:t>“</w:t>
      </w:r>
      <w:r>
        <w:rPr>
          <w:rFonts w:ascii="Times New Roman Regular" w:hAnsi="Times New Roman Regular" w:cs="Times New Roman Regular" w:hint="eastAsia"/>
        </w:rPr>
        <w:t>信息</w:t>
      </w:r>
      <w:r>
        <w:rPr>
          <w:rFonts w:ascii="Times New Roman Regular" w:hAnsi="Times New Roman Regular" w:cs="Times New Roman Regular"/>
        </w:rPr>
        <w:t>”</w:t>
      </w:r>
      <w:r>
        <w:rPr>
          <w:rFonts w:ascii="Times New Roman Regular" w:hAnsi="Times New Roman Regular" w:cs="Times New Roman Regular" w:hint="eastAsia"/>
        </w:rPr>
        <w:t>，系指我单位承担项目过程中，中国电子口岸数据中心深圳分中心信息系统软硬件上的所有资料以及海关内部资料、通关数据、报关单数据、进出口企业数据等海关运营数据，包括由中国电子口岸数据中心深圳分中心外延到全国海关的信息系统的数据、资料，无论是书面的、口头的、图形的或其它任何形式的海关未公开发布过的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二、中国电子口岸数据中心深圳分中心收集、整理、复制的和准备的与信息系统服务有关的所有资料在提供给我单位时，均被视为保密的。我单位承诺不得泄露给任何第三方除中国电子口岸数据中心深圳分中心或其指定的代表之外的任何人、企业或公司，并保证采取必要的措施和办法对中国电子口岸数据中心深圳分中心关提供的信息进行保密。不管项目因何种原因终止，本条款一直约束我单位。</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三、我单位承诺采取谨慎合理的保护措施来防止非授权披露、使用、复制中国电子口岸数据中心深圳分中心的信息、原始数据或者其衍生成果。我单位不得在互联网或局域网等计算机网络系统中存储、处理、传递涉密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四、我单位承诺不得在实施的设备上留下任何后门、木马、监听等可能对中国电子口岸数据中心深圳分中心的计算机信息安全、网络资产造成威胁的程序；不得泄漏任何中国电子口岸数据中心深圳分中心信息给任何第三方；除用于履行与对方的合同之外，任何时候均不得利用任何中国电子口岸数据中心深圳分中心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五、我单位承诺进入中国电子口岸数据中心深圳分中心的信息系统进行维护，需经中国电子口岸数据中心深圳分中心书面同意和陪同。未经中国电子口岸数据中心深圳分中心书面许可，我单位不得从中国电子口岸数据中心深圳分中心信息系统中截取任何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六、我单位承诺在实施信息系统服务时应符合国家安全、保密的有关规定和标准，要采取有效的保密措施严防泄露与中国电子口岸数据中心深圳分中心发生的业务往来中有关信息。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七、我单位承诺只能向我单位确有必要知道信息的雇员披露海关信息和资料。我单位采取有效措施确保知悉信息的所有雇员遵守本承诺书的规定，并与其签署包括但不限于本承诺书内容一致的保密承诺。若我单位在职或已辞职雇员违反本承诺书规定则我单位应承担主要责任。</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八、我单位承诺未经中国电子口岸数据中心深圳分中心书面许可，我单位不能向子公司、控股公司、分支机构、承包商、转包商、代理商、合伙人、客户及其他第三方披露任何中国电子口岸数据中心深圳分中心的信息、以及我单位在履行项目过程中所获得或接触到的任何海关内部数据资料。只有在我单位能向中国电子口岸数据中心深圳分中心证明需要获得信息、内部数据资料的第三方以书面形式承诺遵守本承诺书的所有条款后，才向中国电子口岸数据中心深圳分中心提出此类许可，并与第三方对本承诺书所有条款向中国电子口岸数据中心深圳分中心承担连带责任。</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九、我单位承诺任何时候，只要收到中国电子口岸数据中心深圳分中心的书面要求，我单位立即归还全部项目资料和文件，包括资料的媒体及其任何或全部复印或摘要。若该资料属于不能归还的形式、或已经复制或转录到其他资料或转体中，立即删除。</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十、我单位承诺如果依据法院判决、行政机构或其他政府机构的命令或要求，我单位必须披露中国电子口岸数据中心深圳分中心信息的，我单位将立即通知中国电子口岸数据中心深圳分中心，并妥善、及时采取各种保护性措施防止信息泄露。</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十一、我单位承诺我单位发现有第三方非法获得和使用中国电子口岸数据中心深圳分中心的信息，在采取必要措施防止非法使用的同时及时通知中国电子口岸数据中心深圳分中心。</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十二、我单位承诺我单位违约则应当赔偿对中国电子口岸数据中心深圳分中心造成的所有损失及可能产生的诉讼费用，并承担相应责任。</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十三、我单位承诺在签订本承诺书前同中国电子口岸数据中心深圳分中心发生的业务往来中有关信息的保密同样适用本承诺书。</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十四、我单位承诺我单位同中国电子口岸数据中心深圳分中心业务的终止并不解除我单位对中国电子口岸数据中心深圳分中心承诺的保密事项履行保密义务。承诺我单位若有变更，如公司的合并、分立、法定代表人的更换、我单位知悉信息的所有雇员的离职等情况，并不导致我单位义务的删减。</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十五、我单位承诺在任何时间任何期限里，中国电子口岸数据中心深圳分中心没有行使其本承诺书项下的权利，并不能解释为中国电子口岸数据中心深圳分中心已经放弃了该权利。若本承诺书的任何部分、条款或规定是不合法的或者是不可执行的，本承诺书其他部分的有效性和可执行性仍不受影响。</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十六、我单位承诺未经中国电子口岸数据中心深圳分中心同意，不得转让其在本承诺书下的全部或任何部分权力。不得以任何其他理由而更改。</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hint="eastAsia"/>
        </w:rPr>
        <w:t>十七、本承诺书受中国法律管辖并按照中国的法律进行解释。由于本承诺书的履行或解释而产生的或与之有关的任何争议，无法协商解决，应提交在中国电子口岸数据中心深圳分中心所在地有管辖权人民法院诉讼解决。</w:t>
      </w:r>
    </w:p>
    <w:p>
      <w:pPr>
        <w:spacing w:line="560" w:lineRule="exact"/>
        <w:ind w:left="141" w:firstLine="315" w:leftChars="67" w:firstLineChars="150"/>
        <w:rPr>
          <w:rFonts w:ascii="Times New Roman Regular" w:hAnsi="Times New Roman Regular" w:cs="Times New Roman Regular"/>
        </w:rPr>
      </w:pPr>
      <w:r>
        <w:rPr>
          <w:rFonts w:ascii="Times New Roman Regular" w:hAnsi="Times New Roman Regular" w:cs="Times New Roman Regular" w:hint="eastAsia"/>
        </w:rPr>
        <w:t>十八、本承诺书自盖章之日起生效，我单位将严格遵守，长期有效，解除期限按国家有关规定执行。</w:t>
      </w:r>
    </w:p>
    <w:p>
      <w:pPr>
        <w:spacing w:line="560" w:lineRule="exact"/>
        <w:ind w:left="1" w:firstLine="2976" w:firstLineChars="1417"/>
        <w:rPr>
          <w:rFonts w:ascii="Times New Roman Regular" w:hAnsi="Times New Roman Regular" w:cs="Times New Roman Regular"/>
        </w:rPr>
      </w:pPr>
      <w:r>
        <w:rPr>
          <w:rFonts w:ascii="Times New Roman Regular" w:hAnsi="Times New Roman Regular" w:cs="Times New Roman Regular"/>
        </w:rPr>
        <w:t xml:space="preserve"> </w:t>
      </w:r>
      <w:r>
        <w:rPr>
          <w:rFonts w:ascii="Times New Roman Regular" w:hAnsi="Times New Roman Regular" w:cs="Times New Roman Regular" w:hint="eastAsia"/>
        </w:rPr>
        <w:t>承诺单位名称：</w:t>
      </w:r>
      <w:r>
        <w:rPr>
          <w:rFonts w:ascii="Times New Roman Regular" w:hAnsi="Times New Roman Regular" w:cs="Times New Roman Regular"/>
        </w:rPr>
        <w:t xml:space="preserve"> </w:t>
      </w:r>
    </w:p>
    <w:p>
      <w:pPr>
        <w:spacing w:line="560" w:lineRule="exact"/>
        <w:ind w:left="1" w:firstLine="2976" w:firstLineChars="1417"/>
        <w:rPr>
          <w:rFonts w:ascii="Times New Roman Regular" w:hAnsi="Times New Roman Regular" w:cs="Times New Roman Regular"/>
        </w:rPr>
      </w:pPr>
      <w:r>
        <w:rPr>
          <w:rFonts w:ascii="Times New Roman Regular" w:hAnsi="Times New Roman Regular" w:cs="Times New Roman Regular" w:hint="eastAsia"/>
        </w:rPr>
        <w:t>（签字盖章）</w:t>
      </w:r>
    </w:p>
    <w:p>
      <w:pPr>
        <w:spacing w:line="560" w:lineRule="exact"/>
        <w:ind w:left="1" w:firstLine="2976" w:firstLineChars="1417"/>
        <w:rPr>
          <w:rFonts w:ascii="Times New Roman Regular" w:hAnsi="Times New Roman Regular" w:cs="Times New Roman Regular"/>
        </w:rPr>
      </w:pPr>
      <w:r>
        <w:rPr>
          <w:rFonts w:ascii="Times New Roman Regular" w:hAnsi="Times New Roman Regular" w:cs="Times New Roman Regular"/>
        </w:rPr>
        <w:t xml:space="preserve"> </w:t>
      </w:r>
      <w:r>
        <w:rPr>
          <w:rFonts w:ascii="Times New Roman Regular" w:hAnsi="Times New Roman Regular" w:cs="Times New Roman Regular" w:hint="eastAsia"/>
        </w:rPr>
        <w:t>日期：</w:t>
      </w:r>
      <w:r>
        <w:rPr>
          <w:rFonts w:ascii="Times New Roman Regular" w:hAnsi="Times New Roman Regular" w:cs="Times New Roman Regular"/>
        </w:rPr>
        <w:t xml:space="preserve">     </w:t>
      </w:r>
      <w:r>
        <w:rPr>
          <w:rFonts w:ascii="Times New Roman Regular" w:hAnsi="Times New Roman Regular" w:cs="Times New Roman Regular" w:hint="eastAsia"/>
        </w:rPr>
        <w:t>年</w:t>
      </w:r>
      <w:r>
        <w:rPr>
          <w:rFonts w:ascii="Times New Roman Regular" w:hAnsi="Times New Roman Regular" w:cs="Times New Roman Regular"/>
        </w:rPr>
        <w:t xml:space="preserve">    </w:t>
      </w:r>
      <w:r>
        <w:rPr>
          <w:rFonts w:ascii="Times New Roman Regular" w:hAnsi="Times New Roman Regular" w:cs="Times New Roman Regular" w:hint="eastAsia"/>
        </w:rPr>
        <w:t>月</w:t>
      </w:r>
      <w:r>
        <w:rPr>
          <w:rFonts w:ascii="Times New Roman Regular" w:hAnsi="Times New Roman Regular" w:cs="Times New Roman Regular"/>
        </w:rPr>
        <w:t xml:space="preserve">    </w:t>
      </w:r>
      <w:r>
        <w:rPr>
          <w:rFonts w:ascii="Times New Roman Regular" w:hAnsi="Times New Roman Regular" w:cs="Times New Roman Regular" w:hint="eastAsia"/>
        </w:rPr>
        <w:t>日</w:t>
      </w:r>
    </w:p>
    <w:p>
      <w:pPr>
        <w:rPr>
          <w:rFonts w:ascii="Times New Roman Regular" w:hAnsi="Times New Roman Regular" w:cs="Times New Roman Regular"/>
        </w:rPr>
      </w:pPr>
    </w:p>
    <w:p>
      <w:pPr>
        <w:pageBreakBefore/>
        <w:widowControl w:val="0"/>
        <w:rPr>
          <w:rFonts w:ascii="Times New Roman Regular" w:hAnsi="Times New Roman Regular" w:cs="Times New Roman Regular"/>
        </w:rPr>
      </w:pPr>
      <w:r>
        <w:rPr>
          <w:rFonts w:ascii="Times New Roman Regular" w:hAnsi="Times New Roman Regular" w:cs="Times New Roman Regular" w:hint="eastAsia"/>
        </w:rPr>
        <w:t>附件二</w:t>
      </w:r>
    </w:p>
    <w:p>
      <w:pPr>
        <w:pStyle w:val="Heading2"/>
        <w:jc w:val="center"/>
      </w:pPr>
      <w:r>
        <w:rPr>
          <w:rFonts w:hint="eastAsia"/>
        </w:rPr>
        <w:t>廉政承诺书</w:t>
      </w:r>
    </w:p>
    <w:p>
      <w:pPr>
        <w:spacing w:line="276" w:lineRule="auto"/>
        <w:rPr>
          <w:rFonts w:ascii="Times New Roman Regular" w:hAnsi="Times New Roman Regular" w:cs="Times New Roman Regular"/>
        </w:rPr>
      </w:pPr>
    </w:p>
    <w:p>
      <w:pPr>
        <w:spacing w:line="360" w:lineRule="auto"/>
        <w:rPr>
          <w:rFonts w:ascii="Times New Roman Regular" w:hAnsi="Times New Roman Regular" w:cs="Times New Roman Regular"/>
          <w:color w:val="000000"/>
        </w:rPr>
      </w:pPr>
      <w:r>
        <w:rPr>
          <w:rFonts w:ascii="Times New Roman Regular" w:hAnsi="Times New Roman Regular" w:cs="Times New Roman Regular" w:hint="eastAsia"/>
          <w:color w:val="000000"/>
        </w:rPr>
        <w:t>中国电子口岸数据中心深圳分中心：</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我单位响应你单位“</w:t>
      </w:r>
      <w:r>
        <w:rPr>
          <w:rFonts w:ascii="方正仿宋_GBK" w:eastAsia="方正仿宋_GBK" w:hint="eastAsia"/>
          <w:szCs w:val="21"/>
        </w:rPr>
        <w:t>企业信用管理子系统（深圳海关）ERP智能化联网分析服务功能项目(软件部分）</w:t>
      </w:r>
      <w:r>
        <w:rPr>
          <w:rFonts w:ascii="Times New Roman Regular" w:hAnsi="Times New Roman Regular" w:cs="Times New Roman Regular" w:hint="eastAsia"/>
          <w:color w:val="000000"/>
        </w:rPr>
        <w:t>”招标要求参加投标，我们将坚决遵守国家有关廉政要求，并郑重承诺：</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第一条</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不向招标有关的工作人员行贿，赠送礼金礼物、有价证券、回扣以及中介费、咨询费等好处费；</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第二条</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不为招标相关工作人员报销应由相关单位或个人支付的费用；</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第三条</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不为招标相关人员个人装修住户、婚丧嫁娶、配偶子女工作安排以及出国（境）旅游提供方便或者提供其它好处；</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第四条</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不向招标相关工作人员提供有可能影响公正进行招投标工作的宴请和娱乐健身活动；</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第五条</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不接受招标人员介绍的与招标项目有关的设备采购、工程分包、劳务等经济活动，不接受招标人推荐分包单位的要求购买规定以外的材料、设备；</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第六条</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不弄虚作假，不采取陪标、围标等不正当手段参与竞标，不拉拢招评标人员影响评标工作的公正性。</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如违反上述承诺，你单位有权取消我单位投标资格并将我单位列入</w:t>
      </w:r>
      <w:r>
        <w:rPr>
          <w:rFonts w:ascii="Times New Roman Regular" w:hAnsi="Times New Roman Regular" w:cs="Times New Roman Regular" w:hint="eastAsia"/>
        </w:rPr>
        <w:t>中国电子口岸数据中心深圳分中心</w:t>
      </w:r>
      <w:r>
        <w:rPr>
          <w:rFonts w:ascii="Times New Roman Regular" w:hAnsi="Times New Roman Regular" w:cs="Times New Roman Regular" w:hint="eastAsia"/>
          <w:color w:val="000000"/>
        </w:rPr>
        <w:t>信息化建设工程廉洁</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黑名单</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，自愿接受你单位没收投标保证金、履约保证金的规定，由此引起的相应损失由我单位承担。</w:t>
      </w:r>
    </w:p>
    <w:p>
      <w:pPr>
        <w:spacing w:line="360" w:lineRule="auto"/>
        <w:rPr>
          <w:rFonts w:ascii="Times New Roman Regular" w:hAnsi="Times New Roman Regular" w:cs="Times New Roman Regular"/>
        </w:rPr>
      </w:pPr>
    </w:p>
    <w:p>
      <w:pPr>
        <w:rPr>
          <w:rFonts w:ascii="Times New Roman Regular" w:hAnsi="Times New Roman Regular" w:cs="Times New Roman Regular"/>
        </w:rPr>
      </w:pPr>
    </w:p>
    <w:p>
      <w:pPr>
        <w:spacing w:line="276" w:lineRule="auto"/>
        <w:ind w:left="3885" w:hanging="3885" w:hangingChars="1850"/>
        <w:rPr>
          <w:rFonts w:ascii="Times New Roman Regular" w:hAnsi="Times New Roman Regular" w:cs="Times New Roman Regular"/>
        </w:rPr>
      </w:pPr>
    </w:p>
    <w:p>
      <w:pPr>
        <w:spacing w:before="100" w:beforeAutospacing="1"/>
        <w:ind w:left="4070" w:hanging="4070" w:hangingChars="1850"/>
        <w:jc w:val="left"/>
        <w:rPr>
          <w:rFonts w:ascii="Times New Roman Regular" w:hAnsi="Times New Roman Regular" w:cs="Times New Roman Regular"/>
          <w:kern w:val="0"/>
          <w:sz w:val="22"/>
        </w:rPr>
      </w:pPr>
      <w:r>
        <w:rPr>
          <w:rFonts w:ascii="Times New Roman Regular" w:hAnsi="Times New Roman Regular" w:cs="Times New Roman Regular" w:hint="eastAsia"/>
          <w:kern w:val="0"/>
          <w:sz w:val="22"/>
        </w:rPr>
        <w:t>承诺人：</w:t>
      </w:r>
      <w:r>
        <w:rPr>
          <w:rFonts w:ascii="Times New Roman Regular" w:hAnsi="Times New Roman Regular" w:cs="Times New Roman Regular"/>
          <w:color w:val="000000"/>
          <w:kern w:val="0"/>
          <w:sz w:val="22"/>
          <w:u w:val="single"/>
        </w:rPr>
        <w:t xml:space="preserve"> </w:t>
      </w:r>
      <w:r>
        <w:rPr>
          <w:rFonts w:ascii="Times New Roman Regular" w:hAnsi="Times New Roman Regular" w:cs="Times New Roman Regular"/>
          <w:kern w:val="0"/>
          <w:sz w:val="22"/>
          <w:u w:val="single"/>
        </w:rPr>
        <w:t xml:space="preserve">            </w:t>
      </w:r>
    </w:p>
    <w:p>
      <w:pPr>
        <w:spacing w:before="100" w:beforeAutospacing="1"/>
        <w:ind w:left="4070" w:hanging="4070" w:hangingChars="1850"/>
        <w:jc w:val="left"/>
        <w:rPr>
          <w:rFonts w:ascii="Times New Roman Regular" w:hAnsi="Times New Roman Regular" w:cs="Times New Roman Regular"/>
          <w:kern w:val="0"/>
          <w:sz w:val="22"/>
        </w:rPr>
      </w:pPr>
      <w:r>
        <w:rPr>
          <w:rFonts w:ascii="Times New Roman Regular" w:hAnsi="Times New Roman Regular" w:cs="Times New Roman Regular"/>
          <w:kern w:val="0"/>
          <w:sz w:val="22"/>
        </w:rPr>
        <w:t xml:space="preserve">                                                             </w:t>
      </w:r>
      <w:r>
        <w:rPr>
          <w:rFonts w:ascii="Times New Roman Regular" w:hAnsi="Times New Roman Regular" w:cs="Times New Roman Regular" w:hint="eastAsia"/>
          <w:kern w:val="0"/>
          <w:sz w:val="22"/>
        </w:rPr>
        <w:t>（签字盖章）</w:t>
      </w:r>
      <w:r>
        <w:rPr>
          <w:rFonts w:ascii="Times New Roman Regular" w:hAnsi="Times New Roman Regular" w:cs="Times New Roman Regular"/>
          <w:kern w:val="0"/>
          <w:sz w:val="22"/>
        </w:rPr>
        <w:t xml:space="preserve"> </w:t>
      </w:r>
    </w:p>
    <w:p>
      <w:pPr>
        <w:rPr>
          <w:rFonts w:ascii="宋体" w:cs="宋体"/>
          <w:szCs w:val="21"/>
        </w:rPr>
      </w:pPr>
      <w:r>
        <w:rPr>
          <w:rFonts w:ascii="Times New Roman Regular" w:hAnsi="Times New Roman Regular" w:cs="Times New Roman Regular"/>
          <w:kern w:val="0"/>
          <w:sz w:val="22"/>
        </w:rPr>
        <w:t xml:space="preserve">                                                </w:t>
      </w:r>
      <w:r>
        <w:rPr>
          <w:rFonts w:ascii="Times New Roman Regular" w:hAnsi="Times New Roman Regular" w:cs="Times New Roman Regular" w:hint="eastAsia"/>
          <w:kern w:val="0"/>
          <w:sz w:val="22"/>
        </w:rPr>
        <w:t>签订日期</w:t>
      </w:r>
      <w:r>
        <w:rPr>
          <w:rFonts w:ascii="Times New Roman Regular" w:hAnsi="Times New Roman Regular" w:cs="Times New Roman Regular"/>
          <w:kern w:val="0"/>
          <w:sz w:val="22"/>
        </w:rPr>
        <w:t xml:space="preserve">     </w:t>
      </w:r>
      <w:r>
        <w:rPr>
          <w:rFonts w:ascii="Times New Roman Regular" w:hAnsi="Times New Roman Regular" w:cs="Times New Roman Regular" w:hint="eastAsia"/>
          <w:kern w:val="0"/>
          <w:sz w:val="22"/>
        </w:rPr>
        <w:t>年</w:t>
      </w:r>
      <w:r>
        <w:rPr>
          <w:rFonts w:ascii="Times New Roman Regular" w:hAnsi="Times New Roman Regular" w:cs="Times New Roman Regular"/>
          <w:kern w:val="0"/>
          <w:sz w:val="22"/>
        </w:rPr>
        <w:t xml:space="preserve">   </w:t>
      </w:r>
      <w:r>
        <w:rPr>
          <w:rFonts w:ascii="Times New Roman Regular" w:hAnsi="Times New Roman Regular" w:cs="Times New Roman Regular" w:hint="eastAsia"/>
          <w:kern w:val="0"/>
          <w:sz w:val="22"/>
        </w:rPr>
        <w:t>月</w:t>
      </w:r>
      <w:r>
        <w:rPr>
          <w:rFonts w:ascii="Times New Roman Regular" w:hAnsi="Times New Roman Regular" w:cs="Times New Roman Regular"/>
          <w:kern w:val="0"/>
          <w:sz w:val="22"/>
        </w:rPr>
        <w:t xml:space="preserve">   </w:t>
      </w:r>
      <w:r>
        <w:rPr>
          <w:rFonts w:ascii="Times New Roman Regular" w:hAnsi="Times New Roman Regular" w:cs="Times New Roman Regular" w:hint="eastAsia"/>
          <w:kern w:val="0"/>
          <w:sz w:val="22"/>
        </w:rPr>
        <w:t>日</w:t>
      </w:r>
      <w:r>
        <w:rPr>
          <w:rFonts w:ascii="宋体" w:cs="宋体" w:hint="eastAsia"/>
          <w:szCs w:val="21"/>
        </w:rPr>
        <w:t>：</w:t>
      </w:r>
    </w:p>
    <w:p>
      <w:pPr>
        <w:rPr>
          <w:rFonts w:ascii="方正仿宋_GBK" w:eastAsia="方正仿宋_GBK"/>
          <w:sz w:val="32"/>
          <w:szCs w:val="32"/>
        </w:rPr>
      </w:pPr>
    </w:p>
    <w:p>
      <w:pPr>
        <w:widowControl/>
        <w:jc w:val="left"/>
      </w:pPr>
      <w:r>
        <w:rPr>
          <w:rFonts w:hint="eastAsia"/>
        </w:rPr>
        <w:br w:type="page"/>
      </w:r>
    </w:p>
    <w:p>
      <w:pPr>
        <w:pageBreakBefore/>
        <w:widowControl w:val="0"/>
        <w:rPr>
          <w:rFonts w:ascii="Times New Roman Regular" w:hAnsi="Times New Roman Regular" w:cs="Times New Roman Regular"/>
        </w:rPr>
      </w:pPr>
      <w:r>
        <w:rPr>
          <w:rFonts w:ascii="Times New Roman Regular" w:hAnsi="Times New Roman Regular" w:cs="Times New Roman Regular" w:hint="eastAsia"/>
        </w:rPr>
        <w:t>附件三</w:t>
      </w:r>
    </w:p>
    <w:p>
      <w:pPr>
        <w:pStyle w:val="Heading2"/>
        <w:jc w:val="center"/>
      </w:pPr>
      <w:r>
        <w:rPr>
          <w:rFonts w:hint="eastAsia"/>
        </w:rPr>
        <w:t>离岗承诺书</w:t>
      </w:r>
    </w:p>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本人</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身份证号</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系中国电子口岸数据中心深圳分中心（以下简称“数据分中心”）</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部外包人员，自</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年</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月</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日起因离职（</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调岗（</w:t>
      </w:r>
      <w:r>
        <w:rPr>
          <w:rFonts w:ascii="Times New Roman Regular" w:hAnsi="Times New Roman Regular" w:cs="Times New Roman Regular"/>
          <w:color w:val="000000"/>
        </w:rPr>
        <w:t xml:space="preserve">  </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退休</w:t>
      </w:r>
      <w:r>
        <w:rPr>
          <w:rFonts w:ascii="Times New Roman Regular" w:hAnsi="Times New Roman Regular" w:cs="Times New Roman Regular"/>
          <w:color w:val="000000"/>
        </w:rPr>
        <w:t>(  )</w:t>
      </w:r>
      <w:r>
        <w:rPr>
          <w:rFonts w:ascii="Times New Roman Regular" w:hAnsi="Times New Roman Regular" w:cs="Times New Roman Regular" w:hint="eastAsia"/>
          <w:color w:val="000000"/>
        </w:rPr>
        <w:t>原因离岗，因本人知悉数据分中心的技术信息，为有效保护数据分中心的技术信息和商业利益，本人在此郑重承诺：</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一、对数据分中心的以下技术信息绝对保密：包括但不局限于电子口岸用户信息、平台技术信息、网络拓扑信息、通讯协议信息、登录用户名与密码、安全证书、软件开发源代码等信息。</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二、以上技术信息的载体包括但不限于书面、视频、音频、电子文档、照片等任何载体。</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三、本人承诺，未经数据分中心书面同意，绝不泄露、告知、公布、发布、出版、传授、转让或者以其他任何方式使任何第三方知悉数据分中心的以上技术信息。</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四、本人承诺，离岗前将承载数据分中心技术信息的介质原件及复制件全部交予指定人员，且不将本承诺书所涉及的各项系统安全信息保存在非数据分中心的个人网络存储空间。</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五、本人在数据分中心履行合约期间完成的所有产品成果均为数据分中心所有，本人承诺不将上述工作成果泄露、出卖或转让给其他任何企业、组织或个人。</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六、本人承诺，离岗后不对数据分中心的技术信息进行复制，也不利用数据分中心的技术信息进行新的研究或开发，不将数据分中心技术信息用于与电子口岸项目有关的任何用途。</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七、如违反上述承诺，本人愿意赔偿因此给数据分中心造成的损失及承担由此引起的相关法律责任。</w:t>
      </w:r>
    </w:p>
    <w:p>
      <w:pPr>
        <w:spacing w:line="360" w:lineRule="auto"/>
        <w:ind w:firstLine="420" w:firstLineChars="200"/>
        <w:rPr>
          <w:rFonts w:ascii="Times New Roman Regular" w:hAnsi="Times New Roman Regular" w:cs="Times New Roman Regular"/>
          <w:color w:val="000000"/>
        </w:rPr>
      </w:pPr>
      <w:r>
        <w:rPr>
          <w:rFonts w:ascii="Times New Roman Regular" w:hAnsi="Times New Roman Regular" w:cs="Times New Roman Regular" w:hint="eastAsia"/>
          <w:color w:val="000000"/>
        </w:rPr>
        <w:t>本人自愿签订《离岗承诺书》，愿意按承诺书中规定的内容承担保密责任。承诺书自本人签订之日起生效。</w:t>
      </w:r>
    </w:p>
    <w:p/>
    <w:p/>
    <w:p>
      <w:r>
        <w:rPr>
          <w:rFonts w:hint="eastAsia"/>
        </w:rPr>
        <w:t xml:space="preserve">                                             承诺人签名：</w:t>
      </w:r>
    </w:p>
    <w:p>
      <w:r>
        <w:rPr>
          <w:rFonts w:hint="eastAsia"/>
        </w:rPr>
        <w:t xml:space="preserve">                                             年   月   日</w:t>
      </w:r>
    </w:p>
    <w:p>
      <w:pPr>
        <w:jc w:val="center"/>
        <w:rPr>
          <w:color w:val="0000FF"/>
          <w:highlight w:val="white"/>
        </w:rPr>
      </w:pPr>
      <w:bookmarkEnd w:id="58"/>
    </w:p>
    <w:p>
      <w:pPr>
        <w:pStyle w:val="Heading1"/>
        <w:rPr>
          <w:rFonts w:hint="eastAsia"/>
          <w:highlight w:val="white"/>
        </w:rPr>
      </w:pPr>
      <w:r>
        <w:rPr>
          <w:rFonts w:hint="eastAsia"/>
          <w:highlight w:val="white"/>
        </w:rPr>
        <w:br w:type="page"/>
      </w:r>
      <w:bookmarkStart w:id="59" w:name="_Toc65406668"/>
      <w:r>
        <w:rPr>
          <w:rFonts w:hint="eastAsia"/>
          <w:highlight w:val="white"/>
        </w:rPr>
        <w:t>第六部分  投标文件格式</w:t>
      </w:r>
      <w:bookmarkEnd w:id="5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60"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61" w:name="_Ref462505451"/>
      <w:bookmarkStart w:id="6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61"/>
      <w:bookmarkEnd w:id="6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3" w:name="_Toc499068169"/>
      <w:bookmarkStart w:id="64" w:name="_Toc485990833"/>
      <w:bookmarkStart w:id="65" w:name="_Toc46196323"/>
      <w:r>
        <w:rPr>
          <w:rFonts w:ascii="宋体" w:eastAsia="宋体" w:hint="eastAsia"/>
          <w:szCs w:val="32"/>
          <w:lang w:eastAsia="zh-CN"/>
        </w:rPr>
        <w:t>投标函</w:t>
      </w:r>
      <w:bookmarkEnd w:id="63"/>
      <w:bookmarkEnd w:id="64"/>
      <w:bookmarkEnd w:id="65"/>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6" w:name="_Toc499068185"/>
      <w:bookmarkStart w:id="67" w:name="_Toc485990851"/>
      <w:r>
        <w:rPr>
          <w:rFonts w:ascii="宋体" w:eastAsia="宋体" w:hint="eastAsia"/>
          <w:szCs w:val="32"/>
          <w:lang w:eastAsia="zh-CN"/>
        </w:rPr>
        <w:t>技术偏离表</w:t>
      </w:r>
      <w:bookmarkEnd w:id="6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7"/>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8" w:name="_Toc499068185_0"/>
      <w:r>
        <w:rPr>
          <w:rFonts w:ascii="宋体" w:eastAsia="宋体" w:hint="eastAsia"/>
          <w:szCs w:val="32"/>
          <w:lang w:eastAsia="zh-CN"/>
        </w:rPr>
        <w:t>技术偏离表</w:t>
      </w:r>
      <w:bookmarkEnd w:id="68"/>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3</w:t>
      </w:r>
      <w:r>
        <w:rPr>
          <w:rFonts w:ascii="宋体" w:hint="eastAsia"/>
          <w:color w:val="000000"/>
          <w:sz w:val="22"/>
        </w:rPr>
        <w:t>个月任意1个月的缴纳社保证明</w:t>
      </w:r>
      <w:r>
        <w:rPr>
          <w:rFonts w:ascii="宋体"/>
          <w:color w:val="000000"/>
          <w:sz w:val="22"/>
        </w:rPr>
        <w:t>或劳务合同等证明材料</w:t>
      </w:r>
      <w:r>
        <w:rPr>
          <w:rFonts w:ascii="宋体" w:hint="eastAsia"/>
          <w:color w:val="000000"/>
          <w:sz w:val="22"/>
        </w:rPr>
        <w:t xml:space="preserve">（未提供的不予认定）；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60"/>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roman"/>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Times New Roman Regular">
    <w:altName w:val="Times New Roman"/>
    <w:panose1 w:val="00000000000000000000"/>
    <w:charset w:val="00"/>
    <w:family w:val="auto"/>
    <w:pitch w:val="variable"/>
    <w:sig w:usb0="00000000" w:usb1="00000000" w:usb2="00000001" w:usb3="00000000" w:csb0="400001BF" w:csb1="DFF70000"/>
  </w:font>
  <w:font w:name="黑体">
    <w:altName w:val="SimHei"/>
    <w:panose1 w:val="02010609060101010101"/>
    <w:charset w:val="86"/>
    <w:family w:val="modern"/>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263525</wp:posOffset>
              </wp:positionV>
              <wp:extent cx="498475" cy="401288"/>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98475" cy="401288"/>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39.25pt;height:31.6pt;margin-top:20.7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1">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3">
    <w:nsid w:val="00000004"/>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4">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7">
    <w:nsid w:val="00000008"/>
    <w:multiLevelType w:val="singleLevel"/>
    <w:tmpl w:val="00000000"/>
    <w:lvl w:ilvl="0">
      <w:start w:val="1"/>
      <w:numFmt w:val="decimal"/>
      <w:lvlText w:val="%1."/>
      <w:lvlJc w:val="left"/>
      <w:pPr>
        <w:tabs>
          <w:tab w:val="num" w:pos="1200"/>
        </w:tabs>
        <w:ind w:left="1200" w:hanging="360"/>
      </w:pPr>
    </w:lvl>
  </w:abstractNum>
  <w:abstractNum w:abstractNumId="8">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5">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00000013"/>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8">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9">
    <w:nsid w:val="00000015"/>
    <w:multiLevelType w:val="singleLevel"/>
    <w:tmpl w:val="AB96E76F"/>
    <w:lvl w:ilvl="0">
      <w:start w:val="6"/>
      <w:numFmt w:val="chineseCounting"/>
      <w:suff w:val="nothing"/>
      <w:lvlText w:val="%1、"/>
      <w:lvlJc w:val="left"/>
      <w:pPr>
        <w:ind w:left="0" w:firstLine="0"/>
      </w:pPr>
    </w:lvl>
  </w:abstractNum>
  <w:abstractNum w:abstractNumId="20">
    <w:nsid w:val="00000017"/>
    <w:multiLevelType w:val="singleLevel"/>
    <w:tmpl w:val="6340CC18"/>
    <w:lvl w:ilvl="0">
      <w:start w:val="3"/>
      <w:numFmt w:val="decimal"/>
      <w:suff w:val="nothing"/>
      <w:lvlText w:val="%1）"/>
      <w:lvlJc w:val="left"/>
      <w:pPr>
        <w:ind w:left="0" w:firstLine="0"/>
      </w:pPr>
    </w:lvl>
  </w:abstractNum>
  <w:abstractNum w:abstractNumId="21">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2">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4">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25">
    <w:nsid w:val="63267430"/>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num w:numId="1">
    <w:abstractNumId w:val="17"/>
  </w:num>
  <w:num w:numId="2">
    <w:abstractNumId w:val="24"/>
  </w:num>
  <w:num w:numId="3">
    <w:abstractNumId w:val="19"/>
  </w:num>
  <w:num w:numId="4">
    <w:abstractNumId w:val="20"/>
  </w:num>
  <w:num w:numId="5">
    <w:abstractNumId w:val="3"/>
  </w:num>
  <w:num w:numId="6">
    <w:abstractNumId w:val="4"/>
  </w:num>
  <w:num w:numId="7">
    <w:abstractNumId w:val="5"/>
  </w:num>
  <w:num w:numId="8">
    <w:abstractNumId w:val="6"/>
  </w:num>
  <w:num w:numId="9">
    <w:abstractNumId w:val="7"/>
  </w:num>
  <w:num w:numId="10">
    <w:abstractNumId w:val="8"/>
  </w:num>
  <w:num w:numId="11">
    <w:abstractNumId w:val="25"/>
  </w:num>
  <w:num w:numId="12">
    <w:abstractNumId w:val="21"/>
  </w:num>
  <w:num w:numId="13">
    <w:abstractNumId w:val="2"/>
  </w:num>
  <w:num w:numId="14">
    <w:abstractNumId w:val="0"/>
  </w:num>
  <w:num w:numId="15">
    <w:abstractNumId w:val="22"/>
  </w:num>
  <w:num w:numId="16">
    <w:abstractNumId w:val="9"/>
  </w:num>
  <w:num w:numId="17">
    <w:abstractNumId w:val="10"/>
  </w:num>
  <w:num w:numId="18">
    <w:abstractNumId w:val="11"/>
  </w:num>
  <w:num w:numId="19">
    <w:abstractNumId w:val="1"/>
  </w:num>
  <w:num w:numId="20">
    <w:abstractNumId w:val="12"/>
  </w:num>
  <w:num w:numId="21">
    <w:abstractNumId w:val="13"/>
  </w:num>
  <w:num w:numId="22">
    <w:abstractNumId w:val="23"/>
  </w:num>
  <w:num w:numId="23">
    <w:abstractNumId w:val="14"/>
  </w:num>
  <w:num w:numId="24">
    <w:abstractNumId w:val="15"/>
  </w:num>
  <w:num w:numId="25">
    <w:abstractNumId w:val="16"/>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5"/>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5"/>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5"/>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5"/>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5"/>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5"/>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6"/>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7"/>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8"/>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9"/>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0"/>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1"/>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4"/>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6"/>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8"/>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9"/>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20"/>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1"/>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1"/>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3"/>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3"/>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4"/>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5"/>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6"/>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9101">
    <w:name w:val="样式 9 三号"/>
    <w:pPr>
      <w:widowControl w:val="0"/>
      <w:jc w:val="both"/>
    </w:pPr>
    <w:rPr>
      <w:rFonts w:ascii="Times New Roman" w:eastAsia="方正仿宋_GBK" w:hAnsi="Times New Roman" w:cs="Times New Roman"/>
      <w:kern w:val="2"/>
      <w:sz w:val="32"/>
      <w:lang w:val="en-US" w:eastAsia="zh-CN" w:bidi="ar-SA"/>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01">
    <w:name w:val="样式 36 小四_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14093511</TotalTime>
  <Pages>126</Pages>
  <Words>87736</Words>
  <Characters>90092</Characters>
  <Application>Microsoft Office Word</Application>
  <DocSecurity>0</DocSecurity>
  <Lines>6340</Lines>
  <Paragraphs>1994</Paragraphs>
  <ScaleCrop>false</ScaleCrop>
  <Company>ms</Company>
  <LinksUpToDate>false</LinksUpToDate>
  <CharactersWithSpaces>92282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郝帅</cp:lastModifiedBy>
  <cp:revision>6</cp:revision>
  <cp:lastPrinted>2020-06-24T09:06:00Z</cp:lastPrinted>
  <dcterms:created xsi:type="dcterms:W3CDTF">2021-11-24T16:33:00Z</dcterms:created>
  <dcterms:modified xsi:type="dcterms:W3CDTF">2024-08-30T09:29:11Z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