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jc w:val="center"/>
        <w:rPr>
          <w:rFonts w:ascii="宋体" w:hint="eastAsia"/>
          <w:b/>
          <w:bCs/>
          <w:color w:val="000000"/>
          <w:sz w:val="84"/>
        </w:rPr>
      </w:pPr>
    </w:p>
    <w:p>
      <w:pPr>
        <w:jc w:val="center"/>
        <w:rPr>
          <w:rFonts w:ascii="宋体" w:hint="eastAsia"/>
          <w:b/>
          <w:bCs/>
          <w:color w:val="000000"/>
          <w:sz w:val="84"/>
        </w:rPr>
      </w:pPr>
    </w:p>
    <w:p>
      <w:pPr>
        <w:jc w:val="center"/>
        <w:rPr>
          <w:rFonts w:ascii="宋体" w:hint="eastAsia"/>
          <w:sz w:val="84"/>
        </w:rPr>
      </w:pPr>
      <w:r>
        <w:rPr>
          <w:rFonts w:ascii="宋体" w:hint="eastAsia"/>
          <w:sz w:val="84"/>
        </w:rPr>
        <w:t xml:space="preserve">招 标 文 件 </w:t>
      </w:r>
    </w:p>
    <w:p>
      <w:pPr>
        <w:ind w:firstLine="420"/>
        <w:jc w:val="center"/>
        <w:rPr>
          <w:rFonts w:ascii="宋体" w:hint="eastAsia"/>
          <w:b/>
          <w:bCs/>
          <w:sz w:val="84"/>
        </w:rPr>
      </w:pPr>
    </w:p>
    <w:p>
      <w:pPr>
        <w:spacing w:line="700" w:lineRule="exact"/>
        <w:ind w:firstLine="320" w:firstLineChars="100"/>
        <w:rPr>
          <w:rFonts w:ascii="宋体" w:hint="eastAsia"/>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rPr>
        <w:t>CG2025-PL-GK-HW-051</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rPr>
        <w:t>海关总署2025年离子色谱仪采购项目</w:t>
      </w:r>
      <w:bookmarkEnd w:id="1"/>
      <w:r>
        <w:rPr>
          <w:rFonts w:ascii="宋体" w:hint="eastAsia"/>
          <w:color w:val="0000FF"/>
          <w:sz w:val="32"/>
        </w:rPr>
        <w:t xml:space="preserve"> </w:t>
      </w: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rPr>
          <w:rFonts w:ascii="宋体" w:hint="eastAsia"/>
          <w:sz w:val="32"/>
        </w:rPr>
      </w:pPr>
    </w:p>
    <w:p>
      <w:pPr>
        <w:spacing w:line="700" w:lineRule="exact"/>
        <w:jc w:val="center"/>
        <w:rPr>
          <w:rFonts w:ascii="宋体" w:hint="eastAsia"/>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2025年09月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3"/>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5162" w:history="1">
        <w:r>
          <w:rPr>
            <w:rFonts w:hint="eastAsia"/>
            <w:highlight w:val="white"/>
          </w:rPr>
          <w:t>第一部分  招标公告</w:t>
        </w:r>
        <w:r>
          <w:tab/>
        </w:r>
        <w:r>
          <w:fldChar w:fldCharType="begin"/>
        </w:r>
        <w:r>
          <w:instrText xml:space="preserve"> PAGEREF _Toc5162 \h </w:instrText>
        </w:r>
        <w:r>
          <w:fldChar w:fldCharType="separate"/>
        </w:r>
        <w:r>
          <w:t>3</w:t>
        </w:r>
        <w:r>
          <w:fldChar w:fldCharType="end"/>
        </w:r>
      </w:hyperlink>
    </w:p>
    <w:p>
      <w:pPr>
        <w:pStyle w:val="TOC1"/>
        <w:tabs>
          <w:tab w:val="right" w:leader="dot" w:pos="8313"/>
        </w:tabs>
      </w:pPr>
      <w:hyperlink w:anchor="_Toc15358" w:history="1">
        <w:r>
          <w:rPr>
            <w:rFonts w:hint="eastAsia"/>
          </w:rPr>
          <w:t>第二部分  投标人须知</w:t>
        </w:r>
        <w:r>
          <w:tab/>
        </w:r>
        <w:r>
          <w:fldChar w:fldCharType="begin"/>
        </w:r>
        <w:r>
          <w:instrText xml:space="preserve"> PAGEREF _Toc15358 \h </w:instrText>
        </w:r>
        <w:r>
          <w:fldChar w:fldCharType="separate"/>
        </w:r>
        <w:r>
          <w:t>7</w:t>
        </w:r>
        <w:r>
          <w:fldChar w:fldCharType="end"/>
        </w:r>
      </w:hyperlink>
    </w:p>
    <w:p>
      <w:pPr>
        <w:pStyle w:val="TOC1"/>
        <w:tabs>
          <w:tab w:val="right" w:leader="dot" w:pos="8313"/>
        </w:tabs>
      </w:pPr>
      <w:hyperlink w:anchor="_Toc28326" w:history="1">
        <w:r>
          <w:rPr>
            <w:rFonts w:hint="eastAsia"/>
            <w:lang w:val="en-US" w:eastAsia="zh-CN"/>
          </w:rPr>
          <w:t>第三部分  项目需求书</w:t>
        </w:r>
        <w:r>
          <w:tab/>
        </w:r>
        <w:r>
          <w:fldChar w:fldCharType="begin"/>
        </w:r>
        <w:r>
          <w:instrText xml:space="preserve"> PAGEREF _Toc28326 \h </w:instrText>
        </w:r>
        <w:r>
          <w:fldChar w:fldCharType="separate"/>
        </w:r>
        <w:r>
          <w:t>25</w:t>
        </w:r>
        <w:r>
          <w:fldChar w:fldCharType="end"/>
        </w:r>
      </w:hyperlink>
    </w:p>
    <w:p>
      <w:pPr>
        <w:pStyle w:val="TOC1"/>
        <w:tabs>
          <w:tab w:val="right" w:leader="dot" w:pos="8313"/>
        </w:tabs>
      </w:pPr>
      <w:hyperlink w:anchor="_Toc20017" w:history="1">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r>
          <w:tab/>
        </w:r>
        <w:r>
          <w:fldChar w:fldCharType="begin"/>
        </w:r>
        <w:r>
          <w:instrText xml:space="preserve"> PAGEREF _Toc20017 \h </w:instrText>
        </w:r>
        <w:r>
          <w:fldChar w:fldCharType="separate"/>
        </w:r>
        <w:r>
          <w:t>26</w:t>
        </w:r>
        <w:r>
          <w:fldChar w:fldCharType="end"/>
        </w:r>
      </w:hyperlink>
    </w:p>
    <w:p>
      <w:pPr>
        <w:pStyle w:val="TOC1"/>
        <w:tabs>
          <w:tab w:val="right" w:leader="dot" w:pos="8313"/>
        </w:tabs>
      </w:pPr>
      <w:hyperlink w:anchor="_Toc10042"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 xml:space="preserve"> PAGEREF _Toc10042 \h </w:instrText>
        </w:r>
        <w:r>
          <w:fldChar w:fldCharType="separate"/>
        </w:r>
        <w:r>
          <w:t>30</w:t>
        </w:r>
        <w:r>
          <w:fldChar w:fldCharType="end"/>
        </w:r>
      </w:hyperlink>
    </w:p>
    <w:p>
      <w:pPr>
        <w:pStyle w:val="TOC1"/>
        <w:tabs>
          <w:tab w:val="right" w:leader="dot" w:pos="8313"/>
        </w:tabs>
      </w:pPr>
      <w:hyperlink w:anchor="_Toc23184" w:history="1">
        <w:r>
          <w:rPr>
            <w:rFonts w:hint="eastAsia"/>
            <w:highlight w:val="white"/>
          </w:rPr>
          <w:t>第六部分  投标文件格式</w:t>
        </w:r>
        <w:r>
          <w:tab/>
        </w:r>
        <w:r>
          <w:fldChar w:fldCharType="begin"/>
        </w:r>
        <w:r>
          <w:instrText xml:space="preserve"> PAGEREF _Toc23184 \h </w:instrText>
        </w:r>
        <w:r>
          <w:fldChar w:fldCharType="separate"/>
        </w:r>
        <w:r>
          <w:t>31</w:t>
        </w:r>
        <w:r>
          <w:fldChar w:fldCharType="end"/>
        </w:r>
      </w:hyperlink>
    </w:p>
    <w:p>
      <w:pPr>
        <w:pStyle w:val="TOC1"/>
        <w:tabs>
          <w:tab w:val="right" w:leader="dot" w:pos="8306"/>
        </w:tabs>
      </w:pPr>
      <w:r>
        <w:rPr>
          <w:rFonts w:ascii="Calibri" w:eastAsia="等线" w:hAnsi="Calibri"/>
          <w:sz w:val="44"/>
          <w:szCs w:val="44"/>
          <w:highlight w:val="white"/>
        </w:rPr>
        <w:fldChar w:fldCharType="end"/>
      </w:r>
    </w:p>
    <w:p>
      <w:pPr>
        <w:rPr>
          <w:rFonts w:ascii="Calibri" w:hAnsi="Calibri" w:hint="eastAsia"/>
          <w:b/>
          <w:sz w:val="44"/>
          <w:szCs w:val="44"/>
          <w:highlight w:val="white"/>
        </w:rPr>
      </w:pPr>
    </w:p>
    <w:p>
      <w:pPr>
        <w:pStyle w:val="Heading1"/>
        <w:rPr>
          <w:rFonts w:hint="eastAsia"/>
          <w:szCs w:val="21"/>
          <w:highlight w:val="yellow"/>
        </w:rPr>
      </w:pPr>
      <w:r>
        <w:rPr>
          <w:highlight w:val="white"/>
        </w:rPr>
        <w:br w:type="page"/>
      </w:r>
      <w:bookmarkStart w:id="3" w:name="_Toc27539"/>
      <w:bookmarkStart w:id="4" w:name="_Toc5162"/>
      <w:r>
        <w:rPr>
          <w:rFonts w:hint="eastAsia"/>
          <w:highlight w:val="white"/>
        </w:rPr>
        <w:t>第一部分  招标公告</w:t>
      </w:r>
      <w:bookmarkEnd w:id="3"/>
      <w:bookmarkEnd w:id="4"/>
    </w:p>
    <w:p>
      <w:pPr>
        <w:autoSpaceDN w:val="0"/>
        <w:spacing w:line="360" w:lineRule="auto"/>
        <w:ind w:firstLine="480"/>
        <w:rPr>
          <w:rFonts w:ascii="宋体" w:hint="eastAsia"/>
          <w:sz w:val="24"/>
        </w:rPr>
      </w:pPr>
      <w:bookmarkStart w:id="5" w:name="采购公告_ZBGG"/>
      <w:r>
        <w:rPr>
          <w:rFonts w:ascii="宋体" w:hint="eastAsia"/>
          <w:sz w:val="24"/>
        </w:rPr>
        <w:t>海关总署物资装备采购中心就</w:t>
      </w:r>
      <w:r>
        <w:rPr>
          <w:rFonts w:ascii="宋体" w:hint="eastAsia"/>
          <w:sz w:val="24"/>
        </w:rPr>
        <w:t>“</w:t>
      </w:r>
      <w:bookmarkStart w:id="6" w:name="项目_projectName_2"/>
      <w:r>
        <w:rPr>
          <w:rFonts w:ascii="宋体" w:hint="eastAsia"/>
          <w:b/>
          <w:bCs/>
          <w:color w:val="0000FF"/>
          <w:sz w:val="24"/>
        </w:rPr>
        <w:t>海关总署2025年离子色谱仪采购项目</w:t>
      </w:r>
      <w:bookmarkEnd w:id="6"/>
      <w:r>
        <w:rPr>
          <w:rFonts w:ascii="宋体" w:hint="eastAsia"/>
          <w:sz w:val="24"/>
        </w:rPr>
        <w:t>”</w:t>
      </w:r>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7" w:name="项目_projectNo"/>
      <w:r>
        <w:rPr>
          <w:rFonts w:ascii="宋体" w:hint="eastAsia"/>
          <w:b/>
          <w:bCs/>
          <w:color w:val="0000FF"/>
          <w:sz w:val="24"/>
        </w:rPr>
        <w:t>CG2025-PL-GK-HW-051</w:t>
      </w:r>
      <w:bookmarkEnd w:id="7"/>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8" w:name="项目_projectName_3"/>
      <w:r>
        <w:rPr>
          <w:rFonts w:ascii="宋体" w:hint="eastAsia"/>
          <w:b/>
          <w:bCs/>
          <w:color w:val="0000FF"/>
          <w:sz w:val="24"/>
        </w:rPr>
        <w:t>海关总署2025年离子色谱仪采购项目</w:t>
      </w:r>
      <w:bookmarkEnd w:id="8"/>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9" w:name="项目预算和包件预算_0"/>
      <w:r>
        <w:rPr>
          <w:rFonts w:ascii="宋体" w:hint="eastAsia"/>
          <w:b/>
          <w:bCs/>
          <w:color w:val="0000FF"/>
          <w:sz w:val="24"/>
        </w:rPr>
        <w:t>本项目预算金额合计总金额人民币28,210,000.00元，其中包1人民币13,040,000.00元，包2人民币15,170,000.00元。</w:t>
      </w:r>
      <w:bookmarkEnd w:id="9"/>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（一）货物内容</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816"/>
        <w:gridCol w:w="620"/>
        <w:gridCol w:w="1009"/>
        <w:gridCol w:w="652"/>
        <w:gridCol w:w="1271"/>
        <w:gridCol w:w="1271"/>
        <w:gridCol w:w="1073"/>
        <w:gridCol w:w="1037"/>
      </w:tblGrid>
      <w:tr>
        <w:tblPrEx>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rPr>
          <w:jc w:val="center"/>
        </w:trPr>
        <w:tc>
          <w:tcPr>
            <w:tcW w:w="816" w:type="dxa"/>
          </w:tcPr>
          <w:p>
            <w:pPr>
              <w:spacing w:after="120" w:line="240" w:lineRule="auto"/>
              <w:rPr>
                <w:rFonts w:ascii="宋体" w:hint="eastAsia"/>
                <w:b/>
                <w:color w:val="0000FF"/>
                <w:sz w:val="24"/>
                <w:highlight w:val="white"/>
              </w:rPr>
            </w:pPr>
            <w:bookmarkStart w:id="10" w:name="货物一览表_packageName"/>
            <w:r>
              <w:rPr>
                <w:rFonts w:ascii="宋体" w:hint="eastAsia"/>
                <w:b/>
                <w:color w:val="0000FF"/>
                <w:sz w:val="24"/>
                <w:highlight w:val="white"/>
              </w:rPr>
              <w:t>包件号</w:t>
            </w:r>
            <w:bookmarkEnd w:id="10"/>
          </w:p>
        </w:tc>
        <w:tc>
          <w:tcPr>
            <w:tcW w:w="620" w:type="dxa"/>
          </w:tcPr>
          <w:p>
            <w:pPr>
              <w:spacing w:after="120" w:line="240" w:lineRule="auto"/>
              <w:rPr>
                <w:rFonts w:ascii="宋体" w:hint="eastAsia"/>
                <w:b/>
                <w:color w:val="0000FF"/>
                <w:sz w:val="24"/>
                <w:highlight w:val="white"/>
              </w:rPr>
            </w:pPr>
            <w:bookmarkStart w:id="11" w:name="货物一览表_index"/>
            <w:r>
              <w:rPr>
                <w:rFonts w:ascii="宋体" w:hint="eastAsia"/>
                <w:b/>
                <w:color w:val="0000FF"/>
                <w:sz w:val="24"/>
                <w:highlight w:val="white"/>
              </w:rPr>
              <w:t>序号</w:t>
            </w:r>
            <w:bookmarkEnd w:id="11"/>
          </w:p>
        </w:tc>
        <w:tc>
          <w:tcPr>
            <w:tcW w:w="1009" w:type="dxa"/>
          </w:tcPr>
          <w:p>
            <w:pPr>
              <w:spacing w:after="120" w:line="240" w:lineRule="auto"/>
              <w:rPr>
                <w:rFonts w:ascii="宋体" w:hint="eastAsia"/>
                <w:b/>
                <w:color w:val="0000FF"/>
                <w:sz w:val="24"/>
                <w:highlight w:val="white"/>
              </w:rPr>
            </w:pPr>
            <w:bookmarkStart w:id="12" w:name="货物一览表_goodsName"/>
            <w:r>
              <w:rPr>
                <w:rFonts w:ascii="宋体" w:hint="eastAsia"/>
                <w:b/>
                <w:color w:val="0000FF"/>
                <w:sz w:val="24"/>
                <w:highlight w:val="white"/>
              </w:rPr>
              <w:t>品目名称</w:t>
            </w:r>
            <w:bookmarkEnd w:id="12"/>
          </w:p>
        </w:tc>
        <w:tc>
          <w:tcPr>
            <w:tcW w:w="652" w:type="dxa"/>
          </w:tcPr>
          <w:p>
            <w:pPr>
              <w:spacing w:after="120" w:line="240" w:lineRule="auto"/>
              <w:rPr>
                <w:rFonts w:ascii="宋体" w:hint="eastAsia"/>
                <w:b/>
                <w:color w:val="0000FF"/>
                <w:sz w:val="24"/>
                <w:highlight w:val="white"/>
              </w:rPr>
            </w:pPr>
            <w:bookmarkStart w:id="13" w:name="货物一览表_nums"/>
            <w:r>
              <w:rPr>
                <w:rFonts w:ascii="宋体" w:hint="eastAsia"/>
                <w:b/>
                <w:color w:val="0000FF"/>
                <w:sz w:val="24"/>
                <w:highlight w:val="white"/>
              </w:rPr>
              <w:t>数量</w:t>
            </w:r>
            <w:bookmarkEnd w:id="13"/>
          </w:p>
        </w:tc>
        <w:tc>
          <w:tcPr>
            <w:tcW w:w="1271" w:type="dxa"/>
          </w:tcPr>
          <w:p>
            <w:pPr>
              <w:spacing w:after="120" w:line="240" w:lineRule="auto"/>
              <w:rPr>
                <w:rFonts w:ascii="宋体" w:hint="eastAsia"/>
                <w:b/>
                <w:color w:val="0000FF"/>
                <w:sz w:val="24"/>
                <w:highlight w:val="white"/>
              </w:rPr>
            </w:pPr>
            <w:bookmarkStart w:id="14" w:name="货物一览表_price"/>
            <w:r>
              <w:rPr>
                <w:rFonts w:ascii="宋体" w:hint="eastAsia"/>
                <w:b/>
                <w:color w:val="0000FF"/>
                <w:sz w:val="24"/>
                <w:highlight w:val="white"/>
                <w:lang w:val="en-US" w:eastAsia="zh-CN"/>
              </w:rPr>
              <w:t>单价预算（元）</w:t>
            </w:r>
            <w:bookmarkEnd w:id="14"/>
          </w:p>
        </w:tc>
        <w:tc>
          <w:tcPr>
            <w:tcW w:w="1271" w:type="dxa"/>
          </w:tcPr>
          <w:p>
            <w:pPr>
              <w:spacing w:after="120" w:line="240" w:lineRule="auto"/>
              <w:rPr>
                <w:rFonts w:ascii="宋体" w:hint="eastAsia"/>
                <w:b/>
                <w:color w:val="0000FF"/>
                <w:sz w:val="24"/>
                <w:highlight w:val="white"/>
              </w:rPr>
            </w:pPr>
            <w:bookmarkStart w:id="15" w:name="货物一览表_deliveryDate"/>
            <w:r>
              <w:rPr>
                <w:rFonts w:ascii="宋体" w:hint="eastAsia"/>
                <w:b/>
                <w:color w:val="0000FF"/>
                <w:sz w:val="24"/>
                <w:highlight w:val="white"/>
              </w:rPr>
              <w:t>交货期</w:t>
            </w:r>
            <w:bookmarkEnd w:id="15"/>
          </w:p>
        </w:tc>
        <w:tc>
          <w:tcPr>
            <w:tcW w:w="1073" w:type="dxa"/>
          </w:tcPr>
          <w:p>
            <w:pPr>
              <w:spacing w:after="120" w:line="240" w:lineRule="auto"/>
              <w:rPr>
                <w:rFonts w:ascii="宋体" w:hint="eastAsia"/>
                <w:b/>
                <w:color w:val="0000FF"/>
                <w:sz w:val="24"/>
                <w:highlight w:val="white"/>
              </w:rPr>
            </w:pPr>
            <w:bookmarkStart w:id="16" w:name="货物一览表_deliveryPlace"/>
            <w:r>
              <w:rPr>
                <w:rFonts w:ascii="宋体" w:hint="eastAsia"/>
                <w:b/>
                <w:color w:val="0000FF"/>
                <w:sz w:val="24"/>
                <w:highlight w:val="white"/>
              </w:rPr>
              <w:t>交货地点</w:t>
            </w:r>
            <w:bookmarkEnd w:id="16"/>
          </w:p>
        </w:tc>
        <w:tc>
          <w:tcPr>
            <w:tcW w:w="1037" w:type="dxa"/>
          </w:tcPr>
          <w:p>
            <w:pPr>
              <w:spacing w:after="120" w:line="240" w:lineRule="auto"/>
              <w:rPr>
                <w:rFonts w:ascii="宋体" w:hint="eastAsia"/>
                <w:b/>
                <w:color w:val="0000FF"/>
                <w:sz w:val="24"/>
                <w:highlight w:val="white"/>
              </w:rPr>
            </w:pPr>
            <w:bookmarkStart w:id="17" w:name="货物一览表_warrantyPeriod"/>
            <w:r>
              <w:rPr>
                <w:rFonts w:ascii="宋体" w:hint="eastAsia"/>
                <w:b/>
                <w:color w:val="0000FF"/>
                <w:sz w:val="24"/>
                <w:szCs w:val="24"/>
                <w:highlight w:val="white"/>
                <w:lang w:val="en-US" w:eastAsia="zh-CN"/>
              </w:rPr>
              <w:t>质保期</w:t>
            </w:r>
            <w:bookmarkEnd w:id="17"/>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Merge w:val="restart"/>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1</w:t>
            </w:r>
          </w:p>
        </w:tc>
        <w:tc>
          <w:tcPr>
            <w:tcW w:w="1009" w:type="dxa"/>
          </w:tcPr>
          <w:p>
            <w:pPr>
              <w:spacing w:after="120" w:line="240" w:lineRule="auto"/>
              <w:rPr>
                <w:rFonts w:ascii="宋体" w:hint="eastAsia"/>
                <w:b/>
                <w:color w:val="0000FF"/>
                <w:sz w:val="24"/>
                <w:highlight w:val="white"/>
              </w:rPr>
            </w:pPr>
            <w:r>
              <w:t>离子色谱仪1</w:t>
            </w:r>
          </w:p>
        </w:tc>
        <w:tc>
          <w:tcPr>
            <w:tcW w:w="652" w:type="dxa"/>
          </w:tcPr>
          <w:p>
            <w:pPr>
              <w:spacing w:after="120" w:line="240" w:lineRule="auto"/>
              <w:rPr>
                <w:rFonts w:ascii="宋体" w:hint="eastAsia"/>
                <w:b/>
                <w:color w:val="0000FF"/>
                <w:sz w:val="24"/>
                <w:highlight w:val="white"/>
              </w:rPr>
            </w:pPr>
            <w:r>
              <w:t>10</w:t>
            </w:r>
          </w:p>
        </w:tc>
        <w:tc>
          <w:tcPr>
            <w:tcW w:w="1271" w:type="dxa"/>
          </w:tcPr>
          <w:p>
            <w:pPr>
              <w:spacing w:after="120" w:line="240" w:lineRule="auto"/>
              <w:rPr>
                <w:rFonts w:ascii="宋体" w:hint="eastAsia"/>
                <w:b/>
                <w:color w:val="0000FF"/>
                <w:sz w:val="24"/>
                <w:highlight w:val="white"/>
              </w:rPr>
            </w:pPr>
            <w:r>
              <w:t>750,000.00</w:t>
            </w:r>
          </w:p>
        </w:tc>
        <w:tc>
          <w:tcPr>
            <w:tcW w:w="1271" w:type="dxa"/>
            <w:vMerge w:val="restart"/>
            <w:vAlign w:val="center"/>
          </w:tcPr>
          <w:p>
            <w:pPr>
              <w:spacing w:after="120" w:line="240" w:lineRule="auto"/>
              <w:rPr>
                <w:rFonts w:ascii="宋体" w:hint="eastAsia"/>
                <w:b/>
                <w:color w:val="0000FF"/>
                <w:sz w:val="24"/>
                <w:highlight w:val="white"/>
              </w:rPr>
            </w:pPr>
            <w:r>
              <w:t>不得超过正式签订合同后30个日历日。</w:t>
            </w:r>
          </w:p>
        </w:tc>
        <w:tc>
          <w:tcPr>
            <w:tcW w:w="1073" w:type="dxa"/>
            <w:vMerge w:val="restart"/>
            <w:vAlign w:val="center"/>
          </w:tcPr>
          <w:p>
            <w:pPr>
              <w:spacing w:after="120" w:line="240" w:lineRule="auto"/>
              <w:rPr>
                <w:rFonts w:ascii="宋体" w:hint="eastAsia"/>
                <w:b/>
                <w:color w:val="0000FF"/>
                <w:sz w:val="24"/>
                <w:highlight w:val="white"/>
              </w:rPr>
            </w:pPr>
            <w:r>
              <w:t>交货地点为分配表中所列出直属海关关区内的指定地点，具体安装地点以合同签订中要求为准。</w:t>
            </w:r>
          </w:p>
        </w:tc>
        <w:tc>
          <w:tcPr>
            <w:tcW w:w="1037" w:type="dxa"/>
            <w:vMerge w:val="restart"/>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2</w:t>
            </w:r>
          </w:p>
        </w:tc>
        <w:tc>
          <w:tcPr>
            <w:tcW w:w="1009" w:type="dxa"/>
          </w:tcPr>
          <w:p>
            <w:pPr>
              <w:spacing w:after="120" w:line="240" w:lineRule="auto"/>
              <w:rPr>
                <w:rFonts w:ascii="宋体" w:hint="eastAsia"/>
                <w:b/>
                <w:color w:val="0000FF"/>
                <w:sz w:val="24"/>
                <w:highlight w:val="white"/>
              </w:rPr>
            </w:pPr>
            <w:r>
              <w:t>离子色谱仪2</w:t>
            </w:r>
          </w:p>
        </w:tc>
        <w:tc>
          <w:tcPr>
            <w:tcW w:w="652" w:type="dxa"/>
          </w:tcPr>
          <w:p>
            <w:pPr>
              <w:spacing w:after="120" w:line="240" w:lineRule="auto"/>
              <w:rPr>
                <w:rFonts w:ascii="宋体" w:hint="eastAsia"/>
                <w:b/>
                <w:color w:val="0000FF"/>
                <w:sz w:val="24"/>
                <w:highlight w:val="white"/>
              </w:rPr>
            </w:pPr>
            <w:r>
              <w:t>10</w:t>
            </w:r>
          </w:p>
        </w:tc>
        <w:tc>
          <w:tcPr>
            <w:tcW w:w="1271" w:type="dxa"/>
          </w:tcPr>
          <w:p>
            <w:pPr>
              <w:spacing w:after="120" w:line="240" w:lineRule="auto"/>
              <w:rPr>
                <w:rFonts w:ascii="宋体" w:hint="eastAsia"/>
                <w:b/>
                <w:color w:val="0000FF"/>
                <w:sz w:val="24"/>
                <w:highlight w:val="white"/>
              </w:rPr>
            </w:pPr>
            <w:r>
              <w:t>380,000.00</w:t>
            </w:r>
          </w:p>
        </w:tc>
        <w:tc>
          <w:tcPr>
            <w:tcW w:w="0" w:type="dxa"/>
            <w:vMerge/>
            <w:vAlign w:val="center"/>
          </w:tcPr>
          <w:p>
            <w:pPr>
              <w:spacing w:after="120" w:line="240" w:lineRule="auto"/>
              <w:rPr>
                <w:rFonts w:ascii="宋体" w:hint="eastAsia"/>
                <w:b/>
                <w:color w:val="0000FF"/>
                <w:sz w:val="24"/>
                <w:highlight w:val="white"/>
              </w:rPr>
            </w:pPr>
            <w:r>
              <w:t>不得超过正式签订合同后30个日历日。</w:t>
            </w:r>
          </w:p>
        </w:tc>
        <w:tc>
          <w:tcPr>
            <w:tcW w:w="0" w:type="dxa"/>
            <w:vMerge/>
            <w:vAlign w:val="center"/>
          </w:tcPr>
          <w:p>
            <w:pPr>
              <w:spacing w:after="120" w:line="240" w:lineRule="auto"/>
              <w:rPr>
                <w:rFonts w:ascii="宋体" w:hint="eastAsia"/>
                <w:b/>
                <w:color w:val="0000FF"/>
                <w:sz w:val="24"/>
                <w:highlight w:val="white"/>
              </w:rPr>
            </w:pPr>
            <w:r>
              <w:t>交货地点为分配表中所列出直属海关关区内的指定地点，具体安装地点以合同签订中要求为准。</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3</w:t>
            </w:r>
          </w:p>
        </w:tc>
        <w:tc>
          <w:tcPr>
            <w:tcW w:w="1009" w:type="dxa"/>
          </w:tcPr>
          <w:p>
            <w:pPr>
              <w:spacing w:after="120" w:line="240" w:lineRule="auto"/>
              <w:rPr>
                <w:rFonts w:ascii="宋体" w:hint="eastAsia"/>
                <w:b/>
                <w:color w:val="0000FF"/>
                <w:sz w:val="24"/>
                <w:highlight w:val="white"/>
              </w:rPr>
            </w:pPr>
            <w:r>
              <w:t>离子色谱仪3</w:t>
            </w:r>
          </w:p>
        </w:tc>
        <w:tc>
          <w:tcPr>
            <w:tcW w:w="652" w:type="dxa"/>
          </w:tcPr>
          <w:p>
            <w:pPr>
              <w:spacing w:after="120" w:line="240" w:lineRule="auto"/>
              <w:rPr>
                <w:rFonts w:ascii="宋体" w:hint="eastAsia"/>
                <w:b/>
                <w:color w:val="0000FF"/>
                <w:sz w:val="24"/>
                <w:highlight w:val="white"/>
              </w:rPr>
            </w:pPr>
            <w:r>
              <w:t>3</w:t>
            </w:r>
          </w:p>
        </w:tc>
        <w:tc>
          <w:tcPr>
            <w:tcW w:w="1271" w:type="dxa"/>
          </w:tcPr>
          <w:p>
            <w:pPr>
              <w:spacing w:after="120" w:line="240" w:lineRule="auto"/>
              <w:rPr>
                <w:rFonts w:ascii="宋体" w:hint="eastAsia"/>
                <w:b/>
                <w:color w:val="0000FF"/>
                <w:sz w:val="24"/>
                <w:highlight w:val="white"/>
              </w:rPr>
            </w:pPr>
            <w:r>
              <w:t>580,000.00</w:t>
            </w:r>
          </w:p>
        </w:tc>
        <w:tc>
          <w:tcPr>
            <w:tcW w:w="0" w:type="dxa"/>
            <w:vMerge/>
            <w:vAlign w:val="center"/>
          </w:tcPr>
          <w:p>
            <w:pPr>
              <w:spacing w:after="120" w:line="240" w:lineRule="auto"/>
              <w:rPr>
                <w:rFonts w:ascii="宋体" w:hint="eastAsia"/>
                <w:b/>
                <w:color w:val="0000FF"/>
                <w:sz w:val="24"/>
                <w:highlight w:val="white"/>
              </w:rPr>
            </w:pPr>
            <w:r>
              <w:t>不得超过正式签订合同后30个日历日。</w:t>
            </w:r>
          </w:p>
        </w:tc>
        <w:tc>
          <w:tcPr>
            <w:tcW w:w="0" w:type="dxa"/>
            <w:vMerge/>
            <w:vAlign w:val="center"/>
          </w:tcPr>
          <w:p>
            <w:pPr>
              <w:spacing w:after="120" w:line="240" w:lineRule="auto"/>
              <w:rPr>
                <w:rFonts w:ascii="宋体" w:hint="eastAsia"/>
                <w:b/>
                <w:color w:val="0000FF"/>
                <w:sz w:val="24"/>
                <w:highlight w:val="white"/>
              </w:rPr>
            </w:pPr>
            <w:r>
              <w:t>交货地点为分配表中所列出直属海关关区内的指定地点，具体安装地点以合同签订中要求为准。</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Merge w:val="restart"/>
            <w:vAlign w:val="center"/>
          </w:tcPr>
          <w:p>
            <w:pPr>
              <w:spacing w:after="120" w:line="240" w:lineRule="auto"/>
              <w:rPr>
                <w:rFonts w:ascii="宋体" w:hint="eastAsia"/>
                <w:b/>
                <w:color w:val="0000FF"/>
                <w:sz w:val="24"/>
                <w:highlight w:val="white"/>
              </w:rPr>
            </w:pPr>
            <w:r>
              <w:t>包件2</w:t>
            </w:r>
          </w:p>
        </w:tc>
        <w:tc>
          <w:tcPr>
            <w:tcW w:w="620" w:type="dxa"/>
          </w:tcPr>
          <w:p>
            <w:pPr>
              <w:spacing w:after="120" w:line="240" w:lineRule="auto"/>
              <w:rPr>
                <w:rFonts w:ascii="宋体" w:hint="eastAsia"/>
                <w:b/>
                <w:color w:val="0000FF"/>
                <w:sz w:val="24"/>
                <w:highlight w:val="white"/>
              </w:rPr>
            </w:pPr>
            <w:r>
              <w:t>1</w:t>
            </w:r>
          </w:p>
        </w:tc>
        <w:tc>
          <w:tcPr>
            <w:tcW w:w="1009" w:type="dxa"/>
          </w:tcPr>
          <w:p>
            <w:pPr>
              <w:spacing w:after="120" w:line="240" w:lineRule="auto"/>
              <w:rPr>
                <w:rFonts w:ascii="宋体" w:hint="eastAsia"/>
                <w:b/>
                <w:color w:val="0000FF"/>
                <w:sz w:val="24"/>
                <w:highlight w:val="white"/>
              </w:rPr>
            </w:pPr>
            <w:r>
              <w:t>离子色谱仪4</w:t>
            </w:r>
          </w:p>
        </w:tc>
        <w:tc>
          <w:tcPr>
            <w:tcW w:w="652" w:type="dxa"/>
          </w:tcPr>
          <w:p>
            <w:pPr>
              <w:spacing w:after="120" w:line="240" w:lineRule="auto"/>
              <w:rPr>
                <w:rFonts w:ascii="宋体" w:hint="eastAsia"/>
                <w:b/>
                <w:color w:val="0000FF"/>
                <w:sz w:val="24"/>
                <w:highlight w:val="white"/>
              </w:rPr>
            </w:pPr>
            <w:r>
              <w:t>12</w:t>
            </w:r>
          </w:p>
        </w:tc>
        <w:tc>
          <w:tcPr>
            <w:tcW w:w="1271" w:type="dxa"/>
          </w:tcPr>
          <w:p>
            <w:pPr>
              <w:spacing w:after="120" w:line="240" w:lineRule="auto"/>
              <w:rPr>
                <w:rFonts w:ascii="宋体" w:hint="eastAsia"/>
                <w:b/>
                <w:color w:val="0000FF"/>
                <w:sz w:val="24"/>
                <w:highlight w:val="white"/>
              </w:rPr>
            </w:pPr>
            <w:r>
              <w:t>1,200,000.00</w:t>
            </w:r>
          </w:p>
        </w:tc>
        <w:tc>
          <w:tcPr>
            <w:tcW w:w="0" w:type="dxa"/>
            <w:vMerge/>
            <w:vAlign w:val="center"/>
          </w:tcPr>
          <w:p>
            <w:pPr>
              <w:spacing w:after="120" w:line="240" w:lineRule="auto"/>
              <w:rPr>
                <w:rFonts w:ascii="宋体" w:hint="eastAsia"/>
                <w:b/>
                <w:color w:val="0000FF"/>
                <w:sz w:val="24"/>
                <w:highlight w:val="white"/>
              </w:rPr>
            </w:pPr>
            <w:r>
              <w:t>不得超过正式签订合同后30个日历日。</w:t>
            </w:r>
          </w:p>
        </w:tc>
        <w:tc>
          <w:tcPr>
            <w:tcW w:w="0" w:type="dxa"/>
            <w:vMerge/>
            <w:vAlign w:val="center"/>
          </w:tcPr>
          <w:p>
            <w:pPr>
              <w:spacing w:after="120" w:line="240" w:lineRule="auto"/>
              <w:rPr>
                <w:rFonts w:ascii="宋体" w:hint="eastAsia"/>
                <w:b/>
                <w:color w:val="0000FF"/>
                <w:sz w:val="24"/>
                <w:highlight w:val="white"/>
              </w:rPr>
            </w:pPr>
            <w:r>
              <w:t>交货地点为分配表中所列出直属海关关区内的指定地点，具体安装地点以合同签订中要求为准。</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包件2</w:t>
            </w:r>
          </w:p>
        </w:tc>
        <w:tc>
          <w:tcPr>
            <w:tcW w:w="620" w:type="dxa"/>
          </w:tcPr>
          <w:p>
            <w:pPr>
              <w:spacing w:after="120" w:line="240" w:lineRule="auto"/>
              <w:rPr>
                <w:rFonts w:ascii="宋体" w:hint="eastAsia"/>
                <w:b/>
                <w:color w:val="0000FF"/>
                <w:sz w:val="24"/>
                <w:highlight w:val="white"/>
              </w:rPr>
            </w:pPr>
            <w:r>
              <w:t>2</w:t>
            </w:r>
          </w:p>
        </w:tc>
        <w:tc>
          <w:tcPr>
            <w:tcW w:w="1009" w:type="dxa"/>
          </w:tcPr>
          <w:p>
            <w:pPr>
              <w:spacing w:after="120" w:line="240" w:lineRule="auto"/>
              <w:rPr>
                <w:rFonts w:ascii="宋体" w:hint="eastAsia"/>
                <w:b/>
                <w:color w:val="0000FF"/>
                <w:sz w:val="24"/>
                <w:highlight w:val="white"/>
              </w:rPr>
            </w:pPr>
            <w:r>
              <w:t>离子色谱仪5</w:t>
            </w:r>
          </w:p>
        </w:tc>
        <w:tc>
          <w:tcPr>
            <w:tcW w:w="652" w:type="dxa"/>
          </w:tcPr>
          <w:p>
            <w:pPr>
              <w:spacing w:after="120" w:line="240" w:lineRule="auto"/>
              <w:rPr>
                <w:rFonts w:ascii="宋体" w:hint="eastAsia"/>
                <w:b/>
                <w:color w:val="0000FF"/>
                <w:sz w:val="24"/>
                <w:highlight w:val="white"/>
              </w:rPr>
            </w:pPr>
            <w:r>
              <w:t>1</w:t>
            </w:r>
          </w:p>
        </w:tc>
        <w:tc>
          <w:tcPr>
            <w:tcW w:w="1271" w:type="dxa"/>
          </w:tcPr>
          <w:p>
            <w:pPr>
              <w:spacing w:after="120" w:line="240" w:lineRule="auto"/>
              <w:rPr>
                <w:rFonts w:ascii="宋体" w:hint="eastAsia"/>
                <w:b/>
                <w:color w:val="0000FF"/>
                <w:sz w:val="24"/>
                <w:highlight w:val="white"/>
              </w:rPr>
            </w:pPr>
            <w:r>
              <w:t>300,000.00</w:t>
            </w:r>
          </w:p>
        </w:tc>
        <w:tc>
          <w:tcPr>
            <w:tcW w:w="0" w:type="dxa"/>
            <w:vMerge/>
            <w:vAlign w:val="center"/>
          </w:tcPr>
          <w:p>
            <w:pPr>
              <w:spacing w:after="120" w:line="240" w:lineRule="auto"/>
              <w:rPr>
                <w:rFonts w:ascii="宋体" w:hint="eastAsia"/>
                <w:b/>
                <w:color w:val="0000FF"/>
                <w:sz w:val="24"/>
                <w:highlight w:val="white"/>
              </w:rPr>
            </w:pPr>
            <w:r>
              <w:t>不得超过正式签订合同后30个日历日。</w:t>
            </w:r>
          </w:p>
        </w:tc>
        <w:tc>
          <w:tcPr>
            <w:tcW w:w="0" w:type="dxa"/>
            <w:vMerge/>
            <w:vAlign w:val="center"/>
          </w:tcPr>
          <w:p>
            <w:pPr>
              <w:spacing w:after="120" w:line="240" w:lineRule="auto"/>
              <w:rPr>
                <w:rFonts w:ascii="宋体" w:hint="eastAsia"/>
                <w:b/>
                <w:color w:val="0000FF"/>
                <w:sz w:val="24"/>
                <w:highlight w:val="white"/>
              </w:rPr>
            </w:pPr>
            <w:r>
              <w:t>交货地点为分配表中所列出直属海关关区内的指定地点，具体安装地点以合同签订中要求为准。</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包件2</w:t>
            </w:r>
          </w:p>
        </w:tc>
        <w:tc>
          <w:tcPr>
            <w:tcW w:w="620" w:type="dxa"/>
          </w:tcPr>
          <w:p>
            <w:pPr>
              <w:spacing w:after="120" w:line="240" w:lineRule="auto"/>
              <w:rPr>
                <w:rFonts w:ascii="宋体" w:hint="eastAsia"/>
                <w:b/>
                <w:color w:val="0000FF"/>
                <w:sz w:val="24"/>
                <w:highlight w:val="white"/>
              </w:rPr>
            </w:pPr>
            <w:r>
              <w:t>3</w:t>
            </w:r>
          </w:p>
        </w:tc>
        <w:tc>
          <w:tcPr>
            <w:tcW w:w="1009" w:type="dxa"/>
          </w:tcPr>
          <w:p>
            <w:pPr>
              <w:spacing w:after="120" w:line="240" w:lineRule="auto"/>
              <w:rPr>
                <w:rFonts w:ascii="宋体" w:hint="eastAsia"/>
                <w:b/>
                <w:color w:val="0000FF"/>
                <w:sz w:val="24"/>
                <w:highlight w:val="white"/>
              </w:rPr>
            </w:pPr>
            <w:r>
              <w:t>离子色谱仪6</w:t>
            </w:r>
          </w:p>
        </w:tc>
        <w:tc>
          <w:tcPr>
            <w:tcW w:w="652" w:type="dxa"/>
          </w:tcPr>
          <w:p>
            <w:pPr>
              <w:spacing w:after="120" w:line="240" w:lineRule="auto"/>
              <w:rPr>
                <w:rFonts w:ascii="宋体" w:hint="eastAsia"/>
                <w:b/>
                <w:color w:val="0000FF"/>
                <w:sz w:val="24"/>
                <w:highlight w:val="white"/>
              </w:rPr>
            </w:pPr>
            <w:r>
              <w:t>1</w:t>
            </w:r>
          </w:p>
        </w:tc>
        <w:tc>
          <w:tcPr>
            <w:tcW w:w="1271" w:type="dxa"/>
          </w:tcPr>
          <w:p>
            <w:pPr>
              <w:spacing w:after="120" w:line="240" w:lineRule="auto"/>
              <w:rPr>
                <w:rFonts w:ascii="宋体" w:hint="eastAsia"/>
                <w:b/>
                <w:color w:val="0000FF"/>
                <w:sz w:val="24"/>
                <w:highlight w:val="white"/>
              </w:rPr>
            </w:pPr>
            <w:r>
              <w:t>470,000.00</w:t>
            </w:r>
          </w:p>
        </w:tc>
        <w:tc>
          <w:tcPr>
            <w:tcW w:w="0" w:type="dxa"/>
            <w:vMerge/>
            <w:vAlign w:val="center"/>
          </w:tcPr>
          <w:p>
            <w:pPr>
              <w:spacing w:after="120" w:line="240" w:lineRule="auto"/>
              <w:rPr>
                <w:rFonts w:ascii="宋体" w:hint="eastAsia"/>
                <w:b/>
                <w:color w:val="0000FF"/>
                <w:sz w:val="24"/>
                <w:highlight w:val="white"/>
              </w:rPr>
            </w:pPr>
            <w:r>
              <w:t>不得超过正式签订合同后30个日历日。</w:t>
            </w:r>
          </w:p>
        </w:tc>
        <w:tc>
          <w:tcPr>
            <w:tcW w:w="0" w:type="dxa"/>
            <w:vMerge/>
            <w:vAlign w:val="center"/>
          </w:tcPr>
          <w:p>
            <w:pPr>
              <w:spacing w:after="120" w:line="240" w:lineRule="auto"/>
              <w:rPr>
                <w:rFonts w:ascii="宋体" w:hint="eastAsia"/>
                <w:b/>
                <w:color w:val="0000FF"/>
                <w:sz w:val="24"/>
                <w:highlight w:val="white"/>
              </w:rPr>
            </w:pPr>
            <w:r>
              <w:t>交货地点为分配表中所列出直属海关关区内的指定地点，具体安装地点以合同签订中要求为准。</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b/>
          <w:bCs/>
          <w:color w:val="0000FF"/>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18" w:name="公告_industryType"/>
      <w:r>
        <w:rPr>
          <w:rFonts w:ascii="宋体" w:hint="eastAsia"/>
          <w:b/>
          <w:bCs/>
          <w:color w:val="0000FF"/>
          <w:sz w:val="24"/>
        </w:rPr>
        <w:t>工业</w:t>
      </w:r>
      <w:bookmarkEnd w:id="18"/>
    </w:p>
    <w:p>
      <w:pPr>
        <w:autoSpaceDN w:val="0"/>
        <w:spacing w:after="120"/>
        <w:ind w:firstLine="600" w:firstLineChars="250"/>
        <w:rPr>
          <w:rFonts w:ascii="宋体" w:hint="eastAsia"/>
          <w:sz w:val="24"/>
        </w:rPr>
      </w:pPr>
      <w:r>
        <w:rPr>
          <w:rFonts w:ascii="宋体" w:hint="eastAsia"/>
          <w:sz w:val="24"/>
        </w:rPr>
        <w:t>（三）其它要求</w:t>
      </w:r>
    </w:p>
    <w:p>
      <w:pPr>
        <w:autoSpaceDN w:val="0"/>
        <w:spacing w:after="120"/>
        <w:ind w:left="0" w:firstLine="600" w:firstLineChars="250"/>
        <w:rPr>
          <w:rFonts w:ascii="宋体" w:hint="eastAsia"/>
          <w:b/>
          <w:bCs/>
          <w:color w:val="0000FF"/>
          <w:sz w:val="24"/>
        </w:rPr>
      </w:pPr>
      <w:bookmarkStart w:id="19" w:name="公告_technologyRequire"/>
      <w:r>
        <w:rPr>
          <w:rFonts w:ascii="宋体" w:hint="eastAsia"/>
          <w:b/>
          <w:bCs/>
          <w:color w:val="0000FF"/>
          <w:sz w:val="24"/>
        </w:rPr>
        <w:t>1.投标人必须对所投标包中的所有货物进行投标，不允许拆包投标。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p>
    <w:p>
      <w:pPr>
        <w:autoSpaceDN w:val="0"/>
        <w:spacing w:after="120"/>
        <w:ind w:left="0" w:firstLine="600" w:firstLineChars="250"/>
        <w:rPr>
          <w:rFonts w:ascii="宋体" w:hint="eastAsia"/>
          <w:b/>
          <w:bCs/>
          <w:color w:val="0000FF"/>
          <w:sz w:val="24"/>
        </w:rPr>
      </w:pPr>
      <w:r>
        <w:rPr>
          <w:rFonts w:ascii="宋体" w:hint="eastAsia"/>
          <w:b/>
          <w:bCs/>
          <w:color w:val="0000FF"/>
          <w:sz w:val="24"/>
        </w:rPr>
        <w:t>3.各品目产品的投标报价不能超过本品目预算（品目预算详见项目需求书中的分配表），否则视为无效投标。</w:t>
      </w:r>
      <w:bookmarkEnd w:id="19"/>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after="120"/>
        <w:ind w:left="0" w:firstLine="600" w:firstLineChars="250"/>
        <w:rPr>
          <w:rFonts w:ascii="宋体" w:hint="eastAsia"/>
          <w:b/>
          <w:bCs/>
          <w:color w:val="0000FF"/>
          <w:sz w:val="24"/>
        </w:rPr>
      </w:pPr>
      <w:bookmarkStart w:id="20" w:name="公告_qualityRequire"/>
      <w:r>
        <w:rPr>
          <w:rFonts w:ascii="宋体" w:hint="eastAsia"/>
          <w:b/>
          <w:bCs/>
          <w:color w:val="0000FF"/>
          <w:sz w:val="24"/>
        </w:rPr>
        <w:t>1、符合《中华人民共和国政府采购法》第二十二条及《政府采购法实施条例》第十七、十八条规定。</w:t>
      </w:r>
    </w:p>
    <w:p>
      <w:pPr>
        <w:autoSpaceDN w:val="0"/>
        <w:spacing w:after="120"/>
        <w:ind w:left="0" w:firstLine="600" w:firstLineChars="25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after="120"/>
        <w:ind w:left="0" w:firstLine="600" w:firstLineChars="25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after="120"/>
        <w:ind w:left="0" w:firstLine="600" w:firstLineChars="250"/>
        <w:rPr>
          <w:rFonts w:ascii="宋体" w:hint="eastAsia"/>
          <w:b/>
          <w:bCs/>
          <w:color w:val="0000FF"/>
          <w:sz w:val="24"/>
        </w:rPr>
      </w:pPr>
      <w:r>
        <w:rPr>
          <w:rFonts w:ascii="宋体" w:hint="eastAsia"/>
          <w:b/>
          <w:bCs/>
          <w:color w:val="0000FF"/>
          <w:sz w:val="24"/>
        </w:rPr>
        <w:t>4、其他条件：</w:t>
      </w:r>
    </w:p>
    <w:p>
      <w:pPr>
        <w:autoSpaceDN w:val="0"/>
        <w:spacing w:after="120"/>
        <w:ind w:left="0" w:firstLine="600" w:firstLineChars="250"/>
        <w:rPr>
          <w:rFonts w:ascii="宋体" w:hint="eastAsia"/>
          <w:b/>
          <w:bCs/>
          <w:color w:val="0000FF"/>
          <w:sz w:val="24"/>
        </w:rPr>
      </w:pPr>
      <w:r>
        <w:rPr>
          <w:rFonts w:ascii="宋体" w:hint="eastAsia"/>
          <w:b/>
          <w:bCs/>
          <w:color w:val="0000FF"/>
          <w:sz w:val="24"/>
        </w:rPr>
        <w:t>（1）本项目不接受联合体投标。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p>
    <w:p>
      <w:pPr>
        <w:autoSpaceDN w:val="0"/>
        <w:spacing w:after="120"/>
        <w:ind w:left="0" w:firstLine="600" w:firstLineChars="250"/>
        <w:rPr>
          <w:rFonts w:ascii="宋体" w:hint="eastAsia"/>
          <w:b/>
          <w:bCs/>
          <w:color w:val="0000FF"/>
          <w:sz w:val="24"/>
        </w:rPr>
      </w:pPr>
      <w:r>
        <w:rPr>
          <w:rFonts w:ascii="宋体" w:hint="eastAsia"/>
          <w:b/>
          <w:bCs/>
          <w:color w:val="0000FF"/>
          <w:sz w:val="24"/>
        </w:rPr>
        <w:t>（3）本项目专门面向中小企业采购。</w:t>
      </w:r>
      <w:bookmarkEnd w:id="20"/>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w:t>
      </w:r>
      <w:r>
        <w:rPr>
          <w:rFonts w:ascii="宋体" w:hint="eastAsia"/>
          <w:sz w:val="24"/>
        </w:rPr>
        <w:t>“</w:t>
      </w:r>
      <w:r>
        <w:rPr>
          <w:rFonts w:ascii="宋体" w:hint="eastAsia"/>
          <w:sz w:val="24"/>
        </w:rPr>
        <w:t>供应商专栏</w:t>
      </w:r>
      <w:r>
        <w:rPr>
          <w:rFonts w:ascii="宋体" w:hint="eastAsia"/>
          <w:sz w:val="24"/>
        </w:rPr>
        <w:t>”</w:t>
      </w:r>
      <w:r>
        <w:rPr>
          <w:rFonts w:ascii="宋体" w:hint="eastAsia"/>
          <w:sz w:val="24"/>
        </w:rPr>
        <w:t>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21" w:name="公告_signUpFirstTime"/>
      <w:r>
        <w:rPr>
          <w:rFonts w:ascii="宋体" w:hint="eastAsia"/>
          <w:sz w:val="24"/>
        </w:rPr>
        <w:t>2025-10-10 00:00:00</w:t>
      </w:r>
      <w:bookmarkEnd w:id="21"/>
      <w:r>
        <w:rPr>
          <w:rFonts w:ascii="宋体" w:hint="eastAsia"/>
          <w:sz w:val="24"/>
        </w:rPr>
        <w:t>至</w:t>
      </w:r>
      <w:bookmarkStart w:id="22" w:name="公告_signUpLastTime"/>
      <w:r>
        <w:rPr>
          <w:rFonts w:ascii="宋体" w:hint="eastAsia"/>
          <w:sz w:val="24"/>
        </w:rPr>
        <w:t>2025-10-16 23:59:59</w:t>
      </w:r>
      <w:bookmarkEnd w:id="22"/>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23" w:name="项目公告_bidLastTime_1"/>
      <w:r>
        <w:rPr>
          <w:rFonts w:ascii="宋体" w:hint="eastAsia"/>
          <w:sz w:val="24"/>
        </w:rPr>
        <w:t>2025-10-31 08:45:00</w:t>
      </w:r>
      <w:bookmarkEnd w:id="23"/>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color w:val="auto"/>
          <w:sz w:val="24"/>
          <w:highlight w:val="white"/>
        </w:rPr>
      </w:pPr>
      <w:r>
        <w:rPr>
          <w:rFonts w:ascii="宋体" w:hint="eastAsia"/>
          <w:sz w:val="24"/>
        </w:rPr>
        <w:t>1.开标时间：</w:t>
      </w:r>
      <w:bookmarkStart w:id="24" w:name="项目公告_openBidTime"/>
      <w:r>
        <w:rPr>
          <w:rFonts w:ascii="宋体" w:hint="eastAsia"/>
          <w:b/>
          <w:color w:val="auto"/>
          <w:sz w:val="24"/>
          <w:highlight w:val="white"/>
        </w:rPr>
        <w:t>2025-10-31 08:45:00</w:t>
      </w:r>
      <w:bookmarkEnd w:id="24"/>
      <w:r>
        <w:rPr>
          <w:rFonts w:ascii="宋体" w:hint="eastAsia"/>
          <w:b/>
          <w:color w:val="auto"/>
          <w:sz w:val="24"/>
          <w:highlight w:val="white"/>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after="120"/>
        <w:ind w:left="0" w:firstLine="600" w:firstLineChars="250"/>
        <w:rPr>
          <w:rFonts w:ascii="宋体" w:hint="eastAsia"/>
          <w:b/>
          <w:bCs/>
          <w:color w:val="0000FF"/>
          <w:sz w:val="24"/>
        </w:rPr>
      </w:pPr>
      <w:bookmarkStart w:id="25" w:name="公告_remarks"/>
      <w:r>
        <w:rPr>
          <w:rFonts w:ascii="宋体" w:hint="eastAsia"/>
          <w:b/>
          <w:bCs/>
          <w:color w:val="0000FF"/>
          <w:sz w:val="24"/>
          <w:lang w:val="en-US" w:eastAsia="zh-CN"/>
        </w:rPr>
        <w:t>采购机构名称：海关总署物资装备采购中心</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地址：北京市东城区金宝街61号鑫海锦江大酒店</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邮政编码：100005</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联系方式：010-65194838（平台使用技术咨询）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010-65194501（业务咨询）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010-65195677（质疑受理）</w:t>
      </w:r>
      <w:bookmarkEnd w:id="25"/>
    </w:p>
    <w:p>
      <w:pPr>
        <w:autoSpaceDN w:val="0"/>
        <w:spacing w:after="120" w:line="360" w:lineRule="auto"/>
        <w:ind w:firstLine="470" w:firstLineChars="196"/>
        <w:rPr>
          <w:rFonts w:ascii="宋体" w:hint="eastAsia"/>
          <w:b/>
          <w:bCs/>
          <w:sz w:val="24"/>
          <w:highlight w:val="yellow"/>
        </w:rPr>
      </w:pPr>
      <w:r>
        <w:rPr>
          <w:rFonts w:ascii="宋体" w:hint="eastAsia"/>
          <w:b/>
          <w:bCs/>
          <w:sz w:val="24"/>
        </w:rPr>
        <w:t>十、样品提交</w:t>
      </w:r>
    </w:p>
    <w:p>
      <w:pPr>
        <w:autoSpaceDN w:val="0"/>
        <w:spacing w:after="120"/>
        <w:ind w:left="0" w:firstLine="600" w:firstLineChars="250"/>
        <w:rPr>
          <w:rFonts w:ascii="宋体" w:hint="eastAsia"/>
          <w:b/>
          <w:bCs/>
          <w:color w:val="0000FF"/>
          <w:sz w:val="24"/>
        </w:rPr>
      </w:pPr>
      <w:bookmarkStart w:id="26" w:name="公告_sampleSubmit"/>
      <w:r>
        <w:rPr>
          <w:rFonts w:ascii="宋体" w:hint="eastAsia"/>
          <w:b/>
          <w:bCs/>
          <w:color w:val="0000FF"/>
          <w:sz w:val="24"/>
        </w:rPr>
        <w:t>本项目不适用</w:t>
      </w:r>
      <w:bookmarkEnd w:id="26"/>
    </w:p>
    <w:p>
      <w:pPr>
        <w:autoSpaceDN w:val="0"/>
        <w:spacing w:line="360" w:lineRule="auto"/>
        <w:ind w:firstLine="480"/>
        <w:rPr>
          <w:rFonts w:ascii="宋体" w:hint="eastAsia"/>
          <w:b/>
          <w:sz w:val="24"/>
        </w:rPr>
      </w:pPr>
      <w:r>
        <w:rPr>
          <w:rFonts w:ascii="宋体" w:hint="eastAsia"/>
          <w:b/>
          <w:sz w:val="24"/>
        </w:rPr>
        <w:t>十一、现场踏勘</w:t>
      </w:r>
    </w:p>
    <w:p>
      <w:pPr>
        <w:autoSpaceDN w:val="0"/>
        <w:spacing w:line="360" w:lineRule="auto"/>
        <w:ind w:firstLine="480"/>
        <w:rPr>
          <w:rFonts w:ascii="宋体" w:hint="eastAsia"/>
          <w:b/>
          <w:color w:val="0000FF"/>
          <w:sz w:val="24"/>
          <w:highlight w:val="white"/>
        </w:rPr>
      </w:pPr>
      <w:bookmarkStart w:id="27" w:name="公告_siteSurvey"/>
      <w:r>
        <w:rPr>
          <w:rFonts w:ascii="宋体" w:hint="eastAsia"/>
          <w:b/>
          <w:color w:val="0000FF"/>
          <w:sz w:val="24"/>
          <w:highlight w:val="white"/>
        </w:rPr>
        <w:t>不适用</w:t>
      </w:r>
      <w:bookmarkEnd w:id="27"/>
    </w:p>
    <w:p>
      <w:pPr>
        <w:autoSpaceDN w:val="0"/>
        <w:spacing w:line="360" w:lineRule="auto"/>
        <w:ind w:firstLine="480"/>
        <w:rPr>
          <w:rFonts w:ascii="宋体" w:hint="eastAsia"/>
          <w:b/>
          <w:sz w:val="24"/>
        </w:rPr>
      </w:pPr>
      <w:r>
        <w:rPr>
          <w:rFonts w:ascii="宋体" w:hint="eastAsia"/>
          <w:b/>
          <w:sz w:val="24"/>
        </w:rPr>
        <w:t>十二、</w:t>
      </w:r>
      <w:r>
        <w:rPr>
          <w:rFonts w:ascii="宋体" w:hint="eastAsia"/>
          <w:b/>
          <w:sz w:val="24"/>
          <w:highlight w:val="white"/>
        </w:rPr>
        <w:t>本项目</w:t>
      </w:r>
      <w:bookmarkStart w:id="28" w:name="任务单_publicDate"/>
      <w:r>
        <w:rPr>
          <w:rFonts w:ascii="宋体" w:hint="eastAsia"/>
          <w:b/>
          <w:sz w:val="24"/>
          <w:highlight w:val="white"/>
        </w:rPr>
        <w:t>于2025-07-16</w:t>
      </w:r>
      <w:bookmarkEnd w:id="28"/>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十三、投标注意事项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w:t>
      </w:r>
      <w:r>
        <w:rPr>
          <w:rFonts w:ascii="宋体" w:hint="eastAsia"/>
          <w:sz w:val="24"/>
        </w:rPr>
        <w:t>“</w:t>
      </w:r>
      <w:r>
        <w:rPr>
          <w:rFonts w:ascii="宋体" w:hint="eastAsia"/>
          <w:sz w:val="24"/>
        </w:rPr>
        <w:t>常用下载</w:t>
      </w:r>
      <w:r>
        <w:rPr>
          <w:rFonts w:ascii="宋体" w:hint="eastAsia"/>
          <w:sz w:val="24"/>
        </w:rPr>
        <w:t>”</w:t>
      </w:r>
      <w:r>
        <w:rPr>
          <w:rFonts w:ascii="宋体" w:hint="eastAsia"/>
          <w:sz w:val="24"/>
        </w:rPr>
        <w:t>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5"/>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Heading1"/>
      </w:pPr>
      <w:bookmarkStart w:id="29" w:name="_Toc3666"/>
      <w:bookmarkStart w:id="30" w:name="_Toc15358"/>
      <w:r>
        <w:rPr>
          <w:rFonts w:hint="eastAsia"/>
        </w:rPr>
        <w:t>第二部分  投标人须知</w:t>
      </w:r>
      <w:bookmarkEnd w:id="29"/>
      <w:bookmarkEnd w:id="30"/>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pPr>
        <w:rPr>
          <w:highlight w:val="none"/>
        </w:rPr>
      </w:pPr>
    </w:p>
    <w:tbl>
      <w:tblPr>
        <w:tblW w:w="103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39"/>
        <w:gridCol w:w="2101"/>
        <w:gridCol w:w="7546"/>
      </w:tblGrid>
      <w:tr>
        <w:tblPrEx>
          <w:tblW w:w="103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1716"/>
          <w:tblHeader/>
          <w:jc w:val="center"/>
        </w:trPr>
        <w:tc>
          <w:tcPr>
            <w:tcW w:w="739" w:type="dxa"/>
            <w:vAlign w:val="center"/>
          </w:tcPr>
          <w:p>
            <w:pPr>
              <w:tabs>
                <w:tab w:val="left" w:pos="588"/>
              </w:tabs>
              <w:autoSpaceDN w:val="0"/>
              <w:spacing w:line="360" w:lineRule="auto"/>
              <w:ind w:left="1"/>
              <w:rPr>
                <w:rFonts w:ascii="宋体" w:cs="微软雅黑" w:hint="eastAsia"/>
                <w:b/>
                <w:bCs/>
                <w:sz w:val="24"/>
                <w:lang w:bidi="ar-SA"/>
              </w:rPr>
            </w:pPr>
            <w:r>
              <w:rPr>
                <w:rFonts w:ascii="宋体" w:cs="微软雅黑" w:hint="eastAsia"/>
                <w:b/>
                <w:bCs/>
                <w:sz w:val="24"/>
                <w:lang w:bidi="ar-SA"/>
              </w:rPr>
              <w:t>序号</w:t>
            </w:r>
          </w:p>
        </w:tc>
        <w:tc>
          <w:tcPr>
            <w:tcW w:w="2101" w:type="dxa"/>
            <w:vAlign w:val="center"/>
          </w:tcPr>
          <w:p>
            <w:pPr>
              <w:tabs>
                <w:tab w:val="left" w:pos="588"/>
              </w:tabs>
              <w:autoSpaceDN w:val="0"/>
              <w:spacing w:line="360" w:lineRule="auto"/>
              <w:ind w:left="1" w:firstLine="360" w:firstLineChars="150"/>
              <w:rPr>
                <w:rFonts w:ascii="宋体" w:cs="微软雅黑" w:hint="eastAsia"/>
                <w:b/>
                <w:bCs/>
                <w:sz w:val="24"/>
                <w:lang w:bidi="ar-SA"/>
              </w:rPr>
            </w:pPr>
            <w:r>
              <w:rPr>
                <w:rFonts w:ascii="宋体" w:cs="微软雅黑" w:hint="eastAsia"/>
                <w:b/>
                <w:bCs/>
                <w:sz w:val="24"/>
                <w:lang w:bidi="ar-SA"/>
              </w:rPr>
              <w:t>内  容</w:t>
            </w:r>
          </w:p>
        </w:tc>
        <w:tc>
          <w:tcPr>
            <w:tcW w:w="7546" w:type="dxa"/>
            <w:vAlign w:val="center"/>
          </w:tcPr>
          <w:p>
            <w:pPr>
              <w:tabs>
                <w:tab w:val="left" w:pos="588"/>
              </w:tabs>
              <w:autoSpaceDN w:val="0"/>
              <w:spacing w:line="360" w:lineRule="auto"/>
              <w:ind w:left="1" w:firstLine="2160" w:firstLineChars="900"/>
              <w:rPr>
                <w:rFonts w:ascii="宋体" w:cs="微软雅黑" w:hint="eastAsia"/>
                <w:b/>
                <w:bCs/>
                <w:sz w:val="24"/>
                <w:lang w:bidi="ar-SA"/>
              </w:rPr>
            </w:pPr>
            <w:r>
              <w:rPr>
                <w:rFonts w:ascii="宋体" w:cs="微软雅黑" w:hint="eastAsia"/>
                <w:b/>
                <w:bCs/>
                <w:sz w:val="24"/>
                <w:lang w:bidi="ar-SA"/>
              </w:rPr>
              <w:t>说明与要求</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p>
        </w:tc>
        <w:tc>
          <w:tcPr>
            <w:tcW w:w="2101" w:type="dxa"/>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采购人名称</w:t>
            </w:r>
          </w:p>
        </w:tc>
        <w:tc>
          <w:tcPr>
            <w:tcW w:w="7546" w:type="dxa"/>
            <w:vAlign w:val="center"/>
          </w:tcPr>
          <w:p>
            <w:pPr>
              <w:tabs>
                <w:tab w:val="left" w:pos="588"/>
              </w:tabs>
              <w:autoSpaceDN w:val="0"/>
              <w:spacing w:line="360" w:lineRule="auto"/>
              <w:ind w:left="1"/>
              <w:rPr>
                <w:rFonts w:ascii="宋体" w:cs="微软雅黑" w:hint="eastAsia"/>
                <w:bCs/>
                <w:sz w:val="24"/>
                <w:lang w:bidi="ar-SA"/>
              </w:rPr>
            </w:pPr>
            <w:bookmarkStart w:id="31" w:name="采购任务单_purchaserOrgName"/>
            <w:r>
              <w:rPr>
                <w:rFonts w:ascii="宋体" w:cs="微软雅黑" w:hint="eastAsia"/>
                <w:bCs/>
                <w:color w:val="0000FF"/>
                <w:sz w:val="24"/>
                <w:highlight w:val="white"/>
                <w:lang w:bidi="ar-SA"/>
              </w:rPr>
              <w:t>海关总署</w:t>
            </w:r>
            <w:bookmarkEnd w:id="31"/>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项目预算</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32" w:name="项目预算和包件预算"/>
            <w:r>
              <w:rPr>
                <w:rFonts w:ascii="宋体" w:cs="微软雅黑" w:hint="eastAsia"/>
                <w:bCs/>
                <w:sz w:val="24"/>
                <w:lang w:bidi="ar-SA"/>
              </w:rPr>
              <w:t>本项目预算金额合计总金额人民币28,210,000.00元，其中包1人民币13,040,000.00元，包2人民币15,170,000.00元。</w:t>
            </w:r>
            <w:bookmarkEnd w:id="32"/>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投标人应有明确报价，超过预算或者无报价的，投标无效。</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3</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33" w:name="项目公告_maxPrice"/>
            <w:r>
              <w:rPr>
                <w:rFonts w:ascii="宋体" w:cs="微软雅黑" w:hint="eastAsia"/>
                <w:color w:val="0000FF"/>
                <w:sz w:val="24"/>
                <w:highlight w:val="white"/>
                <w:lang w:bidi="ar-SA"/>
              </w:rPr>
              <w:t>28,210,000.00</w:t>
            </w:r>
            <w:bookmarkEnd w:id="33"/>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投标人应有明确报价，超过最高限价或者无报价的，投标无效。</w:t>
            </w:r>
          </w:p>
        </w:tc>
      </w:tr>
      <w:tr>
        <w:tblPrEx>
          <w:tblW w:w="10386" w:type="dxa"/>
          <w:jc w:val="center"/>
          <w:tblInd w:w="0" w:type="dxa"/>
          <w:tblLayout w:type="fixed"/>
          <w:tblCellMar>
            <w:top w:w="0" w:type="dxa"/>
            <w:left w:w="108" w:type="dxa"/>
            <w:bottom w:w="0" w:type="dxa"/>
            <w:right w:w="108" w:type="dxa"/>
          </w:tblCellMar>
          <w:tblLook w:val="0000"/>
        </w:tblPrEx>
        <w:trPr>
          <w:trHeight w:val="133"/>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4</w:t>
            </w:r>
          </w:p>
        </w:tc>
        <w:tc>
          <w:tcPr>
            <w:tcW w:w="2101" w:type="dxa"/>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是否允许代理商投标</w:t>
            </w:r>
          </w:p>
        </w:tc>
        <w:tc>
          <w:tcPr>
            <w:tcW w:w="7546" w:type="dxa"/>
            <w:vAlign w:val="center"/>
          </w:tcPr>
          <w:p>
            <w:pPr>
              <w:tabs>
                <w:tab w:val="left" w:pos="588"/>
              </w:tabs>
              <w:autoSpaceDN w:val="0"/>
              <w:spacing w:line="360" w:lineRule="auto"/>
              <w:ind w:left="1"/>
              <w:rPr>
                <w:rFonts w:ascii="宋体" w:cs="微软雅黑" w:hint="eastAsia"/>
                <w:sz w:val="24"/>
                <w:lang w:bidi="ar-SA"/>
              </w:rPr>
            </w:pPr>
            <w:bookmarkStart w:id="34" w:name="投标须知_agentBidding"/>
            <w:r>
              <w:rPr>
                <w:rFonts w:ascii="宋体" w:cs="微软雅黑" w:hint="eastAsia"/>
                <w:sz w:val="24"/>
                <w:lang w:bidi="ar-SA"/>
              </w:rPr>
              <w:t>是</w:t>
            </w:r>
            <w:bookmarkEnd w:id="34"/>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5</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开标一览表</w:t>
            </w:r>
          </w:p>
        </w:tc>
        <w:tc>
          <w:tcPr>
            <w:tcW w:w="7546" w:type="dxa"/>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投标人在提交投标文件时，应按照投标工具的流程和提示编制并上传开标一览表。</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6</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是否允许联合体投标</w:t>
            </w:r>
          </w:p>
        </w:tc>
        <w:tc>
          <w:tcPr>
            <w:tcW w:w="7546" w:type="dxa"/>
            <w:vAlign w:val="center"/>
          </w:tcPr>
          <w:p>
            <w:pPr>
              <w:tabs>
                <w:tab w:val="left" w:pos="588"/>
              </w:tabs>
              <w:autoSpaceDN w:val="0"/>
              <w:spacing w:line="360" w:lineRule="auto"/>
              <w:ind w:left="1"/>
              <w:rPr>
                <w:rFonts w:ascii="宋体" w:cs="微软雅黑" w:hint="eastAsia"/>
                <w:bCs/>
                <w:sz w:val="24"/>
                <w:lang w:bidi="ar-SA"/>
              </w:rPr>
            </w:pPr>
            <w:bookmarkStart w:id="35" w:name="投标人须知_canUnion"/>
            <w:r>
              <w:rPr>
                <w:rFonts w:ascii="宋体" w:cs="微软雅黑" w:hint="eastAsia"/>
                <w:bCs/>
                <w:sz w:val="24"/>
                <w:lang w:bidi="ar-SA"/>
              </w:rPr>
              <w:t>否</w:t>
            </w:r>
            <w:bookmarkEnd w:id="35"/>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7</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投标人资格审查材料</w:t>
            </w:r>
          </w:p>
        </w:tc>
        <w:tc>
          <w:tcPr>
            <w:tcW w:w="7546" w:type="dxa"/>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投标人在提交投标文件时，应按照投标工具的流程和提示编制并上传资格审查材料；资格审查材料包括：投标人资格审查一览表、联合体投标协议书（如本表第6条已要求且投标人是联合体的提交）。</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8</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投标文件提交方式</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9</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w:t>
            </w:r>
            <w:r>
              <w:rPr>
                <w:rFonts w:ascii="宋体" w:cs="微软雅黑" w:hint="eastAsia"/>
                <w:bCs/>
                <w:sz w:val="24"/>
                <w:lang w:bidi="ar-SA"/>
              </w:rPr>
              <w:t>“</w:t>
            </w:r>
            <w:r>
              <w:rPr>
                <w:rFonts w:ascii="宋体" w:cs="微软雅黑" w:hint="eastAsia"/>
                <w:bCs/>
                <w:sz w:val="24"/>
                <w:lang w:bidi="ar-SA"/>
              </w:rPr>
              <w:t>供应商CA证书办理</w:t>
            </w:r>
            <w:r>
              <w:rPr>
                <w:rFonts w:ascii="宋体" w:cs="微软雅黑" w:hint="eastAsia"/>
                <w:bCs/>
                <w:sz w:val="24"/>
                <w:lang w:bidi="ar-SA"/>
              </w:rPr>
              <w:t>”</w:t>
            </w:r>
            <w:r>
              <w:rPr>
                <w:rFonts w:ascii="宋体" w:cs="微软雅黑" w:hint="eastAsia"/>
                <w:bCs/>
                <w:sz w:val="24"/>
                <w:lang w:bidi="ar-SA"/>
              </w:rPr>
              <w:t>专栏提交相关材料。</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10</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投标有效期</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120日历天（投标有效期从提交投标文件的截止之日起算。有效期短于该规定期限的投标无效）。</w:t>
            </w:r>
          </w:p>
        </w:tc>
      </w:tr>
      <w:tr>
        <w:tblPrEx>
          <w:tblW w:w="10386" w:type="dxa"/>
          <w:jc w:val="center"/>
          <w:tblInd w:w="0" w:type="dxa"/>
          <w:tblLayout w:type="fixed"/>
          <w:tblCellMar>
            <w:top w:w="0" w:type="dxa"/>
            <w:left w:w="108" w:type="dxa"/>
            <w:bottom w:w="0" w:type="dxa"/>
            <w:right w:w="108" w:type="dxa"/>
          </w:tblCellMar>
          <w:tblLook w:val="0000"/>
        </w:tblPrEx>
        <w:trPr>
          <w:trHeight w:val="397"/>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11</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是否提交投标保证金</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tblW w:w="10386" w:type="dxa"/>
          <w:jc w:val="center"/>
          <w:tblInd w:w="0" w:type="dxa"/>
          <w:tblLayout w:type="fixed"/>
          <w:tblCellMar>
            <w:top w:w="0" w:type="dxa"/>
            <w:left w:w="108" w:type="dxa"/>
            <w:bottom w:w="0" w:type="dxa"/>
            <w:right w:w="108" w:type="dxa"/>
          </w:tblCellMar>
          <w:tblLook w:val="0000"/>
        </w:tblPrEx>
        <w:trPr>
          <w:trHeight w:val="44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12</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w:t>
            </w:r>
            <w:r>
              <w:rPr>
                <w:rFonts w:ascii="宋体" w:hint="eastAsia"/>
                <w:sz w:val="24"/>
              </w:rPr>
              <w:t>本项目专门面向中小企业采购，不执行小微企业价格扣除</w:t>
            </w:r>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tblW w:w="10386" w:type="dxa"/>
          <w:jc w:val="center"/>
          <w:tblInd w:w="0" w:type="dxa"/>
          <w:tblLayout w:type="fixed"/>
          <w:tblCellMar>
            <w:top w:w="0" w:type="dxa"/>
            <w:left w:w="108" w:type="dxa"/>
            <w:bottom w:w="0" w:type="dxa"/>
            <w:right w:w="108" w:type="dxa"/>
          </w:tblCellMar>
          <w:tblLook w:val="0000"/>
        </w:tblPrEx>
        <w:trPr>
          <w:trHeight w:val="44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13</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本次采购产品属于政府强制采购产品类别的，须按照要求提供依据国家确定的认证机构出具的、处于有效期之内的节能产品认证证书，否则投标无效；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tblW w:w="10386" w:type="dxa"/>
          <w:jc w:val="center"/>
          <w:tblInd w:w="0" w:type="dxa"/>
          <w:tblLayout w:type="fixed"/>
          <w:tblCellMar>
            <w:top w:w="0" w:type="dxa"/>
            <w:left w:w="108" w:type="dxa"/>
            <w:bottom w:w="0" w:type="dxa"/>
            <w:right w:w="108" w:type="dxa"/>
          </w:tblCellMar>
          <w:tblLook w:val="0000"/>
        </w:tblPrEx>
        <w:trPr>
          <w:trHeight w:val="44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14</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w:t>
            </w:r>
            <w:r>
              <w:rPr>
                <w:rFonts w:ascii="宋体" w:cs="微软雅黑" w:hint="eastAsia"/>
                <w:bCs/>
                <w:sz w:val="24"/>
                <w:lang w:bidi="ar-SA"/>
              </w:rPr>
              <w:t>“</w:t>
            </w:r>
            <w:r>
              <w:rPr>
                <w:rFonts w:ascii="宋体" w:cs="微软雅黑" w:hint="eastAsia"/>
                <w:bCs/>
                <w:sz w:val="24"/>
                <w:lang w:bidi="ar-SA"/>
              </w:rPr>
              <w:t>信用中国</w:t>
            </w:r>
            <w:r>
              <w:rPr>
                <w:rFonts w:ascii="宋体" w:cs="微软雅黑" w:hint="eastAsia"/>
                <w:bCs/>
                <w:sz w:val="24"/>
                <w:lang w:bidi="ar-SA"/>
              </w:rPr>
              <w:t>”</w:t>
            </w:r>
            <w:r>
              <w:rPr>
                <w:rFonts w:ascii="宋体" w:cs="微软雅黑" w:hint="eastAsia"/>
                <w:bCs/>
                <w:sz w:val="24"/>
                <w:lang w:bidi="ar-SA"/>
              </w:rPr>
              <w:t>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lang w:bidi="ar-SA"/>
              </w:rPr>
              <w:t>〔</w:t>
            </w:r>
            <w:r>
              <w:rPr>
                <w:rFonts w:ascii="宋体" w:cs="微软雅黑" w:hint="eastAsia"/>
                <w:bCs/>
                <w:sz w:val="24"/>
                <w:lang w:bidi="ar-SA"/>
              </w:rPr>
              <w:t>2022</w:t>
            </w:r>
            <w:r>
              <w:rPr>
                <w:rFonts w:ascii="方正仿宋_GBK" w:eastAsia="方正仿宋_GBK" w:cs="微软雅黑" w:hint="eastAsia"/>
                <w:bCs/>
                <w:sz w:val="24"/>
                <w:lang w:bidi="ar-SA"/>
              </w:rPr>
              <w:t>〕</w:t>
            </w:r>
            <w:r>
              <w:rPr>
                <w:rFonts w:ascii="宋体" w:cs="微软雅黑" w:hint="eastAsia"/>
                <w:bCs/>
                <w:sz w:val="24"/>
                <w:lang w:bidi="ar-SA"/>
              </w:rPr>
              <w:t>3号文件，较大数额的罚款，认定为200万元以上的罚款，法律、行政法规以及国务院有关部门明确规定相关领域</w:t>
            </w:r>
            <w:r>
              <w:rPr>
                <w:rFonts w:ascii="宋体" w:cs="微软雅黑" w:hint="eastAsia"/>
                <w:bCs/>
                <w:sz w:val="24"/>
                <w:lang w:bidi="ar-SA"/>
              </w:rPr>
              <w:t>“</w:t>
            </w:r>
            <w:r>
              <w:rPr>
                <w:rFonts w:ascii="宋体" w:cs="微软雅黑" w:hint="eastAsia"/>
                <w:bCs/>
                <w:sz w:val="24"/>
                <w:lang w:bidi="ar-SA"/>
              </w:rPr>
              <w:t>较大数额罚款</w:t>
            </w:r>
            <w:r>
              <w:rPr>
                <w:rFonts w:ascii="宋体" w:cs="微软雅黑" w:hint="eastAsia"/>
                <w:bCs/>
                <w:sz w:val="24"/>
                <w:lang w:bidi="ar-SA"/>
              </w:rPr>
              <w:t>”</w:t>
            </w:r>
            <w:r>
              <w:rPr>
                <w:rFonts w:ascii="宋体" w:cs="微软雅黑" w:hint="eastAsia"/>
                <w:bCs/>
                <w:sz w:val="24"/>
                <w:lang w:bidi="ar-SA"/>
              </w:rPr>
              <w:t>标准高于200万元的，从其规定。</w:t>
            </w:r>
          </w:p>
        </w:tc>
      </w:tr>
      <w:tr>
        <w:tblPrEx>
          <w:tblW w:w="10386" w:type="dxa"/>
          <w:jc w:val="center"/>
          <w:tblInd w:w="0" w:type="dxa"/>
          <w:tblLayout w:type="fixed"/>
          <w:tblCellMar>
            <w:top w:w="0" w:type="dxa"/>
            <w:left w:w="108" w:type="dxa"/>
            <w:bottom w:w="0" w:type="dxa"/>
            <w:right w:w="108" w:type="dxa"/>
          </w:tblCellMar>
          <w:tblLook w:val="0000"/>
        </w:tblPrEx>
        <w:trPr>
          <w:trHeight w:val="314"/>
          <w:jc w:val="center"/>
        </w:trPr>
        <w:tc>
          <w:tcPr>
            <w:tcW w:w="739" w:type="dxa"/>
            <w:vMerge w:val="restart"/>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15</w:t>
            </w:r>
          </w:p>
        </w:tc>
        <w:tc>
          <w:tcPr>
            <w:tcW w:w="2101" w:type="dxa"/>
            <w:vMerge w:val="restart"/>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r>
        <w:tblPrEx>
          <w:tblW w:w="10386" w:type="dxa"/>
          <w:jc w:val="center"/>
          <w:tblInd w:w="0" w:type="dxa"/>
          <w:tblLayout w:type="fixed"/>
          <w:tblCellMar>
            <w:top w:w="0" w:type="dxa"/>
            <w:left w:w="108" w:type="dxa"/>
            <w:bottom w:w="0" w:type="dxa"/>
            <w:right w:w="108" w:type="dxa"/>
          </w:tblCellMar>
          <w:tblLook w:val="0000"/>
        </w:tblPrEx>
        <w:trPr>
          <w:trHeight w:val="314"/>
          <w:jc w:val="center"/>
        </w:trPr>
        <w:tc>
          <w:tcPr>
            <w:tcW w:w="739" w:type="dxa"/>
            <w:vMerge/>
            <w:vAlign w:val="center"/>
          </w:tcPr>
          <w:p/>
        </w:tc>
        <w:tc>
          <w:tcPr>
            <w:tcW w:w="2101" w:type="dxa"/>
            <w:vMerge/>
            <w:vAlign w:val="center"/>
          </w:tcP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Arial" w:hAnsi="Arial"/>
                <w:sz w:val="24"/>
                <w:szCs w:val="24"/>
              </w:rPr>
              <w:t>根据</w:t>
            </w:r>
            <w:r>
              <w:rPr>
                <w:rFonts w:ascii="Arial" w:hAnsi="Arial" w:hint="default"/>
                <w:sz w:val="24"/>
                <w:szCs w:val="24"/>
              </w:rPr>
              <w:t>《国务院办公厅关于进一步加大对中小企业纾困帮扶力度的通知》（国办发（2021）45号）第七条要求</w:t>
            </w:r>
            <w:r>
              <w:rPr>
                <w:rFonts w:ascii="Arial" w:hAnsi="Arial"/>
                <w:sz w:val="24"/>
                <w:szCs w:val="24"/>
              </w:rPr>
              <w:t>，</w:t>
            </w:r>
            <w:r>
              <w:rPr>
                <w:rFonts w:ascii="Arial" w:hAnsi="Arial" w:hint="default"/>
                <w:sz w:val="24"/>
                <w:szCs w:val="24"/>
              </w:rPr>
              <w:t>严禁以不签合同、在合同中不约定具体付款时限和付款方式等方法规避及时支付义务的行为。</w:t>
            </w:r>
          </w:p>
        </w:tc>
      </w:tr>
      <w:tr>
        <w:tblPrEx>
          <w:tblW w:w="10386" w:type="dxa"/>
          <w:jc w:val="center"/>
          <w:tblInd w:w="0" w:type="dxa"/>
          <w:tblLayout w:type="fixed"/>
          <w:tblCellMar>
            <w:top w:w="0" w:type="dxa"/>
            <w:left w:w="108" w:type="dxa"/>
            <w:bottom w:w="0" w:type="dxa"/>
            <w:right w:w="108" w:type="dxa"/>
          </w:tblCellMar>
          <w:tblLook w:val="0000"/>
        </w:tblPrEx>
        <w:trPr>
          <w:trHeight w:val="314"/>
          <w:jc w:val="center"/>
        </w:trPr>
        <w:tc>
          <w:tcPr>
            <w:tcW w:w="739" w:type="dxa"/>
            <w:vMerge/>
            <w:vAlign w:val="center"/>
          </w:tcPr>
          <w:p/>
        </w:tc>
        <w:tc>
          <w:tcPr>
            <w:tcW w:w="2101" w:type="dxa"/>
            <w:vMerge/>
            <w:vAlign w:val="center"/>
          </w:tcP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资金支付等事项按照《保障中小企业款项支付条例》（国务院令第728号）要求执行。</w:t>
            </w:r>
          </w:p>
        </w:tc>
      </w:tr>
    </w:tbl>
    <w:p>
      <w:pPr>
        <w:tabs>
          <w:tab w:val="left" w:pos="588"/>
        </w:tabs>
        <w:autoSpaceDN w:val="0"/>
        <w:spacing w:line="360" w:lineRule="auto"/>
        <w:ind w:left="1"/>
        <w:rPr>
          <w:rFonts w:ascii="宋体" w:cs="微软雅黑" w:hint="eastAsia"/>
          <w:bCs/>
          <w:sz w:val="24"/>
          <w:lang w:bidi="ar-SA"/>
        </w:rPr>
      </w:pP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 xml:space="preserve">注： </w:t>
      </w:r>
      <w:r>
        <w:rPr>
          <w:rFonts w:ascii="宋体" w:cs="微软雅黑" w:hint="eastAsia"/>
          <w:bCs/>
          <w:sz w:val="24"/>
          <w:lang w:bidi="ar-SA"/>
        </w:rPr>
        <w:t>①</w:t>
      </w:r>
      <w:r>
        <w:rPr>
          <w:rFonts w:ascii="宋体" w:cs="微软雅黑" w:hint="eastAsia"/>
          <w:bCs/>
          <w:sz w:val="24"/>
          <w:lang w:bidi="ar-SA"/>
        </w:rPr>
        <w:t xml:space="preserve">上表中加 </w:t>
      </w:r>
      <w:r>
        <w:rPr>
          <w:rFonts w:ascii="宋体" w:hint="eastAsia"/>
          <w:sz w:val="24"/>
        </w:rPr>
        <w:t>★</w:t>
      </w:r>
      <w:r>
        <w:rPr>
          <w:rFonts w:ascii="宋体" w:cs="微软雅黑" w:hint="eastAsia"/>
          <w:bCs/>
          <w:sz w:val="24"/>
          <w:lang w:bidi="ar-SA"/>
        </w:rPr>
        <w:t>项目若有缺失或无效，投标将被拒绝或投标无效且不允许在开标后补正；</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②</w:t>
      </w:r>
      <w:r>
        <w:rPr>
          <w:rFonts w:ascii="宋体" w:cs="微软雅黑" w:hint="eastAsia"/>
          <w:bCs/>
          <w:sz w:val="24"/>
          <w:lang w:bidi="ar-SA"/>
        </w:rPr>
        <w:t>要求提供扫描件的，照片、图片等电子文件与扫描件效力相等；</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③</w:t>
      </w:r>
      <w:r>
        <w:rPr>
          <w:rFonts w:ascii="宋体" w:cs="微软雅黑" w:hint="eastAsia"/>
          <w:bCs/>
          <w:sz w:val="24"/>
          <w:lang w:bidi="ar-SA"/>
        </w:rPr>
        <w:t>上表中未加</w:t>
      </w:r>
      <w:r>
        <w:rPr>
          <w:rFonts w:ascii="宋体" w:cs="微软雅黑" w:hint="eastAsia"/>
          <w:bCs/>
          <w:sz w:val="24"/>
          <w:lang w:bidi="ar-SA"/>
        </w:rPr>
        <w:t>“</w:t>
      </w:r>
      <w:r>
        <w:rPr>
          <w:rFonts w:ascii="宋体" w:hint="eastAsia"/>
          <w:sz w:val="24"/>
        </w:rPr>
        <w:t>★</w:t>
      </w:r>
      <w:r>
        <w:rPr>
          <w:rFonts w:ascii="宋体" w:cs="微软雅黑" w:hint="eastAsia"/>
          <w:bCs/>
          <w:sz w:val="24"/>
          <w:lang w:bidi="ar-SA"/>
        </w:rPr>
        <w:t>”</w:t>
      </w:r>
      <w:r>
        <w:rPr>
          <w:rFonts w:ascii="宋体" w:cs="微软雅黑" w:hint="eastAsia"/>
          <w:bCs/>
          <w:sz w:val="24"/>
          <w:lang w:bidi="ar-SA"/>
        </w:rPr>
        <w:t>且无法律法规明确规定的不得作为投标被拒绝或投标无效条款；</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④</w:t>
      </w:r>
      <w:r>
        <w:rPr>
          <w:rFonts w:ascii="宋体" w:cs="微软雅黑" w:hint="eastAsia"/>
          <w:bCs/>
          <w:sz w:val="24"/>
          <w:lang w:bidi="ar-SA"/>
        </w:rPr>
        <w:t>投标人须知前附表内容如与招标文件其他部分不一致，以投标人须知前附表为准。</w:t>
      </w:r>
    </w:p>
    <w:p>
      <w:pPr>
        <w:tabs>
          <w:tab w:val="left" w:pos="588"/>
        </w:tabs>
        <w:autoSpaceDN w:val="0"/>
        <w:spacing w:line="360" w:lineRule="auto"/>
        <w:ind w:left="1"/>
        <w:rPr>
          <w:rFonts w:ascii="宋体" w:cs="微软雅黑" w:hint="eastAsia"/>
          <w:bCs/>
          <w:sz w:val="24"/>
          <w:lang w:bidi="ar-SA"/>
        </w:rPr>
        <w:sectPr>
          <w:headerReference w:type="default" r:id="rId5"/>
          <w:footerReference w:type="default" r:id="rId6"/>
          <w:pgSz w:w="11907" w:h="16840"/>
          <w:pgMar w:top="1440" w:right="1797" w:bottom="1440" w:left="1797" w:header="851" w:footer="992" w:gutter="0"/>
          <w:cols w:space="720"/>
          <w:vAlign w:val="top"/>
          <w:textDirection w:val="lrTb"/>
          <w:docGrid w:type="lines" w:linePitch="312" w:charSpace="6144"/>
        </w:sectPr>
      </w:pPr>
    </w:p>
    <w:p>
      <w:pPr>
        <w:rPr>
          <w:rFonts w:hint="default"/>
          <w:highlight w:val="none"/>
        </w:rPr>
      </w:pPr>
    </w:p>
    <w:p>
      <w:pPr>
        <w:autoSpaceDN w:val="0"/>
        <w:spacing w:line="360" w:lineRule="auto"/>
        <w:jc w:val="center"/>
        <w:outlineLvl w:val="2"/>
        <w:rPr>
          <w:rFonts w:ascii="宋体" w:hint="eastAsia"/>
          <w:b/>
          <w:bCs/>
          <w:sz w:val="30"/>
          <w:szCs w:val="30"/>
        </w:rPr>
      </w:pPr>
      <w:r>
        <w:rPr>
          <w:rFonts w:ascii="宋体" w:hint="eastAsia"/>
          <w:b/>
          <w:bCs/>
          <w:sz w:val="30"/>
          <w:szCs w:val="30"/>
          <w:highlight w:val="white"/>
        </w:rPr>
        <w:t>一、总则</w:t>
      </w:r>
    </w:p>
    <w:p>
      <w:pPr>
        <w:autoSpaceDN w:val="0"/>
        <w:spacing w:line="360" w:lineRule="auto"/>
        <w:rPr>
          <w:rFonts w:ascii="宋体" w:hint="eastAsia"/>
          <w:b/>
          <w:bCs/>
          <w:sz w:val="24"/>
        </w:rPr>
      </w:pPr>
      <w:r>
        <w:rPr>
          <w:rFonts w:ascii="宋体" w:hint="eastAsia"/>
          <w:b/>
          <w:bCs/>
          <w:sz w:val="24"/>
          <w:highlight w:val="white"/>
        </w:rPr>
        <w:t>1.项目说明</w:t>
      </w:r>
    </w:p>
    <w:p>
      <w:pPr>
        <w:pStyle w:val="xl23"/>
        <w:widowControl w:val="0"/>
        <w:numPr>
          <w:ilvl w:val="1"/>
          <w:numId w:val="3"/>
        </w:numPr>
        <w:tabs>
          <w:tab w:val="left" w:pos="360"/>
          <w:tab w:val="left" w:pos="588"/>
        </w:tabs>
        <w:autoSpaceDN w:val="0"/>
        <w:spacing w:before="0" w:beforeAutospacing="0" w:after="0" w:afterAutospacing="0"/>
        <w:textAlignment w:val="auto"/>
        <w:rPr>
          <w:rFonts w:ascii="宋体" w:hint="eastAsia"/>
          <w:sz w:val="24"/>
          <w:lang w:eastAsia="zh-CN"/>
        </w:rPr>
      </w:pPr>
      <w:r>
        <w:rPr>
          <w:rFonts w:ascii="宋体" w:hint="eastAsia"/>
          <w:sz w:val="24"/>
          <w:lang w:eastAsia="zh-CN"/>
        </w:rPr>
        <w:t>项目说明见</w:t>
      </w:r>
      <w:r>
        <w:rPr>
          <w:rFonts w:ascii="宋体" w:hint="eastAsia"/>
          <w:sz w:val="24"/>
          <w:lang w:eastAsia="zh-CN"/>
        </w:rPr>
        <w:t>“</w:t>
      </w:r>
      <w:r>
        <w:rPr>
          <w:rFonts w:ascii="宋体" w:hint="eastAsia"/>
          <w:sz w:val="24"/>
          <w:lang w:eastAsia="zh-CN"/>
        </w:rPr>
        <w:t>投标须知前附表</w:t>
      </w:r>
      <w:r>
        <w:rPr>
          <w:rFonts w:ascii="宋体" w:hint="eastAsia"/>
          <w:sz w:val="24"/>
          <w:lang w:eastAsia="zh-CN"/>
        </w:rPr>
        <w:t>”</w:t>
      </w:r>
      <w:r>
        <w:rPr>
          <w:rFonts w:ascii="宋体" w:hint="eastAsia"/>
          <w:sz w:val="24"/>
          <w:lang w:eastAsia="zh-CN"/>
        </w:rPr>
        <w:t>。</w:t>
      </w:r>
    </w:p>
    <w:p>
      <w:pPr>
        <w:autoSpaceDN w:val="0"/>
        <w:spacing w:line="360" w:lineRule="auto"/>
        <w:rPr>
          <w:rFonts w:ascii="宋体" w:hint="eastAsia"/>
          <w:b/>
          <w:bCs/>
          <w:sz w:val="24"/>
        </w:rPr>
      </w:pPr>
      <w:r>
        <w:rPr>
          <w:rFonts w:ascii="宋体" w:hint="eastAsia"/>
          <w:b/>
          <w:bCs/>
          <w:sz w:val="24"/>
          <w:highlight w:val="white"/>
        </w:rPr>
        <w:t>2.定义</w:t>
      </w:r>
    </w:p>
    <w:p>
      <w:pPr>
        <w:tabs>
          <w:tab w:val="left" w:pos="588"/>
        </w:tabs>
        <w:autoSpaceDN w:val="0"/>
        <w:spacing w:line="360" w:lineRule="auto"/>
        <w:rPr>
          <w:rFonts w:ascii="宋体" w:hint="eastAsia"/>
          <w:kern w:val="0"/>
          <w:sz w:val="24"/>
        </w:rPr>
      </w:pPr>
      <w:r>
        <w:rPr>
          <w:rFonts w:ascii="宋体" w:hint="eastAsia"/>
          <w:kern w:val="0"/>
          <w:sz w:val="24"/>
          <w:highlight w:val="white"/>
        </w:rPr>
        <w:t>2.1</w:t>
      </w:r>
      <w:r>
        <w:rPr>
          <w:rFonts w:ascii="宋体" w:hint="eastAsia"/>
          <w:kern w:val="0"/>
          <w:sz w:val="24"/>
          <w:highlight w:val="white"/>
        </w:rPr>
        <w:t>“</w:t>
      </w:r>
      <w:r>
        <w:rPr>
          <w:rFonts w:ascii="宋体" w:hint="eastAsia"/>
          <w:sz w:val="24"/>
        </w:rPr>
        <w:t>采购人</w:t>
      </w:r>
      <w:r>
        <w:rPr>
          <w:rFonts w:ascii="宋体" w:hint="eastAsia"/>
          <w:sz w:val="24"/>
        </w:rPr>
        <w:t>”</w:t>
      </w:r>
      <w:r>
        <w:rPr>
          <w:rFonts w:ascii="宋体" w:hint="eastAsia"/>
          <w:sz w:val="24"/>
        </w:rPr>
        <w:t>系指</w:t>
      </w:r>
      <w:bookmarkStart w:id="36" w:name="采购任务单_purchaserOrgName_1"/>
      <w:r>
        <w:rPr>
          <w:rFonts w:ascii="宋体" w:hint="eastAsia"/>
          <w:color w:val="0000FF"/>
          <w:sz w:val="24"/>
        </w:rPr>
        <w:t>海关总署</w:t>
      </w:r>
      <w:bookmarkEnd w:id="36"/>
      <w:r>
        <w:rPr>
          <w:rFonts w:ascii="宋体" w:hint="eastAsia"/>
          <w:sz w:val="24"/>
        </w:rPr>
        <w:t>。</w:t>
      </w:r>
    </w:p>
    <w:p>
      <w:pPr>
        <w:tabs>
          <w:tab w:val="left" w:pos="588"/>
        </w:tabs>
        <w:autoSpaceDN w:val="0"/>
        <w:spacing w:line="360" w:lineRule="auto"/>
        <w:rPr>
          <w:rFonts w:ascii="宋体" w:hint="eastAsia"/>
          <w:sz w:val="24"/>
        </w:rPr>
      </w:pPr>
      <w:r>
        <w:rPr>
          <w:rFonts w:ascii="宋体" w:hint="eastAsia"/>
          <w:sz w:val="24"/>
        </w:rPr>
        <w:t>2.2</w:t>
      </w:r>
      <w:r>
        <w:rPr>
          <w:rFonts w:ascii="宋体" w:hint="eastAsia"/>
          <w:sz w:val="24"/>
        </w:rPr>
        <w:t>“</w:t>
      </w:r>
      <w:r>
        <w:rPr>
          <w:rFonts w:ascii="宋体" w:hint="eastAsia"/>
          <w:sz w:val="24"/>
        </w:rPr>
        <w:t>采购机构</w:t>
      </w:r>
      <w:r>
        <w:rPr>
          <w:rFonts w:ascii="宋体" w:hint="eastAsia"/>
          <w:sz w:val="24"/>
        </w:rPr>
        <w:t>”</w:t>
      </w:r>
      <w:r>
        <w:rPr>
          <w:rFonts w:ascii="宋体" w:hint="eastAsia"/>
          <w:sz w:val="24"/>
        </w:rPr>
        <w:t>系指海关总署物资装备采购中心。</w:t>
      </w:r>
    </w:p>
    <w:p>
      <w:pPr>
        <w:tabs>
          <w:tab w:val="left" w:pos="588"/>
        </w:tabs>
        <w:autoSpaceDN w:val="0"/>
        <w:spacing w:line="360" w:lineRule="auto"/>
        <w:ind w:left="1"/>
        <w:rPr>
          <w:rFonts w:ascii="宋体" w:hint="eastAsia"/>
          <w:sz w:val="24"/>
        </w:rPr>
      </w:pPr>
      <w:r>
        <w:rPr>
          <w:rFonts w:ascii="宋体" w:hint="eastAsia"/>
          <w:kern w:val="0"/>
          <w:sz w:val="24"/>
          <w:highlight w:val="white"/>
        </w:rPr>
        <w:t>2.3</w:t>
      </w:r>
      <w:r>
        <w:rPr>
          <w:rFonts w:ascii="宋体" w:hint="eastAsia"/>
          <w:kern w:val="0"/>
          <w:sz w:val="24"/>
        </w:rPr>
        <w:t>“</w:t>
      </w:r>
      <w:r>
        <w:rPr>
          <w:rFonts w:ascii="宋体" w:hint="eastAsia"/>
          <w:sz w:val="24"/>
        </w:rPr>
        <w:t>投标人</w:t>
      </w:r>
      <w:r>
        <w:rPr>
          <w:rFonts w:ascii="宋体" w:hint="eastAsia"/>
          <w:sz w:val="24"/>
        </w:rPr>
        <w:t>”</w:t>
      </w:r>
      <w:r>
        <w:rPr>
          <w:rFonts w:ascii="宋体" w:hint="eastAsia"/>
          <w:sz w:val="24"/>
        </w:rPr>
        <w:t>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hint="eastAsia"/>
          <w:sz w:val="24"/>
        </w:rPr>
      </w:pPr>
      <w:r>
        <w:rPr>
          <w:rFonts w:ascii="宋体" w:hint="eastAsia"/>
          <w:sz w:val="24"/>
        </w:rPr>
        <w:t>2.4</w:t>
      </w:r>
      <w:r>
        <w:rPr>
          <w:rFonts w:ascii="宋体" w:hint="eastAsia"/>
          <w:sz w:val="24"/>
        </w:rPr>
        <w:t>“</w:t>
      </w:r>
      <w:r>
        <w:rPr>
          <w:rFonts w:ascii="宋体" w:hint="eastAsia"/>
          <w:sz w:val="24"/>
        </w:rPr>
        <w:t>货物或服务</w:t>
      </w:r>
      <w:r>
        <w:rPr>
          <w:rFonts w:ascii="宋体" w:hint="eastAsia"/>
          <w:sz w:val="24"/>
        </w:rPr>
        <w:t>”</w:t>
      </w:r>
      <w:r>
        <w:rPr>
          <w:rFonts w:ascii="宋体" w:hint="eastAsia"/>
          <w:sz w:val="24"/>
        </w:rPr>
        <w:t>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hint="eastAsia"/>
          <w:sz w:val="24"/>
        </w:rPr>
      </w:pPr>
      <w:r>
        <w:rPr>
          <w:rFonts w:ascii="宋体" w:hint="eastAsia"/>
          <w:sz w:val="24"/>
        </w:rPr>
        <w:t>2.5</w:t>
      </w:r>
      <w:r>
        <w:rPr>
          <w:rFonts w:ascii="宋体" w:hint="eastAsia"/>
          <w:sz w:val="24"/>
        </w:rPr>
        <w:t>“★”</w:t>
      </w:r>
      <w:r>
        <w:rPr>
          <w:rFonts w:ascii="宋体" w:hint="eastAsia"/>
          <w:sz w:val="24"/>
        </w:rPr>
        <w:t>标志的为实质性条款，如有其中一项不符合即将按无效投标处理。</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white"/>
        </w:rPr>
        <w:t>2.6</w:t>
      </w:r>
      <w:r>
        <w:rPr>
          <w:rFonts w:ascii="宋体" w:hint="eastAsia"/>
          <w:kern w:val="0"/>
          <w:sz w:val="24"/>
          <w:highlight w:val="white"/>
        </w:rPr>
        <w:t>“</w:t>
      </w:r>
      <w:r>
        <w:rPr>
          <w:rFonts w:ascii="宋体" w:hint="eastAsia"/>
          <w:kern w:val="0"/>
          <w:sz w:val="24"/>
          <w:highlight w:val="white"/>
        </w:rPr>
        <w:t>中小企业</w:t>
      </w:r>
      <w:r>
        <w:rPr>
          <w:rFonts w:ascii="宋体" w:hint="eastAsia"/>
          <w:kern w:val="0"/>
          <w:sz w:val="24"/>
          <w:highlight w:val="white"/>
        </w:rPr>
        <w:t>”</w:t>
      </w:r>
      <w:r>
        <w:rPr>
          <w:rFonts w:ascii="宋体" w:hint="eastAsia"/>
          <w:kern w:val="0"/>
          <w:sz w:val="24"/>
          <w:highlight w:val="white"/>
        </w:rPr>
        <w:t>系指满足</w:t>
      </w:r>
      <w:r>
        <w:rPr>
          <w:rFonts w:ascii="宋体" w:eastAsia="宋体" w:cs="微软雅黑" w:hint="eastAsia"/>
          <w:bCs/>
          <w:kern w:val="0"/>
          <w:sz w:val="24"/>
          <w:highlight w:val="white"/>
          <w:lang w:bidi="ar-SA"/>
        </w:rPr>
        <w:t>工业和信息化部、国家统计局、国家发展和改革委员会、财政部</w:t>
      </w:r>
      <w:r>
        <w:rPr>
          <w:rFonts w:ascii="宋体" w:eastAsia="宋体" w:cs="微软雅黑" w:hint="eastAsia"/>
          <w:bCs/>
          <w:kern w:val="0"/>
          <w:sz w:val="24"/>
          <w:highlight w:val="none"/>
          <w:lang w:bidi="ar-SA"/>
        </w:rPr>
        <w:t>《关于印发中小企业划型标准规定的通知》（工信部联企业〔2011〕300号）</w:t>
      </w:r>
      <w:r>
        <w:rPr>
          <w:rFonts w:ascii="宋体" w:eastAsia="宋体" w:cs="微软雅黑" w:hint="eastAsia"/>
          <w:bCs/>
          <w:kern w:val="0"/>
          <w:sz w:val="24"/>
          <w:lang w:bidi="ar-SA"/>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2.7</w:t>
      </w:r>
      <w:r>
        <w:rPr>
          <w:rFonts w:ascii="宋体" w:hint="eastAsia"/>
          <w:kern w:val="0"/>
          <w:sz w:val="24"/>
          <w:highlight w:val="none"/>
        </w:rPr>
        <w:t>“</w:t>
      </w:r>
      <w:r>
        <w:rPr>
          <w:rFonts w:ascii="宋体" w:hint="eastAsia"/>
          <w:kern w:val="0"/>
          <w:sz w:val="24"/>
          <w:highlight w:val="none"/>
        </w:rPr>
        <w:t>监狱企业</w:t>
      </w:r>
      <w:r>
        <w:rPr>
          <w:rFonts w:ascii="宋体" w:hint="eastAsia"/>
          <w:kern w:val="0"/>
          <w:sz w:val="24"/>
          <w:highlight w:val="none"/>
        </w:rPr>
        <w:t>”</w:t>
      </w:r>
      <w:r>
        <w:rPr>
          <w:rFonts w:ascii="宋体" w:hint="eastAsia"/>
          <w:kern w:val="0"/>
          <w:sz w:val="24"/>
          <w:highlight w:val="none"/>
        </w:rPr>
        <w:t>系指《财政部、司法部关于政府采购支持监狱企业发展有关问题的通知》（财库〔2014〕68号）规定的企业。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2.8</w:t>
      </w:r>
      <w:r>
        <w:rPr>
          <w:rFonts w:ascii="宋体" w:hint="eastAsia"/>
          <w:kern w:val="0"/>
          <w:sz w:val="24"/>
          <w:highlight w:val="none"/>
        </w:rPr>
        <w:t>“</w:t>
      </w:r>
      <w:r>
        <w:rPr>
          <w:rFonts w:ascii="宋体" w:hint="eastAsia"/>
          <w:kern w:val="0"/>
          <w:sz w:val="24"/>
          <w:highlight w:val="none"/>
        </w:rPr>
        <w:t>残疾人福利性单位</w:t>
      </w:r>
      <w:r>
        <w:rPr>
          <w:rFonts w:ascii="宋体" w:hint="eastAsia"/>
          <w:kern w:val="0"/>
          <w:sz w:val="24"/>
          <w:highlight w:val="none"/>
        </w:rPr>
        <w:t>”</w:t>
      </w:r>
      <w:r>
        <w:rPr>
          <w:rFonts w:ascii="宋体" w:hint="eastAsia"/>
          <w:kern w:val="0"/>
          <w:sz w:val="24"/>
          <w:highlight w:val="none"/>
        </w:rPr>
        <w:t xml:space="preserve">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none"/>
        </w:rPr>
        <w:t>2.9节能产品、环境标志产品系指</w:t>
      </w:r>
      <w:r>
        <w:rPr>
          <w:rFonts w:ascii="宋体" w:eastAsia="宋体" w:cs="微软雅黑" w:hint="eastAsia"/>
          <w:color w:val="auto"/>
          <w:kern w:val="0"/>
          <w:sz w:val="24"/>
          <w:szCs w:val="24"/>
          <w:highlight w:val="none"/>
          <w:lang w:bidi="ar-SA"/>
        </w:rPr>
        <w:t>《财政部 发展改革委 生态环境部 市场监管总局关于调整优化节能产品、环境标志产品政府采购执行机制的通知》（财库〔2019〕9号）规定的产品。</w:t>
      </w:r>
    </w:p>
    <w:p>
      <w:pPr>
        <w:autoSpaceDN w:val="0"/>
        <w:spacing w:line="360" w:lineRule="auto"/>
        <w:rPr>
          <w:rFonts w:ascii="宋体" w:hint="eastAsia"/>
          <w:b/>
          <w:bCs/>
          <w:sz w:val="24"/>
        </w:rPr>
      </w:pPr>
      <w:r>
        <w:rPr>
          <w:rFonts w:ascii="宋体" w:hint="eastAsia"/>
          <w:b/>
          <w:bCs/>
          <w:sz w:val="24"/>
          <w:highlight w:val="white"/>
        </w:rPr>
        <w:t>3.合格的投标人</w:t>
      </w:r>
    </w:p>
    <w:p>
      <w:pPr>
        <w:tabs>
          <w:tab w:val="left" w:pos="588"/>
        </w:tabs>
        <w:autoSpaceDN w:val="0"/>
        <w:spacing w:line="360" w:lineRule="auto"/>
        <w:rPr>
          <w:rFonts w:ascii="宋体" w:hint="eastAsia"/>
          <w:sz w:val="24"/>
        </w:rPr>
      </w:pPr>
      <w:r>
        <w:rPr>
          <w:rFonts w:ascii="宋体" w:hint="eastAsia"/>
          <w:sz w:val="24"/>
        </w:rPr>
        <w:t>3.1投标人应符合招标公告中规定的资质要求。</w:t>
      </w:r>
    </w:p>
    <w:p>
      <w:pPr>
        <w:tabs>
          <w:tab w:val="left" w:pos="588"/>
        </w:tabs>
        <w:autoSpaceDN w:val="0"/>
        <w:spacing w:line="360" w:lineRule="auto"/>
        <w:rPr>
          <w:rFonts w:ascii="宋体" w:hint="eastAsia"/>
          <w:sz w:val="24"/>
        </w:rPr>
      </w:pPr>
      <w:r>
        <w:rPr>
          <w:rFonts w:ascii="宋体" w:hint="eastAsia"/>
          <w:sz w:val="24"/>
        </w:rPr>
        <w:t>3.2投标人应遵守《中华人民共和国政府采购法》及其他有关的中国法律和法规。</w:t>
      </w:r>
    </w:p>
    <w:p>
      <w:pPr>
        <w:autoSpaceDN w:val="0"/>
        <w:spacing w:line="360" w:lineRule="auto"/>
        <w:rPr>
          <w:rFonts w:ascii="宋体" w:hint="eastAsia"/>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hint="eastAsia"/>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hint="eastAsia"/>
          <w:b/>
          <w:bCs/>
          <w:sz w:val="24"/>
          <w:highlight w:val="white"/>
        </w:rPr>
      </w:pPr>
      <w:r>
        <w:rPr>
          <w:rFonts w:ascii="宋体" w:hint="eastAsia"/>
          <w:b/>
          <w:bCs/>
          <w:sz w:val="24"/>
          <w:highlight w:val="white"/>
        </w:rPr>
        <w:t>5.通知</w:t>
      </w:r>
    </w:p>
    <w:p>
      <w:pPr>
        <w:tabs>
          <w:tab w:val="left" w:pos="0"/>
        </w:tabs>
        <w:autoSpaceDN w:val="0"/>
        <w:spacing w:line="360" w:lineRule="auto"/>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hint="eastAsia"/>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hint="eastAsia"/>
          <w:b/>
          <w:bCs/>
          <w:sz w:val="24"/>
        </w:rPr>
      </w:pPr>
      <w:r>
        <w:rPr>
          <w:rFonts w:ascii="宋体" w:hint="eastAsia"/>
          <w:b/>
          <w:bCs/>
          <w:sz w:val="24"/>
        </w:rPr>
        <w:t>6.招标文件的构成</w:t>
      </w:r>
    </w:p>
    <w:p>
      <w:pPr>
        <w:autoSpaceDN w:val="0"/>
        <w:spacing w:line="360" w:lineRule="auto"/>
        <w:rPr>
          <w:rFonts w:ascii="宋体" w:hint="eastAsia"/>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hint="eastAsia"/>
          <w:sz w:val="24"/>
        </w:rPr>
      </w:pPr>
      <w:r>
        <w:rPr>
          <w:rFonts w:ascii="宋体" w:hint="eastAsia"/>
          <w:sz w:val="24"/>
        </w:rPr>
        <w:t>第一部分 招标公告</w:t>
      </w:r>
    </w:p>
    <w:p>
      <w:pPr>
        <w:autoSpaceDN w:val="0"/>
        <w:spacing w:line="360" w:lineRule="auto"/>
        <w:ind w:firstLine="480" w:firstLineChars="200"/>
        <w:rPr>
          <w:rFonts w:ascii="宋体" w:hint="eastAsia"/>
          <w:sz w:val="24"/>
        </w:rPr>
      </w:pPr>
      <w:r>
        <w:rPr>
          <w:rFonts w:ascii="宋体" w:hint="eastAsia"/>
          <w:sz w:val="24"/>
        </w:rPr>
        <w:t>第二部分 投标人须知</w:t>
      </w:r>
    </w:p>
    <w:p>
      <w:pPr>
        <w:autoSpaceDN w:val="0"/>
        <w:spacing w:line="360" w:lineRule="auto"/>
        <w:ind w:firstLine="480" w:firstLineChars="200"/>
        <w:rPr>
          <w:rFonts w:ascii="宋体" w:hint="eastAsia"/>
          <w:sz w:val="24"/>
        </w:rPr>
      </w:pPr>
      <w:r>
        <w:rPr>
          <w:rFonts w:ascii="宋体" w:hint="eastAsia"/>
          <w:sz w:val="24"/>
        </w:rPr>
        <w:t>第三部分 项目需求书</w:t>
      </w:r>
    </w:p>
    <w:p>
      <w:pPr>
        <w:autoSpaceDN w:val="0"/>
        <w:spacing w:line="360" w:lineRule="auto"/>
        <w:ind w:firstLine="480" w:firstLineChars="200"/>
        <w:rPr>
          <w:rFonts w:ascii="宋体" w:hint="eastAsia"/>
          <w:sz w:val="24"/>
        </w:rPr>
      </w:pPr>
      <w:r>
        <w:rPr>
          <w:rFonts w:ascii="宋体" w:hint="eastAsia"/>
          <w:sz w:val="24"/>
        </w:rPr>
        <w:t>第四部分 评审标准</w:t>
      </w:r>
    </w:p>
    <w:p>
      <w:pPr>
        <w:autoSpaceDN w:val="0"/>
        <w:spacing w:line="360" w:lineRule="auto"/>
        <w:ind w:firstLine="480" w:firstLineChars="200"/>
        <w:rPr>
          <w:rFonts w:ascii="宋体" w:hint="eastAsia"/>
          <w:sz w:val="24"/>
        </w:rPr>
      </w:pPr>
      <w:r>
        <w:rPr>
          <w:rFonts w:ascii="宋体" w:hint="eastAsia"/>
          <w:sz w:val="24"/>
        </w:rPr>
        <w:t>第五部分 合同文本</w:t>
      </w:r>
    </w:p>
    <w:p>
      <w:pPr>
        <w:autoSpaceDN w:val="0"/>
        <w:spacing w:line="360" w:lineRule="auto"/>
        <w:ind w:firstLine="480" w:firstLineChars="200"/>
        <w:rPr>
          <w:rFonts w:ascii="宋体" w:hint="eastAsia"/>
          <w:sz w:val="24"/>
        </w:rPr>
      </w:pPr>
      <w:r>
        <w:rPr>
          <w:rFonts w:ascii="宋体" w:hint="eastAsia"/>
          <w:sz w:val="24"/>
        </w:rPr>
        <w:t>第六部分 投标文件格式</w:t>
      </w:r>
    </w:p>
    <w:p>
      <w:pPr>
        <w:autoSpaceDN w:val="0"/>
        <w:spacing w:line="360" w:lineRule="auto"/>
        <w:rPr>
          <w:rFonts w:ascii="宋体" w:hint="eastAsia"/>
          <w:b/>
          <w:bCs/>
          <w:sz w:val="24"/>
        </w:rPr>
      </w:pPr>
      <w:r>
        <w:rPr>
          <w:rFonts w:ascii="宋体" w:hint="eastAsia"/>
          <w:b/>
          <w:bCs/>
          <w:sz w:val="24"/>
        </w:rPr>
        <w:t>7.招标文件的询问、澄清和修改</w:t>
      </w:r>
    </w:p>
    <w:p>
      <w:pPr>
        <w:pStyle w:val="105"/>
        <w:spacing w:line="360" w:lineRule="auto"/>
        <w:ind w:firstLine="0" w:firstLineChars="0"/>
        <w:jc w:val="both"/>
        <w:textAlignment w:val="auto"/>
        <w:rPr>
          <w:rFonts w:ascii="宋体" w:hint="eastAsia"/>
          <w:color w:val="000000"/>
          <w:sz w:val="24"/>
        </w:rPr>
      </w:pPr>
      <w:r>
        <w:rPr>
          <w:rFonts w:ascii="宋体" w:hint="eastAsia"/>
          <w:color w:val="000000"/>
          <w:sz w:val="24"/>
        </w:rPr>
        <w:t>7.1询问</w:t>
      </w:r>
    </w:p>
    <w:p>
      <w:pPr>
        <w:pStyle w:val="105"/>
        <w:spacing w:line="360" w:lineRule="auto"/>
        <w:ind w:firstLine="0" w:firstLineChars="0"/>
        <w:jc w:val="both"/>
        <w:textAlignment w:val="auto"/>
        <w:rPr>
          <w:rFonts w:ascii="宋体" w:cs="微软雅黑" w:hint="eastAsia"/>
          <w:bCs/>
          <w:color w:val="auto"/>
          <w:kern w:val="2"/>
          <w:sz w:val="24"/>
          <w:szCs w:val="24"/>
          <w:highlight w:val="yellow"/>
          <w:lang w:bidi="ar-SA"/>
        </w:rPr>
      </w:pPr>
      <w:r>
        <w:rPr>
          <w:rFonts w:ascii="宋体" w:hint="eastAsia"/>
          <w:color w:val="000000"/>
          <w:sz w:val="24"/>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hint="eastAsia"/>
          <w:sz w:val="24"/>
        </w:rPr>
        <w:t>（</w:t>
      </w:r>
      <w:r>
        <w:rPr>
          <w:rFonts w:ascii="宋体" w:eastAsia="宋体" w:cs="微软雅黑" w:hint="eastAsia"/>
          <w:color w:val="auto"/>
          <w:kern w:val="2"/>
          <w:sz w:val="24"/>
          <w:szCs w:val="24"/>
          <w:highlight w:val="none"/>
          <w:lang w:bidi="ar-SA"/>
        </w:rPr>
        <w:t>投标人</w:t>
      </w:r>
      <w:r>
        <w:rPr>
          <w:rFonts w:ascii="宋体" w:eastAsia="宋体" w:cs="微软雅黑" w:hint="eastAsia"/>
          <w:color w:val="auto"/>
          <w:kern w:val="2"/>
          <w:sz w:val="24"/>
          <w:szCs w:val="24"/>
          <w:lang w:bidi="ar-SA"/>
        </w:rPr>
        <w:t>对政府采购过程、中标公告结果有疑问的，可以向采购人或</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提出询问，采购人或者</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应当在3个工作日内对供应商依法提出的询问作出答复）。</w:t>
      </w:r>
    </w:p>
    <w:p>
      <w:pPr>
        <w:autoSpaceDN w:val="0"/>
        <w:spacing w:line="360" w:lineRule="auto"/>
        <w:rPr>
          <w:rFonts w:ascii="宋体" w:hint="eastAsia"/>
          <w:sz w:val="24"/>
        </w:rPr>
      </w:pPr>
      <w:r>
        <w:rPr>
          <w:rFonts w:ascii="宋体" w:hint="eastAsia"/>
          <w:sz w:val="24"/>
        </w:rPr>
        <w:t>7.2澄清和修改</w:t>
      </w:r>
    </w:p>
    <w:p>
      <w:pPr>
        <w:autoSpaceDN w:val="0"/>
        <w:adjustRightInd w:val="0"/>
        <w:spacing w:line="360" w:lineRule="auto"/>
        <w:textAlignment w:val="baseline"/>
        <w:rPr>
          <w:rFonts w:ascii="宋体" w:hint="eastAsia"/>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hint="eastAsia"/>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hint="eastAsia"/>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hint="eastAsia"/>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hint="eastAsia"/>
          <w:b/>
          <w:bCs/>
          <w:sz w:val="24"/>
        </w:rPr>
      </w:pPr>
      <w:r>
        <w:rPr>
          <w:rFonts w:ascii="宋体" w:hint="eastAsia"/>
          <w:b/>
          <w:bCs/>
          <w:sz w:val="24"/>
        </w:rPr>
        <w:t>8.投标语言</w:t>
      </w:r>
    </w:p>
    <w:p>
      <w:pPr>
        <w:autoSpaceDN w:val="0"/>
        <w:spacing w:line="360" w:lineRule="auto"/>
        <w:ind w:left="480" w:hanging="480" w:hangingChars="200"/>
        <w:rPr>
          <w:rFonts w:ascii="宋体" w:hint="eastAsia"/>
          <w:sz w:val="24"/>
        </w:rPr>
      </w:pPr>
      <w:r>
        <w:rPr>
          <w:rFonts w:ascii="宋体" w:hint="eastAsia"/>
          <w:sz w:val="24"/>
        </w:rPr>
        <w:t>8.1投标文件及与投标相关的所有文件均应以中文书写。</w:t>
      </w:r>
    </w:p>
    <w:p>
      <w:pPr>
        <w:autoSpaceDN w:val="0"/>
        <w:spacing w:line="360" w:lineRule="auto"/>
        <w:rPr>
          <w:rFonts w:ascii="宋体" w:hint="eastAsia"/>
          <w:b/>
          <w:bCs/>
          <w:sz w:val="24"/>
        </w:rPr>
      </w:pPr>
      <w:r>
        <w:rPr>
          <w:rFonts w:ascii="宋体" w:hint="eastAsia"/>
          <w:b/>
          <w:bCs/>
          <w:sz w:val="24"/>
        </w:rPr>
        <w:t>9.计量单位</w:t>
      </w:r>
    </w:p>
    <w:p>
      <w:pPr>
        <w:autoSpaceDN w:val="0"/>
        <w:spacing w:line="360" w:lineRule="auto"/>
        <w:ind w:left="1"/>
        <w:rPr>
          <w:rFonts w:ascii="宋体" w:hint="eastAsia"/>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hint="eastAsia"/>
          <w:b/>
          <w:bCs/>
          <w:sz w:val="24"/>
        </w:rPr>
      </w:pPr>
      <w:r>
        <w:rPr>
          <w:rFonts w:ascii="宋体" w:hint="eastAsia"/>
          <w:b/>
          <w:bCs/>
          <w:sz w:val="24"/>
        </w:rPr>
        <w:t>10. 投标文件的组成</w:t>
      </w:r>
    </w:p>
    <w:p>
      <w:pPr>
        <w:autoSpaceDN w:val="0"/>
        <w:spacing w:line="360" w:lineRule="auto"/>
        <w:rPr>
          <w:rFonts w:ascii="宋体" w:hint="eastAsia"/>
          <w:sz w:val="24"/>
        </w:rPr>
      </w:pPr>
      <w:r>
        <w:rPr>
          <w:rFonts w:ascii="宋体" w:hint="eastAsia"/>
          <w:sz w:val="24"/>
        </w:rPr>
        <w:t>投标人编写的投标文件应包括以下两类文件：</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w:t>
      </w: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hint="eastAsia"/>
          <w:kern w:val="0"/>
          <w:sz w:val="24"/>
          <w:szCs w:val="21"/>
          <w:highlight w:val="yellow"/>
        </w:rPr>
      </w:pPr>
      <w:r>
        <w:rPr>
          <w:rFonts w:ascii="Times New Roman" w:hAnsi="Times New Roman" w:hint="eastAsia"/>
          <w:kern w:val="0"/>
          <w:sz w:val="24"/>
          <w:szCs w:val="21"/>
          <w:highlight w:val="none"/>
        </w:rPr>
        <w:t>（一）投标人资格</w:t>
      </w:r>
      <w:r>
        <w:rPr>
          <w:rFonts w:ascii="Times New Roman" w:hAnsi="Times New Roman"/>
          <w:kern w:val="0"/>
          <w:sz w:val="24"/>
          <w:szCs w:val="21"/>
          <w:highlight w:val="none"/>
        </w:rPr>
        <w:t>审查材料包括：投标人资格审查一览表（格式见第六部分）、联合体投标协议书。</w:t>
      </w:r>
      <w:r>
        <w:rPr>
          <w:rFonts w:ascii="Times New Roman" w:hAnsi="Times New Roman"/>
          <w:kern w:val="0"/>
          <w:sz w:val="24"/>
          <w:szCs w:val="21"/>
        </w:rPr>
        <w:t>（加盖投标人电子签章）</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hint="eastAsia"/>
          <w:b/>
          <w:bCs/>
          <w:sz w:val="24"/>
        </w:rPr>
      </w:pPr>
      <w:r>
        <w:rPr>
          <w:rFonts w:ascii="宋体" w:hint="eastAsia"/>
          <w:b/>
          <w:bCs/>
          <w:sz w:val="24"/>
        </w:rPr>
        <w:t>★</w:t>
      </w:r>
      <w:r>
        <w:rPr>
          <w:rFonts w:ascii="宋体" w:hint="eastAsia"/>
          <w:b/>
          <w:bCs/>
          <w:sz w:val="24"/>
        </w:rPr>
        <w:t>（一）基本文件</w:t>
      </w:r>
    </w:p>
    <w:p>
      <w:pPr>
        <w:tabs>
          <w:tab w:val="left" w:pos="588"/>
        </w:tabs>
        <w:autoSpaceDN w:val="0"/>
        <w:spacing w:line="360" w:lineRule="auto"/>
        <w:rPr>
          <w:rFonts w:ascii="宋体" w:hint="eastAsia"/>
          <w:sz w:val="24"/>
        </w:rPr>
      </w:pPr>
      <w:r>
        <w:rPr>
          <w:rFonts w:ascii="宋体" w:hint="eastAsia"/>
          <w:sz w:val="24"/>
        </w:rPr>
        <w:t>（1）投标函，格式见第六部分（加盖投标人电子签章）。</w:t>
      </w:r>
    </w:p>
    <w:p>
      <w:pPr>
        <w:tabs>
          <w:tab w:val="left" w:pos="588"/>
        </w:tabs>
        <w:autoSpaceDN w:val="0"/>
        <w:spacing w:line="360" w:lineRule="auto"/>
        <w:rPr>
          <w:rFonts w:ascii="宋体" w:hint="eastAsia"/>
          <w:sz w:val="24"/>
        </w:rPr>
      </w:pPr>
      <w:r>
        <w:rPr>
          <w:rFonts w:ascii="宋体" w:hint="eastAsia"/>
          <w:sz w:val="24"/>
        </w:rPr>
        <w:t>（2）开标一览表，格式见第六部分（加盖投标人电子签章）。</w:t>
      </w:r>
    </w:p>
    <w:p>
      <w:pPr>
        <w:tabs>
          <w:tab w:val="left" w:pos="588"/>
        </w:tabs>
        <w:autoSpaceDN w:val="0"/>
        <w:spacing w:line="360" w:lineRule="auto"/>
        <w:rPr>
          <w:rFonts w:ascii="宋体" w:hint="eastAsia"/>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hint="eastAsia"/>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hint="eastAsia"/>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0"/>
        </w:tabs>
        <w:autoSpaceDN w:val="0"/>
        <w:spacing w:line="360" w:lineRule="auto"/>
        <w:rPr>
          <w:rFonts w:ascii="宋体" w:hint="eastAsia"/>
          <w:sz w:val="24"/>
        </w:rPr>
      </w:pPr>
      <w:bookmarkStart w:id="37" w:name="商务资质证明文件"/>
      <w:r>
        <w:rPr>
          <w:rFonts w:ascii="宋体" w:hint="eastAsia"/>
          <w:sz w:val="24"/>
        </w:rPr>
        <w:t>（1）★《商务偏离表》，格式见第六部分（加盖投标人电子签章）。</w:t>
      </w:r>
    </w:p>
    <w:p>
      <w:pPr>
        <w:tabs>
          <w:tab w:val="left" w:pos="0"/>
        </w:tabs>
        <w:autoSpaceDN w:val="0"/>
        <w:spacing w:line="360" w:lineRule="auto"/>
        <w:rPr>
          <w:rFonts w:ascii="宋体" w:hint="eastAsia"/>
          <w:sz w:val="24"/>
        </w:rPr>
      </w:pPr>
      <w:r>
        <w:rPr>
          <w:rFonts w:ascii="宋体" w:hint="eastAsia"/>
          <w:sz w:val="24"/>
        </w:rPr>
        <w:t>（2）★本项目专门面向中小企业采购，投标货物制造商如为中小企业，应提供《中小企业声明函》，格式见第六部分；如为监狱企业，应提供由省级以上监狱管理局、戒毒管理局(含新疆生产建设兵团)出具的属于监狱企业的证明文件；如为残疾人福利性单位，应提供《残疾人福利性单位声明函》，格式见第六部分。（加盖投标人电子签章）。</w:t>
      </w:r>
    </w:p>
    <w:p>
      <w:pPr>
        <w:tabs>
          <w:tab w:val="left" w:pos="0"/>
        </w:tabs>
        <w:autoSpaceDN w:val="0"/>
        <w:spacing w:line="360" w:lineRule="auto"/>
        <w:rPr>
          <w:rFonts w:ascii="宋体" w:hint="eastAsia"/>
          <w:sz w:val="24"/>
        </w:rPr>
      </w:pPr>
      <w:r>
        <w:rPr>
          <w:rFonts w:ascii="宋体" w:hint="eastAsia"/>
          <w:sz w:val="24"/>
        </w:rPr>
        <w:t>（3）投标人提供符合评分标准中商务部分要求的证明材料（详见打分标准）（加盖投标人电子签章）。</w:t>
      </w:r>
    </w:p>
    <w:p>
      <w:pPr>
        <w:tabs>
          <w:tab w:val="left" w:pos="0"/>
        </w:tabs>
        <w:autoSpaceDN w:val="0"/>
        <w:spacing w:line="360" w:lineRule="auto"/>
        <w:rPr>
          <w:rFonts w:ascii="宋体" w:hint="eastAsia"/>
          <w:sz w:val="24"/>
        </w:rPr>
      </w:pPr>
      <w:r>
        <w:rPr>
          <w:rFonts w:ascii="宋体" w:hint="eastAsia"/>
          <w:sz w:val="24"/>
        </w:rPr>
        <w:t>（4）证明投标人满足投标人资格标准的其他必要资格证明文件（如有）（加盖投标人电子签章）。</w:t>
      </w:r>
      <w:bookmarkEnd w:id="37"/>
      <w:r>
        <w:rPr>
          <w:rFonts w:ascii="宋体" w:hint="eastAsia"/>
          <w:b/>
          <w:bCs/>
          <w:sz w:val="24"/>
        </w:rPr>
        <w:t>（三）技术应答文件</w:t>
      </w:r>
    </w:p>
    <w:p>
      <w:pPr>
        <w:tabs>
          <w:tab w:val="left" w:pos="0"/>
        </w:tabs>
        <w:autoSpaceDN w:val="0"/>
        <w:spacing w:line="360" w:lineRule="auto"/>
        <w:rPr>
          <w:rFonts w:ascii="宋体" w:hint="eastAsia"/>
          <w:sz w:val="24"/>
        </w:rPr>
      </w:pPr>
      <w:bookmarkStart w:id="38" w:name="技术应答文件"/>
      <w:r>
        <w:rPr>
          <w:rFonts w:ascii="宋体" w:hint="eastAsia"/>
          <w:sz w:val="24"/>
        </w:rPr>
        <w:t>（1）★《技术偏离表》（货物类项目用）：须对本招标文件第三部分《项目需求书》中相关内容，按附件格式逐项应答，如有缺项进行相应扣分，格式见第六部分（加盖投标人电子签章）。</w:t>
      </w:r>
    </w:p>
    <w:p>
      <w:pPr>
        <w:tabs>
          <w:tab w:val="left" w:pos="0"/>
        </w:tabs>
        <w:autoSpaceDN w:val="0"/>
        <w:spacing w:line="360" w:lineRule="auto"/>
        <w:rPr>
          <w:rFonts w:ascii="宋体" w:hint="eastAsia"/>
          <w:sz w:val="24"/>
        </w:rPr>
      </w:pPr>
      <w:r>
        <w:rPr>
          <w:rFonts w:ascii="宋体" w:hint="eastAsia"/>
          <w:sz w:val="24"/>
        </w:rPr>
        <w:t xml:space="preserve">（2）货物说明一览表，格式见第六部分（加盖投标人电子签章）。 </w:t>
      </w:r>
    </w:p>
    <w:p>
      <w:pPr>
        <w:tabs>
          <w:tab w:val="left" w:pos="0"/>
        </w:tabs>
        <w:autoSpaceDN w:val="0"/>
        <w:spacing w:line="360" w:lineRule="auto"/>
        <w:rPr>
          <w:rFonts w:ascii="宋体" w:hint="eastAsia"/>
          <w:sz w:val="24"/>
        </w:rPr>
      </w:pPr>
      <w:r>
        <w:rPr>
          <w:rFonts w:ascii="宋体" w:hint="eastAsia"/>
          <w:sz w:val="24"/>
        </w:rPr>
        <w:t xml:space="preserve">（3）★投标人需提供所投产品的技术指标及配置清单，任何通过简单拷贝招标文件的技术服务要求的，将被视为未对招标文件的实质性进行响应（上传原件的扫描件，加盖投标人电子签章）。 </w:t>
      </w:r>
    </w:p>
    <w:p>
      <w:pPr>
        <w:tabs>
          <w:tab w:val="left" w:pos="0"/>
        </w:tabs>
        <w:autoSpaceDN w:val="0"/>
        <w:spacing w:line="360" w:lineRule="auto"/>
        <w:rPr>
          <w:rFonts w:ascii="宋体" w:hint="eastAsia"/>
          <w:sz w:val="24"/>
        </w:rPr>
      </w:pPr>
      <w:r>
        <w:rPr>
          <w:rFonts w:ascii="宋体" w:hint="eastAsia"/>
          <w:sz w:val="24"/>
        </w:rPr>
        <w:t>（4）★投标产品须满足项目需求书中所有星号（★）技术指标或配置的要求（详见项目需求书）。对于投标人对项目需求书中“主要技术参数及主要配置”的星号技术指标响应优于或满足招标文件的，必须提供相关证明材料，其中项目需求书中有明确要求的按要求提供证明材料；没有明确要求的，须提供加盖投标人印章的证明材料（包括但不限于产品配置清单、产品彩页、产品技术白皮书等）或具有CMA标识的第三方检测报告作为证明材料。技术偏离表中应标明星号技术指标对应证明材料在投标文件中的位置和页码，并用红色长方形边框框出应答内容。如不提供或经查询官方发布的产品资料内容与投标文件不一致、缺失，视为未提供证明材料。</w:t>
      </w:r>
    </w:p>
    <w:p>
      <w:pPr>
        <w:tabs>
          <w:tab w:val="left" w:pos="0"/>
        </w:tabs>
        <w:autoSpaceDN w:val="0"/>
        <w:spacing w:line="360" w:lineRule="auto"/>
        <w:rPr>
          <w:rFonts w:ascii="宋体" w:hint="eastAsia"/>
          <w:sz w:val="24"/>
        </w:rPr>
      </w:pPr>
      <w:r>
        <w:rPr>
          <w:rFonts w:ascii="宋体" w:hint="eastAsia"/>
          <w:sz w:val="24"/>
        </w:rPr>
        <w:t>（5）投标人提供符合评分标准中技术部分要求的证明材料（详见打分标准）（加盖投标人电子签章）。</w:t>
      </w:r>
    </w:p>
    <w:p>
      <w:pPr>
        <w:tabs>
          <w:tab w:val="left" w:pos="0"/>
        </w:tabs>
        <w:autoSpaceDN w:val="0"/>
        <w:spacing w:line="360" w:lineRule="auto"/>
        <w:rPr>
          <w:rFonts w:ascii="宋体" w:hint="eastAsia"/>
          <w:sz w:val="24"/>
        </w:rPr>
      </w:pPr>
      <w:r>
        <w:rPr>
          <w:rFonts w:ascii="宋体" w:hint="eastAsia"/>
          <w:sz w:val="24"/>
        </w:rPr>
        <w:t>（6）项目需求书中有视频演示要求的，投标人需上传视频对投标产品进行真机视频功能展示，每个包限时10分钟，采用MP4格式。（展示机型必须与投标产品型号一致）。</w:t>
      </w:r>
    </w:p>
    <w:p>
      <w:pPr>
        <w:tabs>
          <w:tab w:val="left" w:pos="0"/>
        </w:tabs>
        <w:autoSpaceDN w:val="0"/>
        <w:spacing w:line="360" w:lineRule="auto"/>
        <w:rPr>
          <w:rFonts w:ascii="宋体" w:hint="eastAsia"/>
          <w:sz w:val="24"/>
        </w:rPr>
      </w:pPr>
      <w:r>
        <w:rPr>
          <w:rFonts w:ascii="宋体" w:hint="eastAsia"/>
          <w:sz w:val="24"/>
        </w:rPr>
        <w:t>（7）投标人认为应该提供的其他证明材料（如有）（加盖投标人电子签章）。</w:t>
      </w:r>
      <w:bookmarkEnd w:id="38"/>
      <w:r>
        <w:rPr>
          <w:rFonts w:ascii="宋体" w:hint="eastAsia"/>
          <w:b/>
          <w:bCs/>
          <w:sz w:val="24"/>
        </w:rPr>
        <w:t>（四）服务应答文件</w:t>
      </w:r>
    </w:p>
    <w:p>
      <w:pPr>
        <w:tabs>
          <w:tab w:val="left" w:pos="0"/>
        </w:tabs>
        <w:autoSpaceDN w:val="0"/>
        <w:spacing w:line="360" w:lineRule="auto"/>
        <w:rPr>
          <w:rFonts w:ascii="宋体" w:hint="eastAsia"/>
          <w:sz w:val="24"/>
        </w:rPr>
      </w:pPr>
      <w:bookmarkStart w:id="39" w:name="服务应答文件"/>
      <w:r>
        <w:rPr>
          <w:rFonts w:ascii="宋体" w:hint="eastAsia"/>
          <w:kern w:val="2"/>
          <w:sz w:val="24"/>
        </w:rPr>
        <w:t>（1）投标人提供符合评分标准中服务部分要求的证明材料（详见打分标准）（加盖投标人电子签章）。</w:t>
      </w:r>
    </w:p>
    <w:p>
      <w:pPr>
        <w:tabs>
          <w:tab w:val="left" w:pos="0"/>
        </w:tabs>
        <w:autoSpaceDN w:val="0"/>
        <w:spacing w:line="360" w:lineRule="auto"/>
        <w:rPr>
          <w:rFonts w:ascii="宋体" w:hint="eastAsia"/>
          <w:kern w:val="2"/>
          <w:sz w:val="24"/>
        </w:rPr>
      </w:pPr>
      <w:r>
        <w:rPr>
          <w:rFonts w:ascii="宋体" w:hint="eastAsia"/>
          <w:kern w:val="2"/>
          <w:sz w:val="24"/>
        </w:rPr>
        <w:t>（2）所投产品质保期外的售后服务承诺（如有）（上传原件的扫描件，加盖投标人电子签章）。</w:t>
      </w:r>
    </w:p>
    <w:p>
      <w:pPr>
        <w:tabs>
          <w:tab w:val="left" w:pos="0"/>
        </w:tabs>
        <w:autoSpaceDN w:val="0"/>
        <w:spacing w:line="360" w:lineRule="auto"/>
        <w:rPr>
          <w:rFonts w:ascii="宋体" w:hint="eastAsia"/>
          <w:kern w:val="2"/>
          <w:sz w:val="24"/>
        </w:rPr>
      </w:pPr>
      <w:r>
        <w:rPr>
          <w:rFonts w:ascii="宋体" w:hint="eastAsia"/>
          <w:kern w:val="2"/>
          <w:sz w:val="24"/>
        </w:rPr>
        <w:t>（3）投标人需在投标文件中报出质保期外的售后服务方案及报价，其中投标产品的维修服务标准须等同于保修期内的标准（包括原厂保修服务），质保期外的X年内所必须的主要零部件及易损件报价表，格式见第六部分（加盖投标人电子签章）。</w:t>
      </w:r>
    </w:p>
    <w:p>
      <w:pPr>
        <w:tabs>
          <w:tab w:val="left" w:pos="0"/>
        </w:tabs>
        <w:autoSpaceDN w:val="0"/>
        <w:spacing w:line="360" w:lineRule="auto"/>
        <w:rPr>
          <w:rFonts w:ascii="宋体" w:hint="eastAsia"/>
          <w:kern w:val="2"/>
          <w:sz w:val="24"/>
        </w:rPr>
      </w:pPr>
      <w:r>
        <w:rPr>
          <w:rFonts w:ascii="宋体" w:hint="eastAsia"/>
          <w:kern w:val="2"/>
          <w:sz w:val="24"/>
        </w:rPr>
        <w:t>（4）投标人认为应该提供的其他证明材料（如有）（加盖投标人电子签章）。</w:t>
      </w:r>
      <w:bookmarkEnd w:id="39"/>
      <w:r>
        <w:rPr>
          <w:rFonts w:ascii="宋体" w:hint="eastAsia"/>
          <w:b/>
          <w:sz w:val="24"/>
        </w:rPr>
        <w:t>重要提示：</w:t>
      </w:r>
    </w:p>
    <w:p>
      <w:pPr>
        <w:tabs>
          <w:tab w:val="left" w:pos="0"/>
        </w:tabs>
        <w:autoSpaceDN w:val="0"/>
        <w:spacing w:line="360" w:lineRule="auto"/>
        <w:rPr>
          <w:rFonts w:ascii="宋体" w:hint="eastAsia"/>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hint="eastAsia"/>
          <w:b/>
          <w:bCs/>
          <w:sz w:val="24"/>
        </w:rPr>
      </w:pPr>
      <w:r>
        <w:rPr>
          <w:rFonts w:ascii="宋体" w:hint="eastAsia"/>
          <w:b/>
          <w:bCs/>
          <w:sz w:val="24"/>
        </w:rPr>
        <w:t>11.投标文件格式</w:t>
      </w:r>
    </w:p>
    <w:p>
      <w:pPr>
        <w:tabs>
          <w:tab w:val="left" w:pos="0"/>
        </w:tabs>
        <w:autoSpaceDN w:val="0"/>
        <w:spacing w:line="360" w:lineRule="auto"/>
        <w:rPr>
          <w:rFonts w:ascii="宋体" w:hint="eastAsia"/>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hint="eastAsia"/>
          <w:b/>
          <w:bCs/>
          <w:sz w:val="24"/>
        </w:rPr>
      </w:pPr>
      <w:r>
        <w:rPr>
          <w:rFonts w:ascii="宋体" w:hint="eastAsia"/>
          <w:b/>
          <w:bCs/>
          <w:sz w:val="24"/>
        </w:rPr>
        <w:t>12.投标报价</w:t>
      </w:r>
    </w:p>
    <w:p>
      <w:pPr>
        <w:tabs>
          <w:tab w:val="left" w:pos="0"/>
        </w:tabs>
        <w:autoSpaceDN w:val="0"/>
        <w:spacing w:line="360" w:lineRule="auto"/>
        <w:rPr>
          <w:rFonts w:ascii="宋体" w:hint="eastAsia"/>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hint="eastAsia"/>
          <w:sz w:val="24"/>
        </w:rPr>
      </w:pPr>
      <w:r>
        <w:rPr>
          <w:rFonts w:ascii="宋体" w:hint="eastAsia"/>
          <w:sz w:val="24"/>
        </w:rPr>
        <w:t>12.2 投标人应在投标分项报价表中详细列出投标货物及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hint="eastAsia"/>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hint="eastAsia"/>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hint="eastAsia"/>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hint="eastAsia"/>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hint="eastAsia"/>
          <w:b/>
          <w:bCs/>
          <w:sz w:val="24"/>
        </w:rPr>
      </w:pPr>
      <w:r>
        <w:rPr>
          <w:rFonts w:ascii="宋体" w:hint="eastAsia"/>
          <w:b/>
          <w:bCs/>
          <w:sz w:val="24"/>
        </w:rPr>
        <w:t>13.投标货币</w:t>
      </w:r>
    </w:p>
    <w:p>
      <w:pPr>
        <w:autoSpaceDN w:val="0"/>
        <w:spacing w:line="360" w:lineRule="auto"/>
        <w:ind w:left="1"/>
        <w:rPr>
          <w:rFonts w:ascii="宋体" w:hint="eastAsia"/>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hint="eastAsia"/>
          <w:b/>
          <w:bCs/>
          <w:sz w:val="24"/>
        </w:rPr>
      </w:pPr>
      <w:r>
        <w:rPr>
          <w:rFonts w:ascii="宋体" w:hint="eastAsia"/>
          <w:b/>
          <w:bCs/>
          <w:sz w:val="24"/>
        </w:rPr>
        <w:t>14.投标保证金</w:t>
      </w:r>
    </w:p>
    <w:p>
      <w:pPr>
        <w:tabs>
          <w:tab w:val="left" w:pos="588"/>
        </w:tabs>
        <w:autoSpaceDN w:val="0"/>
        <w:spacing w:line="360" w:lineRule="auto"/>
        <w:rPr>
          <w:rFonts w:ascii="宋体" w:hint="eastAsia"/>
          <w:sz w:val="24"/>
        </w:rPr>
      </w:pPr>
      <w:r>
        <w:rPr>
          <w:rFonts w:ascii="宋体" w:hint="eastAsia"/>
          <w:sz w:val="24"/>
        </w:rPr>
        <w:t>不适用</w:t>
      </w:r>
    </w:p>
    <w:p>
      <w:pPr>
        <w:tabs>
          <w:tab w:val="left" w:pos="588"/>
        </w:tabs>
        <w:autoSpaceDN w:val="0"/>
        <w:spacing w:line="360" w:lineRule="auto"/>
        <w:rPr>
          <w:rFonts w:ascii="宋体" w:hint="eastAsia"/>
          <w:b/>
          <w:bCs/>
          <w:sz w:val="24"/>
        </w:rPr>
      </w:pPr>
      <w:r>
        <w:rPr>
          <w:rFonts w:ascii="宋体" w:hint="eastAsia"/>
          <w:b/>
          <w:bCs/>
          <w:sz w:val="24"/>
        </w:rPr>
        <w:t>15.投标有效期</w:t>
      </w:r>
    </w:p>
    <w:p>
      <w:pPr>
        <w:autoSpaceDN w:val="0"/>
        <w:spacing w:line="360" w:lineRule="auto"/>
        <w:ind w:left="1"/>
        <w:rPr>
          <w:rFonts w:ascii="宋体" w:hint="eastAsia"/>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hint="eastAsia"/>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hint="eastAsia"/>
          <w:b/>
          <w:bCs/>
          <w:sz w:val="24"/>
        </w:rPr>
      </w:pPr>
    </w:p>
    <w:p>
      <w:pPr>
        <w:autoSpaceDN w:val="0"/>
        <w:spacing w:line="360" w:lineRule="auto"/>
        <w:rPr>
          <w:rFonts w:ascii="宋体" w:hint="eastAsia"/>
          <w:szCs w:val="21"/>
          <w:highlight w:val="cyan"/>
        </w:rPr>
      </w:pP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四、投标文件的</w:t>
      </w:r>
      <w:r>
        <w:rPr>
          <w:rFonts w:ascii="宋体" w:hint="eastAsia"/>
          <w:b/>
          <w:bCs/>
          <w:sz w:val="30"/>
          <w:szCs w:val="30"/>
          <w:highlight w:val="none"/>
        </w:rPr>
        <w:t>提</w:t>
      </w:r>
      <w:r>
        <w:rPr>
          <w:rFonts w:ascii="宋体" w:hint="eastAsia"/>
          <w:b/>
          <w:bCs/>
          <w:sz w:val="30"/>
          <w:szCs w:val="30"/>
          <w:highlight w:val="white"/>
        </w:rPr>
        <w:t>交</w:t>
      </w:r>
    </w:p>
    <w:p>
      <w:pPr>
        <w:autoSpaceDN w:val="0"/>
        <w:spacing w:line="360" w:lineRule="auto"/>
        <w:jc w:val="center"/>
        <w:rPr>
          <w:rFonts w:ascii="宋体" w:hint="eastAsia"/>
          <w:b/>
          <w:bCs/>
          <w:sz w:val="24"/>
        </w:rPr>
      </w:pPr>
    </w:p>
    <w:p>
      <w:pPr>
        <w:autoSpaceDN w:val="0"/>
        <w:spacing w:line="360" w:lineRule="auto"/>
        <w:rPr>
          <w:rFonts w:ascii="宋体" w:hint="eastAsia"/>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hint="eastAsia"/>
          <w:kern w:val="20"/>
          <w:sz w:val="24"/>
          <w:szCs w:val="21"/>
          <w:lang w:val="zh-CN" w:eastAsia="zh-CN" w:bidi="ar-SA"/>
        </w:rPr>
      </w:pPr>
      <w:r>
        <w:rPr>
          <w:rFonts w:ascii="宋体" w:cs="微软雅黑" w:hint="eastAsia"/>
          <w:kern w:val="20"/>
          <w:sz w:val="24"/>
          <w:szCs w:val="21"/>
          <w:lang w:val="zh-CN" w:eastAsia="zh-CN" w:bidi="ar-SA"/>
        </w:rPr>
        <w:t>16.1投标人应按本款下述规定以及</w:t>
      </w:r>
      <w:r>
        <w:rPr>
          <w:rFonts w:ascii="宋体" w:cs="微软雅黑" w:hint="eastAsia"/>
          <w:b/>
          <w:bCs/>
          <w:kern w:val="20"/>
          <w:sz w:val="24"/>
          <w:szCs w:val="21"/>
          <w:lang w:val="zh-CN" w:eastAsia="zh-CN" w:bidi="ar-SA"/>
        </w:rPr>
        <w:t>投标人须知前附表第</w:t>
      </w:r>
      <w:r>
        <w:rPr>
          <w:rFonts w:ascii="宋体" w:cs="微软雅黑" w:hint="eastAsia"/>
          <w:b/>
          <w:bCs/>
          <w:kern w:val="20"/>
          <w:sz w:val="24"/>
          <w:szCs w:val="21"/>
          <w:lang w:bidi="ar-SA"/>
        </w:rPr>
        <w:t>11</w:t>
      </w:r>
      <w:r>
        <w:rPr>
          <w:rFonts w:ascii="宋体" w:cs="微软雅黑" w:hint="eastAsia"/>
          <w:b/>
          <w:bCs/>
          <w:kern w:val="20"/>
          <w:sz w:val="24"/>
          <w:szCs w:val="21"/>
          <w:lang w:val="zh-CN" w:eastAsia="zh-CN" w:bidi="ar-SA"/>
        </w:rPr>
        <w:t>条</w:t>
      </w:r>
      <w:r>
        <w:rPr>
          <w:rFonts w:ascii="宋体" w:cs="微软雅黑" w:hint="eastAsia"/>
          <w:kern w:val="20"/>
          <w:sz w:val="24"/>
          <w:szCs w:val="21"/>
          <w:lang w:val="zh-CN" w:eastAsia="zh-CN" w:bidi="ar-SA"/>
        </w:rPr>
        <w:t>规定的方式提交投标文件。</w:t>
      </w:r>
    </w:p>
    <w:p>
      <w:pPr>
        <w:adjustRightInd w:val="0"/>
        <w:snapToGrid w:val="0"/>
        <w:spacing w:line="440" w:lineRule="exact"/>
        <w:rPr>
          <w:rFonts w:ascii="宋体" w:hint="eastAsia"/>
          <w:sz w:val="24"/>
        </w:rPr>
      </w:pPr>
      <w:r>
        <w:rPr>
          <w:rFonts w:ascii="宋体" w:cs="微软雅黑" w:hint="eastAsia"/>
          <w:sz w:val="24"/>
          <w:szCs w:val="21"/>
          <w:lang w:bidi="ar-SA"/>
        </w:rPr>
        <w:t>16.2投标人须登陆中国海关政府采购网，下载</w:t>
      </w:r>
      <w:r>
        <w:rPr>
          <w:rFonts w:ascii="宋体" w:cs="微软雅黑" w:hint="eastAsia"/>
          <w:color w:val="C00000"/>
          <w:sz w:val="24"/>
          <w:szCs w:val="21"/>
          <w:lang w:bidi="ar-SA"/>
        </w:rPr>
        <w:t>海关智慧政采综合管理平台</w:t>
      </w:r>
      <w:r>
        <w:rPr>
          <w:rFonts w:ascii="宋体" w:cs="微软雅黑" w:hint="eastAsia"/>
          <w:sz w:val="24"/>
          <w:szCs w:val="21"/>
          <w:lang w:bidi="ar-SA"/>
        </w:rPr>
        <w:t>的投标工具，制作并上传电子投标文件，文件上传成功后，将获得投标系统回执。</w:t>
      </w:r>
    </w:p>
    <w:p>
      <w:pPr>
        <w:autoSpaceDN w:val="0"/>
        <w:spacing w:line="360" w:lineRule="auto"/>
        <w:rPr>
          <w:rFonts w:ascii="宋体" w:hint="eastAsia"/>
          <w:b/>
          <w:bCs/>
          <w:sz w:val="24"/>
        </w:rPr>
      </w:pPr>
      <w:r>
        <w:rPr>
          <w:rFonts w:ascii="宋体" w:hint="eastAsia"/>
          <w:b/>
          <w:bCs/>
          <w:sz w:val="24"/>
          <w:highlight w:val="white"/>
        </w:rPr>
        <w:t>17.投标文件提交截止时间</w:t>
      </w:r>
    </w:p>
    <w:p>
      <w:pPr>
        <w:autoSpaceDN w:val="0"/>
        <w:spacing w:line="360" w:lineRule="auto"/>
        <w:rPr>
          <w:rFonts w:ascii="宋体" w:hint="eastAsia"/>
          <w:b/>
          <w:bCs/>
          <w:sz w:val="24"/>
        </w:rPr>
      </w:pPr>
      <w:r>
        <w:rPr>
          <w:rFonts w:ascii="宋体" w:hint="eastAsia"/>
          <w:color w:val="auto"/>
          <w:sz w:val="24"/>
          <w:u w:val="none"/>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hint="eastAsia"/>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18.1投标人在投标截止时间前，可以对所提交的投标文件进行补充、修改或者撤回。</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18.2投标人在投标截止时间前需要对投标文件进行补充、修改的，应当使用投标文件制作工具重新制作并上传。</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18.3在投标截止时间之后，投标人不得撤回投标。</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19.开标</w:t>
      </w:r>
    </w:p>
    <w:p>
      <w:pPr>
        <w:autoSpaceDN w:val="0"/>
        <w:spacing w:line="360" w:lineRule="auto"/>
        <w:ind w:left="480" w:hanging="480" w:hangingChars="200"/>
        <w:rPr>
          <w:rFonts w:ascii="宋体" w:hint="eastAsia"/>
          <w:sz w:val="24"/>
        </w:rPr>
      </w:pPr>
      <w:r>
        <w:rPr>
          <w:rFonts w:ascii="宋体" w:hint="eastAsia"/>
          <w:sz w:val="24"/>
        </w:rPr>
        <w:t>19.1开标时间和方式见招标公告。</w:t>
      </w:r>
    </w:p>
    <w:p>
      <w:pPr>
        <w:autoSpaceDN w:val="0"/>
        <w:spacing w:line="360" w:lineRule="auto"/>
        <w:ind w:left="1"/>
        <w:rPr>
          <w:rFonts w:ascii="宋体" w:hint="eastAsia"/>
          <w:sz w:val="24"/>
        </w:rPr>
      </w:pPr>
      <w:r>
        <w:rPr>
          <w:rFonts w:ascii="宋体" w:hint="eastAsia"/>
          <w:sz w:val="24"/>
        </w:rPr>
        <w:t>19.2投标人不足3家，不进入解密程序。</w:t>
      </w:r>
    </w:p>
    <w:p>
      <w:pPr>
        <w:adjustRightInd w:val="0"/>
        <w:snapToGrid w:val="0"/>
        <w:spacing w:line="360" w:lineRule="auto"/>
        <w:rPr>
          <w:rFonts w:ascii="宋体" w:cs="微软雅黑" w:hint="eastAsia"/>
          <w:szCs w:val="21"/>
          <w:lang w:bidi="ar-SA"/>
        </w:rPr>
      </w:pPr>
      <w:r>
        <w:rPr>
          <w:rFonts w:ascii="宋体" w:hint="eastAsia"/>
          <w:sz w:val="24"/>
        </w:rPr>
        <w:t>19.3</w:t>
      </w:r>
      <w:r>
        <w:rPr>
          <w:rFonts w:ascii="宋体" w:cs="微软雅黑" w:hint="eastAsia"/>
          <w:sz w:val="24"/>
          <w:szCs w:val="21"/>
          <w:lang w:bidi="ar-SA"/>
        </w:rPr>
        <w:t>进入解密程序后，由海关总署物资装备采购中心对所有完成投递的电子投标文件进行解密。所有投标人电子投标文件解密完成后，将进行电子唱标。</w:t>
      </w:r>
    </w:p>
    <w:p>
      <w:pPr>
        <w:pStyle w:val="100"/>
        <w:autoSpaceDN w:val="0"/>
        <w:spacing w:line="360" w:lineRule="auto"/>
        <w:ind w:left="1"/>
        <w:rPr>
          <w:rFonts w:eastAsia="宋体"/>
          <w:sz w:val="24"/>
          <w:lang w:eastAsia="zh-CN"/>
        </w:rPr>
      </w:pPr>
      <w:r>
        <w:rPr>
          <w:rFonts w:ascii="宋体" w:hint="eastAsia"/>
          <w:sz w:val="24"/>
        </w:rPr>
        <w:t>19.4</w:t>
      </w:r>
      <w:r>
        <w:rPr>
          <w:rFonts w:hint="eastAsia"/>
        </w:rPr>
        <w:t xml:space="preserve"> </w:t>
      </w:r>
      <w:r>
        <w:rPr>
          <w:rFonts w:ascii="宋体" w:hint="eastAsia"/>
          <w:sz w:val="24"/>
          <w:lang w:eastAsia="zh-CN"/>
        </w:rPr>
        <w:t>投标人投标文件解密失败的，按以下程序进行处理：1.</w:t>
      </w:r>
      <w:r>
        <w:rPr>
          <w:rFonts w:eastAsia="宋体" w:hint="eastAsia"/>
          <w:sz w:val="24"/>
          <w:lang w:eastAsia="zh-CN"/>
        </w:rPr>
        <w:t>因投标人</w:t>
      </w:r>
      <w:r>
        <w:rPr>
          <w:rFonts w:eastAsia="宋体"/>
          <w:sz w:val="24"/>
          <w:lang w:eastAsia="zh-CN"/>
        </w:rPr>
        <w:t>自身</w:t>
      </w:r>
      <w:r>
        <w:rPr>
          <w:rFonts w:eastAsia="宋体" w:hint="eastAsia"/>
          <w:sz w:val="24"/>
          <w:lang w:eastAsia="zh-CN"/>
        </w:rPr>
        <w:t>原因造成投标文件解密</w:t>
      </w:r>
      <w:r>
        <w:rPr>
          <w:rFonts w:eastAsia="宋体"/>
          <w:sz w:val="24"/>
          <w:lang w:eastAsia="zh-CN"/>
        </w:rPr>
        <w:t>失败</w:t>
      </w:r>
      <w:r>
        <w:rPr>
          <w:rFonts w:eastAsia="宋体" w:hint="eastAsia"/>
          <w:sz w:val="24"/>
          <w:lang w:eastAsia="zh-CN"/>
        </w:rPr>
        <w:t>的，视其为投标无效；</w:t>
      </w:r>
      <w:r>
        <w:rPr>
          <w:rFonts w:eastAsia="宋体"/>
          <w:sz w:val="24"/>
          <w:lang w:eastAsia="zh-CN"/>
        </w:rPr>
        <w:t>2.</w:t>
      </w:r>
      <w:r>
        <w:rPr>
          <w:rFonts w:eastAsia="宋体" w:hint="eastAsia"/>
          <w:sz w:val="24"/>
          <w:lang w:eastAsia="zh-CN"/>
        </w:rPr>
        <w:t>因</w:t>
      </w:r>
      <w:r>
        <w:rPr>
          <w:rFonts w:eastAsia="宋体"/>
          <w:sz w:val="24"/>
          <w:lang w:eastAsia="zh-CN"/>
        </w:rPr>
        <w:t>投标系统</w:t>
      </w:r>
      <w:r>
        <w:rPr>
          <w:rFonts w:eastAsia="宋体" w:hint="eastAsia"/>
          <w:sz w:val="24"/>
          <w:lang w:eastAsia="zh-CN"/>
        </w:rPr>
        <w:t>原因造成投标文件解密</w:t>
      </w:r>
      <w:r>
        <w:rPr>
          <w:rFonts w:eastAsia="宋体"/>
          <w:sz w:val="24"/>
          <w:lang w:eastAsia="zh-CN"/>
        </w:rPr>
        <w:t>失败</w:t>
      </w:r>
      <w:r>
        <w:rPr>
          <w:rFonts w:eastAsia="宋体" w:hint="eastAsia"/>
          <w:sz w:val="24"/>
          <w:lang w:eastAsia="zh-CN"/>
        </w:rPr>
        <w:t>的，</w:t>
      </w:r>
      <w:r>
        <w:rPr>
          <w:rFonts w:eastAsia="宋体"/>
          <w:sz w:val="24"/>
          <w:lang w:eastAsia="zh-CN"/>
        </w:rPr>
        <w:t>投标人须</w:t>
      </w:r>
      <w:r>
        <w:rPr>
          <w:rFonts w:eastAsia="宋体" w:hint="eastAsia"/>
          <w:sz w:val="24"/>
          <w:lang w:eastAsia="zh-CN"/>
        </w:rPr>
        <w:t>在接到采购</w:t>
      </w:r>
      <w:r>
        <w:rPr>
          <w:rFonts w:eastAsia="宋体"/>
          <w:sz w:val="24"/>
          <w:lang w:eastAsia="zh-CN"/>
        </w:rPr>
        <w:t>机构</w:t>
      </w:r>
      <w:r>
        <w:rPr>
          <w:rFonts w:eastAsia="宋体" w:hint="eastAsia"/>
          <w:sz w:val="24"/>
          <w:lang w:eastAsia="zh-CN"/>
        </w:rPr>
        <w:t>通知后</w:t>
      </w:r>
      <w:r>
        <w:rPr>
          <w:rFonts w:eastAsia="宋体"/>
          <w:sz w:val="24"/>
          <w:lang w:eastAsia="zh-CN"/>
        </w:rPr>
        <w:t>30</w:t>
      </w:r>
      <w:r>
        <w:rPr>
          <w:rFonts w:eastAsia="宋体" w:hint="eastAsia"/>
          <w:sz w:val="24"/>
          <w:lang w:eastAsia="zh-CN"/>
        </w:rPr>
        <w:t>分钟内，登陆投标系统，在</w:t>
      </w:r>
      <w:r>
        <w:rPr>
          <w:rFonts w:eastAsia="宋体" w:hint="eastAsia"/>
          <w:sz w:val="24"/>
          <w:lang w:eastAsia="zh-CN"/>
        </w:rPr>
        <w:t>“</w:t>
      </w:r>
      <w:r>
        <w:rPr>
          <w:rFonts w:eastAsia="宋体" w:hint="eastAsia"/>
          <w:sz w:val="24"/>
          <w:lang w:eastAsia="zh-CN"/>
        </w:rPr>
        <w:t>我要投标</w:t>
      </w:r>
      <w:r>
        <w:rPr>
          <w:rFonts w:eastAsia="宋体" w:hint="eastAsia"/>
          <w:sz w:val="24"/>
          <w:lang w:eastAsia="zh-CN"/>
        </w:rPr>
        <w:t>”</w:t>
      </w:r>
      <w:r>
        <w:rPr>
          <w:rFonts w:eastAsia="宋体" w:hint="eastAsia"/>
          <w:sz w:val="24"/>
          <w:lang w:eastAsia="zh-CN"/>
        </w:rPr>
        <w:t>找到该项目并点击</w:t>
      </w:r>
      <w:r>
        <w:rPr>
          <w:rFonts w:eastAsia="宋体" w:hint="eastAsia"/>
          <w:sz w:val="24"/>
          <w:lang w:eastAsia="zh-CN"/>
        </w:rPr>
        <w:t>“</w:t>
      </w:r>
      <w:r>
        <w:rPr>
          <w:rFonts w:eastAsia="宋体" w:hint="eastAsia"/>
          <w:sz w:val="24"/>
          <w:lang w:eastAsia="zh-CN"/>
        </w:rPr>
        <w:t>导出投标文件</w:t>
      </w:r>
      <w:r>
        <w:rPr>
          <w:rFonts w:eastAsia="宋体" w:hint="eastAsia"/>
          <w:sz w:val="24"/>
          <w:lang w:eastAsia="zh-CN"/>
        </w:rPr>
        <w:t>”</w:t>
      </w:r>
      <w:r>
        <w:rPr>
          <w:rFonts w:eastAsia="宋体" w:hint="eastAsia"/>
          <w:sz w:val="24"/>
          <w:lang w:eastAsia="zh-CN"/>
        </w:rPr>
        <w:t>，选择导出方式为备份导出，然后将导出的文件压缩包发送至customscgzx@163.com</w:t>
      </w:r>
      <w:r>
        <w:rPr>
          <w:rFonts w:eastAsia="宋体"/>
          <w:sz w:val="24"/>
          <w:lang w:eastAsia="zh-CN"/>
        </w:rPr>
        <w:t>，</w:t>
      </w:r>
      <w:r>
        <w:rPr>
          <w:rFonts w:eastAsia="宋体" w:hint="eastAsia"/>
          <w:sz w:val="24"/>
          <w:lang w:eastAsia="zh-CN"/>
        </w:rPr>
        <w:t>若超出限定时间</w:t>
      </w:r>
      <w:r>
        <w:rPr>
          <w:rFonts w:eastAsia="宋体"/>
          <w:sz w:val="24"/>
          <w:lang w:eastAsia="zh-CN"/>
        </w:rPr>
        <w:t>未发送</w:t>
      </w:r>
      <w:r>
        <w:rPr>
          <w:rFonts w:eastAsia="宋体" w:hint="eastAsia"/>
          <w:sz w:val="24"/>
          <w:lang w:eastAsia="zh-CN"/>
        </w:rPr>
        <w:t>即认定为投标无效。</w:t>
      </w:r>
    </w:p>
    <w:p>
      <w:pPr>
        <w:autoSpaceDN w:val="0"/>
        <w:spacing w:line="360" w:lineRule="auto"/>
        <w:ind w:left="1"/>
        <w:rPr>
          <w:rFonts w:ascii="宋体" w:hint="eastAsia"/>
          <w:sz w:val="24"/>
        </w:rPr>
      </w:pPr>
      <w:r>
        <w:rPr>
          <w:rFonts w:ascii="宋体" w:hint="eastAsia"/>
          <w:sz w:val="24"/>
        </w:rPr>
        <w:t>19.5开标时，开标一览表中大写金额和小写金额不一致的，以大写金额为准，投标文件其他报价出现不一致的，按政府采购规定进行修正，修正后的报价经投标人确认后产生约束力。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20.投标人资格审查</w:t>
      </w:r>
    </w:p>
    <w:p>
      <w:pPr>
        <w:autoSpaceDN w:val="0"/>
        <w:spacing w:line="360" w:lineRule="auto"/>
        <w:ind w:left="1"/>
        <w:rPr>
          <w:rFonts w:ascii="宋体" w:hint="eastAsia"/>
          <w:sz w:val="24"/>
        </w:rPr>
      </w:pPr>
      <w:r>
        <w:rPr>
          <w:rFonts w:ascii="宋体" w:hint="eastAsia"/>
          <w:sz w:val="24"/>
        </w:rPr>
        <w:t>20.1开标结束后，采购机构依据招标文件要求组织采购人代表及其他相关人员对投标人的资格条件进行审查。</w:t>
      </w:r>
    </w:p>
    <w:p>
      <w:pPr>
        <w:autoSpaceDN w:val="0"/>
        <w:spacing w:line="360" w:lineRule="auto"/>
        <w:ind w:left="1"/>
        <w:rPr>
          <w:rFonts w:ascii="宋体" w:hint="eastAsia"/>
          <w:sz w:val="24"/>
          <w:highlight w:val="yellow"/>
        </w:rPr>
      </w:pPr>
      <w:r>
        <w:rPr>
          <w:rFonts w:ascii="宋体" w:hint="eastAsia"/>
          <w:sz w:val="24"/>
          <w:highlight w:val="none"/>
        </w:rPr>
        <w:t>20.2对投标人的资格审查，是对照投标文件资格审查材料对投标人的资格进行审查。合格投标人不足3家的，不进入评标程序。</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21.评标委员会</w:t>
      </w:r>
    </w:p>
    <w:p>
      <w:pPr>
        <w:autoSpaceDN w:val="0"/>
        <w:spacing w:line="360" w:lineRule="auto"/>
        <w:ind w:left="1"/>
        <w:rPr>
          <w:rFonts w:ascii="宋体" w:hint="eastAsia"/>
          <w:sz w:val="24"/>
        </w:rPr>
      </w:pPr>
      <w:r>
        <w:rPr>
          <w:rFonts w:ascii="宋体" w:hint="eastAsia"/>
          <w:sz w:val="24"/>
        </w:rPr>
        <w:t>21.1采购机构根据有关法律法规，由采购人代表和财政部专家库中随机抽取的相关专家组成评标委员会，负责具体评标事务。</w:t>
      </w:r>
    </w:p>
    <w:p>
      <w:pPr>
        <w:autoSpaceDN w:val="0"/>
        <w:spacing w:line="360" w:lineRule="auto"/>
        <w:ind w:left="1"/>
        <w:rPr>
          <w:rFonts w:ascii="宋体" w:hint="eastAsia"/>
          <w:sz w:val="24"/>
        </w:rPr>
      </w:pPr>
      <w:r>
        <w:rPr>
          <w:rFonts w:ascii="宋体" w:hint="eastAsia"/>
          <w:sz w:val="24"/>
        </w:rPr>
        <w:t>21.2评标委员会以招标文件为依据，对投标人的投标文件进行审查、澄清、评估和比较，并做出评审意见，不寻求投标文件及符合规定的澄清文件以外的其他证据。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22.投标文件的符合性审查与澄清</w:t>
      </w:r>
    </w:p>
    <w:p>
      <w:pPr>
        <w:autoSpaceDN w:val="0"/>
        <w:spacing w:line="360" w:lineRule="auto"/>
        <w:ind w:left="1"/>
        <w:rPr>
          <w:rFonts w:ascii="宋体" w:hint="eastAsia"/>
          <w:sz w:val="24"/>
        </w:rPr>
      </w:pPr>
      <w:r>
        <w:rPr>
          <w:rFonts w:ascii="宋体" w:hint="eastAsia"/>
          <w:sz w:val="24"/>
        </w:rPr>
        <w:t>22.1投标文件符合性检查。评标委员会依据招标文件，对投标文件的有效性、完整性以及对招标文件中所有标明</w:t>
      </w:r>
      <w:r>
        <w:rPr>
          <w:rFonts w:ascii="宋体" w:hint="eastAsia"/>
          <w:sz w:val="24"/>
        </w:rPr>
        <w:t>“★”</w:t>
      </w:r>
      <w:r>
        <w:rPr>
          <w:rFonts w:ascii="宋体" w:hint="eastAsia"/>
          <w:sz w:val="24"/>
        </w:rPr>
        <w:t>号条款的响应程度进行逐项审查，以确定投标人是否对招标文件的实质性要求做出响应。</w:t>
      </w:r>
    </w:p>
    <w:p>
      <w:pPr>
        <w:autoSpaceDN w:val="0"/>
        <w:spacing w:line="360" w:lineRule="auto"/>
        <w:ind w:left="1"/>
        <w:rPr>
          <w:rFonts w:ascii="宋体" w:hint="eastAsia"/>
          <w:sz w:val="24"/>
        </w:rPr>
      </w:pPr>
      <w:r>
        <w:rPr>
          <w:rFonts w:ascii="宋体" w:hint="eastAsia"/>
          <w:sz w:val="24"/>
        </w:rPr>
        <w:t>22.2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hint="eastAsia"/>
          <w:sz w:val="24"/>
        </w:rPr>
      </w:pPr>
      <w:r>
        <w:rPr>
          <w:rFonts w:ascii="宋体" w:hint="eastAsia"/>
          <w:sz w:val="24"/>
        </w:rPr>
        <w:t>22.3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23.投标偏离与非实质性响应</w:t>
      </w:r>
    </w:p>
    <w:p>
      <w:pPr>
        <w:autoSpaceDN w:val="0"/>
        <w:spacing w:line="360" w:lineRule="auto"/>
        <w:ind w:left="1"/>
        <w:rPr>
          <w:rFonts w:ascii="宋体" w:hint="eastAsia"/>
          <w:sz w:val="24"/>
        </w:rPr>
      </w:pPr>
      <w:r>
        <w:rPr>
          <w:rFonts w:ascii="宋体" w:hint="eastAsia"/>
          <w:sz w:val="24"/>
        </w:rPr>
        <w:t>23.1对于投标文件中不构成实质性偏离的不正规、不一致或不规则，评标委员会可以接受。</w:t>
      </w:r>
    </w:p>
    <w:p>
      <w:pPr>
        <w:autoSpaceDN w:val="0"/>
        <w:spacing w:line="360" w:lineRule="auto"/>
        <w:ind w:left="1"/>
        <w:rPr>
          <w:rFonts w:ascii="宋体" w:hint="eastAsia"/>
          <w:sz w:val="24"/>
        </w:rPr>
      </w:pPr>
      <w:r>
        <w:rPr>
          <w:rFonts w:ascii="宋体" w:hint="eastAsia"/>
          <w:sz w:val="24"/>
        </w:rPr>
        <w:t>23.2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hint="eastAsia"/>
          <w:sz w:val="24"/>
        </w:rPr>
      </w:pPr>
      <w:r>
        <w:rPr>
          <w:rFonts w:ascii="宋体" w:hint="eastAsia"/>
          <w:sz w:val="24"/>
        </w:rPr>
        <w:t>23.3投标文件存在下列情形之一的，其投标无效，投标人不得通过补充、澄清、修正或撤销等形式使其投标成为有效投标：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（5）不满足招标文件其他</w:t>
      </w:r>
      <w:r>
        <w:rPr>
          <w:rFonts w:ascii="宋体" w:hint="eastAsia"/>
          <w:kern w:val="0"/>
          <w:sz w:val="24"/>
          <w:highlight w:val="white"/>
        </w:rPr>
        <w:t>“★”</w:t>
      </w:r>
      <w:r>
        <w:rPr>
          <w:rFonts w:ascii="宋体" w:hint="eastAsia"/>
          <w:kern w:val="0"/>
          <w:sz w:val="24"/>
          <w:highlight w:val="white"/>
        </w:rPr>
        <w:t>号条款的；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24.比较与评价(投标文件的详细评审)</w:t>
      </w:r>
    </w:p>
    <w:p>
      <w:pPr>
        <w:autoSpaceDN w:val="0"/>
        <w:spacing w:line="360" w:lineRule="auto"/>
        <w:ind w:left="1"/>
        <w:rPr>
          <w:rFonts w:ascii="宋体" w:hint="eastAsia"/>
          <w:sz w:val="24"/>
        </w:rPr>
      </w:pPr>
      <w:r>
        <w:rPr>
          <w:rFonts w:ascii="宋体" w:hint="eastAsia"/>
          <w:sz w:val="24"/>
        </w:rPr>
        <w:t>24.1经符合性审查合格的投标文件，评标委员会将根据招标文件规定的评审标准和方法，对其商务、技术、服务和报价等作进一步的比较和评价。</w:t>
      </w:r>
    </w:p>
    <w:p>
      <w:pPr>
        <w:autoSpaceDN w:val="0"/>
        <w:spacing w:line="360" w:lineRule="auto"/>
        <w:ind w:left="1"/>
        <w:rPr>
          <w:rFonts w:ascii="宋体" w:hint="eastAsia"/>
          <w:sz w:val="24"/>
        </w:rPr>
      </w:pPr>
      <w:r>
        <w:rPr>
          <w:rFonts w:ascii="宋体" w:hint="eastAsia"/>
          <w:sz w:val="24"/>
        </w:rPr>
        <w:t>24.2评标方法：本项目将按包进行评审，采用</w:t>
      </w:r>
      <w:r>
        <w:rPr>
          <w:rFonts w:ascii="宋体" w:hint="eastAsia"/>
          <w:sz w:val="24"/>
        </w:rPr>
        <w:t>“</w:t>
      </w:r>
      <w:r>
        <w:rPr>
          <w:rFonts w:ascii="宋体" w:hint="eastAsia"/>
          <w:sz w:val="24"/>
        </w:rPr>
        <w:t>综合评分法</w:t>
      </w:r>
      <w:r>
        <w:rPr>
          <w:rFonts w:ascii="宋体" w:hint="eastAsia"/>
          <w:sz w:val="24"/>
        </w:rPr>
        <w:t>”</w:t>
      </w:r>
      <w:r>
        <w:rPr>
          <w:rFonts w:ascii="宋体" w:hint="eastAsia"/>
          <w:sz w:val="24"/>
        </w:rPr>
        <w:t>，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hint="eastAsia"/>
          <w:sz w:val="24"/>
        </w:rPr>
      </w:pPr>
      <w:r>
        <w:rPr>
          <w:rFonts w:ascii="宋体" w:hint="eastAsia"/>
          <w:sz w:val="24"/>
        </w:rPr>
        <w:t>24.3参加投标的供应商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本项目专门面向中小企业采购，不执行小微企业价格扣除</w:t>
      </w:r>
      <w:r>
        <w:rPr>
          <w:rFonts w:ascii="宋体" w:cs="微软雅黑" w:hint="eastAsia"/>
          <w:bCs/>
          <w:sz w:val="24"/>
          <w:lang w:bidi="ar-SA"/>
        </w:rPr>
        <w:t>。</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25.中标候选人的推荐原则</w:t>
      </w:r>
    </w:p>
    <w:p>
      <w:pPr>
        <w:autoSpaceDN w:val="0"/>
        <w:spacing w:line="360" w:lineRule="auto"/>
        <w:ind w:left="1"/>
        <w:rPr>
          <w:rFonts w:ascii="宋体" w:hint="eastAsia"/>
          <w:sz w:val="24"/>
        </w:rPr>
      </w:pPr>
      <w:r>
        <w:rPr>
          <w:rFonts w:ascii="宋体" w:hint="eastAsia"/>
          <w:sz w:val="24"/>
        </w:rPr>
        <w:t>25.1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hint="eastAsia"/>
          <w:sz w:val="24"/>
        </w:rPr>
      </w:pPr>
      <w:r>
        <w:rPr>
          <w:rFonts w:ascii="宋体" w:hint="eastAsia"/>
          <w:sz w:val="24"/>
        </w:rPr>
        <w:t>25.2前附表中另有规定中标候选人推荐原则的，以前附表规定为准。</w:t>
      </w:r>
    </w:p>
    <w:p>
      <w:pPr>
        <w:autoSpaceDN w:val="0"/>
        <w:spacing w:line="360" w:lineRule="auto"/>
        <w:ind w:left="480" w:hanging="480" w:hangingChars="200"/>
        <w:rPr>
          <w:rFonts w:ascii="宋体" w:hint="eastAsia"/>
          <w:sz w:val="24"/>
        </w:rPr>
      </w:pPr>
      <w:r>
        <w:rPr>
          <w:rFonts w:ascii="宋体" w:hint="eastAsia"/>
          <w:sz w:val="24"/>
        </w:rPr>
        <w:t>25.3评标委员会将根据评标排序，依次推荐前三名投标人为中标候选人。</w:t>
      </w:r>
    </w:p>
    <w:p>
      <w:pPr>
        <w:autoSpaceDN w:val="0"/>
        <w:spacing w:line="360" w:lineRule="auto"/>
        <w:ind w:left="1"/>
        <w:rPr>
          <w:rFonts w:ascii="宋体" w:hint="eastAsia"/>
          <w:sz w:val="24"/>
        </w:rPr>
      </w:pPr>
      <w:r>
        <w:rPr>
          <w:rFonts w:ascii="宋体" w:hint="eastAsia"/>
          <w:sz w:val="24"/>
        </w:rPr>
        <w:t>25.4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26.废标</w:t>
      </w:r>
    </w:p>
    <w:p>
      <w:pPr>
        <w:autoSpaceDN w:val="0"/>
        <w:spacing w:line="360" w:lineRule="auto"/>
        <w:ind w:left="1"/>
        <w:rPr>
          <w:rFonts w:ascii="宋体" w:hint="eastAsia"/>
          <w:sz w:val="24"/>
        </w:rPr>
      </w:pPr>
      <w:r>
        <w:rPr>
          <w:rFonts w:ascii="宋体" w:hint="eastAsia"/>
          <w:sz w:val="24"/>
        </w:rPr>
        <w:t>26.1出现下列情况之一时，采购机构或评标委员会有权决定废标，并将理由通知所有投标人：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（1）</w:t>
      </w:r>
      <w:r>
        <w:rPr>
          <w:rFonts w:ascii="宋体" w:hint="eastAsia"/>
          <w:kern w:val="0"/>
          <w:sz w:val="24"/>
          <w:highlight w:val="none"/>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rPr>
        <w:t>（5）解密成功的投标人不足3家的。</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 xml:space="preserve">27.串标  </w:t>
      </w:r>
    </w:p>
    <w:p>
      <w:pPr>
        <w:autoSpaceDN w:val="0"/>
        <w:spacing w:line="360" w:lineRule="auto"/>
        <w:ind w:left="1"/>
        <w:rPr>
          <w:rFonts w:ascii="宋体" w:hint="eastAsia"/>
          <w:sz w:val="24"/>
        </w:rPr>
      </w:pPr>
      <w:r>
        <w:rPr>
          <w:rFonts w:ascii="宋体" w:hint="eastAsia"/>
          <w:sz w:val="24"/>
        </w:rPr>
        <w:t>27.1投标人有《政府采购法实施条例》第七十四条规定情形之一的，属于恶意串通，其投标无效，并按有关规定追究法律责任。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hint="eastAsia"/>
          <w:sz w:val="24"/>
        </w:rPr>
      </w:pPr>
      <w:r>
        <w:rPr>
          <w:rFonts w:ascii="宋体" w:hint="eastAsia"/>
          <w:sz w:val="24"/>
        </w:rPr>
        <w:t>27.2投标人有下列情形之一的，视为串通投标，其投标无效。</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hint="eastAsia"/>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28.定标准则</w:t>
      </w:r>
    </w:p>
    <w:p>
      <w:pPr>
        <w:autoSpaceDN w:val="0"/>
        <w:spacing w:line="360" w:lineRule="auto"/>
        <w:ind w:left="1"/>
        <w:rPr>
          <w:rFonts w:ascii="宋体" w:hint="eastAsia"/>
          <w:sz w:val="24"/>
        </w:rPr>
      </w:pPr>
      <w:r>
        <w:rPr>
          <w:rFonts w:ascii="宋体" w:hint="eastAsia"/>
          <w:sz w:val="24"/>
        </w:rPr>
        <w:t>28.1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hint="eastAsia"/>
          <w:sz w:val="24"/>
        </w:rPr>
      </w:pPr>
      <w:r>
        <w:rPr>
          <w:rFonts w:ascii="宋体" w:hint="eastAsia"/>
          <w:sz w:val="24"/>
        </w:rPr>
        <w:t>28.2采购机构不承诺报价最低的投标人为中标供应商。</w:t>
      </w:r>
    </w:p>
    <w:p>
      <w:pPr>
        <w:autoSpaceDN w:val="0"/>
        <w:spacing w:line="360" w:lineRule="auto"/>
        <w:ind w:left="1"/>
        <w:rPr>
          <w:rFonts w:ascii="宋体" w:hint="eastAsia"/>
          <w:sz w:val="24"/>
        </w:rPr>
      </w:pPr>
      <w:r>
        <w:rPr>
          <w:rFonts w:ascii="宋体" w:hint="eastAsia"/>
          <w:sz w:val="24"/>
        </w:rPr>
        <w:t>28.3采购机构有权组织评标委员会对拟确定的中标供应商所提供的证明材料进行核实，如发现不符，将按提供虚假材料行为处罚，并按第28.1条重新确定中标供应商。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29.中标通知</w:t>
      </w:r>
    </w:p>
    <w:p>
      <w:pPr>
        <w:pStyle w:val="190610"/>
        <w:autoSpaceDN w:val="0"/>
        <w:spacing w:line="360" w:lineRule="auto"/>
        <w:ind w:left="1" w:hanging="1"/>
        <w:rPr>
          <w:rFonts w:ascii="宋体" w:eastAsia="宋体" w:cs="微软雅黑" w:hint="eastAsia"/>
          <w:color w:val="auto"/>
          <w:kern w:val="2"/>
          <w:sz w:val="24"/>
          <w:szCs w:val="24"/>
          <w:lang w:bidi="ar-SA"/>
        </w:rPr>
      </w:pPr>
      <w:r>
        <w:rPr>
          <w:rFonts w:ascii="宋体" w:hint="eastAsia"/>
          <w:sz w:val="24"/>
        </w:rPr>
        <w:t>29.1</w:t>
      </w:r>
      <w:r>
        <w:rPr>
          <w:rFonts w:ascii="宋体" w:eastAsia="宋体" w:cs="微软雅黑" w:hint="eastAsia"/>
          <w:color w:val="auto"/>
          <w:kern w:val="2"/>
          <w:sz w:val="24"/>
          <w:szCs w:val="24"/>
          <w:lang w:bidi="ar-SA"/>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29.3</w:t>
      </w:r>
      <w:r>
        <w:rPr>
          <w:rFonts w:ascii="宋体" w:cs="微软雅黑" w:hint="eastAsia"/>
          <w:color w:val="auto"/>
          <w:kern w:val="2"/>
          <w:szCs w:val="24"/>
          <w:lang w:bidi="ar-SA"/>
        </w:rPr>
        <w:t>中标供应商在海关智慧政采综合管理平台供应商端通知公告功能下载</w:t>
      </w:r>
      <w:r>
        <w:rPr>
          <w:rFonts w:ascii="宋体" w:eastAsia="宋体" w:cs="微软雅黑" w:hint="eastAsia"/>
          <w:color w:val="auto"/>
          <w:kern w:val="2"/>
          <w:sz w:val="24"/>
          <w:szCs w:val="24"/>
          <w:lang w:bidi="ar-SA"/>
        </w:rPr>
        <w:t>中标通知书，中标通知书对采购人和中标供应商具有同等法律效力。中标通知书发出以后，采购人改变中标结果或者中标供应商放弃中标，应当承担相应的法律责任，出现争议的，报财政部门处理。</w:t>
      </w:r>
    </w:p>
    <w:p>
      <w:pPr>
        <w:pStyle w:val="92"/>
        <w:spacing w:line="360" w:lineRule="auto"/>
        <w:ind w:firstLine="0" w:firstLineChars="0"/>
        <w:jc w:val="both"/>
        <w:textAlignment w:val="auto"/>
        <w:rPr>
          <w:rFonts w:ascii="宋体" w:cs="微软雅黑" w:hint="eastAsia"/>
          <w:color w:val="auto"/>
          <w:kern w:val="2"/>
          <w:sz w:val="24"/>
          <w:szCs w:val="24"/>
          <w:lang w:bidi="ar-SA"/>
        </w:rPr>
      </w:pPr>
      <w:r>
        <w:rPr>
          <w:rFonts w:ascii="宋体" w:eastAsia="宋体" w:cs="微软雅黑" w:hint="eastAsia"/>
          <w:color w:val="auto"/>
          <w:kern w:val="2"/>
          <w:sz w:val="24"/>
          <w:szCs w:val="24"/>
          <w:lang w:bidi="ar-SA"/>
        </w:rPr>
        <w:t>29.4中标通知书是合同的组成部分。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30.接受和拒绝任何或所有投标的权力</w:t>
      </w:r>
    </w:p>
    <w:p>
      <w:pPr>
        <w:autoSpaceDN w:val="0"/>
        <w:spacing w:line="360" w:lineRule="auto"/>
        <w:ind w:left="1"/>
        <w:rPr>
          <w:rFonts w:ascii="宋体" w:hint="eastAsia"/>
          <w:sz w:val="24"/>
        </w:rPr>
      </w:pPr>
      <w:r>
        <w:rPr>
          <w:rFonts w:ascii="宋体" w:hint="eastAsia"/>
          <w:sz w:val="24"/>
        </w:rPr>
        <w:t>30.1为维护国家和社会公共利益，采购人保留在授标之前任何时候接受或拒绝任何投标的权力，且对受影响的投标人不承担任何责任。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31.签订合同</w:t>
      </w:r>
    </w:p>
    <w:p>
      <w:pPr>
        <w:autoSpaceDN w:val="0"/>
        <w:spacing w:line="360" w:lineRule="auto"/>
        <w:ind w:left="1"/>
        <w:rPr>
          <w:rFonts w:ascii="宋体" w:hint="eastAsia"/>
          <w:sz w:val="24"/>
        </w:rPr>
      </w:pPr>
      <w:r>
        <w:rPr>
          <w:rFonts w:ascii="宋体" w:hint="eastAsia"/>
          <w:sz w:val="24"/>
        </w:rPr>
        <w:t>31.1采购机构应当在中标通知书发出之日起三十日内，与持有《中标通知书》的中标供应商签订框架协议或组织采购人签订采购合同。中标供应商无正当理由拒绝签订框架协议或合同的，将承担相应的法律责任。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hint="eastAsia"/>
          <w:sz w:val="24"/>
        </w:rPr>
      </w:pPr>
      <w:r>
        <w:rPr>
          <w:rFonts w:ascii="宋体" w:hint="eastAsia"/>
          <w:sz w:val="24"/>
        </w:rPr>
        <w:t>31.2中标通知书、中标供应商的投标文件及双方确认的澄清文件等，均为有法律约束力的经济合同组成的一部分。</w:t>
      </w:r>
    </w:p>
    <w:p>
      <w:pPr>
        <w:autoSpaceDN w:val="0"/>
        <w:spacing w:line="360" w:lineRule="auto"/>
        <w:ind w:left="1"/>
        <w:rPr>
          <w:rFonts w:ascii="宋体" w:hint="eastAsia"/>
          <w:sz w:val="24"/>
        </w:rPr>
      </w:pPr>
      <w:r>
        <w:rPr>
          <w:rFonts w:ascii="宋体" w:hint="eastAsia"/>
          <w:sz w:val="24"/>
        </w:rPr>
        <w:t>31.3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32.采购人或采购机构追加采购数量的权利</w:t>
      </w:r>
    </w:p>
    <w:p>
      <w:pPr>
        <w:autoSpaceDN w:val="0"/>
        <w:spacing w:line="360" w:lineRule="auto"/>
        <w:ind w:left="1"/>
        <w:rPr>
          <w:rFonts w:ascii="宋体" w:hint="eastAsia"/>
          <w:sz w:val="24"/>
        </w:rPr>
      </w:pPr>
      <w:r>
        <w:rPr>
          <w:rFonts w:ascii="宋体" w:hint="eastAsia"/>
          <w:sz w:val="24"/>
        </w:rPr>
        <w:t>32.1在合同履行中，采购人或采购机构需追加与合同标的相同货物或服务的，在不改变合同其他条款的前提下，有权与中标供应商协商签订补充合同，但所有补充合同的采购金额不得超过原合同采购金额10%。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33.履约保证金</w:t>
      </w:r>
    </w:p>
    <w:p>
      <w:pPr>
        <w:autoSpaceDN w:val="0"/>
        <w:spacing w:line="360" w:lineRule="auto"/>
        <w:ind w:left="1"/>
        <w:rPr>
          <w:rFonts w:ascii="宋体" w:hint="eastAsia"/>
          <w:sz w:val="24"/>
          <w:highlight w:val="yellow"/>
        </w:rPr>
      </w:pPr>
      <w:r>
        <w:rPr>
          <w:rFonts w:ascii="宋体" w:hint="eastAsia"/>
          <w:sz w:val="24"/>
        </w:rPr>
        <w:t xml:space="preserve">33.1本项目的中标供应商须按招标文件中规定的履约保证金形式向采购人提交履约保证金。 </w:t>
      </w:r>
    </w:p>
    <w:p>
      <w:pPr>
        <w:autoSpaceDN w:val="0"/>
        <w:spacing w:line="360" w:lineRule="auto"/>
        <w:ind w:left="1"/>
        <w:rPr>
          <w:rFonts w:ascii="宋体" w:hint="eastAsia"/>
          <w:sz w:val="24"/>
        </w:rPr>
      </w:pPr>
      <w:r>
        <w:rPr>
          <w:rFonts w:ascii="宋体" w:hint="eastAsia"/>
          <w:sz w:val="24"/>
          <w:highlight w:val="none"/>
        </w:rPr>
        <w:t>33.2履约保证金的提交时间、金额、形式及有效期详见合同文本。</w:t>
      </w:r>
    </w:p>
    <w:p>
      <w:pPr>
        <w:autoSpaceDN w:val="0"/>
        <w:spacing w:line="360" w:lineRule="auto"/>
        <w:ind w:left="1"/>
        <w:rPr>
          <w:rFonts w:ascii="宋体" w:hint="eastAsia"/>
          <w:b/>
          <w:bCs/>
          <w:sz w:val="24"/>
        </w:rPr>
      </w:pPr>
      <w:r>
        <w:rPr>
          <w:rFonts w:ascii="宋体" w:hint="eastAsia"/>
          <w:b/>
          <w:bCs/>
          <w:sz w:val="24"/>
        </w:rPr>
        <w:t>34.重新授予合同</w:t>
      </w:r>
    </w:p>
    <w:p>
      <w:pPr>
        <w:autoSpaceDN w:val="0"/>
        <w:spacing w:line="360" w:lineRule="auto"/>
        <w:ind w:left="1"/>
        <w:rPr>
          <w:rFonts w:ascii="宋体" w:hint="eastAsia"/>
          <w:sz w:val="24"/>
        </w:rPr>
      </w:pPr>
      <w:r>
        <w:rPr>
          <w:rFonts w:ascii="宋体" w:hint="eastAsia"/>
          <w:sz w:val="24"/>
        </w:rPr>
        <w:t>34.1如果中标供应商没有按照上述第31.1条规定执行，采购机构有权取消该中标决定，采购人可以按照评标委员会推荐的中标候选人名单排序，将合同授予下一中标候选人或重新组织招标确定中标供应商。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hint="eastAsia"/>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35.质疑</w:t>
      </w:r>
    </w:p>
    <w:p>
      <w:pPr>
        <w:autoSpaceDN w:val="0"/>
        <w:spacing w:line="360" w:lineRule="auto"/>
        <w:rPr>
          <w:rFonts w:ascii="宋体" w:eastAsia="宋体" w:cs="微软雅黑" w:hint="eastAsia"/>
          <w:color w:val="auto"/>
          <w:sz w:val="24"/>
          <w:szCs w:val="24"/>
          <w:lang w:bidi="ar-SA"/>
        </w:rPr>
      </w:pPr>
      <w:r>
        <w:rPr>
          <w:rFonts w:ascii="宋体" w:hint="eastAsia"/>
          <w:sz w:val="24"/>
        </w:rPr>
        <w:t>35.1投标人</w:t>
      </w:r>
      <w:r>
        <w:rPr>
          <w:rFonts w:ascii="宋体" w:eastAsia="宋体" w:cs="微软雅黑" w:hint="eastAsia"/>
          <w:bCs/>
          <w:color w:val="auto"/>
          <w:sz w:val="24"/>
          <w:szCs w:val="24"/>
          <w:lang w:bidi="ar-SA"/>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eastAsia="宋体" w:hint="eastAsia"/>
          <w:snapToGrid/>
          <w:color w:val="auto"/>
          <w:sz w:val="24"/>
          <w:szCs w:val="24"/>
          <w:vertAlign w:val="baseline"/>
        </w:rPr>
        <w:t>通过海关智慧政采综合管理平台等书面形式向采购机构提出质疑</w:t>
      </w:r>
      <w:r>
        <w:rPr>
          <w:rFonts w:ascii="宋体" w:hint="eastAsia"/>
          <w:sz w:val="24"/>
        </w:rPr>
        <w:t>。</w:t>
      </w:r>
      <w:r>
        <w:rPr>
          <w:rFonts w:ascii="宋体" w:eastAsia="宋体" w:cs="微软雅黑" w:hint="eastAsia"/>
          <w:bCs/>
          <w:color w:val="auto"/>
          <w:sz w:val="24"/>
          <w:szCs w:val="24"/>
          <w:lang w:bidi="ar-SA"/>
        </w:rPr>
        <w:t>投标人或潜在投标人应知其权益受到损害之日</w:t>
      </w:r>
      <w:r>
        <w:rPr>
          <w:rFonts w:ascii="宋体" w:eastAsia="宋体" w:cs="微软雅黑" w:hint="eastAsia"/>
          <w:color w:val="auto"/>
          <w:sz w:val="24"/>
          <w:szCs w:val="24"/>
          <w:lang w:bidi="ar-SA"/>
        </w:rPr>
        <w:t>，是指：</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 对招标文件提出质疑的，为获取招标文件之日或者招标文件公告期限届满之日；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 对招标过程提出质疑的，为各招标程序环节结束之日；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 对中标结果提出质疑的，为中标结果公告期限届满之日。</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hint="eastAsia"/>
          <w:sz w:val="24"/>
        </w:rPr>
      </w:pPr>
      <w:r>
        <w:rPr>
          <w:rFonts w:ascii="宋体" w:cs="微软雅黑" w:hint="eastAsia"/>
          <w:bCs/>
          <w:sz w:val="24"/>
          <w:highlight w:val="none"/>
          <w:lang w:bidi="ar-SA"/>
        </w:rPr>
        <w:t>35.2</w:t>
      </w:r>
      <w:r>
        <w:rPr>
          <w:rFonts w:ascii="宋体" w:eastAsia="宋体" w:cs="微软雅黑" w:hint="eastAsia"/>
          <w:bCs/>
          <w:color w:val="auto"/>
          <w:sz w:val="24"/>
          <w:szCs w:val="24"/>
          <w:lang w:bidi="ar-SA"/>
        </w:rPr>
        <w:t>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3</w:t>
      </w:r>
      <w:r>
        <w:rPr>
          <w:rFonts w:ascii="宋体" w:cs="微软雅黑" w:hint="eastAsia"/>
          <w:bCs/>
          <w:sz w:val="24"/>
          <w:highlight w:val="none"/>
          <w:lang w:bidi="ar-SA"/>
        </w:rPr>
        <w:t>5</w:t>
      </w:r>
      <w:r>
        <w:rPr>
          <w:rFonts w:ascii="宋体" w:cs="微软雅黑" w:hint="eastAsia"/>
          <w:bCs/>
          <w:sz w:val="24"/>
          <w:lang w:bidi="ar-SA"/>
        </w:rPr>
        <w:t>.3</w:t>
      </w:r>
      <w:r>
        <w:rPr>
          <w:rFonts w:ascii="宋体" w:eastAsia="宋体" w:cs="微软雅黑" w:hint="eastAsia"/>
          <w:bCs/>
          <w:color w:val="auto"/>
          <w:sz w:val="24"/>
          <w:szCs w:val="24"/>
          <w:lang w:bidi="ar-SA"/>
        </w:rPr>
        <w:t>投标人或潜在投标人提出质疑应当提交质疑函和必要的证明材料。质疑函应当包括下列内容（</w:t>
      </w:r>
      <w:r>
        <w:rPr>
          <w:rFonts w:ascii="宋体" w:cs="微软雅黑" w:hint="eastAsia"/>
          <w:bCs/>
          <w:sz w:val="24"/>
          <w:lang w:bidi="ar-SA"/>
        </w:rPr>
        <w:t>格式见第六部分）</w:t>
      </w:r>
      <w:r>
        <w:rPr>
          <w:rFonts w:ascii="宋体" w:eastAsia="宋体" w:cs="微软雅黑" w:hint="eastAsia"/>
          <w:bCs/>
          <w:color w:val="auto"/>
          <w:sz w:val="24"/>
          <w:szCs w:val="24"/>
          <w:lang w:bidi="ar-SA"/>
        </w:rPr>
        <w:t>：</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(1)投标人或潜在投标人的姓名或者名称、地址、邮编、联系人及电话；</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(2)质疑项目的名称、编号；</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(3)具体、明确的质疑事项和与质疑事项相关的请求；</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(4)事实依据；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(5)必要的法律依据；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(6)提出质疑的日期。</w:t>
      </w:r>
    </w:p>
    <w:p>
      <w:pPr>
        <w:autoSpaceDN w:val="0"/>
        <w:spacing w:line="360" w:lineRule="auto"/>
        <w:ind w:left="8" w:hanging="15"/>
        <w:rPr>
          <w:rFonts w:ascii="宋体" w:cs="微软雅黑" w:hint="eastAsia"/>
          <w:bCs/>
          <w:sz w:val="24"/>
          <w:lang w:bidi="ar-SA"/>
        </w:rPr>
      </w:pPr>
      <w:r>
        <w:rPr>
          <w:rFonts w:ascii="宋体" w:eastAsia="宋体" w:cs="微软雅黑" w:hint="eastAsia"/>
          <w:bCs/>
          <w:color w:val="auto"/>
          <w:sz w:val="24"/>
          <w:szCs w:val="24"/>
          <w:lang w:bidi="ar-SA"/>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lang w:bidi="ar-SA"/>
        </w:rPr>
        <w:t>提出质疑应当在法定质疑期限内。提出质疑应当提供事实依据和证明材料，证明材料应当内容真实、来源合法。</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可以委托代理人进行质疑，其授权委托书应当载明代理人的姓名或者名称、代理事项、具体权限、期限和相关事项；以代理人身份提出质疑的，应当提交投标人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签署的授权委托书。</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投标人或潜在投标人提交的质疑函不符合以上要求的，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应当一次性告知供应商需更正或补充的内容。投标人或潜在投标人未在质疑期限内提交更正、补充材料或重新提交的材料仍不符合要求的，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不予受理，并告知理由。</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highlight w:val="none"/>
          <w:lang w:bidi="ar-SA"/>
        </w:rPr>
        <w:t>35.4</w:t>
      </w:r>
      <w:r>
        <w:rPr>
          <w:rFonts w:ascii="宋体" w:eastAsia="宋体" w:cs="微软雅黑" w:hint="eastAsia"/>
          <w:bCs/>
          <w:color w:val="auto"/>
          <w:sz w:val="24"/>
          <w:szCs w:val="24"/>
          <w:lang w:bidi="ar-SA"/>
        </w:rPr>
        <w:t>质疑供应商通过海关智慧政采综合管理平台质疑处理模块等书面形式进行质疑提交并接收质疑处理结果。质疑受理电话详见第一部分招标公告。</w:t>
      </w:r>
    </w:p>
    <w:p>
      <w:pPr>
        <w:pStyle w:val="83"/>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.5采购人、采购机构应当在收到质疑函后7个工作日内作出答复，并通过海关智慧政采综合管理平台等书面形式通知质疑供应商和其他相关当事人。</w:t>
      </w:r>
    </w:p>
    <w:p>
      <w:pPr>
        <w:pStyle w:val="83"/>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.6投标人或潜在投标人以质疑函形式提交，但无具体、明确质疑事项，实质内容为询问的，</w:t>
      </w:r>
      <w:r>
        <w:rPr>
          <w:rFonts w:ascii="宋体" w:cs="微软雅黑" w:hint="eastAsia"/>
          <w:color w:val="auto"/>
          <w:kern w:val="2"/>
          <w:szCs w:val="24"/>
          <w:highlight w:val="none"/>
          <w:lang w:bidi="ar-SA"/>
        </w:rPr>
        <w:t>采购机构</w:t>
      </w:r>
      <w:r>
        <w:rPr>
          <w:rFonts w:ascii="宋体" w:eastAsia="宋体" w:cs="微软雅黑" w:hint="eastAsia"/>
          <w:bCs/>
          <w:color w:val="auto"/>
          <w:kern w:val="2"/>
          <w:sz w:val="24"/>
          <w:szCs w:val="24"/>
          <w:lang w:bidi="ar-SA"/>
        </w:rPr>
        <w:t>可视为书面询问受理并及时告知供应商，后续事宜按照询问答复流程办理。</w:t>
      </w:r>
    </w:p>
    <w:p>
      <w:pPr>
        <w:tabs>
          <w:tab w:val="left" w:pos="0"/>
        </w:tabs>
        <w:autoSpaceDN w:val="0"/>
        <w:spacing w:line="360" w:lineRule="auto"/>
        <w:ind w:left="8" w:hanging="15"/>
        <w:rPr>
          <w:rFonts w:ascii="宋体" w:hint="eastAsia"/>
          <w:b/>
          <w:bCs/>
          <w:kern w:val="0"/>
          <w:sz w:val="24"/>
          <w:highlight w:val="none"/>
        </w:rPr>
      </w:pPr>
      <w:r>
        <w:rPr>
          <w:rFonts w:ascii="宋体" w:hint="eastAsia"/>
          <w:b/>
          <w:bCs/>
          <w:kern w:val="0"/>
          <w:sz w:val="24"/>
          <w:highlight w:val="none"/>
        </w:rPr>
        <w:t>36.投诉</w:t>
      </w:r>
    </w:p>
    <w:p>
      <w:pPr>
        <w:pStyle w:val="83"/>
        <w:spacing w:line="360" w:lineRule="auto"/>
        <w:ind w:left="8" w:hanging="15" w:firstLineChars="0"/>
        <w:jc w:val="both"/>
        <w:textAlignment w:val="auto"/>
        <w:rPr>
          <w:rFonts w:ascii="宋体" w:eastAsia="宋体" w:cs="微软雅黑" w:hint="eastAsia"/>
          <w:bCs/>
          <w:color w:val="auto"/>
          <w:kern w:val="2"/>
          <w:sz w:val="24"/>
          <w:szCs w:val="24"/>
          <w:highlight w:val="yellow"/>
          <w:lang w:bidi="ar-SA"/>
        </w:rPr>
      </w:pPr>
      <w:r>
        <w:rPr>
          <w:rFonts w:ascii="宋体" w:eastAsia="宋体" w:cs="微软雅黑" w:hint="eastAsia"/>
          <w:bCs/>
          <w:color w:val="auto"/>
          <w:kern w:val="2"/>
          <w:sz w:val="24"/>
          <w:szCs w:val="24"/>
          <w:lang w:bidi="ar-SA"/>
        </w:rPr>
        <w:t>质疑供应商对采购人、采购机构的答复不满意，或者采购人、采购机构未在规定时间内作出答复的，可以在答复期满后15个工作日内依法向相关财政部门提起投诉。</w:t>
      </w:r>
    </w:p>
    <w:p>
      <w:pPr>
        <w:pStyle w:val="Heading1"/>
        <w:rPr>
          <w:rFonts w:hint="eastAsia"/>
          <w:lang w:val="en-US" w:eastAsia="zh-CN"/>
        </w:rPr>
      </w:pPr>
      <w:r>
        <w:rPr>
          <w:rFonts w:ascii="宋体" w:cs="微软雅黑" w:hint="eastAsia"/>
          <w:bCs/>
          <w:color w:val="auto"/>
          <w:kern w:val="2"/>
          <w:szCs w:val="24"/>
          <w:highlight w:val="yellow"/>
          <w:lang w:bidi="ar-SA"/>
        </w:rPr>
        <w:br w:type="page"/>
      </w:r>
      <w:bookmarkStart w:id="40" w:name="_Toc65406665"/>
      <w:bookmarkStart w:id="41" w:name="_Toc28326"/>
      <w:r>
        <w:rPr>
          <w:rFonts w:hint="eastAsia"/>
          <w:lang w:val="en-US" w:eastAsia="zh-CN"/>
        </w:rPr>
        <w:t>第三部分  项目需求书</w:t>
      </w:r>
      <w:bookmarkEnd w:id="40"/>
      <w:bookmarkEnd w:id="41"/>
    </w:p>
    <w:p>
      <w:pPr>
        <w:pStyle w:val="200"/>
        <w:autoSpaceDN w:val="0"/>
        <w:spacing w:line="400" w:lineRule="exact"/>
        <w:ind w:firstLine="551"/>
        <w:jc w:val="both"/>
        <w:rPr>
          <w:rFonts w:ascii="方正楷体_GBK" w:eastAsia="方正楷体_GBK" w:cs="Arial"/>
          <w:b/>
          <w:bCs/>
          <w:sz w:val="28"/>
          <w:szCs w:val="28"/>
        </w:rPr>
      </w:pPr>
      <w:bookmarkStart w:id="42" w:name="插入_采购需求书"/>
      <w:r>
        <w:rPr>
          <w:rFonts w:ascii="方正楷体_GBK" w:eastAsia="方正楷体_GBK" w:cs="Arial" w:hint="eastAsia"/>
          <w:b/>
          <w:bCs/>
          <w:sz w:val="28"/>
          <w:szCs w:val="28"/>
        </w:rPr>
        <w:t>重要提示：本项目需求书属内部资料，供应商负有保密义务，未经采购人或采购机构同意，不得向任何与此项目无关的第三方透露。</w:t>
      </w:r>
    </w:p>
    <w:p>
      <w:pPr>
        <w:pStyle w:val="18210"/>
        <w:spacing w:line="400" w:lineRule="exact"/>
        <w:rPr>
          <w:rFonts w:ascii="方正楷体_GBK" w:eastAsia="方正楷体_GBK" w:cs="Arial"/>
          <w:b/>
          <w:bCs/>
          <w:sz w:val="28"/>
          <w:szCs w:val="28"/>
        </w:rPr>
      </w:pPr>
      <w:r>
        <w:rPr>
          <w:rFonts w:ascii="方正楷体_GBK" w:eastAsia="方正楷体_GBK" w:cs="Arial" w:hint="eastAsia"/>
          <w:b/>
          <w:bCs/>
          <w:sz w:val="28"/>
          <w:szCs w:val="28"/>
        </w:rPr>
        <w:t xml:space="preserve">    带“★”的为必须满足内容，否则作为无效投标处理，不予接受；带“</w:t>
      </w:r>
      <w:r>
        <w:rPr>
          <w:rFonts w:cs="宋体" w:hint="eastAsia"/>
          <w:sz w:val="28"/>
          <w:szCs w:val="28"/>
        </w:rPr>
        <w:t>▲</w:t>
      </w:r>
      <w:r>
        <w:rPr>
          <w:rFonts w:ascii="方正楷体_GBK" w:eastAsia="方正楷体_GBK" w:cs="Arial" w:hint="eastAsia"/>
          <w:b/>
          <w:bCs/>
          <w:sz w:val="28"/>
          <w:szCs w:val="28"/>
        </w:rPr>
        <w:t>”的为重要内容，不满足将严重影响评分；其他技术或服务内容不满足的将影响一般评分。</w:t>
      </w:r>
    </w:p>
    <w:p>
      <w:pPr>
        <w:pStyle w:val="18210"/>
        <w:spacing w:line="400" w:lineRule="exact"/>
        <w:outlineLvl w:val="0"/>
        <w:rPr>
          <w:rFonts w:ascii="方正黑体_GBK" w:eastAsia="方正黑体_GBK"/>
          <w:b/>
          <w:sz w:val="28"/>
          <w:szCs w:val="28"/>
        </w:rPr>
      </w:pPr>
      <w:r>
        <w:rPr>
          <w:rFonts w:ascii="方正黑体_GBK" w:eastAsia="方正黑体_GBK" w:hint="eastAsia"/>
          <w:b/>
          <w:sz w:val="28"/>
          <w:szCs w:val="28"/>
        </w:rPr>
        <w:t>一、项目背景介绍</w:t>
      </w:r>
    </w:p>
    <w:p>
      <w:pPr>
        <w:autoSpaceDN w:val="0"/>
        <w:spacing w:line="400" w:lineRule="exact"/>
        <w:ind w:firstLine="560" w:firstLineChars="200"/>
        <w:outlineLvl w:val="1"/>
        <w:rPr>
          <w:rFonts w:ascii="方正仿宋_GBK" w:eastAsia="方正仿宋_GBK"/>
          <w:b/>
          <w:sz w:val="28"/>
          <w:szCs w:val="28"/>
        </w:rPr>
      </w:pPr>
      <w:r>
        <w:rPr>
          <w:rFonts w:ascii="Times New Roman" w:eastAsia="方正仿宋_GBK" w:hAnsi="Times New Roman"/>
          <w:b/>
          <w:sz w:val="28"/>
          <w:szCs w:val="28"/>
        </w:rPr>
        <w:t>1.</w:t>
      </w:r>
      <w:r>
        <w:rPr>
          <w:rFonts w:ascii="Times New Roman" w:eastAsia="方正仿宋_GBK" w:hAnsi="Times New Roman" w:hint="eastAsia"/>
          <w:b/>
          <w:sz w:val="28"/>
          <w:szCs w:val="28"/>
        </w:rPr>
        <w:t>项目基本情况</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1.1项目名称和预算金额</w:t>
      </w:r>
    </w:p>
    <w:p>
      <w:pPr>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rPr>
        <w:t>海关总署2025年离子色谱仪采购</w:t>
      </w:r>
      <w:r>
        <w:rPr>
          <w:rFonts w:ascii="Times New Roman" w:eastAsia="方正仿宋_GBK" w:hAnsi="Times New Roman"/>
          <w:sz w:val="28"/>
          <w:szCs w:val="28"/>
        </w:rPr>
        <w:t>项目，预算金额</w:t>
      </w:r>
      <w:r>
        <w:rPr>
          <w:rFonts w:ascii="Times New Roman" w:eastAsia="方正仿宋_GBK" w:hAnsi="Times New Roman" w:hint="eastAsia"/>
          <w:sz w:val="28"/>
          <w:szCs w:val="28"/>
        </w:rPr>
        <w:t>2821</w:t>
      </w:r>
      <w:r>
        <w:rPr>
          <w:rFonts w:ascii="Times New Roman" w:eastAsia="方正仿宋_GBK" w:hAnsi="Times New Roman"/>
          <w:sz w:val="28"/>
          <w:szCs w:val="28"/>
        </w:rPr>
        <w:t>万元</w:t>
      </w:r>
      <w:r>
        <w:rPr>
          <w:rFonts w:ascii="Times New Roman" w:eastAsia="方正仿宋_GBK" w:hAnsi="Times New Roman" w:hint="eastAsia"/>
          <w:sz w:val="28"/>
          <w:szCs w:val="28"/>
        </w:rPr>
        <w:t>。</w:t>
      </w:r>
      <w:r>
        <w:rPr>
          <w:rFonts w:ascii="Times New Roman" w:eastAsia="方正仿宋_GBK" w:hAnsi="Times New Roman"/>
          <w:sz w:val="28"/>
          <w:szCs w:val="28"/>
        </w:rPr>
        <w:t xml:space="preserve"> </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1.2采购项目的功能和目标</w:t>
      </w:r>
    </w:p>
    <w:p>
      <w:pPr>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rPr>
        <w:t>所采购的设备主要用于提高实验室检测工作效率，完善检测技术能力，提升实验室检测能力。</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1.3采购项目需实现的政府采购政策目标</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采购过程公开透明，确保采购过程合规高效，实现科技创新、社会效益的有机统一。</w:t>
      </w:r>
    </w:p>
    <w:p>
      <w:pPr>
        <w:autoSpaceDN w:val="0"/>
        <w:spacing w:line="400" w:lineRule="exact"/>
        <w:ind w:firstLine="560" w:firstLineChars="200"/>
        <w:rPr>
          <w:rFonts w:ascii="方正仿宋_GBK" w:eastAsia="方正仿宋_GBK"/>
          <w:sz w:val="28"/>
          <w:szCs w:val="28"/>
        </w:rPr>
      </w:pPr>
      <w:r>
        <w:rPr>
          <w:rFonts w:ascii="Times New Roman" w:eastAsia="方正仿宋_GBK" w:hAnsi="Times New Roman"/>
          <w:sz w:val="28"/>
          <w:szCs w:val="28"/>
        </w:rPr>
        <w:t>1.4预</w:t>
      </w:r>
      <w:r>
        <w:rPr>
          <w:rFonts w:ascii="方正仿宋_GBK" w:eastAsia="方正仿宋_GBK" w:hint="eastAsia"/>
          <w:sz w:val="28"/>
          <w:szCs w:val="28"/>
        </w:rPr>
        <w:t>算绩效目标等内容</w:t>
      </w:r>
    </w:p>
    <w:p>
      <w:pPr>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满足检验需要，加强资金管理，提高资金使用效率。</w:t>
      </w:r>
    </w:p>
    <w:p>
      <w:pPr>
        <w:autoSpaceDN w:val="0"/>
        <w:spacing w:line="400" w:lineRule="exact"/>
        <w:ind w:firstLine="560" w:firstLineChars="200"/>
        <w:outlineLvl w:val="1"/>
        <w:rPr>
          <w:rFonts w:ascii="方正仿宋_GBK" w:eastAsia="方正仿宋_GBK"/>
          <w:b/>
          <w:sz w:val="28"/>
          <w:szCs w:val="28"/>
        </w:rPr>
      </w:pPr>
      <w:r>
        <w:rPr>
          <w:rFonts w:ascii="Times New Roman" w:eastAsia="方正仿宋_GBK" w:hAnsi="Times New Roman" w:hint="eastAsia"/>
          <w:b/>
          <w:sz w:val="28"/>
          <w:szCs w:val="28"/>
        </w:rPr>
        <w:t>2.</w:t>
      </w:r>
      <w:r>
        <w:rPr>
          <w:rFonts w:ascii="方正仿宋_GBK" w:eastAsia="方正仿宋_GBK" w:hint="eastAsia"/>
          <w:b/>
          <w:sz w:val="28"/>
          <w:szCs w:val="28"/>
        </w:rPr>
        <w:t>需求调查情况</w:t>
      </w:r>
    </w:p>
    <w:p>
      <w:pPr>
        <w:autoSpaceDN w:val="0"/>
        <w:spacing w:line="400" w:lineRule="exact"/>
        <w:ind w:firstLine="560" w:firstLineChars="200"/>
        <w:rPr>
          <w:rFonts w:ascii="Times New Roman" w:eastAsia="方正仿宋_GBK" w:hAnsi="Times New Roman"/>
          <w:sz w:val="28"/>
          <w:szCs w:val="28"/>
        </w:rPr>
      </w:pPr>
      <w:r>
        <w:rPr>
          <w:rFonts w:ascii="方正仿宋_GBK" w:eastAsia="方正仿宋_GBK" w:hint="eastAsia"/>
          <w:sz w:val="28"/>
          <w:szCs w:val="28"/>
        </w:rPr>
        <w:t xml:space="preserve">是否进行需求调查：是 </w:t>
      </w:r>
    </w:p>
    <w:p>
      <w:pPr>
        <w:autoSpaceDN w:val="0"/>
        <w:spacing w:line="400" w:lineRule="exact"/>
        <w:ind w:firstLine="560" w:firstLineChars="200"/>
        <w:outlineLvl w:val="1"/>
        <w:rPr>
          <w:rFonts w:ascii="方正仿宋_GBK" w:eastAsia="方正仿宋_GBK"/>
          <w:b/>
          <w:sz w:val="28"/>
          <w:szCs w:val="28"/>
        </w:rPr>
      </w:pPr>
      <w:r>
        <w:rPr>
          <w:rFonts w:ascii="Times New Roman" w:eastAsia="方正仿宋_GBK" w:hAnsi="Times New Roman" w:hint="eastAsia"/>
          <w:b/>
          <w:sz w:val="28"/>
          <w:szCs w:val="28"/>
        </w:rPr>
        <w:t>3</w:t>
      </w:r>
      <w:r>
        <w:rPr>
          <w:rFonts w:ascii="Times New Roman" w:eastAsia="方正仿宋_GBK" w:hAnsi="Times New Roman"/>
          <w:b/>
          <w:sz w:val="28"/>
          <w:szCs w:val="28"/>
        </w:rPr>
        <w:t>.</w:t>
      </w:r>
      <w:r>
        <w:rPr>
          <w:rFonts w:ascii="方正仿宋_GBK" w:eastAsia="方正仿宋_GBK" w:hint="eastAsia"/>
          <w:b/>
          <w:sz w:val="28"/>
          <w:szCs w:val="28"/>
        </w:rPr>
        <w:t>公开征求意见情况</w:t>
      </w:r>
    </w:p>
    <w:p>
      <w:pPr>
        <w:autoSpaceDN w:val="0"/>
        <w:spacing w:line="400" w:lineRule="exact"/>
        <w:ind w:firstLine="560" w:firstLineChars="200"/>
        <w:rPr>
          <w:rFonts w:ascii="方正仿宋_GBK" w:eastAsia="方正仿宋_GBK"/>
          <w:sz w:val="28"/>
          <w:szCs w:val="28"/>
        </w:rPr>
      </w:pPr>
      <w:r>
        <w:rPr>
          <w:rFonts w:ascii="方正仿宋_GBK" w:eastAsia="方正仿宋_GBK" w:hint="eastAsia"/>
          <w:sz w:val="28"/>
          <w:szCs w:val="28"/>
        </w:rPr>
        <w:t>是否公开征求意见：否</w:t>
      </w:r>
    </w:p>
    <w:p>
      <w:pPr>
        <w:autoSpaceDN w:val="0"/>
        <w:spacing w:line="400" w:lineRule="exact"/>
        <w:ind w:firstLine="560" w:firstLineChars="200"/>
        <w:outlineLvl w:val="1"/>
        <w:rPr>
          <w:rFonts w:ascii="方正仿宋_GBK" w:eastAsia="方正仿宋_GBK"/>
          <w:b/>
          <w:sz w:val="28"/>
          <w:szCs w:val="28"/>
        </w:rPr>
      </w:pPr>
      <w:r>
        <w:rPr>
          <w:rFonts w:ascii="Times New Roman" w:eastAsia="方正仿宋_GBK" w:hAnsi="Times New Roman" w:hint="eastAsia"/>
          <w:b/>
          <w:sz w:val="28"/>
          <w:szCs w:val="28"/>
        </w:rPr>
        <w:t>4</w:t>
      </w:r>
      <w:r>
        <w:rPr>
          <w:rFonts w:ascii="Times New Roman" w:eastAsia="方正仿宋_GBK" w:hAnsi="Times New Roman"/>
          <w:b/>
          <w:sz w:val="28"/>
          <w:szCs w:val="28"/>
        </w:rPr>
        <w:t>.</w:t>
      </w:r>
      <w:r>
        <w:rPr>
          <w:rFonts w:ascii="方正仿宋_GBK" w:eastAsia="方正仿宋_GBK" w:hint="eastAsia"/>
          <w:b/>
          <w:sz w:val="28"/>
          <w:szCs w:val="28"/>
        </w:rPr>
        <w:t>需求审查情况</w:t>
      </w:r>
    </w:p>
    <w:p>
      <w:pPr>
        <w:autoSpaceDN w:val="0"/>
        <w:spacing w:line="400" w:lineRule="exact"/>
        <w:ind w:firstLine="560" w:firstLineChars="200"/>
        <w:rPr>
          <w:rFonts w:ascii="方正仿宋_GBK" w:eastAsia="方正仿宋_GBK"/>
          <w:sz w:val="28"/>
          <w:szCs w:val="28"/>
        </w:rPr>
      </w:pPr>
      <w:r>
        <w:rPr>
          <w:rFonts w:ascii="方正仿宋_GBK" w:eastAsia="方正仿宋_GBK" w:hint="eastAsia"/>
          <w:sz w:val="28"/>
          <w:szCs w:val="28"/>
        </w:rPr>
        <w:t xml:space="preserve">是否对采购需求进行审查：是 </w:t>
      </w:r>
    </w:p>
    <w:p>
      <w:pPr>
        <w:autoSpaceDN w:val="0"/>
        <w:spacing w:line="400" w:lineRule="exact"/>
        <w:ind w:firstLine="420" w:firstLineChars="200"/>
        <w:rPr>
          <w:rFonts w:ascii="Times New Roman" w:eastAsia="方正仿宋_GBK" w:hAnsi="Times New Roman"/>
          <w:szCs w:val="21"/>
        </w:rPr>
      </w:pPr>
    </w:p>
    <w:p>
      <w:pPr>
        <w:spacing w:line="400" w:lineRule="exact"/>
        <w:outlineLvl w:val="0"/>
        <w:rPr>
          <w:rFonts w:ascii="方正黑体_GBK" w:eastAsia="方正黑体_GBK"/>
          <w:b/>
          <w:sz w:val="28"/>
          <w:szCs w:val="28"/>
        </w:rPr>
      </w:pPr>
      <w:r>
        <w:rPr>
          <w:rFonts w:ascii="方正黑体_GBK" w:eastAsia="方正黑体_GBK" w:hint="eastAsia"/>
          <w:b/>
          <w:sz w:val="28"/>
          <w:szCs w:val="28"/>
        </w:rPr>
        <w:t>二、核心产品</w:t>
      </w:r>
    </w:p>
    <w:p>
      <w:pPr>
        <w:autoSpaceDN w:val="0"/>
        <w:spacing w:line="400" w:lineRule="exact"/>
        <w:rPr>
          <w:rFonts w:ascii="Times New Roman" w:eastAsia="方正仿宋_GBK" w:hAnsi="Times New Roman"/>
          <w:sz w:val="28"/>
          <w:szCs w:val="28"/>
          <w:highlight w:val="yellow"/>
        </w:rPr>
      </w:pPr>
      <w:r>
        <w:rPr>
          <w:rFonts w:ascii="Times New Roman" w:eastAsia="方正仿宋_GBK" w:hAnsi="Times New Roman" w:hint="eastAsia"/>
          <w:sz w:val="28"/>
          <w:szCs w:val="28"/>
        </w:rPr>
        <w:t>01包核心产品：离子色谱仪1、离子色谱仪2</w:t>
      </w:r>
    </w:p>
    <w:p>
      <w:pPr>
        <w:spacing w:line="400" w:lineRule="exact"/>
        <w:rPr>
          <w:rFonts w:ascii="Times New Roman" w:eastAsia="方正仿宋_GBK" w:hAnsi="Times New Roman"/>
          <w:sz w:val="28"/>
          <w:szCs w:val="28"/>
        </w:rPr>
      </w:pPr>
      <w:r>
        <w:rPr>
          <w:rFonts w:ascii="Times New Roman" w:eastAsia="方正仿宋_GBK" w:hAnsi="Times New Roman" w:hint="eastAsia"/>
          <w:sz w:val="28"/>
          <w:szCs w:val="28"/>
        </w:rPr>
        <w:t>02包核心产品：离子色谱仪4</w:t>
      </w:r>
    </w:p>
    <w:p>
      <w:pPr>
        <w:spacing w:line="400" w:lineRule="exact"/>
        <w:jc w:val="left"/>
        <w:rPr>
          <w:rFonts w:ascii="Times New Roman" w:eastAsia="方正仿宋_GBK" w:hAnsi="Times New Roman"/>
          <w:sz w:val="28"/>
          <w:szCs w:val="28"/>
        </w:rPr>
      </w:pPr>
      <w:r>
        <w:rPr>
          <w:rFonts w:ascii="Times New Roman" w:eastAsia="方正仿宋_GBK" w:hAnsi="Times New Roman" w:hint="eastAsia"/>
          <w:sz w:val="28"/>
          <w:szCs w:val="28"/>
        </w:rPr>
        <w:t xml:space="preserve">    </w:t>
      </w:r>
    </w:p>
    <w:p>
      <w:pPr>
        <w:spacing w:before="120" w:beforeLines="50" w:after="120" w:afterLines="50" w:line="400" w:lineRule="exact"/>
        <w:jc w:val="left"/>
        <w:outlineLvl w:val="0"/>
        <w:rPr>
          <w:rFonts w:ascii="方正仿宋_GBK" w:eastAsia="方正仿宋_GBK"/>
          <w:sz w:val="28"/>
          <w:szCs w:val="28"/>
        </w:rPr>
      </w:pPr>
      <w:r>
        <w:rPr>
          <w:rFonts w:ascii="方正黑体_GBK" w:eastAsia="方正黑体_GBK" w:hint="eastAsia"/>
          <w:b/>
          <w:sz w:val="28"/>
          <w:szCs w:val="28"/>
        </w:rPr>
        <w:t>三、采购需求</w:t>
      </w:r>
    </w:p>
    <w:p>
      <w:pPr>
        <w:spacing w:line="400" w:lineRule="exact"/>
        <w:jc w:val="center"/>
        <w:rPr>
          <w:rFonts w:ascii="Times New Roman" w:eastAsia="方正仿宋_GBK" w:hAnsi="Times New Roman"/>
          <w:sz w:val="28"/>
          <w:szCs w:val="28"/>
        </w:rPr>
      </w:pPr>
      <w:r>
        <w:rPr>
          <w:rFonts w:ascii="方正仿宋_GBK" w:eastAsia="方正仿宋_GBK" w:hint="eastAsia"/>
          <w:sz w:val="28"/>
          <w:szCs w:val="28"/>
        </w:rPr>
        <w:t>01包 离子色谱仪</w:t>
      </w:r>
    </w:p>
    <w:tbl>
      <w:tblPr>
        <w:tblStyle w:val="TableNormal"/>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7"/>
        <w:gridCol w:w="3000"/>
        <w:gridCol w:w="3138"/>
        <w:gridCol w:w="1008"/>
      </w:tblGrid>
      <w:tr>
        <w:tblPrEx>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7"/>
          <w:jc w:val="center"/>
        </w:trPr>
        <w:tc>
          <w:tcPr>
            <w:tcW w:w="1097"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序号</w:t>
            </w:r>
          </w:p>
        </w:tc>
        <w:tc>
          <w:tcPr>
            <w:tcW w:w="3000"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货物名称</w:t>
            </w:r>
          </w:p>
        </w:tc>
        <w:tc>
          <w:tcPr>
            <w:tcW w:w="3138"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单价(元)</w:t>
            </w:r>
          </w:p>
        </w:tc>
        <w:tc>
          <w:tcPr>
            <w:tcW w:w="1008"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数量</w:t>
            </w:r>
          </w:p>
        </w:tc>
      </w:tr>
      <w:tr>
        <w:tblPrEx>
          <w:tblW w:w="8243" w:type="dxa"/>
          <w:jc w:val="center"/>
          <w:tblLayout w:type="fixed"/>
          <w:tblCellMar>
            <w:top w:w="0" w:type="dxa"/>
            <w:left w:w="108" w:type="dxa"/>
            <w:bottom w:w="0" w:type="dxa"/>
            <w:right w:w="108" w:type="dxa"/>
          </w:tblCellMar>
        </w:tblPrEx>
        <w:trPr>
          <w:jc w:val="center"/>
        </w:trPr>
        <w:tc>
          <w:tcPr>
            <w:tcW w:w="1097" w:type="dxa"/>
          </w:tcPr>
          <w:p>
            <w:pPr>
              <w:jc w:val="center"/>
            </w:pPr>
            <w:r>
              <w:rPr>
                <w:rFonts w:hint="eastAsia"/>
              </w:rPr>
              <w:t>1</w:t>
            </w:r>
          </w:p>
        </w:tc>
        <w:tc>
          <w:tcPr>
            <w:tcW w:w="3000" w:type="dxa"/>
            <w:tcBorders>
              <w:top w:val="single" w:sz="4" w:space="0" w:color="auto"/>
              <w:left w:val="single" w:sz="4" w:space="0" w:color="auto"/>
              <w:right w:val="single" w:sz="4" w:space="0" w:color="auto"/>
            </w:tcBorders>
          </w:tcPr>
          <w:p>
            <w:pPr>
              <w:jc w:val="center"/>
            </w:pPr>
            <w:r>
              <w:rPr>
                <w:rFonts w:hint="eastAsia"/>
              </w:rPr>
              <w:t>离子色谱仪1</w:t>
            </w:r>
          </w:p>
        </w:tc>
        <w:tc>
          <w:tcPr>
            <w:tcW w:w="3138" w:type="dxa"/>
            <w:tcBorders>
              <w:top w:val="single" w:sz="4" w:space="0" w:color="auto"/>
              <w:left w:val="single" w:sz="4" w:space="0" w:color="auto"/>
              <w:right w:val="single" w:sz="4" w:space="0" w:color="auto"/>
            </w:tcBorders>
          </w:tcPr>
          <w:p>
            <w:pPr>
              <w:jc w:val="center"/>
            </w:pPr>
            <w:r>
              <w:rPr>
                <w:rFonts w:hint="eastAsia"/>
              </w:rPr>
              <w:t>75</w:t>
            </w:r>
            <w:r>
              <w:t>0,000.00</w:t>
            </w:r>
          </w:p>
        </w:tc>
        <w:tc>
          <w:tcPr>
            <w:tcW w:w="1008" w:type="dxa"/>
          </w:tcPr>
          <w:p>
            <w:pPr>
              <w:jc w:val="center"/>
            </w:pPr>
            <w:r>
              <w:rPr>
                <w:rFonts w:hint="eastAsia"/>
              </w:rPr>
              <w:t>10</w:t>
            </w:r>
          </w:p>
        </w:tc>
      </w:tr>
      <w:tr>
        <w:tblPrEx>
          <w:tblW w:w="8243" w:type="dxa"/>
          <w:jc w:val="center"/>
          <w:tblLayout w:type="fixed"/>
          <w:tblCellMar>
            <w:top w:w="0" w:type="dxa"/>
            <w:left w:w="108" w:type="dxa"/>
            <w:bottom w:w="0" w:type="dxa"/>
            <w:right w:w="108" w:type="dxa"/>
          </w:tblCellMar>
        </w:tblPrEx>
        <w:trPr>
          <w:jc w:val="center"/>
        </w:trPr>
        <w:tc>
          <w:tcPr>
            <w:tcW w:w="1097" w:type="dxa"/>
          </w:tcPr>
          <w:p>
            <w:pPr>
              <w:jc w:val="center"/>
            </w:pPr>
            <w:r>
              <w:rPr>
                <w:rFonts w:hint="eastAsia"/>
              </w:rPr>
              <w:t>2</w:t>
            </w:r>
          </w:p>
        </w:tc>
        <w:tc>
          <w:tcPr>
            <w:tcW w:w="3000" w:type="dxa"/>
            <w:tcBorders>
              <w:top w:val="single" w:sz="4" w:space="0" w:color="auto"/>
              <w:left w:val="single" w:sz="4" w:space="0" w:color="auto"/>
              <w:right w:val="single" w:sz="4" w:space="0" w:color="auto"/>
            </w:tcBorders>
          </w:tcPr>
          <w:p>
            <w:pPr>
              <w:jc w:val="center"/>
            </w:pPr>
            <w:r>
              <w:rPr>
                <w:rFonts w:hint="eastAsia"/>
              </w:rPr>
              <w:t>离子色谱仪2</w:t>
            </w:r>
          </w:p>
        </w:tc>
        <w:tc>
          <w:tcPr>
            <w:tcW w:w="3138" w:type="dxa"/>
            <w:tcBorders>
              <w:top w:val="single" w:sz="4" w:space="0" w:color="auto"/>
              <w:left w:val="single" w:sz="4" w:space="0" w:color="auto"/>
              <w:right w:val="single" w:sz="4" w:space="0" w:color="auto"/>
            </w:tcBorders>
          </w:tcPr>
          <w:p>
            <w:pPr>
              <w:jc w:val="center"/>
            </w:pPr>
            <w:r>
              <w:rPr>
                <w:rFonts w:hint="eastAsia"/>
              </w:rPr>
              <w:t>38</w:t>
            </w:r>
            <w:r>
              <w:t>0,000.00</w:t>
            </w:r>
          </w:p>
        </w:tc>
        <w:tc>
          <w:tcPr>
            <w:tcW w:w="1008" w:type="dxa"/>
          </w:tcPr>
          <w:p>
            <w:pPr>
              <w:jc w:val="center"/>
            </w:pPr>
            <w:r>
              <w:rPr>
                <w:rFonts w:hint="eastAsia"/>
              </w:rPr>
              <w:t>10</w:t>
            </w:r>
          </w:p>
        </w:tc>
      </w:tr>
      <w:tr>
        <w:tblPrEx>
          <w:tblW w:w="8243" w:type="dxa"/>
          <w:jc w:val="center"/>
          <w:tblLayout w:type="fixed"/>
          <w:tblCellMar>
            <w:top w:w="0" w:type="dxa"/>
            <w:left w:w="108" w:type="dxa"/>
            <w:bottom w:w="0" w:type="dxa"/>
            <w:right w:w="108" w:type="dxa"/>
          </w:tblCellMar>
        </w:tblPrEx>
        <w:trPr>
          <w:jc w:val="center"/>
        </w:trPr>
        <w:tc>
          <w:tcPr>
            <w:tcW w:w="1097" w:type="dxa"/>
          </w:tcPr>
          <w:p>
            <w:pPr>
              <w:jc w:val="center"/>
            </w:pPr>
            <w:r>
              <w:rPr>
                <w:rFonts w:hint="eastAsia"/>
              </w:rPr>
              <w:t>3</w:t>
            </w:r>
          </w:p>
        </w:tc>
        <w:tc>
          <w:tcPr>
            <w:tcW w:w="3000" w:type="dxa"/>
            <w:tcBorders>
              <w:top w:val="single" w:sz="4" w:space="0" w:color="auto"/>
              <w:left w:val="single" w:sz="4" w:space="0" w:color="auto"/>
              <w:right w:val="single" w:sz="4" w:space="0" w:color="auto"/>
            </w:tcBorders>
          </w:tcPr>
          <w:p>
            <w:pPr>
              <w:jc w:val="center"/>
            </w:pPr>
            <w:r>
              <w:rPr>
                <w:rFonts w:hint="eastAsia"/>
              </w:rPr>
              <w:t>离子色谱仪3</w:t>
            </w:r>
          </w:p>
        </w:tc>
        <w:tc>
          <w:tcPr>
            <w:tcW w:w="3138" w:type="dxa"/>
            <w:tcBorders>
              <w:top w:val="single" w:sz="4" w:space="0" w:color="auto"/>
              <w:left w:val="single" w:sz="4" w:space="0" w:color="auto"/>
              <w:right w:val="single" w:sz="4" w:space="0" w:color="auto"/>
            </w:tcBorders>
          </w:tcPr>
          <w:p>
            <w:pPr>
              <w:jc w:val="center"/>
            </w:pPr>
            <w:r>
              <w:t>580,000.00</w:t>
            </w:r>
          </w:p>
        </w:tc>
        <w:tc>
          <w:tcPr>
            <w:tcW w:w="1008" w:type="dxa"/>
          </w:tcPr>
          <w:p>
            <w:pPr>
              <w:jc w:val="center"/>
            </w:pPr>
            <w:r>
              <w:rPr>
                <w:rFonts w:hint="eastAsia"/>
              </w:rPr>
              <w:t>3</w:t>
            </w:r>
          </w:p>
        </w:tc>
      </w:tr>
    </w:tbl>
    <w:p>
      <w:pPr>
        <w:spacing w:line="400" w:lineRule="exact"/>
        <w:rPr>
          <w:rFonts w:ascii="Times New Roman" w:eastAsia="方正仿宋_GBK" w:hAnsi="Times New Roman"/>
          <w:b/>
          <w:bCs/>
          <w:color w:val="FF0000"/>
          <w:sz w:val="28"/>
          <w:szCs w:val="28"/>
        </w:rPr>
      </w:pPr>
    </w:p>
    <w:p>
      <w:pPr>
        <w:spacing w:line="400" w:lineRule="exact"/>
        <w:rPr>
          <w:rFonts w:ascii="方正仿宋_GBK" w:eastAsia="方正仿宋_GBK"/>
          <w:b/>
          <w:sz w:val="28"/>
          <w:szCs w:val="28"/>
        </w:rPr>
      </w:pPr>
      <w:r>
        <w:rPr>
          <w:rFonts w:ascii="方正仿宋_GBK" w:eastAsia="方正仿宋_GBK" w:hint="eastAsia"/>
          <w:b/>
          <w:sz w:val="28"/>
          <w:szCs w:val="28"/>
        </w:rPr>
        <w:t>品目1</w:t>
      </w:r>
      <w:r>
        <w:rPr>
          <w:rFonts w:ascii="方正仿宋_GBK" w:eastAsia="方正仿宋_GBK"/>
          <w:b/>
          <w:sz w:val="28"/>
          <w:szCs w:val="28"/>
        </w:rPr>
        <w:t>：</w:t>
      </w:r>
      <w:r>
        <w:rPr>
          <w:rFonts w:ascii="方正仿宋_GBK" w:eastAsia="方正仿宋_GBK" w:hint="eastAsia"/>
          <w:b/>
          <w:sz w:val="28"/>
          <w:szCs w:val="28"/>
        </w:rPr>
        <w:t>离子色谱仪1</w:t>
      </w:r>
    </w:p>
    <w:p>
      <w:pPr>
        <w:spacing w:line="400" w:lineRule="exact"/>
        <w:rPr>
          <w:rFonts w:ascii="方正仿宋_GBK" w:eastAsia="方正仿宋_GBK"/>
          <w:b/>
          <w:sz w:val="28"/>
          <w:szCs w:val="28"/>
        </w:rPr>
      </w:pPr>
      <w:r>
        <w:rPr>
          <w:rFonts w:ascii="方正仿宋_GBK" w:eastAsia="方正仿宋_GBK"/>
          <w:b/>
          <w:sz w:val="28"/>
          <w:szCs w:val="28"/>
        </w:rPr>
        <w:t>1.主要用途</w:t>
      </w:r>
    </w:p>
    <w:p>
      <w:pPr>
        <w:spacing w:line="400" w:lineRule="exact"/>
        <w:rPr>
          <w:rFonts w:ascii="方正仿宋_GBK" w:eastAsia="方正仿宋_GBK"/>
          <w:sz w:val="28"/>
          <w:szCs w:val="28"/>
        </w:rPr>
      </w:pPr>
      <w:r>
        <w:rPr>
          <w:rFonts w:ascii="方正仿宋_GBK" w:eastAsia="方正仿宋_GBK"/>
          <w:sz w:val="28"/>
          <w:szCs w:val="28"/>
        </w:rPr>
        <w:t xml:space="preserve">    适用于样品中阴离子、有机胺、阳离子、氯化胆碱、氨基酸和糖等的分析。</w:t>
      </w:r>
    </w:p>
    <w:p>
      <w:pPr>
        <w:spacing w:line="400" w:lineRule="exact"/>
        <w:rPr>
          <w:rFonts w:ascii="方正仿宋_GBK" w:eastAsia="方正仿宋_GBK"/>
          <w:b/>
          <w:sz w:val="28"/>
          <w:szCs w:val="28"/>
        </w:rPr>
      </w:pPr>
      <w:r>
        <w:rPr>
          <w:rFonts w:ascii="方正仿宋_GBK" w:eastAsia="方正仿宋_GBK" w:hint="eastAsia"/>
          <w:b/>
          <w:bCs/>
          <w:sz w:val="28"/>
          <w:szCs w:val="28"/>
        </w:rPr>
        <w:t>★</w:t>
      </w:r>
      <w:r>
        <w:rPr>
          <w:rFonts w:ascii="方正仿宋_GBK" w:eastAsia="方正仿宋_GBK"/>
          <w:b/>
          <w:sz w:val="28"/>
          <w:szCs w:val="28"/>
        </w:rPr>
        <w:t>2.特殊资质要求</w:t>
      </w:r>
    </w:p>
    <w:p>
      <w:pPr>
        <w:spacing w:line="400" w:lineRule="exact"/>
        <w:rPr>
          <w:rFonts w:ascii="方正仿宋_GBK" w:eastAsia="方正仿宋_GBK"/>
          <w:sz w:val="28"/>
          <w:szCs w:val="28"/>
        </w:rPr>
      </w:pPr>
      <w:r>
        <w:rPr>
          <w:rFonts w:ascii="方正仿宋_GBK" w:eastAsia="方正仿宋_GBK"/>
          <w:sz w:val="28"/>
          <w:szCs w:val="28"/>
        </w:rPr>
        <w:t xml:space="preserve">    本项目专门面向中小企业采购。</w:t>
      </w:r>
    </w:p>
    <w:p>
      <w:pPr>
        <w:spacing w:line="400" w:lineRule="exact"/>
        <w:rPr>
          <w:rFonts w:ascii="方正仿宋_GBK" w:eastAsia="方正仿宋_GBK"/>
          <w:b/>
          <w:sz w:val="28"/>
          <w:szCs w:val="28"/>
        </w:rPr>
      </w:pPr>
      <w:r>
        <w:rPr>
          <w:rFonts w:ascii="方正仿宋_GBK" w:eastAsia="方正仿宋_GBK"/>
          <w:b/>
          <w:sz w:val="28"/>
          <w:szCs w:val="28"/>
        </w:rPr>
        <w:t>3.主要技术参数</w:t>
      </w:r>
    </w:p>
    <w:p>
      <w:pPr>
        <w:spacing w:line="400" w:lineRule="exact"/>
        <w:rPr>
          <w:rFonts w:ascii="方正仿宋_GBK" w:eastAsia="方正仿宋_GBK"/>
          <w:sz w:val="28"/>
          <w:szCs w:val="28"/>
        </w:rPr>
      </w:pPr>
      <w:r>
        <w:rPr>
          <w:rFonts w:ascii="方正仿宋_GBK" w:eastAsia="方正仿宋_GBK" w:hint="eastAsia"/>
          <w:sz w:val="28"/>
          <w:szCs w:val="28"/>
        </w:rPr>
        <w:t>该系统主要由泵系统、自动进样器、连续自动再生抑制器、柱温箱、电导检测器、安培检测器、自动淋洗液发生器、色谱工作站和数据处理系统组成。</w:t>
      </w:r>
    </w:p>
    <w:p>
      <w:pPr>
        <w:spacing w:line="400" w:lineRule="exact"/>
        <w:rPr>
          <w:rFonts w:ascii="方正仿宋_GBK" w:eastAsia="方正仿宋_GBK"/>
          <w:sz w:val="28"/>
          <w:szCs w:val="28"/>
        </w:rPr>
      </w:pPr>
      <w:r>
        <w:rPr>
          <w:rFonts w:ascii="方正仿宋_GBK" w:eastAsia="方正仿宋_GBK"/>
          <w:sz w:val="28"/>
          <w:szCs w:val="28"/>
        </w:rPr>
        <w:t xml:space="preserve">3.1 泵系统  </w:t>
      </w:r>
    </w:p>
    <w:p>
      <w:pPr>
        <w:spacing w:line="400" w:lineRule="exact"/>
        <w:rPr>
          <w:rFonts w:ascii="方正仿宋_GBK" w:eastAsia="方正仿宋_GBK"/>
          <w:sz w:val="28"/>
          <w:szCs w:val="28"/>
        </w:rPr>
      </w:pPr>
      <w:r>
        <w:rPr>
          <w:rFonts w:ascii="方正仿宋_GBK" w:eastAsia="方正仿宋_GBK"/>
          <w:sz w:val="28"/>
          <w:szCs w:val="28"/>
        </w:rPr>
        <w:t>▲3.1.1 采用梯度泵系统，具有化学惰性的非金属无阻尼泵头，泵所有部件含泵外壳、单向阀外壳、单向阀阀芯、管路等均需PEEK非金属材质，耐酸碱腐蚀，适合于pH为0～14的淋洗液及反相有机溶剂，可同时</w:t>
      </w:r>
      <w:r>
        <w:rPr>
          <w:rFonts w:ascii="方正仿宋_GBK" w:eastAsia="方正仿宋_GBK"/>
          <w:sz w:val="28"/>
          <w:szCs w:val="28"/>
        </w:rPr>
        <w:t>采用至少3</w:t>
      </w:r>
      <w:r>
        <w:rPr>
          <w:rFonts w:ascii="方正仿宋_GBK" w:eastAsia="方正仿宋_GBK" w:hint="eastAsia"/>
          <w:sz w:val="28"/>
          <w:szCs w:val="28"/>
        </w:rPr>
        <w:t>种淋洗液</w:t>
      </w:r>
      <w:r>
        <w:rPr>
          <w:rFonts w:ascii="方正仿宋_GBK" w:eastAsia="方正仿宋_GBK"/>
          <w:sz w:val="28"/>
          <w:szCs w:val="28"/>
        </w:rPr>
        <w:t>进行梯度分离。（提供不少于3分钟的真机视频演示，需要重点演示泵所有部件使用的PEEK非金属材质、可同时</w:t>
      </w:r>
      <w:r>
        <w:rPr>
          <w:rFonts w:ascii="方正仿宋_GBK" w:eastAsia="方正仿宋_GBK" w:hint="eastAsia"/>
          <w:sz w:val="28"/>
          <w:szCs w:val="28"/>
        </w:rPr>
        <w:t>采用至少3种淋洗液</w:t>
      </w:r>
      <w:r>
        <w:rPr>
          <w:rFonts w:ascii="方正仿宋_GBK" w:eastAsia="方正仿宋_GBK"/>
          <w:sz w:val="28"/>
          <w:szCs w:val="28"/>
        </w:rPr>
        <w:t xml:space="preserve">进行梯度分离的功能）  </w:t>
      </w:r>
    </w:p>
    <w:p>
      <w:pPr>
        <w:spacing w:line="400" w:lineRule="exact"/>
        <w:rPr>
          <w:rFonts w:ascii="方正仿宋_GBK" w:eastAsia="方正仿宋_GBK"/>
          <w:sz w:val="28"/>
          <w:szCs w:val="28"/>
        </w:rPr>
      </w:pPr>
      <w:r>
        <w:rPr>
          <w:rFonts w:ascii="方正仿宋_GBK" w:eastAsia="方正仿宋_GBK"/>
          <w:sz w:val="28"/>
          <w:szCs w:val="28"/>
        </w:rPr>
        <w:t>▲3.1.2 流速范围：最小流速≤0.001mL/min，最大流速≥10.0mL/min。</w:t>
      </w:r>
      <w:r>
        <w:rPr>
          <w:rFonts w:ascii="方正仿宋_GBK" w:eastAsia="方正仿宋_GBK"/>
          <w:bCs/>
          <w:sz w:val="28"/>
          <w:szCs w:val="28"/>
        </w:rPr>
        <w:t>流量精度：-0.1%～0.1%。</w:t>
      </w:r>
      <w:r>
        <w:rPr>
          <w:rFonts w:ascii="方正仿宋_GBK" w:eastAsia="方正仿宋_GBK"/>
          <w:sz w:val="28"/>
          <w:szCs w:val="28"/>
        </w:rPr>
        <w:t>（最小流速和最大流速提供投标人盖章的真机操作界面截图，</w:t>
      </w:r>
      <w:r>
        <w:rPr>
          <w:rFonts w:ascii="方正仿宋_GBK" w:eastAsia="方正仿宋_GBK"/>
          <w:bCs/>
          <w:sz w:val="28"/>
          <w:szCs w:val="28"/>
        </w:rPr>
        <w:t>流量精度提供</w:t>
      </w:r>
      <w:r>
        <w:rPr>
          <w:rFonts w:ascii="方正仿宋_GBK" w:eastAsia="方正仿宋_GBK"/>
          <w:sz w:val="28"/>
          <w:szCs w:val="28"/>
        </w:rPr>
        <w:t xml:space="preserve">投标人盖章的技术白皮书）  </w:t>
      </w:r>
    </w:p>
    <w:p>
      <w:pPr>
        <w:spacing w:line="400" w:lineRule="exact"/>
        <w:rPr>
          <w:rFonts w:ascii="方正仿宋_GBK" w:eastAsia="方正仿宋_GBK"/>
          <w:bCs/>
          <w:sz w:val="28"/>
          <w:szCs w:val="28"/>
        </w:rPr>
      </w:pPr>
      <w:r>
        <w:rPr>
          <w:rFonts w:ascii="方正仿宋_GBK" w:eastAsia="方正仿宋_GBK"/>
          <w:bCs/>
          <w:sz w:val="28"/>
          <w:szCs w:val="28"/>
        </w:rPr>
        <w:t xml:space="preserve">3.1.3 最大压力：≥35MPa。压力脉冲：≤1.0%。  </w:t>
      </w:r>
    </w:p>
    <w:p>
      <w:pPr>
        <w:spacing w:line="400" w:lineRule="exact"/>
        <w:rPr>
          <w:rFonts w:ascii="方正仿宋_GBK" w:eastAsia="方正仿宋_GBK"/>
          <w:bCs/>
          <w:sz w:val="28"/>
          <w:szCs w:val="28"/>
        </w:rPr>
      </w:pPr>
      <w:r>
        <w:rPr>
          <w:rFonts w:ascii="方正仿宋_GBK" w:eastAsia="方正仿宋_GBK"/>
          <w:bCs/>
          <w:sz w:val="28"/>
          <w:szCs w:val="28"/>
        </w:rPr>
        <w:t xml:space="preserve">3.1.4 具有脱气装置。  </w:t>
      </w:r>
    </w:p>
    <w:p>
      <w:pPr>
        <w:spacing w:line="400" w:lineRule="exact"/>
        <w:rPr>
          <w:rFonts w:ascii="方正仿宋_GBK" w:eastAsia="方正仿宋_GBK"/>
          <w:bCs/>
          <w:sz w:val="28"/>
          <w:szCs w:val="28"/>
        </w:rPr>
      </w:pPr>
      <w:r>
        <w:rPr>
          <w:rFonts w:ascii="方正仿宋_GBK" w:eastAsia="方正仿宋_GBK"/>
          <w:bCs/>
          <w:sz w:val="28"/>
          <w:szCs w:val="28"/>
        </w:rPr>
        <w:t xml:space="preserve">3.2 自动进样器  </w:t>
      </w:r>
    </w:p>
    <w:p>
      <w:pPr>
        <w:spacing w:line="400" w:lineRule="exact"/>
        <w:rPr>
          <w:rFonts w:ascii="方正仿宋_GBK" w:eastAsia="方正仿宋_GBK"/>
          <w:bCs/>
          <w:sz w:val="28"/>
          <w:szCs w:val="28"/>
        </w:rPr>
      </w:pPr>
      <w:r>
        <w:rPr>
          <w:rFonts w:ascii="方正仿宋_GBK" w:eastAsia="方正仿宋_GBK"/>
          <w:bCs/>
          <w:sz w:val="28"/>
          <w:szCs w:val="28"/>
        </w:rPr>
        <w:t xml:space="preserve">3.2.1 处理样品容量：≥80位×2mL 小瓶。  </w:t>
      </w:r>
    </w:p>
    <w:p>
      <w:pPr>
        <w:spacing w:line="400" w:lineRule="exact"/>
        <w:rPr>
          <w:rFonts w:ascii="方正仿宋_GBK" w:eastAsia="方正仿宋_GBK"/>
          <w:bCs/>
          <w:sz w:val="28"/>
          <w:szCs w:val="28"/>
        </w:rPr>
      </w:pPr>
      <w:r>
        <w:rPr>
          <w:rFonts w:ascii="方正仿宋_GBK" w:eastAsia="方正仿宋_GBK"/>
          <w:bCs/>
          <w:sz w:val="28"/>
          <w:szCs w:val="28"/>
        </w:rPr>
        <w:t xml:space="preserve">3.2.2 单一样品重复进样次数：1～99次。单一样品进样时间：≤60s。   </w:t>
      </w:r>
    </w:p>
    <w:p>
      <w:pPr>
        <w:spacing w:line="400" w:lineRule="exact"/>
        <w:rPr>
          <w:rFonts w:ascii="方正仿宋_GBK" w:eastAsia="方正仿宋_GBK"/>
          <w:bCs/>
          <w:sz w:val="28"/>
          <w:szCs w:val="28"/>
        </w:rPr>
      </w:pPr>
      <w:r>
        <w:rPr>
          <w:rFonts w:ascii="方正仿宋_GBK" w:eastAsia="方正仿宋_GBK"/>
          <w:bCs/>
          <w:sz w:val="28"/>
          <w:szCs w:val="28"/>
        </w:rPr>
        <w:t xml:space="preserve">3.2.3 进样精密度：进样体积20µL时，&lt;0.5% RSD。进样体积步进：1～100µL（≤0.1µL增量）。  </w:t>
      </w:r>
    </w:p>
    <w:p>
      <w:pPr>
        <w:spacing w:line="400" w:lineRule="exact"/>
        <w:rPr>
          <w:rFonts w:ascii="方正仿宋_GBK" w:eastAsia="方正仿宋_GBK"/>
          <w:bCs/>
          <w:sz w:val="28"/>
          <w:szCs w:val="28"/>
        </w:rPr>
      </w:pPr>
      <w:r>
        <w:rPr>
          <w:rFonts w:ascii="方正仿宋_GBK" w:eastAsia="方正仿宋_GBK"/>
          <w:bCs/>
          <w:sz w:val="28"/>
          <w:szCs w:val="28"/>
        </w:rPr>
        <w:t>3.2.4 流路材质：耐强酸强碱的惰性材质。</w:t>
      </w:r>
    </w:p>
    <w:p>
      <w:pPr>
        <w:spacing w:line="400" w:lineRule="exact"/>
        <w:rPr>
          <w:rFonts w:ascii="方正仿宋_GBK" w:eastAsia="方正仿宋_GBK"/>
          <w:bCs/>
          <w:sz w:val="28"/>
          <w:szCs w:val="28"/>
        </w:rPr>
      </w:pPr>
      <w:r>
        <w:rPr>
          <w:rFonts w:ascii="方正仿宋_GBK" w:eastAsia="方正仿宋_GBK"/>
          <w:bCs/>
          <w:sz w:val="28"/>
          <w:szCs w:val="28"/>
        </w:rPr>
        <w:t>3.3配备阴离子连续自动再生抑制器和阳离子连续自动再生抑制器。3.4 柱温箱。控温范围：最低温度≤</w:t>
      </w:r>
      <w:r>
        <w:rPr>
          <w:rFonts w:ascii="方正仿宋_GBK" w:eastAsia="方正仿宋_GBK" w:hint="eastAsia"/>
          <w:bCs/>
          <w:sz w:val="28"/>
          <w:szCs w:val="28"/>
        </w:rPr>
        <w:t>20</w:t>
      </w:r>
      <w:r>
        <w:rPr>
          <w:rFonts w:ascii="方正仿宋_GBK" w:eastAsia="方正仿宋_GBK"/>
          <w:bCs/>
          <w:sz w:val="28"/>
          <w:szCs w:val="28"/>
        </w:rPr>
        <w:t>℃，最高温度≥60℃。温度波动范围：-1℃/h～1℃/h。</w:t>
      </w:r>
    </w:p>
    <w:p>
      <w:pPr>
        <w:spacing w:line="400" w:lineRule="exact"/>
        <w:rPr>
          <w:rFonts w:ascii="方正仿宋_GBK" w:eastAsia="方正仿宋_GBK"/>
          <w:bCs/>
          <w:sz w:val="28"/>
          <w:szCs w:val="28"/>
        </w:rPr>
      </w:pPr>
      <w:r>
        <w:rPr>
          <w:rFonts w:ascii="方正仿宋_GBK" w:eastAsia="方正仿宋_GBK"/>
          <w:bCs/>
          <w:sz w:val="28"/>
          <w:szCs w:val="28"/>
        </w:rPr>
        <w:t xml:space="preserve">3.5 电导检测器  </w:t>
      </w:r>
    </w:p>
    <w:p>
      <w:pPr>
        <w:spacing w:line="400" w:lineRule="exact"/>
        <w:rPr>
          <w:rFonts w:ascii="方正仿宋_GBK" w:eastAsia="方正仿宋_GBK"/>
          <w:bCs/>
          <w:sz w:val="28"/>
          <w:szCs w:val="28"/>
        </w:rPr>
      </w:pPr>
      <w:r>
        <w:rPr>
          <w:rFonts w:ascii="方正仿宋_GBK" w:eastAsia="方正仿宋_GBK"/>
          <w:bCs/>
          <w:sz w:val="28"/>
          <w:szCs w:val="28"/>
        </w:rPr>
        <w:t xml:space="preserve">3.5.1 池体积：≤1.0μL。  </w:t>
      </w:r>
    </w:p>
    <w:p>
      <w:pPr>
        <w:spacing w:line="400" w:lineRule="exact"/>
        <w:rPr>
          <w:rFonts w:ascii="方正仿宋_GBK" w:eastAsia="方正仿宋_GBK"/>
          <w:bCs/>
          <w:sz w:val="28"/>
          <w:szCs w:val="28"/>
        </w:rPr>
      </w:pPr>
      <w:r>
        <w:rPr>
          <w:rFonts w:ascii="方正仿宋_GBK" w:eastAsia="方正仿宋_GBK"/>
          <w:bCs/>
          <w:sz w:val="28"/>
          <w:szCs w:val="28"/>
        </w:rPr>
        <w:t>3.5.2 最大操作压力：≥</w:t>
      </w:r>
      <w:r>
        <w:rPr>
          <w:rFonts w:ascii="方正仿宋_GBK" w:eastAsia="方正仿宋_GBK" w:hint="eastAsia"/>
          <w:bCs/>
          <w:sz w:val="28"/>
          <w:szCs w:val="28"/>
        </w:rPr>
        <w:t>2</w:t>
      </w:r>
      <w:r>
        <w:rPr>
          <w:rFonts w:ascii="方正仿宋_GBK" w:eastAsia="方正仿宋_GBK"/>
          <w:bCs/>
          <w:sz w:val="28"/>
          <w:szCs w:val="28"/>
        </w:rPr>
        <w:t xml:space="preserve">MPa。  </w:t>
      </w:r>
    </w:p>
    <w:p>
      <w:pPr>
        <w:spacing w:line="400" w:lineRule="exact"/>
        <w:rPr>
          <w:rFonts w:ascii="方正仿宋_GBK" w:eastAsia="方正仿宋_GBK"/>
          <w:bCs/>
          <w:sz w:val="28"/>
          <w:szCs w:val="28"/>
        </w:rPr>
      </w:pPr>
      <w:r>
        <w:rPr>
          <w:rFonts w:ascii="Segoe UI Symbol" w:eastAsia="方正仿宋_GBK" w:hAnsi="Segoe UI Symbol" w:cs="Segoe UI Symbol"/>
          <w:bCs/>
          <w:sz w:val="28"/>
          <w:szCs w:val="28"/>
        </w:rPr>
        <w:t>★</w:t>
      </w:r>
      <w:r>
        <w:rPr>
          <w:rFonts w:ascii="方正仿宋_GBK" w:eastAsia="方正仿宋_GBK"/>
          <w:bCs/>
          <w:sz w:val="28"/>
          <w:szCs w:val="28"/>
        </w:rPr>
        <w:t xml:space="preserve">3.5.3 全程信号输出范围：最小信号≤0.01µS/cm，最大信号≥12000µS/cm。（提供投标人盖章的真机操作界面截图，能清楚显示最小信号和最大信号）  </w:t>
      </w:r>
    </w:p>
    <w:p>
      <w:pPr>
        <w:spacing w:line="400" w:lineRule="exact"/>
        <w:rPr>
          <w:rFonts w:ascii="方正仿宋_GBK" w:eastAsia="方正仿宋_GBK"/>
          <w:bCs/>
          <w:sz w:val="28"/>
          <w:szCs w:val="28"/>
        </w:rPr>
      </w:pPr>
      <w:r>
        <w:rPr>
          <w:rFonts w:ascii="方正仿宋_GBK" w:eastAsia="方正仿宋_GBK"/>
          <w:bCs/>
          <w:sz w:val="28"/>
          <w:szCs w:val="28"/>
        </w:rPr>
        <w:t xml:space="preserve">3.5.4 温度稳定性：≤0.001℃/h。  </w:t>
      </w:r>
    </w:p>
    <w:p>
      <w:pPr>
        <w:spacing w:line="400" w:lineRule="exact"/>
        <w:rPr>
          <w:rFonts w:ascii="方正仿宋_GBK" w:eastAsia="方正仿宋_GBK"/>
          <w:bCs/>
          <w:sz w:val="28"/>
          <w:szCs w:val="28"/>
        </w:rPr>
      </w:pPr>
      <w:r>
        <w:rPr>
          <w:rFonts w:ascii="方正仿宋_GBK" w:eastAsia="方正仿宋_GBK"/>
          <w:bCs/>
          <w:sz w:val="28"/>
          <w:szCs w:val="28"/>
        </w:rPr>
        <w:t xml:space="preserve">3.5.5 基线漂移：≤0.2nS/cm/h。  </w:t>
      </w:r>
    </w:p>
    <w:p>
      <w:pPr>
        <w:spacing w:line="400" w:lineRule="exact"/>
        <w:rPr>
          <w:rFonts w:ascii="方正仿宋_GBK" w:eastAsia="方正仿宋_GBK"/>
          <w:bCs/>
          <w:sz w:val="28"/>
          <w:szCs w:val="28"/>
        </w:rPr>
      </w:pPr>
      <w:r>
        <w:rPr>
          <w:rFonts w:ascii="方正仿宋_GBK" w:eastAsia="方正仿宋_GBK"/>
          <w:bCs/>
          <w:sz w:val="28"/>
          <w:szCs w:val="28"/>
        </w:rPr>
        <w:t>▲3.5.6 分辨率：≤0.003nS/cm。（提供投标人</w:t>
      </w:r>
      <w:r>
        <w:rPr>
          <w:rFonts w:ascii="方正仿宋_GBK" w:eastAsia="方正仿宋_GBK"/>
          <w:sz w:val="28"/>
          <w:szCs w:val="28"/>
        </w:rPr>
        <w:t>盖章的技术白皮书和真机演示视频</w:t>
      </w:r>
      <w:r>
        <w:rPr>
          <w:rFonts w:ascii="方正仿宋_GBK" w:eastAsia="方正仿宋_GBK"/>
          <w:bCs/>
          <w:sz w:val="28"/>
          <w:szCs w:val="28"/>
        </w:rPr>
        <w:t>）</w:t>
      </w:r>
    </w:p>
    <w:p>
      <w:pPr>
        <w:spacing w:line="400" w:lineRule="exact"/>
        <w:rPr>
          <w:rFonts w:ascii="方正仿宋_GBK" w:eastAsia="方正仿宋_GBK"/>
          <w:bCs/>
          <w:sz w:val="28"/>
          <w:szCs w:val="28"/>
        </w:rPr>
      </w:pPr>
      <w:r>
        <w:rPr>
          <w:rFonts w:ascii="方正仿宋_GBK" w:eastAsia="方正仿宋_GBK"/>
          <w:bCs/>
          <w:sz w:val="28"/>
          <w:szCs w:val="28"/>
        </w:rPr>
        <w:t>▲3.5.7采集频率：≥100赫兹，1s内采集点数不小于100个，且提供的色谱图应能清晰显示每个采集点。（提供投标人</w:t>
      </w:r>
      <w:r>
        <w:rPr>
          <w:rFonts w:ascii="方正仿宋_GBK" w:eastAsia="方正仿宋_GBK"/>
          <w:sz w:val="28"/>
          <w:szCs w:val="28"/>
        </w:rPr>
        <w:t>盖章的技术白皮书和真机操作界面截图</w:t>
      </w:r>
      <w:r>
        <w:rPr>
          <w:rFonts w:ascii="方正仿宋_GBK" w:eastAsia="方正仿宋_GBK"/>
          <w:bCs/>
          <w:sz w:val="28"/>
          <w:szCs w:val="28"/>
        </w:rPr>
        <w:t>）</w:t>
      </w:r>
    </w:p>
    <w:p>
      <w:pPr>
        <w:spacing w:line="400" w:lineRule="exact"/>
        <w:rPr>
          <w:rFonts w:ascii="方正仿宋_GBK" w:eastAsia="方正仿宋_GBK"/>
          <w:bCs/>
          <w:sz w:val="28"/>
          <w:szCs w:val="28"/>
        </w:rPr>
      </w:pPr>
      <w:r>
        <w:rPr>
          <w:rFonts w:ascii="方正仿宋_GBK" w:eastAsia="方正仿宋_GBK"/>
          <w:bCs/>
          <w:sz w:val="28"/>
          <w:szCs w:val="28"/>
        </w:rPr>
        <w:t xml:space="preserve">3.6 安培检测器  </w:t>
      </w:r>
    </w:p>
    <w:p>
      <w:pPr>
        <w:spacing w:line="400" w:lineRule="exact"/>
        <w:rPr>
          <w:rFonts w:ascii="方正仿宋_GBK" w:eastAsia="方正仿宋_GBK"/>
          <w:bCs/>
          <w:sz w:val="28"/>
          <w:szCs w:val="28"/>
        </w:rPr>
      </w:pPr>
      <w:r>
        <w:rPr>
          <w:rFonts w:ascii="方正仿宋_GBK" w:eastAsia="方正仿宋_GBK"/>
          <w:bCs/>
          <w:sz w:val="28"/>
          <w:szCs w:val="28"/>
        </w:rPr>
        <w:t xml:space="preserve">3.6.1 池体积：≤0.5μL。  </w:t>
      </w:r>
    </w:p>
    <w:p>
      <w:pPr>
        <w:spacing w:line="400" w:lineRule="exact"/>
        <w:rPr>
          <w:rFonts w:ascii="方正仿宋_GBK" w:eastAsia="方正仿宋_GBK"/>
          <w:bCs/>
          <w:sz w:val="28"/>
          <w:szCs w:val="28"/>
        </w:rPr>
      </w:pPr>
      <w:r>
        <w:rPr>
          <w:rFonts w:ascii="方正仿宋_GBK" w:eastAsia="方正仿宋_GBK"/>
          <w:bCs/>
          <w:sz w:val="28"/>
          <w:szCs w:val="28"/>
        </w:rPr>
        <w:t xml:space="preserve">3.6.2 积分安培信号输出范围：最小信号≤50pC，最大信号≥200μC。  </w:t>
      </w:r>
    </w:p>
    <w:p>
      <w:pPr>
        <w:spacing w:line="400" w:lineRule="exact"/>
        <w:rPr>
          <w:rFonts w:ascii="方正仿宋_GBK" w:eastAsia="方正仿宋_GBK"/>
          <w:bCs/>
          <w:sz w:val="28"/>
          <w:szCs w:val="28"/>
        </w:rPr>
      </w:pPr>
      <w:r>
        <w:rPr>
          <w:rFonts w:ascii="方正仿宋_GBK" w:eastAsia="方正仿宋_GBK"/>
          <w:bCs/>
          <w:sz w:val="28"/>
          <w:szCs w:val="28"/>
        </w:rPr>
        <w:t xml:space="preserve">3.6.3 最大操作压力：≥0.7MPa。  </w:t>
      </w:r>
    </w:p>
    <w:p>
      <w:pPr>
        <w:spacing w:line="400" w:lineRule="exact"/>
        <w:rPr>
          <w:rFonts w:ascii="方正仿宋_GBK" w:eastAsia="方正仿宋_GBK"/>
          <w:bCs/>
          <w:sz w:val="28"/>
          <w:szCs w:val="28"/>
        </w:rPr>
      </w:pPr>
      <w:r>
        <w:rPr>
          <w:rFonts w:ascii="方正仿宋_GBK" w:eastAsia="方正仿宋_GBK"/>
          <w:bCs/>
          <w:sz w:val="28"/>
          <w:szCs w:val="28"/>
        </w:rPr>
        <w:t>3.6.4 噪音：≤1pA（直流安培）；≤10pC（积分安培）。</w:t>
      </w:r>
    </w:p>
    <w:p>
      <w:pPr>
        <w:spacing w:line="400" w:lineRule="exact"/>
        <w:rPr>
          <w:rFonts w:ascii="方正仿宋_GBK" w:eastAsia="方正仿宋_GBK"/>
          <w:bCs/>
          <w:sz w:val="28"/>
          <w:szCs w:val="28"/>
        </w:rPr>
      </w:pPr>
      <w:r>
        <w:rPr>
          <w:rFonts w:ascii="方正仿宋_GBK" w:eastAsia="方正仿宋_GBK"/>
          <w:bCs/>
          <w:sz w:val="28"/>
          <w:szCs w:val="28"/>
        </w:rPr>
        <w:t xml:space="preserve">3.7 自动淋洗液发生器  </w:t>
      </w:r>
    </w:p>
    <w:p>
      <w:pPr>
        <w:spacing w:line="400" w:lineRule="exact"/>
        <w:rPr>
          <w:rFonts w:ascii="方正仿宋_GBK" w:eastAsia="方正仿宋_GBK"/>
          <w:bCs/>
          <w:sz w:val="28"/>
          <w:szCs w:val="28"/>
        </w:rPr>
      </w:pPr>
      <w:r>
        <w:rPr>
          <w:rFonts w:ascii="方正仿宋_GBK" w:eastAsia="方正仿宋_GBK"/>
          <w:bCs/>
          <w:sz w:val="28"/>
          <w:szCs w:val="28"/>
        </w:rPr>
        <w:t xml:space="preserve">3.7.1 浓度范围：最低浓度≤0.1mM，最高浓度≥100mM。  </w:t>
      </w:r>
    </w:p>
    <w:p>
      <w:pPr>
        <w:spacing w:line="400" w:lineRule="exact"/>
        <w:rPr>
          <w:rFonts w:ascii="方正仿宋_GBK" w:eastAsia="方正仿宋_GBK"/>
          <w:bCs/>
          <w:sz w:val="28"/>
          <w:szCs w:val="28"/>
        </w:rPr>
      </w:pPr>
      <w:r>
        <w:rPr>
          <w:rFonts w:ascii="方正仿宋_GBK" w:eastAsia="方正仿宋_GBK"/>
          <w:bCs/>
          <w:sz w:val="28"/>
          <w:szCs w:val="28"/>
        </w:rPr>
        <w:t xml:space="preserve">3.7.2 流速范围：最小流速≤0.1mL/min，最大流速≥3.0mL/min。  </w:t>
      </w:r>
    </w:p>
    <w:p>
      <w:pPr>
        <w:spacing w:line="400" w:lineRule="exact"/>
        <w:rPr>
          <w:rFonts w:ascii="方正仿宋_GBK" w:eastAsia="方正仿宋_GBK"/>
          <w:bCs/>
          <w:sz w:val="28"/>
          <w:szCs w:val="28"/>
        </w:rPr>
      </w:pPr>
      <w:r>
        <w:rPr>
          <w:rFonts w:ascii="方正仿宋_GBK" w:eastAsia="方正仿宋_GBK"/>
          <w:bCs/>
          <w:sz w:val="28"/>
          <w:szCs w:val="28"/>
        </w:rPr>
        <w:t>▲3.7.3 最大操作压力：≥30MPa。</w:t>
      </w:r>
      <w:r>
        <w:rPr>
          <w:rFonts w:ascii="方正仿宋_GBK" w:eastAsia="方正仿宋_GBK"/>
          <w:bCs/>
          <w:sz w:val="28"/>
          <w:szCs w:val="28"/>
        </w:rPr>
        <w:t>（提供投标人盖章的</w:t>
      </w:r>
      <w:r>
        <w:rPr>
          <w:rFonts w:ascii="方正仿宋_GBK" w:eastAsia="方正仿宋_GBK"/>
          <w:sz w:val="28"/>
          <w:szCs w:val="28"/>
        </w:rPr>
        <w:t>真机操作界面截图</w:t>
      </w:r>
      <w:r>
        <w:rPr>
          <w:rFonts w:ascii="方正仿宋_GBK" w:eastAsia="方正仿宋_GBK"/>
          <w:bCs/>
          <w:sz w:val="28"/>
          <w:szCs w:val="28"/>
        </w:rPr>
        <w:t>）</w:t>
      </w:r>
    </w:p>
    <w:p>
      <w:pPr>
        <w:spacing w:line="400" w:lineRule="exact"/>
        <w:rPr>
          <w:rFonts w:ascii="方正仿宋_GBK" w:eastAsia="方正仿宋_GBK"/>
          <w:bCs/>
          <w:sz w:val="28"/>
          <w:szCs w:val="28"/>
        </w:rPr>
      </w:pPr>
      <w:r>
        <w:rPr>
          <w:rFonts w:ascii="方正仿宋_GBK" w:eastAsia="方正仿宋_GBK"/>
          <w:bCs/>
          <w:sz w:val="28"/>
          <w:szCs w:val="28"/>
        </w:rPr>
        <w:t>▲3.8 一针进样同时检测至少20种氨基酸，且苏氨酸的保留时间不大于30min，缬氨酸和羟脯氨酸之间达到基线分离，即分离度大于1.5。</w:t>
      </w:r>
      <w:r>
        <w:rPr>
          <w:rFonts w:ascii="方正仿宋_GBK" w:eastAsia="方正仿宋_GBK" w:hint="eastAsia"/>
          <w:bCs/>
          <w:sz w:val="28"/>
          <w:szCs w:val="28"/>
        </w:rPr>
        <w:t>一针进样同时检测至少4种糖醇和8种糖；且半乳糖醇和甘露糖醇之间达到基线分离，即分离度大于1.5；10µL进样量，葡萄糖检出限≤10µg/L。</w:t>
      </w:r>
      <w:r>
        <w:rPr>
          <w:rFonts w:ascii="方正仿宋_GBK" w:eastAsia="方正仿宋_GBK"/>
          <w:bCs/>
          <w:sz w:val="28"/>
          <w:szCs w:val="28"/>
        </w:rPr>
        <w:t>(提供投标人盖章的测试报告，报告中能够证实是否符合要求，且该指标验收时须现场测试)</w:t>
      </w:r>
    </w:p>
    <w:p>
      <w:pPr>
        <w:spacing w:line="400" w:lineRule="exact"/>
        <w:rPr>
          <w:rFonts w:ascii="方正仿宋_GBK" w:eastAsia="方正仿宋_GBK"/>
          <w:bCs/>
          <w:sz w:val="28"/>
          <w:szCs w:val="28"/>
        </w:rPr>
      </w:pPr>
      <w:r>
        <w:rPr>
          <w:rFonts w:ascii="方正仿宋_GBK" w:eastAsia="方正仿宋_GBK"/>
          <w:bCs/>
          <w:sz w:val="28"/>
          <w:szCs w:val="28"/>
        </w:rPr>
        <w:t>3.9 色谱工作站：通过计算机直接控制仪器的运行，实现全自动数据采集、色谱定性、定量分析和分析报告。</w:t>
      </w:r>
    </w:p>
    <w:p>
      <w:pPr>
        <w:pStyle w:val="16310"/>
        <w:spacing w:line="400" w:lineRule="exact"/>
        <w:rPr>
          <w:rFonts w:ascii="Segoe UI Symbol" w:eastAsia="方正仿宋_GBK" w:hAnsi="Segoe UI Symbol" w:cs="Segoe UI Symbol"/>
          <w:sz w:val="28"/>
          <w:szCs w:val="28"/>
        </w:rPr>
      </w:pPr>
      <w:r>
        <w:rPr>
          <w:rFonts w:ascii="方正仿宋_GBK" w:eastAsia="方正仿宋_GBK" w:hint="eastAsia"/>
          <w:sz w:val="28"/>
          <w:szCs w:val="28"/>
        </w:rPr>
        <w:t>★</w:t>
      </w:r>
      <w:r>
        <w:rPr>
          <w:rFonts w:ascii="Times New Roman" w:eastAsia="方正仿宋_GBK" w:hAnsi="Times New Roman"/>
          <w:sz w:val="28"/>
          <w:szCs w:val="28"/>
        </w:rPr>
        <w:t>3.10</w:t>
      </w:r>
      <w:r>
        <w:rPr>
          <w:rFonts w:ascii="Segoe UI Symbol" w:eastAsia="方正仿宋_GBK" w:hAnsi="Segoe UI Symbol" w:cs="Segoe UI Symbol"/>
          <w:sz w:val="28"/>
          <w:szCs w:val="28"/>
        </w:rPr>
        <w:t>供应商根据用户需要开放仪器数据接口，实现实验室LIMS系统与仪器双向联接。（投标人提供承诺函，格式自拟）</w:t>
      </w:r>
    </w:p>
    <w:p>
      <w:pPr>
        <w:spacing w:line="400" w:lineRule="exact"/>
        <w:rPr>
          <w:rFonts w:ascii="方正仿宋_GBK" w:eastAsia="方正仿宋_GBK"/>
          <w:sz w:val="28"/>
          <w:szCs w:val="28"/>
        </w:rPr>
      </w:pPr>
    </w:p>
    <w:p>
      <w:pPr>
        <w:spacing w:line="400" w:lineRule="exact"/>
        <w:rPr>
          <w:rFonts w:ascii="方正仿宋_GBK" w:eastAsia="方正仿宋_GBK"/>
          <w:b/>
          <w:sz w:val="28"/>
          <w:szCs w:val="28"/>
        </w:rPr>
      </w:pPr>
      <w:r>
        <w:rPr>
          <w:rFonts w:ascii="Segoe UI Symbol" w:eastAsia="方正仿宋_GBK" w:hAnsi="Segoe UI Symbol" w:cs="Segoe UI Symbol"/>
          <w:bCs/>
          <w:sz w:val="28"/>
          <w:szCs w:val="28"/>
        </w:rPr>
        <w:t>★</w:t>
      </w:r>
      <w:r>
        <w:rPr>
          <w:rFonts w:ascii="方正仿宋_GBK" w:eastAsia="方正仿宋_GBK"/>
          <w:b/>
          <w:sz w:val="28"/>
          <w:szCs w:val="28"/>
        </w:rPr>
        <w:t>4.主要配置</w:t>
      </w:r>
    </w:p>
    <w:p>
      <w:pPr>
        <w:spacing w:line="400" w:lineRule="exact"/>
        <w:rPr>
          <w:rFonts w:ascii="方正仿宋_GBK" w:eastAsia="方正仿宋_GBK"/>
          <w:bCs/>
          <w:sz w:val="28"/>
          <w:szCs w:val="28"/>
        </w:rPr>
      </w:pPr>
      <w:r>
        <w:rPr>
          <w:rFonts w:ascii="方正仿宋_GBK" w:eastAsia="方正仿宋_GBK"/>
          <w:bCs/>
          <w:sz w:val="28"/>
          <w:szCs w:val="28"/>
        </w:rPr>
        <w:t>主机（含梯度泵、六通阀等）1套、脱气装置1套、自动进样器1个、阴离子连续自动再生抑制器1个、阳离子连续自动再生抑制器1个、柱温箱1个、电导检测器1个、安培检测器1个</w:t>
      </w:r>
      <w:r>
        <w:rPr>
          <w:rFonts w:ascii="方正仿宋_GBK" w:eastAsia="方正仿宋_GBK" w:hint="eastAsia"/>
          <w:bCs/>
          <w:sz w:val="28"/>
          <w:szCs w:val="28"/>
        </w:rPr>
        <w:t>、金电极和银电极各1套</w:t>
      </w:r>
      <w:r>
        <w:rPr>
          <w:rFonts w:ascii="方正仿宋_GBK" w:eastAsia="方正仿宋_GBK"/>
          <w:bCs/>
          <w:sz w:val="28"/>
          <w:szCs w:val="28"/>
        </w:rPr>
        <w:t>、 自动淋洗液发生器1个、阴离子分离柱及保护柱1个、阳离子分离柱及保护柱1个、</w:t>
      </w:r>
      <w:r>
        <w:rPr>
          <w:rFonts w:ascii="方正仿宋_GBK" w:eastAsia="方正仿宋_GBK" w:hint="eastAsia"/>
          <w:bCs/>
          <w:sz w:val="28"/>
          <w:szCs w:val="28"/>
        </w:rPr>
        <w:t>糖</w:t>
      </w:r>
      <w:r>
        <w:rPr>
          <w:rFonts w:ascii="方正仿宋_GBK" w:eastAsia="方正仿宋_GBK"/>
          <w:bCs/>
          <w:sz w:val="28"/>
          <w:szCs w:val="28"/>
        </w:rPr>
        <w:t>分析柱及保护柱1个、色谱工作站1个、激光打印机1台、供主机使用的不间断电源（UPS）1套。</w:t>
      </w:r>
    </w:p>
    <w:p>
      <w:pPr>
        <w:spacing w:line="400" w:lineRule="exact"/>
        <w:rPr>
          <w:rFonts w:ascii="方正仿宋_GBK" w:eastAsia="方正仿宋_GBK"/>
          <w:bCs/>
          <w:sz w:val="28"/>
          <w:szCs w:val="28"/>
        </w:rPr>
      </w:pPr>
      <w:r>
        <w:rPr>
          <w:rFonts w:ascii="方正仿宋_GBK" w:eastAsia="方正仿宋_GBK"/>
          <w:bCs/>
          <w:sz w:val="28"/>
          <w:szCs w:val="28"/>
        </w:rPr>
        <w:t>控制电脑1套：配套使用电脑（或工作站）的产品技术指标需满足财库《台式计算机（或工作站）政府采购需求标准（2023年版）》中的星标项“</w:t>
      </w:r>
      <w:r>
        <w:rPr>
          <w:rFonts w:ascii="Times New Roman" w:eastAsia="方正仿宋_GBK" w:hAnsi="Times New Roman" w:cs="方正仿宋_GBK" w:hint="eastAsia"/>
          <w:sz w:val="28"/>
          <w:szCs w:val="28"/>
        </w:rPr>
        <w:t>*</w:t>
      </w:r>
      <w:r>
        <w:rPr>
          <w:rFonts w:ascii="方正仿宋_GBK" w:eastAsia="方正仿宋_GBK"/>
          <w:bCs/>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cs="方正仿宋_GBK" w:hint="eastAsia"/>
          <w:sz w:val="28"/>
          <w:szCs w:val="28"/>
        </w:rPr>
        <w:t>*</w:t>
      </w:r>
      <w:r>
        <w:rPr>
          <w:rFonts w:ascii="方正仿宋_GBK" w:eastAsia="方正仿宋_GBK"/>
          <w:bCs/>
          <w:sz w:val="28"/>
          <w:szCs w:val="28"/>
        </w:rPr>
        <w:t>”指标的承诺函，格式自拟。</w:t>
      </w:r>
    </w:p>
    <w:p>
      <w:pPr>
        <w:spacing w:line="400" w:lineRule="exact"/>
        <w:rPr>
          <w:rFonts w:ascii="方正仿宋_GBK" w:eastAsia="方正仿宋_GBK"/>
          <w:b/>
          <w:sz w:val="28"/>
          <w:szCs w:val="28"/>
        </w:rPr>
      </w:pPr>
    </w:p>
    <w:p>
      <w:pPr>
        <w:spacing w:line="400" w:lineRule="exact"/>
        <w:rPr>
          <w:rFonts w:ascii="方正仿宋_GBK" w:eastAsia="方正仿宋_GBK"/>
          <w:b/>
          <w:sz w:val="28"/>
          <w:szCs w:val="28"/>
        </w:rPr>
      </w:pPr>
      <w:r>
        <w:rPr>
          <w:rFonts w:ascii="方正仿宋_GBK" w:eastAsia="方正仿宋_GBK" w:hint="eastAsia"/>
          <w:b/>
          <w:sz w:val="28"/>
          <w:szCs w:val="28"/>
        </w:rPr>
        <w:t>品目2</w:t>
      </w:r>
      <w:r>
        <w:rPr>
          <w:rFonts w:ascii="方正仿宋_GBK" w:eastAsia="方正仿宋_GBK"/>
          <w:b/>
          <w:sz w:val="28"/>
          <w:szCs w:val="28"/>
        </w:rPr>
        <w:t>：</w:t>
      </w:r>
      <w:r>
        <w:rPr>
          <w:rFonts w:ascii="方正仿宋_GBK" w:eastAsia="方正仿宋_GBK" w:hint="eastAsia"/>
          <w:b/>
          <w:sz w:val="28"/>
          <w:szCs w:val="28"/>
        </w:rPr>
        <w:t>离子色谱仪2</w:t>
      </w:r>
    </w:p>
    <w:p>
      <w:pPr>
        <w:spacing w:line="400" w:lineRule="exact"/>
        <w:rPr>
          <w:rFonts w:ascii="方正仿宋_GBK" w:eastAsia="方正仿宋_GBK"/>
          <w:b/>
          <w:sz w:val="28"/>
          <w:szCs w:val="28"/>
        </w:rPr>
      </w:pPr>
      <w:r>
        <w:rPr>
          <w:rFonts w:ascii="方正仿宋_GBK" w:eastAsia="方正仿宋_GBK"/>
          <w:b/>
          <w:sz w:val="28"/>
          <w:szCs w:val="28"/>
        </w:rPr>
        <w:t>1.主要用途</w:t>
      </w:r>
    </w:p>
    <w:p>
      <w:pPr>
        <w:spacing w:line="400" w:lineRule="exact"/>
        <w:rPr>
          <w:rFonts w:ascii="方正仿宋_GBK" w:eastAsia="方正仿宋_GBK"/>
          <w:sz w:val="28"/>
          <w:szCs w:val="28"/>
        </w:rPr>
      </w:pPr>
      <w:r>
        <w:rPr>
          <w:rFonts w:ascii="方正仿宋_GBK" w:eastAsia="方正仿宋_GBK"/>
          <w:sz w:val="28"/>
          <w:szCs w:val="28"/>
        </w:rPr>
        <w:t xml:space="preserve">    适用于样品中的阴离子、阳离子和氯化胆碱等的分析。</w:t>
      </w:r>
    </w:p>
    <w:p>
      <w:pPr>
        <w:spacing w:line="400" w:lineRule="exact"/>
        <w:rPr>
          <w:rFonts w:ascii="方正仿宋_GBK" w:eastAsia="方正仿宋_GBK"/>
          <w:b/>
          <w:sz w:val="28"/>
          <w:szCs w:val="28"/>
        </w:rPr>
      </w:pPr>
      <w:r>
        <w:rPr>
          <w:rFonts w:ascii="方正仿宋_GBK" w:eastAsia="方正仿宋_GBK" w:hint="eastAsia"/>
          <w:b/>
          <w:bCs/>
          <w:sz w:val="28"/>
          <w:szCs w:val="28"/>
        </w:rPr>
        <w:t>★</w:t>
      </w:r>
      <w:r>
        <w:rPr>
          <w:rFonts w:ascii="方正仿宋_GBK" w:eastAsia="方正仿宋_GBK"/>
          <w:b/>
          <w:sz w:val="28"/>
          <w:szCs w:val="28"/>
        </w:rPr>
        <w:t>2.特殊资质要求</w:t>
      </w:r>
    </w:p>
    <w:p>
      <w:pPr>
        <w:spacing w:line="400" w:lineRule="exact"/>
        <w:ind w:firstLine="420" w:firstLineChars="150"/>
        <w:rPr>
          <w:rFonts w:ascii="方正仿宋_GBK" w:eastAsia="方正仿宋_GBK"/>
          <w:sz w:val="28"/>
          <w:szCs w:val="28"/>
        </w:rPr>
      </w:pPr>
      <w:r>
        <w:rPr>
          <w:rFonts w:ascii="方正仿宋_GBK" w:eastAsia="方正仿宋_GBK"/>
          <w:sz w:val="28"/>
          <w:szCs w:val="28"/>
        </w:rPr>
        <w:t>本项目专门面向中小企业采购。</w:t>
      </w:r>
    </w:p>
    <w:p>
      <w:pPr>
        <w:spacing w:line="400" w:lineRule="exact"/>
        <w:rPr>
          <w:rFonts w:ascii="方正仿宋_GBK" w:eastAsia="方正仿宋_GBK"/>
          <w:bCs/>
          <w:sz w:val="28"/>
          <w:szCs w:val="28"/>
        </w:rPr>
      </w:pPr>
      <w:r>
        <w:rPr>
          <w:rFonts w:ascii="方正仿宋_GBK" w:eastAsia="方正仿宋_GBK"/>
          <w:b/>
          <w:sz w:val="28"/>
          <w:szCs w:val="28"/>
        </w:rPr>
        <w:t>3.主要技术参数</w:t>
      </w:r>
    </w:p>
    <w:p>
      <w:pPr>
        <w:spacing w:line="400" w:lineRule="exact"/>
        <w:rPr>
          <w:rFonts w:ascii="方正仿宋_GBK" w:eastAsia="方正仿宋_GBK"/>
          <w:bCs/>
          <w:sz w:val="28"/>
          <w:szCs w:val="28"/>
        </w:rPr>
      </w:pPr>
      <w:r>
        <w:rPr>
          <w:rFonts w:ascii="方正仿宋_GBK" w:eastAsia="方正仿宋_GBK" w:hint="eastAsia"/>
          <w:bCs/>
          <w:sz w:val="28"/>
          <w:szCs w:val="28"/>
        </w:rPr>
        <w:t>该系统主要由泵系统、自动进样器、连续自动再生抑制器、柱温箱、电导检测器、自动淋洗液发生器、色谱工作站和计算机系统组成。</w:t>
      </w:r>
    </w:p>
    <w:p>
      <w:pPr>
        <w:spacing w:line="400" w:lineRule="exact"/>
        <w:rPr>
          <w:rFonts w:ascii="方正仿宋_GBK" w:eastAsia="方正仿宋_GBK"/>
          <w:bCs/>
          <w:sz w:val="28"/>
          <w:szCs w:val="28"/>
        </w:rPr>
      </w:pPr>
      <w:r>
        <w:rPr>
          <w:rFonts w:ascii="方正仿宋_GBK" w:eastAsia="方正仿宋_GBK"/>
          <w:bCs/>
          <w:sz w:val="28"/>
          <w:szCs w:val="28"/>
        </w:rPr>
        <w:t xml:space="preserve">3.1 泵系统  </w:t>
      </w:r>
    </w:p>
    <w:p>
      <w:pPr>
        <w:spacing w:line="400" w:lineRule="exact"/>
        <w:rPr>
          <w:rFonts w:ascii="方正仿宋_GBK" w:eastAsia="方正仿宋_GBK"/>
          <w:bCs/>
          <w:sz w:val="28"/>
          <w:szCs w:val="28"/>
        </w:rPr>
      </w:pPr>
      <w:r>
        <w:rPr>
          <w:rFonts w:ascii="方正仿宋_GBK" w:eastAsia="方正仿宋_GBK"/>
          <w:bCs/>
          <w:sz w:val="28"/>
          <w:szCs w:val="28"/>
        </w:rPr>
        <w:t>▲3.1.1 配有化学惰性的非金属无阻尼泵头，适合于pH为0～14的淋洗液及反相有机溶剂，</w:t>
      </w:r>
      <w:r>
        <w:rPr>
          <w:rFonts w:ascii="方正仿宋_GBK" w:eastAsia="方正仿宋_GBK"/>
          <w:sz w:val="28"/>
          <w:szCs w:val="28"/>
        </w:rPr>
        <w:t>可同时采用至少</w:t>
      </w:r>
      <w:r>
        <w:rPr>
          <w:rFonts w:ascii="方正仿宋_GBK" w:eastAsia="方正仿宋_GBK" w:hint="eastAsia"/>
          <w:sz w:val="28"/>
          <w:szCs w:val="28"/>
        </w:rPr>
        <w:t>2种淋洗液</w:t>
      </w:r>
      <w:r>
        <w:rPr>
          <w:rFonts w:ascii="方正仿宋_GBK" w:eastAsia="方正仿宋_GBK"/>
          <w:sz w:val="28"/>
          <w:szCs w:val="28"/>
        </w:rPr>
        <w:t>进行梯度分离</w:t>
      </w:r>
      <w:r>
        <w:rPr>
          <w:rFonts w:ascii="方正仿宋_GBK" w:eastAsia="方正仿宋_GBK"/>
          <w:bCs/>
          <w:sz w:val="28"/>
          <w:szCs w:val="28"/>
        </w:rPr>
        <w:t>。</w:t>
      </w:r>
      <w:r>
        <w:rPr>
          <w:rFonts w:ascii="方正仿宋_GBK" w:eastAsia="方正仿宋_GBK"/>
          <w:sz w:val="28"/>
          <w:szCs w:val="28"/>
        </w:rPr>
        <w:t>（提供真机视频演示，需要重点演示</w:t>
      </w:r>
      <w:r>
        <w:rPr>
          <w:rFonts w:ascii="方正仿宋_GBK" w:eastAsia="方正仿宋_GBK"/>
          <w:bCs/>
          <w:sz w:val="28"/>
          <w:szCs w:val="28"/>
        </w:rPr>
        <w:t>泵头所使用的材质及</w:t>
      </w:r>
      <w:r>
        <w:rPr>
          <w:rFonts w:ascii="方正仿宋_GBK" w:eastAsia="方正仿宋_GBK"/>
          <w:sz w:val="28"/>
          <w:szCs w:val="28"/>
        </w:rPr>
        <w:t>可同时采用至少</w:t>
      </w:r>
      <w:r>
        <w:rPr>
          <w:rFonts w:ascii="方正仿宋_GBK" w:eastAsia="方正仿宋_GBK" w:hint="eastAsia"/>
          <w:sz w:val="28"/>
          <w:szCs w:val="28"/>
        </w:rPr>
        <w:t>2种淋洗液</w:t>
      </w:r>
      <w:r>
        <w:rPr>
          <w:rFonts w:ascii="方正仿宋_GBK" w:eastAsia="方正仿宋_GBK"/>
          <w:sz w:val="28"/>
          <w:szCs w:val="28"/>
        </w:rPr>
        <w:t>进行梯度分离的功能）</w:t>
      </w:r>
      <w:r>
        <w:rPr>
          <w:rFonts w:ascii="方正仿宋_GBK" w:eastAsia="方正仿宋_GBK"/>
          <w:bCs/>
          <w:sz w:val="28"/>
          <w:szCs w:val="28"/>
        </w:rPr>
        <w:t xml:space="preserve">  </w:t>
      </w:r>
    </w:p>
    <w:p>
      <w:pPr>
        <w:spacing w:line="400" w:lineRule="exact"/>
        <w:rPr>
          <w:rFonts w:ascii="方正仿宋_GBK" w:eastAsia="方正仿宋_GBK"/>
          <w:bCs/>
          <w:sz w:val="28"/>
          <w:szCs w:val="28"/>
        </w:rPr>
      </w:pPr>
      <w:r>
        <w:rPr>
          <w:rFonts w:ascii="Segoe UI Symbol" w:eastAsia="方正仿宋_GBK" w:hAnsi="Segoe UI Symbol" w:cs="Segoe UI Symbol"/>
          <w:bCs/>
          <w:sz w:val="28"/>
          <w:szCs w:val="28"/>
        </w:rPr>
        <w:t>★</w:t>
      </w:r>
      <w:r>
        <w:rPr>
          <w:rFonts w:ascii="方正仿宋_GBK" w:eastAsia="方正仿宋_GBK"/>
          <w:bCs/>
          <w:sz w:val="28"/>
          <w:szCs w:val="28"/>
        </w:rPr>
        <w:t>3.1.2 最大压力：≥28MPa。</w:t>
      </w:r>
      <w:r>
        <w:rPr>
          <w:rFonts w:ascii="方正仿宋_GBK" w:eastAsia="方正仿宋_GBK"/>
          <w:sz w:val="28"/>
          <w:szCs w:val="28"/>
        </w:rPr>
        <w:t>（提供投标人盖章的真机操作界面截图）</w:t>
      </w:r>
      <w:r>
        <w:rPr>
          <w:rFonts w:ascii="方正仿宋_GBK" w:eastAsia="方正仿宋_GBK"/>
          <w:bCs/>
          <w:sz w:val="28"/>
          <w:szCs w:val="28"/>
        </w:rPr>
        <w:t xml:space="preserve">  </w:t>
      </w:r>
    </w:p>
    <w:p>
      <w:pPr>
        <w:spacing w:line="400" w:lineRule="exact"/>
        <w:rPr>
          <w:rFonts w:ascii="方正仿宋_GBK" w:eastAsia="方正仿宋_GBK"/>
          <w:bCs/>
          <w:sz w:val="28"/>
          <w:szCs w:val="28"/>
        </w:rPr>
      </w:pPr>
      <w:r>
        <w:rPr>
          <w:rFonts w:ascii="方正仿宋_GBK" w:eastAsia="方正仿宋_GBK"/>
          <w:bCs/>
          <w:sz w:val="28"/>
          <w:szCs w:val="28"/>
        </w:rPr>
        <w:t>3.1.3 流速范围：最小流速≤0.05mL/min，最大流速≥4mL/min。流量精度：-0.1%～0.1%。</w:t>
      </w:r>
    </w:p>
    <w:p>
      <w:pPr>
        <w:spacing w:line="400" w:lineRule="exact"/>
        <w:rPr>
          <w:rFonts w:ascii="方正仿宋_GBK" w:eastAsia="方正仿宋_GBK"/>
          <w:bCs/>
          <w:sz w:val="28"/>
          <w:szCs w:val="28"/>
        </w:rPr>
      </w:pPr>
      <w:r>
        <w:rPr>
          <w:rFonts w:ascii="方正仿宋_GBK" w:eastAsia="方正仿宋_GBK"/>
          <w:bCs/>
          <w:sz w:val="28"/>
          <w:szCs w:val="28"/>
        </w:rPr>
        <w:t xml:space="preserve">3.2 自动进样器  </w:t>
      </w:r>
    </w:p>
    <w:p>
      <w:pPr>
        <w:spacing w:line="400" w:lineRule="exact"/>
        <w:rPr>
          <w:rFonts w:ascii="方正仿宋_GBK" w:eastAsia="方正仿宋_GBK"/>
          <w:bCs/>
          <w:sz w:val="28"/>
          <w:szCs w:val="28"/>
        </w:rPr>
      </w:pPr>
      <w:r>
        <w:rPr>
          <w:rFonts w:ascii="方正仿宋_GBK" w:eastAsia="方正仿宋_GBK"/>
          <w:bCs/>
          <w:sz w:val="28"/>
          <w:szCs w:val="28"/>
        </w:rPr>
        <w:t>3.2.1 进样器位数：≥30位。</w:t>
      </w:r>
    </w:p>
    <w:p>
      <w:pPr>
        <w:spacing w:line="400" w:lineRule="exact"/>
        <w:rPr>
          <w:rFonts w:ascii="方正仿宋_GBK" w:eastAsia="方正仿宋_GBK"/>
          <w:bCs/>
          <w:sz w:val="28"/>
          <w:szCs w:val="28"/>
        </w:rPr>
      </w:pPr>
      <w:r>
        <w:rPr>
          <w:rFonts w:ascii="方正仿宋_GBK" w:eastAsia="方正仿宋_GBK"/>
          <w:bCs/>
          <w:sz w:val="28"/>
          <w:szCs w:val="28"/>
        </w:rPr>
        <w:t xml:space="preserve">3.2.2 单一样品重复进样次数：1～99次。单一样品进样时间：≤60s。  </w:t>
      </w:r>
    </w:p>
    <w:p>
      <w:pPr>
        <w:spacing w:line="400" w:lineRule="exact"/>
        <w:rPr>
          <w:rFonts w:ascii="方正仿宋_GBK" w:eastAsia="方正仿宋_GBK"/>
          <w:bCs/>
          <w:sz w:val="28"/>
          <w:szCs w:val="28"/>
        </w:rPr>
      </w:pPr>
      <w:r>
        <w:rPr>
          <w:rFonts w:ascii="方正仿宋_GBK" w:eastAsia="方正仿宋_GBK"/>
          <w:bCs/>
          <w:sz w:val="28"/>
          <w:szCs w:val="28"/>
        </w:rPr>
        <w:t xml:space="preserve">3.2.3 进样精密度：进样体积为20µL时，&lt;0.5% RSD。进样体积步进：1~100µL（≤0.1µL增量）。  </w:t>
      </w:r>
    </w:p>
    <w:p>
      <w:pPr>
        <w:spacing w:line="400" w:lineRule="exact"/>
        <w:rPr>
          <w:rFonts w:ascii="方正仿宋_GBK" w:eastAsia="方正仿宋_GBK"/>
          <w:bCs/>
          <w:sz w:val="28"/>
          <w:szCs w:val="28"/>
        </w:rPr>
      </w:pPr>
      <w:r>
        <w:rPr>
          <w:rFonts w:ascii="方正仿宋_GBK" w:eastAsia="方正仿宋_GBK"/>
          <w:bCs/>
          <w:sz w:val="28"/>
          <w:szCs w:val="28"/>
        </w:rPr>
        <w:t>3.2.4 流路系统：耐强酸强碱的惰性材质。</w:t>
      </w:r>
    </w:p>
    <w:p>
      <w:pPr>
        <w:spacing w:line="400" w:lineRule="exact"/>
        <w:rPr>
          <w:rFonts w:ascii="方正仿宋_GBK" w:eastAsia="方正仿宋_GBK"/>
          <w:bCs/>
          <w:sz w:val="28"/>
          <w:szCs w:val="28"/>
        </w:rPr>
      </w:pPr>
      <w:r>
        <w:rPr>
          <w:rFonts w:ascii="方正仿宋_GBK" w:eastAsia="方正仿宋_GBK"/>
          <w:bCs/>
          <w:sz w:val="28"/>
          <w:szCs w:val="28"/>
        </w:rPr>
        <w:t>3.3 连续自动再生抑制器 ：配有</w:t>
      </w:r>
      <w:r>
        <w:rPr>
          <w:rFonts w:ascii="方正仿宋_GBK" w:eastAsia="方正仿宋_GBK"/>
          <w:sz w:val="28"/>
          <w:szCs w:val="28"/>
        </w:rPr>
        <w:t>阴离子</w:t>
      </w:r>
      <w:r>
        <w:rPr>
          <w:rFonts w:ascii="方正仿宋_GBK" w:eastAsia="方正仿宋_GBK"/>
          <w:bCs/>
          <w:sz w:val="28"/>
          <w:szCs w:val="28"/>
        </w:rPr>
        <w:t>连续自动再生抑制器</w:t>
      </w:r>
      <w:r>
        <w:rPr>
          <w:rFonts w:ascii="方正仿宋_GBK" w:eastAsia="方正仿宋_GBK"/>
          <w:sz w:val="28"/>
          <w:szCs w:val="28"/>
        </w:rPr>
        <w:t>和阳离子</w:t>
      </w:r>
      <w:r>
        <w:rPr>
          <w:rFonts w:ascii="方正仿宋_GBK" w:eastAsia="方正仿宋_GBK"/>
          <w:bCs/>
          <w:sz w:val="28"/>
          <w:szCs w:val="28"/>
        </w:rPr>
        <w:t>连续自动再生抑制器。</w:t>
      </w:r>
    </w:p>
    <w:p>
      <w:pPr>
        <w:spacing w:line="400" w:lineRule="exact"/>
        <w:rPr>
          <w:rFonts w:ascii="方正仿宋_GBK" w:eastAsia="方正仿宋_GBK"/>
          <w:bCs/>
          <w:sz w:val="28"/>
          <w:szCs w:val="28"/>
        </w:rPr>
      </w:pPr>
      <w:r>
        <w:rPr>
          <w:rFonts w:ascii="方正仿宋_GBK" w:eastAsia="方正仿宋_GBK"/>
          <w:bCs/>
          <w:sz w:val="28"/>
          <w:szCs w:val="28"/>
        </w:rPr>
        <w:t>3.4 柱温箱。控温范围：最低温度≤</w:t>
      </w:r>
      <w:r>
        <w:rPr>
          <w:rFonts w:ascii="方正仿宋_GBK" w:eastAsia="方正仿宋_GBK" w:hint="eastAsia"/>
          <w:bCs/>
          <w:sz w:val="28"/>
          <w:szCs w:val="28"/>
        </w:rPr>
        <w:t>20</w:t>
      </w:r>
      <w:r>
        <w:rPr>
          <w:rFonts w:ascii="方正仿宋_GBK" w:eastAsia="方正仿宋_GBK"/>
          <w:bCs/>
          <w:sz w:val="28"/>
          <w:szCs w:val="28"/>
        </w:rPr>
        <w:t>℃，最高温度≥60℃。温度波动范围：-1℃/h～1℃/h。</w:t>
      </w:r>
    </w:p>
    <w:p>
      <w:pPr>
        <w:spacing w:line="400" w:lineRule="exact"/>
        <w:rPr>
          <w:rFonts w:ascii="方正仿宋_GBK" w:eastAsia="方正仿宋_GBK"/>
          <w:bCs/>
          <w:sz w:val="28"/>
          <w:szCs w:val="28"/>
        </w:rPr>
      </w:pPr>
      <w:r>
        <w:rPr>
          <w:rFonts w:ascii="方正仿宋_GBK" w:eastAsia="方正仿宋_GBK"/>
          <w:bCs/>
          <w:sz w:val="28"/>
          <w:szCs w:val="28"/>
        </w:rPr>
        <w:t>3.5 电导检测器。</w:t>
      </w:r>
    </w:p>
    <w:p>
      <w:pPr>
        <w:spacing w:line="400" w:lineRule="exact"/>
        <w:rPr>
          <w:rFonts w:ascii="方正仿宋_GBK" w:eastAsia="方正仿宋_GBK"/>
          <w:bCs/>
          <w:sz w:val="28"/>
          <w:szCs w:val="28"/>
        </w:rPr>
      </w:pPr>
      <w:r>
        <w:rPr>
          <w:rFonts w:ascii="方正仿宋_GBK" w:eastAsia="方正仿宋_GBK"/>
          <w:bCs/>
          <w:sz w:val="28"/>
          <w:szCs w:val="28"/>
        </w:rPr>
        <w:t xml:space="preserve">3.5.1 配置的电导检测器必须与连续自动再生抑制器相匹配。  </w:t>
      </w:r>
    </w:p>
    <w:p>
      <w:pPr>
        <w:spacing w:line="400" w:lineRule="exact"/>
        <w:rPr>
          <w:rFonts w:ascii="方正仿宋_GBK" w:eastAsia="方正仿宋_GBK"/>
          <w:bCs/>
          <w:sz w:val="28"/>
          <w:szCs w:val="28"/>
        </w:rPr>
      </w:pPr>
      <w:r>
        <w:rPr>
          <w:rFonts w:ascii="方正仿宋_GBK" w:eastAsia="方正仿宋_GBK"/>
          <w:bCs/>
          <w:sz w:val="28"/>
          <w:szCs w:val="28"/>
        </w:rPr>
        <w:t>▲3.5.2 分辨率：≤0.005nS/cm。（提供投标人</w:t>
      </w:r>
      <w:r>
        <w:rPr>
          <w:rFonts w:ascii="方正仿宋_GBK" w:eastAsia="方正仿宋_GBK"/>
          <w:sz w:val="28"/>
          <w:szCs w:val="28"/>
        </w:rPr>
        <w:t>盖章的技术白皮书和真机演示视频</w:t>
      </w:r>
      <w:r>
        <w:rPr>
          <w:rFonts w:ascii="方正仿宋_GBK" w:eastAsia="方正仿宋_GBK"/>
          <w:bCs/>
          <w:sz w:val="28"/>
          <w:szCs w:val="28"/>
        </w:rPr>
        <w:t>）</w:t>
      </w:r>
    </w:p>
    <w:p>
      <w:pPr>
        <w:spacing w:line="400" w:lineRule="exact"/>
        <w:rPr>
          <w:rFonts w:ascii="方正仿宋_GBK" w:eastAsia="方正仿宋_GBK"/>
          <w:bCs/>
          <w:sz w:val="28"/>
          <w:szCs w:val="28"/>
        </w:rPr>
      </w:pPr>
      <w:r>
        <w:rPr>
          <w:rFonts w:ascii="Segoe UI Symbol" w:eastAsia="方正仿宋_GBK" w:hAnsi="Segoe UI Symbol" w:cs="Segoe UI Symbol"/>
          <w:bCs/>
          <w:sz w:val="28"/>
          <w:szCs w:val="28"/>
        </w:rPr>
        <w:t>★</w:t>
      </w:r>
      <w:r>
        <w:rPr>
          <w:rFonts w:ascii="方正仿宋_GBK" w:eastAsia="方正仿宋_GBK"/>
          <w:bCs/>
          <w:sz w:val="28"/>
          <w:szCs w:val="28"/>
        </w:rPr>
        <w:t xml:space="preserve">3.5.3 全程信号输出范围：最小信号≤0.01µS/cm，最大信号≥10000µS/cm。（提供投标人盖章的真机操作界面截图，能证实是否符合要求） </w:t>
      </w:r>
    </w:p>
    <w:p>
      <w:pPr>
        <w:spacing w:line="400" w:lineRule="exact"/>
        <w:rPr>
          <w:rFonts w:ascii="方正仿宋_GBK" w:eastAsia="方正仿宋_GBK"/>
          <w:bCs/>
          <w:sz w:val="28"/>
          <w:szCs w:val="28"/>
        </w:rPr>
      </w:pPr>
      <w:r>
        <w:rPr>
          <w:rFonts w:ascii="方正仿宋_GBK" w:eastAsia="方正仿宋_GBK"/>
          <w:bCs/>
          <w:sz w:val="28"/>
          <w:szCs w:val="28"/>
        </w:rPr>
        <w:t xml:space="preserve">3.5.4 噪声：-0.3nS~0.3nS。  </w:t>
      </w:r>
    </w:p>
    <w:p>
      <w:pPr>
        <w:spacing w:line="400" w:lineRule="exact"/>
        <w:rPr>
          <w:rFonts w:ascii="方正仿宋_GBK" w:eastAsia="方正仿宋_GBK"/>
          <w:bCs/>
          <w:sz w:val="28"/>
          <w:szCs w:val="28"/>
        </w:rPr>
      </w:pPr>
      <w:r>
        <w:rPr>
          <w:rFonts w:ascii="方正仿宋_GBK" w:eastAsia="方正仿宋_GBK"/>
          <w:bCs/>
          <w:sz w:val="28"/>
          <w:szCs w:val="28"/>
        </w:rPr>
        <w:t xml:space="preserve">3.5.5 控温范围：最低温度≤25℃，最高温度≥50℃。温度稳定性：≤0.01℃/h。 </w:t>
      </w:r>
    </w:p>
    <w:p>
      <w:pPr>
        <w:spacing w:line="400" w:lineRule="exact"/>
        <w:rPr>
          <w:rFonts w:ascii="方正仿宋_GBK" w:eastAsia="方正仿宋_GBK"/>
          <w:bCs/>
          <w:sz w:val="28"/>
          <w:szCs w:val="28"/>
        </w:rPr>
      </w:pPr>
      <w:r>
        <w:rPr>
          <w:rFonts w:ascii="方正仿宋_GBK" w:eastAsia="方正仿宋_GBK"/>
          <w:bCs/>
          <w:sz w:val="28"/>
          <w:szCs w:val="28"/>
        </w:rPr>
        <w:t xml:space="preserve">3.5.6 电导池体积：≤1.5µL。  </w:t>
      </w:r>
    </w:p>
    <w:p>
      <w:pPr>
        <w:spacing w:line="400" w:lineRule="exact"/>
        <w:rPr>
          <w:rFonts w:ascii="方正仿宋_GBK" w:eastAsia="方正仿宋_GBK"/>
          <w:bCs/>
          <w:sz w:val="28"/>
          <w:szCs w:val="28"/>
        </w:rPr>
      </w:pPr>
      <w:r>
        <w:rPr>
          <w:rFonts w:ascii="方正仿宋_GBK" w:eastAsia="方正仿宋_GBK"/>
          <w:bCs/>
          <w:sz w:val="28"/>
          <w:szCs w:val="28"/>
        </w:rPr>
        <w:t>3.5.7 最大操作压力：≥2MPa。</w:t>
      </w:r>
    </w:p>
    <w:p>
      <w:pPr>
        <w:spacing w:line="400" w:lineRule="exact"/>
        <w:rPr>
          <w:rFonts w:ascii="方正仿宋_GBK" w:eastAsia="方正仿宋_GBK"/>
          <w:bCs/>
          <w:sz w:val="28"/>
          <w:szCs w:val="28"/>
        </w:rPr>
      </w:pPr>
      <w:r>
        <w:rPr>
          <w:rFonts w:ascii="方正仿宋_GBK" w:eastAsia="方正仿宋_GBK"/>
          <w:bCs/>
          <w:sz w:val="28"/>
          <w:szCs w:val="28"/>
        </w:rPr>
        <w:t xml:space="preserve">3.6 自动淋洗液发生器  </w:t>
      </w:r>
    </w:p>
    <w:p>
      <w:pPr>
        <w:spacing w:line="400" w:lineRule="exact"/>
        <w:rPr>
          <w:rFonts w:ascii="方正仿宋_GBK" w:eastAsia="方正仿宋_GBK"/>
          <w:bCs/>
          <w:sz w:val="28"/>
          <w:szCs w:val="28"/>
        </w:rPr>
      </w:pPr>
      <w:r>
        <w:rPr>
          <w:rFonts w:ascii="方正仿宋_GBK" w:eastAsia="方正仿宋_GBK"/>
          <w:bCs/>
          <w:sz w:val="28"/>
          <w:szCs w:val="28"/>
        </w:rPr>
        <w:t xml:space="preserve">3.6.1 浓度范围：最低浓度≤0.1mM，最高浓度≥100mM。  </w:t>
      </w:r>
    </w:p>
    <w:p>
      <w:pPr>
        <w:spacing w:line="400" w:lineRule="exact"/>
        <w:rPr>
          <w:rFonts w:ascii="方正仿宋_GBK" w:eastAsia="方正仿宋_GBK"/>
          <w:bCs/>
          <w:sz w:val="28"/>
          <w:szCs w:val="28"/>
        </w:rPr>
      </w:pPr>
      <w:r>
        <w:rPr>
          <w:rFonts w:ascii="方正仿宋_GBK" w:eastAsia="方正仿宋_GBK"/>
          <w:bCs/>
          <w:sz w:val="28"/>
          <w:szCs w:val="28"/>
        </w:rPr>
        <w:t xml:space="preserve">3.6.2 流速范围：最小流速≤0.1mL/min，最大流速≥3.0mL/min。  </w:t>
      </w:r>
    </w:p>
    <w:p>
      <w:pPr>
        <w:spacing w:line="400" w:lineRule="exact"/>
        <w:rPr>
          <w:rFonts w:ascii="方正仿宋_GBK" w:eastAsia="方正仿宋_GBK"/>
          <w:bCs/>
          <w:sz w:val="28"/>
          <w:szCs w:val="28"/>
        </w:rPr>
      </w:pPr>
      <w:r>
        <w:rPr>
          <w:rFonts w:ascii="方正仿宋_GBK" w:eastAsia="方正仿宋_GBK"/>
          <w:bCs/>
          <w:sz w:val="28"/>
          <w:szCs w:val="28"/>
        </w:rPr>
        <w:t>▲3.6.3 最大操作压力：≥21MPa。</w:t>
      </w:r>
      <w:r>
        <w:rPr>
          <w:rFonts w:ascii="方正仿宋_GBK" w:eastAsia="方正仿宋_GBK" w:hint="eastAsia"/>
          <w:bCs/>
          <w:sz w:val="28"/>
          <w:szCs w:val="28"/>
        </w:rPr>
        <w:t>（提供投标人盖章的真机操作界面截图）</w:t>
      </w:r>
      <w:r>
        <w:rPr>
          <w:rFonts w:ascii="方正仿宋_GBK" w:eastAsia="方正仿宋_GBK"/>
          <w:bCs/>
          <w:sz w:val="28"/>
          <w:szCs w:val="28"/>
        </w:rPr>
        <w:t xml:space="preserve">  </w:t>
      </w:r>
    </w:p>
    <w:p>
      <w:pPr>
        <w:spacing w:line="400" w:lineRule="exact"/>
        <w:rPr>
          <w:rFonts w:ascii="方正仿宋_GBK" w:eastAsia="方正仿宋_GBK"/>
          <w:bCs/>
          <w:sz w:val="28"/>
          <w:szCs w:val="28"/>
        </w:rPr>
      </w:pPr>
      <w:r>
        <w:rPr>
          <w:rFonts w:ascii="方正仿宋_GBK" w:eastAsia="方正仿宋_GBK"/>
          <w:bCs/>
          <w:sz w:val="28"/>
          <w:szCs w:val="28"/>
        </w:rPr>
        <w:t>3.7 色谱工作站：通过计算机直接控制仪器的运行，实现全自动数据采集、色谱定性、定量分析和分析报告。</w:t>
      </w:r>
    </w:p>
    <w:p>
      <w:pPr>
        <w:pStyle w:val="9610"/>
        <w:spacing w:line="400" w:lineRule="exact"/>
        <w:rPr>
          <w:rFonts w:ascii="Segoe UI Symbol" w:eastAsia="方正仿宋_GBK" w:hAnsi="Segoe UI Symbol" w:cs="Segoe UI Symbol"/>
          <w:sz w:val="28"/>
          <w:szCs w:val="28"/>
        </w:rPr>
      </w:pPr>
      <w:r>
        <w:rPr>
          <w:rFonts w:ascii="方正仿宋_GBK" w:eastAsia="方正仿宋_GBK" w:hint="eastAsia"/>
          <w:sz w:val="28"/>
          <w:szCs w:val="28"/>
        </w:rPr>
        <w:t>★</w:t>
      </w:r>
      <w:r>
        <w:rPr>
          <w:rFonts w:ascii="Times New Roman" w:eastAsia="方正仿宋_GBK" w:hAnsi="Times New Roman"/>
          <w:sz w:val="28"/>
          <w:szCs w:val="28"/>
        </w:rPr>
        <w:t xml:space="preserve">3.8 </w:t>
      </w:r>
      <w:r>
        <w:rPr>
          <w:rFonts w:ascii="Segoe UI Symbol" w:eastAsia="方正仿宋_GBK" w:hAnsi="Segoe UI Symbol" w:cs="Segoe UI Symbol"/>
          <w:sz w:val="28"/>
          <w:szCs w:val="28"/>
        </w:rPr>
        <w:t>供应商根据用户需要开放仪器数据接口，实现实验室LIMS系统与仪器双向联接。（投标人提供承诺函，格式自拟）</w:t>
      </w:r>
    </w:p>
    <w:p>
      <w:pPr>
        <w:spacing w:line="400" w:lineRule="exact"/>
        <w:rPr>
          <w:rFonts w:ascii="方正仿宋_GBK" w:eastAsia="方正仿宋_GBK"/>
          <w:bCs/>
          <w:sz w:val="28"/>
          <w:szCs w:val="28"/>
        </w:rPr>
      </w:pPr>
      <w:r>
        <w:rPr>
          <w:rFonts w:ascii="Segoe UI Symbol" w:eastAsia="方正仿宋_GBK" w:hAnsi="Segoe UI Symbol" w:cs="Segoe UI Symbol"/>
          <w:bCs/>
          <w:sz w:val="28"/>
          <w:szCs w:val="28"/>
        </w:rPr>
        <w:t>★</w:t>
      </w:r>
      <w:r>
        <w:rPr>
          <w:rFonts w:ascii="方正仿宋_GBK" w:eastAsia="方正仿宋_GBK"/>
          <w:bCs/>
          <w:sz w:val="28"/>
          <w:szCs w:val="28"/>
        </w:rPr>
        <w:t xml:space="preserve">4. 主要配置  </w:t>
      </w:r>
    </w:p>
    <w:p>
      <w:pPr>
        <w:spacing w:line="400" w:lineRule="exact"/>
        <w:rPr>
          <w:rFonts w:ascii="方正仿宋_GBK" w:eastAsia="方正仿宋_GBK"/>
          <w:bCs/>
          <w:sz w:val="28"/>
          <w:szCs w:val="28"/>
        </w:rPr>
      </w:pPr>
      <w:r>
        <w:rPr>
          <w:rFonts w:ascii="方正仿宋_GBK" w:eastAsia="方正仿宋_GBK"/>
          <w:bCs/>
          <w:sz w:val="28"/>
          <w:szCs w:val="28"/>
        </w:rPr>
        <w:t>主机（含泵和六通阀）1套、自动进样器1个、</w:t>
      </w:r>
      <w:r>
        <w:rPr>
          <w:rFonts w:ascii="方正仿宋_GBK" w:eastAsia="方正仿宋_GBK"/>
          <w:sz w:val="28"/>
          <w:szCs w:val="28"/>
        </w:rPr>
        <w:t>阴离子</w:t>
      </w:r>
      <w:r>
        <w:rPr>
          <w:rFonts w:ascii="方正仿宋_GBK" w:eastAsia="方正仿宋_GBK"/>
          <w:bCs/>
          <w:sz w:val="28"/>
          <w:szCs w:val="28"/>
        </w:rPr>
        <w:t xml:space="preserve">连续自动再生抑制器1个、阳离子连续自动再生抑制器1个、阴离子分析柱及保护柱各1支、阳离子分析柱及保护柱各1支、柱温箱1个、电导检测器1个、自动淋洗液发生器1个、色谱工作站1套、激光打印机1台。 </w:t>
      </w:r>
    </w:p>
    <w:p>
      <w:pPr>
        <w:spacing w:line="400" w:lineRule="exact"/>
        <w:rPr>
          <w:rFonts w:ascii="方正仿宋_GBK" w:eastAsia="方正仿宋_GBK"/>
          <w:bCs/>
          <w:sz w:val="28"/>
          <w:szCs w:val="28"/>
        </w:rPr>
      </w:pPr>
      <w:r>
        <w:rPr>
          <w:rFonts w:ascii="方正仿宋_GBK" w:eastAsia="方正仿宋_GBK"/>
          <w:bCs/>
          <w:sz w:val="28"/>
          <w:szCs w:val="28"/>
        </w:rPr>
        <w:t>控制电脑1套：配套使用电脑（或工作站）的产品技术指标需满足财库《台式计算机（或工作站）政府采购需求标准（2023年版）》中的星标项“</w:t>
      </w:r>
      <w:r>
        <w:rPr>
          <w:rFonts w:ascii="Times New Roman" w:eastAsia="方正仿宋_GBK" w:hAnsi="Times New Roman" w:cs="方正仿宋_GBK" w:hint="eastAsia"/>
          <w:sz w:val="28"/>
          <w:szCs w:val="28"/>
        </w:rPr>
        <w:t>*</w:t>
      </w:r>
      <w:r>
        <w:rPr>
          <w:rFonts w:ascii="Times New Roman" w:eastAsia="方正仿宋_GBK" w:hAnsi="Times New Roman"/>
          <w:bCs/>
          <w:sz w:val="28"/>
          <w:szCs w:val="28"/>
        </w:rPr>
        <w:t>”</w:t>
      </w:r>
      <w:r>
        <w:rPr>
          <w:rFonts w:ascii="方正仿宋_GBK" w:eastAsia="方正仿宋_GBK"/>
          <w:bCs/>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cs="方正仿宋_GBK" w:hint="eastAsia"/>
          <w:sz w:val="28"/>
          <w:szCs w:val="28"/>
        </w:rPr>
        <w:t>*</w:t>
      </w:r>
      <w:r>
        <w:rPr>
          <w:rFonts w:ascii="Times New Roman" w:eastAsia="方正仿宋_GBK" w:hAnsi="Times New Roman"/>
          <w:bCs/>
          <w:sz w:val="28"/>
          <w:szCs w:val="28"/>
        </w:rPr>
        <w:t>”</w:t>
      </w:r>
      <w:r>
        <w:rPr>
          <w:rFonts w:ascii="方正仿宋_GBK" w:eastAsia="方正仿宋_GBK"/>
          <w:bCs/>
          <w:sz w:val="28"/>
          <w:szCs w:val="28"/>
        </w:rPr>
        <w:t>指标的承诺函，格式自拟。</w:t>
      </w:r>
    </w:p>
    <w:p>
      <w:pPr>
        <w:spacing w:line="400" w:lineRule="exact"/>
        <w:rPr>
          <w:rFonts w:ascii="方正仿宋_GBK" w:eastAsia="方正仿宋_GBK"/>
          <w:bCs/>
          <w:sz w:val="28"/>
          <w:szCs w:val="28"/>
        </w:rPr>
      </w:pPr>
    </w:p>
    <w:p>
      <w:pPr>
        <w:spacing w:line="400" w:lineRule="exact"/>
        <w:rPr>
          <w:rFonts w:ascii="方正仿宋_GBK" w:eastAsia="方正仿宋_GBK"/>
          <w:b/>
          <w:sz w:val="28"/>
          <w:szCs w:val="28"/>
        </w:rPr>
      </w:pPr>
      <w:r>
        <w:rPr>
          <w:rFonts w:ascii="方正仿宋_GBK" w:eastAsia="方正仿宋_GBK" w:hint="eastAsia"/>
          <w:b/>
          <w:sz w:val="28"/>
          <w:szCs w:val="28"/>
        </w:rPr>
        <w:t>品目3</w:t>
      </w:r>
      <w:r>
        <w:rPr>
          <w:rFonts w:ascii="方正仿宋_GBK" w:eastAsia="方正仿宋_GBK"/>
          <w:b/>
          <w:sz w:val="28"/>
          <w:szCs w:val="28"/>
        </w:rPr>
        <w:t>：</w:t>
      </w:r>
      <w:r>
        <w:rPr>
          <w:rFonts w:ascii="方正仿宋_GBK" w:eastAsia="方正仿宋_GBK" w:hint="eastAsia"/>
          <w:b/>
          <w:sz w:val="28"/>
          <w:szCs w:val="28"/>
        </w:rPr>
        <w:t>离子色谱仪3</w:t>
      </w:r>
    </w:p>
    <w:p>
      <w:pPr>
        <w:spacing w:line="400" w:lineRule="exact"/>
        <w:rPr>
          <w:rFonts w:ascii="方正仿宋_GBK" w:eastAsia="方正仿宋_GBK"/>
          <w:b/>
          <w:sz w:val="28"/>
          <w:szCs w:val="28"/>
        </w:rPr>
      </w:pPr>
      <w:r>
        <w:rPr>
          <w:rFonts w:ascii="方正仿宋_GBK" w:eastAsia="方正仿宋_GBK"/>
          <w:b/>
          <w:sz w:val="28"/>
          <w:szCs w:val="28"/>
        </w:rPr>
        <w:t>1.主要用途</w:t>
      </w:r>
    </w:p>
    <w:p>
      <w:pPr>
        <w:spacing w:line="400" w:lineRule="exact"/>
        <w:rPr>
          <w:rFonts w:ascii="方正仿宋_GBK" w:eastAsia="方正仿宋_GBK"/>
          <w:sz w:val="28"/>
          <w:szCs w:val="28"/>
        </w:rPr>
      </w:pPr>
      <w:r>
        <w:rPr>
          <w:rFonts w:ascii="方正仿宋_GBK" w:eastAsia="方正仿宋_GBK"/>
          <w:sz w:val="28"/>
          <w:szCs w:val="28"/>
        </w:rPr>
        <w:t xml:space="preserve">    适用于样品中的阴离子等的分析。 </w:t>
      </w:r>
    </w:p>
    <w:p>
      <w:pPr>
        <w:spacing w:line="400" w:lineRule="exact"/>
        <w:rPr>
          <w:rFonts w:ascii="方正仿宋_GBK" w:eastAsia="方正仿宋_GBK"/>
          <w:b/>
          <w:sz w:val="28"/>
          <w:szCs w:val="28"/>
        </w:rPr>
      </w:pPr>
      <w:r>
        <w:rPr>
          <w:rFonts w:ascii="方正仿宋_GBK" w:eastAsia="方正仿宋_GBK" w:hint="eastAsia"/>
          <w:b/>
          <w:bCs/>
          <w:sz w:val="28"/>
          <w:szCs w:val="28"/>
        </w:rPr>
        <w:t>★</w:t>
      </w:r>
      <w:r>
        <w:rPr>
          <w:rFonts w:ascii="方正仿宋_GBK" w:eastAsia="方正仿宋_GBK"/>
          <w:b/>
          <w:sz w:val="28"/>
          <w:szCs w:val="28"/>
        </w:rPr>
        <w:t>2.特殊资质要求</w:t>
      </w:r>
    </w:p>
    <w:p>
      <w:pPr>
        <w:spacing w:line="400" w:lineRule="exact"/>
        <w:rPr>
          <w:rFonts w:ascii="方正仿宋_GBK" w:eastAsia="方正仿宋_GBK"/>
          <w:sz w:val="28"/>
          <w:szCs w:val="28"/>
        </w:rPr>
      </w:pPr>
      <w:r>
        <w:rPr>
          <w:rFonts w:ascii="方正仿宋_GBK" w:eastAsia="方正仿宋_GBK"/>
          <w:sz w:val="28"/>
          <w:szCs w:val="28"/>
        </w:rPr>
        <w:t xml:space="preserve">    本项目专门面向中小企业采购。</w:t>
      </w:r>
    </w:p>
    <w:p>
      <w:pPr>
        <w:spacing w:line="400" w:lineRule="exact"/>
        <w:rPr>
          <w:rFonts w:ascii="方正仿宋_GBK" w:eastAsia="方正仿宋_GBK"/>
          <w:b/>
          <w:sz w:val="28"/>
          <w:szCs w:val="28"/>
        </w:rPr>
      </w:pPr>
      <w:r>
        <w:rPr>
          <w:rFonts w:ascii="方正仿宋_GBK" w:eastAsia="方正仿宋_GBK"/>
          <w:b/>
          <w:sz w:val="28"/>
          <w:szCs w:val="28"/>
        </w:rPr>
        <w:t>3.主要技术参数</w:t>
      </w:r>
    </w:p>
    <w:p>
      <w:pPr>
        <w:spacing w:line="400" w:lineRule="exact"/>
        <w:rPr>
          <w:rFonts w:ascii="方正仿宋_GBK" w:eastAsia="方正仿宋_GBK"/>
          <w:bCs/>
          <w:sz w:val="28"/>
          <w:szCs w:val="28"/>
        </w:rPr>
      </w:pPr>
      <w:r>
        <w:rPr>
          <w:rFonts w:ascii="方正仿宋_GBK" w:eastAsia="方正仿宋_GBK" w:hint="eastAsia"/>
          <w:bCs/>
          <w:sz w:val="28"/>
          <w:szCs w:val="28"/>
        </w:rPr>
        <w:t>该系统主要由泵系统、自动进样器、连续自动再生抑制器、柱温箱、电导检测器、自动淋洗液发生器、紫外-可见光检测器、色谱工作站和计算机系统组成。</w:t>
      </w:r>
    </w:p>
    <w:p>
      <w:pPr>
        <w:spacing w:line="400" w:lineRule="exact"/>
        <w:rPr>
          <w:rFonts w:ascii="方正仿宋_GBK" w:eastAsia="方正仿宋_GBK"/>
          <w:bCs/>
          <w:sz w:val="28"/>
          <w:szCs w:val="28"/>
        </w:rPr>
      </w:pPr>
      <w:r>
        <w:rPr>
          <w:rFonts w:ascii="方正仿宋_GBK" w:eastAsia="方正仿宋_GBK"/>
          <w:bCs/>
          <w:sz w:val="28"/>
          <w:szCs w:val="28"/>
        </w:rPr>
        <w:t>3.1</w:t>
        <w:tab/>
        <w:t>泵系统</w:t>
      </w:r>
    </w:p>
    <w:p>
      <w:pPr>
        <w:spacing w:line="400" w:lineRule="exact"/>
        <w:rPr>
          <w:rFonts w:ascii="方正仿宋_GBK" w:eastAsia="方正仿宋_GBK"/>
          <w:bCs/>
          <w:sz w:val="28"/>
          <w:szCs w:val="28"/>
        </w:rPr>
      </w:pPr>
      <w:r>
        <w:rPr>
          <w:rFonts w:ascii="Segoe UI Symbol" w:eastAsia="方正仿宋_GBK" w:hAnsi="Segoe UI Symbol" w:cs="Segoe UI Symbol"/>
          <w:bCs/>
          <w:sz w:val="28"/>
          <w:szCs w:val="28"/>
        </w:rPr>
        <w:t>★</w:t>
      </w:r>
      <w:r>
        <w:rPr>
          <w:rFonts w:ascii="方正仿宋_GBK" w:eastAsia="方正仿宋_GBK"/>
          <w:bCs/>
          <w:sz w:val="28"/>
          <w:szCs w:val="28"/>
        </w:rPr>
        <w:t>3.1.1</w:t>
      </w:r>
      <w:r>
        <w:rPr>
          <w:rFonts w:ascii="方正仿宋_GBK" w:eastAsia="方正仿宋_GBK" w:hint="eastAsia"/>
          <w:bCs/>
          <w:sz w:val="28"/>
          <w:szCs w:val="28"/>
        </w:rPr>
        <w:t>串联柱塞泵，配有化学惰性的非金属无阻尼泵头，适合于pH为0～14的淋洗液及反相有机溶剂，可同时采用至少2条流路进行梯度分离，可进行多步梯级洗脱。</w:t>
      </w:r>
      <w:r>
        <w:rPr>
          <w:rFonts w:ascii="方正仿宋_GBK" w:eastAsia="方正仿宋_GBK"/>
          <w:sz w:val="28"/>
          <w:szCs w:val="28"/>
        </w:rPr>
        <w:t>（提供真机视频演示，需要重点演示</w:t>
      </w:r>
      <w:r>
        <w:rPr>
          <w:rFonts w:ascii="方正仿宋_GBK" w:eastAsia="方正仿宋_GBK"/>
          <w:bCs/>
          <w:sz w:val="28"/>
          <w:szCs w:val="28"/>
        </w:rPr>
        <w:t>泵头所使用的材质、</w:t>
      </w:r>
      <w:r>
        <w:rPr>
          <w:rFonts w:ascii="方正仿宋_GBK" w:eastAsia="方正仿宋_GBK"/>
          <w:sz w:val="28"/>
          <w:szCs w:val="28"/>
        </w:rPr>
        <w:t>可同时采用至少</w:t>
      </w:r>
      <w:r>
        <w:rPr>
          <w:rFonts w:ascii="方正仿宋_GBK" w:eastAsia="方正仿宋_GBK" w:hint="eastAsia"/>
          <w:sz w:val="28"/>
          <w:szCs w:val="28"/>
        </w:rPr>
        <w:t>2种淋洗液</w:t>
      </w:r>
      <w:r>
        <w:rPr>
          <w:rFonts w:ascii="方正仿宋_GBK" w:eastAsia="方正仿宋_GBK"/>
          <w:sz w:val="28"/>
          <w:szCs w:val="28"/>
        </w:rPr>
        <w:t>进行梯度分离、可</w:t>
      </w:r>
      <w:r>
        <w:rPr>
          <w:rFonts w:ascii="方正仿宋_GBK" w:eastAsia="方正仿宋_GBK"/>
          <w:bCs/>
          <w:sz w:val="28"/>
          <w:szCs w:val="28"/>
        </w:rPr>
        <w:t>进行多步梯级洗脱</w:t>
      </w:r>
      <w:r>
        <w:rPr>
          <w:rFonts w:ascii="方正仿宋_GBK" w:eastAsia="方正仿宋_GBK"/>
          <w:sz w:val="28"/>
          <w:szCs w:val="28"/>
        </w:rPr>
        <w:t>的功能）</w:t>
      </w:r>
    </w:p>
    <w:p>
      <w:pPr>
        <w:spacing w:line="400" w:lineRule="exact"/>
        <w:rPr>
          <w:rFonts w:ascii="方正仿宋_GBK" w:eastAsia="方正仿宋_GBK"/>
          <w:bCs/>
          <w:sz w:val="28"/>
          <w:szCs w:val="28"/>
        </w:rPr>
      </w:pPr>
      <w:r>
        <w:rPr>
          <w:rFonts w:ascii="方正仿宋_GBK" w:eastAsia="方正仿宋_GBK"/>
          <w:bCs/>
          <w:sz w:val="28"/>
          <w:szCs w:val="28"/>
        </w:rPr>
        <w:t>▲3.1.2最大压力：≥</w:t>
      </w:r>
      <w:r>
        <w:rPr>
          <w:rFonts w:ascii="方正仿宋_GBK" w:eastAsia="方正仿宋_GBK" w:hint="eastAsia"/>
          <w:bCs/>
          <w:sz w:val="28"/>
          <w:szCs w:val="28"/>
        </w:rPr>
        <w:t>35</w:t>
      </w:r>
      <w:r>
        <w:rPr>
          <w:rFonts w:ascii="方正仿宋_GBK" w:eastAsia="方正仿宋_GBK"/>
          <w:bCs/>
          <w:sz w:val="28"/>
          <w:szCs w:val="28"/>
        </w:rPr>
        <w:t>MPa。</w:t>
      </w:r>
      <w:r>
        <w:rPr>
          <w:rFonts w:ascii="方正仿宋_GBK" w:eastAsia="方正仿宋_GBK"/>
          <w:sz w:val="28"/>
          <w:szCs w:val="28"/>
        </w:rPr>
        <w:t>（提供投标人盖章的真机操作界面截图）</w:t>
      </w:r>
    </w:p>
    <w:p>
      <w:pPr>
        <w:spacing w:line="400" w:lineRule="exact"/>
        <w:rPr>
          <w:rFonts w:ascii="方正仿宋_GBK" w:eastAsia="方正仿宋_GBK"/>
          <w:bCs/>
          <w:sz w:val="28"/>
          <w:szCs w:val="28"/>
        </w:rPr>
      </w:pPr>
      <w:r>
        <w:rPr>
          <w:rFonts w:ascii="方正仿宋_GBK" w:eastAsia="方正仿宋_GBK"/>
          <w:bCs/>
          <w:sz w:val="28"/>
          <w:szCs w:val="28"/>
        </w:rPr>
        <w:t>3.1.3流速范围：最小流速≤0.05mL/min，最大流速≥4mL/min。</w:t>
      </w:r>
    </w:p>
    <w:p>
      <w:pPr>
        <w:spacing w:line="400" w:lineRule="exact"/>
        <w:rPr>
          <w:rFonts w:ascii="方正仿宋_GBK" w:eastAsia="方正仿宋_GBK"/>
          <w:bCs/>
          <w:sz w:val="28"/>
          <w:szCs w:val="28"/>
        </w:rPr>
      </w:pPr>
      <w:r>
        <w:rPr>
          <w:rFonts w:ascii="方正仿宋_GBK" w:eastAsia="方正仿宋_GBK"/>
          <w:bCs/>
          <w:sz w:val="28"/>
          <w:szCs w:val="28"/>
        </w:rPr>
        <w:t>3.1.4流量精度：-0.1%～0.1%。</w:t>
      </w:r>
    </w:p>
    <w:p>
      <w:pPr>
        <w:spacing w:line="400" w:lineRule="exact"/>
        <w:rPr>
          <w:rFonts w:ascii="方正仿宋_GBK" w:eastAsia="方正仿宋_GBK"/>
          <w:bCs/>
          <w:sz w:val="28"/>
          <w:szCs w:val="28"/>
        </w:rPr>
      </w:pPr>
      <w:r>
        <w:rPr>
          <w:rFonts w:ascii="方正仿宋_GBK" w:eastAsia="方正仿宋_GBK"/>
          <w:bCs/>
          <w:sz w:val="28"/>
          <w:szCs w:val="28"/>
        </w:rPr>
        <w:t>3.2</w:t>
        <w:tab/>
        <w:t>自动进样器</w:t>
      </w:r>
    </w:p>
    <w:p>
      <w:pPr>
        <w:spacing w:line="400" w:lineRule="exact"/>
        <w:rPr>
          <w:rFonts w:ascii="方正仿宋_GBK" w:eastAsia="方正仿宋_GBK"/>
          <w:bCs/>
          <w:sz w:val="28"/>
          <w:szCs w:val="28"/>
        </w:rPr>
      </w:pPr>
      <w:r>
        <w:rPr>
          <w:rFonts w:ascii="方正仿宋_GBK" w:eastAsia="方正仿宋_GBK"/>
          <w:bCs/>
          <w:sz w:val="28"/>
          <w:szCs w:val="28"/>
        </w:rPr>
        <w:t>3.2.1进样器位数：≥</w:t>
      </w:r>
      <w:r>
        <w:rPr>
          <w:rFonts w:ascii="方正仿宋_GBK" w:eastAsia="方正仿宋_GBK" w:hint="eastAsia"/>
          <w:bCs/>
          <w:sz w:val="28"/>
          <w:szCs w:val="28"/>
        </w:rPr>
        <w:t>8</w:t>
      </w:r>
      <w:r>
        <w:rPr>
          <w:rFonts w:ascii="方正仿宋_GBK" w:eastAsia="方正仿宋_GBK"/>
          <w:bCs/>
          <w:sz w:val="28"/>
          <w:szCs w:val="28"/>
        </w:rPr>
        <w:t>0位。</w:t>
      </w:r>
    </w:p>
    <w:p>
      <w:pPr>
        <w:spacing w:line="400" w:lineRule="exact"/>
        <w:rPr>
          <w:rFonts w:ascii="方正仿宋_GBK" w:eastAsia="方正仿宋_GBK"/>
          <w:bCs/>
          <w:sz w:val="28"/>
          <w:szCs w:val="28"/>
        </w:rPr>
      </w:pPr>
      <w:r>
        <w:rPr>
          <w:rFonts w:ascii="方正仿宋_GBK" w:eastAsia="方正仿宋_GBK"/>
          <w:bCs/>
          <w:sz w:val="28"/>
          <w:szCs w:val="28"/>
        </w:rPr>
        <w:t>3.2.2单一样品重复进样次数：1～99次。单一样品进样时间：≤60s。</w:t>
      </w:r>
    </w:p>
    <w:p>
      <w:pPr>
        <w:spacing w:line="400" w:lineRule="exact"/>
        <w:rPr>
          <w:rFonts w:ascii="方正仿宋_GBK" w:eastAsia="方正仿宋_GBK"/>
          <w:bCs/>
          <w:sz w:val="28"/>
          <w:szCs w:val="28"/>
        </w:rPr>
      </w:pPr>
      <w:r>
        <w:rPr>
          <w:rFonts w:ascii="方正仿宋_GBK" w:eastAsia="方正仿宋_GBK"/>
          <w:bCs/>
          <w:sz w:val="28"/>
          <w:szCs w:val="28"/>
        </w:rPr>
        <w:t>3.2.3进样精密度：进样体积为20 µL时</w:t>
      </w:r>
      <w:r>
        <w:rPr>
          <w:rFonts w:ascii="方正仿宋_GBK" w:eastAsia="方正仿宋_GBK" w:hint="eastAsia"/>
          <w:bCs/>
          <w:sz w:val="28"/>
          <w:szCs w:val="28"/>
        </w:rPr>
        <w:t>，</w:t>
      </w:r>
      <w:r>
        <w:rPr>
          <w:rFonts w:ascii="方正仿宋_GBK" w:eastAsia="方正仿宋_GBK"/>
          <w:bCs/>
          <w:sz w:val="28"/>
          <w:szCs w:val="28"/>
        </w:rPr>
        <w:t>&lt;0.5% RSD。进样体积步进：1~500 µL(≤0.1 µL增量)。</w:t>
      </w:r>
    </w:p>
    <w:p>
      <w:pPr>
        <w:spacing w:line="400" w:lineRule="exact"/>
        <w:rPr>
          <w:rFonts w:ascii="方正仿宋_GBK" w:eastAsia="方正仿宋_GBK"/>
          <w:bCs/>
          <w:sz w:val="28"/>
          <w:szCs w:val="28"/>
        </w:rPr>
      </w:pPr>
      <w:r>
        <w:rPr>
          <w:rFonts w:ascii="方正仿宋_GBK" w:eastAsia="方正仿宋_GBK"/>
          <w:bCs/>
          <w:sz w:val="28"/>
          <w:szCs w:val="28"/>
        </w:rPr>
        <w:t>3.2.4流路系统：耐强酸强碱的惰性材质。</w:t>
      </w:r>
    </w:p>
    <w:p>
      <w:pPr>
        <w:spacing w:line="400" w:lineRule="exact"/>
        <w:rPr>
          <w:rFonts w:ascii="方正仿宋_GBK" w:eastAsia="方正仿宋_GBK"/>
          <w:bCs/>
          <w:sz w:val="28"/>
          <w:szCs w:val="28"/>
        </w:rPr>
      </w:pPr>
      <w:r>
        <w:rPr>
          <w:rFonts w:ascii="方正仿宋_GBK" w:eastAsia="方正仿宋_GBK"/>
          <w:bCs/>
          <w:sz w:val="28"/>
          <w:szCs w:val="28"/>
        </w:rPr>
        <w:t>▲3.3阴离子连续自动再生抑制器：可实现KOH淋洗液最高浓度≥70mM正常工作的抑制电流设置。（提供投标人盖章的技术白皮书）</w:t>
      </w:r>
    </w:p>
    <w:p>
      <w:pPr>
        <w:spacing w:line="400" w:lineRule="exact"/>
        <w:rPr>
          <w:rFonts w:ascii="方正仿宋_GBK" w:eastAsia="方正仿宋_GBK"/>
          <w:bCs/>
          <w:sz w:val="28"/>
          <w:szCs w:val="28"/>
        </w:rPr>
      </w:pPr>
      <w:r>
        <w:rPr>
          <w:rFonts w:ascii="方正仿宋_GBK" w:eastAsia="方正仿宋_GBK"/>
          <w:bCs/>
          <w:sz w:val="28"/>
          <w:szCs w:val="28"/>
        </w:rPr>
        <w:t>3.4</w:t>
        <w:tab/>
        <w:t>柱温箱。控温范围：最低温度≤</w:t>
      </w:r>
      <w:r>
        <w:rPr>
          <w:rFonts w:ascii="方正仿宋_GBK" w:eastAsia="方正仿宋_GBK" w:hint="eastAsia"/>
          <w:bCs/>
          <w:sz w:val="28"/>
          <w:szCs w:val="28"/>
        </w:rPr>
        <w:t>20</w:t>
      </w:r>
      <w:r>
        <w:rPr>
          <w:rFonts w:ascii="方正仿宋_GBK" w:eastAsia="方正仿宋_GBK"/>
          <w:bCs/>
          <w:sz w:val="28"/>
          <w:szCs w:val="28"/>
        </w:rPr>
        <w:t>℃，最高温度≥60℃。温度波动范围：-1℃/h～1℃/h。</w:t>
      </w:r>
    </w:p>
    <w:p>
      <w:pPr>
        <w:spacing w:line="400" w:lineRule="exact"/>
        <w:rPr>
          <w:rFonts w:ascii="方正仿宋_GBK" w:eastAsia="方正仿宋_GBK"/>
          <w:bCs/>
          <w:sz w:val="28"/>
          <w:szCs w:val="28"/>
        </w:rPr>
      </w:pPr>
      <w:r>
        <w:rPr>
          <w:rFonts w:ascii="方正仿宋_GBK" w:eastAsia="方正仿宋_GBK"/>
          <w:bCs/>
          <w:sz w:val="28"/>
          <w:szCs w:val="28"/>
        </w:rPr>
        <w:t>3.5</w:t>
        <w:tab/>
      </w:r>
      <w:r>
        <w:rPr>
          <w:rFonts w:ascii="方正仿宋_GBK" w:eastAsia="方正仿宋_GBK" w:hint="eastAsia"/>
          <w:bCs/>
          <w:sz w:val="28"/>
          <w:szCs w:val="28"/>
        </w:rPr>
        <w:t>配置的电导检测器1套，紫外-可见光检测器1套，电导检测器和紫外检测器可以单独使用，也可以串联使用，必须与连续自动再生抑制器相匹配。</w:t>
      </w:r>
    </w:p>
    <w:p>
      <w:pPr>
        <w:spacing w:line="400" w:lineRule="exact"/>
        <w:rPr>
          <w:rFonts w:ascii="方正仿宋_GBK" w:eastAsia="方正仿宋_GBK"/>
          <w:bCs/>
          <w:sz w:val="28"/>
          <w:szCs w:val="28"/>
        </w:rPr>
      </w:pPr>
      <w:r>
        <w:rPr>
          <w:rFonts w:ascii="方正仿宋_GBK" w:eastAsia="方正仿宋_GBK" w:hint="eastAsia"/>
          <w:bCs/>
          <w:sz w:val="28"/>
          <w:szCs w:val="28"/>
        </w:rPr>
        <w:t>3.6</w:t>
      </w:r>
      <w:r>
        <w:rPr>
          <w:rFonts w:ascii="方正仿宋_GBK" w:eastAsia="方正仿宋_GBK"/>
          <w:bCs/>
          <w:sz w:val="28"/>
          <w:szCs w:val="28"/>
        </w:rPr>
        <w:t>电导检测器</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6</w:t>
      </w:r>
      <w:r>
        <w:rPr>
          <w:rFonts w:ascii="方正仿宋_GBK" w:eastAsia="方正仿宋_GBK"/>
          <w:bCs/>
          <w:sz w:val="28"/>
          <w:szCs w:val="28"/>
        </w:rPr>
        <w:t>.</w:t>
      </w:r>
      <w:r>
        <w:rPr>
          <w:rFonts w:ascii="方正仿宋_GBK" w:eastAsia="方正仿宋_GBK" w:hint="eastAsia"/>
          <w:bCs/>
          <w:sz w:val="28"/>
          <w:szCs w:val="28"/>
        </w:rPr>
        <w:t>1</w:t>
      </w:r>
      <w:r>
        <w:rPr>
          <w:rFonts w:ascii="方正仿宋_GBK" w:eastAsia="方正仿宋_GBK"/>
          <w:bCs/>
          <w:sz w:val="28"/>
          <w:szCs w:val="28"/>
        </w:rPr>
        <w:t>分辨率：≤0.005nS/cm。</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6</w:t>
      </w:r>
      <w:r>
        <w:rPr>
          <w:rFonts w:ascii="方正仿宋_GBK" w:eastAsia="方正仿宋_GBK"/>
          <w:bCs/>
          <w:sz w:val="28"/>
          <w:szCs w:val="28"/>
        </w:rPr>
        <w:t>.</w:t>
      </w:r>
      <w:r>
        <w:rPr>
          <w:rFonts w:ascii="方正仿宋_GBK" w:eastAsia="方正仿宋_GBK" w:hint="eastAsia"/>
          <w:bCs/>
          <w:sz w:val="28"/>
          <w:szCs w:val="28"/>
        </w:rPr>
        <w:t>2</w:t>
      </w:r>
      <w:r>
        <w:rPr>
          <w:rFonts w:ascii="方正仿宋_GBK" w:eastAsia="方正仿宋_GBK"/>
          <w:bCs/>
          <w:sz w:val="28"/>
          <w:szCs w:val="28"/>
        </w:rPr>
        <w:t>全程信号输出范围：最小信号≤0.01µS/cm，最大信号≥10000µS/cm。</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6</w:t>
      </w:r>
      <w:r>
        <w:rPr>
          <w:rFonts w:ascii="方正仿宋_GBK" w:eastAsia="方正仿宋_GBK"/>
          <w:bCs/>
          <w:sz w:val="28"/>
          <w:szCs w:val="28"/>
        </w:rPr>
        <w:t>.</w:t>
      </w:r>
      <w:r>
        <w:rPr>
          <w:rFonts w:ascii="方正仿宋_GBK" w:eastAsia="方正仿宋_GBK" w:hint="eastAsia"/>
          <w:bCs/>
          <w:sz w:val="28"/>
          <w:szCs w:val="28"/>
        </w:rPr>
        <w:t>3</w:t>
      </w:r>
      <w:r>
        <w:rPr>
          <w:rFonts w:ascii="方正仿宋_GBK" w:eastAsia="方正仿宋_GBK"/>
          <w:bCs/>
          <w:sz w:val="28"/>
          <w:szCs w:val="28"/>
        </w:rPr>
        <w:t>噪声：最小噪声≥-0.3nS，最大噪声≤0.3nS。</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6</w:t>
      </w:r>
      <w:r>
        <w:rPr>
          <w:rFonts w:ascii="方正仿宋_GBK" w:eastAsia="方正仿宋_GBK"/>
          <w:bCs/>
          <w:sz w:val="28"/>
          <w:szCs w:val="28"/>
        </w:rPr>
        <w:t>.</w:t>
      </w:r>
      <w:r>
        <w:rPr>
          <w:rFonts w:ascii="方正仿宋_GBK" w:eastAsia="方正仿宋_GBK" w:hint="eastAsia"/>
          <w:bCs/>
          <w:sz w:val="28"/>
          <w:szCs w:val="28"/>
        </w:rPr>
        <w:t>4</w:t>
      </w:r>
      <w:r>
        <w:rPr>
          <w:rFonts w:ascii="方正仿宋_GBK" w:eastAsia="方正仿宋_GBK"/>
          <w:bCs/>
          <w:sz w:val="28"/>
          <w:szCs w:val="28"/>
        </w:rPr>
        <w:t>控温范围：最低温度≤25℃，最高温度≥50℃。温度稳定性：≤0.01℃/h。</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6</w:t>
      </w:r>
      <w:r>
        <w:rPr>
          <w:rFonts w:ascii="方正仿宋_GBK" w:eastAsia="方正仿宋_GBK"/>
          <w:bCs/>
          <w:sz w:val="28"/>
          <w:szCs w:val="28"/>
        </w:rPr>
        <w:t>.</w:t>
      </w:r>
      <w:r>
        <w:rPr>
          <w:rFonts w:ascii="方正仿宋_GBK" w:eastAsia="方正仿宋_GBK" w:hint="eastAsia"/>
          <w:bCs/>
          <w:sz w:val="28"/>
          <w:szCs w:val="28"/>
        </w:rPr>
        <w:t>5</w:t>
      </w:r>
      <w:r>
        <w:rPr>
          <w:rFonts w:ascii="方正仿宋_GBK" w:eastAsia="方正仿宋_GBK"/>
          <w:bCs/>
          <w:sz w:val="28"/>
          <w:szCs w:val="28"/>
        </w:rPr>
        <w:t>电导池体积：≤1.5 μL。</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6</w:t>
      </w:r>
      <w:r>
        <w:rPr>
          <w:rFonts w:ascii="方正仿宋_GBK" w:eastAsia="方正仿宋_GBK"/>
          <w:bCs/>
          <w:sz w:val="28"/>
          <w:szCs w:val="28"/>
        </w:rPr>
        <w:t>.</w:t>
      </w:r>
      <w:r>
        <w:rPr>
          <w:rFonts w:ascii="方正仿宋_GBK" w:eastAsia="方正仿宋_GBK" w:hint="eastAsia"/>
          <w:bCs/>
          <w:sz w:val="28"/>
          <w:szCs w:val="28"/>
        </w:rPr>
        <w:t>6</w:t>
      </w:r>
      <w:r>
        <w:rPr>
          <w:rFonts w:ascii="方正仿宋_GBK" w:eastAsia="方正仿宋_GBK"/>
          <w:bCs/>
          <w:sz w:val="28"/>
          <w:szCs w:val="28"/>
        </w:rPr>
        <w:t>最大操作压力：≥2 MPa。</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7</w:t>
      </w:r>
      <w:r>
        <w:rPr>
          <w:rFonts w:ascii="方正仿宋_GBK" w:eastAsia="方正仿宋_GBK"/>
          <w:bCs/>
          <w:sz w:val="28"/>
          <w:szCs w:val="28"/>
        </w:rPr>
        <w:t xml:space="preserve"> 紫外</w:t>
      </w:r>
      <w:r>
        <w:rPr>
          <w:rFonts w:ascii="方正仿宋_GBK" w:eastAsia="方正仿宋_GBK" w:hint="eastAsia"/>
          <w:bCs/>
          <w:sz w:val="28"/>
          <w:szCs w:val="28"/>
        </w:rPr>
        <w:t>检测器</w:t>
      </w:r>
    </w:p>
    <w:p>
      <w:pPr>
        <w:spacing w:line="400" w:lineRule="exact"/>
        <w:rPr>
          <w:rFonts w:ascii="方正仿宋_GBK" w:eastAsia="方正仿宋_GBK"/>
          <w:bCs/>
          <w:sz w:val="28"/>
          <w:szCs w:val="28"/>
        </w:rPr>
      </w:pPr>
      <w:r>
        <w:rPr>
          <w:rFonts w:ascii="方正仿宋_GBK" w:eastAsia="方正仿宋_GBK" w:hint="eastAsia"/>
          <w:bCs/>
          <w:sz w:val="28"/>
          <w:szCs w:val="28"/>
        </w:rPr>
        <w:t xml:space="preserve">★3.7.1光源：可测定光谱范围需涵盖250nm~800nm，且能实时扣除背景干扰。配备长光程吸收池，有效吸收光程&gt;50mm。光源强度可通过软件在0~100%范围内调节。（提供投标人盖章的技术白皮书） </w:t>
      </w:r>
    </w:p>
    <w:p>
      <w:pPr>
        <w:spacing w:line="400" w:lineRule="exact"/>
        <w:rPr>
          <w:rFonts w:ascii="方正仿宋_GBK" w:eastAsia="方正仿宋_GBK"/>
          <w:bCs/>
          <w:sz w:val="28"/>
          <w:szCs w:val="28"/>
        </w:rPr>
      </w:pPr>
      <w:r>
        <w:rPr>
          <w:rFonts w:ascii="方正仿宋_GBK" w:eastAsia="方正仿宋_GBK" w:hint="eastAsia"/>
          <w:bCs/>
          <w:sz w:val="28"/>
          <w:szCs w:val="28"/>
        </w:rPr>
        <w:t>▲3.7.2 灵敏度：1</w:t>
      </w:r>
      <w:r>
        <w:rPr>
          <w:rFonts w:ascii="方正仿宋_GBK" w:eastAsia="方正仿宋_GBK"/>
          <w:bCs/>
          <w:sz w:val="28"/>
          <w:szCs w:val="28"/>
        </w:rPr>
        <w:t>µ</w:t>
      </w:r>
      <w:r>
        <w:rPr>
          <w:rFonts w:ascii="方正仿宋_GBK" w:eastAsia="方正仿宋_GBK" w:hint="eastAsia"/>
          <w:bCs/>
          <w:sz w:val="28"/>
          <w:szCs w:val="28"/>
        </w:rPr>
        <w:t>g/L的六价铬产生的吸光度值&gt;10mAU。（提供投标人盖章的测试报告，报告中能够证实是否符合要求）</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8</w:t>
      </w:r>
      <w:r>
        <w:rPr>
          <w:rFonts w:ascii="方正仿宋_GBK" w:eastAsia="方正仿宋_GBK"/>
          <w:bCs/>
          <w:sz w:val="28"/>
          <w:szCs w:val="28"/>
        </w:rPr>
        <w:tab/>
        <w:t>自动淋洗液发生器</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8</w:t>
      </w:r>
      <w:r>
        <w:rPr>
          <w:rFonts w:ascii="方正仿宋_GBK" w:eastAsia="方正仿宋_GBK"/>
          <w:bCs/>
          <w:sz w:val="28"/>
          <w:szCs w:val="28"/>
        </w:rPr>
        <w:t>.1浓度范围：最低浓度≤0.1mM，最高浓度≥100mM。</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8</w:t>
      </w:r>
      <w:r>
        <w:rPr>
          <w:rFonts w:ascii="方正仿宋_GBK" w:eastAsia="方正仿宋_GBK"/>
          <w:bCs/>
          <w:sz w:val="28"/>
          <w:szCs w:val="28"/>
        </w:rPr>
        <w:t>.2流速范围：最小流速≤0.1mL/min，最大流速≥3.0mL/min。</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8</w:t>
      </w:r>
      <w:r>
        <w:rPr>
          <w:rFonts w:ascii="方正仿宋_GBK" w:eastAsia="方正仿宋_GBK"/>
          <w:bCs/>
          <w:sz w:val="28"/>
          <w:szCs w:val="28"/>
        </w:rPr>
        <w:t>.3最大操作压力：≥21MPa。具有淋洗液剩余量监测功能。</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9</w:t>
      </w:r>
      <w:r>
        <w:rPr>
          <w:rFonts w:ascii="方正仿宋_GBK" w:eastAsia="方正仿宋_GBK"/>
          <w:bCs/>
          <w:sz w:val="28"/>
          <w:szCs w:val="28"/>
        </w:rPr>
        <w:tab/>
        <w:t>色谱工作站：通过计算机直接控制仪器的运行。工作站可以实现全自动数据采集，色谱定性、定量分析和分析报告。</w:t>
      </w:r>
    </w:p>
    <w:p>
      <w:pPr>
        <w:spacing w:line="400" w:lineRule="exact"/>
        <w:rPr>
          <w:rFonts w:ascii="方正仿宋_GBK" w:eastAsia="方正仿宋_GBK"/>
          <w:bCs/>
          <w:sz w:val="28"/>
          <w:szCs w:val="28"/>
        </w:rPr>
      </w:pPr>
      <w:r>
        <w:rPr>
          <w:rFonts w:ascii="方正仿宋_GBK" w:eastAsia="方正仿宋_GBK"/>
          <w:bCs/>
          <w:sz w:val="28"/>
          <w:szCs w:val="28"/>
        </w:rPr>
        <w:t>3.</w:t>
      </w:r>
      <w:r>
        <w:rPr>
          <w:rFonts w:ascii="方正仿宋_GBK" w:eastAsia="方正仿宋_GBK" w:hint="eastAsia"/>
          <w:bCs/>
          <w:sz w:val="28"/>
          <w:szCs w:val="28"/>
        </w:rPr>
        <w:t>10</w:t>
      </w:r>
      <w:r>
        <w:rPr>
          <w:rFonts w:ascii="方正仿宋_GBK" w:eastAsia="方正仿宋_GBK"/>
          <w:bCs/>
          <w:sz w:val="28"/>
          <w:szCs w:val="28"/>
        </w:rPr>
        <w:t>扩展功能：离子色谱须能与原子荧光、ICP-MS、UV/VIS、荧光检测器等多种仪器/设备联用，能升级为形态分析仪、极性荧光有机物分析仪等。</w:t>
      </w:r>
    </w:p>
    <w:p>
      <w:pPr>
        <w:pStyle w:val="9710"/>
        <w:spacing w:line="400" w:lineRule="exact"/>
        <w:rPr>
          <w:rFonts w:ascii="Segoe UI Symbol" w:eastAsia="方正仿宋_GBK" w:hAnsi="Segoe UI Symbol" w:cs="Segoe UI Symbol"/>
          <w:sz w:val="28"/>
          <w:szCs w:val="28"/>
        </w:rPr>
      </w:pPr>
      <w:r>
        <w:rPr>
          <w:rFonts w:ascii="方正仿宋_GBK" w:eastAsia="方正仿宋_GBK" w:hint="eastAsia"/>
          <w:sz w:val="28"/>
          <w:szCs w:val="28"/>
        </w:rPr>
        <w:t>★</w:t>
      </w:r>
      <w:r>
        <w:rPr>
          <w:rFonts w:ascii="Times New Roman" w:eastAsia="方正仿宋_GBK" w:hAnsi="Times New Roman"/>
          <w:sz w:val="28"/>
          <w:szCs w:val="28"/>
        </w:rPr>
        <w:t>3.11</w:t>
      </w:r>
      <w:r>
        <w:rPr>
          <w:rFonts w:ascii="Segoe UI Symbol" w:eastAsia="方正仿宋_GBK" w:hAnsi="Segoe UI Symbol" w:cs="Segoe UI Symbol"/>
          <w:sz w:val="28"/>
          <w:szCs w:val="28"/>
        </w:rPr>
        <w:t>供应商根据用户需要开放仪器数据接口，实现实验室LIMS系统与仪器双向联接。（投标人提供承诺函，格式自拟）</w:t>
      </w:r>
    </w:p>
    <w:p>
      <w:pPr>
        <w:spacing w:line="400" w:lineRule="exact"/>
        <w:rPr>
          <w:rFonts w:ascii="方正仿宋_GBK" w:eastAsia="方正仿宋_GBK"/>
          <w:bCs/>
          <w:sz w:val="28"/>
          <w:szCs w:val="28"/>
        </w:rPr>
      </w:pPr>
    </w:p>
    <w:p>
      <w:pPr>
        <w:spacing w:line="400" w:lineRule="exact"/>
        <w:rPr>
          <w:rFonts w:ascii="方正仿宋_GBK" w:eastAsia="方正仿宋_GBK"/>
          <w:b/>
          <w:sz w:val="28"/>
          <w:szCs w:val="28"/>
        </w:rPr>
      </w:pPr>
      <w:r>
        <w:rPr>
          <w:rFonts w:ascii="Segoe UI Symbol" w:eastAsia="方正仿宋_GBK" w:hAnsi="Segoe UI Symbol" w:cs="Segoe UI Symbol"/>
          <w:bCs/>
          <w:sz w:val="28"/>
          <w:szCs w:val="28"/>
        </w:rPr>
        <w:t>★</w:t>
      </w:r>
      <w:r>
        <w:rPr>
          <w:rFonts w:ascii="方正仿宋_GBK" w:eastAsia="方正仿宋_GBK"/>
          <w:b/>
          <w:sz w:val="28"/>
          <w:szCs w:val="28"/>
        </w:rPr>
        <w:t>4.主要配置</w:t>
      </w:r>
    </w:p>
    <w:p>
      <w:pPr>
        <w:spacing w:line="400" w:lineRule="exact"/>
        <w:rPr>
          <w:rFonts w:ascii="方正仿宋_GBK" w:eastAsia="方正仿宋_GBK"/>
          <w:sz w:val="28"/>
          <w:szCs w:val="28"/>
        </w:rPr>
      </w:pPr>
      <w:r>
        <w:rPr>
          <w:rFonts w:ascii="方正仿宋_GBK" w:eastAsia="方正仿宋_GBK"/>
          <w:bCs/>
          <w:sz w:val="28"/>
          <w:szCs w:val="28"/>
        </w:rPr>
        <w:t>主机（含泵和六通阀）1套、自动进样器1个、阴离子连续自动再生抑制器1个、柱温箱1个、电导检测器1个</w:t>
      </w:r>
      <w:r>
        <w:rPr>
          <w:rFonts w:ascii="方正仿宋_GBK" w:eastAsia="方正仿宋_GBK" w:hint="eastAsia"/>
          <w:bCs/>
          <w:sz w:val="28"/>
          <w:szCs w:val="28"/>
        </w:rPr>
        <w:t>、</w:t>
      </w:r>
      <w:r>
        <w:rPr>
          <w:rFonts w:ascii="方正仿宋_GBK" w:eastAsia="方正仿宋_GBK"/>
          <w:bCs/>
          <w:sz w:val="28"/>
          <w:szCs w:val="28"/>
        </w:rPr>
        <w:t>紫外-可见光检测器1套、自动淋洗液发生器1个、色谱工作站1套、激光打印机1套、阴离子分析柱及保护柱1支。</w:t>
      </w:r>
    </w:p>
    <w:p>
      <w:pPr>
        <w:spacing w:line="400" w:lineRule="exact"/>
        <w:rPr>
          <w:rFonts w:ascii="方正仿宋_GBK" w:eastAsia="方正仿宋_GBK"/>
          <w:bCs/>
          <w:sz w:val="28"/>
          <w:szCs w:val="28"/>
        </w:rPr>
      </w:pPr>
      <w:r>
        <w:rPr>
          <w:rFonts w:ascii="方正仿宋_GBK" w:eastAsia="方正仿宋_GBK"/>
          <w:bCs/>
          <w:sz w:val="28"/>
          <w:szCs w:val="28"/>
        </w:rPr>
        <w:t>控制电脑1套：配套使用电脑（或工作站）的产品技术指标需满足财库《台式计算机（或工作站）政府采购需求标准（2023年版）》中的星标项“</w:t>
      </w:r>
      <w:r>
        <w:rPr>
          <w:rFonts w:ascii="Times New Roman" w:eastAsia="方正仿宋_GBK" w:hAnsi="Times New Roman" w:cs="方正仿宋_GBK" w:hint="eastAsia"/>
          <w:sz w:val="28"/>
          <w:szCs w:val="28"/>
        </w:rPr>
        <w:t>*</w:t>
      </w:r>
      <w:r>
        <w:rPr>
          <w:rFonts w:ascii="Times New Roman" w:eastAsia="方正仿宋_GBK" w:hAnsi="Times New Roman"/>
          <w:bCs/>
          <w:sz w:val="28"/>
          <w:szCs w:val="28"/>
        </w:rPr>
        <w:t>”</w:t>
      </w:r>
      <w:r>
        <w:rPr>
          <w:rFonts w:ascii="方正仿宋_GBK" w:eastAsia="方正仿宋_GBK"/>
          <w:bCs/>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cs="方正仿宋_GBK" w:hint="eastAsia"/>
          <w:sz w:val="28"/>
          <w:szCs w:val="28"/>
        </w:rPr>
        <w:t>*</w:t>
      </w:r>
      <w:r>
        <w:rPr>
          <w:rFonts w:ascii="Times New Roman" w:eastAsia="方正仿宋_GBK" w:hAnsi="Times New Roman"/>
          <w:bCs/>
          <w:sz w:val="28"/>
          <w:szCs w:val="28"/>
        </w:rPr>
        <w:t>”</w:t>
      </w:r>
      <w:r>
        <w:rPr>
          <w:rFonts w:ascii="方正仿宋_GBK" w:eastAsia="方正仿宋_GBK"/>
          <w:bCs/>
          <w:sz w:val="28"/>
          <w:szCs w:val="28"/>
        </w:rPr>
        <w:t>指标的承诺函，格式自拟。</w:t>
      </w:r>
    </w:p>
    <w:p>
      <w:pPr>
        <w:spacing w:line="400" w:lineRule="exact"/>
        <w:jc w:val="left"/>
        <w:rPr>
          <w:rFonts w:ascii="方正仿宋_GBK" w:eastAsia="方正仿宋_GBK"/>
          <w:sz w:val="28"/>
          <w:szCs w:val="28"/>
        </w:rPr>
      </w:pPr>
    </w:p>
    <w:p>
      <w:pPr>
        <w:spacing w:line="400" w:lineRule="exact"/>
        <w:jc w:val="left"/>
        <w:rPr>
          <w:rFonts w:ascii="方正仿宋_GBK" w:eastAsia="方正仿宋_GBK"/>
          <w:sz w:val="28"/>
          <w:szCs w:val="28"/>
        </w:rPr>
      </w:pPr>
    </w:p>
    <w:p>
      <w:pPr>
        <w:spacing w:line="400" w:lineRule="exact"/>
        <w:jc w:val="center"/>
        <w:rPr>
          <w:rFonts w:ascii="Times New Roman" w:eastAsia="方正仿宋_GBK" w:hAnsi="Times New Roman"/>
          <w:b/>
          <w:bCs/>
          <w:color w:val="FF0000"/>
          <w:sz w:val="28"/>
          <w:szCs w:val="28"/>
        </w:rPr>
      </w:pPr>
      <w:r>
        <w:rPr>
          <w:rFonts w:ascii="方正仿宋_GBK" w:eastAsia="方正仿宋_GBK" w:hint="eastAsia"/>
          <w:sz w:val="28"/>
          <w:szCs w:val="28"/>
        </w:rPr>
        <w:t>02包 离子色谱仪</w:t>
      </w:r>
    </w:p>
    <w:tbl>
      <w:tblPr>
        <w:tblStyle w:val="TableNormal"/>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7"/>
        <w:gridCol w:w="3000"/>
        <w:gridCol w:w="3138"/>
        <w:gridCol w:w="1008"/>
      </w:tblGrid>
      <w:tr>
        <w:tblPrEx>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7"/>
          <w:jc w:val="center"/>
        </w:trPr>
        <w:tc>
          <w:tcPr>
            <w:tcW w:w="1097"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序号</w:t>
            </w:r>
          </w:p>
        </w:tc>
        <w:tc>
          <w:tcPr>
            <w:tcW w:w="3000"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货物名称</w:t>
            </w:r>
          </w:p>
        </w:tc>
        <w:tc>
          <w:tcPr>
            <w:tcW w:w="3138"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单价(元)</w:t>
            </w:r>
          </w:p>
        </w:tc>
        <w:tc>
          <w:tcPr>
            <w:tcW w:w="1008" w:type="dxa"/>
            <w:tcBorders>
              <w:top w:val="single" w:sz="4" w:space="0" w:color="auto"/>
              <w:left w:val="single" w:sz="4" w:space="0" w:color="auto"/>
              <w:right w:val="single" w:sz="4" w:space="0" w:color="auto"/>
            </w:tcBorders>
            <w:shd w:val="clear" w:color="auto" w:fill="BFBFBF"/>
            <w:vAlign w:val="center"/>
          </w:tcPr>
          <w:p>
            <w:pPr>
              <w:jc w:val="center"/>
              <w:rPr>
                <w:rFonts w:ascii="宋体" w:hAnsi="宋体"/>
                <w:b/>
                <w:szCs w:val="21"/>
              </w:rPr>
            </w:pPr>
            <w:r>
              <w:rPr>
                <w:rFonts w:ascii="宋体" w:hAnsi="宋体" w:hint="eastAsia"/>
                <w:b/>
                <w:szCs w:val="21"/>
              </w:rPr>
              <w:t>数量</w:t>
            </w:r>
          </w:p>
        </w:tc>
      </w:tr>
      <w:tr>
        <w:tblPrEx>
          <w:tblW w:w="8243" w:type="dxa"/>
          <w:jc w:val="center"/>
          <w:tblLayout w:type="fixed"/>
          <w:tblCellMar>
            <w:top w:w="0" w:type="dxa"/>
            <w:left w:w="108" w:type="dxa"/>
            <w:bottom w:w="0" w:type="dxa"/>
            <w:right w:w="108" w:type="dxa"/>
          </w:tblCellMar>
        </w:tblPrEx>
        <w:trPr>
          <w:jc w:val="center"/>
        </w:trPr>
        <w:tc>
          <w:tcPr>
            <w:tcW w:w="1097" w:type="dxa"/>
          </w:tcPr>
          <w:p>
            <w:pPr>
              <w:jc w:val="center"/>
              <w:rPr>
                <w:rFonts w:ascii="宋体" w:hAnsi="宋体"/>
                <w:b/>
                <w:szCs w:val="21"/>
              </w:rPr>
            </w:pPr>
            <w:r>
              <w:t>1</w:t>
            </w:r>
          </w:p>
        </w:tc>
        <w:tc>
          <w:tcPr>
            <w:tcW w:w="3000" w:type="dxa"/>
            <w:tcBorders>
              <w:top w:val="single" w:sz="4" w:space="0" w:color="auto"/>
              <w:left w:val="single" w:sz="4" w:space="0" w:color="auto"/>
              <w:right w:val="single" w:sz="4" w:space="0" w:color="auto"/>
            </w:tcBorders>
          </w:tcPr>
          <w:p>
            <w:pPr>
              <w:jc w:val="center"/>
              <w:rPr>
                <w:rFonts w:ascii="宋体" w:hAnsi="宋体"/>
                <w:b/>
                <w:szCs w:val="21"/>
              </w:rPr>
            </w:pPr>
            <w:r>
              <w:rPr>
                <w:rFonts w:hint="eastAsia"/>
              </w:rPr>
              <w:t>离子色谱仪4</w:t>
            </w:r>
          </w:p>
        </w:tc>
        <w:tc>
          <w:tcPr>
            <w:tcW w:w="3138" w:type="dxa"/>
            <w:tcBorders>
              <w:top w:val="single" w:sz="4" w:space="0" w:color="auto"/>
              <w:left w:val="single" w:sz="4" w:space="0" w:color="auto"/>
              <w:right w:val="single" w:sz="4" w:space="0" w:color="auto"/>
            </w:tcBorders>
          </w:tcPr>
          <w:p>
            <w:pPr>
              <w:jc w:val="center"/>
              <w:rPr>
                <w:rFonts w:ascii="宋体" w:hAnsi="宋体"/>
                <w:b/>
                <w:szCs w:val="21"/>
              </w:rPr>
            </w:pPr>
            <w:r>
              <w:rPr>
                <w:rFonts w:hint="eastAsia"/>
              </w:rPr>
              <w:t>1,20</w:t>
            </w:r>
            <w:r>
              <w:t>0,000.00</w:t>
            </w:r>
          </w:p>
        </w:tc>
        <w:tc>
          <w:tcPr>
            <w:tcW w:w="1008" w:type="dxa"/>
          </w:tcPr>
          <w:p>
            <w:pPr>
              <w:jc w:val="center"/>
              <w:rPr>
                <w:rFonts w:ascii="宋体" w:hAnsi="宋体"/>
                <w:b/>
                <w:szCs w:val="21"/>
              </w:rPr>
            </w:pPr>
            <w:r>
              <w:rPr>
                <w:rFonts w:hint="eastAsia"/>
              </w:rPr>
              <w:t>12</w:t>
            </w:r>
          </w:p>
        </w:tc>
      </w:tr>
      <w:tr>
        <w:tblPrEx>
          <w:tblW w:w="8243" w:type="dxa"/>
          <w:jc w:val="center"/>
          <w:tblLayout w:type="fixed"/>
          <w:tblCellMar>
            <w:top w:w="0" w:type="dxa"/>
            <w:left w:w="108" w:type="dxa"/>
            <w:bottom w:w="0" w:type="dxa"/>
            <w:right w:w="108" w:type="dxa"/>
          </w:tblCellMar>
        </w:tblPrEx>
        <w:trPr>
          <w:jc w:val="center"/>
        </w:trPr>
        <w:tc>
          <w:tcPr>
            <w:tcW w:w="1097" w:type="dxa"/>
          </w:tcPr>
          <w:p>
            <w:pPr>
              <w:jc w:val="center"/>
            </w:pPr>
            <w:r>
              <w:rPr>
                <w:rFonts w:hint="eastAsia"/>
              </w:rPr>
              <w:t>2</w:t>
            </w:r>
          </w:p>
        </w:tc>
        <w:tc>
          <w:tcPr>
            <w:tcW w:w="3000" w:type="dxa"/>
            <w:tcBorders>
              <w:top w:val="single" w:sz="4" w:space="0" w:color="auto"/>
              <w:left w:val="single" w:sz="4" w:space="0" w:color="auto"/>
              <w:right w:val="single" w:sz="4" w:space="0" w:color="auto"/>
            </w:tcBorders>
          </w:tcPr>
          <w:p>
            <w:pPr>
              <w:jc w:val="center"/>
            </w:pPr>
            <w:r>
              <w:rPr>
                <w:rFonts w:hint="eastAsia"/>
              </w:rPr>
              <w:t>离子色谱仪5</w:t>
            </w:r>
          </w:p>
        </w:tc>
        <w:tc>
          <w:tcPr>
            <w:tcW w:w="3138" w:type="dxa"/>
            <w:tcBorders>
              <w:top w:val="single" w:sz="4" w:space="0" w:color="auto"/>
              <w:left w:val="single" w:sz="4" w:space="0" w:color="auto"/>
              <w:right w:val="single" w:sz="4" w:space="0" w:color="auto"/>
            </w:tcBorders>
          </w:tcPr>
          <w:p>
            <w:pPr>
              <w:jc w:val="center"/>
            </w:pPr>
            <w:r>
              <w:rPr>
                <w:rFonts w:hint="eastAsia"/>
              </w:rPr>
              <w:t>30</w:t>
            </w:r>
            <w:r>
              <w:t>0,000.00</w:t>
            </w:r>
          </w:p>
        </w:tc>
        <w:tc>
          <w:tcPr>
            <w:tcW w:w="1008" w:type="dxa"/>
          </w:tcPr>
          <w:p>
            <w:pPr>
              <w:jc w:val="center"/>
            </w:pPr>
            <w:r>
              <w:rPr>
                <w:rFonts w:hint="eastAsia"/>
              </w:rPr>
              <w:t>1</w:t>
            </w:r>
          </w:p>
        </w:tc>
      </w:tr>
      <w:tr>
        <w:tblPrEx>
          <w:tblW w:w="8243" w:type="dxa"/>
          <w:jc w:val="center"/>
          <w:tblLayout w:type="fixed"/>
          <w:tblCellMar>
            <w:top w:w="0" w:type="dxa"/>
            <w:left w:w="108" w:type="dxa"/>
            <w:bottom w:w="0" w:type="dxa"/>
            <w:right w:w="108" w:type="dxa"/>
          </w:tblCellMar>
        </w:tblPrEx>
        <w:trPr>
          <w:jc w:val="center"/>
        </w:trPr>
        <w:tc>
          <w:tcPr>
            <w:tcW w:w="1097" w:type="dxa"/>
          </w:tcPr>
          <w:p>
            <w:pPr>
              <w:jc w:val="center"/>
            </w:pPr>
            <w:r>
              <w:rPr>
                <w:rFonts w:hint="eastAsia"/>
              </w:rPr>
              <w:t>3</w:t>
            </w:r>
          </w:p>
        </w:tc>
        <w:tc>
          <w:tcPr>
            <w:tcW w:w="3000" w:type="dxa"/>
            <w:tcBorders>
              <w:top w:val="single" w:sz="4" w:space="0" w:color="auto"/>
              <w:left w:val="single" w:sz="4" w:space="0" w:color="auto"/>
              <w:right w:val="single" w:sz="4" w:space="0" w:color="auto"/>
            </w:tcBorders>
          </w:tcPr>
          <w:p>
            <w:pPr>
              <w:jc w:val="center"/>
            </w:pPr>
            <w:r>
              <w:rPr>
                <w:rFonts w:hint="eastAsia"/>
              </w:rPr>
              <w:t>离子色谱仪6</w:t>
            </w:r>
          </w:p>
        </w:tc>
        <w:tc>
          <w:tcPr>
            <w:tcW w:w="3138" w:type="dxa"/>
            <w:tcBorders>
              <w:top w:val="single" w:sz="4" w:space="0" w:color="auto"/>
              <w:left w:val="single" w:sz="4" w:space="0" w:color="auto"/>
              <w:right w:val="single" w:sz="4" w:space="0" w:color="auto"/>
            </w:tcBorders>
          </w:tcPr>
          <w:p>
            <w:pPr>
              <w:jc w:val="center"/>
            </w:pPr>
            <w:r>
              <w:rPr>
                <w:rFonts w:hint="eastAsia"/>
              </w:rPr>
              <w:t>47</w:t>
            </w:r>
            <w:r>
              <w:t>0,000.00</w:t>
            </w:r>
          </w:p>
        </w:tc>
        <w:tc>
          <w:tcPr>
            <w:tcW w:w="1008" w:type="dxa"/>
          </w:tcPr>
          <w:p>
            <w:pPr>
              <w:jc w:val="center"/>
            </w:pPr>
            <w:r>
              <w:rPr>
                <w:rFonts w:hint="eastAsia"/>
              </w:rPr>
              <w:t>1</w:t>
            </w:r>
          </w:p>
        </w:tc>
      </w:tr>
    </w:tbl>
    <w:p>
      <w:pPr>
        <w:spacing w:line="400" w:lineRule="exact"/>
        <w:rPr>
          <w:rFonts w:ascii="Times New Roman" w:eastAsia="方正仿宋_GBK" w:hAnsi="Times New Roman"/>
          <w:sz w:val="28"/>
          <w:szCs w:val="28"/>
        </w:rPr>
      </w:pPr>
    </w:p>
    <w:p>
      <w:pPr>
        <w:spacing w:before="120" w:beforeLines="50" w:after="120" w:afterLines="50" w:line="400" w:lineRule="exact"/>
        <w:outlineLvl w:val="1"/>
        <w:rPr>
          <w:rFonts w:ascii="方正楷体_GBK" w:eastAsia="方正楷体_GBK"/>
          <w:b/>
          <w:sz w:val="28"/>
          <w:szCs w:val="28"/>
        </w:rPr>
      </w:pPr>
      <w:r>
        <w:rPr>
          <w:rFonts w:ascii="方正楷体_GBK" w:eastAsia="方正楷体_GBK" w:hint="eastAsia"/>
          <w:b/>
          <w:sz w:val="28"/>
          <w:szCs w:val="28"/>
        </w:rPr>
        <w:t>品目1</w:t>
      </w:r>
      <w:r>
        <w:rPr>
          <w:rFonts w:ascii="方正楷体_GBK" w:eastAsia="方正楷体_GBK"/>
          <w:b/>
          <w:sz w:val="28"/>
          <w:szCs w:val="28"/>
        </w:rPr>
        <w:t>：</w:t>
      </w:r>
      <w:r>
        <w:rPr>
          <w:rFonts w:ascii="方正楷体_GBK" w:eastAsia="方正楷体_GBK" w:hint="eastAsia"/>
          <w:b/>
          <w:sz w:val="28"/>
          <w:szCs w:val="28"/>
        </w:rPr>
        <w:t>离子色谱仪4</w:t>
      </w:r>
    </w:p>
    <w:p>
      <w:pPr>
        <w:spacing w:line="400" w:lineRule="exact"/>
        <w:outlineLvl w:val="2"/>
        <w:rPr>
          <w:rFonts w:ascii="方正仿宋_GBK" w:eastAsia="方正仿宋_GBK"/>
          <w:b/>
          <w:sz w:val="28"/>
          <w:szCs w:val="28"/>
        </w:rPr>
      </w:pPr>
      <w:r>
        <w:rPr>
          <w:rFonts w:ascii="Times New Roman" w:eastAsia="方正仿宋_GBK" w:hAnsi="Times New Roman"/>
          <w:b/>
          <w:sz w:val="28"/>
          <w:szCs w:val="28"/>
        </w:rPr>
        <w:t>1.</w:t>
      </w:r>
      <w:r>
        <w:rPr>
          <w:rFonts w:ascii="方正仿宋_GBK" w:eastAsia="方正仿宋_GBK" w:hint="eastAsia"/>
          <w:b/>
          <w:sz w:val="28"/>
          <w:szCs w:val="28"/>
        </w:rPr>
        <w:t>主要用途</w:t>
      </w:r>
    </w:p>
    <w:p>
      <w:pPr>
        <w:spacing w:line="400" w:lineRule="exact"/>
        <w:rPr>
          <w:rFonts w:ascii="方正仿宋_GBK" w:eastAsia="方正仿宋_GBK"/>
          <w:sz w:val="28"/>
          <w:szCs w:val="28"/>
        </w:rPr>
      </w:pPr>
      <w:r>
        <w:rPr>
          <w:rFonts w:ascii="方正仿宋_GBK" w:eastAsia="方正仿宋_GBK" w:hint="eastAsia"/>
          <w:sz w:val="28"/>
          <w:szCs w:val="28"/>
        </w:rPr>
        <w:t xml:space="preserve">    适用于样品中阴离子、阳离子、有机胺、氯化胆碱、氨基酸和糖等物质的分析。 </w:t>
      </w:r>
    </w:p>
    <w:p>
      <w:pPr>
        <w:spacing w:line="400" w:lineRule="exact"/>
        <w:rPr>
          <w:rFonts w:ascii="方正仿宋_GBK" w:eastAsia="方正仿宋_GBK"/>
          <w:b/>
          <w:sz w:val="28"/>
          <w:szCs w:val="28"/>
        </w:rPr>
      </w:pPr>
      <w:r>
        <w:rPr>
          <w:rFonts w:ascii="方正楷体_GBK" w:eastAsia="方正楷体_GBK" w:cs="Arial" w:hint="eastAsia"/>
          <w:b/>
          <w:bCs/>
          <w:sz w:val="28"/>
          <w:szCs w:val="28"/>
        </w:rPr>
        <w:t>★</w:t>
      </w:r>
      <w:r>
        <w:rPr>
          <w:rFonts w:ascii="Times New Roman" w:eastAsia="方正仿宋_GBK" w:hAnsi="Times New Roman"/>
          <w:b/>
          <w:sz w:val="28"/>
          <w:szCs w:val="28"/>
        </w:rPr>
        <w:t>2.</w:t>
      </w:r>
      <w:r>
        <w:rPr>
          <w:rFonts w:ascii="方正仿宋_GBK" w:eastAsia="方正仿宋_GBK" w:hint="eastAsia"/>
          <w:b/>
          <w:sz w:val="28"/>
          <w:szCs w:val="28"/>
        </w:rPr>
        <w:t>特殊资质要求</w:t>
      </w:r>
    </w:p>
    <w:p>
      <w:pPr>
        <w:spacing w:line="400" w:lineRule="exact"/>
        <w:rPr>
          <w:rFonts w:ascii="方正仿宋_GBK" w:eastAsia="方正仿宋_GBK"/>
          <w:sz w:val="28"/>
          <w:szCs w:val="28"/>
        </w:rPr>
      </w:pPr>
      <w:r>
        <w:rPr>
          <w:rFonts w:ascii="方正仿宋_GBK" w:eastAsia="方正仿宋_GBK" w:hint="eastAsia"/>
          <w:sz w:val="28"/>
          <w:szCs w:val="28"/>
        </w:rPr>
        <w:t xml:space="preserve">    </w:t>
      </w:r>
      <w:r>
        <w:rPr>
          <w:rFonts w:ascii="方正仿宋_GBK" w:eastAsia="方正仿宋_GBK"/>
          <w:sz w:val="28"/>
          <w:szCs w:val="28"/>
        </w:rPr>
        <w:t>本项目专门面向中小企业采购。</w:t>
      </w:r>
    </w:p>
    <w:p>
      <w:pPr>
        <w:spacing w:line="400" w:lineRule="exact"/>
        <w:outlineLvl w:val="2"/>
        <w:rPr>
          <w:rFonts w:ascii="方正仿宋_GBK" w:eastAsia="方正仿宋_GBK"/>
          <w:b/>
          <w:sz w:val="28"/>
          <w:szCs w:val="28"/>
        </w:rPr>
      </w:pPr>
      <w:r>
        <w:rPr>
          <w:rFonts w:ascii="Times New Roman" w:eastAsia="方正仿宋_GBK" w:hAnsi="Times New Roman"/>
          <w:b/>
          <w:sz w:val="28"/>
          <w:szCs w:val="28"/>
        </w:rPr>
        <w:t>3.</w:t>
      </w:r>
      <w:r>
        <w:rPr>
          <w:rFonts w:ascii="方正仿宋_GBK" w:eastAsia="方正仿宋_GBK" w:hint="eastAsia"/>
          <w:b/>
          <w:sz w:val="28"/>
          <w:szCs w:val="28"/>
        </w:rPr>
        <w:t>主要技术参数</w:t>
      </w:r>
    </w:p>
    <w:p>
      <w:pPr>
        <w:spacing w:line="400" w:lineRule="exact"/>
        <w:outlineLvl w:val="2"/>
        <w:rPr>
          <w:rFonts w:ascii="Times New Roman" w:eastAsia="方正仿宋_GBK" w:hAnsi="Times New Roman"/>
          <w:bCs/>
          <w:sz w:val="28"/>
          <w:szCs w:val="28"/>
        </w:rPr>
      </w:pPr>
      <w:r>
        <w:rPr>
          <w:rFonts w:ascii="Times New Roman" w:eastAsia="方正仿宋_GBK" w:hAnsi="Times New Roman" w:hint="eastAsia"/>
          <w:bCs/>
          <w:sz w:val="28"/>
          <w:szCs w:val="28"/>
        </w:rPr>
        <w:t>该系统主要由泵系统、自动进样器、连续自动再生抑制器、柱温箱、电导检测器、安培检测器、自动淋洗液发生器、色谱工作站和计算机系统组成。</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 泵系统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▲3.1.1 采用梯度泵系统，具有化学惰性的非金属无阻尼泵头，泵所有部件含泵外壳、单向阀外壳、单向阀阀芯、管路等均需PEEK非金属材质，耐酸碱腐蚀，适合于pH为0～14的淋洗液及反相有机溶剂，</w:t>
      </w:r>
      <w:r>
        <w:rPr>
          <w:rFonts w:ascii="Times New Roman" w:eastAsia="方正仿宋_GBK" w:hAnsi="Times New Roman" w:hint="eastAsia"/>
          <w:sz w:val="28"/>
          <w:szCs w:val="28"/>
        </w:rPr>
        <w:t>可同时采用</w:t>
      </w:r>
      <w:r>
        <w:rPr>
          <w:rFonts w:ascii="方正仿宋_GBK" w:eastAsia="方正仿宋_GBK"/>
          <w:sz w:val="28"/>
          <w:szCs w:val="28"/>
        </w:rPr>
        <w:t>至少</w:t>
      </w:r>
      <w:r>
        <w:rPr>
          <w:rFonts w:ascii="方正仿宋_GBK" w:eastAsia="方正仿宋_GBK" w:hint="eastAsia"/>
          <w:sz w:val="28"/>
          <w:szCs w:val="28"/>
        </w:rPr>
        <w:t>3种淋洗液</w:t>
      </w:r>
      <w:r>
        <w:rPr>
          <w:rFonts w:ascii="Times New Roman" w:eastAsia="方正仿宋_GBK" w:hAnsi="Times New Roman" w:hint="eastAsia"/>
          <w:sz w:val="28"/>
          <w:szCs w:val="28"/>
        </w:rPr>
        <w:t>进行梯度分离。（不少于3分钟的真机视频演示，需要重点演示PEEK非金属材质、可同时采用</w:t>
      </w:r>
      <w:r>
        <w:rPr>
          <w:rFonts w:ascii="方正仿宋_GBK" w:eastAsia="方正仿宋_GBK"/>
          <w:sz w:val="28"/>
          <w:szCs w:val="28"/>
        </w:rPr>
        <w:t>至少</w:t>
      </w:r>
      <w:r>
        <w:rPr>
          <w:rFonts w:ascii="方正仿宋_GBK" w:eastAsia="方正仿宋_GBK" w:hint="eastAsia"/>
          <w:sz w:val="28"/>
          <w:szCs w:val="28"/>
        </w:rPr>
        <w:t>3种淋洗液</w:t>
      </w:r>
      <w:r>
        <w:rPr>
          <w:rFonts w:ascii="Times New Roman" w:eastAsia="方正仿宋_GBK" w:hAnsi="Times New Roman" w:hint="eastAsia"/>
          <w:sz w:val="28"/>
          <w:szCs w:val="28"/>
        </w:rPr>
        <w:t>进行梯度分离的操作界面截图）</w:t>
      </w:r>
      <w:r>
        <w:rPr>
          <w:rFonts w:ascii="Times New Roman" w:eastAsia="方正仿宋_GBK" w:hAnsi="Times New Roman" w:hint="eastAsia"/>
          <w:bCs/>
          <w:sz w:val="28"/>
          <w:szCs w:val="28"/>
        </w:rPr>
        <w:t xml:space="preserve">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▲3.1.2 流速范围：最小流速≤0.001mL/min，最大流速≥10.0mL/min。 流量精度：-0.1%~0.1%。</w:t>
      </w:r>
      <w:r>
        <w:rPr>
          <w:rFonts w:ascii="Times New Roman" w:eastAsia="方正仿宋_GBK" w:hAnsi="Times New Roman" w:hint="eastAsia"/>
          <w:sz w:val="28"/>
          <w:szCs w:val="28"/>
        </w:rPr>
        <w:t>（最小流速和最大流速提供投标人盖章的真机操作界面截图，</w:t>
      </w:r>
      <w:r>
        <w:rPr>
          <w:rFonts w:ascii="Times New Roman" w:eastAsia="方正仿宋_GBK" w:hAnsi="Times New Roman" w:hint="eastAsia"/>
          <w:bCs/>
          <w:sz w:val="28"/>
          <w:szCs w:val="28"/>
        </w:rPr>
        <w:t>流量精度提供</w:t>
      </w:r>
      <w:r>
        <w:rPr>
          <w:rFonts w:ascii="Times New Roman" w:eastAsia="方正仿宋_GBK" w:hAnsi="Times New Roman" w:hint="eastAsia"/>
          <w:sz w:val="28"/>
          <w:szCs w:val="28"/>
        </w:rPr>
        <w:t>投标人盖章的技术白皮书）</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3.1.3 最大压力：≥35MPa。压力脉冲：≤1.0%。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3.1.4 具有脱气装置。</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3.2 自动进样器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3.2.1 处理样品容量：≥80位</w:t>
      </w:r>
      <w:r>
        <w:rPr>
          <w:rFonts w:ascii="Arial" w:eastAsia="方正仿宋_GBK" w:hAnsi="Arial" w:cs="Arial"/>
          <w:bCs/>
          <w:sz w:val="28"/>
          <w:szCs w:val="28"/>
        </w:rPr>
        <w:t>×</w:t>
      </w:r>
      <w:r>
        <w:rPr>
          <w:rFonts w:ascii="Times New Roman" w:eastAsia="方正仿宋_GBK" w:hAnsi="Times New Roman" w:hint="eastAsia"/>
          <w:bCs/>
          <w:sz w:val="28"/>
          <w:szCs w:val="28"/>
        </w:rPr>
        <w:t xml:space="preserve">2mL小瓶。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3.2.2 单一样品重复进样次数：1～99次。单一样品进样时间：≤60s。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3.2.3 进样精密度：进样体积为20µL时，&lt;0.5% RSD。进样体积步进：1~100µL（≤0.1µL增量）。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3.2.4 流路系统：耐强酸强碱的惰性材质。</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3.3 连续自动再生抑制器</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3.3.1 阴离子连续自动再生抑制器。</w:t>
      </w:r>
    </w:p>
    <w:p>
      <w:pPr>
        <w:pStyle w:val="910"/>
        <w:spacing w:line="400" w:lineRule="exact"/>
        <w:rPr>
          <w:rFonts w:ascii="Times New Roman" w:eastAsia="方正仿宋_GBK" w:hAnsi="Times New Roman"/>
          <w:bCs/>
          <w:sz w:val="28"/>
          <w:szCs w:val="28"/>
          <w:highlight w:val="red"/>
        </w:rPr>
      </w:pPr>
      <w:r>
        <w:rPr>
          <w:rFonts w:ascii="Times New Roman" w:eastAsia="方正仿宋_GBK" w:hAnsi="Times New Roman" w:hint="eastAsia"/>
          <w:bCs/>
          <w:sz w:val="28"/>
          <w:szCs w:val="28"/>
        </w:rPr>
        <w:t>▲3.3.2 阳离子连续自动再生抑制器或电子抑制，阳离子抑制器容量：100mM甲基磺酸，1.0mL/min流速，抑制器淋洗液出口流出液的实际电导小于5μS/cm且pH介于5.0-9.0之间，至少持续30min。</w:t>
      </w:r>
      <w:r>
        <w:rPr>
          <w:rFonts w:ascii="方正仿宋_GBK" w:eastAsia="方正仿宋_GBK"/>
          <w:bCs/>
          <w:sz w:val="28"/>
          <w:szCs w:val="28"/>
        </w:rPr>
        <w:t>（提供投标人</w:t>
      </w:r>
      <w:r>
        <w:rPr>
          <w:rFonts w:ascii="方正仿宋_GBK" w:eastAsia="方正仿宋_GBK"/>
          <w:sz w:val="28"/>
          <w:szCs w:val="28"/>
        </w:rPr>
        <w:t>盖章的技术白皮书和真机操作界面截图</w:t>
      </w:r>
      <w:r>
        <w:rPr>
          <w:rFonts w:ascii="方正仿宋_GBK" w:eastAsia="方正仿宋_GBK"/>
          <w:bCs/>
          <w:sz w:val="28"/>
          <w:szCs w:val="28"/>
        </w:rPr>
        <w:t>）</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3.4 柱温箱。控温范围：最低温度≤20℃，最高温度≥60℃。温度波动范围：-1℃/h～1℃/h。</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3.5 电导检测器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3.5.1 池体积：≤1.0μL。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3.5.2 最大操作压力：≥2 MPa。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★3.5.3 全程信号输出范围：最小信号≤0.01µS/cm，最大信号≥12000µS/cm。（提供投标人盖章的真机操作界面截图，能清楚显示最小信号和最大信号）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3.5.4 温度稳定性：≤0.001℃/h。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3.5.5 基线漂移：≤0.2nS/cm/h。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▲3.5.6 分辨率：≤0.003nS/cm。（提供投标人</w:t>
      </w:r>
      <w:r>
        <w:rPr>
          <w:rFonts w:ascii="Times New Roman" w:eastAsia="方正仿宋_GBK" w:hAnsi="Times New Roman" w:hint="eastAsia"/>
          <w:sz w:val="28"/>
          <w:szCs w:val="28"/>
        </w:rPr>
        <w:t>盖章的技术白皮书和真机演示视频</w:t>
      </w:r>
      <w:r>
        <w:rPr>
          <w:rFonts w:ascii="Times New Roman" w:eastAsia="方正仿宋_GBK" w:hAnsi="Times New Roman" w:hint="eastAsia"/>
          <w:bCs/>
          <w:sz w:val="28"/>
          <w:szCs w:val="28"/>
        </w:rPr>
        <w:t>）</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▲3.5.7采集频率：≥100赫兹，1s内采集点数不小于100个，且提供的色谱图应能清晰显示每个采集点。（提供投标人</w:t>
      </w:r>
      <w:r>
        <w:rPr>
          <w:rFonts w:ascii="Times New Roman" w:eastAsia="方正仿宋_GBK" w:hAnsi="Times New Roman" w:hint="eastAsia"/>
          <w:sz w:val="28"/>
          <w:szCs w:val="28"/>
        </w:rPr>
        <w:t>盖章的技术白皮书和真机操作界面截图</w:t>
      </w:r>
      <w:r>
        <w:rPr>
          <w:rFonts w:ascii="Times New Roman" w:eastAsia="方正仿宋_GBK" w:hAnsi="Times New Roman" w:hint="eastAsia"/>
          <w:bCs/>
          <w:sz w:val="28"/>
          <w:szCs w:val="28"/>
        </w:rPr>
        <w:t>）</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3.6 安培检测器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3.6.1 池体积：≤0.5μL。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★3.6.2 积分安培信号输出范围：最小信号≤50pC，最大信号≥200μC。 （提供投标人盖章的真机操作界面截图，能清楚显示最小信号和最大信号）</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3.6.3 最大操作压力：≥0.7 MPa。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3.6.4 噪音：≤1pA（直流安培）；≤10pC（积分安培）。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3.6.5 参比电极类型：pH-Ag/AgCl复合型参比电极，可耐受0~14的pH范围。</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3.7 自动淋洗液发生系统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3.7.1 浓度范围：最低浓度≤0.1mM，最高浓度≥100mM。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3.7.2 流速范围：最小流速≤0.1mL/min，最大流速≥3.0mL/min。  </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▲3.7.3 最大操作压力：≥30MPa。（提供投标人盖章的真机操作界面截图）</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▲3.8 一针进样同时检测至少20种氨基酸，且苏氨酸的保留时间不大于30min，缬氨酸和羟脯氨酸之间达到基线分离，即分离度大于1.5。</w:t>
      </w:r>
      <w:r>
        <w:rPr>
          <w:rFonts w:ascii="方正仿宋_GBK" w:eastAsia="方正仿宋_GBK" w:hint="eastAsia"/>
          <w:bCs/>
          <w:sz w:val="28"/>
          <w:szCs w:val="28"/>
        </w:rPr>
        <w:t>一针进样同时检测至少4种糖醇和8种糖；且半乳糖醇和甘露糖醇之间达到基线分离，即分离度大于1.5；10µL进样量，葡萄糖检出限≤10µg/L。</w:t>
      </w:r>
      <w:r>
        <w:rPr>
          <w:rFonts w:ascii="Times New Roman" w:eastAsia="方正仿宋_GBK" w:hAnsi="Times New Roman" w:hint="eastAsia"/>
          <w:bCs/>
          <w:sz w:val="28"/>
          <w:szCs w:val="28"/>
        </w:rPr>
        <w:t>(提供投标人盖章的测试报告，报告中能够明确此条目要求内容，且该指标验收时须现场测试)）</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3.9 色谱工作站。通过计算机直接控制仪器的运行，实现全自动数据采集、色谱定性、定量分析和分析报告。</w:t>
      </w:r>
    </w:p>
    <w:p>
      <w:pPr>
        <w:pStyle w:val="9810"/>
        <w:spacing w:line="400" w:lineRule="exact"/>
        <w:rPr>
          <w:rFonts w:ascii="Segoe UI Symbol" w:eastAsia="方正仿宋_GBK" w:hAnsi="Segoe UI Symbol" w:cs="Segoe UI Symbol"/>
          <w:sz w:val="28"/>
          <w:szCs w:val="28"/>
        </w:rPr>
      </w:pPr>
      <w:r>
        <w:rPr>
          <w:rFonts w:ascii="方正仿宋_GBK" w:eastAsia="方正仿宋_GBK" w:hint="eastAsia"/>
          <w:sz w:val="28"/>
          <w:szCs w:val="28"/>
        </w:rPr>
        <w:t>★</w:t>
      </w:r>
      <w:r>
        <w:rPr>
          <w:rFonts w:ascii="Times New Roman" w:eastAsia="方正仿宋_GBK" w:hAnsi="Times New Roman"/>
          <w:sz w:val="28"/>
          <w:szCs w:val="28"/>
        </w:rPr>
        <w:t>3.10</w:t>
      </w:r>
      <w:r>
        <w:rPr>
          <w:rFonts w:ascii="Segoe UI Symbol" w:eastAsia="方正仿宋_GBK" w:hAnsi="Segoe UI Symbol" w:cs="Segoe UI Symbol"/>
          <w:sz w:val="28"/>
          <w:szCs w:val="28"/>
        </w:rPr>
        <w:t>供应商根据用户需要开放仪器数据接口，实现实验室LIMS系统与仪器双向联接。（投标人提供承诺函，格式自拟）</w:t>
      </w:r>
    </w:p>
    <w:p>
      <w:pPr>
        <w:pStyle w:val="910"/>
        <w:spacing w:line="400" w:lineRule="exact"/>
        <w:rPr>
          <w:rFonts w:ascii="Times New Roman" w:eastAsia="方正仿宋_GBK" w:hAnsi="Times New Roman"/>
          <w:bCs/>
          <w:sz w:val="28"/>
          <w:szCs w:val="28"/>
        </w:rPr>
      </w:pPr>
    </w:p>
    <w:p>
      <w:pPr>
        <w:spacing w:line="400" w:lineRule="exact"/>
        <w:outlineLvl w:val="2"/>
        <w:rPr>
          <w:rFonts w:ascii="方正仿宋_GBK" w:eastAsia="方正仿宋_GBK"/>
          <w:b/>
          <w:sz w:val="28"/>
          <w:szCs w:val="28"/>
        </w:rPr>
      </w:pPr>
      <w:r>
        <w:rPr>
          <w:rFonts w:ascii="Times New Roman" w:eastAsia="方正仿宋_GBK" w:hAnsi="Times New Roman" w:hint="eastAsia"/>
          <w:bCs/>
          <w:sz w:val="28"/>
          <w:szCs w:val="28"/>
        </w:rPr>
        <w:t>★</w:t>
      </w:r>
      <w:r>
        <w:rPr>
          <w:rFonts w:ascii="方正仿宋_GBK" w:eastAsia="方正仿宋_GBK" w:hint="eastAsia"/>
          <w:b/>
          <w:sz w:val="28"/>
          <w:szCs w:val="28"/>
        </w:rPr>
        <w:t>4.主要配置</w:t>
      </w:r>
    </w:p>
    <w:p>
      <w:pPr>
        <w:spacing w:line="400" w:lineRule="exact"/>
        <w:rPr>
          <w:rFonts w:ascii="方正仿宋_GBK" w:eastAsia="方正仿宋_GBK"/>
          <w:sz w:val="28"/>
          <w:szCs w:val="28"/>
        </w:rPr>
      </w:pPr>
      <w:r>
        <w:rPr>
          <w:rFonts w:ascii="Times New Roman" w:eastAsia="方正仿宋_GBK" w:hAnsi="Times New Roman" w:hint="eastAsia"/>
          <w:bCs/>
          <w:sz w:val="28"/>
          <w:szCs w:val="28"/>
        </w:rPr>
        <w:t>主机（含梯度泵2套、电子六通进样阀2个、蠕动泵2套）、在线淋洗液脱气系统2套、在线样品脱气系统2套、洗脱液套件3套、自动进样器1个、柱温箱1个、阴离子连续自动再生抑制器1个、阳离子连续自动再生抑制器1个、电导检测器1个、安培检测器1个、</w:t>
      </w:r>
      <w:r>
        <w:rPr>
          <w:rFonts w:ascii="方正仿宋_GBK" w:eastAsia="方正仿宋_GBK" w:hint="eastAsia"/>
          <w:bCs/>
          <w:sz w:val="28"/>
          <w:szCs w:val="28"/>
        </w:rPr>
        <w:t>金电极和银电极各1套</w:t>
      </w:r>
      <w:r>
        <w:rPr>
          <w:rFonts w:ascii="Times New Roman" w:eastAsia="方正仿宋_GBK" w:hAnsi="Times New Roman" w:hint="eastAsia"/>
          <w:bCs/>
          <w:sz w:val="28"/>
          <w:szCs w:val="28"/>
        </w:rPr>
        <w:t>、自动淋洗液发生器1个、色谱工作站1个、激光打印机1套、阴离子分离柱及保护柱各1个、阳离子分离柱及保护柱各1个、糖</w:t>
      </w:r>
      <w:r>
        <w:rPr>
          <w:rFonts w:ascii="Times New Roman" w:eastAsia="方正仿宋_GBK" w:hAnsi="Times New Roman"/>
          <w:bCs/>
          <w:sz w:val="28"/>
          <w:szCs w:val="28"/>
        </w:rPr>
        <w:t>分析柱</w:t>
      </w:r>
      <w:r>
        <w:rPr>
          <w:rFonts w:ascii="Times New Roman" w:eastAsia="方正仿宋_GBK" w:hAnsi="Times New Roman" w:hint="eastAsia"/>
          <w:bCs/>
          <w:sz w:val="28"/>
          <w:szCs w:val="28"/>
        </w:rPr>
        <w:t>及保护柱各1个、不间断电源1套。</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控制电脑1套：配套使用电脑（或工作站）的产品技术指标需满足财库《台式计算机（或工作站）政府采购需求标准（2023年版）》中的星标项“</w:t>
      </w:r>
      <w:r>
        <w:rPr>
          <w:rFonts w:ascii="Times New Roman" w:eastAsia="方正仿宋_GBK" w:hAnsi="Times New Roman"/>
          <w:bCs/>
          <w:sz w:val="28"/>
          <w:szCs w:val="28"/>
        </w:rPr>
        <w:t>*</w:t>
      </w:r>
      <w:r>
        <w:rPr>
          <w:rFonts w:ascii="Times New Roman" w:eastAsia="方正仿宋_GBK" w:hAnsi="Times New Roman" w:hint="eastAsia"/>
          <w:bCs/>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bCs/>
          <w:sz w:val="28"/>
          <w:szCs w:val="28"/>
        </w:rPr>
        <w:t>*</w:t>
      </w:r>
      <w:r>
        <w:rPr>
          <w:rFonts w:ascii="Times New Roman" w:eastAsia="方正仿宋_GBK" w:hAnsi="Times New Roman" w:hint="eastAsia"/>
          <w:bCs/>
          <w:sz w:val="28"/>
          <w:szCs w:val="28"/>
        </w:rPr>
        <w:t>”指标的承诺函，格式自拟。</w:t>
      </w:r>
    </w:p>
    <w:p/>
    <w:p>
      <w:pPr>
        <w:spacing w:before="120" w:beforeLines="50" w:after="120" w:afterLines="50" w:line="400" w:lineRule="exact"/>
        <w:rPr>
          <w:rFonts w:ascii="方正楷体_GBK" w:eastAsia="方正楷体_GBK"/>
          <w:b/>
          <w:sz w:val="28"/>
          <w:szCs w:val="28"/>
        </w:rPr>
      </w:pPr>
      <w:r>
        <w:rPr>
          <w:rFonts w:ascii="方正楷体_GBK" w:eastAsia="方正楷体_GBK" w:hint="eastAsia"/>
          <w:b/>
          <w:sz w:val="28"/>
          <w:szCs w:val="28"/>
        </w:rPr>
        <w:t>品目2</w:t>
      </w:r>
      <w:r>
        <w:rPr>
          <w:rFonts w:ascii="方正楷体_GBK" w:eastAsia="方正楷体_GBK"/>
          <w:b/>
          <w:sz w:val="28"/>
          <w:szCs w:val="28"/>
        </w:rPr>
        <w:t>：</w:t>
      </w:r>
      <w:r>
        <w:rPr>
          <w:rFonts w:ascii="方正楷体_GBK" w:eastAsia="方正楷体_GBK" w:hint="eastAsia"/>
          <w:b/>
          <w:sz w:val="28"/>
          <w:szCs w:val="28"/>
        </w:rPr>
        <w:t>离子色谱仪5</w:t>
      </w:r>
    </w:p>
    <w:p>
      <w:pPr>
        <w:spacing w:line="400" w:lineRule="exact"/>
        <w:outlineLvl w:val="2"/>
        <w:rPr>
          <w:rFonts w:ascii="方正仿宋_GBK" w:eastAsia="方正仿宋_GBK"/>
          <w:b/>
          <w:sz w:val="28"/>
          <w:szCs w:val="28"/>
        </w:rPr>
      </w:pPr>
      <w:r>
        <w:rPr>
          <w:rFonts w:ascii="Times New Roman" w:eastAsia="方正仿宋_GBK" w:hAnsi="Times New Roman"/>
          <w:b/>
          <w:sz w:val="28"/>
          <w:szCs w:val="28"/>
        </w:rPr>
        <w:t>1.</w:t>
      </w:r>
      <w:r>
        <w:rPr>
          <w:rFonts w:ascii="方正仿宋_GBK" w:eastAsia="方正仿宋_GBK" w:hint="eastAsia"/>
          <w:b/>
          <w:sz w:val="28"/>
          <w:szCs w:val="28"/>
        </w:rPr>
        <w:t>主要用途</w:t>
      </w:r>
    </w:p>
    <w:p>
      <w:pPr>
        <w:pStyle w:val="910"/>
        <w:spacing w:line="400" w:lineRule="exact"/>
        <w:rPr>
          <w:rFonts w:ascii="Times New Roman" w:eastAsia="方正仿宋_GBK" w:hAnsi="Times New Roman"/>
          <w:bCs/>
          <w:sz w:val="28"/>
          <w:szCs w:val="28"/>
        </w:rPr>
      </w:pPr>
      <w:r>
        <w:rPr>
          <w:rFonts w:ascii="方正仿宋_GBK" w:eastAsia="方正仿宋_GBK" w:hint="eastAsia"/>
          <w:sz w:val="28"/>
          <w:szCs w:val="28"/>
        </w:rPr>
        <w:t xml:space="preserve">    </w:t>
      </w:r>
      <w:r>
        <w:rPr>
          <w:rFonts w:ascii="Times New Roman" w:eastAsia="方正仿宋_GBK" w:hAnsi="Times New Roman" w:hint="eastAsia"/>
          <w:bCs/>
          <w:sz w:val="28"/>
          <w:szCs w:val="28"/>
        </w:rPr>
        <w:t>适用于样品中的阴/阳离子等的分析。</w:t>
      </w:r>
    </w:p>
    <w:p>
      <w:pPr>
        <w:spacing w:line="400" w:lineRule="exact"/>
        <w:rPr>
          <w:rFonts w:ascii="方正仿宋_GBK" w:eastAsia="方正仿宋_GBK"/>
          <w:b/>
          <w:sz w:val="28"/>
          <w:szCs w:val="28"/>
        </w:rPr>
      </w:pPr>
      <w:r>
        <w:rPr>
          <w:rFonts w:ascii="Times New Roman" w:eastAsia="方正仿宋_GBK" w:hAnsi="Times New Roman" w:hint="eastAsia"/>
          <w:bCs/>
          <w:sz w:val="28"/>
          <w:szCs w:val="28"/>
        </w:rPr>
        <w:t>★</w:t>
      </w:r>
      <w:r>
        <w:rPr>
          <w:rFonts w:ascii="Times New Roman" w:eastAsia="方正仿宋_GBK" w:hAnsi="Times New Roman"/>
          <w:b/>
          <w:sz w:val="28"/>
          <w:szCs w:val="28"/>
        </w:rPr>
        <w:t>2.</w:t>
      </w:r>
      <w:r>
        <w:rPr>
          <w:rFonts w:ascii="方正仿宋_GBK" w:eastAsia="方正仿宋_GBK" w:hint="eastAsia"/>
          <w:b/>
          <w:sz w:val="28"/>
          <w:szCs w:val="28"/>
        </w:rPr>
        <w:t>特殊资质要求</w:t>
      </w:r>
    </w:p>
    <w:p>
      <w:pPr>
        <w:pStyle w:val="910"/>
        <w:spacing w:line="400" w:lineRule="exact"/>
        <w:rPr>
          <w:rFonts w:ascii="Times New Roman" w:eastAsia="方正仿宋_GBK" w:hAnsi="Times New Roman"/>
          <w:bCs/>
          <w:sz w:val="28"/>
          <w:szCs w:val="28"/>
        </w:rPr>
      </w:pPr>
      <w:r>
        <w:rPr>
          <w:rFonts w:ascii="方正仿宋_GBK" w:eastAsia="方正仿宋_GBK" w:hint="eastAsia"/>
          <w:sz w:val="28"/>
          <w:szCs w:val="28"/>
        </w:rPr>
        <w:t xml:space="preserve">    </w:t>
      </w:r>
      <w:r>
        <w:rPr>
          <w:rFonts w:ascii="方正仿宋_GBK" w:eastAsia="方正仿宋_GBK"/>
          <w:sz w:val="28"/>
          <w:szCs w:val="28"/>
        </w:rPr>
        <w:t>本项目专门面向中小企业采购。</w:t>
      </w:r>
    </w:p>
    <w:p>
      <w:pPr>
        <w:spacing w:line="400" w:lineRule="exact"/>
        <w:outlineLvl w:val="2"/>
        <w:rPr>
          <w:rFonts w:ascii="方正仿宋_GBK" w:eastAsia="方正仿宋_GBK"/>
          <w:b/>
          <w:sz w:val="28"/>
          <w:szCs w:val="28"/>
        </w:rPr>
      </w:pPr>
      <w:r>
        <w:rPr>
          <w:rFonts w:ascii="Times New Roman" w:eastAsia="方正仿宋_GBK" w:hAnsi="Times New Roman"/>
          <w:b/>
          <w:sz w:val="28"/>
          <w:szCs w:val="28"/>
        </w:rPr>
        <w:t>3.</w:t>
      </w:r>
      <w:r>
        <w:rPr>
          <w:rFonts w:ascii="方正仿宋_GBK" w:eastAsia="方正仿宋_GBK" w:hint="eastAsia"/>
          <w:b/>
          <w:sz w:val="28"/>
          <w:szCs w:val="28"/>
        </w:rPr>
        <w:t>主要技术参数</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该系统主要由泵系统、自动进样器、连续自动再生抑制器、电导检测器、色谱工作站和计算机系统组成。</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 泵系统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3.1.1 配有化学惰性的非金属无阻尼泵头，适合于pH为0～14的淋洗液及反相有机溶剂。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3.1.2 流速范围：最小流速≤0.5mL/min，最大流速≥2.5mL/min。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★3.1.3 最大泵压：≥20MPa。（提供投标人盖章的真机软件操作界面截图）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3.1.4 流路系统：耐强酸强碱的惰性材质。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▲3.1.5 配置自动漏液检测传感器，具有报警功能。（提供真机视频演示）</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3.2 自动进样器：具有自动进样功能。进样器位数：≥30位。</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3.3 连续自动再生抑制器：配有阴离子连续自动再生抑制器和阳离子连续自动再生抑制器。</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3.4 电导检测器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3.4.1 配置的电导检测器必须与连续自动再生抑制器相匹配。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▲3.4.2 分辨率：≤0.2nS/cm。（提供投标人</w:t>
      </w:r>
      <w:r>
        <w:rPr>
          <w:rFonts w:ascii="Times New Roman" w:eastAsia="方正仿宋_GBK" w:hAnsi="Times New Roman" w:hint="eastAsia"/>
          <w:sz w:val="28"/>
          <w:szCs w:val="28"/>
        </w:rPr>
        <w:t>盖章的技术白皮书</w:t>
      </w:r>
      <w:r>
        <w:rPr>
          <w:rFonts w:ascii="Times New Roman" w:eastAsia="方正仿宋_GBK" w:hAnsi="Times New Roman" w:hint="eastAsia"/>
          <w:bCs/>
          <w:sz w:val="28"/>
          <w:szCs w:val="28"/>
        </w:rPr>
        <w:t>）</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3.4.3 具有可控恒温的功能。温度稳定性：≤0.01℃/h。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3.4.4 全程信号输出范围：最小信号≤0.01µS/cm，最大信号≥10000µS/cm。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3.4.5 漂移：≤5nS/H(满量程)。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★3.4.6 电导池体积：≤1.5μL。（提供投标人盖章的</w:t>
      </w:r>
      <w:r>
        <w:rPr>
          <w:rFonts w:ascii="Times New Roman" w:eastAsia="方正仿宋_GBK" w:hAnsi="Times New Roman" w:hint="eastAsia"/>
          <w:sz w:val="28"/>
          <w:szCs w:val="28"/>
        </w:rPr>
        <w:t>技术白皮书</w:t>
      </w:r>
      <w:r>
        <w:rPr>
          <w:rFonts w:ascii="Times New Roman" w:eastAsia="方正仿宋_GBK" w:hAnsi="Times New Roman" w:hint="eastAsia"/>
          <w:bCs/>
          <w:sz w:val="28"/>
          <w:szCs w:val="28"/>
        </w:rPr>
        <w:t>）</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3.5 色谱工作站：通过计算机直接控制仪器的运行，实现全自动数据采集、色谱定性、定量分析和分析报告。</w:t>
      </w:r>
    </w:p>
    <w:p>
      <w:pPr>
        <w:pStyle w:val="9910"/>
        <w:spacing w:line="400" w:lineRule="exact"/>
        <w:rPr>
          <w:rFonts w:ascii="Segoe UI Symbol" w:eastAsia="方正仿宋_GBK" w:hAnsi="Segoe UI Symbol" w:cs="Segoe UI Symbol"/>
          <w:sz w:val="28"/>
          <w:szCs w:val="28"/>
        </w:rPr>
      </w:pPr>
      <w:r>
        <w:rPr>
          <w:rFonts w:ascii="方正仿宋_GBK" w:eastAsia="方正仿宋_GBK" w:hint="eastAsia"/>
          <w:sz w:val="28"/>
          <w:szCs w:val="28"/>
        </w:rPr>
        <w:t>★</w:t>
      </w:r>
      <w:r>
        <w:rPr>
          <w:rFonts w:ascii="Times New Roman" w:eastAsia="方正仿宋_GBK" w:hAnsi="Times New Roman"/>
          <w:sz w:val="28"/>
          <w:szCs w:val="28"/>
        </w:rPr>
        <w:t>3.6</w:t>
      </w:r>
      <w:r>
        <w:rPr>
          <w:rFonts w:ascii="Segoe UI Symbol" w:eastAsia="方正仿宋_GBK" w:hAnsi="Segoe UI Symbol" w:cs="Segoe UI Symbol"/>
          <w:sz w:val="28"/>
          <w:szCs w:val="28"/>
        </w:rPr>
        <w:t>供应商根据用户需要开放仪器数据接口，实现实验室LIMS系统与仪器双向联接。（投标人提供承诺函，格式自拟）</w:t>
      </w:r>
    </w:p>
    <w:p>
      <w:pPr>
        <w:spacing w:line="400" w:lineRule="exact"/>
        <w:rPr>
          <w:rFonts w:ascii="Times New Roman" w:eastAsia="方正仿宋_GBK" w:hAnsi="Times New Roman"/>
          <w:bCs/>
          <w:sz w:val="28"/>
          <w:szCs w:val="28"/>
        </w:rPr>
      </w:pP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 xml:space="preserve">★4. 主要配置  </w:t>
      </w:r>
    </w:p>
    <w:p>
      <w:pPr>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主机（含泵和六通阀）1套、自动进样器1个、阴离子连续自动再生抑制器1个、阳离子连续自动再生抑制器1个、电导检测器1个、色谱工作站1套、激光打印机1台、阴离子分离柱及保护柱各1支、阳离子分离柱及保护柱各1支。</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控制电脑1套：配套使用电脑（或工作站）的产品技术指标需满足财库《台式计算机（或工作站）政府采购需求标准（2023年版）》中的星标项“</w:t>
      </w:r>
      <w:r>
        <w:rPr>
          <w:rFonts w:ascii="Times New Roman" w:eastAsia="方正仿宋_GBK" w:hAnsi="Times New Roman"/>
          <w:bCs/>
          <w:sz w:val="28"/>
          <w:szCs w:val="28"/>
        </w:rPr>
        <w:t>*</w:t>
      </w:r>
      <w:r>
        <w:rPr>
          <w:rFonts w:ascii="Times New Roman" w:eastAsia="方正仿宋_GBK" w:hAnsi="Times New Roman" w:hint="eastAsia"/>
          <w:bCs/>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bCs/>
          <w:sz w:val="28"/>
          <w:szCs w:val="28"/>
        </w:rPr>
        <w:t>*</w:t>
      </w:r>
      <w:r>
        <w:rPr>
          <w:rFonts w:ascii="Times New Roman" w:eastAsia="方正仿宋_GBK" w:hAnsi="Times New Roman" w:hint="eastAsia"/>
          <w:bCs/>
          <w:sz w:val="28"/>
          <w:szCs w:val="28"/>
        </w:rPr>
        <w:t xml:space="preserve">”指标的承诺函，格式自拟。  </w:t>
      </w:r>
    </w:p>
    <w:p>
      <w:pPr>
        <w:spacing w:line="400" w:lineRule="exact"/>
        <w:rPr>
          <w:rFonts w:ascii="宋体" w:hAnsi="宋体"/>
          <w:sz w:val="28"/>
          <w:szCs w:val="28"/>
        </w:rPr>
      </w:pPr>
    </w:p>
    <w:p>
      <w:pPr>
        <w:spacing w:before="120" w:beforeLines="50" w:after="120" w:afterLines="50" w:line="400" w:lineRule="exact"/>
        <w:outlineLvl w:val="1"/>
        <w:rPr>
          <w:rFonts w:ascii="方正楷体_GBK" w:eastAsia="方正楷体_GBK"/>
          <w:b/>
          <w:sz w:val="28"/>
          <w:szCs w:val="28"/>
        </w:rPr>
      </w:pPr>
      <w:r>
        <w:rPr>
          <w:rFonts w:ascii="方正楷体_GBK" w:eastAsia="方正楷体_GBK" w:hint="eastAsia"/>
          <w:b/>
          <w:sz w:val="28"/>
          <w:szCs w:val="28"/>
        </w:rPr>
        <w:t>品目3</w:t>
      </w:r>
      <w:r>
        <w:rPr>
          <w:rFonts w:ascii="方正楷体_GBK" w:eastAsia="方正楷体_GBK"/>
          <w:b/>
          <w:sz w:val="28"/>
          <w:szCs w:val="28"/>
        </w:rPr>
        <w:t>：</w:t>
      </w:r>
      <w:r>
        <w:rPr>
          <w:rFonts w:ascii="方正楷体_GBK" w:eastAsia="方正楷体_GBK" w:hint="eastAsia"/>
          <w:b/>
          <w:sz w:val="28"/>
          <w:szCs w:val="28"/>
        </w:rPr>
        <w:t>离子色谱仪6</w:t>
      </w:r>
    </w:p>
    <w:p>
      <w:pPr>
        <w:spacing w:line="400" w:lineRule="exact"/>
        <w:outlineLvl w:val="2"/>
        <w:rPr>
          <w:rFonts w:ascii="方正仿宋_GBK" w:eastAsia="方正仿宋_GBK"/>
          <w:b/>
          <w:sz w:val="28"/>
          <w:szCs w:val="28"/>
        </w:rPr>
      </w:pPr>
      <w:r>
        <w:rPr>
          <w:rFonts w:ascii="Times New Roman" w:eastAsia="方正仿宋_GBK" w:hAnsi="Times New Roman"/>
          <w:b/>
          <w:sz w:val="28"/>
          <w:szCs w:val="28"/>
        </w:rPr>
        <w:t>1.</w:t>
      </w:r>
      <w:r>
        <w:rPr>
          <w:rFonts w:ascii="方正仿宋_GBK" w:eastAsia="方正仿宋_GBK" w:hint="eastAsia"/>
          <w:b/>
          <w:sz w:val="28"/>
          <w:szCs w:val="28"/>
        </w:rPr>
        <w:t>主要用途</w:t>
      </w:r>
    </w:p>
    <w:p>
      <w:pPr>
        <w:spacing w:line="400" w:lineRule="exact"/>
        <w:rPr>
          <w:rFonts w:ascii="方正仿宋_GBK" w:eastAsia="方正仿宋_GBK"/>
          <w:sz w:val="28"/>
          <w:szCs w:val="28"/>
        </w:rPr>
      </w:pPr>
      <w:r>
        <w:rPr>
          <w:rFonts w:ascii="方正仿宋_GBK" w:eastAsia="方正仿宋_GBK" w:hint="eastAsia"/>
          <w:sz w:val="28"/>
          <w:szCs w:val="28"/>
        </w:rPr>
        <w:t xml:space="preserve">    适用于煤炭、矿石、土壤、水泥、半导体材料、降解材料、电池材料、石化产品、纺织品等物质的氟、氯、溴、硫元素的定性定量分析。 </w:t>
      </w:r>
    </w:p>
    <w:p>
      <w:pPr>
        <w:spacing w:line="400" w:lineRule="exact"/>
        <w:rPr>
          <w:rFonts w:ascii="方正仿宋_GBK" w:eastAsia="方正仿宋_GBK"/>
          <w:b/>
          <w:sz w:val="28"/>
          <w:szCs w:val="28"/>
        </w:rPr>
      </w:pPr>
      <w:r>
        <w:rPr>
          <w:rFonts w:ascii="方正楷体_GBK" w:eastAsia="方正楷体_GBK" w:cs="Arial" w:hint="eastAsia"/>
          <w:b/>
          <w:bCs/>
          <w:sz w:val="28"/>
          <w:szCs w:val="28"/>
        </w:rPr>
        <w:t>★</w:t>
      </w:r>
      <w:r>
        <w:rPr>
          <w:rFonts w:ascii="Times New Roman" w:eastAsia="方正仿宋_GBK" w:hAnsi="Times New Roman"/>
          <w:b/>
          <w:sz w:val="28"/>
          <w:szCs w:val="28"/>
        </w:rPr>
        <w:t>2.</w:t>
      </w:r>
      <w:r>
        <w:rPr>
          <w:rFonts w:ascii="方正仿宋_GBK" w:eastAsia="方正仿宋_GBK" w:hint="eastAsia"/>
          <w:b/>
          <w:sz w:val="28"/>
          <w:szCs w:val="28"/>
        </w:rPr>
        <w:t>特殊资质要求</w:t>
      </w:r>
    </w:p>
    <w:p>
      <w:pPr>
        <w:spacing w:line="400" w:lineRule="exact"/>
        <w:rPr>
          <w:rFonts w:ascii="方正仿宋_GBK" w:eastAsia="方正仿宋_GBK"/>
          <w:sz w:val="28"/>
          <w:szCs w:val="28"/>
        </w:rPr>
      </w:pPr>
      <w:r>
        <w:rPr>
          <w:rFonts w:ascii="方正仿宋_GBK" w:eastAsia="方正仿宋_GBK" w:hint="eastAsia"/>
          <w:sz w:val="28"/>
          <w:szCs w:val="28"/>
        </w:rPr>
        <w:t xml:space="preserve">    </w:t>
      </w:r>
      <w:r>
        <w:rPr>
          <w:rFonts w:ascii="方正仿宋_GBK" w:eastAsia="方正仿宋_GBK"/>
          <w:sz w:val="28"/>
          <w:szCs w:val="28"/>
        </w:rPr>
        <w:t>本项目专门面向中小企业采购。</w:t>
      </w:r>
    </w:p>
    <w:p>
      <w:pPr>
        <w:spacing w:line="400" w:lineRule="exact"/>
        <w:outlineLvl w:val="2"/>
        <w:rPr>
          <w:rFonts w:ascii="方正仿宋_GBK" w:eastAsia="方正仿宋_GBK"/>
          <w:b/>
          <w:sz w:val="28"/>
          <w:szCs w:val="28"/>
        </w:rPr>
      </w:pPr>
      <w:r>
        <w:rPr>
          <w:rFonts w:ascii="Times New Roman" w:eastAsia="方正仿宋_GBK" w:hAnsi="Times New Roman"/>
          <w:b/>
          <w:sz w:val="28"/>
          <w:szCs w:val="28"/>
        </w:rPr>
        <w:t>3.</w:t>
      </w:r>
      <w:r>
        <w:rPr>
          <w:rFonts w:ascii="方正仿宋_GBK" w:eastAsia="方正仿宋_GBK" w:hint="eastAsia"/>
          <w:b/>
          <w:sz w:val="28"/>
          <w:szCs w:val="28"/>
        </w:rPr>
        <w:t>主要技术参数</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该系统主要由泵系统、抑制器、电导检测器、燃烧炉、燃烧炉自动进样器、色谱工作站和计算机系统组成。</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w:t>
        <w:tab/>
        <w:t>测试元素：氟、氯、溴、硫。</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w:t>
        <w:tab/>
        <w:t>3.2</w:t>
        <w:tab/>
        <w:t>测试范围满足：氟、氯、溴、硫：0.001%~30%；四种元素定量限均≤10 mg/kg。（提供投标人盖章的测试报告，测试报告中应至少含有氟、氯、溴、硫的定量限、测试范围等）</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3.3</w:t>
        <w:tab/>
        <w:t>裂解时间：≤30min，可设定裂解时间。</w:t>
      </w:r>
    </w:p>
    <w:p>
      <w:pPr>
        <w:pStyle w:val="910"/>
        <w:spacing w:line="400" w:lineRule="exact"/>
        <w:rPr>
          <w:rFonts w:ascii="Times New Roman" w:eastAsia="方正仿宋_GBK" w:hAnsi="Times New Roman"/>
          <w:bCs/>
          <w:color w:val="007BB8"/>
          <w:sz w:val="28"/>
          <w:szCs w:val="28"/>
        </w:rPr>
      </w:pPr>
      <w:r>
        <w:rPr>
          <w:rFonts w:ascii="Times New Roman" w:eastAsia="方正仿宋_GBK" w:hAnsi="Times New Roman" w:hint="eastAsia"/>
          <w:bCs/>
          <w:sz w:val="28"/>
          <w:szCs w:val="28"/>
        </w:rPr>
        <w:t>★3.4燃烧炉最高温度：≥1100℃，控温精度：≤5℃。（提供投标人盖章的仪器技术说明书和仪器工作站软件截图，应能证实是否符合要求）</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3.5</w:t>
        <w:tab/>
        <w:t>可通过软件设置水蒸汽流量、各步进样距离、进样时间、停留时间等，保证灼烧裂解充分。</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▲3.6自动进样，支持固体和溶液样品直接进样分析。燃烧炉自动进样器位数：≥9位，坩埚体积：≥3ml。（提供投标人盖章的仪器实物照片和仪器工作站软件截图，应能证实是否符合要求）</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3.7 泵：高压低脉冲泵，最大耐压：≥35MPa。</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3.8 检测器：电导检测器，分辨率：≤0.003 nS。</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3.9 抑制器：电解微膜抑制器。</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3.10 色谱柱：高容量阴离子分离柱及保护柱。</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3.11进样口和燃烧管尾端均采用冷却循环水降温，确保样品不挥发和目标物完全冷凝吸收。</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3.12燃烧炉可同时通氧气、氩气、水蒸气，且可单独调节流量。</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3.13可适用于SN/T 5576-2023《煤中氟和氯的测定在线燃烧离子色谱法》、GB/T 40111-2021《石油产品中氟、氯和硫含量的测定 燃烧-离子色谱法》方法。</w:t>
      </w:r>
    </w:p>
    <w:p>
      <w:pPr>
        <w:pStyle w:val="910"/>
        <w:spacing w:line="400" w:lineRule="exact"/>
        <w:rPr>
          <w:rFonts w:ascii="Times New Roman" w:eastAsia="方正仿宋_GBK" w:hAnsi="Times New Roman"/>
          <w:bCs/>
          <w:sz w:val="28"/>
          <w:szCs w:val="28"/>
        </w:rPr>
      </w:pPr>
      <w:r>
        <w:rPr>
          <w:rFonts w:ascii="Times New Roman" w:eastAsia="方正仿宋_GBK" w:hAnsi="Times New Roman" w:hint="eastAsia"/>
          <w:bCs/>
          <w:sz w:val="28"/>
          <w:szCs w:val="28"/>
        </w:rPr>
        <w:t>3.14 色谱工作站：通过计算机直接控制仪器的运行。可集成控制燃烧炉和离子色谱仪，两个模块也可单独控制使用。工作站可以实现全自动数据采集，色谱定性、定量分析和分析报告。</w:t>
      </w:r>
    </w:p>
    <w:p>
      <w:pPr>
        <w:pStyle w:val="10010"/>
        <w:spacing w:line="400" w:lineRule="exact"/>
        <w:rPr>
          <w:rFonts w:ascii="Segoe UI Symbol" w:eastAsia="方正仿宋_GBK" w:hAnsi="Segoe UI Symbol" w:cs="Segoe UI Symbol"/>
          <w:sz w:val="28"/>
          <w:szCs w:val="28"/>
        </w:rPr>
      </w:pPr>
      <w:r>
        <w:rPr>
          <w:rFonts w:ascii="方正仿宋_GBK" w:eastAsia="方正仿宋_GBK" w:hint="eastAsia"/>
          <w:sz w:val="28"/>
          <w:szCs w:val="28"/>
        </w:rPr>
        <w:t>★</w:t>
      </w:r>
      <w:r>
        <w:rPr>
          <w:rFonts w:ascii="Times New Roman" w:eastAsia="方正仿宋_GBK" w:hAnsi="Times New Roman"/>
          <w:sz w:val="28"/>
          <w:szCs w:val="28"/>
        </w:rPr>
        <w:t>3.15</w:t>
      </w:r>
      <w:r>
        <w:rPr>
          <w:rFonts w:ascii="Segoe UI Symbol" w:eastAsia="方正仿宋_GBK" w:hAnsi="Segoe UI Symbol" w:cs="Segoe UI Symbol"/>
          <w:sz w:val="28"/>
          <w:szCs w:val="28"/>
        </w:rPr>
        <w:t>供应商根据用户需要开放仪器数据接口，实现实验室LIMS系统与仪器双向联接。（投标人提供承诺函，格式自拟）</w:t>
      </w:r>
    </w:p>
    <w:p>
      <w:pPr>
        <w:pStyle w:val="910"/>
        <w:spacing w:line="400" w:lineRule="exact"/>
        <w:rPr>
          <w:rFonts w:ascii="Times New Roman" w:eastAsia="方正仿宋_GBK" w:hAnsi="Times New Roman"/>
          <w:bCs/>
          <w:sz w:val="28"/>
          <w:szCs w:val="28"/>
        </w:rPr>
      </w:pPr>
    </w:p>
    <w:p>
      <w:pPr>
        <w:spacing w:line="400" w:lineRule="exact"/>
        <w:outlineLvl w:val="2"/>
        <w:rPr>
          <w:rFonts w:ascii="方正仿宋_GBK" w:eastAsia="方正仿宋_GBK"/>
          <w:b/>
          <w:sz w:val="28"/>
          <w:szCs w:val="28"/>
        </w:rPr>
      </w:pPr>
      <w:r>
        <w:rPr>
          <w:rFonts w:ascii="Times New Roman" w:eastAsia="方正仿宋_GBK" w:hAnsi="Times New Roman" w:hint="eastAsia"/>
          <w:bCs/>
          <w:sz w:val="28"/>
          <w:szCs w:val="28"/>
        </w:rPr>
        <w:t>★</w:t>
      </w:r>
      <w:r>
        <w:rPr>
          <w:rFonts w:ascii="方正仿宋_GBK" w:eastAsia="方正仿宋_GBK" w:hint="eastAsia"/>
          <w:b/>
          <w:sz w:val="28"/>
          <w:szCs w:val="28"/>
        </w:rPr>
        <w:t>4.主要配置</w:t>
      </w:r>
    </w:p>
    <w:p>
      <w:pPr>
        <w:spacing w:line="400" w:lineRule="exact"/>
        <w:rPr>
          <w:rFonts w:ascii="方正仿宋_GBK" w:eastAsia="方正仿宋_GBK"/>
          <w:sz w:val="28"/>
          <w:szCs w:val="28"/>
        </w:rPr>
      </w:pPr>
      <w:r>
        <w:rPr>
          <w:rFonts w:ascii="Times New Roman" w:eastAsia="方正仿宋_GBK" w:hAnsi="Times New Roman" w:hint="eastAsia"/>
          <w:bCs/>
          <w:sz w:val="28"/>
          <w:szCs w:val="28"/>
        </w:rPr>
        <w:t>离子色谱仪主机1套、燃烧炉1套、燃烧炉自动进样器1套、阴离子抑制器1套、电导检测器1台，高容量阴离子色谱柱和保护柱2套、配套集成式水箱1个（内含带制冷功能的冷却循环水箱、废水箱、纯水箱）、操作软件1套、燃烧一体管2个、送样杆2个、进样石英管2套、收集瓶2个、进气管4个、样品舟（坩埚）100个、配套专用工具1套、激光打印机1台。</w:t>
      </w:r>
    </w:p>
    <w:p>
      <w:pPr>
        <w:pStyle w:val="910"/>
        <w:spacing w:line="400" w:lineRule="exact"/>
        <w:rPr>
          <w:rFonts w:ascii="Times New Roman" w:eastAsia="方正仿宋_GBK" w:hAnsi="Times New Roman"/>
          <w:sz w:val="28"/>
          <w:szCs w:val="28"/>
        </w:rPr>
      </w:pPr>
      <w:r>
        <w:rPr>
          <w:rFonts w:ascii="Times New Roman" w:eastAsia="方正仿宋_GBK" w:hAnsi="Times New Roman" w:hint="eastAsia"/>
          <w:bCs/>
          <w:sz w:val="28"/>
          <w:szCs w:val="28"/>
        </w:rPr>
        <w:t>控制电脑1套：配套使用电脑（或工作站）的产品技术指标需满足财库《台式计算机（或工作站）政府采购需求标准（2023年版）》中的星标项“</w:t>
      </w:r>
      <w:r>
        <w:rPr>
          <w:rFonts w:ascii="Times New Roman" w:eastAsia="方正仿宋_GBK" w:hAnsi="Times New Roman"/>
          <w:bCs/>
          <w:sz w:val="28"/>
          <w:szCs w:val="28"/>
        </w:rPr>
        <w:t>*</w:t>
      </w:r>
      <w:r>
        <w:rPr>
          <w:rFonts w:ascii="Times New Roman" w:eastAsia="方正仿宋_GBK" w:hAnsi="Times New Roman" w:hint="eastAsia"/>
          <w:bCs/>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bCs/>
          <w:sz w:val="28"/>
          <w:szCs w:val="28"/>
        </w:rPr>
        <w:t>*</w:t>
      </w:r>
      <w:r>
        <w:rPr>
          <w:rFonts w:ascii="Times New Roman" w:eastAsia="方正仿宋_GBK" w:hAnsi="Times New Roman" w:hint="eastAsia"/>
          <w:bCs/>
          <w:sz w:val="28"/>
          <w:szCs w:val="28"/>
        </w:rPr>
        <w:t>”指标的承诺函，格式自拟。</w:t>
      </w:r>
    </w:p>
    <w:p>
      <w:pPr>
        <w:spacing w:line="400" w:lineRule="exact"/>
        <w:rPr>
          <w:rFonts w:ascii="Times New Roman" w:eastAsia="方正仿宋_GBK" w:hAnsi="Times New Roman"/>
          <w:sz w:val="28"/>
          <w:szCs w:val="28"/>
        </w:rPr>
      </w:pPr>
    </w:p>
    <w:p>
      <w:pPr>
        <w:spacing w:line="400" w:lineRule="exact"/>
        <w:rPr>
          <w:rFonts w:ascii="方正黑体_GBK" w:eastAsia="方正黑体_GBK"/>
          <w:b/>
          <w:sz w:val="28"/>
          <w:szCs w:val="28"/>
        </w:rPr>
      </w:pPr>
      <w:r>
        <w:rPr>
          <w:rFonts w:ascii="方正仿宋_GBK" w:eastAsia="方正仿宋_GBK" w:cs="Arial" w:hint="eastAsia"/>
          <w:b/>
          <w:bCs/>
          <w:sz w:val="28"/>
          <w:szCs w:val="28"/>
        </w:rPr>
        <w:t>★</w:t>
      </w:r>
      <w:r>
        <w:rPr>
          <w:rFonts w:ascii="方正黑体_GBK" w:eastAsia="方正黑体_GBK" w:hint="eastAsia"/>
          <w:b/>
          <w:sz w:val="28"/>
          <w:szCs w:val="28"/>
        </w:rPr>
        <w:t>四、</w:t>
      </w:r>
      <w:r>
        <w:rPr>
          <w:rFonts w:ascii="方正黑体_GBK" w:eastAsia="方正黑体_GBK"/>
          <w:b/>
          <w:sz w:val="28"/>
          <w:szCs w:val="28"/>
        </w:rPr>
        <w:t>交货期</w:t>
      </w:r>
    </w:p>
    <w:p>
      <w:pPr>
        <w:pStyle w:val="761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产品不得超过正式签订合同后30个日历日。</w:t>
      </w:r>
    </w:p>
    <w:p>
      <w:pPr>
        <w:spacing w:line="400" w:lineRule="exact"/>
        <w:ind w:firstLine="553"/>
        <w:rPr>
          <w:rFonts w:ascii="Times New Roman" w:eastAsia="方正仿宋_GBK" w:hAnsi="Times New Roman"/>
          <w:color w:val="FF0000"/>
          <w:sz w:val="28"/>
          <w:szCs w:val="28"/>
        </w:rPr>
      </w:pPr>
      <w:r>
        <w:rPr>
          <w:rFonts w:ascii="Times New Roman" w:eastAsia="方正仿宋_GBK" w:hAnsi="Times New Roman" w:hint="eastAsia"/>
          <w:color w:val="FF0000"/>
          <w:sz w:val="28"/>
          <w:szCs w:val="28"/>
        </w:rPr>
        <w:t xml:space="preserve"> </w:t>
      </w:r>
    </w:p>
    <w:p>
      <w:pPr>
        <w:pStyle w:val="6110"/>
        <w:spacing w:line="400" w:lineRule="exact"/>
        <w:rPr>
          <w:rFonts w:ascii="方正黑体_GBK" w:eastAsia="方正黑体_GBK"/>
          <w:b/>
          <w:sz w:val="28"/>
          <w:szCs w:val="28"/>
        </w:rPr>
      </w:pPr>
      <w:r>
        <w:rPr>
          <w:rFonts w:ascii="方正仿宋_GBK" w:eastAsia="方正仿宋_GBK" w:cs="Arial" w:hint="eastAsia"/>
          <w:b/>
          <w:bCs/>
          <w:sz w:val="28"/>
          <w:szCs w:val="28"/>
        </w:rPr>
        <w:t>★</w:t>
      </w:r>
      <w:r>
        <w:rPr>
          <w:rFonts w:ascii="方正黑体_GBK" w:eastAsia="方正黑体_GBK" w:hint="eastAsia"/>
          <w:b/>
          <w:sz w:val="28"/>
          <w:szCs w:val="28"/>
        </w:rPr>
        <w:t>五、</w:t>
      </w:r>
      <w:r>
        <w:rPr>
          <w:rFonts w:ascii="方正黑体_GBK" w:eastAsia="方正黑体_GBK"/>
          <w:b/>
          <w:sz w:val="28"/>
          <w:szCs w:val="28"/>
        </w:rPr>
        <w:t>交货地点</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bCs/>
          <w:sz w:val="28"/>
          <w:szCs w:val="28"/>
        </w:rPr>
        <w:t>交货地点为分配表中所列出直属海关</w:t>
      </w:r>
      <w:r>
        <w:rPr>
          <w:rFonts w:ascii="Times New Roman" w:eastAsia="方正仿宋_GBK" w:hAnsi="Times New Roman" w:hint="eastAsia"/>
          <w:bCs/>
          <w:sz w:val="28"/>
          <w:szCs w:val="28"/>
        </w:rPr>
        <w:t>关区内的指定地点</w:t>
      </w:r>
      <w:r>
        <w:rPr>
          <w:rFonts w:ascii="Times New Roman" w:eastAsia="方正仿宋_GBK" w:hAnsi="Times New Roman"/>
          <w:bCs/>
          <w:sz w:val="28"/>
          <w:szCs w:val="28"/>
        </w:rPr>
        <w:t>，具体安装地点以合同签订中要求为准。</w:t>
      </w:r>
    </w:p>
    <w:p>
      <w:pPr>
        <w:pStyle w:val="6210"/>
        <w:spacing w:line="400" w:lineRule="exact"/>
        <w:ind w:firstLine="553"/>
        <w:rPr>
          <w:rFonts w:ascii="Times New Roman" w:eastAsia="方正仿宋_GBK" w:hAnsi="Times New Roman"/>
          <w:sz w:val="28"/>
          <w:szCs w:val="28"/>
        </w:rPr>
      </w:pPr>
      <w:r>
        <w:rPr>
          <w:rFonts w:ascii="Times New Roman" w:eastAsia="方正仿宋_GBK" w:hAnsi="Times New Roman" w:hint="eastAsia"/>
          <w:sz w:val="28"/>
          <w:szCs w:val="28"/>
        </w:rPr>
        <w:t xml:space="preserve"> </w:t>
      </w:r>
    </w:p>
    <w:p>
      <w:pPr>
        <w:spacing w:line="400" w:lineRule="exact"/>
        <w:rPr>
          <w:rFonts w:ascii="方正黑体_GBK" w:eastAsia="方正黑体_GBK"/>
          <w:b/>
          <w:sz w:val="28"/>
          <w:szCs w:val="28"/>
        </w:rPr>
      </w:pPr>
      <w:r>
        <w:rPr>
          <w:rFonts w:ascii="方正仿宋_GBK" w:eastAsia="方正仿宋_GBK" w:cs="Arial" w:hint="eastAsia"/>
          <w:b/>
          <w:bCs/>
          <w:sz w:val="28"/>
          <w:szCs w:val="28"/>
        </w:rPr>
        <w:t>★</w:t>
      </w:r>
      <w:r>
        <w:rPr>
          <w:rFonts w:ascii="方正黑体_GBK" w:eastAsia="方正黑体_GBK"/>
          <w:b/>
          <w:sz w:val="28"/>
          <w:szCs w:val="28"/>
        </w:rPr>
        <w:t>六</w:t>
      </w:r>
      <w:r>
        <w:rPr>
          <w:rFonts w:ascii="方正黑体_GBK" w:eastAsia="方正黑体_GBK" w:hint="eastAsia"/>
          <w:b/>
          <w:sz w:val="28"/>
          <w:szCs w:val="28"/>
        </w:rPr>
        <w:t>、质保</w:t>
      </w:r>
      <w:r>
        <w:rPr>
          <w:rFonts w:ascii="方正黑体_GBK" w:eastAsia="方正黑体_GBK"/>
          <w:b/>
          <w:sz w:val="28"/>
          <w:szCs w:val="28"/>
        </w:rPr>
        <w:t>期</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bCs/>
          <w:sz w:val="28"/>
          <w:szCs w:val="28"/>
        </w:rPr>
        <w:t>产品安装调试经用户验收合格当天起，质保期1年，在质保期内，产品因故障停用，质保期相应顺延。</w:t>
      </w:r>
    </w:p>
    <w:p>
      <w:pPr>
        <w:spacing w:line="400" w:lineRule="exact"/>
        <w:ind w:firstLine="553"/>
        <w:jc w:val="left"/>
        <w:rPr>
          <w:rFonts w:ascii="Times New Roman" w:eastAsia="方正仿宋_GBK" w:hAnsi="Times New Roman"/>
          <w:sz w:val="28"/>
          <w:szCs w:val="28"/>
        </w:rPr>
      </w:pPr>
    </w:p>
    <w:p>
      <w:pPr>
        <w:widowControl/>
        <w:spacing w:line="400" w:lineRule="exact"/>
        <w:jc w:val="left"/>
        <w:outlineLvl w:val="0"/>
        <w:rPr>
          <w:rFonts w:ascii="方正黑体_GBK" w:eastAsia="方正黑体_GBK"/>
          <w:b/>
          <w:sz w:val="28"/>
          <w:szCs w:val="28"/>
        </w:rPr>
      </w:pPr>
      <w:r>
        <w:rPr>
          <w:rFonts w:ascii="方正黑体_GBK" w:eastAsia="方正黑体_GBK"/>
          <w:b/>
          <w:sz w:val="28"/>
          <w:szCs w:val="28"/>
        </w:rPr>
        <w:t>七</w:t>
      </w:r>
      <w:r>
        <w:rPr>
          <w:rFonts w:ascii="方正黑体_GBK" w:eastAsia="方正黑体_GBK" w:hint="eastAsia"/>
          <w:b/>
          <w:sz w:val="28"/>
          <w:szCs w:val="28"/>
        </w:rPr>
        <w:t>、售后服务要求</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hint="eastAsia"/>
          <w:sz w:val="28"/>
          <w:szCs w:val="28"/>
        </w:rPr>
        <w:t xml:space="preserve"> </w:t>
      </w:r>
      <w:r>
        <w:rPr>
          <w:rFonts w:ascii="Times New Roman" w:eastAsia="方正仿宋_GBK" w:hAnsi="Times New Roman"/>
          <w:bCs/>
          <w:sz w:val="28"/>
          <w:szCs w:val="28"/>
        </w:rPr>
        <w:t>1.中标供应商应提供原产商质量保证和售后服务承诺书。在质量保证期内设备发生故障，中标供应商应免费提供原厂商售后维修和更换零件服务。质保期后，中标供应商提供设备终身技术支持，包括故障排除和零配件的供应、仪器软件免费升级和培训；设备出现故障需更换配件时，只收取零配件费用，免收其它费用。合同签订后，在1周内中标供应商将仪器操作间的装修要求和水、电、气要求通知需求单位。</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bCs/>
          <w:sz w:val="28"/>
          <w:szCs w:val="28"/>
        </w:rPr>
        <w:t>2.中标供应商负责将设备运至需求单位指定的地点，负责免费安装，免费现场培训及技术应用培训。中标价应包含产品的制造、材料费（主材及辅材）、运输、安装、验收、保修、税收、所有手续费等直至验收合格交付需求单位使用的所有相关费用。中标价格在中标后的合同实施期间应保持不变，即不因市场价格或政策性价格的调整而增减（若因中标人责任而导致的需方依据合同条款对中标人的扣款处罚除外）。</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bCs/>
          <w:sz w:val="28"/>
          <w:szCs w:val="28"/>
        </w:rPr>
        <w:t>3.</w:t>
      </w:r>
      <w:r>
        <w:rPr>
          <w:rFonts w:ascii="Times New Roman" w:eastAsia="方正仿宋_GBK" w:hAnsi="Times New Roman" w:hint="eastAsia"/>
          <w:bCs/>
          <w:sz w:val="28"/>
          <w:szCs w:val="28"/>
        </w:rPr>
        <w:t>货到后，中标供应商负责派技术人员到现场进行安装、调试，直至验收合格，带“★”的项目必须符合其性能。</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hint="eastAsia"/>
          <w:bCs/>
          <w:sz w:val="28"/>
          <w:szCs w:val="28"/>
        </w:rPr>
        <w:t>4</w:t>
      </w:r>
      <w:r>
        <w:rPr>
          <w:rFonts w:ascii="Times New Roman" w:eastAsia="方正仿宋_GBK" w:hAnsi="Times New Roman"/>
          <w:bCs/>
          <w:sz w:val="28"/>
          <w:szCs w:val="28"/>
        </w:rPr>
        <w:t>. 验收：</w:t>
      </w:r>
      <w:r>
        <w:rPr>
          <w:rFonts w:ascii="Times New Roman" w:eastAsia="方正仿宋_GBK" w:hAnsi="Times New Roman" w:hint="eastAsia"/>
          <w:bCs/>
          <w:sz w:val="28"/>
          <w:szCs w:val="28"/>
        </w:rPr>
        <w:t>（1）如需要，中标供应商须提供产品的原厂技术文件以及验收要求的校准文件或计量证书。属于中华人民共和国强制检定计量器具，中标供应商须负责提供法定计量证书。所需费用由中标供应商承担。（2）中标供应商设备供货、安装施工、调试、工程验收、货物运输、售后服务等均应符合国家相关法律、法规以及国家标准、相关行业标准。中标供应商提供设备的制造标准、安装标准及技术规范等有关资料必须符合国家相应的有关标准、规范要求。（3）中标供应商应向需求单位提供完整的设备技术资料、货物制造商的出厂检验报告、产品合格证明、产品保证书、认证书（如有）、政府许可证明（如有）及产品说明书等，保证产品和安装材料是新生产、未经使用过的原装原厂正品。如在交付使用前发生设备损坏和不合格，需求单位有权要求退货，因此造成的一切损失由供应商承担。（4）中标供应商根据合同要求进行系统安装、调试后，由需求单位进行使用性能方面的验收，确保在使用过程内具有满意的性能。如质量不符合要求，供应商应无条件及时更换并不得以任何原因拖延。（5）需求单位根据招标文件、中标供应商的竞标文件、合同、制造厂商的产品验收标准及中华人民共和国有关标准进行验收。需求单位有权委托国内第三方检测机构对设备的灵敏度、测量精度等技术性能进行验收。因中标供应商所提供的产品未达到招标文件中技术性能指标的，一律拒收，不予付款，需求单位有权因此终止合同的执行，中标商将自行承担所有经济损失；同时，需求单位将保留向中标供应商因设备延迟到位而造成的不良影响追索相应“违约”责任的权利。</w:t>
      </w:r>
    </w:p>
    <w:p>
      <w:pPr>
        <w:spacing w:line="400" w:lineRule="exact"/>
        <w:ind w:firstLine="560" w:firstLineChars="200"/>
        <w:rPr>
          <w:rFonts w:ascii="Times New Roman" w:eastAsia="方正仿宋_GBK" w:hAnsi="Times New Roman"/>
          <w:bCs/>
          <w:sz w:val="28"/>
          <w:szCs w:val="28"/>
        </w:rPr>
      </w:pPr>
      <w:r>
        <w:rPr>
          <w:rFonts w:ascii="Times New Roman" w:eastAsia="方正仿宋_GBK" w:hAnsi="Times New Roman" w:hint="eastAsia"/>
          <w:bCs/>
          <w:sz w:val="28"/>
          <w:szCs w:val="28"/>
        </w:rPr>
        <w:t>5</w:t>
      </w:r>
      <w:r>
        <w:rPr>
          <w:rFonts w:ascii="Times New Roman" w:eastAsia="方正仿宋_GBK" w:hAnsi="Times New Roman"/>
          <w:bCs/>
          <w:sz w:val="28"/>
          <w:szCs w:val="28"/>
        </w:rPr>
        <w:t>. 中标供应商能响应故障处理请求和电话咨询，提供7</w:t>
      </w:r>
      <w:r>
        <w:rPr>
          <w:rFonts w:ascii="Times New Roman" w:eastAsia="方正仿宋_GBK" w:hAnsi="Times New Roman" w:hint="eastAsia"/>
          <w:bCs/>
          <w:sz w:val="28"/>
          <w:szCs w:val="28"/>
        </w:rPr>
        <w:t>×</w:t>
      </w:r>
      <w:r>
        <w:rPr>
          <w:rFonts w:ascii="Times New Roman" w:eastAsia="方正仿宋_GBK" w:hAnsi="Times New Roman"/>
          <w:bCs/>
          <w:sz w:val="28"/>
          <w:szCs w:val="28"/>
        </w:rPr>
        <w:t>24小时技术支持，4小时内响应和24小时内提出解决方案，一般应在48小时内派人到现场维修的售后服务。中标供应商应提供维保人员名单、联系电话等。</w:t>
      </w:r>
    </w:p>
    <w:p>
      <w:pPr>
        <w:spacing w:line="400" w:lineRule="exact"/>
        <w:rPr>
          <w:rFonts w:ascii="方正黑体_GBK" w:eastAsia="方正黑体_GBK"/>
          <w:b/>
          <w:sz w:val="28"/>
          <w:szCs w:val="28"/>
        </w:rPr>
      </w:pPr>
    </w:p>
    <w:p>
      <w:pPr>
        <w:spacing w:line="400" w:lineRule="exact"/>
        <w:ind w:firstLine="560" w:firstLineChars="200"/>
        <w:rPr>
          <w:rFonts w:ascii="方正黑体_GBK" w:eastAsia="方正黑体_GBK"/>
          <w:b/>
          <w:sz w:val="28"/>
          <w:szCs w:val="28"/>
        </w:rPr>
      </w:pPr>
      <w:r>
        <w:rPr>
          <w:rFonts w:ascii="方正黑体_GBK" w:eastAsia="方正黑体_GBK"/>
          <w:b/>
          <w:sz w:val="28"/>
          <w:szCs w:val="28"/>
        </w:rPr>
        <w:t>八</w:t>
      </w:r>
      <w:r>
        <w:rPr>
          <w:rFonts w:ascii="方正黑体_GBK" w:eastAsia="方正黑体_GBK" w:hint="eastAsia"/>
          <w:b/>
          <w:sz w:val="28"/>
          <w:szCs w:val="28"/>
        </w:rPr>
        <w:t>、培训要求</w:t>
      </w:r>
    </w:p>
    <w:p>
      <w:pPr>
        <w:pStyle w:val="10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hint="eastAsia"/>
          <w:sz w:val="28"/>
          <w:szCs w:val="28"/>
        </w:rPr>
        <w:t>.现场培训：</w:t>
      </w:r>
      <w:r>
        <w:rPr>
          <w:rFonts w:ascii="Times New Roman" w:eastAsia="方正仿宋_GBK" w:hAnsi="Times New Roman"/>
          <w:sz w:val="28"/>
          <w:szCs w:val="28"/>
        </w:rPr>
        <w:t>仪器在安装调试同时，中标供应商负责免费派工程师对用户就仪器原理和基本操作进行现场培训，培训人员人数不限，培训时间视需求单位需要，原则上每台设备不多于2天，确保需求单位用户能正常操作。</w:t>
      </w:r>
    </w:p>
    <w:p>
      <w:pPr>
        <w:pStyle w:val="510"/>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rPr>
        <w:t>2.集中培训：</w:t>
      </w:r>
      <w:r>
        <w:rPr>
          <w:rFonts w:ascii="Times New Roman" w:eastAsia="方正仿宋_GBK" w:hAnsi="Times New Roman"/>
          <w:sz w:val="28"/>
          <w:szCs w:val="28"/>
        </w:rPr>
        <w:t>中标人免费提供需求单位至少2名技术人员到厂家国内指定地点进行相同设备专项技能培训，培训时间原则上</w:t>
      </w:r>
      <w:r>
        <w:rPr>
          <w:rFonts w:ascii="Times New Roman" w:eastAsia="方正仿宋_GBK" w:hAnsi="Times New Roman" w:hint="eastAsia"/>
          <w:sz w:val="28"/>
          <w:szCs w:val="28"/>
        </w:rPr>
        <w:t>不多于3天</w:t>
      </w:r>
      <w:r>
        <w:rPr>
          <w:rFonts w:ascii="Times New Roman" w:eastAsia="方正仿宋_GBK" w:hAnsi="Times New Roman"/>
          <w:sz w:val="28"/>
          <w:szCs w:val="28"/>
        </w:rPr>
        <w:t>。</w:t>
      </w:r>
    </w:p>
    <w:p>
      <w:pPr>
        <w:pStyle w:val="510"/>
        <w:spacing w:line="400" w:lineRule="exact"/>
        <w:ind w:firstLine="560" w:firstLineChars="200"/>
        <w:jc w:val="left"/>
        <w:rPr>
          <w:rFonts w:ascii="Times New Roman" w:eastAsia="方正仿宋_GBK" w:hAnsi="Times New Roman"/>
          <w:sz w:val="28"/>
          <w:szCs w:val="28"/>
        </w:rPr>
      </w:pPr>
    </w:p>
    <w:p>
      <w:pPr>
        <w:widowControl/>
        <w:spacing w:line="400" w:lineRule="exact"/>
        <w:ind w:firstLine="560" w:firstLineChars="200"/>
        <w:jc w:val="left"/>
        <w:outlineLvl w:val="0"/>
        <w:rPr>
          <w:rFonts w:ascii="方正黑体_GBK" w:eastAsia="方正黑体_GBK"/>
          <w:b/>
          <w:sz w:val="28"/>
          <w:szCs w:val="28"/>
        </w:rPr>
      </w:pPr>
      <w:r>
        <w:rPr>
          <w:rFonts w:ascii="方正黑体_GBK" w:eastAsia="方正黑体_GBK"/>
          <w:b/>
          <w:sz w:val="28"/>
          <w:szCs w:val="28"/>
        </w:rPr>
        <w:t>九</w:t>
      </w:r>
      <w:r>
        <w:rPr>
          <w:rFonts w:ascii="方正黑体_GBK" w:eastAsia="方正黑体_GBK" w:hint="eastAsia"/>
          <w:b/>
          <w:sz w:val="28"/>
          <w:szCs w:val="28"/>
        </w:rPr>
        <w:t>、分配表</w:t>
      </w:r>
    </w:p>
    <w:p>
      <w:pPr>
        <w:tabs>
          <w:tab w:val="left" w:pos="2160"/>
          <w:tab w:val="center" w:pos="4450"/>
        </w:tabs>
        <w:spacing w:line="400" w:lineRule="exact"/>
        <w:jc w:val="left"/>
        <w:rPr>
          <w:rFonts w:ascii="Times New Roman" w:eastAsia="方正仿宋_GBK" w:hAnsi="Times New Roman"/>
          <w:b/>
          <w:bCs/>
          <w:sz w:val="28"/>
          <w:szCs w:val="28"/>
        </w:rPr>
      </w:pPr>
      <w:r>
        <w:rPr>
          <w:rFonts w:ascii="宋体" w:hAnsi="宋体"/>
          <w:b/>
          <w:bCs/>
          <w:sz w:val="28"/>
          <w:szCs w:val="28"/>
        </w:rPr>
        <w:tab/>
        <w:tab/>
      </w:r>
      <w:r>
        <w:rPr>
          <w:rFonts w:ascii="Times New Roman" w:eastAsia="方正仿宋_GBK" w:hAnsi="Times New Roman"/>
          <w:b/>
          <w:bCs/>
          <w:sz w:val="28"/>
          <w:szCs w:val="28"/>
        </w:rPr>
        <w:t>01包</w:t>
      </w:r>
      <w:r>
        <w:rPr>
          <w:rFonts w:ascii="Times New Roman" w:eastAsia="方正仿宋_GBK" w:hAnsi="Times New Roman" w:hint="eastAsia"/>
          <w:b/>
          <w:bCs/>
          <w:sz w:val="28"/>
          <w:szCs w:val="28"/>
        </w:rPr>
        <w:t xml:space="preserve"> 离子色谱仪</w:t>
      </w:r>
      <w:r>
        <w:rPr>
          <w:rFonts w:ascii="Times New Roman" w:eastAsia="方正仿宋_GBK" w:hAnsi="Times New Roman"/>
          <w:b/>
          <w:bCs/>
          <w:sz w:val="28"/>
          <w:szCs w:val="28"/>
        </w:rPr>
        <w:t>分配表</w:t>
      </w:r>
    </w:p>
    <w:tbl>
      <w:tblPr>
        <w:tblStyle w:val="TableNormal"/>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77"/>
        <w:gridCol w:w="2749"/>
        <w:gridCol w:w="1827"/>
        <w:gridCol w:w="1769"/>
        <w:gridCol w:w="1769"/>
      </w:tblGrid>
      <w:tr>
        <w:tblPrEx>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需求单位</w:t>
            </w:r>
          </w:p>
        </w:tc>
        <w:tc>
          <w:tcPr>
            <w:tcW w:w="274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品名/</w:t>
            </w:r>
            <w:r>
              <w:rPr>
                <w:rFonts w:ascii="Times New Roman" w:eastAsia="方正仿宋_GBK" w:hAnsi="Times New Roman"/>
                <w:b/>
                <w:bCs/>
                <w:kern w:val="0"/>
                <w:sz w:val="28"/>
                <w:szCs w:val="28"/>
              </w:rPr>
              <w:t>型号</w:t>
            </w:r>
          </w:p>
        </w:tc>
        <w:tc>
          <w:tcPr>
            <w:tcW w:w="1827"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数量</w:t>
            </w:r>
          </w:p>
        </w:tc>
        <w:tc>
          <w:tcPr>
            <w:tcW w:w="176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数量小计</w:t>
            </w:r>
          </w:p>
        </w:tc>
        <w:tc>
          <w:tcPr>
            <w:tcW w:w="176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预算金额（万元）</w:t>
            </w: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天津海关</w:t>
            </w:r>
          </w:p>
        </w:tc>
        <w:tc>
          <w:tcPr>
            <w:tcW w:w="2749" w:type="dxa"/>
            <w:vMerge w:val="restart"/>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离子色谱仪1</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val="restart"/>
            <w:tcBorders>
              <w:tl2br w:val="nil"/>
              <w:tr2bl w:val="nil"/>
            </w:tcBorders>
            <w:vAlign w:val="center"/>
          </w:tcPr>
          <w:p>
            <w:pPr>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10</w:t>
            </w:r>
          </w:p>
        </w:tc>
        <w:tc>
          <w:tcPr>
            <w:tcW w:w="1769" w:type="dxa"/>
            <w:vMerge w:val="restart"/>
            <w:tcBorders>
              <w:tl2br w:val="nil"/>
              <w:tr2bl w:val="nil"/>
            </w:tcBorders>
            <w:vAlign w:val="center"/>
          </w:tcPr>
          <w:p>
            <w:pPr>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750</w:t>
            </w: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满洲里海关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highlight w:val="yellow"/>
              </w:rPr>
            </w:pPr>
            <w:r>
              <w:rPr>
                <w:rFonts w:ascii="Times New Roman" w:eastAsia="方正仿宋_GBK" w:hAnsi="Times New Roman" w:hint="eastAsia"/>
                <w:color w:val="000000"/>
                <w:kern w:val="0"/>
                <w:sz w:val="28"/>
                <w:szCs w:val="28"/>
              </w:rPr>
              <w:t>大连海关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highlight w:val="yellow"/>
              </w:rPr>
            </w:pPr>
            <w:r>
              <w:rPr>
                <w:rFonts w:ascii="Times New Roman" w:eastAsia="方正仿宋_GBK" w:hAnsi="Times New Roman" w:hint="eastAsia"/>
                <w:color w:val="000000"/>
                <w:kern w:val="0"/>
                <w:sz w:val="28"/>
                <w:szCs w:val="28"/>
              </w:rPr>
              <w:t>厦门海关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济南海关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武汉海关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拱北海关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trHeight w:val="417"/>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杭州海关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石家庄海关</w:t>
            </w:r>
          </w:p>
        </w:tc>
        <w:tc>
          <w:tcPr>
            <w:tcW w:w="2749" w:type="dxa"/>
            <w:vMerge w:val="restart"/>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离子色谱仪2</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val="restart"/>
            <w:tcBorders>
              <w:tl2br w:val="nil"/>
              <w:tr2bl w:val="nil"/>
            </w:tcBorders>
            <w:vAlign w:val="center"/>
          </w:tcPr>
          <w:p>
            <w:pPr>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10</w:t>
            </w:r>
          </w:p>
        </w:tc>
        <w:tc>
          <w:tcPr>
            <w:tcW w:w="1769" w:type="dxa"/>
            <w:vMerge w:val="restart"/>
            <w:tcBorders>
              <w:tl2br w:val="nil"/>
              <w:tr2bl w:val="nil"/>
            </w:tcBorders>
            <w:vAlign w:val="center"/>
          </w:tcPr>
          <w:p>
            <w:pPr>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380</w:t>
            </w: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太原海关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福州海关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青岛海关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成都海关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昆明海关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乌鲁木齐海关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青岛海关</w:t>
            </w:r>
          </w:p>
        </w:tc>
        <w:tc>
          <w:tcPr>
            <w:tcW w:w="2749" w:type="dxa"/>
            <w:vMerge w:val="restart"/>
            <w:tcBorders>
              <w:tl2br w:val="nil"/>
              <w:tr2bl w:val="nil"/>
            </w:tcBorders>
            <w:vAlign w:val="center"/>
          </w:tcPr>
          <w:p>
            <w:pPr>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离子色谱仪3</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val="restart"/>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3</w:t>
            </w:r>
          </w:p>
        </w:tc>
        <w:tc>
          <w:tcPr>
            <w:tcW w:w="1769" w:type="dxa"/>
            <w:vMerge w:val="restart"/>
            <w:tcBorders>
              <w:tl2br w:val="nil"/>
              <w:tr2bl w:val="nil"/>
            </w:tcBorders>
            <w:vAlign w:val="center"/>
          </w:tcPr>
          <w:p>
            <w:pPr>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174</w:t>
            </w: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湛江海关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乌鲁木齐海关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highlight w:val="yellow"/>
              </w:rPr>
            </w:pPr>
            <w:r>
              <w:rPr>
                <w:rFonts w:ascii="Times New Roman" w:eastAsia="方正仿宋_GBK" w:hAnsi="Times New Roman" w:hint="eastAsia"/>
                <w:color w:val="000000"/>
                <w:kern w:val="0"/>
                <w:sz w:val="28"/>
                <w:szCs w:val="28"/>
              </w:rPr>
              <w:t>1</w:t>
            </w:r>
          </w:p>
        </w:tc>
        <w:tc>
          <w:tcPr>
            <w:tcW w:w="1769" w:type="dxa"/>
            <w:vMerge/>
            <w:tcBorders>
              <w:tl2br w:val="nil"/>
              <w:tr2bl w:val="nil"/>
            </w:tcBorders>
            <w:vAlign w:val="center"/>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p>
        </w:tc>
        <w:tc>
          <w:tcPr>
            <w:tcW w:w="2749"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合计</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23</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23</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1304</w:t>
            </w:r>
          </w:p>
        </w:tc>
      </w:tr>
    </w:tbl>
    <w:p>
      <w:pPr>
        <w:spacing w:line="400" w:lineRule="exact"/>
        <w:rPr>
          <w:rFonts w:ascii="Times New Roman" w:eastAsia="方正仿宋_GBK" w:hAnsi="Times New Roman"/>
          <w:sz w:val="28"/>
          <w:szCs w:val="28"/>
        </w:rPr>
      </w:pPr>
    </w:p>
    <w:p>
      <w:pPr>
        <w:spacing w:line="400" w:lineRule="exact"/>
        <w:jc w:val="center"/>
        <w:rPr>
          <w:rFonts w:ascii="Times New Roman" w:eastAsia="方正仿宋_GBK" w:hAnsi="Times New Roman"/>
          <w:b/>
          <w:bCs/>
          <w:sz w:val="28"/>
          <w:szCs w:val="28"/>
        </w:rPr>
      </w:pPr>
      <w:r>
        <w:rPr>
          <w:rFonts w:ascii="Times New Roman" w:eastAsia="方正仿宋_GBK" w:hAnsi="Times New Roman" w:hint="eastAsia"/>
          <w:b/>
          <w:bCs/>
          <w:sz w:val="28"/>
          <w:szCs w:val="28"/>
        </w:rPr>
        <w:t>02</w:t>
      </w:r>
      <w:r>
        <w:rPr>
          <w:rFonts w:ascii="Times New Roman" w:eastAsia="方正仿宋_GBK" w:hAnsi="Times New Roman"/>
          <w:b/>
          <w:bCs/>
          <w:sz w:val="28"/>
          <w:szCs w:val="28"/>
        </w:rPr>
        <w:t>包</w:t>
      </w:r>
      <w:r>
        <w:rPr>
          <w:rFonts w:ascii="Times New Roman" w:eastAsia="方正仿宋_GBK" w:hAnsi="Times New Roman" w:hint="eastAsia"/>
          <w:b/>
          <w:bCs/>
          <w:sz w:val="28"/>
          <w:szCs w:val="28"/>
        </w:rPr>
        <w:t xml:space="preserve"> 离子色谱仪</w:t>
      </w:r>
      <w:r>
        <w:rPr>
          <w:rFonts w:ascii="Times New Roman" w:eastAsia="方正仿宋_GBK" w:hAnsi="Times New Roman"/>
          <w:b/>
          <w:bCs/>
          <w:sz w:val="28"/>
          <w:szCs w:val="28"/>
        </w:rPr>
        <w:t>分配表</w:t>
      </w:r>
    </w:p>
    <w:tbl>
      <w:tblPr>
        <w:tblStyle w:val="TableNormal"/>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77"/>
        <w:gridCol w:w="2749"/>
        <w:gridCol w:w="1827"/>
        <w:gridCol w:w="1769"/>
        <w:gridCol w:w="1769"/>
      </w:tblGrid>
      <w:tr>
        <w:tblPrEx>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需求单位</w:t>
            </w:r>
          </w:p>
        </w:tc>
        <w:tc>
          <w:tcPr>
            <w:tcW w:w="274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品名/</w:t>
            </w:r>
            <w:r>
              <w:rPr>
                <w:rFonts w:ascii="Times New Roman" w:eastAsia="方正仿宋_GBK" w:hAnsi="Times New Roman"/>
                <w:b/>
                <w:bCs/>
                <w:kern w:val="0"/>
                <w:sz w:val="28"/>
                <w:szCs w:val="28"/>
              </w:rPr>
              <w:t>型号</w:t>
            </w:r>
          </w:p>
        </w:tc>
        <w:tc>
          <w:tcPr>
            <w:tcW w:w="1827"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数量</w:t>
            </w:r>
          </w:p>
        </w:tc>
        <w:tc>
          <w:tcPr>
            <w:tcW w:w="176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数量小计</w:t>
            </w:r>
          </w:p>
        </w:tc>
        <w:tc>
          <w:tcPr>
            <w:tcW w:w="1769" w:type="dxa"/>
            <w:tcBorders>
              <w:tl2br w:val="nil"/>
              <w:tr2bl w:val="nil"/>
            </w:tcBorders>
            <w:vAlign w:val="center"/>
          </w:tcPr>
          <w:p>
            <w:pPr>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预算金额（万元）</w:t>
            </w:r>
          </w:p>
        </w:tc>
      </w:tr>
      <w:tr>
        <w:tblPrEx>
          <w:tblW w:w="10291" w:type="dxa"/>
          <w:jc w:val="center"/>
          <w:tblLayout w:type="fixed"/>
          <w:tblCellMar>
            <w:top w:w="0" w:type="dxa"/>
            <w:left w:w="108" w:type="dxa"/>
            <w:bottom w:w="0" w:type="dxa"/>
            <w:right w:w="108" w:type="dxa"/>
          </w:tblCellMar>
        </w:tblPrEx>
        <w:trPr>
          <w:trHeight w:val="276"/>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呼和浩特海关</w:t>
            </w:r>
          </w:p>
        </w:tc>
        <w:tc>
          <w:tcPr>
            <w:tcW w:w="2749" w:type="dxa"/>
            <w:vMerge w:val="restart"/>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离子色谱仪4</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val="restart"/>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12</w:t>
            </w:r>
          </w:p>
        </w:tc>
        <w:tc>
          <w:tcPr>
            <w:tcW w:w="1769" w:type="dxa"/>
            <w:vMerge w:val="restart"/>
            <w:tcBorders>
              <w:tl2br w:val="nil"/>
              <w:tr2bl w:val="nil"/>
            </w:tcBorders>
            <w:vAlign w:val="center"/>
          </w:tcPr>
          <w:p>
            <w:pPr>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1440</w:t>
            </w: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满洲里海关</w:t>
            </w:r>
          </w:p>
        </w:tc>
        <w:tc>
          <w:tcPr>
            <w:tcW w:w="2749" w:type="dxa"/>
            <w:vMerge/>
            <w:tcBorders>
              <w:tl2br w:val="nil"/>
              <w:tr2bl w:val="nil"/>
            </w:tcBorders>
            <w:vAlign w:val="center"/>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上海海关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南京海关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厦门海关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济南海关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长沙海关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深圳海关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2</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江门海关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重庆海关</w:t>
            </w:r>
          </w:p>
        </w:tc>
        <w:tc>
          <w:tcPr>
            <w:tcW w:w="2749" w:type="dxa"/>
            <w:vMerge/>
            <w:tcBorders>
              <w:tl2br w:val="nil"/>
              <w:tr2bl w:val="nil"/>
            </w:tcBorders>
          </w:tcP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vMerge/>
            <w:tcBorders>
              <w:tl2br w:val="nil"/>
              <w:tr2bl w:val="nil"/>
            </w:tcBorders>
          </w:tcPr>
          <w:p/>
        </w:tc>
        <w:tc>
          <w:tcPr>
            <w:tcW w:w="1769" w:type="dxa"/>
            <w:vMerge/>
            <w:tcBorders>
              <w:tl2br w:val="nil"/>
              <w:tr2bl w:val="nil"/>
            </w:tcBorders>
            <w:vAlign w:val="center"/>
          </w:tcP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青岛海关</w:t>
            </w:r>
          </w:p>
        </w:tc>
        <w:tc>
          <w:tcPr>
            <w:tcW w:w="2749"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离子色谱仪5</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tcBorders>
              <w:tl2br w:val="nil"/>
              <w:tr2bl w:val="nil"/>
            </w:tcBorders>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30</w:t>
            </w: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大连海关</w:t>
            </w:r>
          </w:p>
        </w:tc>
        <w:tc>
          <w:tcPr>
            <w:tcW w:w="2749"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离子色谱仪6</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tcBorders>
              <w:tl2br w:val="nil"/>
              <w:tr2bl w:val="nil"/>
            </w:tcBorders>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47</w:t>
            </w:r>
          </w:p>
        </w:tc>
      </w:tr>
      <w:tr>
        <w:tblPrEx>
          <w:tblW w:w="10291" w:type="dxa"/>
          <w:jc w:val="center"/>
          <w:tblLayout w:type="fixed"/>
          <w:tblCellMar>
            <w:top w:w="0" w:type="dxa"/>
            <w:left w:w="108" w:type="dxa"/>
            <w:bottom w:w="0" w:type="dxa"/>
            <w:right w:w="108" w:type="dxa"/>
          </w:tblCellMar>
        </w:tblPrEx>
        <w:trPr>
          <w:jc w:val="center"/>
        </w:trPr>
        <w:tc>
          <w:tcPr>
            <w:tcW w:w="2177"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p>
        </w:tc>
        <w:tc>
          <w:tcPr>
            <w:tcW w:w="2749" w:type="dxa"/>
            <w:tcBorders>
              <w:tl2br w:val="nil"/>
              <w:tr2bl w:val="nil"/>
            </w:tcBorders>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合计</w:t>
            </w:r>
          </w:p>
        </w:tc>
        <w:tc>
          <w:tcPr>
            <w:tcW w:w="1827"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14</w:t>
            </w:r>
          </w:p>
        </w:tc>
        <w:tc>
          <w:tcPr>
            <w:tcW w:w="1769" w:type="dxa"/>
            <w:tcBorders>
              <w:tl2br w:val="nil"/>
              <w:tr2bl w:val="nil"/>
            </w:tcBorders>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14</w:t>
            </w:r>
          </w:p>
        </w:tc>
        <w:tc>
          <w:tcPr>
            <w:tcW w:w="1769" w:type="dxa"/>
            <w:tcBorders>
              <w:tl2br w:val="nil"/>
              <w:tr2bl w:val="nil"/>
            </w:tcBorders>
            <w:vAlign w:val="center"/>
          </w:tcPr>
          <w:p>
            <w:pPr>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hint="eastAsia"/>
                <w:color w:val="000000"/>
                <w:kern w:val="0"/>
                <w:sz w:val="28"/>
                <w:szCs w:val="28"/>
              </w:rPr>
              <w:t>1517</w:t>
            </w:r>
          </w:p>
        </w:tc>
      </w:tr>
    </w:tbl>
    <w:p>
      <w:pPr>
        <w:spacing w:line="400" w:lineRule="exact"/>
        <w:rPr>
          <w:rFonts w:ascii="方正仿宋_GBK" w:eastAsia="方正仿宋_GBK"/>
          <w:sz w:val="28"/>
          <w:szCs w:val="28"/>
        </w:rPr>
      </w:pPr>
    </w:p>
    <w:p>
      <w:pPr>
        <w:pStyle w:val="1510"/>
        <w:widowControl/>
        <w:spacing w:line="400" w:lineRule="exact"/>
        <w:jc w:val="left"/>
        <w:outlineLvl w:val="0"/>
        <w:rPr>
          <w:rFonts w:ascii="方正黑体_GBK" w:eastAsia="方正黑体_GBK"/>
          <w:b/>
          <w:sz w:val="28"/>
          <w:szCs w:val="28"/>
        </w:rPr>
      </w:pPr>
      <w:r>
        <w:rPr>
          <w:rFonts w:ascii="方正黑体_GBK" w:eastAsia="方正黑体_GBK"/>
          <w:b/>
          <w:sz w:val="28"/>
          <w:szCs w:val="28"/>
        </w:rPr>
        <w:t>十</w:t>
      </w:r>
      <w:r>
        <w:rPr>
          <w:rFonts w:ascii="方正黑体_GBK" w:eastAsia="方正黑体_GBK" w:hint="eastAsia"/>
          <w:b/>
          <w:sz w:val="28"/>
          <w:szCs w:val="28"/>
        </w:rPr>
        <w:t>、</w:t>
      </w:r>
      <w:r>
        <w:rPr>
          <w:rFonts w:ascii="方正黑体_GBK" w:eastAsia="方正黑体_GBK"/>
          <w:b/>
          <w:sz w:val="28"/>
          <w:szCs w:val="28"/>
        </w:rPr>
        <w:t>主要技术参数及配置条目数量统计</w:t>
      </w:r>
    </w:p>
    <w:tbl>
      <w:tblPr>
        <w:tblStyle w:val="TableNormal"/>
        <w:tblW w:w="8571" w:type="dxa"/>
        <w:jc w:val="lef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9"/>
        <w:gridCol w:w="2880"/>
        <w:gridCol w:w="4072"/>
      </w:tblGrid>
      <w:tr>
        <w:tblPrEx>
          <w:tblW w:w="8571" w:type="dxa"/>
          <w:jc w:val="lef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619"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包号</w:t>
            </w:r>
          </w:p>
        </w:tc>
        <w:tc>
          <w:tcPr>
            <w:tcW w:w="2880"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指标类型</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条目数量（个）</w:t>
            </w:r>
          </w:p>
        </w:tc>
      </w:tr>
      <w:tr>
        <w:tblPrEx>
          <w:tblW w:w="8571" w:type="dxa"/>
          <w:jc w:val="left"/>
          <w:tblInd w:w="-93" w:type="dxa"/>
          <w:tblCellMar>
            <w:top w:w="0" w:type="dxa"/>
            <w:left w:w="108" w:type="dxa"/>
            <w:bottom w:w="0" w:type="dxa"/>
            <w:right w:w="108" w:type="dxa"/>
          </w:tblCellMar>
        </w:tblPrEx>
        <w:trPr>
          <w:trHeight w:val="389"/>
          <w:jc w:val="left"/>
        </w:trPr>
        <w:tc>
          <w:tcPr>
            <w:tcW w:w="1619" w:type="dxa"/>
            <w:vMerge w:val="restart"/>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01包</w:t>
            </w:r>
          </w:p>
        </w:tc>
        <w:tc>
          <w:tcPr>
            <w:tcW w:w="2880" w:type="dxa"/>
            <w:tcBorders>
              <w:top w:val="single" w:sz="4" w:space="0" w:color="auto"/>
              <w:left w:val="single" w:sz="4" w:space="0" w:color="auto"/>
              <w:right w:val="single" w:sz="4" w:space="0" w:color="auto"/>
            </w:tcBorders>
            <w:vAlign w:val="center"/>
          </w:tcPr>
          <w:p>
            <w:pPr>
              <w:pStyle w:val="1510"/>
              <w:widowControl/>
              <w:spacing w:line="400" w:lineRule="exact"/>
              <w:jc w:val="center"/>
              <w:rPr>
                <w:rFonts w:ascii="方正黑体_GBK" w:eastAsia="方正黑体_GBK"/>
                <w:b/>
                <w:sz w:val="28"/>
                <w:szCs w:val="28"/>
              </w:rPr>
            </w:pPr>
            <w:r>
              <w:rPr>
                <w:rFonts w:ascii="方正仿宋_GBK" w:eastAsia="方正仿宋_GBK" w:cs="Arial" w:hint="eastAsia"/>
                <w:b/>
                <w:bCs/>
                <w:sz w:val="28"/>
                <w:szCs w:val="28"/>
              </w:rPr>
              <w:t>★</w:t>
            </w:r>
            <w:r>
              <w:rPr>
                <w:rFonts w:ascii="方正仿宋_GBK" w:eastAsia="方正仿宋_GBK" w:cs="Arial"/>
                <w:b/>
                <w:bCs/>
                <w:sz w:val="28"/>
                <w:szCs w:val="28"/>
              </w:rPr>
              <w:t>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11</w:t>
            </w:r>
          </w:p>
        </w:tc>
      </w:tr>
      <w:tr>
        <w:tblPrEx>
          <w:tblW w:w="8571" w:type="dxa"/>
          <w:jc w:val="left"/>
          <w:tblInd w:w="-93" w:type="dxa"/>
          <w:tblCellMar>
            <w:top w:w="0" w:type="dxa"/>
            <w:left w:w="108" w:type="dxa"/>
            <w:bottom w:w="0" w:type="dxa"/>
            <w:right w:w="108" w:type="dxa"/>
          </w:tblCellMar>
        </w:tblPrEx>
        <w:trPr>
          <w:trHeight w:val="389"/>
          <w:jc w:val="left"/>
        </w:trPr>
        <w:tc>
          <w:tcPr>
            <w:tcW w:w="1619" w:type="dxa"/>
            <w:vMerge/>
            <w:vAlign w:val="center"/>
          </w:tcPr>
          <w:p/>
        </w:tc>
        <w:tc>
          <w:tcPr>
            <w:tcW w:w="2880" w:type="dxa"/>
            <w:tcBorders>
              <w:top w:val="single" w:sz="4" w:space="0" w:color="auto"/>
              <w:left w:val="single" w:sz="4" w:space="0" w:color="auto"/>
              <w:right w:val="single" w:sz="4" w:space="0" w:color="auto"/>
            </w:tcBorders>
            <w:vAlign w:val="center"/>
          </w:tcPr>
          <w:p>
            <w:pPr>
              <w:pStyle w:val="1510"/>
              <w:widowControl/>
              <w:spacing w:line="400" w:lineRule="exact"/>
              <w:jc w:val="center"/>
              <w:rPr>
                <w:rFonts w:ascii="方正黑体_GBK" w:eastAsia="方正黑体_GBK"/>
                <w:b/>
                <w:sz w:val="28"/>
                <w:szCs w:val="28"/>
              </w:rPr>
            </w:pPr>
            <w:r>
              <w:rPr>
                <w:rFonts w:ascii="方正仿宋_GBK" w:eastAsia="方正仿宋_GBK" w:hint="eastAsia"/>
                <w:sz w:val="28"/>
                <w:szCs w:val="28"/>
              </w:rPr>
              <w:t>▲</w:t>
            </w:r>
            <w:r>
              <w:rPr>
                <w:rFonts w:ascii="方正仿宋_GBK" w:eastAsia="方正仿宋_GBK"/>
                <w:sz w:val="28"/>
                <w:szCs w:val="28"/>
              </w:rPr>
              <w:t>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hint="eastAsia"/>
                <w:b/>
                <w:sz w:val="28"/>
                <w:szCs w:val="28"/>
              </w:rPr>
              <w:t>1</w:t>
            </w:r>
            <w:r>
              <w:rPr>
                <w:rFonts w:ascii="方正黑体_GBK" w:eastAsia="方正黑体_GBK"/>
                <w:b/>
                <w:sz w:val="28"/>
                <w:szCs w:val="28"/>
              </w:rPr>
              <w:t>2</w:t>
            </w:r>
          </w:p>
        </w:tc>
      </w:tr>
      <w:tr>
        <w:tblPrEx>
          <w:tblW w:w="8571" w:type="dxa"/>
          <w:jc w:val="left"/>
          <w:tblInd w:w="-93" w:type="dxa"/>
          <w:tblCellMar>
            <w:top w:w="0" w:type="dxa"/>
            <w:left w:w="108" w:type="dxa"/>
            <w:bottom w:w="0" w:type="dxa"/>
            <w:right w:w="108" w:type="dxa"/>
          </w:tblCellMar>
        </w:tblPrEx>
        <w:trPr>
          <w:trHeight w:val="389"/>
          <w:jc w:val="left"/>
        </w:trPr>
        <w:tc>
          <w:tcPr>
            <w:tcW w:w="1619" w:type="dxa"/>
            <w:vMerge/>
            <w:vAlign w:val="center"/>
          </w:tcPr>
          <w:p/>
        </w:tc>
        <w:tc>
          <w:tcPr>
            <w:tcW w:w="2880" w:type="dxa"/>
            <w:tcBorders>
              <w:top w:val="single" w:sz="4" w:space="0" w:color="auto"/>
              <w:left w:val="single" w:sz="4" w:space="0" w:color="auto"/>
              <w:right w:val="single" w:sz="4" w:space="0" w:color="auto"/>
            </w:tcBorders>
            <w:vAlign w:val="center"/>
          </w:tcPr>
          <w:p>
            <w:pPr>
              <w:pStyle w:val="1510"/>
              <w:widowControl/>
              <w:spacing w:line="400" w:lineRule="exact"/>
              <w:jc w:val="center"/>
              <w:rPr>
                <w:rFonts w:ascii="方正黑体_GBK" w:eastAsia="方正黑体_GBK"/>
                <w:b/>
                <w:sz w:val="28"/>
                <w:szCs w:val="28"/>
              </w:rPr>
            </w:pPr>
            <w:r>
              <w:rPr>
                <w:rFonts w:ascii="方正仿宋_GBK" w:eastAsia="方正仿宋_GBK"/>
                <w:sz w:val="28"/>
                <w:szCs w:val="28"/>
              </w:rPr>
              <w:t>一般指标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hint="eastAsia"/>
                <w:b/>
                <w:sz w:val="28"/>
                <w:szCs w:val="28"/>
              </w:rPr>
              <w:t>5</w:t>
            </w:r>
            <w:r>
              <w:rPr>
                <w:rFonts w:ascii="方正黑体_GBK" w:eastAsia="方正黑体_GBK"/>
                <w:b/>
                <w:sz w:val="28"/>
                <w:szCs w:val="28"/>
              </w:rPr>
              <w:t>3</w:t>
            </w:r>
          </w:p>
        </w:tc>
      </w:tr>
      <w:tr>
        <w:tblPrEx>
          <w:tblW w:w="8571" w:type="dxa"/>
          <w:jc w:val="left"/>
          <w:tblInd w:w="-93" w:type="dxa"/>
          <w:tblCellMar>
            <w:top w:w="0" w:type="dxa"/>
            <w:left w:w="108" w:type="dxa"/>
            <w:bottom w:w="0" w:type="dxa"/>
            <w:right w:w="108" w:type="dxa"/>
          </w:tblCellMar>
        </w:tblPrEx>
        <w:trPr>
          <w:trHeight w:val="389"/>
          <w:jc w:val="left"/>
        </w:trPr>
        <w:tc>
          <w:tcPr>
            <w:tcW w:w="1619" w:type="dxa"/>
            <w:vMerge w:val="restart"/>
            <w:vAlign w:val="center"/>
          </w:tcPr>
          <w:p>
            <w:pPr>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02包</w:t>
            </w:r>
          </w:p>
        </w:tc>
        <w:tc>
          <w:tcPr>
            <w:tcW w:w="2880" w:type="dxa"/>
            <w:tcBorders>
              <w:top w:val="single" w:sz="4" w:space="0" w:color="auto"/>
              <w:left w:val="single" w:sz="4" w:space="0" w:color="auto"/>
              <w:right w:val="single" w:sz="4" w:space="0" w:color="auto"/>
            </w:tcBorders>
            <w:vAlign w:val="center"/>
          </w:tcPr>
          <w:p>
            <w:pPr>
              <w:pStyle w:val="2210"/>
              <w:widowControl/>
              <w:spacing w:line="400" w:lineRule="exact"/>
              <w:jc w:val="center"/>
              <w:rPr>
                <w:rFonts w:ascii="方正黑体_GBK" w:eastAsia="方正黑体_GBK"/>
                <w:b/>
                <w:sz w:val="28"/>
                <w:szCs w:val="28"/>
              </w:rPr>
            </w:pPr>
            <w:r>
              <w:rPr>
                <w:rFonts w:ascii="方正仿宋_GBK" w:eastAsia="方正仿宋_GBK" w:cs="Arial" w:hint="eastAsia"/>
                <w:b/>
                <w:bCs/>
                <w:sz w:val="28"/>
                <w:szCs w:val="28"/>
              </w:rPr>
              <w:t>★</w:t>
            </w:r>
            <w:r>
              <w:rPr>
                <w:rFonts w:ascii="方正仿宋_GBK" w:eastAsia="方正仿宋_GBK" w:cs="Arial"/>
                <w:b/>
                <w:bCs/>
                <w:sz w:val="28"/>
                <w:szCs w:val="28"/>
              </w:rPr>
              <w:t>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b/>
                <w:sz w:val="28"/>
                <w:szCs w:val="28"/>
              </w:rPr>
              <w:t>11</w:t>
            </w:r>
          </w:p>
        </w:tc>
      </w:tr>
      <w:tr>
        <w:tblPrEx>
          <w:tblW w:w="8571" w:type="dxa"/>
          <w:jc w:val="left"/>
          <w:tblInd w:w="-93" w:type="dxa"/>
          <w:tblCellMar>
            <w:top w:w="0" w:type="dxa"/>
            <w:left w:w="108" w:type="dxa"/>
            <w:bottom w:w="0" w:type="dxa"/>
            <w:right w:w="108" w:type="dxa"/>
          </w:tblCellMar>
        </w:tblPrEx>
        <w:trPr>
          <w:trHeight w:val="389"/>
          <w:jc w:val="left"/>
        </w:trPr>
        <w:tc>
          <w:tcPr>
            <w:tcW w:w="1619" w:type="dxa"/>
            <w:vMerge/>
            <w:vAlign w:val="center"/>
          </w:tcPr>
          <w:p/>
        </w:tc>
        <w:tc>
          <w:tcPr>
            <w:tcW w:w="2880" w:type="dxa"/>
            <w:tcBorders>
              <w:top w:val="single" w:sz="4" w:space="0" w:color="auto"/>
              <w:left w:val="single" w:sz="4" w:space="0" w:color="auto"/>
              <w:right w:val="single" w:sz="4" w:space="0" w:color="auto"/>
            </w:tcBorders>
            <w:vAlign w:val="center"/>
          </w:tcPr>
          <w:p>
            <w:pPr>
              <w:pStyle w:val="2310"/>
              <w:widowControl/>
              <w:spacing w:line="400" w:lineRule="exact"/>
              <w:jc w:val="center"/>
              <w:rPr>
                <w:rFonts w:ascii="方正黑体_GBK" w:eastAsia="方正黑体_GBK"/>
                <w:b/>
                <w:sz w:val="28"/>
                <w:szCs w:val="28"/>
              </w:rPr>
            </w:pPr>
            <w:r>
              <w:rPr>
                <w:rFonts w:ascii="方正仿宋_GBK" w:eastAsia="方正仿宋_GBK" w:hint="eastAsia"/>
                <w:sz w:val="28"/>
                <w:szCs w:val="28"/>
              </w:rPr>
              <w:t>▲</w:t>
            </w:r>
            <w:r>
              <w:rPr>
                <w:rFonts w:ascii="方正仿宋_GBK" w:eastAsia="方正仿宋_GBK"/>
                <w:sz w:val="28"/>
                <w:szCs w:val="28"/>
              </w:rPr>
              <w:t>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hint="eastAsia"/>
                <w:b/>
                <w:sz w:val="28"/>
                <w:szCs w:val="28"/>
              </w:rPr>
              <w:t>11</w:t>
            </w:r>
          </w:p>
        </w:tc>
      </w:tr>
      <w:tr>
        <w:tblPrEx>
          <w:tblW w:w="8571" w:type="dxa"/>
          <w:jc w:val="left"/>
          <w:tblInd w:w="-93" w:type="dxa"/>
          <w:tblCellMar>
            <w:top w:w="0" w:type="dxa"/>
            <w:left w:w="108" w:type="dxa"/>
            <w:bottom w:w="0" w:type="dxa"/>
            <w:right w:w="108" w:type="dxa"/>
          </w:tblCellMar>
        </w:tblPrEx>
        <w:trPr>
          <w:trHeight w:val="389"/>
          <w:jc w:val="left"/>
        </w:trPr>
        <w:tc>
          <w:tcPr>
            <w:tcW w:w="1619" w:type="dxa"/>
            <w:vMerge/>
            <w:vAlign w:val="center"/>
          </w:tcPr>
          <w:p/>
        </w:tc>
        <w:tc>
          <w:tcPr>
            <w:tcW w:w="2880" w:type="dxa"/>
            <w:tcBorders>
              <w:top w:val="single" w:sz="4" w:space="0" w:color="auto"/>
              <w:left w:val="single" w:sz="4" w:space="0" w:color="auto"/>
              <w:right w:val="single" w:sz="4" w:space="0" w:color="auto"/>
            </w:tcBorders>
            <w:vAlign w:val="center"/>
          </w:tcPr>
          <w:p>
            <w:pPr>
              <w:pStyle w:val="2410"/>
              <w:widowControl/>
              <w:spacing w:line="400" w:lineRule="exact"/>
              <w:jc w:val="center"/>
              <w:rPr>
                <w:rFonts w:ascii="方正黑体_GBK" w:eastAsia="方正黑体_GBK"/>
                <w:b/>
                <w:sz w:val="28"/>
                <w:szCs w:val="28"/>
              </w:rPr>
            </w:pPr>
            <w:r>
              <w:rPr>
                <w:rFonts w:ascii="方正仿宋_GBK" w:eastAsia="方正仿宋_GBK"/>
                <w:sz w:val="28"/>
                <w:szCs w:val="28"/>
              </w:rPr>
              <w:t>一般指标</w:t>
            </w:r>
          </w:p>
        </w:tc>
        <w:tc>
          <w:tcPr>
            <w:tcW w:w="4072" w:type="dxa"/>
            <w:vAlign w:val="center"/>
          </w:tcPr>
          <w:p>
            <w:pPr>
              <w:pStyle w:val="1510"/>
              <w:widowControl/>
              <w:spacing w:line="400" w:lineRule="exact"/>
              <w:jc w:val="center"/>
              <w:rPr>
                <w:rFonts w:ascii="方正黑体_GBK" w:eastAsia="方正黑体_GBK"/>
                <w:b/>
                <w:sz w:val="28"/>
                <w:szCs w:val="28"/>
              </w:rPr>
            </w:pPr>
            <w:r>
              <w:rPr>
                <w:rFonts w:ascii="方正黑体_GBK" w:eastAsia="方正黑体_GBK" w:hint="eastAsia"/>
                <w:b/>
                <w:sz w:val="28"/>
                <w:szCs w:val="28"/>
              </w:rPr>
              <w:t>40</w:t>
            </w:r>
          </w:p>
        </w:tc>
      </w:tr>
    </w:tbl>
    <w:p>
      <w:pPr>
        <w:widowControl/>
        <w:spacing w:line="400" w:lineRule="exact"/>
        <w:jc w:val="left"/>
        <w:outlineLvl w:val="0"/>
        <w:rPr>
          <w:rFonts w:ascii="方正黑体_GBK" w:eastAsia="方正黑体_GBK"/>
          <w:b/>
          <w:sz w:val="28"/>
          <w:szCs w:val="28"/>
        </w:rPr>
      </w:pPr>
      <w:r>
        <w:rPr>
          <w:rFonts w:ascii="方正黑体_GBK" w:eastAsia="方正黑体_GBK"/>
          <w:b/>
          <w:sz w:val="28"/>
          <w:szCs w:val="28"/>
        </w:rPr>
        <w:t>十一</w:t>
      </w:r>
      <w:r>
        <w:rPr>
          <w:rFonts w:ascii="方正黑体_GBK" w:eastAsia="方正黑体_GBK" w:hint="eastAsia"/>
          <w:b/>
          <w:sz w:val="28"/>
          <w:szCs w:val="28"/>
        </w:rPr>
        <w:t>、付款办法</w:t>
      </w:r>
    </w:p>
    <w:p>
      <w:pPr>
        <w:widowControl/>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rPr>
        <w:t xml:space="preserve">原则上，合同签订生效后，甲方收到乙方提供的合格单据起10个工作日内，甲方向乙方支付不高于合同总价60%合同款；设备全部到货并经甲方（用户）签收后，甲方收到乙方提供的合格单据起10个工作日内，甲方向乙方支付到不高于合同总价90%合同款；设备全部安装调试，并经甲方（用户）验收合格后，甲方收到乙方提供的合格单据起10个工作日内，甲方向乙方支付剩余合同款。 </w:t>
      </w:r>
    </w:p>
    <w:p>
      <w:pPr>
        <w:pStyle w:val="110"/>
        <w:widowControl/>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rPr>
        <w:t>本项目收取履约保证金，履约保证金额为中标金额的10%。设备全部安装调试，并经甲方（用户）验收合格后30个日历日内，乙方可以提交履约保证金退款申请。甲方凭乙方提交退款申请，15个工作日内无息退还。</w:t>
      </w:r>
    </w:p>
    <w:p>
      <w:pPr>
        <w:pStyle w:val="110"/>
        <w:widowControl/>
        <w:spacing w:line="400" w:lineRule="exact"/>
        <w:ind w:firstLine="560" w:firstLineChars="200"/>
        <w:rPr>
          <w:rFonts w:ascii="Times New Roman" w:eastAsia="方正仿宋_GBK" w:hAnsi="Times New Roman"/>
          <w:sz w:val="28"/>
          <w:szCs w:val="28"/>
        </w:rPr>
      </w:pPr>
      <w:r>
        <w:rPr>
          <w:rFonts w:ascii="Times New Roman" w:eastAsia="方正仿宋_GBK" w:hAnsi="Times New Roman" w:hint="eastAsia"/>
          <w:sz w:val="28"/>
          <w:szCs w:val="28"/>
        </w:rPr>
        <w:t>以上付款条件、进度、比例供合同签订双方参考，具体付款条款、履约保证金数量、是否接受保函、退履约保证金时间等内容的制定，应以合同签订双方根据实际情况约定为准。</w:t>
      </w:r>
    </w:p>
    <w:p>
      <w:pPr>
        <w:widowControl/>
        <w:spacing w:line="400" w:lineRule="exact"/>
        <w:jc w:val="left"/>
        <w:outlineLvl w:val="0"/>
        <w:rPr>
          <w:rFonts w:ascii="方正黑体_GBK" w:eastAsia="方正黑体_GBK"/>
          <w:b/>
          <w:sz w:val="28"/>
          <w:szCs w:val="28"/>
        </w:rPr>
      </w:pPr>
      <w:r>
        <w:rPr>
          <w:rFonts w:ascii="方正黑体_GBK" w:eastAsia="方正黑体_GBK"/>
          <w:b/>
          <w:sz w:val="28"/>
          <w:szCs w:val="28"/>
        </w:rPr>
        <w:t>十二</w:t>
      </w:r>
      <w:r>
        <w:rPr>
          <w:rFonts w:ascii="方正黑体_GBK" w:eastAsia="方正黑体_GBK" w:hint="eastAsia"/>
          <w:b/>
          <w:sz w:val="28"/>
          <w:szCs w:val="28"/>
        </w:rPr>
        <w:t>、其他</w:t>
      </w:r>
    </w:p>
    <w:p>
      <w:pPr>
        <w:widowControl/>
        <w:spacing w:line="400" w:lineRule="exact"/>
        <w:ind w:firstLine="560" w:firstLineChars="200"/>
        <w:jc w:val="left"/>
        <w:outlineLvl w:val="0"/>
        <w:rPr>
          <w:rFonts w:ascii="Times New Roman" w:eastAsia="方正仿宋_GBK" w:hAnsi="Times New Roman"/>
          <w:sz w:val="28"/>
          <w:szCs w:val="28"/>
        </w:rPr>
      </w:pPr>
      <w:r>
        <w:rPr>
          <w:rFonts w:ascii="Times New Roman" w:eastAsia="方正仿宋_GBK" w:hAnsi="Times New Roman" w:hint="eastAsia"/>
          <w:sz w:val="28"/>
          <w:szCs w:val="28"/>
        </w:rPr>
        <w:t>无</w:t>
      </w:r>
    </w:p>
    <w:p>
      <w:pPr>
        <w:rPr>
          <w:rFonts w:hint="default"/>
          <w:color w:val="0000FF"/>
          <w:lang w:val="en-US" w:eastAsia="zh-CN"/>
        </w:rPr>
      </w:pPr>
      <w:bookmarkEnd w:id="42"/>
      <w:r>
        <w:rPr>
          <w:highlight w:val="white"/>
        </w:rPr>
        <w:br w:type="page"/>
      </w:r>
      <w:bookmarkStart w:id="43" w:name="_Toc65406666"/>
      <w:bookmarkStart w:id="44" w:name="_Toc3054"/>
      <w:bookmarkStart w:id="45" w:name="_Toc20017"/>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bookmarkEnd w:id="43"/>
      <w:bookmarkEnd w:id="44"/>
      <w:bookmarkEnd w:id="45"/>
    </w:p>
    <w:p w:rsidR="00A77B3E">
      <w:bookmarkStart w:id="46" w:name="插入_评审标准"/>
      <w:bookmarkStart w:id="47" w:name="_Toc8124"/>
      <w:bookmarkStart w:id="48" w:name="_Toc10042"/>
      <w:r>
        <w:t>包2</w:t>
      </w:r>
    </w:p>
    <w:p w:rsidR="00A77B3E">
      <w:r>
        <w:t>符合性审查指标</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6"/>
        <w:gridCol w:w="70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
              <w:t>评审分类</w:t>
            </w:r>
          </w:p>
        </w:tc>
        <w:tc>
          <w:tcPr/>
          <w:p>
            <w:r>
              <w:t>评审标准</w:t>
            </w:r>
          </w:p>
        </w:tc>
      </w:tr>
      <w:tr>
        <w:tblPrEx>
          <w:tblW w:w="5000" w:type="pct"/>
          <w:tblCellMar>
            <w:left w:w="108" w:type="dxa"/>
            <w:right w:w="108" w:type="dxa"/>
          </w:tblCellMar>
        </w:tblPrEx>
        <w:tc>
          <w:tcPr>
            <w:vMerge w:val="restart"/>
          </w:tcPr>
          <w:p>
            <w:r>
              <w:t>符合性审查指标</w:t>
            </w:r>
          </w:p>
        </w:tc>
        <w:tc>
          <w:tcPr/>
          <w:p>
            <w:r>
              <w:t>投标函</w:t>
            </w:r>
          </w:p>
        </w:tc>
      </w:tr>
      <w:tr>
        <w:tblPrEx>
          <w:tblW w:w="5000" w:type="pct"/>
          <w:tblCellMar>
            <w:left w:w="108" w:type="dxa"/>
            <w:right w:w="108" w:type="dxa"/>
          </w:tblCellMar>
        </w:tblPrEx>
        <w:tc>
          <w:tcPr>
            <w:vMerge/>
          </w:tcPr>
          <w:p>
            <w:r>
              <w:t>符合性审查指标</w:t>
            </w:r>
          </w:p>
        </w:tc>
        <w:tc>
          <w:tcPr/>
          <w:p>
            <w:r>
              <w:t>开标一览表</w:t>
            </w:r>
          </w:p>
        </w:tc>
      </w:tr>
      <w:tr>
        <w:tblPrEx>
          <w:tblW w:w="5000" w:type="pct"/>
          <w:tblCellMar>
            <w:left w:w="108" w:type="dxa"/>
            <w:right w:w="108" w:type="dxa"/>
          </w:tblCellMar>
        </w:tblPrEx>
        <w:tc>
          <w:tcPr>
            <w:vMerge/>
          </w:tcPr>
          <w:p>
            <w:r>
              <w:t>符合性审查指标</w:t>
            </w:r>
          </w:p>
        </w:tc>
        <w:tc>
          <w:tcPr/>
          <w:p>
            <w:r>
              <w:t>投标分项报价表</w:t>
            </w:r>
          </w:p>
        </w:tc>
      </w:tr>
      <w:tr>
        <w:tblPrEx>
          <w:tblW w:w="5000" w:type="pct"/>
          <w:tblCellMar>
            <w:left w:w="108" w:type="dxa"/>
            <w:right w:w="108" w:type="dxa"/>
          </w:tblCellMar>
        </w:tblPrEx>
        <w:tc>
          <w:tcPr>
            <w:vMerge/>
          </w:tcPr>
          <w:p>
            <w:r>
              <w:t>符合性审查指标</w:t>
            </w:r>
          </w:p>
        </w:tc>
        <w:tc>
          <w:tcPr/>
          <w:p>
            <w:r>
              <w:t>法定代表人授权书（法定代表人作为投标人代表直接投标的，只提供相关身份证明即可）</w:t>
            </w:r>
          </w:p>
        </w:tc>
      </w:tr>
      <w:tr>
        <w:tblPrEx>
          <w:tblW w:w="5000" w:type="pct"/>
          <w:tblCellMar>
            <w:left w:w="108" w:type="dxa"/>
            <w:right w:w="108" w:type="dxa"/>
          </w:tblCellMar>
        </w:tblPrEx>
        <w:tc>
          <w:tcPr>
            <w:vMerge/>
          </w:tcPr>
          <w:p>
            <w:r>
              <w:t>符合性审查指标</w:t>
            </w:r>
          </w:p>
        </w:tc>
        <w:tc>
          <w:tcPr/>
          <w:p>
            <w:r>
              <w:t>法定代表人及投标人代表有效期内相关身份证明</w:t>
            </w:r>
          </w:p>
        </w:tc>
      </w:tr>
      <w:tr>
        <w:tblPrEx>
          <w:tblW w:w="5000" w:type="pct"/>
          <w:tblCellMar>
            <w:left w:w="108" w:type="dxa"/>
            <w:right w:w="108" w:type="dxa"/>
          </w:tblCellMar>
        </w:tblPrEx>
        <w:tc>
          <w:tcPr>
            <w:vMerge/>
          </w:tcPr>
          <w:p>
            <w:r>
              <w:t>符合性审查指标</w:t>
            </w:r>
          </w:p>
        </w:tc>
        <w:tc>
          <w:tcPr/>
          <w:p>
            <w:r>
              <w:t>商务条款偏离表</w:t>
            </w:r>
          </w:p>
        </w:tc>
      </w:tr>
      <w:tr>
        <w:tblPrEx>
          <w:tblW w:w="5000" w:type="pct"/>
          <w:tblCellMar>
            <w:left w:w="108" w:type="dxa"/>
            <w:right w:w="108" w:type="dxa"/>
          </w:tblCellMar>
        </w:tblPrEx>
        <w:tc>
          <w:tcPr>
            <w:vMerge/>
          </w:tcPr>
          <w:p>
            <w:r>
              <w:t>符合性审查指标</w:t>
            </w:r>
          </w:p>
        </w:tc>
        <w:tc>
          <w:tcPr/>
          <w:p>
            <w:r>
              <w:t>技术偏离表或服务偏离表</w:t>
            </w:r>
          </w:p>
        </w:tc>
      </w:tr>
      <w:tr>
        <w:tblPrEx>
          <w:tblW w:w="5000" w:type="pct"/>
          <w:tblCellMar>
            <w:left w:w="108" w:type="dxa"/>
            <w:right w:w="108" w:type="dxa"/>
          </w:tblCellMar>
        </w:tblPrEx>
        <w:tc>
          <w:tcPr>
            <w:vMerge/>
          </w:tcPr>
          <w:p>
            <w:r>
              <w:t>符合性审查指标</w:t>
            </w:r>
          </w:p>
        </w:tc>
        <w:tc>
          <w:tcPr/>
          <w:p>
            <w:r>
              <w:t>投标文件按照招标文件规定进行签署、盖章</w:t>
            </w:r>
          </w:p>
        </w:tc>
      </w:tr>
      <w:tr>
        <w:tblPrEx>
          <w:tblW w:w="5000" w:type="pct"/>
          <w:tblCellMar>
            <w:left w:w="108" w:type="dxa"/>
            <w:right w:w="108" w:type="dxa"/>
          </w:tblCellMar>
        </w:tblPrEx>
        <w:tc>
          <w:tcPr>
            <w:vMerge/>
          </w:tcPr>
          <w:p>
            <w:r>
              <w:t>符合性审查指标</w:t>
            </w:r>
          </w:p>
        </w:tc>
        <w:tc>
          <w:tcPr/>
          <w:p>
            <w:r>
              <w:t>实质性要求的技术指标（带“★”号项）</w:t>
            </w:r>
          </w:p>
        </w:tc>
      </w:tr>
      <w:tr>
        <w:tblPrEx>
          <w:tblW w:w="5000" w:type="pct"/>
          <w:tblCellMar>
            <w:left w:w="108" w:type="dxa"/>
            <w:right w:w="108" w:type="dxa"/>
          </w:tblCellMar>
        </w:tblPrEx>
        <w:tc>
          <w:tcPr>
            <w:vMerge/>
          </w:tcPr>
          <w:p>
            <w:r>
              <w:t>符合性审查指标</w:t>
            </w:r>
          </w:p>
        </w:tc>
        <w:tc>
          <w:tcPr/>
          <w:p>
            <w:r>
              <w:t>招标文件中标注的其他“★”号条款”或无效投标情形</w:t>
            </w:r>
          </w:p>
        </w:tc>
      </w:tr>
      <w:tr>
        <w:tblPrEx>
          <w:tblW w:w="5000" w:type="pct"/>
          <w:tblCellMar>
            <w:left w:w="108" w:type="dxa"/>
            <w:right w:w="108" w:type="dxa"/>
          </w:tblCellMar>
        </w:tblPrEx>
        <w:tc>
          <w:tcPr>
            <w:vMerge/>
          </w:tcPr>
          <w:p>
            <w:r>
              <w:t>符合性审查指标</w:t>
            </w:r>
          </w:p>
        </w:tc>
        <w:tc>
          <w:tcPr/>
          <w:p>
            <w:r>
              <w:t>法律、法规、招标文件规定的其他无效投标情形</w:t>
            </w:r>
          </w:p>
        </w:tc>
      </w:tr>
    </w:tbl>
    <w:p w:rsidR="00A77B3E">
      <w:r>
        <w:t>详细评审标准</w:t>
      </w:r>
    </w:p>
    <w:p w:rsidR="00A77B3E">
      <w:r>
        <w:t>评审办法:综合评分法</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4"/>
        <w:gridCol w:w="815"/>
        <w:gridCol w:w="7182"/>
        <w:gridCol w:w="2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
              <w:t>主客观项</w:t>
            </w:r>
          </w:p>
        </w:tc>
        <w:tc>
          <w:tcPr/>
          <w:p>
            <w:r>
              <w:t>评审因素</w:t>
            </w:r>
          </w:p>
        </w:tc>
        <w:tc>
          <w:tcPr/>
          <w:p>
            <w:r>
              <w:t>评分标准说明</w:t>
            </w:r>
          </w:p>
        </w:tc>
        <w:tc>
          <w:tcPr/>
          <w:p>
            <w:r>
              <w:t>分值范围</w:t>
            </w:r>
          </w:p>
        </w:tc>
      </w:tr>
      <w:tr>
        <w:tblPrEx>
          <w:tblW w:w="5000" w:type="pct"/>
          <w:tblCellMar>
            <w:left w:w="108" w:type="dxa"/>
            <w:right w:w="108" w:type="dxa"/>
          </w:tblCellMar>
        </w:tblPrEx>
        <w:tc>
          <w:tcPr>
            <w:vMerge w:val="restart"/>
          </w:tcPr>
          <w:p>
            <w:r>
              <w:t>价格分</w:t>
            </w:r>
          </w:p>
        </w:tc>
        <w:tc>
          <w:tcPr/>
          <w:p>
            <w:r>
              <w:t>价格评审</w:t>
            </w:r>
          </w:p>
        </w:tc>
        <w:tc>
          <w:tcPr/>
          <w:p>
            <w:r>
              <w:t>采用低价优先法计算，即满足招标文件要求且投标价格最低的投标报价为评标基准价，其价格分为满分。其他投标人的价格分按照下列公式计算：价格得分=(评标基准价／投标报价)×30%×100。</w:t>
            </w:r>
          </w:p>
        </w:tc>
        <w:tc>
          <w:tcPr/>
          <w:p>
            <w:r>
              <w:t>区间打分</w:t>
            </w:r>
            <w:r>
              <w:t>(0-30)</w:t>
            </w:r>
          </w:p>
        </w:tc>
      </w:tr>
      <w:tr>
        <w:tblPrEx>
          <w:tblW w:w="5000" w:type="pct"/>
          <w:tblCellMar>
            <w:left w:w="108" w:type="dxa"/>
            <w:right w:w="108" w:type="dxa"/>
          </w:tblCellMar>
        </w:tblPrEx>
        <w:tc>
          <w:tcPr>
            <w:vMerge w:val="restart"/>
          </w:tcPr>
          <w:p>
            <w:r>
              <w:t>商务部分</w:t>
            </w:r>
          </w:p>
        </w:tc>
        <w:tc>
          <w:tcPr/>
          <w:p>
            <w:r>
              <w:t>投标人综合实力</w:t>
            </w:r>
          </w:p>
        </w:tc>
        <w:tc>
          <w:tcPr/>
          <w:p>
            <w:r>
              <w:t>1.投标人提供质量管理体系认证证书的得1分，否则得0分；   2.投标人提供职业健康安全管理体系认证证书的得1分，否则得0分；   3.投标人提供环境管理体系认证证书的得1分，否则得0分；</w:t>
            </w:r>
          </w:p>
        </w:tc>
        <w:tc>
          <w:tcPr/>
          <w:p>
            <w:r>
              <w:t>区间打分</w:t>
            </w:r>
            <w:r>
              <w:t>(0-3)</w:t>
            </w:r>
          </w:p>
        </w:tc>
      </w:tr>
      <w:tr>
        <w:tblPrEx>
          <w:tblW w:w="5000" w:type="pct"/>
          <w:tblCellMar>
            <w:left w:w="108" w:type="dxa"/>
            <w:right w:w="108" w:type="dxa"/>
          </w:tblCellMar>
        </w:tblPrEx>
        <w:tc>
          <w:tcPr>
            <w:vMerge/>
          </w:tcPr>
          <w:p>
            <w:r>
              <w:t>商务部分</w:t>
            </w:r>
          </w:p>
        </w:tc>
        <w:tc>
          <w:tcPr/>
          <w:p>
            <w:r>
              <w:t>质量保证书</w:t>
            </w:r>
          </w:p>
        </w:tc>
        <w:tc>
          <w:tcPr/>
          <w:p>
            <w:r>
              <w:t>提供所有投标产品制造商出具的质量保证书（须保证所提供产品为制造商原产正品并对产品品质做出承诺和保证，加盖所有投标产品制造商公章）的得2分，否则得0分。</w:t>
            </w:r>
          </w:p>
        </w:tc>
        <w:tc>
          <w:tcPr/>
          <w:p>
            <w:r>
              <w:t>勾选打分</w:t>
            </w:r>
            <w:r>
              <w:t>(0;2)</w:t>
            </w:r>
          </w:p>
        </w:tc>
      </w:tr>
      <w:tr>
        <w:tblPrEx>
          <w:tblW w:w="5000" w:type="pct"/>
          <w:tblCellMar>
            <w:left w:w="108" w:type="dxa"/>
            <w:right w:w="108" w:type="dxa"/>
          </w:tblCellMar>
        </w:tblPrEx>
        <w:tc>
          <w:tcPr>
            <w:vMerge/>
          </w:tcPr>
          <w:p>
            <w:r>
              <w:t>商务部分</w:t>
            </w:r>
          </w:p>
        </w:tc>
        <w:tc>
          <w:tcPr/>
          <w:p>
            <w:r>
              <w:t>投标产品的销售业绩</w:t>
            </w:r>
          </w:p>
        </w:tc>
        <w:tc>
          <w:tcPr/>
          <w:p>
            <w:r>
              <w:t>1.需提供与本项目投标产品品目1：离子色谱仪4同品牌同类型产品的销售业绩，每提供1份有效合同得1分，最多得3分。 2.需提供与本项目投标产品品目2：离子色谱仪5同品牌同类型产品的销售业绩，每提供1份有效合同得1分，最多得1分。 3.需提供与本项目投标产品品目6：离子色谱仪3同品牌同类型产品的销售业绩，每提供1份有效合同得1分，最多得1分。 注1：上述销售业绩指与本项目投标货物同品牌同类型产品的销售业绩。    注2：合同签订时间须为2023年9月1日起至本项目招标公告发布之日止。   注3：合同不得遮挡且销售业绩合同中必须至少包含合同双方印章、签字、设备名称、型号、数量、所投同品牌类型合同金额、签订时间、合同履行第一笔付款乙方开具的发票复印件等信息内容（以上内容缺少一项，业绩不予承认）。    注4：提供销售业绩合同复印件须字迹清晰，辨识无误。    注5：合同买方（甲方）须为实际最终使用单位，如买方为销售或经销类公司（平台），则该业绩不予认可。 不符合上述要求或未按要求提供有效证明文件的业绩在评审时将不予以承认。</w:t>
            </w:r>
          </w:p>
        </w:tc>
        <w:tc>
          <w:tcPr/>
          <w:p>
            <w:r>
              <w:t>勾选打分</w:t>
            </w:r>
            <w:r>
              <w:t>(0;1;2;3;4;5)</w:t>
            </w:r>
          </w:p>
        </w:tc>
      </w:tr>
      <w:tr>
        <w:tblPrEx>
          <w:tblW w:w="5000" w:type="pct"/>
          <w:tblCellMar>
            <w:left w:w="108" w:type="dxa"/>
            <w:right w:w="108" w:type="dxa"/>
          </w:tblCellMar>
        </w:tblPrEx>
        <w:tc>
          <w:tcPr>
            <w:vMerge w:val="restart"/>
          </w:tcPr>
          <w:p>
            <w:r>
              <w:t>技术部分</w:t>
            </w:r>
          </w:p>
        </w:tc>
        <w:tc>
          <w:tcPr/>
          <w:p>
            <w:r>
              <w:t>一般技术参数及配置响应情况</w:t>
            </w:r>
          </w:p>
        </w:tc>
        <w:tc>
          <w:tcPr/>
          <w:p>
            <w:r>
              <w:t>投标人的一般主要技术参数及配置响应完全满足招标文件技术要求，应答无负偏离的得12分的基础分，每有1项不满足的扣0.3分。   注：一般参数中有要求提供佐证材料的，必须按照要求提供相关证明材料，并在技术偏离表中标明一般“主要技术参数” 对应证明材料在投标文件中的页码。未按要求提供证明材料的，评审委员会将对其响应不予认可。</w:t>
            </w:r>
          </w:p>
        </w:tc>
        <w:tc>
          <w:tcPr/>
          <w:p>
            <w:r>
              <w:t>区间打分</w:t>
            </w:r>
            <w:r>
              <w:t>(0-12)</w:t>
            </w:r>
          </w:p>
        </w:tc>
      </w:tr>
      <w:tr>
        <w:tblPrEx>
          <w:tblW w:w="5000" w:type="pct"/>
          <w:tblCellMar>
            <w:left w:w="108" w:type="dxa"/>
            <w:right w:w="108" w:type="dxa"/>
          </w:tblCellMar>
        </w:tblPrEx>
        <w:tc>
          <w:tcPr>
            <w:vMerge/>
          </w:tcPr>
          <w:p>
            <w:r>
              <w:t>技术部分</w:t>
            </w:r>
          </w:p>
        </w:tc>
        <w:tc>
          <w:tcPr/>
          <w:p>
            <w:r>
              <w:t>▲技术参数及配置响应情况</w:t>
            </w:r>
          </w:p>
        </w:tc>
        <w:tc>
          <w:tcPr/>
          <w:p>
            <w:r>
              <w:t>投标人的▲号“主要技术参数及配置”响应完全满足招标文件技术要求，应答无负偏离的得33分的基础分，每有1项不满足的扣3分。  注：对于投标人响应满足投标文件中规定的▲号“主要技术参数” 的，其中项目需求书中有明确要求的按要求提供证明材料；没有明确要求的，必须提供制造商公开发布的资料或具有CMA标识的第三方检测报告作为证明材料，公开发布资料和检测报告需加盖投标人公章，否则不予认可。（公开发布的资料仅限制造商官网产品参数截图、软件操作界面截图或官网提供下载的技术白皮书，上述材料需标注相关材料所在的官方网址及具体链接（软件截图除外）；技术偏离表中应标明▲号“主要技术参数” 对应公开发布资料在投标文件中的页码；所有官网资料，自投标之日起须在网站上至少保留三个月，以供查询及作为质疑、投诉处理依据；如不提供或经查询网址内容与投标文件不一致、缺失，视为未提供公开发布资料）。</w:t>
            </w:r>
          </w:p>
        </w:tc>
        <w:tc>
          <w:tcPr/>
          <w:p>
            <w:r>
              <w:t>区间打分</w:t>
            </w:r>
            <w:r>
              <w:t>(0-33)</w:t>
            </w:r>
          </w:p>
        </w:tc>
      </w:tr>
      <w:tr>
        <w:tblPrEx>
          <w:tblW w:w="5000" w:type="pct"/>
          <w:tblCellMar>
            <w:left w:w="108" w:type="dxa"/>
            <w:right w:w="108" w:type="dxa"/>
          </w:tblCellMar>
        </w:tblPrEx>
        <w:tc>
          <w:tcPr>
            <w:vMerge w:val="restart"/>
          </w:tcPr>
          <w:p>
            <w:r>
              <w:t>服务部分</w:t>
            </w:r>
          </w:p>
        </w:tc>
        <w:tc>
          <w:tcPr/>
          <w:p>
            <w:r>
              <w:t>项目整体实施方案</w:t>
            </w:r>
          </w:p>
        </w:tc>
        <w:tc>
          <w:tcPr/>
          <w:p>
            <w:r>
              <w:t>提供项目实施方案，内容包括但不限于：实施步骤，交货安排，设备调试，质量保证，应急预案等。   1.实施方案措施具体详细，内容全面，设计科学，思路清晰，完全契合项目需求实际，针对性可行性强，得3分；    2.实施方案有具体措施，设计合理，可以满足项目需求，针对性可行性较强，但方案内容（两个及以下）中有缺陷（缺陷包括：与事实不符、前后内容不一致、逻辑错误、不符合采购需求、内容有缺失等）得2分；    3.实施方案措施欠合理，内容有漏项，未完全包括上述内容要求，或三个及以上方案内容中存在缺陷（缺陷包括：与事实不符、前后内容不一致、逻辑错误、不符合采购需求、内容有缺失等）得1分；      4.未提供实施方案或方案严重脱离项目实际，得0分。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制造商售后服务承诺函</w:t>
            </w:r>
          </w:p>
        </w:tc>
        <w:tc>
          <w:tcPr/>
          <w:p>
            <w:r>
              <w:t>提供所有投标产品制造商针对本项目的售后服务承诺函（函中内容包括但不限于项目名称、项目编号、承诺内容等要素，加盖所有投标产品制造商公章、投标人公章），且承诺完全满足招标文件规定的售后服务要求的，得2分。承诺函要素不全或承诺内容不完全覆盖招标文件要求的，得0分。</w:t>
            </w:r>
          </w:p>
        </w:tc>
        <w:tc>
          <w:tcPr/>
          <w:p>
            <w:r>
              <w:t>勾选打分</w:t>
            </w:r>
            <w:r>
              <w:t>(0;2)</w:t>
            </w:r>
          </w:p>
        </w:tc>
      </w:tr>
      <w:tr>
        <w:tblPrEx>
          <w:tblW w:w="5000" w:type="pct"/>
          <w:tblCellMar>
            <w:left w:w="108" w:type="dxa"/>
            <w:right w:w="108" w:type="dxa"/>
          </w:tblCellMar>
        </w:tblPrEx>
        <w:tc>
          <w:tcPr>
            <w:vMerge/>
          </w:tcPr>
          <w:p>
            <w:r>
              <w:t>服务部分</w:t>
            </w:r>
          </w:p>
        </w:tc>
        <w:tc>
          <w:tcPr/>
          <w:p>
            <w:r>
              <w:t>投标人质保期内售后服务承诺及方案</w:t>
            </w:r>
          </w:p>
        </w:tc>
        <w:tc>
          <w:tcPr/>
          <w:p>
            <w:r>
              <w:t>提供质保期内项目售后服务方案，内容包括但不限于：售后服务体系，安装调试及免费保修服务承诺，响应时间、到达现场时间、完成维修、更换或提供备机等服务时间，应用技术支持，维修人员及联系方式，备品备件、易损配件及主要消耗品的备件情况等。    1.售后服务方案和承诺措施具体详细，内容全面，设计科学，思路清晰，完全契合项目需求实际，针对性可行性强，得3分；    2.售后服务方案和承诺有具体措施，设计合理，可以满足项目需求，针对性可行性较强，但方案内容（两个及以下）中有缺陷（缺陷包括：与事实不符、前后内容不一致、逻辑错误、不符合采购需求、内容有缺失等）得2分；    3.售后服务方案和承诺措施欠合理，内容有漏项，未完全包括上述内容要求，或三个及以上方案内容中存在缺陷（缺陷包括：与事实不符、前后内容不一致、逻辑错误、不符合采购需求、内容有缺失等）的得1分；4.未提供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投标人质保期外售后服务方案</w:t>
            </w:r>
          </w:p>
        </w:tc>
        <w:tc>
          <w:tcPr/>
          <w:p>
            <w:r>
              <w:t>提供质保期外项目售后服务方案，内容包括但不限于：响应时间、到达现场时间，完成维修、更换或提供备机等服务时间，维修人员及联系方式，主要零部件及易损件、消耗品价格清单，更换或提供备机价格清单等。  1.方案中所涉及的服务内容优于或等同于质保期内售后服务响应内容，方案内容全面，报价合理，得3分；   2.方案中所涉及的服务略低于（与质保期内对应的售后响应相比，有两个及以下降低了服务标准）质保期内售后服务响应内容，方案内容完整，报价较合理，得2分；  3.方案中所涉及的服务低于（与质保期内对应的售后响应相比，有三个及以上降低了服务标准）质保期内售后服务响应内容的得1分； 4.未提供方案或方案严重脱离项目实际，得0分。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技术培训方案及培训服务承诺函</w:t>
            </w:r>
          </w:p>
        </w:tc>
        <w:tc>
          <w:tcPr/>
          <w:p>
            <w:r>
              <w:t>对于承诺的技术培训服务，应提供相应的技术培训服务承诺函。  根据培训方式、内容、次数、师资力量，以及项目实施中的技术交流等制定有针对性的技术培训方案。培训方案详实合理，内容全面，方式灵活，层次分明，能切实保障培训效率和效果的得2分；  方案内容合理性、可操作性一般，培训方式比较单一的得1分；  方案不合理、可操作性差或缺失方案、承诺函的得0分。</w:t>
            </w:r>
          </w:p>
        </w:tc>
        <w:tc>
          <w:tcPr/>
          <w:p>
            <w:r>
              <w:t>勾选打分</w:t>
            </w:r>
            <w:r>
              <w:t>(0;1;2)</w:t>
            </w:r>
          </w:p>
        </w:tc>
      </w:tr>
      <w:tr>
        <w:tblPrEx>
          <w:tblW w:w="5000" w:type="pct"/>
          <w:tblCellMar>
            <w:left w:w="108" w:type="dxa"/>
            <w:right w:w="108" w:type="dxa"/>
          </w:tblCellMar>
        </w:tblPrEx>
        <w:tc>
          <w:tcPr>
            <w:vMerge/>
          </w:tcPr>
          <w:p>
            <w:r>
              <w:t>服务部分</w:t>
            </w:r>
          </w:p>
        </w:tc>
        <w:tc>
          <w:tcPr/>
          <w:p>
            <w:r>
              <w:t>质保增值服务</w:t>
            </w:r>
          </w:p>
        </w:tc>
        <w:tc>
          <w:tcPr/>
          <w:p>
            <w:r>
              <w:t>在满足招标文件要求的基础上，质保期每增加6个月得1分，最多得2分（投标人提供承诺函，函中内容包括但不限于项目名称、项目编号、承诺内容等要素并与开标一览表中质保期响应一致，加盖投标人公章）承诺函要素不全或与开标一览表中响应不一致的不予加分。</w:t>
            </w:r>
          </w:p>
        </w:tc>
        <w:tc>
          <w:tcPr/>
          <w:p>
            <w:r>
              <w:t>勾选打分</w:t>
            </w:r>
            <w:r>
              <w:t>(0;1;2)</w:t>
            </w:r>
          </w:p>
        </w:tc>
      </w:tr>
    </w:tbl>
    <w:p>
      <w:pPr>
        <w:pStyle w:val="14"/>
        <w:spacing w:line="360" w:lineRule="auto"/>
        <w:ind w:firstLine="480" w:firstLineChars="200"/>
        <w:rPr>
          <w:b/>
          <w:bCs/>
        </w:rPr>
      </w:pPr>
      <w:bookmarkEnd w:id="46"/>
      <w:r>
        <w:rPr>
          <w:rFonts w:hint="eastAsia"/>
          <w:highlight w:val="white"/>
        </w:rPr>
        <w:t>第</w:t>
      </w:r>
      <w:r>
        <w:rPr>
          <w:highlight w:val="white"/>
        </w:rPr>
        <w:t>五</w:t>
      </w:r>
      <w:r>
        <w:rPr>
          <w:rFonts w:hint="eastAsia"/>
          <w:highlight w:val="white"/>
        </w:rPr>
        <w:t xml:space="preserve">部分  </w:t>
      </w:r>
      <w:r>
        <w:rPr>
          <w:highlight w:val="white"/>
        </w:rPr>
        <w:t>合同文本</w:t>
      </w:r>
      <w:bookmarkEnd w:id="47"/>
      <w:bookmarkEnd w:id="48"/>
    </w:p>
    <w:p>
      <w:pPr>
        <w:wordWrap w:val="0"/>
        <w:spacing w:line="560" w:lineRule="exact"/>
        <w:ind w:left="-1571" w:firstLine="1260" w:firstLineChars="450"/>
        <w:jc w:val="right"/>
        <w:rPr>
          <w:rFonts w:ascii="方正仿宋_GBK" w:cs="方正仿宋_GBK" w:hint="eastAsia"/>
          <w:color w:val="000000"/>
          <w:sz w:val="30"/>
          <w:szCs w:val="30"/>
        </w:rPr>
      </w:pPr>
      <w:bookmarkStart w:id="49" w:name="插入_TBWJGS_CONTRACT"/>
      <w:r>
        <w:rPr>
          <w:rFonts w:ascii="方正仿宋_GBK" w:cs="方正仿宋_GBK" w:hint="eastAsia"/>
          <w:color w:val="000000"/>
          <w:sz w:val="28"/>
          <w:szCs w:val="28"/>
          <w:lang w:bidi="ar-SA"/>
        </w:rPr>
        <w:t xml:space="preserve">                                         </w:t>
      </w:r>
      <w:r>
        <w:rPr>
          <w:rFonts w:ascii="方正仿宋_GBK" w:cs="方正仿宋_GBK" w:hint="eastAsia"/>
          <w:color w:val="000000"/>
          <w:sz w:val="24"/>
          <w:szCs w:val="24"/>
          <w:lang w:bidi="ar-SA"/>
        </w:rPr>
        <w:t>合同号：</w:t>
      </w:r>
      <w:r>
        <w:rPr>
          <w:rFonts w:ascii="方正仿宋_GBK" w:cs="方正仿宋_GBK" w:hint="eastAsia"/>
          <w:color w:val="000000"/>
          <w:sz w:val="30"/>
          <w:szCs w:val="30"/>
          <w:lang w:bidi="ar-SA"/>
        </w:rPr>
        <w:t xml:space="preserve">           </w:t>
      </w:r>
    </w:p>
    <w:p>
      <w:pPr>
        <w:ind w:left="-1570" w:firstLine="1980" w:firstLineChars="450"/>
        <w:rPr>
          <w:rFonts w:eastAsia="方正小标宋_GBK"/>
          <w:color w:val="000000"/>
          <w:sz w:val="44"/>
        </w:rPr>
      </w:pPr>
      <w:r>
        <w:rPr>
          <w:rFonts w:eastAsia="方正小标宋_GBK"/>
          <w:color w:val="000000"/>
          <w:sz w:val="44"/>
        </w:rPr>
        <w:t>海关总署货物类政府采购项目合同书（范本）</w:t>
      </w:r>
    </w:p>
    <w:p>
      <w:pPr>
        <w:rPr>
          <w:color w:val="000000"/>
        </w:rPr>
      </w:pPr>
    </w:p>
    <w:p>
      <w:pPr>
        <w:rPr>
          <w:rFonts w:hint="eastAsia"/>
          <w:color w:val="000000"/>
        </w:rPr>
      </w:pPr>
      <w:r>
        <w:rPr>
          <w:rFonts w:hint="eastAsia"/>
          <w:color w:val="000000"/>
        </w:rPr>
        <w:t>甲方（采购人）:</w:t>
      </w:r>
    </w:p>
    <w:p>
      <w:pPr>
        <w:rPr>
          <w:rFonts w:hint="eastAsia"/>
          <w:color w:val="000000"/>
        </w:rPr>
      </w:pPr>
      <w:r>
        <w:rPr>
          <w:rFonts w:hint="eastAsia"/>
          <w:color w:val="000000"/>
        </w:rPr>
        <w:t xml:space="preserve">乙方（供应商）:                                  </w:t>
      </w:r>
    </w:p>
    <w:p>
      <w:pPr>
        <w:ind w:firstLine="420" w:firstLineChars="200"/>
        <w:rPr>
          <w:rFonts w:hint="eastAsia"/>
          <w:color w:val="000000"/>
        </w:rPr>
      </w:pPr>
      <w:r>
        <w:rPr>
          <w:color w:val="000000"/>
        </w:rPr>
        <w:t>经海关总署授权，海关总署物资装备采购中心作为甲方代表,受海关总署（XX司局）委托签订该项目合同。</w:t>
      </w:r>
      <w:r>
        <w:rPr>
          <w:rFonts w:hint="eastAsia"/>
          <w:color w:val="000000"/>
        </w:rPr>
        <w:t>根据</w:t>
      </w:r>
      <w:r>
        <w:rPr>
          <w:rFonts w:hint="eastAsia"/>
          <w:snapToGrid w:val="0"/>
          <w:color w:val="000000"/>
          <w:kern w:val="0"/>
          <w:shd w:val="clear" w:color="auto" w:fill="auto"/>
        </w:rPr>
        <w:t>《中华人民共和国</w:t>
      </w:r>
      <w:r>
        <w:rPr>
          <w:snapToGrid w:val="0"/>
          <w:color w:val="000000"/>
          <w:kern w:val="0"/>
          <w:shd w:val="clear" w:color="auto" w:fill="auto"/>
        </w:rPr>
        <w:t>民法典（</w:t>
      </w:r>
      <w:r>
        <w:rPr>
          <w:rFonts w:hint="eastAsia"/>
          <w:snapToGrid w:val="0"/>
          <w:color w:val="000000"/>
          <w:kern w:val="0"/>
          <w:shd w:val="clear" w:color="auto" w:fill="auto"/>
        </w:rPr>
        <w:t>合同</w:t>
      </w:r>
      <w:r>
        <w:rPr>
          <w:snapToGrid w:val="0"/>
          <w:color w:val="000000"/>
          <w:kern w:val="0"/>
          <w:shd w:val="clear" w:color="auto" w:fill="auto"/>
        </w:rPr>
        <w:t>编）</w:t>
      </w:r>
      <w:r>
        <w:rPr>
          <w:rFonts w:hint="eastAsia"/>
          <w:snapToGrid w:val="0"/>
          <w:color w:val="000000"/>
          <w:kern w:val="0"/>
          <w:shd w:val="clear" w:color="auto" w:fill="auto"/>
        </w:rPr>
        <w:t>》</w:t>
      </w:r>
      <w:r>
        <w:rPr>
          <w:snapToGrid w:val="0"/>
          <w:color w:val="000000"/>
          <w:kern w:val="0"/>
          <w:shd w:val="clear" w:color="auto" w:fill="auto"/>
        </w:rPr>
        <w:t>、</w:t>
      </w:r>
      <w:r>
        <w:rPr>
          <w:rFonts w:hint="eastAsia"/>
          <w:color w:val="000000"/>
        </w:rPr>
        <w:t>《中华人民共和国政府采购法》等相关法律规定，甲方对</w:t>
      </w:r>
      <w:r>
        <w:rPr>
          <w:color w:val="000000"/>
        </w:rPr>
        <w:t>____________</w:t>
      </w:r>
      <w:r>
        <w:rPr>
          <w:rFonts w:hint="eastAsia"/>
          <w:color w:val="000000"/>
        </w:rPr>
        <w:t>采购项目</w:t>
      </w:r>
      <w:r>
        <w:rPr>
          <w:color w:val="000000"/>
        </w:rPr>
        <w:t>以_____方式进行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），确定乙方为中标人</w:t>
      </w:r>
      <w:r>
        <w:rPr>
          <w:color w:val="000000"/>
        </w:rPr>
        <w:t>（成交商）</w:t>
      </w:r>
      <w:r>
        <w:rPr>
          <w:rFonts w:hint="eastAsia"/>
          <w:color w:val="000000"/>
        </w:rPr>
        <w:t>，现依照招标文件</w:t>
      </w:r>
      <w:r>
        <w:rPr>
          <w:color w:val="000000"/>
        </w:rPr>
        <w:t>（谈判文件、询价通知书、磋商文件、单一来源）、</w:t>
      </w:r>
      <w:r>
        <w:rPr>
          <w:rFonts w:hint="eastAsia"/>
          <w:color w:val="000000"/>
        </w:rPr>
        <w:t>投标文件</w:t>
      </w:r>
      <w:r>
        <w:rPr>
          <w:color w:val="000000"/>
        </w:rPr>
        <w:t>（响应文件）等</w:t>
      </w:r>
      <w:r>
        <w:rPr>
          <w:rFonts w:hint="eastAsia"/>
          <w:color w:val="000000"/>
        </w:rPr>
        <w:t>相关文件的内容，双方达成如下协议：</w:t>
      </w:r>
    </w:p>
    <w:p>
      <w:pPr>
        <w:ind w:firstLine="420" w:firstLineChars="200"/>
        <w:rPr>
          <w:rFonts w:hint="eastAsia"/>
          <w:b/>
          <w:bCs/>
          <w:color w:val="000000"/>
        </w:rPr>
      </w:pPr>
      <w:r>
        <w:rPr>
          <w:rFonts w:hint="eastAsia"/>
          <w:b/>
          <w:bCs/>
          <w:color w:val="000000"/>
        </w:rPr>
        <w:t>第一条 采购货物清单</w:t>
      </w:r>
    </w:p>
    <w:p>
      <w:pPr>
        <w:pStyle w:val="PlainText"/>
        <w:ind w:firstLine="640" w:firstLineChars="200"/>
        <w:rPr>
          <w:rFonts w:eastAsia="方正仿宋_GBK" w:cs="Times New Roman"/>
          <w:bCs/>
          <w:color w:val="000000"/>
          <w:kern w:val="0"/>
          <w:sz w:val="32"/>
          <w:szCs w:val="24"/>
        </w:rPr>
      </w:pPr>
      <w:r>
        <w:rPr>
          <w:rFonts w:eastAsia="方正仿宋_GBK" w:cs="Times New Roman" w:hint="eastAsia"/>
          <w:bCs/>
          <w:color w:val="000000"/>
          <w:kern w:val="0"/>
          <w:sz w:val="32"/>
          <w:szCs w:val="24"/>
          <w:lang w:bidi="ar-SA"/>
        </w:rPr>
        <w:t>货物清单</w:t>
      </w:r>
    </w:p>
    <w:tbl>
      <w:tblPr>
        <w:tblStyle w:val="TableNormal"/>
        <w:tblW w:w="906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Look w:val="0000"/>
      </w:tblPr>
      <w:tblGrid>
        <w:gridCol w:w="2166"/>
        <w:gridCol w:w="1173"/>
        <w:gridCol w:w="1339"/>
        <w:gridCol w:w="878"/>
        <w:gridCol w:w="878"/>
        <w:gridCol w:w="1290"/>
        <w:gridCol w:w="1337"/>
      </w:tblGrid>
      <w:tr>
        <w:tblPrEx>
          <w:tblW w:w="906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Look w:val="0000"/>
        </w:tblPrEx>
        <w:tc>
          <w:tcPr>
            <w:tcW w:w="2165" w:type="dxa"/>
            <w:tcBorders>
              <w:top w:val="single" w:sz="4" w:space="0" w:color="auto"/>
              <w:left w:val="single" w:sz="4" w:space="0" w:color="auto"/>
              <w:bottom w:val="single" w:sz="4" w:space="0" w:color="auto"/>
              <w:right w:val="single" w:sz="4" w:space="0" w:color="auto"/>
            </w:tcBorders>
            <w:vAlign w:val="center"/>
          </w:tcPr>
          <w:p>
            <w:pPr>
              <w:pStyle w:val="2610"/>
              <w:autoSpaceDN w:val="0"/>
              <w:adjustRightInd w:val="0"/>
              <w:snapToGrid w:val="0"/>
              <w:spacing w:line="360" w:lineRule="auto"/>
              <w:jc w:val="center"/>
              <w:rPr>
                <w:rFonts w:hint="eastAsia"/>
                <w:b/>
                <w:bCs/>
                <w:color w:val="000000"/>
                <w:sz w:val="24"/>
                <w:szCs w:val="24"/>
              </w:rPr>
            </w:pPr>
            <w:r>
              <w:rPr>
                <w:b/>
                <w:bCs/>
                <w:color w:val="000000"/>
                <w:sz w:val="24"/>
                <w:szCs w:val="24"/>
              </w:rPr>
              <w:t>货物</w:t>
            </w:r>
            <w:r>
              <w:rPr>
                <w:rFonts w:hint="eastAsia"/>
                <w:b/>
                <w:bCs/>
                <w:color w:val="000000"/>
                <w:sz w:val="24"/>
                <w:szCs w:val="24"/>
              </w:rPr>
              <w:t>名称</w:t>
            </w:r>
          </w:p>
        </w:tc>
        <w:tc>
          <w:tcPr>
            <w:tcW w:w="1173" w:type="dxa"/>
            <w:tcBorders>
              <w:top w:val="single" w:sz="4" w:space="0" w:color="auto"/>
              <w:left w:val="single" w:sz="4" w:space="0" w:color="auto"/>
              <w:bottom w:val="single" w:sz="4" w:space="0" w:color="auto"/>
              <w:right w:val="single" w:sz="4" w:space="0" w:color="auto"/>
            </w:tcBorders>
            <w:vAlign w:val="center"/>
          </w:tcPr>
          <w:p>
            <w:pPr>
              <w:pStyle w:val="2510"/>
              <w:autoSpaceDN w:val="0"/>
              <w:adjustRightInd w:val="0"/>
              <w:snapToGrid w:val="0"/>
              <w:spacing w:line="360" w:lineRule="auto"/>
              <w:jc w:val="center"/>
              <w:rPr>
                <w:rFonts w:hint="eastAsia"/>
                <w:b/>
                <w:bCs/>
                <w:color w:val="000000"/>
                <w:sz w:val="24"/>
                <w:szCs w:val="24"/>
              </w:rPr>
            </w:pPr>
            <w:r>
              <w:rPr>
                <w:b/>
                <w:bCs/>
                <w:color w:val="000000"/>
                <w:sz w:val="24"/>
                <w:szCs w:val="24"/>
              </w:rPr>
              <w:t>品牌</w:t>
            </w:r>
          </w:p>
        </w:tc>
        <w:tc>
          <w:tcPr>
            <w:tcW w:w="1339" w:type="dxa"/>
            <w:tcBorders>
              <w:top w:val="single" w:sz="4" w:space="0" w:color="auto"/>
              <w:left w:val="single" w:sz="4" w:space="0" w:color="auto"/>
              <w:bottom w:val="single" w:sz="4" w:space="0" w:color="auto"/>
              <w:right w:val="single" w:sz="4" w:space="0" w:color="auto"/>
            </w:tcBorders>
            <w:vAlign w:val="center"/>
          </w:tcPr>
          <w:p>
            <w:pPr>
              <w:pStyle w:val="2410"/>
              <w:autoSpaceDN w:val="0"/>
              <w:adjustRightInd w:val="0"/>
              <w:snapToGrid w:val="0"/>
              <w:spacing w:line="360" w:lineRule="auto"/>
              <w:jc w:val="center"/>
              <w:rPr>
                <w:rFonts w:hint="eastAsia"/>
                <w:b/>
                <w:bCs/>
                <w:color w:val="000000"/>
                <w:sz w:val="24"/>
                <w:szCs w:val="24"/>
              </w:rPr>
            </w:pPr>
            <w:r>
              <w:rPr>
                <w:b/>
                <w:bCs/>
                <w:color w:val="000000"/>
                <w:sz w:val="24"/>
                <w:szCs w:val="24"/>
              </w:rPr>
              <w:t>规格型号</w:t>
            </w:r>
          </w:p>
        </w:tc>
        <w:tc>
          <w:tcPr>
            <w:tcW w:w="878" w:type="dxa"/>
            <w:tcBorders>
              <w:top w:val="single" w:sz="4" w:space="0" w:color="auto"/>
              <w:left w:val="single" w:sz="4" w:space="0" w:color="auto"/>
              <w:bottom w:val="single" w:sz="4" w:space="0" w:color="auto"/>
              <w:right w:val="single" w:sz="4" w:space="0" w:color="auto"/>
            </w:tcBorders>
            <w:vAlign w:val="center"/>
          </w:tcPr>
          <w:p>
            <w:pPr>
              <w:pStyle w:val="2310"/>
              <w:autoSpaceDN w:val="0"/>
              <w:adjustRightInd w:val="0"/>
              <w:snapToGrid w:val="0"/>
              <w:spacing w:line="360" w:lineRule="auto"/>
              <w:jc w:val="center"/>
              <w:rPr>
                <w:b/>
                <w:bCs/>
                <w:color w:val="000000"/>
                <w:sz w:val="24"/>
                <w:szCs w:val="24"/>
              </w:rPr>
            </w:pPr>
            <w:r>
              <w:rPr>
                <w:b/>
                <w:bCs/>
                <w:color w:val="000000"/>
                <w:sz w:val="24"/>
                <w:szCs w:val="24"/>
              </w:rPr>
              <w:t>产地</w:t>
            </w:r>
          </w:p>
        </w:tc>
        <w:tc>
          <w:tcPr>
            <w:tcW w:w="878" w:type="dxa"/>
            <w:tcBorders>
              <w:top w:val="single" w:sz="4" w:space="0" w:color="auto"/>
              <w:left w:val="single" w:sz="4" w:space="0" w:color="auto"/>
              <w:bottom w:val="single" w:sz="4" w:space="0" w:color="auto"/>
              <w:right w:val="single" w:sz="4" w:space="0" w:color="auto"/>
            </w:tcBorders>
            <w:vAlign w:val="center"/>
          </w:tcPr>
          <w:p>
            <w:pPr>
              <w:pStyle w:val="2310"/>
              <w:autoSpaceDN w:val="0"/>
              <w:adjustRightInd w:val="0"/>
              <w:snapToGrid w:val="0"/>
              <w:spacing w:line="360" w:lineRule="auto"/>
              <w:jc w:val="center"/>
              <w:rPr>
                <w:rFonts w:hint="eastAsia"/>
                <w:b/>
                <w:bCs/>
                <w:color w:val="000000"/>
                <w:sz w:val="24"/>
                <w:szCs w:val="24"/>
              </w:rPr>
            </w:pPr>
            <w:r>
              <w:rPr>
                <w:rFonts w:hint="eastAsia"/>
                <w:b/>
                <w:bCs/>
                <w:color w:val="000000"/>
                <w:sz w:val="24"/>
                <w:szCs w:val="24"/>
              </w:rPr>
              <w:t>数量</w:t>
            </w:r>
          </w:p>
        </w:tc>
        <w:tc>
          <w:tcPr>
            <w:tcW w:w="1290" w:type="dxa"/>
            <w:tcBorders>
              <w:top w:val="single" w:sz="4" w:space="0" w:color="auto"/>
              <w:left w:val="single" w:sz="4" w:space="0" w:color="auto"/>
              <w:bottom w:val="single" w:sz="4" w:space="0" w:color="auto"/>
              <w:right w:val="single" w:sz="4" w:space="0" w:color="auto"/>
            </w:tcBorders>
            <w:vAlign w:val="center"/>
          </w:tcPr>
          <w:p>
            <w:pPr>
              <w:pStyle w:val="2210"/>
              <w:autoSpaceDN w:val="0"/>
              <w:adjustRightInd w:val="0"/>
              <w:snapToGrid w:val="0"/>
              <w:spacing w:line="360" w:lineRule="auto"/>
              <w:jc w:val="center"/>
              <w:rPr>
                <w:rFonts w:hint="eastAsia"/>
                <w:b/>
                <w:bCs/>
                <w:color w:val="000000"/>
                <w:sz w:val="24"/>
                <w:szCs w:val="24"/>
              </w:rPr>
            </w:pPr>
            <w:r>
              <w:rPr>
                <w:rFonts w:hint="eastAsia"/>
                <w:b/>
                <w:bCs/>
                <w:color w:val="000000"/>
                <w:sz w:val="24"/>
                <w:szCs w:val="24"/>
              </w:rPr>
              <w:t>单价（</w:t>
            </w:r>
            <w:r>
              <w:rPr>
                <w:b/>
                <w:bCs/>
                <w:color w:val="000000"/>
                <w:sz w:val="24"/>
                <w:szCs w:val="24"/>
              </w:rPr>
              <w:t>元</w:t>
            </w:r>
            <w:r>
              <w:rPr>
                <w:rFonts w:hint="eastAsia"/>
                <w:b/>
                <w:bCs/>
                <w:color w:val="000000"/>
                <w:sz w:val="24"/>
                <w:szCs w:val="24"/>
              </w:rPr>
              <w:t>）</w:t>
            </w:r>
          </w:p>
        </w:tc>
        <w:tc>
          <w:tcPr>
            <w:tcW w:w="1337" w:type="dxa"/>
            <w:tcBorders>
              <w:top w:val="single" w:sz="4" w:space="0" w:color="auto"/>
              <w:left w:val="single" w:sz="4" w:space="0" w:color="auto"/>
              <w:bottom w:val="single" w:sz="4" w:space="0" w:color="auto"/>
              <w:right w:val="single" w:sz="4" w:space="0" w:color="auto"/>
            </w:tcBorders>
            <w:vAlign w:val="center"/>
          </w:tcPr>
          <w:p>
            <w:pPr>
              <w:pStyle w:val="2110"/>
              <w:autoSpaceDN w:val="0"/>
              <w:adjustRightInd w:val="0"/>
              <w:snapToGrid w:val="0"/>
              <w:spacing w:line="360" w:lineRule="auto"/>
              <w:jc w:val="center"/>
              <w:rPr>
                <w:rFonts w:hint="eastAsia"/>
                <w:b/>
                <w:bCs/>
                <w:color w:val="000000"/>
                <w:sz w:val="24"/>
                <w:szCs w:val="24"/>
              </w:rPr>
            </w:pPr>
            <w:r>
              <w:rPr>
                <w:b/>
                <w:bCs/>
                <w:color w:val="000000"/>
                <w:sz w:val="24"/>
                <w:szCs w:val="24"/>
              </w:rPr>
              <w:t>合计</w:t>
            </w:r>
            <w:r>
              <w:rPr>
                <w:rFonts w:hint="eastAsia"/>
                <w:b/>
                <w:bCs/>
                <w:color w:val="000000"/>
                <w:sz w:val="24"/>
                <w:szCs w:val="24"/>
              </w:rPr>
              <w:t>（</w:t>
            </w:r>
            <w:r>
              <w:rPr>
                <w:b/>
                <w:bCs/>
                <w:color w:val="000000"/>
                <w:sz w:val="24"/>
                <w:szCs w:val="24"/>
              </w:rPr>
              <w:t>元</w:t>
            </w:r>
            <w:r>
              <w:rPr>
                <w:rFonts w:hint="eastAsia"/>
                <w:b/>
                <w:bCs/>
                <w:color w:val="000000"/>
                <w:sz w:val="24"/>
                <w:szCs w:val="24"/>
              </w:rPr>
              <w:t>）</w:t>
            </w:r>
          </w:p>
        </w:tc>
      </w:tr>
      <w:tr>
        <w:tblPrEx>
          <w:tblW w:w="9061" w:type="dxa"/>
          <w:tblInd w:w="0" w:type="dxa"/>
          <w:tblLayout w:type="fixed"/>
          <w:tblCellMar>
            <w:top w:w="0" w:type="dxa"/>
            <w:left w:w="108" w:type="dxa"/>
            <w:bottom w:w="0" w:type="dxa"/>
            <w:right w:w="108" w:type="dxa"/>
          </w:tblCellMar>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pPr>
              <w:pStyle w:val="2010"/>
              <w:autoSpaceDN w:val="0"/>
              <w:adjustRightInd w:val="0"/>
              <w:snapToGrid w:val="0"/>
              <w:spacing w:line="360" w:lineRule="auto"/>
              <w:jc w:val="center"/>
              <w:rPr>
                <w:rFonts w:hint="eastAsia"/>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pPr>
              <w:pStyle w:val="1910"/>
              <w:autoSpaceDN w:val="0"/>
              <w:adjustRightInd w:val="0"/>
              <w:snapToGrid w:val="0"/>
              <w:spacing w:line="360" w:lineRule="auto"/>
              <w:jc w:val="center"/>
              <w:rPr>
                <w:rFonts w:hint="eastAsia"/>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pPr>
              <w:pStyle w:val="1810"/>
              <w:autoSpaceDN w:val="0"/>
              <w:adjustRightInd w:val="0"/>
              <w:snapToGrid w:val="0"/>
              <w:spacing w:line="360" w:lineRule="auto"/>
              <w:jc w:val="center"/>
              <w:rPr>
                <w:rFonts w:hint="eastAsia"/>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7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710"/>
              <w:autoSpaceDN w:val="0"/>
              <w:adjustRightInd w:val="0"/>
              <w:snapToGrid w:val="0"/>
              <w:spacing w:line="360" w:lineRule="auto"/>
              <w:jc w:val="center"/>
              <w:rPr>
                <w:rFonts w:hint="eastAsia"/>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pPr>
              <w:pStyle w:val="1610"/>
              <w:autoSpaceDN w:val="0"/>
              <w:adjustRightInd w:val="0"/>
              <w:snapToGrid w:val="0"/>
              <w:spacing w:line="360" w:lineRule="auto"/>
              <w:jc w:val="center"/>
              <w:rPr>
                <w:rFonts w:hint="eastAsia"/>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pPr>
              <w:pStyle w:val="1510"/>
              <w:autoSpaceDN w:val="0"/>
              <w:adjustRightInd w:val="0"/>
              <w:snapToGrid w:val="0"/>
              <w:spacing w:line="360" w:lineRule="auto"/>
              <w:jc w:val="center"/>
              <w:rPr>
                <w:rFonts w:hint="eastAsia"/>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pPr>
              <w:pStyle w:val="1410"/>
              <w:autoSpaceDN w:val="0"/>
              <w:adjustRightInd w:val="0"/>
              <w:snapToGrid w:val="0"/>
              <w:spacing w:line="360" w:lineRule="auto"/>
              <w:jc w:val="center"/>
              <w:rPr>
                <w:rFonts w:hint="eastAsia"/>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pPr>
              <w:pStyle w:val="1210"/>
              <w:autoSpaceDN w:val="0"/>
              <w:adjustRightInd w:val="0"/>
              <w:snapToGrid w:val="0"/>
              <w:spacing w:line="360" w:lineRule="auto"/>
              <w:jc w:val="center"/>
              <w:rPr>
                <w:rFonts w:hint="eastAsia"/>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rFonts w:hint="eastAsia"/>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rFonts w:hint="eastAsia"/>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rPr>
            </w:pPr>
            <w:r>
              <w:rPr>
                <w:b/>
                <w:bCs/>
                <w:color w:val="000000"/>
                <w:sz w:val="24"/>
                <w:szCs w:val="24"/>
              </w:rPr>
              <w:t xml:space="preserve">                                                设备总价</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rPr>
            </w:pPr>
            <w:r>
              <w:rPr>
                <w:b/>
                <w:bCs/>
                <w:color w:val="000000"/>
                <w:sz w:val="24"/>
                <w:szCs w:val="24"/>
              </w:rPr>
              <w:t xml:space="preserve">                                              运保费</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rPr>
            </w:pPr>
            <w:r>
              <w:rPr>
                <w:b/>
                <w:bCs/>
                <w:color w:val="000000"/>
                <w:sz w:val="24"/>
                <w:szCs w:val="24"/>
              </w:rPr>
              <w:t xml:space="preserve">                                               安装调试费</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highlight w:val="yellow"/>
                <w:u w:val="single"/>
              </w:rPr>
            </w:pPr>
            <w:r>
              <w:rPr>
                <w:b/>
                <w:bCs/>
                <w:color w:val="000000"/>
                <w:sz w:val="24"/>
                <w:szCs w:val="24"/>
              </w:rPr>
              <w:t xml:space="preserve">                                制造商维保服务费（</w:t>
            </w:r>
            <w:r>
              <w:rPr>
                <w:b/>
                <w:bCs/>
                <w:color w:val="000000"/>
                <w:sz w:val="24"/>
                <w:szCs w:val="24"/>
                <w:u w:val="single" w:color="auto"/>
              </w:rPr>
              <w:t xml:space="preserve">    年）</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cantSplit/>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rFonts w:hint="eastAsia"/>
                <w:b/>
                <w:bCs/>
                <w:color w:val="000000"/>
                <w:sz w:val="24"/>
                <w:szCs w:val="24"/>
              </w:rPr>
            </w:pPr>
            <w:r>
              <w:rPr>
                <w:b/>
                <w:bCs/>
                <w:color w:val="000000"/>
                <w:sz w:val="24"/>
                <w:szCs w:val="24"/>
              </w:rPr>
              <w:t xml:space="preserve">                                                       合同总价</w:t>
            </w:r>
            <w:r>
              <w:rPr>
                <w:rFonts w:hint="eastAsia"/>
                <w:b/>
                <w:bCs/>
                <w:color w:val="000000"/>
                <w:sz w:val="24"/>
                <w:szCs w:val="24"/>
              </w:rPr>
              <w:t xml:space="preserve">                                                    </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b/>
                <w:bCs/>
                <w:color w:val="000000"/>
                <w:sz w:val="24"/>
                <w:szCs w:val="24"/>
              </w:rPr>
            </w:pPr>
          </w:p>
        </w:tc>
      </w:tr>
    </w:tbl>
    <w:p>
      <w:pPr>
        <w:ind w:firstLine="420" w:firstLineChars="200"/>
        <w:rPr>
          <w:b/>
          <w:bCs/>
          <w:color w:val="000000"/>
        </w:rPr>
      </w:pPr>
      <w:r>
        <w:rPr>
          <w:b/>
          <w:bCs/>
          <w:color w:val="000000"/>
        </w:rPr>
        <w:t>第二条 合同总价款</w:t>
      </w:r>
    </w:p>
    <w:p>
      <w:pPr>
        <w:pStyle w:val="103"/>
        <w:ind w:firstLine="640" w:firstLineChars="200"/>
        <w:rPr>
          <w:rFonts w:hint="eastAsia"/>
          <w:color w:val="000000"/>
        </w:rPr>
      </w:pPr>
      <w:r>
        <w:rPr>
          <w:rFonts w:hint="eastAsia"/>
          <w:color w:val="000000"/>
        </w:rPr>
        <w:t>甲方以支付总价款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__________</w:t>
      </w:r>
      <w:r>
        <w:rPr>
          <w:rFonts w:hint="eastAsia"/>
          <w:color w:val="000000"/>
        </w:rPr>
        <w:t>元</w:t>
      </w:r>
      <w:r>
        <w:rPr>
          <w:color w:val="000000"/>
        </w:rPr>
        <w:t>，</w:t>
      </w:r>
      <w:r>
        <w:rPr>
          <w:rFonts w:hint="eastAsia"/>
          <w:color w:val="000000"/>
        </w:rPr>
        <w:t>接受乙方对上述货物的供货和伴随服务</w:t>
      </w:r>
      <w:r>
        <w:rPr>
          <w:color w:val="000000"/>
        </w:rPr>
        <w:t>。包括乙方提供货物、包装、运输、货物的保险和储存、检测、验收、安装调试、保修服务、培训、资料及提供的伴随服务等所有成本、费用及税费</w:t>
      </w:r>
      <w:r>
        <w:rPr>
          <w:rFonts w:hint="eastAsia"/>
          <w:color w:val="000000"/>
        </w:rPr>
        <w:t>，甲方</w:t>
      </w:r>
      <w:r>
        <w:rPr>
          <w:color w:val="000000"/>
        </w:rPr>
        <w:t>（用户）</w:t>
      </w:r>
      <w:r>
        <w:rPr>
          <w:rFonts w:hint="eastAsia"/>
          <w:color w:val="000000"/>
        </w:rPr>
        <w:t>无需再向乙方支付其他任何费用。</w:t>
      </w:r>
      <w:r>
        <w:rPr>
          <w:color w:val="000000"/>
        </w:rPr>
        <w:t>详见附件分项报价表、设备配置清单和技术偏离表。</w:t>
      </w:r>
    </w:p>
    <w:p>
      <w:pPr>
        <w:pStyle w:val="31"/>
        <w:ind w:firstLine="640" w:firstLineChars="200"/>
        <w:rPr>
          <w:rFonts w:hint="eastAsia"/>
          <w:color w:val="000000"/>
        </w:rPr>
      </w:pPr>
      <w:r>
        <w:rPr>
          <w:rFonts w:hint="eastAsia"/>
          <w:b/>
          <w:bCs/>
          <w:color w:val="000000"/>
        </w:rPr>
        <w:t>第</w:t>
      </w:r>
      <w:r>
        <w:rPr>
          <w:b/>
          <w:bCs/>
          <w:color w:val="000000"/>
        </w:rPr>
        <w:t>三</w:t>
      </w:r>
      <w:r>
        <w:rPr>
          <w:rFonts w:hint="eastAsia"/>
          <w:b/>
          <w:bCs/>
          <w:color w:val="000000"/>
        </w:rPr>
        <w:t>条 付款条件</w:t>
      </w:r>
      <w:r>
        <w:rPr>
          <w:rFonts w:hint="eastAsia"/>
          <w:bCs/>
          <w:color w:val="000000"/>
        </w:rPr>
        <w:t>（注：项目需求书中另有要求的，以项目需求书中的约定为准）</w:t>
      </w:r>
    </w:p>
    <w:p>
      <w:pPr>
        <w:ind w:firstLine="420" w:firstLineChars="200"/>
        <w:rPr>
          <w:rFonts w:hint="eastAsia"/>
          <w:color w:val="000000"/>
        </w:rPr>
      </w:pPr>
      <w:r>
        <w:rPr>
          <w:rFonts w:hint="eastAsia"/>
          <w:color w:val="000000"/>
        </w:rPr>
        <w:t>（一）本合同以人民币付款。</w:t>
      </w:r>
    </w:p>
    <w:p>
      <w:pPr>
        <w:ind w:firstLine="420" w:firstLineChars="200"/>
        <w:rPr>
          <w:color w:val="000000"/>
        </w:rPr>
      </w:pPr>
      <w:r>
        <w:rPr>
          <w:rFonts w:hint="eastAsia"/>
          <w:color w:val="000000"/>
        </w:rPr>
        <w:t>（二）付款办法：</w:t>
      </w:r>
    </w:p>
    <w:p>
      <w:pPr>
        <w:ind w:firstLine="420" w:firstLineChars="200"/>
        <w:rPr>
          <w:color w:val="000000"/>
        </w:rPr>
      </w:pPr>
      <w:r>
        <w:rPr>
          <w:color w:val="000000"/>
        </w:rPr>
        <w:t>1.乙方向甲方交付履约保证金，并提交下列单据之日起10个工作日内，甲方向乙方支付合同总价____%合同款（人民币大写：_______；人民币小写：_______）。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乙方提交单据：合同（正文部分复印件）、中标通知书（或成交通知书）、发票（原件）、履约保证金单据。</w:t>
      </w:r>
    </w:p>
    <w:p>
      <w:pPr>
        <w:ind w:firstLine="420" w:firstLineChars="200"/>
        <w:rPr>
          <w:color w:val="000000"/>
        </w:rPr>
      </w:pPr>
      <w:r>
        <w:rPr>
          <w:color w:val="000000"/>
        </w:rPr>
        <w:t>2.设备全部到货并经甲方（用户）签收后，乙方向甲方提交下列单据之日起10个工作日内，甲方向乙方支付合同总价____%合同款（人民币大写：_______；人民币小写：_______）。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乙方提交单据：合同(正文部分复印件）、中标通知书（或成交通知书）、发票（原件）、设备到货验收合格签收单（须装订成册）（复印件）。</w:t>
      </w:r>
    </w:p>
    <w:p>
      <w:pPr>
        <w:ind w:firstLine="420" w:firstLineChars="200"/>
        <w:rPr>
          <w:color w:val="000000"/>
        </w:rPr>
      </w:pPr>
      <w:r>
        <w:rPr>
          <w:color w:val="000000"/>
        </w:rPr>
        <w:t>3.设备全部安装调试，并经甲方（用户）验收合格后，乙方向甲方提交下列单据之日起10个工作日内，甲方向乙方支付合同总价____%合同款（人民币大写：_______；人民币小写：_______）。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乙方提交单据：合同（正文部分复印件）、中标通知书（或成交通知书）、发票（原件）、安装调试验收合格报告（须装订成册）（复印件）。</w:t>
      </w:r>
    </w:p>
    <w:p>
      <w:pPr>
        <w:ind w:firstLine="420" w:firstLineChars="200"/>
        <w:rPr>
          <w:color w:val="000000"/>
        </w:rPr>
      </w:pPr>
      <w:r>
        <w:rPr>
          <w:color w:val="000000"/>
        </w:rPr>
        <w:t>4.因财政集中支付延误时间不计算在内，乙方提交付款单据延迟、缺失及</w:t>
      </w:r>
      <w:r>
        <w:rPr>
          <w:rFonts w:hint="eastAsia"/>
          <w:color w:val="000000"/>
        </w:rPr>
        <w:t>账户信息错误</w:t>
      </w:r>
      <w:r>
        <w:rPr>
          <w:color w:val="000000"/>
        </w:rPr>
        <w:t>的，甲方有权相应顺延付款期限，且甲方不承担</w:t>
      </w:r>
      <w:r>
        <w:rPr>
          <w:rFonts w:hint="eastAsia"/>
          <w:color w:val="000000"/>
        </w:rPr>
        <w:t>延误付款责任</w:t>
      </w:r>
      <w:r>
        <w:rPr>
          <w:color w:val="000000"/>
        </w:rPr>
        <w:t>。</w:t>
      </w:r>
    </w:p>
    <w:p>
      <w:pPr>
        <w:pStyle w:val="47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乙方</w:t>
      </w:r>
      <w:r>
        <w:rPr>
          <w:rFonts w:eastAsia="方正仿宋_GBK" w:cs="微软雅黑"/>
          <w:snapToGrid w:val="0"/>
          <w:kern w:val="0"/>
          <w:sz w:val="32"/>
          <w:szCs w:val="32"/>
          <w:lang w:bidi="ar-SA"/>
        </w:rPr>
        <w:t>收</w:t>
      </w:r>
      <w:r>
        <w:rPr>
          <w:rFonts w:eastAsia="方正仿宋_GBK" w:cs="微软雅黑" w:hint="eastAsia"/>
          <w:snapToGrid w:val="0"/>
          <w:kern w:val="0"/>
          <w:sz w:val="32"/>
          <w:szCs w:val="32"/>
          <w:lang w:bidi="ar-SA"/>
        </w:rPr>
        <w:t>取货</w:t>
      </w:r>
      <w:r>
        <w:rPr>
          <w:rFonts w:eastAsia="方正仿宋_GBK" w:cs="微软雅黑"/>
          <w:snapToGrid w:val="0"/>
          <w:kern w:val="0"/>
          <w:sz w:val="32"/>
          <w:szCs w:val="32"/>
          <w:lang w:bidi="ar-SA"/>
        </w:rPr>
        <w:t>款账户为：</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804"/>
        <w:gridCol w:w="6051"/>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乙</w:t>
            </w:r>
            <w:r>
              <w:rPr>
                <w:rFonts w:eastAsia="方正仿宋_GBK" w:cs="微软雅黑"/>
                <w:snapToGrid w:val="0"/>
                <w:kern w:val="0"/>
                <w:sz w:val="32"/>
                <w:szCs w:val="32"/>
                <w:lang w:bidi="ar-SA"/>
              </w:rPr>
              <w:t>方全称</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403"/>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lang w:bidi="ar-SA"/>
              </w:rPr>
              <w:t>开户银行</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242"/>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lang w:bidi="ar-SA"/>
              </w:rPr>
              <w:t>账号</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bl>
    <w:p>
      <w:pPr>
        <w:ind w:firstLine="420" w:firstLineChars="200"/>
        <w:rPr>
          <w:rFonts w:hint="eastAsia"/>
          <w:b/>
          <w:bCs/>
          <w:color w:val="000000"/>
        </w:rPr>
      </w:pPr>
      <w:r>
        <w:rPr>
          <w:rFonts w:hint="eastAsia"/>
          <w:b/>
          <w:bCs/>
          <w:color w:val="000000"/>
        </w:rPr>
        <w:t>第</w:t>
      </w:r>
      <w:r>
        <w:rPr>
          <w:b/>
          <w:bCs/>
          <w:color w:val="000000"/>
        </w:rPr>
        <w:t>四</w:t>
      </w:r>
      <w:r>
        <w:rPr>
          <w:rFonts w:hint="eastAsia"/>
          <w:b/>
          <w:bCs/>
          <w:color w:val="000000"/>
        </w:rPr>
        <w:t>条 履约保证金</w:t>
      </w:r>
    </w:p>
    <w:p>
      <w:pPr>
        <w:pStyle w:val="23"/>
        <w:ind w:firstLine="640" w:firstLineChars="200"/>
        <w:rPr>
          <w:color w:val="000000"/>
          <w:highlight w:val="yellow"/>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____</w:t>
      </w:r>
      <w:r>
        <w:rPr>
          <w:rFonts w:hint="eastAsia"/>
          <w:color w:val="000000"/>
        </w:rPr>
        <w:t>%</w:t>
      </w:r>
      <w:r>
        <w:rPr>
          <w:color w:val="000000"/>
        </w:rPr>
        <w:t>（人民币大写：_______；人民币小写：_______）</w:t>
      </w:r>
      <w:r>
        <w:rPr>
          <w:rFonts w:hint="eastAsia"/>
          <w:color w:val="000000"/>
        </w:rPr>
        <w:t>向甲方交纳履约保证金。</w:t>
      </w:r>
      <w:r>
        <w:rPr>
          <w:color w:val="000000"/>
        </w:rPr>
        <w:t>如果乙方未按照约定时间交付履约保证金的，甲方有权单方面解除合同。</w:t>
      </w:r>
    </w:p>
    <w:p>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甲方指定履约保证金收款账户为：</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86"/>
        <w:gridCol w:w="5469"/>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收款单位</w:t>
            </w:r>
            <w:r>
              <w:rPr>
                <w:rFonts w:eastAsia="方正仿宋_GBK" w:cs="微软雅黑"/>
                <w:snapToGrid w:val="0"/>
                <w:kern w:val="0"/>
                <w:sz w:val="32"/>
                <w:szCs w:val="32"/>
                <w:lang w:bidi="ar-SA"/>
              </w:rPr>
              <w:t>全称</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403"/>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snapToGrid w:val="0"/>
                <w:kern w:val="0"/>
                <w:sz w:val="32"/>
                <w:szCs w:val="32"/>
                <w:lang w:bidi="ar-SA"/>
              </w:rPr>
              <w:t>开户银行</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242"/>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snapToGrid w:val="0"/>
                <w:kern w:val="0"/>
                <w:sz w:val="32"/>
                <w:szCs w:val="32"/>
                <w:lang w:bidi="ar-SA"/>
              </w:rPr>
              <w:t>账号</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bl>
    <w:p>
      <w:pPr>
        <w:pStyle w:val="23"/>
        <w:ind w:left="0" w:firstLine="64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pPr>
        <w:ind w:firstLine="420" w:firstLineChars="200"/>
        <w:rPr>
          <w:rFonts w:hint="eastAsia"/>
          <w:color w:val="000000"/>
        </w:rPr>
      </w:pPr>
      <w:r>
        <w:rPr>
          <w:rFonts w:hint="eastAsia"/>
          <w:color w:val="000000"/>
        </w:rPr>
        <w:t>（</w:t>
      </w:r>
      <w:r>
        <w:rPr>
          <w:color w:val="000000"/>
        </w:rPr>
        <w:t>三</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之日起10个工作日内</w:t>
      </w:r>
      <w:r>
        <w:rPr>
          <w:rFonts w:hint="eastAsia"/>
          <w:color w:val="000000"/>
        </w:rPr>
        <w:t>，及时补充扣除部分金额。</w:t>
      </w:r>
    </w:p>
    <w:p>
      <w:pPr>
        <w:ind w:firstLine="420" w:firstLineChars="200"/>
        <w:rPr>
          <w:rFonts w:hint="eastAsia"/>
          <w:color w:val="000000"/>
        </w:rPr>
      </w:pPr>
      <w:r>
        <w:rPr>
          <w:rFonts w:hint="eastAsia"/>
          <w:color w:val="000000"/>
        </w:rPr>
        <w:t>（</w:t>
      </w:r>
      <w:r>
        <w:rPr>
          <w:color w:val="000000"/>
        </w:rPr>
        <w:t>四</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pPr>
        <w:ind w:firstLine="420" w:firstLineChars="200"/>
        <w:rPr>
          <w:rFonts w:hint="eastAsia"/>
          <w:color w:val="000000"/>
        </w:rPr>
      </w:pPr>
      <w:r>
        <w:rPr>
          <w:rFonts w:hint="eastAsia"/>
          <w:color w:val="000000"/>
        </w:rPr>
        <w:t>（</w:t>
      </w:r>
      <w:r>
        <w:rPr>
          <w:color w:val="000000"/>
        </w:rPr>
        <w:t>五）</w:t>
      </w:r>
      <w:r>
        <w:rPr>
          <w:bCs/>
          <w:color w:val="000000"/>
        </w:rPr>
        <w:t>设备全部安装调试，并经甲方（用户）验收合格后30个</w:t>
      </w:r>
      <w:r>
        <w:rPr>
          <w:bCs/>
          <w:color w:val="000000"/>
        </w:rPr>
        <w:t>日历</w:t>
      </w:r>
      <w:r>
        <w:rPr>
          <w:bCs/>
          <w:color w:val="000000"/>
        </w:rPr>
        <w:t>日内，乙方可以提交</w:t>
      </w:r>
      <w:r>
        <w:rPr>
          <w:rFonts w:hint="eastAsia"/>
          <w:bCs/>
          <w:color w:val="000000"/>
        </w:rPr>
        <w:t>履约保证金</w:t>
      </w:r>
      <w:r>
        <w:rPr>
          <w:bCs/>
          <w:color w:val="000000"/>
        </w:rPr>
        <w:t>退款申请。</w:t>
      </w:r>
      <w:r>
        <w:rPr>
          <w:rFonts w:hint="eastAsia"/>
          <w:color w:val="000000"/>
        </w:rPr>
        <w:t>甲方凭乙方提交退款申请，10个工作日内无息退还。</w:t>
      </w:r>
    </w:p>
    <w:p>
      <w:pPr>
        <w:ind w:firstLine="420" w:firstLineChars="200"/>
        <w:rPr>
          <w:rFonts w:hint="eastAsia"/>
          <w:b/>
          <w:bCs/>
          <w:color w:val="000000"/>
        </w:rPr>
      </w:pPr>
      <w:r>
        <w:rPr>
          <w:rFonts w:hint="eastAsia"/>
          <w:b/>
          <w:bCs/>
          <w:color w:val="000000"/>
        </w:rPr>
        <w:t>第</w:t>
      </w:r>
      <w:r>
        <w:rPr>
          <w:b/>
          <w:bCs/>
          <w:color w:val="000000"/>
        </w:rPr>
        <w:t>五</w:t>
      </w:r>
      <w:r>
        <w:rPr>
          <w:rFonts w:hint="eastAsia"/>
          <w:b/>
          <w:bCs/>
          <w:color w:val="000000"/>
        </w:rPr>
        <w:t>条</w:t>
      </w:r>
      <w:r>
        <w:rPr>
          <w:b/>
          <w:bCs/>
          <w:color w:val="000000"/>
        </w:rPr>
        <w:t xml:space="preserve"> </w:t>
      </w:r>
      <w:r>
        <w:rPr>
          <w:rFonts w:hint="eastAsia"/>
          <w:b/>
          <w:bCs/>
          <w:color w:val="000000"/>
        </w:rPr>
        <w:t>包装</w:t>
      </w:r>
    </w:p>
    <w:p>
      <w:pPr>
        <w:pStyle w:val="90"/>
        <w:ind w:firstLine="640" w:firstLineChars="200"/>
        <w:rPr>
          <w:color w:val="000000"/>
        </w:rPr>
      </w:pPr>
      <w:r>
        <w:rPr>
          <w:rFonts w:hint="eastAsia"/>
          <w:color w:val="000000"/>
        </w:rPr>
        <w:t>（一）除合同另有规定外，乙方提供的全部货物均应按标准</w:t>
      </w:r>
      <w:r>
        <w:rPr>
          <w:rFonts w:hint="eastAsia"/>
          <w:snapToGrid w:val="0"/>
          <w:color w:val="000000"/>
          <w:kern w:val="0"/>
        </w:rPr>
        <w:t>保护措施进行包装，这类包装应适应于远距离运输、防潮、防震、</w:t>
      </w:r>
      <w:r>
        <w:rPr>
          <w:rFonts w:hint="eastAsia"/>
          <w:color w:val="000000"/>
        </w:rPr>
        <w:t>防锈和防野蛮装卸，以确保货物安全无损运抵指定</w:t>
      </w:r>
      <w:r>
        <w:rPr>
          <w:color w:val="000000"/>
        </w:rPr>
        <w:t>交货地点</w:t>
      </w:r>
      <w:r>
        <w:rPr>
          <w:rFonts w:hint="eastAsia"/>
          <w:color w:val="000000"/>
        </w:rPr>
        <w:t>。</w:t>
      </w:r>
    </w:p>
    <w:p>
      <w:pPr>
        <w:pStyle w:val="90"/>
        <w:ind w:firstLine="640" w:firstLineChars="200"/>
        <w:rPr>
          <w:rFonts w:hint="eastAsia"/>
          <w:color w:val="000000"/>
        </w:rPr>
      </w:pPr>
      <w:r>
        <w:rPr>
          <w:rFonts w:hint="eastAsia"/>
          <w:color w:val="000000"/>
        </w:rPr>
        <w:t>（</w:t>
      </w:r>
      <w:r>
        <w:rPr>
          <w:color w:val="000000"/>
        </w:rPr>
        <w:t>二</w:t>
      </w:r>
      <w:r>
        <w:rPr>
          <w:rFonts w:hint="eastAsia"/>
          <w:color w:val="000000"/>
        </w:rPr>
        <w:t>）</w:t>
      </w:r>
      <w:r>
        <w:rPr>
          <w:color w:val="000000"/>
        </w:rPr>
        <w:t>乙方应在包装箱外</w:t>
      </w:r>
      <w:r>
        <w:rPr>
          <w:rFonts w:ascii="宋体" w:hAnsi="宋体" w:hint="eastAsia"/>
          <w:color w:val="000000"/>
          <w:szCs w:val="24"/>
        </w:rPr>
        <w:t>标明合同名称、合同编号、产品名称、型号</w:t>
      </w:r>
      <w:r>
        <w:rPr>
          <w:color w:val="000000"/>
        </w:rPr>
        <w:t>，</w:t>
      </w:r>
      <w:r>
        <w:rPr>
          <w:rFonts w:hint="eastAsia"/>
          <w:color w:val="000000"/>
        </w:rPr>
        <w:t>包装箱内</w:t>
      </w:r>
      <w:r>
        <w:rPr>
          <w:color w:val="000000"/>
        </w:rPr>
        <w:t>随</w:t>
      </w:r>
      <w:r>
        <w:rPr>
          <w:rFonts w:hint="eastAsia"/>
          <w:color w:val="000000"/>
        </w:rPr>
        <w:t>附一份详细装箱单和质量证书</w:t>
      </w:r>
      <w:r>
        <w:rPr>
          <w:rFonts w:ascii="宋体" w:hAnsi="宋体" w:hint="eastAsia"/>
          <w:color w:val="000000"/>
          <w:szCs w:val="24"/>
        </w:rPr>
        <w:t>。</w:t>
      </w:r>
    </w:p>
    <w:p>
      <w:pPr>
        <w:ind w:firstLine="420" w:firstLineChars="200"/>
        <w:rPr>
          <w:color w:val="000000"/>
        </w:rPr>
      </w:pPr>
      <w:r>
        <w:rPr>
          <w:rFonts w:hint="eastAsia"/>
          <w:color w:val="000000"/>
        </w:rPr>
        <w:t>（</w:t>
      </w:r>
      <w:r>
        <w:rPr>
          <w:color w:val="000000"/>
        </w:rPr>
        <w:t>三</w:t>
      </w:r>
      <w:r>
        <w:rPr>
          <w:rFonts w:hint="eastAsia"/>
          <w:color w:val="000000"/>
        </w:rPr>
        <w:t>）乙方应承担由于其包装或防护措施不当而引起的货物损坏和丢失的任何损失责任和费用。</w:t>
      </w:r>
    </w:p>
    <w:p>
      <w:pPr>
        <w:ind w:firstLine="420" w:firstLineChars="200"/>
        <w:rPr>
          <w:rFonts w:hint="eastAsia"/>
          <w:b/>
          <w:bCs/>
          <w:color w:val="000000"/>
        </w:rPr>
      </w:pPr>
      <w:r>
        <w:rPr>
          <w:rFonts w:hint="eastAsia"/>
          <w:b/>
          <w:bCs/>
          <w:color w:val="000000"/>
        </w:rPr>
        <w:t>第</w:t>
      </w:r>
      <w:r>
        <w:rPr>
          <w:b/>
          <w:bCs/>
          <w:color w:val="000000"/>
        </w:rPr>
        <w:t>六</w:t>
      </w:r>
      <w:r>
        <w:rPr>
          <w:rFonts w:hint="eastAsia"/>
          <w:b/>
          <w:bCs/>
          <w:color w:val="000000"/>
        </w:rPr>
        <w:t>条</w:t>
      </w:r>
      <w:r>
        <w:rPr>
          <w:b/>
          <w:bCs/>
          <w:color w:val="000000"/>
        </w:rPr>
        <w:t xml:space="preserve"> 交货时间、地点、</w:t>
      </w:r>
      <w:r>
        <w:rPr>
          <w:rFonts w:hint="eastAsia"/>
          <w:b/>
          <w:bCs/>
          <w:color w:val="000000"/>
        </w:rPr>
        <w:t>交货</w:t>
      </w:r>
      <w:r>
        <w:rPr>
          <w:b/>
          <w:bCs/>
          <w:color w:val="000000"/>
        </w:rPr>
        <w:t>方法（运输方式）</w:t>
      </w:r>
    </w:p>
    <w:p>
      <w:pPr>
        <w:pStyle w:val="93"/>
        <w:ind w:firstLine="640" w:firstLineChars="200"/>
        <w:rPr>
          <w:rFonts w:hint="eastAsia"/>
          <w:color w:val="000000"/>
        </w:rPr>
      </w:pPr>
      <w:r>
        <w:rPr>
          <w:rFonts w:hint="eastAsia"/>
          <w:color w:val="000000"/>
        </w:rPr>
        <w:t>（</w:t>
      </w:r>
      <w:r>
        <w:rPr>
          <w:color w:val="000000"/>
        </w:rPr>
        <w:t>一</w:t>
      </w:r>
      <w:r>
        <w:rPr>
          <w:rFonts w:hint="eastAsia"/>
          <w:snapToGrid w:val="0"/>
          <w:color w:val="000000"/>
          <w:kern w:val="0"/>
        </w:rPr>
        <w:t>）交</w:t>
      </w:r>
      <w:r>
        <w:rPr>
          <w:rFonts w:hint="eastAsia"/>
          <w:color w:val="000000"/>
        </w:rPr>
        <w:t>货时间：合同签订</w:t>
      </w:r>
      <w:r>
        <w:rPr>
          <w:color w:val="000000"/>
        </w:rPr>
        <w:t>后_____</w:t>
      </w:r>
      <w:r>
        <w:rPr>
          <w:rFonts w:hint="eastAsia"/>
          <w:color w:val="000000"/>
        </w:rPr>
        <w:t>日内</w:t>
      </w:r>
      <w:r>
        <w:rPr>
          <w:color w:val="000000"/>
        </w:rPr>
        <w:t>完成交货，_____</w:t>
      </w:r>
      <w:r>
        <w:rPr>
          <w:rFonts w:hint="eastAsia"/>
          <w:color w:val="000000"/>
        </w:rPr>
        <w:t>日内</w:t>
      </w:r>
      <w:r>
        <w:rPr>
          <w:color w:val="000000"/>
        </w:rPr>
        <w:t>完成安装调试。</w:t>
      </w:r>
    </w:p>
    <w:p>
      <w:pPr>
        <w:pStyle w:val="94"/>
        <w:ind w:firstLine="640" w:firstLineChars="200"/>
        <w:rPr>
          <w:color w:val="000000"/>
        </w:rPr>
      </w:pPr>
      <w:r>
        <w:rPr>
          <w:rFonts w:hint="eastAsia"/>
          <w:color w:val="000000"/>
        </w:rPr>
        <w:t>（</w:t>
      </w:r>
      <w:r>
        <w:rPr>
          <w:color w:val="000000"/>
        </w:rPr>
        <w:t>二</w:t>
      </w:r>
      <w:r>
        <w:rPr>
          <w:rFonts w:hint="eastAsia"/>
          <w:color w:val="000000"/>
        </w:rPr>
        <w:t>）交货地点：分配清单指定地点</w:t>
      </w:r>
      <w:r>
        <w:rPr>
          <w:color w:val="000000"/>
        </w:rPr>
        <w:t>，详见附件。</w:t>
      </w:r>
    </w:p>
    <w:p>
      <w:pPr>
        <w:pStyle w:val="32"/>
        <w:ind w:firstLine="640" w:firstLineChars="200"/>
        <w:rPr>
          <w:color w:val="000000"/>
        </w:rPr>
      </w:pPr>
      <w:r>
        <w:rPr>
          <w:color w:val="000000"/>
        </w:rPr>
        <w:t>（三）交货方法：由乙方负责采用适合的交通工具将采购货物及其附件运至交货现场</w:t>
      </w:r>
      <w:r>
        <w:rPr>
          <w:rFonts w:hint="eastAsia"/>
          <w:color w:val="000000"/>
        </w:rPr>
        <w:t>并按</w:t>
      </w:r>
      <w:r>
        <w:rPr>
          <w:color w:val="000000"/>
        </w:rPr>
        <w:t>甲方要求完成卸货，以双方签署设备到货验收签收单为准，交货时应一并交付货物的有关单证。货物运至海关指定地点的运输、劳务及相关保险的办理由乙方负责并承担相应费用。</w:t>
      </w:r>
    </w:p>
    <w:p>
      <w:pPr>
        <w:pStyle w:val="18"/>
        <w:ind w:firstLine="640" w:firstLineChars="200"/>
        <w:rPr>
          <w:rFonts w:hint="eastAsia"/>
          <w:color w:val="000000"/>
        </w:rPr>
      </w:pPr>
      <w:r>
        <w:rPr>
          <w:color w:val="000000"/>
        </w:rPr>
        <w:t>（四）风险责任承担：货物的风险责任和所有权在双方签署设备到货验收签收单/安装调试验收合格报告后由甲方承担和享有，此前的风险责任由乙方承担。</w:t>
      </w:r>
    </w:p>
    <w:p>
      <w:pPr>
        <w:pStyle w:val="21"/>
        <w:ind w:firstLine="640" w:firstLineChars="200"/>
        <w:rPr>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货物验收</w:t>
      </w:r>
    </w:p>
    <w:p>
      <w:pPr>
        <w:pStyle w:val="33"/>
        <w:ind w:firstLine="640" w:firstLineChars="200"/>
        <w:rPr>
          <w:color w:val="000000"/>
        </w:rPr>
      </w:pPr>
      <w:r>
        <w:rPr>
          <w:color w:val="000000"/>
        </w:rPr>
        <w:t>（一）货物运至甲方（用户）指定地点后，由甲乙双方指派人员按照本合同规定对货物进行验收，乙方应提供交货清单等文件供甲方（用户）审查，甲方（用户）将按合同清单进行规格、数量、外观的检查。</w:t>
      </w:r>
    </w:p>
    <w:p>
      <w:pPr>
        <w:pStyle w:val="114"/>
        <w:ind w:firstLine="640" w:firstLineChars="200"/>
        <w:rPr>
          <w:color w:val="000000"/>
        </w:rPr>
      </w:pPr>
      <w:r>
        <w:rPr>
          <w:color w:val="000000"/>
        </w:rPr>
        <w:t>（二）收货后__个工作日内甲乙双方进行到货验收工作。如验收合格，甲方（用户）应及时履行验收手续，双方签署设备到货验收签收单；如验收不合格，甲方（用户）应以书面形式通知乙方原因，乙方收到通知后__个工作日内提供解决方案。</w:t>
      </w:r>
    </w:p>
    <w:p>
      <w:pPr>
        <w:pStyle w:val="33"/>
        <w:ind w:firstLine="640" w:firstLineChars="200"/>
        <w:rPr>
          <w:color w:val="000000"/>
        </w:rPr>
      </w:pPr>
      <w:r>
        <w:rPr>
          <w:color w:val="000000"/>
        </w:rPr>
        <w:t>（三）在验收工作中，发现数量不足或有质量、技术等问题，乙方应按照合同要求采取补足、更换或退货等处理措施，并承担由此发生的一切费用和损失。</w:t>
      </w:r>
    </w:p>
    <w:p>
      <w:pPr>
        <w:pStyle w:val="33"/>
        <w:ind w:firstLine="640" w:firstLineChars="200"/>
        <w:rPr>
          <w:color w:val="000000"/>
        </w:rPr>
      </w:pPr>
      <w:r>
        <w:rPr>
          <w:color w:val="000000"/>
        </w:rPr>
        <w:t>（四）涉及设备安装调试的，乙方负责在甲方（用户）配合下完成所供设备安装调试并保证与用户原有设备互联互通，有关技术问题由乙方负责解决。安装调试后，双方签署设备安装调试验收报告。有关安装调试服务详见附件实施方案。</w:t>
      </w:r>
    </w:p>
    <w:p>
      <w:pPr>
        <w:pStyle w:val="33"/>
        <w:ind w:firstLine="640" w:firstLineChars="200"/>
        <w:rPr>
          <w:color w:val="000000"/>
        </w:rPr>
      </w:pPr>
      <w:r>
        <w:rPr>
          <w:color w:val="000000"/>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33"/>
        <w:ind w:firstLine="640" w:firstLineChars="200"/>
        <w:rPr>
          <w:color w:val="000000"/>
        </w:rPr>
      </w:pPr>
      <w:r>
        <w:rPr>
          <w:color w:val="000000"/>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109"/>
        <w:ind w:firstLine="640" w:firstLineChars="200"/>
        <w:rPr>
          <w:color w:val="000000"/>
        </w:rPr>
      </w:pPr>
      <w:r>
        <w:rPr>
          <w:color w:val="000000"/>
        </w:rPr>
        <w:t>（七）甲方（用户）认为必要时，对大型或者复杂的货物采购项目，可以邀请国家认可的质量检测机构参加验收工作，相关验收意见作为验收报告的参考资料</w:t>
      </w:r>
      <w:r>
        <w:rPr>
          <w:rFonts w:hint="eastAsia"/>
          <w:color w:val="000000"/>
        </w:rPr>
        <w:t>，相关</w:t>
      </w:r>
      <w:r>
        <w:rPr>
          <w:color w:val="000000"/>
        </w:rPr>
        <w:t>费用由乙方承担。</w:t>
      </w:r>
    </w:p>
    <w:p>
      <w:pPr>
        <w:pStyle w:val="109"/>
        <w:ind w:firstLine="640" w:firstLineChars="200"/>
        <w:rPr>
          <w:rFonts w:hint="eastAsia"/>
          <w:color w:val="000000"/>
        </w:rPr>
      </w:pPr>
      <w:r>
        <w:rPr>
          <w:rFonts w:hint="eastAsia"/>
          <w:color w:val="000000"/>
        </w:rPr>
        <w:t>（八）验收标准</w:t>
      </w:r>
      <w:r>
        <w:rPr>
          <w:color w:val="000000"/>
        </w:rPr>
        <w:t>以双方达成的对质量</w:t>
      </w:r>
      <w:r>
        <w:rPr>
          <w:rFonts w:hint="eastAsia"/>
          <w:color w:val="000000"/>
        </w:rPr>
        <w:t>和</w:t>
      </w:r>
      <w:r>
        <w:rPr>
          <w:color w:val="000000"/>
        </w:rPr>
        <w:t>技术标准的约定、乙方承诺</w:t>
      </w:r>
      <w:r>
        <w:rPr>
          <w:rFonts w:hint="eastAsia"/>
          <w:color w:val="000000"/>
        </w:rPr>
        <w:t>的</w:t>
      </w:r>
      <w:r>
        <w:rPr>
          <w:color w:val="000000"/>
        </w:rPr>
        <w:t>质量</w:t>
      </w:r>
      <w:r>
        <w:rPr>
          <w:rFonts w:hint="eastAsia"/>
          <w:color w:val="000000"/>
        </w:rPr>
        <w:t>和</w:t>
      </w:r>
      <w:r>
        <w:rPr>
          <w:color w:val="000000"/>
        </w:rPr>
        <w:t>技术标准、</w:t>
      </w:r>
      <w:r>
        <w:rPr>
          <w:rFonts w:hint="eastAsia"/>
          <w:color w:val="000000"/>
        </w:rPr>
        <w:t>国家</w:t>
      </w:r>
      <w:r>
        <w:rPr>
          <w:color w:val="000000"/>
        </w:rPr>
        <w:t>或行业</w:t>
      </w:r>
      <w:r>
        <w:rPr>
          <w:rFonts w:hint="eastAsia"/>
          <w:color w:val="000000"/>
        </w:rPr>
        <w:t>规定</w:t>
      </w:r>
      <w:r>
        <w:rPr>
          <w:color w:val="000000"/>
        </w:rPr>
        <w:t>的相关质量</w:t>
      </w:r>
      <w:r>
        <w:rPr>
          <w:rFonts w:hint="eastAsia"/>
          <w:color w:val="000000"/>
        </w:rPr>
        <w:t>和</w:t>
      </w:r>
      <w:r>
        <w:rPr>
          <w:color w:val="000000"/>
        </w:rPr>
        <w:t>技术标准中最高者为准，且应</w:t>
      </w:r>
      <w:r>
        <w:rPr>
          <w:rFonts w:hint="eastAsia"/>
          <w:color w:val="000000"/>
        </w:rPr>
        <w:t>充分满足</w:t>
      </w:r>
      <w:r>
        <w:rPr>
          <w:color w:val="000000"/>
        </w:rPr>
        <w:t>甲方使用要求。</w:t>
      </w:r>
    </w:p>
    <w:p>
      <w:pPr>
        <w:pStyle w:val="33"/>
        <w:ind w:firstLine="640" w:firstLineChars="200"/>
        <w:rPr>
          <w:rFonts w:hint="eastAsia"/>
          <w:color w:val="000000"/>
        </w:rPr>
      </w:pPr>
      <w:r>
        <w:rPr>
          <w:rFonts w:hint="eastAsia"/>
          <w:b/>
          <w:bCs/>
          <w:color w:val="000000"/>
        </w:rPr>
        <w:t>第</w:t>
      </w:r>
      <w:r>
        <w:rPr>
          <w:b/>
          <w:bCs/>
          <w:color w:val="000000"/>
        </w:rPr>
        <w:t>八</w:t>
      </w:r>
      <w:r>
        <w:rPr>
          <w:rFonts w:hint="eastAsia"/>
          <w:b/>
          <w:bCs/>
          <w:color w:val="000000"/>
        </w:rPr>
        <w:t>条</w:t>
      </w:r>
      <w:r>
        <w:rPr>
          <w:b/>
          <w:bCs/>
          <w:color w:val="000000"/>
        </w:rPr>
        <w:t xml:space="preserve"> </w:t>
      </w:r>
      <w:r>
        <w:rPr>
          <w:rFonts w:hint="eastAsia"/>
          <w:b/>
          <w:bCs/>
          <w:color w:val="000000"/>
        </w:rPr>
        <w:t>质量保证</w:t>
      </w:r>
    </w:p>
    <w:p>
      <w:pPr>
        <w:ind w:firstLine="420" w:firstLineChars="200"/>
        <w:rPr>
          <w:rFonts w:hint="eastAsia"/>
          <w:color w:val="000000"/>
        </w:rPr>
      </w:pPr>
      <w:r>
        <w:rPr>
          <w:rFonts w:hint="eastAsia"/>
          <w:color w:val="000000"/>
        </w:rPr>
        <w:t>（一）乙方应保证所供货物</w:t>
      </w:r>
      <w:r>
        <w:rPr>
          <w:color w:val="000000"/>
        </w:rPr>
        <w:t>为______公司制造生产、原包装、</w:t>
      </w:r>
      <w:r>
        <w:rPr>
          <w:rFonts w:hint="eastAsia"/>
          <w:color w:val="000000"/>
        </w:rPr>
        <w:t>全新未使用过的</w:t>
      </w:r>
      <w:r>
        <w:rPr>
          <w:color w:val="000000"/>
        </w:rPr>
        <w:t>产品</w:t>
      </w:r>
      <w:r>
        <w:rPr>
          <w:rFonts w:hint="eastAsia"/>
          <w:color w:val="000000"/>
        </w:rPr>
        <w:t>，</w:t>
      </w:r>
      <w:r>
        <w:rPr>
          <w:color w:val="000000"/>
        </w:rPr>
        <w:t>与投标文件/应答文件承诺一致，</w:t>
      </w:r>
      <w:r>
        <w:rPr>
          <w:rFonts w:hint="eastAsia"/>
          <w:color w:val="000000"/>
        </w:rPr>
        <w:t>并完全符合或高于合同要求的质量、规格和技术性能。</w:t>
      </w:r>
    </w:p>
    <w:p>
      <w:pPr>
        <w:ind w:firstLine="420" w:firstLineChars="200"/>
        <w:rPr>
          <w:rFonts w:hint="eastAsia"/>
          <w:color w:val="000000"/>
        </w:rPr>
      </w:pPr>
      <w:r>
        <w:rPr>
          <w:rFonts w:hint="eastAsia"/>
          <w:color w:val="000000"/>
        </w:rPr>
        <w:t>（二）乙方</w:t>
      </w:r>
      <w:r>
        <w:rPr>
          <w:color w:val="000000"/>
        </w:rPr>
        <w:t>应保证所供货物</w:t>
      </w:r>
      <w:r>
        <w:rPr>
          <w:rFonts w:hint="eastAsia"/>
          <w:color w:val="000000"/>
        </w:rPr>
        <w:t>没有</w:t>
      </w:r>
      <w:r>
        <w:rPr>
          <w:color w:val="000000"/>
        </w:rPr>
        <w:t>材料或工艺上</w:t>
      </w:r>
      <w:r>
        <w:rPr>
          <w:rFonts w:hint="eastAsia"/>
          <w:color w:val="000000"/>
        </w:rPr>
        <w:t>的缺陷</w:t>
      </w:r>
      <w:r>
        <w:rPr>
          <w:color w:val="000000"/>
        </w:rPr>
        <w:t>，并</w:t>
      </w:r>
      <w:r>
        <w:rPr>
          <w:rFonts w:hint="eastAsia"/>
          <w:color w:val="000000"/>
        </w:rPr>
        <w:t>保证</w:t>
      </w:r>
      <w:r>
        <w:rPr>
          <w:color w:val="000000"/>
        </w:rPr>
        <w:t>其</w:t>
      </w:r>
      <w:r>
        <w:rPr>
          <w:rFonts w:hint="eastAsia"/>
          <w:color w:val="000000"/>
        </w:rPr>
        <w:t>货物在正确安装、正常使用和保养条件下，在其使用寿命期内具有</w:t>
      </w:r>
      <w:r>
        <w:rPr>
          <w:color w:val="000000"/>
        </w:rPr>
        <w:t>本合同要求</w:t>
      </w:r>
      <w:r>
        <w:rPr>
          <w:rFonts w:hint="eastAsia"/>
          <w:color w:val="000000"/>
        </w:rPr>
        <w:t>的性能。在货物最终交付验收后不少于合同规定或乙方承诺</w:t>
      </w:r>
      <w:r>
        <w:rPr>
          <w:color w:val="000000"/>
        </w:rPr>
        <w:t>（</w:t>
      </w:r>
      <w:r>
        <w:rPr>
          <w:rFonts w:hint="eastAsia"/>
          <w:color w:val="000000"/>
        </w:rPr>
        <w:t>两者以较长的为准</w:t>
      </w:r>
      <w:r>
        <w:rPr>
          <w:color w:val="000000"/>
        </w:rPr>
        <w:t>）</w:t>
      </w:r>
      <w:r>
        <w:rPr>
          <w:rFonts w:hint="eastAsia"/>
          <w:color w:val="000000"/>
        </w:rPr>
        <w:t>的质量保证期内，本保证保持有效。</w:t>
      </w:r>
    </w:p>
    <w:p>
      <w:pPr>
        <w:ind w:firstLine="420" w:firstLineChars="200"/>
        <w:rPr>
          <w:rFonts w:hint="eastAsia"/>
          <w:color w:val="000000"/>
        </w:rPr>
      </w:pPr>
      <w:r>
        <w:rPr>
          <w:color w:val="000000"/>
        </w:rPr>
        <w:t>（</w:t>
      </w:r>
      <w:r>
        <w:rPr>
          <w:rFonts w:hint="eastAsia"/>
          <w:color w:val="000000"/>
        </w:rPr>
        <w:t>三</w:t>
      </w:r>
      <w:r>
        <w:rPr>
          <w:color w:val="000000"/>
        </w:rPr>
        <w:t>）</w:t>
      </w:r>
      <w:r>
        <w:rPr>
          <w:rFonts w:hint="eastAsia"/>
          <w:color w:val="000000"/>
        </w:rPr>
        <w:t>如果</w:t>
      </w:r>
      <w:r>
        <w:rPr>
          <w:color w:val="000000"/>
        </w:rPr>
        <w:t>乙方所供货物质量</w:t>
      </w:r>
      <w:r>
        <w:rPr>
          <w:rFonts w:hint="eastAsia"/>
          <w:color w:val="000000"/>
        </w:rPr>
        <w:t>与合同不符，或证实</w:t>
      </w:r>
      <w:r>
        <w:rPr>
          <w:color w:val="000000"/>
        </w:rPr>
        <w:t>所供货物</w:t>
      </w:r>
      <w:r>
        <w:rPr>
          <w:rFonts w:hint="eastAsia"/>
          <w:color w:val="000000"/>
        </w:rPr>
        <w:t>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20" w:firstLineChars="200"/>
        <w:rPr>
          <w:rFonts w:hint="eastAsia"/>
          <w:color w:val="000000"/>
        </w:rPr>
      </w:pPr>
      <w:r>
        <w:rPr>
          <w:color w:val="000000"/>
        </w:rPr>
        <w:t>（</w:t>
      </w:r>
      <w:r>
        <w:rPr>
          <w:rFonts w:hint="eastAsia"/>
          <w:color w:val="000000"/>
        </w:rPr>
        <w:t>四</w:t>
      </w:r>
      <w:r>
        <w:rPr>
          <w:color w:val="000000"/>
        </w:rPr>
        <w:t>）</w:t>
      </w:r>
      <w:r>
        <w:rPr>
          <w:rFonts w:hint="eastAsia"/>
          <w:color w:val="000000"/>
        </w:rPr>
        <w:t>在质量保证期内所发现的缺陷，甲方（用户）应尽快以书面形式通知乙方。乙方收到通知后应10日内免费维修或更换有缺陷的货物或部件</w:t>
      </w:r>
      <w:r>
        <w:rPr>
          <w:color w:val="000000"/>
        </w:rPr>
        <w:t>。</w:t>
      </w:r>
    </w:p>
    <w:p>
      <w:pPr>
        <w:ind w:firstLine="420" w:firstLineChars="200"/>
        <w:rPr>
          <w:color w:val="000000"/>
        </w:rPr>
      </w:pPr>
      <w:r>
        <w:rPr>
          <w:rFonts w:hint="eastAsia"/>
          <w:color w:val="000000"/>
        </w:rPr>
        <w:t>（</w:t>
      </w:r>
      <w:r>
        <w:rPr>
          <w:color w:val="000000"/>
        </w:rPr>
        <w:t>五</w:t>
      </w:r>
      <w:r>
        <w:rPr>
          <w:rFonts w:hint="eastAsia"/>
          <w:color w:val="000000"/>
        </w:rPr>
        <w:t>）乙方在约定的时间内未能弥补缺陷，甲方（用户）可采取必要的补救措施，但其风险和费用将由乙方承担，甲方（用户）根据合同规定对乙方行使的其他权利不受影响。</w:t>
      </w:r>
    </w:p>
    <w:p>
      <w:pPr>
        <w:ind w:firstLine="420" w:firstLineChars="200"/>
        <w:rPr>
          <w:color w:val="000000"/>
        </w:rPr>
      </w:pPr>
      <w:r>
        <w:rPr>
          <w:rFonts w:hint="eastAsia"/>
          <w:color w:val="000000"/>
        </w:rPr>
        <w:t>（</w:t>
      </w:r>
      <w:r>
        <w:rPr>
          <w:color w:val="000000"/>
        </w:rPr>
        <w:t>六</w:t>
      </w:r>
      <w:r>
        <w:rPr>
          <w:rFonts w:hint="eastAsia"/>
          <w:color w:val="000000"/>
        </w:rPr>
        <w:t>）本合同项目所有货物</w:t>
      </w:r>
      <w:r>
        <w:rPr>
          <w:color w:val="000000"/>
        </w:rPr>
        <w:t>质量保证期</w:t>
      </w:r>
      <w:r>
        <w:rPr>
          <w:rFonts w:hint="eastAsia"/>
          <w:color w:val="000000"/>
        </w:rPr>
        <w:t>为</w:t>
      </w:r>
      <w:r>
        <w:rPr>
          <w:color w:val="000000"/>
        </w:rPr>
        <w:t>：自双方签署设备到货验收签收单/安装调试验收合格报告之日起计算</w:t>
      </w:r>
      <w:r>
        <w:rPr>
          <w:color w:val="000000"/>
          <w:u w:val="single"/>
        </w:rPr>
        <w:t xml:space="preserve">    </w:t>
      </w:r>
      <w:r>
        <w:rPr>
          <w:color w:val="000000"/>
        </w:rPr>
        <w:t>年。</w:t>
      </w:r>
    </w:p>
    <w:p>
      <w:pPr>
        <w:ind w:firstLine="420" w:firstLineChars="200"/>
        <w:rPr>
          <w:rFonts w:hint="eastAsia"/>
          <w:b/>
          <w:bCs/>
          <w:color w:val="000000"/>
        </w:rPr>
      </w:pPr>
      <w:r>
        <w:rPr>
          <w:rFonts w:hint="eastAsia"/>
          <w:b/>
          <w:bCs/>
          <w:color w:val="000000"/>
        </w:rPr>
        <w:t>第九条 培训</w:t>
      </w:r>
    </w:p>
    <w:p>
      <w:pPr>
        <w:ind w:firstLine="420" w:firstLineChars="200"/>
        <w:rPr>
          <w:b/>
          <w:bCs/>
          <w:color w:val="000000"/>
        </w:rPr>
      </w:pPr>
      <w:r>
        <w:rPr>
          <w:bCs/>
          <w:color w:val="000000"/>
        </w:rPr>
        <w:t>本合同所包括的培训</w:t>
      </w:r>
      <w:r>
        <w:rPr>
          <w:rFonts w:hint="eastAsia"/>
          <w:bCs/>
          <w:color w:val="000000"/>
        </w:rPr>
        <w:t>详见</w:t>
      </w:r>
      <w:r>
        <w:rPr>
          <w:bCs/>
          <w:color w:val="000000"/>
        </w:rPr>
        <w:t>附件</w:t>
      </w:r>
      <w:r>
        <w:rPr>
          <w:rFonts w:hint="eastAsia"/>
          <w:bCs/>
          <w:color w:val="000000"/>
        </w:rPr>
        <w:t>培训方案</w:t>
      </w:r>
      <w:r>
        <w:rPr>
          <w:bCs/>
          <w:color w:val="000000"/>
        </w:rPr>
        <w:t>。</w:t>
      </w:r>
    </w:p>
    <w:p>
      <w:pPr>
        <w:ind w:firstLine="420" w:firstLineChars="200"/>
        <w:rPr>
          <w:rFonts w:hint="eastAsia"/>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w:t>
      </w:r>
      <w:r>
        <w:rPr>
          <w:rFonts w:hint="eastAsia"/>
          <w:b/>
          <w:bCs/>
          <w:color w:val="000000"/>
        </w:rPr>
        <w:t>售后服务</w:t>
      </w:r>
    </w:p>
    <w:p>
      <w:pPr>
        <w:ind w:firstLine="420" w:firstLineChars="200"/>
        <w:rPr>
          <w:rFonts w:hint="eastAsia"/>
          <w:color w:val="000000"/>
        </w:rPr>
      </w:pPr>
      <w:r>
        <w:rPr>
          <w:rFonts w:hint="eastAsia"/>
          <w:color w:val="000000"/>
        </w:rPr>
        <w:t>（</w:t>
      </w:r>
      <w:r>
        <w:rPr>
          <w:color w:val="000000"/>
        </w:rPr>
        <w:t>一</w:t>
      </w:r>
      <w:r>
        <w:rPr>
          <w:rFonts w:hint="eastAsia"/>
          <w:color w:val="000000"/>
        </w:rPr>
        <w:t>）</w:t>
      </w:r>
      <w:r>
        <w:rPr>
          <w:color w:val="000000"/>
        </w:rPr>
        <w:t>乙方在质量保证期内</w:t>
      </w:r>
      <w:r>
        <w:rPr>
          <w:rFonts w:hint="eastAsia"/>
          <w:color w:val="000000"/>
        </w:rPr>
        <w:t>免费提供</w:t>
      </w:r>
      <w:r>
        <w:rPr>
          <w:rFonts w:hint="eastAsia"/>
          <w:color w:val="000000"/>
          <w:u w:val="single"/>
        </w:rPr>
        <w:t>7</w:t>
      </w:r>
      <w:r>
        <w:rPr>
          <w:color w:val="000000"/>
          <w:u w:val="single"/>
        </w:rPr>
        <w:t>（5）</w:t>
      </w:r>
      <w:r>
        <w:rPr>
          <w:rFonts w:hint="eastAsia"/>
          <w:color w:val="000000"/>
        </w:rPr>
        <w:t>*</w:t>
      </w:r>
      <w:r>
        <w:rPr>
          <w:rFonts w:hint="eastAsia"/>
          <w:color w:val="000000"/>
          <w:u w:val="single"/>
        </w:rPr>
        <w:t>24</w:t>
      </w:r>
      <w:r>
        <w:rPr>
          <w:color w:val="000000"/>
          <w:u w:val="single"/>
        </w:rPr>
        <w:t>（8）</w:t>
      </w:r>
      <w:r>
        <w:rPr>
          <w:rFonts w:hint="eastAsia"/>
          <w:color w:val="000000"/>
        </w:rPr>
        <w:t>小时的技术支持与售后服务，提供专线电话支持</w:t>
      </w:r>
      <w:r>
        <w:rPr>
          <w:color w:val="000000"/>
        </w:rPr>
        <w:t>服务，__</w:t>
      </w:r>
      <w:r>
        <w:rPr>
          <w:rFonts w:hint="eastAsia"/>
          <w:color w:val="000000"/>
        </w:rPr>
        <w:t>小时内</w:t>
      </w:r>
      <w:r>
        <w:rPr>
          <w:color w:val="000000"/>
        </w:rPr>
        <w:t>响应</w:t>
      </w:r>
      <w:r>
        <w:rPr>
          <w:rFonts w:hint="eastAsia"/>
          <w:color w:val="000000"/>
        </w:rPr>
        <w:t>，</w:t>
      </w:r>
      <w:r>
        <w:rPr>
          <w:color w:val="000000"/>
        </w:rPr>
        <w:t>保证___小时内到达现场并解决故障</w:t>
      </w:r>
      <w:r>
        <w:rPr>
          <w:rFonts w:hint="eastAsia"/>
          <w:color w:val="000000"/>
        </w:rPr>
        <w:t>。</w:t>
      </w:r>
    </w:p>
    <w:p>
      <w:pPr>
        <w:ind w:firstLine="420" w:firstLineChars="200"/>
        <w:rPr>
          <w:rFonts w:hint="eastAsia"/>
          <w:color w:val="000000"/>
        </w:rPr>
      </w:pPr>
      <w:r>
        <w:rPr>
          <w:rFonts w:hint="eastAsia"/>
          <w:color w:val="000000"/>
        </w:rPr>
        <w:t>（</w:t>
      </w:r>
      <w:r>
        <w:rPr>
          <w:color w:val="000000"/>
        </w:rPr>
        <w:t>二</w:t>
      </w:r>
      <w:r>
        <w:rPr>
          <w:rFonts w:hint="eastAsia"/>
          <w:color w:val="000000"/>
        </w:rPr>
        <w:t>）本合同</w:t>
      </w:r>
      <w:r>
        <w:rPr>
          <w:color w:val="000000"/>
        </w:rPr>
        <w:t>所包含的</w:t>
      </w:r>
      <w:r>
        <w:rPr>
          <w:rFonts w:hint="eastAsia"/>
          <w:color w:val="000000"/>
        </w:rPr>
        <w:t>售后服务，包含制造商</w:t>
      </w:r>
      <w:r>
        <w:rPr>
          <w:color w:val="000000"/>
        </w:rPr>
        <w:t>售后服务</w:t>
      </w:r>
      <w:r>
        <w:rPr>
          <w:rFonts w:hint="eastAsia"/>
          <w:color w:val="000000"/>
        </w:rPr>
        <w:t>和代理商售后服务，具体见</w:t>
      </w:r>
      <w:r>
        <w:rPr>
          <w:color w:val="000000"/>
        </w:rPr>
        <w:t>附件</w:t>
      </w:r>
      <w:r>
        <w:rPr>
          <w:rFonts w:hint="eastAsia"/>
          <w:color w:val="000000"/>
        </w:rPr>
        <w:t>技术支持及售后服务方案</w:t>
      </w:r>
      <w:r>
        <w:rPr>
          <w:color w:val="000000"/>
        </w:rPr>
        <w:t>。</w:t>
      </w:r>
    </w:p>
    <w:p>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pPr>
        <w:ind w:firstLine="420" w:firstLineChars="200"/>
        <w:rPr>
          <w:color w:val="000000"/>
        </w:rPr>
      </w:pPr>
      <w:r>
        <w:rPr>
          <w:color w:val="000000"/>
        </w:rPr>
        <w:t>（一）因乙方原因未能按照本合同要求交付合格的货物或提供相关服务的违约责任。</w:t>
      </w:r>
    </w:p>
    <w:p>
      <w:pPr>
        <w:ind w:firstLine="420" w:firstLineChars="200"/>
        <w:rPr>
          <w:color w:val="000000"/>
        </w:rPr>
      </w:pPr>
      <w:r>
        <w:rPr>
          <w:color w:val="000000"/>
        </w:rPr>
        <w:t>1.对于货物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20" w:firstLineChars="200"/>
        <w:rPr>
          <w:color w:val="000000"/>
        </w:rPr>
      </w:pPr>
      <w:r>
        <w:rPr>
          <w:color w:val="000000"/>
        </w:rPr>
        <w:t>（1）退货：甲方将货物退回乙方，乙方将合同货款退还给甲方，并承担由此发生的一切损失和费用。</w:t>
      </w:r>
    </w:p>
    <w:p>
      <w:pPr>
        <w:ind w:firstLine="420" w:firstLineChars="200"/>
        <w:rPr>
          <w:color w:val="000000"/>
        </w:rPr>
      </w:pPr>
      <w:r>
        <w:rPr>
          <w:color w:val="000000"/>
        </w:rPr>
        <w:t>（2）退货重新制作：甲方将货物退回乙方，乙方按照技术标准要求重新制作，并承担由此发生的一切损失和费用。</w:t>
      </w:r>
    </w:p>
    <w:p>
      <w:pPr>
        <w:ind w:firstLine="420" w:firstLineChars="200"/>
        <w:rPr>
          <w:color w:val="000000"/>
        </w:rPr>
      </w:pPr>
      <w:r>
        <w:rPr>
          <w:color w:val="000000"/>
        </w:rPr>
        <w:t>（3）新货替换：乙方用满足技术标准要求的货物替换存在缺陷的产品，承担甲方蒙受的全部损失和费用，并承担由此引发的一切风险，且相应延长所换货物的质量保证期。</w:t>
      </w:r>
    </w:p>
    <w:p>
      <w:pPr>
        <w:ind w:firstLine="420" w:firstLineChars="200"/>
        <w:rPr>
          <w:color w:val="000000"/>
        </w:rPr>
      </w:pPr>
      <w:r>
        <w:rPr>
          <w:color w:val="000000"/>
        </w:rPr>
        <w:t>2.</w:t>
      </w:r>
      <w:r>
        <w:rPr>
          <w:bCs/>
          <w:color w:val="000000"/>
        </w:rPr>
        <w:t>如果乙方</w:t>
      </w:r>
      <w:r>
        <w:rPr>
          <w:color w:val="000000"/>
        </w:rPr>
        <w:t>未在甲方要求的10日内或甲方同意的期限内，按照上述甲方意见采取补救措施，甲方有权</w:t>
      </w:r>
      <w:r>
        <w:rPr>
          <w:rFonts w:hint="eastAsia"/>
          <w:color w:val="000000"/>
        </w:rPr>
        <w:t>解除</w:t>
      </w:r>
      <w:r>
        <w:rPr>
          <w:color w:val="000000"/>
        </w:rPr>
        <w:t>合同，扣除全部履约保证金，要求乙方退回甲方已支付的货款，并赔偿甲方（用户）的全部损失。</w:t>
      </w:r>
    </w:p>
    <w:p>
      <w:pPr>
        <w:pStyle w:val="130"/>
        <w:ind w:firstLine="640" w:firstLineChars="200"/>
        <w:rPr>
          <w:color w:val="000000"/>
        </w:rPr>
      </w:pPr>
      <w:r>
        <w:rPr>
          <w:color w:val="000000"/>
        </w:rPr>
        <w:t>3.对于未能按合同要求提供服务或未提供应当承担的服务的，甲方有权要求限期整改。无合理理由不进行整改的视为</w:t>
      </w:r>
      <w:r>
        <w:rPr>
          <w:rFonts w:hint="eastAsia"/>
          <w:color w:val="000000"/>
        </w:rPr>
        <w:t>根本</w:t>
      </w:r>
      <w:r>
        <w:rPr>
          <w:color w:val="000000"/>
        </w:rPr>
        <w:t>违约。</w:t>
      </w:r>
    </w:p>
    <w:p>
      <w:pPr>
        <w:ind w:firstLine="420" w:firstLineChars="200"/>
        <w:rPr>
          <w:color w:val="000000"/>
        </w:rPr>
      </w:pPr>
      <w:r>
        <w:rPr>
          <w:color w:val="000000"/>
        </w:rPr>
        <w:t>（二）乙方未按照本合同规定的时间交货和提供服务的违约责任。</w:t>
      </w:r>
    </w:p>
    <w:p>
      <w:pPr>
        <w:pStyle w:val="101"/>
        <w:ind w:firstLine="640" w:firstLineChars="200"/>
        <w:rPr>
          <w:rFonts w:hint="eastAsia"/>
          <w:color w:val="000000"/>
        </w:rPr>
      </w:pPr>
      <w:r>
        <w:rPr>
          <w:color w:val="000000"/>
        </w:rPr>
        <w:t>1.</w:t>
      </w:r>
      <w:r>
        <w:rPr>
          <w:rFonts w:hint="eastAsia"/>
          <w:color w:val="000000"/>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w:t>
      </w:r>
      <w:r>
        <w:rPr>
          <w:color w:val="000000"/>
        </w:rPr>
        <w:t>和提供服务</w:t>
      </w:r>
      <w:r>
        <w:rPr>
          <w:rFonts w:hint="eastAsia"/>
          <w:color w:val="000000"/>
        </w:rPr>
        <w:t>义务</w:t>
      </w:r>
      <w:r>
        <w:rPr>
          <w:color w:val="000000"/>
        </w:rPr>
        <w:t>，</w:t>
      </w:r>
      <w:r>
        <w:rPr>
          <w:rFonts w:hint="eastAsia"/>
          <w:color w:val="000000"/>
        </w:rPr>
        <w:t>如甲方（用户）同意延期，必须以双方签订的补充协议为准。</w:t>
      </w:r>
    </w:p>
    <w:p>
      <w:pPr>
        <w:pStyle w:val="101"/>
        <w:ind w:firstLine="640" w:firstLineChars="200"/>
        <w:rPr>
          <w:color w:val="000000"/>
        </w:rPr>
      </w:pPr>
      <w:r>
        <w:rPr>
          <w:color w:val="000000"/>
        </w:rPr>
        <w:t>2.</w:t>
      </w:r>
      <w:r>
        <w:rPr>
          <w:rFonts w:hint="eastAsia"/>
          <w:color w:val="000000"/>
        </w:rPr>
        <w:t>除甲乙双方另有约定外，如果乙方没有按照合同规定的时间交货和提供服务，甲方有权</w:t>
      </w:r>
      <w:r>
        <w:rPr>
          <w:color w:val="000000"/>
        </w:rPr>
        <w:t>在不影响合同项下其他补救措施的情况下，要求乙方支付误期赔偿费，或从合同货款、履约保证金中扣除误期赔偿费，每周按合同总价款的</w:t>
      </w:r>
      <w:r>
        <w:rPr>
          <w:rFonts w:hint="eastAsia"/>
          <w:color w:val="000000"/>
        </w:rPr>
        <w:t>百分之零点五（0.5%）计收</w:t>
      </w:r>
      <w:r>
        <w:rPr>
          <w:color w:val="000000"/>
        </w:rPr>
        <w:t>，最高不超过合同总价款的百分之十（10%）。</w:t>
      </w:r>
      <w:r>
        <w:rPr>
          <w:rFonts w:hint="eastAsia"/>
          <w:color w:val="000000"/>
        </w:rPr>
        <w:t>一周按七（7）天计算，不足七（7）天按一周计算。</w:t>
      </w:r>
    </w:p>
    <w:p>
      <w:pPr>
        <w:pStyle w:val="101"/>
        <w:ind w:firstLine="640" w:firstLineChars="200"/>
        <w:rPr>
          <w:color w:val="000000"/>
        </w:rPr>
      </w:pPr>
      <w:r>
        <w:rPr>
          <w:color w:val="000000"/>
        </w:rPr>
        <w:t>3.出现上述没有按照合同规定的时间交货和提供服务的情形时，</w:t>
      </w:r>
      <w:r>
        <w:rPr>
          <w:rFonts w:hint="eastAsia"/>
          <w:color w:val="000000"/>
        </w:rPr>
        <w:t>甲方</w:t>
      </w:r>
      <w:r>
        <w:rPr>
          <w:color w:val="000000"/>
        </w:rPr>
        <w:t>也可以选择</w:t>
      </w:r>
      <w:r>
        <w:rPr>
          <w:rFonts w:hint="eastAsia"/>
          <w:color w:val="000000"/>
        </w:rPr>
        <w:t>解除合同，要求乙方退回甲方已支付货款、</w:t>
      </w:r>
      <w:r>
        <w:rPr>
          <w:color w:val="000000"/>
        </w:rPr>
        <w:t>扣除</w:t>
      </w:r>
      <w:r>
        <w:rPr>
          <w:rFonts w:hint="eastAsia"/>
          <w:color w:val="000000"/>
        </w:rPr>
        <w:t>履约保证金并追究乙方相应违约责任、赔偿甲方（用户）的全部损失。</w:t>
      </w:r>
    </w:p>
    <w:p>
      <w:pPr>
        <w:pStyle w:val="101"/>
        <w:ind w:firstLine="640" w:firstLineChars="200"/>
        <w:rPr>
          <w:color w:val="000000"/>
        </w:rPr>
      </w:pPr>
      <w:r>
        <w:rPr>
          <w:color w:val="000000"/>
        </w:rPr>
        <w:t>4.如合同被全部或部分解除，甲方可依其认为适当的条件和方法购买乙方未能提供的货物和服务，乙方应对超出的费用负责。同时，乙方应继续执行合同中未解除的部分。</w:t>
      </w:r>
    </w:p>
    <w:p>
      <w:pPr>
        <w:pStyle w:val="101"/>
        <w:ind w:firstLine="640" w:firstLineChars="200"/>
        <w:rPr>
          <w:color w:val="000000"/>
        </w:rPr>
      </w:pPr>
      <w:r>
        <w:rPr>
          <w:rFonts w:hint="eastAsia"/>
          <w:color w:val="000000"/>
        </w:rPr>
        <w:t>（三）因乙方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或不作为行为致使甲方或第三方</w:t>
      </w:r>
      <w:r>
        <w:rPr>
          <w:rFonts w:hint="eastAsia"/>
          <w:color w:val="000000"/>
        </w:rPr>
        <w:t>遭受</w:t>
      </w:r>
      <w:r>
        <w:rPr>
          <w:color w:val="000000"/>
        </w:rPr>
        <w:t>人员</w:t>
      </w:r>
      <w:r>
        <w:rPr>
          <w:rFonts w:hint="eastAsia"/>
          <w:color w:val="000000"/>
        </w:rPr>
        <w:t>人身伤害</w:t>
      </w:r>
      <w:r>
        <w:rPr>
          <w:color w:val="000000"/>
        </w:rPr>
        <w:t>或财产损失的，乙方应承担全部赔偿责任，</w:t>
      </w:r>
      <w:r>
        <w:rPr>
          <w:rFonts w:hint="eastAsia"/>
          <w:color w:val="000000"/>
        </w:rPr>
        <w:t>赔偿全部损失</w:t>
      </w:r>
      <w:r>
        <w:rPr>
          <w:color w:val="000000"/>
        </w:rPr>
        <w:t>，且甲方</w:t>
      </w:r>
      <w:r>
        <w:rPr>
          <w:rFonts w:hint="eastAsia"/>
          <w:color w:val="000000"/>
        </w:rPr>
        <w:t>有权</w:t>
      </w:r>
      <w:r>
        <w:rPr>
          <w:color w:val="000000"/>
        </w:rPr>
        <w:t>以全部</w:t>
      </w:r>
      <w:r>
        <w:rPr>
          <w:rFonts w:hint="eastAsia"/>
          <w:color w:val="000000"/>
        </w:rPr>
        <w:t>履约</w:t>
      </w:r>
      <w:r>
        <w:rPr>
          <w:color w:val="000000"/>
        </w:rPr>
        <w:t>保证金</w:t>
      </w:r>
      <w:r>
        <w:rPr>
          <w:rFonts w:hint="eastAsia"/>
          <w:color w:val="000000"/>
        </w:rPr>
        <w:t>作为</w:t>
      </w:r>
      <w:r>
        <w:rPr>
          <w:color w:val="000000"/>
        </w:rPr>
        <w:t>违约金</w:t>
      </w:r>
      <w:r>
        <w:rPr>
          <w:rFonts w:hint="eastAsia"/>
          <w:color w:val="000000"/>
        </w:rPr>
        <w:t>，</w:t>
      </w:r>
      <w:r>
        <w:rPr>
          <w:color w:val="000000"/>
        </w:rPr>
        <w:t>解除本合同。</w:t>
      </w:r>
    </w:p>
    <w:p>
      <w:pPr>
        <w:pStyle w:val="217"/>
        <w:ind w:firstLine="640" w:firstLineChars="200"/>
        <w:rPr>
          <w:color w:val="000000"/>
        </w:rPr>
      </w:pPr>
      <w:r>
        <w:rPr>
          <w:color w:val="000000"/>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00"/>
        <w:ind w:firstLine="640" w:firstLineChars="200"/>
        <w:rPr>
          <w:rFonts w:hint="eastAsia"/>
          <w:b/>
          <w:bCs/>
          <w:color w:val="000000"/>
        </w:rPr>
      </w:pPr>
      <w:r>
        <w:rPr>
          <w:rFonts w:hint="eastAsia"/>
          <w:b/>
          <w:bCs/>
          <w:color w:val="000000"/>
        </w:rPr>
        <w:t>第十</w:t>
      </w:r>
      <w:r>
        <w:rPr>
          <w:b/>
          <w:bCs/>
          <w:color w:val="000000"/>
        </w:rPr>
        <w:t>二</w:t>
      </w:r>
      <w:r>
        <w:rPr>
          <w:rFonts w:hint="eastAsia"/>
          <w:b/>
          <w:bCs/>
          <w:color w:val="000000"/>
        </w:rPr>
        <w:t>条 使用合同文件和资料</w:t>
      </w:r>
    </w:p>
    <w:p>
      <w:pPr>
        <w:pStyle w:val="600"/>
        <w:ind w:firstLine="640" w:firstLineChars="200"/>
        <w:rPr>
          <w:color w:val="000000"/>
        </w:rPr>
      </w:pPr>
      <w:r>
        <w:rPr>
          <w:color w:val="000000"/>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00"/>
        <w:ind w:firstLine="640" w:firstLineChars="200"/>
        <w:rPr>
          <w:color w:val="000000"/>
        </w:rPr>
      </w:pPr>
      <w:r>
        <w:rPr>
          <w:color w:val="000000"/>
        </w:rPr>
        <w:t>（二）没有甲方（用户）事先书面同意，除了履行本合同之外，乙方不应使用、传播与本合同相关的任何文件、资料。</w:t>
      </w:r>
    </w:p>
    <w:p>
      <w:pPr>
        <w:ind w:firstLine="420" w:firstLineChars="200"/>
        <w:rPr>
          <w:rFonts w:hint="eastAsia"/>
          <w:b/>
          <w:bCs/>
          <w:color w:val="000000"/>
        </w:rPr>
      </w:pPr>
      <w:r>
        <w:rPr>
          <w:rFonts w:hint="eastAsia"/>
          <w:b/>
          <w:bCs/>
          <w:color w:val="000000"/>
        </w:rPr>
        <w:t>第</w:t>
      </w:r>
      <w:r>
        <w:rPr>
          <w:b/>
          <w:bCs/>
          <w:color w:val="000000"/>
        </w:rPr>
        <w:t>十三</w:t>
      </w:r>
      <w:r>
        <w:rPr>
          <w:rFonts w:hint="eastAsia"/>
          <w:b/>
          <w:bCs/>
          <w:color w:val="000000"/>
        </w:rPr>
        <w:t>条</w:t>
      </w:r>
      <w:r>
        <w:rPr>
          <w:b/>
          <w:bCs/>
          <w:color w:val="000000"/>
        </w:rPr>
        <w:t xml:space="preserve"> </w:t>
      </w:r>
      <w:r>
        <w:rPr>
          <w:rFonts w:hint="eastAsia"/>
          <w:b/>
          <w:bCs/>
          <w:color w:val="000000"/>
        </w:rPr>
        <w:t>知识产权</w:t>
      </w:r>
    </w:p>
    <w:p>
      <w:pPr>
        <w:ind w:firstLine="420" w:firstLineChars="200"/>
        <w:rPr>
          <w:rFonts w:hint="eastAsia"/>
          <w:color w:val="000000"/>
        </w:rPr>
      </w:pPr>
      <w:r>
        <w:rPr>
          <w:rFonts w:hint="eastAsia"/>
          <w:color w:val="000000"/>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20" w:firstLineChars="200"/>
        <w:rPr>
          <w:rFonts w:hint="eastAsia"/>
          <w:color w:val="000000"/>
        </w:rPr>
      </w:pPr>
      <w:r>
        <w:rPr>
          <w:rFonts w:hint="eastAsia"/>
          <w:color w:val="000000"/>
        </w:rPr>
        <w:t>（二）如果甲方（用户）在使用乙方货物或</w:t>
      </w:r>
      <w:r>
        <w:rPr>
          <w:color w:val="000000"/>
        </w:rPr>
        <w:t>服务</w:t>
      </w:r>
      <w:r>
        <w:rPr>
          <w:rFonts w:hint="eastAsia"/>
          <w:color w:val="000000"/>
        </w:rPr>
        <w:t>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20" w:firstLineChars="200"/>
        <w:rPr>
          <w:rFonts w:hint="eastAsia"/>
          <w:color w:val="000000"/>
        </w:rPr>
      </w:pPr>
      <w:r>
        <w:rPr>
          <w:rFonts w:hint="eastAsia"/>
          <w:color w:val="000000"/>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20" w:firstLineChars="200"/>
        <w:rPr>
          <w:rFonts w:hint="eastAsia"/>
          <w:b/>
          <w:bCs/>
          <w:color w:val="000000"/>
        </w:rPr>
      </w:pPr>
      <w:r>
        <w:rPr>
          <w:rFonts w:hint="eastAsia"/>
          <w:b/>
          <w:bCs/>
          <w:color w:val="000000"/>
        </w:rPr>
        <w:t>第十</w:t>
      </w:r>
      <w:r>
        <w:rPr>
          <w:b/>
          <w:bCs/>
          <w:color w:val="000000"/>
        </w:rPr>
        <w:t>四</w:t>
      </w:r>
      <w:r>
        <w:rPr>
          <w:rFonts w:hint="eastAsia"/>
          <w:b/>
          <w:bCs/>
          <w:color w:val="000000"/>
        </w:rPr>
        <w:t>条</w:t>
      </w:r>
      <w:r>
        <w:rPr>
          <w:b/>
          <w:bCs/>
          <w:color w:val="000000"/>
        </w:rPr>
        <w:t xml:space="preserve"> </w:t>
      </w:r>
      <w:r>
        <w:rPr>
          <w:rFonts w:hint="eastAsia"/>
          <w:b/>
          <w:bCs/>
          <w:color w:val="000000"/>
        </w:rPr>
        <w:t>权利瑕疵担保</w:t>
      </w:r>
    </w:p>
    <w:p>
      <w:pPr>
        <w:ind w:firstLine="420" w:firstLineChars="200"/>
        <w:rPr>
          <w:rFonts w:hint="eastAsia"/>
          <w:color w:val="000000"/>
        </w:rPr>
      </w:pPr>
      <w:r>
        <w:rPr>
          <w:rFonts w:hint="eastAsia"/>
          <w:color w:val="000000"/>
        </w:rPr>
        <w:t>（一）乙方保证对其</w:t>
      </w:r>
      <w:r>
        <w:rPr>
          <w:color w:val="000000"/>
        </w:rPr>
        <w:t>所提供</w:t>
      </w:r>
      <w:r>
        <w:rPr>
          <w:rFonts w:hint="eastAsia"/>
          <w:color w:val="000000"/>
        </w:rPr>
        <w:t>的货物享有</w:t>
      </w:r>
      <w:r>
        <w:rPr>
          <w:color w:val="000000"/>
        </w:rPr>
        <w:t>完全的所有权等</w:t>
      </w:r>
      <w:r>
        <w:rPr>
          <w:rFonts w:hint="eastAsia"/>
          <w:color w:val="000000"/>
        </w:rPr>
        <w:t>合法权利</w:t>
      </w:r>
      <w:r>
        <w:rPr>
          <w:color w:val="000000"/>
        </w:rPr>
        <w:t>，</w:t>
      </w:r>
      <w:r>
        <w:rPr>
          <w:rFonts w:hint="eastAsia"/>
          <w:color w:val="000000"/>
        </w:rPr>
        <w:t>不存在任何未曾向甲方（用户）透露的担保物权（如抵押权、质押权、留置权等）或其他任何权利负担或争议。</w:t>
      </w:r>
    </w:p>
    <w:p>
      <w:pPr>
        <w:pStyle w:val="50"/>
        <w:ind w:firstLine="640" w:firstLineChars="200"/>
        <w:rPr>
          <w:rFonts w:hint="eastAsia"/>
          <w:color w:val="000000"/>
        </w:rPr>
      </w:pPr>
      <w:r>
        <w:rPr>
          <w:color w:val="000000"/>
        </w:rPr>
        <w:t>（二）乙方应保证所提供的货物免受第三方提出的任何权利主张，如因第三方提出权利主张给甲方（用户）造成损失的，乙方应予以赔偿。</w:t>
      </w:r>
    </w:p>
    <w:p>
      <w:pPr>
        <w:ind w:firstLine="420" w:firstLineChars="200"/>
        <w:rPr>
          <w:color w:val="000000"/>
        </w:rPr>
      </w:pPr>
      <w:r>
        <w:rPr>
          <w:rFonts w:hint="eastAsia"/>
          <w:color w:val="000000"/>
        </w:rPr>
        <w:t>（</w:t>
      </w:r>
      <w:r>
        <w:rPr>
          <w:color w:val="000000"/>
        </w:rPr>
        <w:t>三</w:t>
      </w:r>
      <w:r>
        <w:rPr>
          <w:rFonts w:hint="eastAsia"/>
          <w:color w:val="000000"/>
        </w:rPr>
        <w:t>）如乙方</w:t>
      </w:r>
      <w:r>
        <w:rPr>
          <w:color w:val="000000"/>
        </w:rPr>
        <w:t>所</w:t>
      </w:r>
      <w:r>
        <w:rPr>
          <w:rFonts w:hint="eastAsia"/>
          <w:color w:val="000000"/>
        </w:rPr>
        <w:t>提供的货物存在前述担保</w:t>
      </w:r>
      <w:r>
        <w:rPr>
          <w:color w:val="000000"/>
        </w:rPr>
        <w:t>物权</w:t>
      </w:r>
      <w:r>
        <w:rPr>
          <w:rFonts w:hint="eastAsia"/>
          <w:color w:val="000000"/>
        </w:rPr>
        <w:t>或</w:t>
      </w:r>
      <w:r>
        <w:rPr>
          <w:color w:val="000000"/>
        </w:rPr>
        <w:t>其他</w:t>
      </w:r>
      <w:r>
        <w:rPr>
          <w:rFonts w:hint="eastAsia"/>
          <w:color w:val="000000"/>
        </w:rPr>
        <w:t>权利负担，甲方</w:t>
      </w:r>
      <w:r>
        <w:rPr>
          <w:color w:val="000000"/>
        </w:rPr>
        <w:t>（用户）</w:t>
      </w:r>
      <w:r>
        <w:rPr>
          <w:rFonts w:hint="eastAsia"/>
          <w:color w:val="000000"/>
        </w:rPr>
        <w:t>有权解除合同、没收履约保证金，并要求乙方退还已支付的全部货款，赔偿甲方</w:t>
      </w:r>
      <w:r>
        <w:rPr>
          <w:color w:val="000000"/>
        </w:rPr>
        <w:t>（用户）</w:t>
      </w:r>
      <w:r>
        <w:rPr>
          <w:rFonts w:hint="eastAsia"/>
          <w:color w:val="000000"/>
        </w:rPr>
        <w:t>的全部损失及支出的合理费用。</w:t>
      </w:r>
    </w:p>
    <w:p>
      <w:pPr>
        <w:ind w:firstLine="420" w:firstLineChars="200"/>
        <w:rPr>
          <w:b/>
          <w:bCs/>
          <w:color w:val="000000"/>
        </w:rPr>
      </w:pPr>
      <w:r>
        <w:rPr>
          <w:b/>
          <w:bCs/>
          <w:color w:val="000000"/>
        </w:rPr>
        <w:t>第十五条 不可抗力及其免责</w:t>
      </w:r>
    </w:p>
    <w:p>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20" w:firstLineChars="200"/>
        <w:rPr>
          <w:color w:val="000000"/>
        </w:rPr>
      </w:pPr>
      <w:r>
        <w:rPr>
          <w:color w:val="000000"/>
        </w:rPr>
        <w:t>（三）乙方在延迟履行合同期间由于不可抗力而不能履行合同的，不能被免除责任。</w:t>
      </w:r>
    </w:p>
    <w:p>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pPr>
        <w:ind w:firstLine="420" w:firstLineChars="200"/>
        <w:rPr>
          <w:rFonts w:hint="eastAsia"/>
          <w:b/>
          <w:bCs/>
          <w:color w:val="000000"/>
        </w:rPr>
      </w:pPr>
      <w:r>
        <w:rPr>
          <w:rFonts w:hint="eastAsia"/>
          <w:b/>
          <w:bCs/>
          <w:color w:val="000000"/>
        </w:rPr>
        <w:t>第十</w:t>
      </w:r>
      <w:r>
        <w:rPr>
          <w:b/>
          <w:bCs/>
          <w:color w:val="000000"/>
        </w:rPr>
        <w:t>六</w:t>
      </w:r>
      <w:r>
        <w:rPr>
          <w:rFonts w:hint="eastAsia"/>
          <w:b/>
          <w:bCs/>
          <w:color w:val="000000"/>
        </w:rPr>
        <w:t>条</w:t>
      </w:r>
      <w:r>
        <w:rPr>
          <w:b/>
          <w:bCs/>
          <w:color w:val="000000"/>
        </w:rPr>
        <w:t xml:space="preserve"> 争议的解决</w:t>
      </w:r>
    </w:p>
    <w:p>
      <w:pPr>
        <w:ind w:firstLine="420" w:firstLineChars="200"/>
        <w:rPr>
          <w:rFonts w:hint="eastAsia"/>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pPr>
        <w:ind w:firstLine="420" w:firstLineChars="200"/>
        <w:rPr>
          <w:rFonts w:hint="eastAsia"/>
          <w:color w:val="000000"/>
        </w:rPr>
      </w:pPr>
      <w:r>
        <w:rPr>
          <w:rFonts w:hint="eastAsia"/>
          <w:color w:val="000000"/>
        </w:rPr>
        <w:t>（二）仲裁应提交</w:t>
      </w:r>
      <w:r>
        <w:rPr>
          <w:rFonts w:hint="eastAsia"/>
          <w:color w:val="000000"/>
          <w:u w:val="words"/>
        </w:rPr>
        <w:t>北京仲裁委员会</w:t>
      </w:r>
      <w:r>
        <w:rPr>
          <w:rFonts w:hint="eastAsia"/>
          <w:color w:val="000000"/>
        </w:rPr>
        <w:t>进行，其仲裁裁决为最终裁决，对双方均有约束力。</w:t>
      </w:r>
    </w:p>
    <w:p>
      <w:pPr>
        <w:ind w:firstLine="420" w:firstLineChars="200"/>
        <w:rPr>
          <w:rFonts w:hint="eastAsia"/>
          <w:color w:val="000000"/>
        </w:rPr>
      </w:pPr>
      <w:r>
        <w:rPr>
          <w:rFonts w:hint="eastAsia"/>
          <w:color w:val="000000"/>
        </w:rPr>
        <w:t>（三）仲裁费除仲裁机关另有裁决外均应由败诉方负担。</w:t>
      </w:r>
    </w:p>
    <w:p>
      <w:pPr>
        <w:ind w:firstLine="420" w:firstLineChars="200"/>
        <w:rPr>
          <w:rFonts w:hint="eastAsia"/>
          <w:color w:val="000000"/>
        </w:rPr>
      </w:pPr>
      <w:r>
        <w:rPr>
          <w:rFonts w:hint="eastAsia"/>
          <w:color w:val="000000"/>
        </w:rPr>
        <w:t>（四）在仲裁期间，除正在进行仲裁的部分外，本合同其他部分应继续履行。</w:t>
      </w:r>
    </w:p>
    <w:p>
      <w:pPr>
        <w:ind w:firstLine="420" w:firstLineChars="200"/>
        <w:rPr>
          <w:rFonts w:hint="eastAsia"/>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rFonts w:hint="eastAsia"/>
          <w:b/>
          <w:bCs/>
          <w:color w:val="000000"/>
        </w:rPr>
        <w:t>合同修改或变更</w:t>
      </w:r>
    </w:p>
    <w:p>
      <w:pPr>
        <w:ind w:firstLine="420" w:firstLineChars="200"/>
        <w:rPr>
          <w:rFonts w:hint="eastAsia"/>
          <w:color w:val="000000"/>
        </w:rPr>
      </w:pPr>
      <w:r>
        <w:rPr>
          <w:rFonts w:hint="eastAsia"/>
          <w:color w:val="000000"/>
        </w:rPr>
        <w:t>（一）如无重大变故，甲乙双方不得擅自变更合同。</w:t>
      </w:r>
    </w:p>
    <w:p>
      <w:pPr>
        <w:ind w:firstLine="420" w:firstLineChars="200"/>
        <w:rPr>
          <w:rFonts w:hint="eastAsia"/>
          <w:color w:val="000000"/>
        </w:rPr>
      </w:pPr>
      <w:r>
        <w:rPr>
          <w:rFonts w:hint="eastAsia"/>
          <w:color w:val="000000"/>
        </w:rPr>
        <w:t>（二）如确需变更合同，甲乙双方应签署书面变更协议。变更协议为本合同不可分割的一部分。</w:t>
      </w:r>
    </w:p>
    <w:p>
      <w:pPr>
        <w:ind w:firstLine="420" w:firstLineChars="200"/>
        <w:rPr>
          <w:rFonts w:hint="eastAsia"/>
          <w:color w:val="000000"/>
        </w:rPr>
      </w:pPr>
      <w:r>
        <w:rPr>
          <w:rFonts w:hint="eastAsia"/>
          <w:color w:val="000000"/>
        </w:rPr>
        <w:t>（三）在不改变合同其他条款的前提下，甲方（用户）有权在合同价款10%的范围内追加与合同标的相同的货物或服务，并就此与乙方签订补充合同，乙方不得拒绝。</w:t>
      </w:r>
    </w:p>
    <w:p>
      <w:pPr>
        <w:ind w:firstLine="420" w:firstLineChars="200"/>
        <w:rPr>
          <w:rFonts w:hint="eastAsia"/>
          <w:b/>
          <w:bCs/>
          <w:color w:val="000000"/>
        </w:rPr>
      </w:pPr>
      <w:r>
        <w:rPr>
          <w:rFonts w:hint="eastAsia"/>
          <w:b/>
          <w:bCs/>
          <w:color w:val="000000"/>
        </w:rPr>
        <w:t>第十</w:t>
      </w:r>
      <w:r>
        <w:rPr>
          <w:b/>
          <w:bCs/>
          <w:color w:val="000000"/>
        </w:rPr>
        <w:t>八</w:t>
      </w:r>
      <w:r>
        <w:rPr>
          <w:rFonts w:hint="eastAsia"/>
          <w:b/>
          <w:bCs/>
          <w:color w:val="000000"/>
        </w:rPr>
        <w:t>条</w:t>
      </w:r>
      <w:r>
        <w:rPr>
          <w:b/>
          <w:bCs/>
          <w:color w:val="000000"/>
        </w:rPr>
        <w:t xml:space="preserve"> </w:t>
      </w:r>
      <w:r>
        <w:rPr>
          <w:rFonts w:hint="eastAsia"/>
          <w:b/>
          <w:bCs/>
          <w:color w:val="000000"/>
        </w:rPr>
        <w:t>合同中止</w:t>
      </w:r>
    </w:p>
    <w:p>
      <w:pPr>
        <w:ind w:firstLine="420" w:firstLineChars="200"/>
        <w:rPr>
          <w:color w:val="000000"/>
        </w:rPr>
      </w:pPr>
      <w:r>
        <w:rPr>
          <w:rFonts w:hint="eastAsia"/>
          <w:color w:val="000000"/>
        </w:rPr>
        <w:t>（一）合同在履行过程中，因采购计划调整，甲方（用户）可以要求中止履行，待计划确定后继续履行</w:t>
      </w:r>
      <w:r>
        <w:rPr>
          <w:color w:val="000000"/>
        </w:rPr>
        <w:t>。</w:t>
      </w:r>
    </w:p>
    <w:p>
      <w:pPr>
        <w:ind w:firstLine="420" w:firstLineChars="200"/>
        <w:rPr>
          <w:rFonts w:hint="eastAsia"/>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pPr>
        <w:ind w:firstLine="420" w:firstLineChars="200"/>
        <w:rPr>
          <w:rFonts w:hint="eastAsia"/>
          <w:b/>
          <w:bCs/>
          <w:color w:val="000000"/>
        </w:rPr>
      </w:pPr>
      <w:r>
        <w:rPr>
          <w:rFonts w:hint="eastAsia"/>
          <w:b/>
          <w:bCs/>
          <w:color w:val="000000"/>
        </w:rPr>
        <w:t>第</w:t>
      </w:r>
      <w:r>
        <w:rPr>
          <w:b/>
          <w:bCs/>
          <w:color w:val="000000"/>
        </w:rPr>
        <w:t>十九</w:t>
      </w:r>
      <w:r>
        <w:rPr>
          <w:rFonts w:hint="eastAsia"/>
          <w:b/>
          <w:bCs/>
          <w:color w:val="000000"/>
        </w:rPr>
        <w:t>条</w:t>
      </w:r>
      <w:r>
        <w:rPr>
          <w:b/>
          <w:bCs/>
          <w:color w:val="000000"/>
        </w:rPr>
        <w:t xml:space="preserve"> </w:t>
      </w:r>
      <w:r>
        <w:rPr>
          <w:rFonts w:hint="eastAsia"/>
          <w:b/>
          <w:bCs/>
          <w:color w:val="000000"/>
        </w:rPr>
        <w:t>合同解除</w:t>
      </w:r>
    </w:p>
    <w:p>
      <w:pPr>
        <w:ind w:firstLine="420" w:firstLineChars="200"/>
        <w:rPr>
          <w:color w:val="000000"/>
        </w:rPr>
      </w:pPr>
      <w:r>
        <w:rPr>
          <w:color w:val="000000"/>
        </w:rPr>
        <w:t>由于合同一方不履行合同或严重违反合同，造成合同部分或全部无法履行时，对方除有权向违约方索赔外，并有权部分或全部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pPr>
        <w:ind w:firstLine="420" w:firstLineChars="200"/>
        <w:rPr>
          <w:color w:val="000000"/>
        </w:rPr>
      </w:pPr>
      <w:r>
        <w:rPr>
          <w:color w:val="000000"/>
        </w:rPr>
        <w:t>1.在甲方</w:t>
      </w:r>
      <w:r>
        <w:rPr>
          <w:rFonts w:hint="eastAsia"/>
          <w:color w:val="000000"/>
        </w:rPr>
        <w:t>（用户）</w:t>
      </w:r>
      <w:r>
        <w:rPr>
          <w:color w:val="000000"/>
        </w:rPr>
        <w:t>对乙方违约而采取的任何补救措施不受影响的情况下，甲方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pPr>
        <w:ind w:firstLine="420" w:firstLineChars="200"/>
        <w:rPr>
          <w:color w:val="000000"/>
        </w:rPr>
      </w:pPr>
      <w:r>
        <w:rPr>
          <w:color w:val="000000"/>
        </w:rPr>
        <w:t>（1）如果乙方未能在合同规定的期限或甲方</w:t>
      </w:r>
      <w:r>
        <w:rPr>
          <w:rFonts w:hint="eastAsia"/>
          <w:color w:val="000000"/>
        </w:rPr>
        <w:t>（用户）</w:t>
      </w:r>
      <w:r>
        <w:rPr>
          <w:color w:val="000000"/>
        </w:rPr>
        <w:t>根据合同条款的规定同意延长的限期内提供部分或全部的货物或服务，达到合同所规定的要求；</w:t>
      </w:r>
    </w:p>
    <w:p>
      <w:pPr>
        <w:pStyle w:val="66"/>
        <w:ind w:firstLine="640" w:firstLineChars="200"/>
        <w:rPr>
          <w:color w:val="000000"/>
        </w:rPr>
      </w:pPr>
      <w:r>
        <w:rPr>
          <w:color w:val="000000"/>
        </w:rPr>
        <w:t>（2）如果甲方</w:t>
      </w:r>
      <w:r>
        <w:rPr>
          <w:rFonts w:hint="eastAsia"/>
          <w:color w:val="000000"/>
        </w:rPr>
        <w:t>（用户）</w:t>
      </w:r>
      <w:r>
        <w:rPr>
          <w:color w:val="000000"/>
        </w:rPr>
        <w:t>发现乙方在本合同的竞争或实施中有欺诈行为。</w:t>
      </w:r>
    </w:p>
    <w:p>
      <w:pPr>
        <w:ind w:firstLine="420" w:firstLineChars="200"/>
        <w:rPr>
          <w:color w:val="000000"/>
        </w:rPr>
      </w:pPr>
      <w:r>
        <w:rPr>
          <w:color w:val="000000"/>
        </w:rPr>
        <w:t>（3）如果乙方未能履行合同规定的其他任何义务。</w:t>
      </w:r>
    </w:p>
    <w:p>
      <w:pPr>
        <w:ind w:firstLine="420" w:firstLineChars="200"/>
        <w:rPr>
          <w:color w:val="000000"/>
        </w:rPr>
      </w:pPr>
      <w:r>
        <w:rPr>
          <w:color w:val="000000"/>
        </w:rPr>
        <w:t>2.如果甲方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可以依其认为适当的条件和方法购买乙方未能提供的货物或服务，乙方应对甲方购买类似货物或服务所超出的费用负责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pPr>
        <w:ind w:firstLine="420" w:firstLineChars="200"/>
        <w:rPr>
          <w:color w:val="000000"/>
        </w:rPr>
      </w:pPr>
      <w:r>
        <w:rPr>
          <w:color w:val="000000"/>
        </w:rPr>
        <w:t>（二）因破产而</w:t>
      </w:r>
      <w:r>
        <w:rPr>
          <w:rFonts w:hint="eastAsia"/>
          <w:color w:val="000000"/>
        </w:rPr>
        <w:t>解除</w:t>
      </w:r>
      <w:r>
        <w:rPr>
          <w:color w:val="000000"/>
        </w:rPr>
        <w:t>合同</w:t>
      </w:r>
    </w:p>
    <w:p>
      <w:pPr>
        <w:ind w:firstLine="420" w:firstLineChars="200"/>
        <w:rPr>
          <w:color w:val="000000"/>
        </w:rPr>
      </w:pPr>
      <w:r>
        <w:rPr>
          <w:color w:val="000000"/>
        </w:rPr>
        <w:t>1.如果乙方破产或无清偿能力，甲方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已支付的合同货款。</w:t>
      </w:r>
    </w:p>
    <w:p>
      <w:pPr>
        <w:ind w:firstLine="420" w:firstLineChars="200"/>
        <w:rPr>
          <w:color w:val="000000"/>
        </w:rPr>
      </w:pPr>
      <w:r>
        <w:rPr>
          <w:color w:val="000000"/>
        </w:rPr>
        <w:t>2.该</w:t>
      </w:r>
      <w:r>
        <w:rPr>
          <w:rFonts w:hint="eastAsia"/>
          <w:color w:val="000000"/>
        </w:rPr>
        <w:t>解除</w:t>
      </w:r>
      <w:r>
        <w:rPr>
          <w:color w:val="000000"/>
        </w:rPr>
        <w:t>合同将不损害或影响甲方已经采取或将要采取的任何行动或补救措施的权利。</w:t>
      </w:r>
    </w:p>
    <w:p>
      <w:pPr>
        <w:ind w:firstLine="420" w:firstLineChars="200"/>
        <w:rPr>
          <w:rFonts w:hint="eastAsia"/>
          <w:color w:val="000000"/>
        </w:rPr>
      </w:pPr>
      <w:r>
        <w:rPr>
          <w:color w:val="000000"/>
        </w:rPr>
        <w:t>（三）</w:t>
      </w:r>
      <w:r>
        <w:rPr>
          <w:rFonts w:hint="eastAsia"/>
          <w:color w:val="000000"/>
        </w:rPr>
        <w:t>其他解除合同情况</w:t>
      </w:r>
    </w:p>
    <w:p>
      <w:pPr>
        <w:ind w:firstLine="420" w:firstLineChars="200"/>
        <w:rPr>
          <w:rFonts w:hint="eastAsia"/>
          <w:color w:val="000000"/>
        </w:rPr>
      </w:pPr>
      <w:r>
        <w:rPr>
          <w:color w:val="000000"/>
        </w:rPr>
        <w:t>1.</w:t>
      </w:r>
      <w:r>
        <w:rPr>
          <w:rFonts w:hint="eastAsia"/>
          <w:color w:val="000000"/>
        </w:rPr>
        <w:t>若合同继续履行将给甲方造成重大损失的，甲方（用户）可以解除合同而不给予乙方任何补偿。</w:t>
      </w:r>
    </w:p>
    <w:p>
      <w:pPr>
        <w:ind w:firstLine="420" w:firstLineChars="200"/>
        <w:rPr>
          <w:rFonts w:hint="eastAsia"/>
          <w:color w:val="000000"/>
        </w:rPr>
      </w:pPr>
      <w:r>
        <w:rPr>
          <w:color w:val="000000"/>
        </w:rPr>
        <w:t>2.</w:t>
      </w:r>
      <w:r>
        <w:rPr>
          <w:rFonts w:hint="eastAsia"/>
          <w:color w:val="000000"/>
        </w:rPr>
        <w:t>乙方在执行合同的过程中发生重大变故，对履行合同有影响的，甲方（用户）可以解除合同而不给予乙方任何补偿。</w:t>
      </w:r>
    </w:p>
    <w:p>
      <w:pPr>
        <w:ind w:firstLine="420" w:firstLineChars="200"/>
        <w:rPr>
          <w:rFonts w:hint="eastAsia"/>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pPr>
        <w:ind w:firstLine="420" w:firstLineChars="200"/>
        <w:rPr>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合同终止</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（一）本合同因下列原因而终止：</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1.本合同正常履行完毕；</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2.合同双方协议终止本合同的履行；</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3.不可抗力事件导致本合同无法履行或履行不必要；</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4.任何一方行使解除权，解除本合同；</w:t>
      </w:r>
    </w:p>
    <w:p>
      <w:pPr>
        <w:pStyle w:val="3010"/>
        <w:autoSpaceDN w:val="0"/>
        <w:spacing w:line="560" w:lineRule="exact"/>
        <w:ind w:firstLine="640" w:firstLineChars="200"/>
        <w:jc w:val="left"/>
        <w:rPr>
          <w:rFonts w:eastAsia="方正仿宋_GBK" w:cs="微软雅黑"/>
          <w:snapToGrid w:val="0"/>
          <w:kern w:val="0"/>
          <w:sz w:val="32"/>
          <w:szCs w:val="32"/>
        </w:rPr>
      </w:pPr>
      <w:bookmarkStart w:id="50" w:name="孔子"/>
      <w:bookmarkEnd w:id="50"/>
      <w:r>
        <w:rPr>
          <w:rFonts w:eastAsia="方正仿宋_GBK" w:cs="微软雅黑"/>
          <w:snapToGrid w:val="0"/>
          <w:kern w:val="0"/>
          <w:sz w:val="32"/>
          <w:szCs w:val="32"/>
          <w:lang w:bidi="ar-SA"/>
        </w:rPr>
        <w:t>（二）对本合同终止有过错的一方应赔偿另一方因合同终止而受到的损失。</w:t>
      </w:r>
    </w:p>
    <w:p>
      <w:pPr>
        <w:ind w:firstLine="420" w:firstLineChars="200"/>
        <w:rPr>
          <w:rFonts w:hint="eastAsia"/>
          <w:b/>
          <w:bCs/>
          <w:color w:val="000000"/>
        </w:rPr>
      </w:pPr>
      <w:r>
        <w:rPr>
          <w:rFonts w:hint="eastAsia"/>
          <w:b/>
          <w:bCs/>
          <w:color w:val="000000"/>
        </w:rPr>
        <w:t>第</w:t>
      </w:r>
      <w:r>
        <w:rPr>
          <w:b/>
          <w:bCs/>
          <w:color w:val="000000"/>
        </w:rPr>
        <w:t>二十一</w:t>
      </w:r>
      <w:r>
        <w:rPr>
          <w:rFonts w:hint="eastAsia"/>
          <w:b/>
          <w:bCs/>
          <w:color w:val="000000"/>
        </w:rPr>
        <w:t>条</w:t>
      </w:r>
      <w:r>
        <w:rPr>
          <w:b/>
          <w:bCs/>
          <w:color w:val="000000"/>
        </w:rPr>
        <w:t xml:space="preserve"> </w:t>
      </w:r>
      <w:r>
        <w:rPr>
          <w:rFonts w:hint="eastAsia"/>
          <w:b/>
          <w:bCs/>
          <w:color w:val="000000"/>
        </w:rPr>
        <w:t>合同转让和分包</w:t>
      </w:r>
    </w:p>
    <w:p>
      <w:pPr>
        <w:ind w:firstLine="420" w:firstLineChars="200"/>
        <w:rPr>
          <w:rFonts w:hint="eastAsia"/>
          <w:color w:val="000000"/>
        </w:rPr>
      </w:pPr>
      <w:r>
        <w:rPr>
          <w:rFonts w:hint="eastAsia"/>
          <w:color w:val="000000"/>
        </w:rPr>
        <w:t>（一）乙方不得以任何形式将合同转包，或部分或全部转让其应履行的合同义务。</w:t>
      </w:r>
    </w:p>
    <w:p>
      <w:pPr>
        <w:ind w:firstLine="420" w:firstLineChars="200"/>
        <w:rPr>
          <w:rFonts w:hint="eastAsia"/>
          <w:color w:val="000000"/>
        </w:rPr>
      </w:pPr>
      <w:r>
        <w:rPr>
          <w:rFonts w:hint="eastAsia"/>
          <w:color w:val="000000"/>
        </w:rPr>
        <w:t>（二）除经甲方（用户）事先书面同意外，乙方不得以任何形式将合同分包。</w:t>
      </w:r>
    </w:p>
    <w:p>
      <w:pPr>
        <w:ind w:firstLine="420" w:firstLineChars="200"/>
        <w:rPr>
          <w:color w:val="000000"/>
        </w:rPr>
      </w:pPr>
      <w:r>
        <w:rPr>
          <w:rFonts w:hint="eastAsia"/>
          <w:color w:val="000000"/>
        </w:rPr>
        <w:t>乙方擅自转包或分包的，甲方有权解除本合同，没收履约保证金，并要求乙方退还已支付的全部货款，赔偿甲方（用户）全部损失及支出的合理费用。</w:t>
      </w:r>
    </w:p>
    <w:p>
      <w:pPr>
        <w:ind w:firstLine="420" w:firstLineChars="200"/>
        <w:rPr>
          <w:b/>
          <w:bCs/>
          <w:color w:val="000000"/>
        </w:rPr>
      </w:pPr>
      <w:r>
        <w:rPr>
          <w:rFonts w:hint="eastAsia"/>
          <w:b/>
          <w:bCs/>
          <w:color w:val="000000"/>
        </w:rPr>
        <w:t>第二十</w:t>
      </w:r>
      <w:r>
        <w:rPr>
          <w:b/>
          <w:bCs/>
          <w:color w:val="000000"/>
        </w:rPr>
        <w:t>二</w:t>
      </w:r>
      <w:r>
        <w:rPr>
          <w:rFonts w:hint="eastAsia"/>
          <w:b/>
          <w:bCs/>
          <w:color w:val="000000"/>
        </w:rPr>
        <w:t>条</w:t>
      </w:r>
      <w:r>
        <w:rPr>
          <w:b/>
          <w:bCs/>
          <w:color w:val="000000"/>
        </w:rPr>
        <w:t xml:space="preserve"> 其他</w:t>
      </w:r>
    </w:p>
    <w:p>
      <w:pPr>
        <w:ind w:firstLine="420" w:firstLineChars="200"/>
        <w:rPr>
          <w:rFonts w:hint="eastAsia"/>
          <w:color w:val="000000"/>
        </w:rPr>
      </w:pPr>
      <w:r>
        <w:rPr>
          <w:color w:val="000000"/>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20" w:firstLineChars="200"/>
        <w:rPr>
          <w:rFonts w:hint="eastAsia"/>
          <w:b/>
          <w:bCs/>
          <w:color w:val="000000"/>
        </w:rPr>
      </w:pPr>
      <w:r>
        <w:rPr>
          <w:rFonts w:hint="eastAsia"/>
          <w:b/>
          <w:bCs/>
          <w:color w:val="000000"/>
        </w:rPr>
        <w:t>第二十</w:t>
      </w:r>
      <w:r>
        <w:rPr>
          <w:b/>
          <w:bCs/>
          <w:color w:val="000000"/>
        </w:rPr>
        <w:t>三</w:t>
      </w:r>
      <w:r>
        <w:rPr>
          <w:rFonts w:hint="eastAsia"/>
          <w:b/>
          <w:bCs/>
          <w:color w:val="000000"/>
        </w:rPr>
        <w:t>条</w:t>
      </w:r>
      <w:r>
        <w:rPr>
          <w:b/>
          <w:bCs/>
          <w:color w:val="000000"/>
        </w:rPr>
        <w:t xml:space="preserve"> </w:t>
      </w:r>
      <w:r>
        <w:rPr>
          <w:rFonts w:hint="eastAsia"/>
          <w:b/>
          <w:bCs/>
          <w:color w:val="000000"/>
        </w:rPr>
        <w:t>合同生效</w:t>
      </w:r>
    </w:p>
    <w:p>
      <w:pPr>
        <w:ind w:firstLine="420" w:firstLineChars="200"/>
        <w:rPr>
          <w:color w:val="000000"/>
        </w:rPr>
      </w:pPr>
      <w:r>
        <w:rPr>
          <w:color w:val="000000"/>
        </w:rPr>
        <w:t>（一）</w:t>
      </w:r>
      <w:r>
        <w:rPr>
          <w:rFonts w:hint="eastAsia"/>
          <w:color w:val="000000"/>
        </w:rPr>
        <w:t>本合同一式</w:t>
      </w:r>
      <w:r>
        <w:rPr>
          <w:color w:val="000000"/>
        </w:rPr>
        <w:t>___</w:t>
      </w:r>
      <w:r>
        <w:rPr>
          <w:rFonts w:hint="eastAsia"/>
          <w:color w:val="000000"/>
        </w:rPr>
        <w:t>份，甲方执</w:t>
      </w:r>
      <w:r>
        <w:rPr>
          <w:color w:val="000000"/>
        </w:rPr>
        <w:t>___</w:t>
      </w:r>
      <w:r>
        <w:rPr>
          <w:rFonts w:hint="eastAsia"/>
          <w:color w:val="000000"/>
        </w:rPr>
        <w:t>份，乙方执</w:t>
      </w:r>
      <w:r>
        <w:rPr>
          <w:color w:val="000000"/>
        </w:rPr>
        <w:t>___</w:t>
      </w:r>
      <w:r>
        <w:rPr>
          <w:rFonts w:hint="eastAsia"/>
          <w:color w:val="000000"/>
        </w:rPr>
        <w:t>份；自甲乙双方签字盖章之日起生效。</w:t>
      </w:r>
      <w:r>
        <w:rPr>
          <w:color w:val="000000"/>
        </w:rPr>
        <w:t>对本合同的任何更改及补充，均需双方共同协商，并以书面形式盖章确认。</w:t>
      </w:r>
    </w:p>
    <w:p>
      <w:pPr>
        <w:pStyle w:val="3110"/>
        <w:widowControl/>
        <w:autoSpaceDN w:val="0"/>
        <w:spacing w:line="560" w:lineRule="exact"/>
        <w:ind w:firstLine="640" w:firstLineChars="200"/>
        <w:jc w:val="left"/>
        <w:rPr>
          <w:rFonts w:eastAsia="方正仿宋_GBK" w:cs="宋体" w:hint="eastAsia"/>
          <w:snapToGrid w:val="0"/>
          <w:kern w:val="0"/>
          <w:sz w:val="32"/>
          <w:szCs w:val="32"/>
        </w:rPr>
      </w:pPr>
      <w:r>
        <w:rPr>
          <w:rFonts w:eastAsia="方正仿宋_GBK"/>
          <w:color w:val="000000"/>
          <w:sz w:val="32"/>
          <w:szCs w:val="28"/>
        </w:rPr>
        <w:t>（二）</w:t>
      </w:r>
      <w:r>
        <w:rPr>
          <w:rFonts w:eastAsia="方正仿宋_GBK" w:cs="宋体" w:hint="eastAsia"/>
          <w:snapToGrid w:val="0"/>
          <w:kern w:val="0"/>
          <w:sz w:val="32"/>
          <w:szCs w:val="32"/>
          <w:lang w:bidi="ar-SA"/>
        </w:rPr>
        <w:t>本合同签订后，由海关总署</w:t>
      </w:r>
      <w:r>
        <w:rPr>
          <w:rFonts w:eastAsia="方正仿宋_GBK" w:cs="宋体"/>
          <w:snapToGrid w:val="0"/>
          <w:kern w:val="0"/>
          <w:sz w:val="32"/>
          <w:szCs w:val="32"/>
          <w:u w:val="single"/>
          <w:lang w:bidi="ar-SA"/>
        </w:rPr>
        <w:t>（内设部门名称）</w:t>
      </w:r>
      <w:r>
        <w:rPr>
          <w:rFonts w:eastAsia="方正仿宋_GBK" w:cs="宋体" w:hint="eastAsia"/>
          <w:snapToGrid w:val="0"/>
          <w:kern w:val="0"/>
          <w:sz w:val="32"/>
          <w:szCs w:val="32"/>
          <w:lang w:bidi="ar-SA"/>
        </w:rPr>
        <w:t>执行资金支付、履约保证金收退、货物或项目验收等</w:t>
      </w:r>
      <w:r>
        <w:rPr>
          <w:rFonts w:eastAsia="方正仿宋_GBK" w:cs="宋体"/>
          <w:snapToGrid w:val="0"/>
          <w:kern w:val="0"/>
          <w:sz w:val="32"/>
          <w:szCs w:val="32"/>
          <w:lang w:bidi="ar-SA"/>
        </w:rPr>
        <w:t>合同</w:t>
      </w:r>
      <w:r>
        <w:rPr>
          <w:rFonts w:eastAsia="方正仿宋_GBK" w:cs="宋体" w:hint="eastAsia"/>
          <w:snapToGrid w:val="0"/>
          <w:kern w:val="0"/>
          <w:sz w:val="32"/>
          <w:szCs w:val="32"/>
          <w:lang w:bidi="ar-SA"/>
        </w:rPr>
        <w:t>履约</w:t>
      </w:r>
      <w:r>
        <w:rPr>
          <w:rFonts w:eastAsia="方正仿宋_GBK" w:cs="宋体"/>
          <w:snapToGrid w:val="0"/>
          <w:kern w:val="0"/>
          <w:sz w:val="32"/>
          <w:szCs w:val="32"/>
          <w:lang w:bidi="ar-SA"/>
        </w:rPr>
        <w:t>一切</w:t>
      </w:r>
      <w:r>
        <w:rPr>
          <w:rFonts w:eastAsia="方正仿宋_GBK" w:cs="宋体" w:hint="eastAsia"/>
          <w:snapToGrid w:val="0"/>
          <w:kern w:val="0"/>
          <w:sz w:val="32"/>
          <w:szCs w:val="32"/>
          <w:lang w:bidi="ar-SA"/>
        </w:rPr>
        <w:t>事宜。</w:t>
      </w:r>
      <w:r>
        <w:rPr>
          <w:rFonts w:eastAsia="方正仿宋_GBK" w:cs="宋体"/>
          <w:snapToGrid w:val="0"/>
          <w:kern w:val="0"/>
          <w:sz w:val="32"/>
          <w:szCs w:val="32"/>
          <w:lang w:bidi="ar-SA"/>
        </w:rPr>
        <w:t>（适用于采购中心与乙方签订合同的情形）</w:t>
      </w:r>
    </w:p>
    <w:p>
      <w:pPr>
        <w:ind w:firstLine="420" w:firstLineChars="200"/>
        <w:rPr>
          <w:rFonts w:hint="eastAsia"/>
          <w:color w:val="000000"/>
        </w:rPr>
      </w:pPr>
    </w:p>
    <w:p>
      <w:pPr>
        <w:spacing w:line="540" w:lineRule="exact"/>
        <w:ind w:firstLine="420" w:firstLineChars="200"/>
        <w:rPr>
          <w:rFonts w:hint="eastAsia"/>
          <w:color w:val="000000"/>
        </w:rPr>
      </w:pPr>
      <w:r>
        <w:rPr>
          <w:rFonts w:hint="eastAsia"/>
          <w:color w:val="000000"/>
        </w:rPr>
        <w:t>附件</w:t>
      </w:r>
      <w:r>
        <w:rPr>
          <w:color w:val="000000"/>
        </w:rPr>
        <w:t>一</w:t>
      </w:r>
      <w:r>
        <w:rPr>
          <w:rFonts w:hint="eastAsia"/>
          <w:color w:val="000000"/>
        </w:rPr>
        <w:t>：分项报价表</w:t>
      </w:r>
    </w:p>
    <w:p>
      <w:pPr>
        <w:spacing w:line="540" w:lineRule="exact"/>
        <w:ind w:firstLine="420" w:firstLineChars="200"/>
        <w:rPr>
          <w:rFonts w:hint="eastAsia"/>
          <w:color w:val="000000"/>
        </w:rPr>
      </w:pPr>
      <w:r>
        <w:rPr>
          <w:rFonts w:hint="eastAsia"/>
          <w:color w:val="000000"/>
        </w:rPr>
        <w:t>附件</w:t>
      </w:r>
      <w:r>
        <w:rPr>
          <w:color w:val="000000"/>
        </w:rPr>
        <w:t>二</w:t>
      </w:r>
      <w:r>
        <w:rPr>
          <w:rFonts w:hint="eastAsia"/>
          <w:color w:val="000000"/>
        </w:rPr>
        <w:t>：</w:t>
      </w:r>
      <w:r>
        <w:rPr>
          <w:color w:val="000000"/>
        </w:rPr>
        <w:t>设备</w:t>
      </w:r>
      <w:r>
        <w:rPr>
          <w:rFonts w:hint="eastAsia"/>
          <w:color w:val="000000"/>
        </w:rPr>
        <w:t>配置清单</w:t>
      </w:r>
    </w:p>
    <w:p>
      <w:pPr>
        <w:spacing w:line="540" w:lineRule="exact"/>
        <w:ind w:firstLine="420" w:firstLineChars="200"/>
        <w:rPr>
          <w:color w:val="000000"/>
        </w:rPr>
      </w:pPr>
      <w:r>
        <w:rPr>
          <w:color w:val="000000"/>
        </w:rPr>
        <w:t>附件三：技术偏离表</w:t>
      </w:r>
    </w:p>
    <w:p>
      <w:pPr>
        <w:spacing w:line="540" w:lineRule="exact"/>
        <w:ind w:firstLine="420" w:firstLineChars="200"/>
        <w:rPr>
          <w:rFonts w:hint="eastAsia"/>
          <w:color w:val="000000"/>
        </w:rPr>
      </w:pPr>
      <w:r>
        <w:rPr>
          <w:color w:val="000000"/>
        </w:rPr>
        <w:t>附件四：</w:t>
      </w:r>
      <w:r>
        <w:rPr>
          <w:rFonts w:hint="eastAsia"/>
          <w:color w:val="000000"/>
        </w:rPr>
        <w:t>货物分配</w:t>
      </w:r>
      <w:r>
        <w:rPr>
          <w:color w:val="000000"/>
        </w:rPr>
        <w:t>清单</w:t>
      </w:r>
    </w:p>
    <w:p>
      <w:pPr>
        <w:spacing w:line="540" w:lineRule="exact"/>
        <w:ind w:firstLine="420" w:firstLineChars="200"/>
        <w:rPr>
          <w:rFonts w:hint="eastAsia"/>
          <w:color w:val="000000"/>
        </w:rPr>
      </w:pPr>
      <w:r>
        <w:rPr>
          <w:rFonts w:hint="eastAsia"/>
          <w:color w:val="000000"/>
        </w:rPr>
        <w:t>附件</w:t>
      </w:r>
      <w:r>
        <w:rPr>
          <w:color w:val="000000"/>
        </w:rPr>
        <w:t>五</w:t>
      </w:r>
      <w:r>
        <w:rPr>
          <w:rFonts w:hint="eastAsia"/>
          <w:color w:val="000000"/>
        </w:rPr>
        <w:t>：</w:t>
      </w:r>
      <w:r>
        <w:rPr>
          <w:color w:val="000000"/>
        </w:rPr>
        <w:t>项目实施</w:t>
      </w:r>
      <w:r>
        <w:rPr>
          <w:rFonts w:hint="eastAsia"/>
          <w:color w:val="000000"/>
        </w:rPr>
        <w:t>方案</w:t>
      </w:r>
    </w:p>
    <w:p>
      <w:pPr>
        <w:spacing w:line="540" w:lineRule="exact"/>
        <w:ind w:firstLine="719"/>
        <w:rPr>
          <w:color w:val="000000"/>
        </w:rPr>
      </w:pPr>
      <w:r>
        <w:rPr>
          <w:color w:val="000000"/>
        </w:rPr>
        <w:t>附件六：技术培训方案</w:t>
      </w:r>
    </w:p>
    <w:p>
      <w:pPr>
        <w:spacing w:line="540" w:lineRule="exact"/>
        <w:ind w:firstLine="719"/>
        <w:rPr>
          <w:color w:val="000000"/>
        </w:rPr>
      </w:pPr>
      <w:r>
        <w:rPr>
          <w:color w:val="000000"/>
        </w:rPr>
        <w:t>附件七：</w:t>
      </w:r>
      <w:r>
        <w:rPr>
          <w:rFonts w:hint="eastAsia"/>
          <w:color w:val="000000"/>
        </w:rPr>
        <w:t>技术支持及售后服务方案</w:t>
      </w:r>
    </w:p>
    <w:p>
      <w:pPr>
        <w:spacing w:line="540" w:lineRule="exact"/>
        <w:ind w:firstLine="719"/>
        <w:rPr>
          <w:color w:val="000000"/>
        </w:rPr>
      </w:pPr>
      <w:r>
        <w:rPr>
          <w:color w:val="000000"/>
        </w:rPr>
        <w:t>附件八：设备到货验收报告</w:t>
      </w:r>
    </w:p>
    <w:p>
      <w:pPr>
        <w:spacing w:line="540" w:lineRule="exact"/>
        <w:ind w:firstLine="719"/>
        <w:rPr>
          <w:color w:val="000000"/>
        </w:rPr>
      </w:pPr>
      <w:r>
        <w:rPr>
          <w:color w:val="000000"/>
        </w:rPr>
        <w:t>附件九：海关总署本级政府采购合同代签委托书</w:t>
      </w:r>
    </w:p>
    <w:p>
      <w:pPr>
        <w:spacing w:line="540" w:lineRule="exact"/>
        <w:rPr>
          <w:color w:val="000000"/>
        </w:rPr>
      </w:pPr>
      <w:r>
        <w:rPr>
          <w:color w:val="000000"/>
        </w:rPr>
        <w:t>（附件一、二、三、五、六、七内容与投标/响应文件一致。）</w:t>
      </w:r>
    </w:p>
    <w:p>
      <w:pPr>
        <w:spacing w:line="540" w:lineRule="exact"/>
        <w:rPr>
          <w:color w:val="000000"/>
        </w:rPr>
      </w:pPr>
    </w:p>
    <w:p>
      <w:pPr>
        <w:spacing w:line="540" w:lineRule="exact"/>
        <w:rPr>
          <w:rFonts w:hint="eastAsia"/>
          <w:color w:val="000000"/>
        </w:rPr>
      </w:pPr>
      <w:r>
        <w:rPr>
          <w:rFonts w:hint="eastAsia"/>
          <w:color w:val="000000"/>
        </w:rPr>
        <w:t>甲方（公章</w:t>
      </w:r>
      <w:r>
        <w:rPr>
          <w:rFonts w:eastAsia="方正仿宋_GBK"/>
          <w:snapToGrid w:val="0"/>
          <w:kern w:val="0"/>
          <w:sz w:val="32"/>
          <w:szCs w:val="32"/>
        </w:rPr>
        <w:t>或合同章</w:t>
      </w:r>
      <w:r>
        <w:rPr>
          <w:rFonts w:hint="eastAsia"/>
          <w:color w:val="000000"/>
        </w:rPr>
        <w:t xml:space="preserve">）：            </w:t>
      </w:r>
      <w:r>
        <w:rPr>
          <w:color w:val="000000"/>
        </w:rPr>
        <w:t xml:space="preserve"> </w:t>
      </w:r>
      <w:r>
        <w:rPr>
          <w:rFonts w:hint="eastAsia"/>
          <w:color w:val="000000"/>
        </w:rPr>
        <w:t>乙方（公章</w:t>
      </w:r>
      <w:r>
        <w:rPr>
          <w:rFonts w:eastAsia="方正仿宋_GBK"/>
          <w:snapToGrid w:val="0"/>
          <w:kern w:val="0"/>
          <w:sz w:val="32"/>
          <w:szCs w:val="32"/>
        </w:rPr>
        <w:t>或合同章</w:t>
      </w:r>
      <w:r>
        <w:rPr>
          <w:rFonts w:hint="eastAsia"/>
          <w:color w:val="000000"/>
        </w:rPr>
        <w:t>）：</w:t>
      </w:r>
    </w:p>
    <w:p>
      <w:pPr>
        <w:spacing w:line="540" w:lineRule="exact"/>
        <w:rPr>
          <w:color w:val="000000"/>
        </w:rPr>
      </w:pPr>
      <w:r>
        <w:rPr>
          <w:rFonts w:hint="eastAsia"/>
          <w:color w:val="000000"/>
        </w:rPr>
        <w:t>法定代表人</w:t>
      </w:r>
      <w:r>
        <w:rPr>
          <w:color w:val="000000"/>
        </w:rPr>
        <w:t xml:space="preserve">                        </w:t>
      </w:r>
      <w:r>
        <w:rPr>
          <w:rFonts w:hint="eastAsia"/>
          <w:color w:val="000000"/>
        </w:rPr>
        <w:t>法定代表人</w:t>
      </w:r>
    </w:p>
    <w:p>
      <w:pPr>
        <w:spacing w:line="540" w:lineRule="exact"/>
        <w:rPr>
          <w:rFonts w:hint="eastAsia"/>
          <w:color w:val="000000"/>
        </w:rPr>
      </w:pPr>
      <w:r>
        <w:rPr>
          <w:rFonts w:hint="eastAsia"/>
          <w:color w:val="000000"/>
        </w:rPr>
        <w:t>或授权签字人（签字）：             或授权签字人（签字）：</w:t>
      </w:r>
    </w:p>
    <w:p>
      <w:pPr>
        <w:spacing w:line="540" w:lineRule="exact"/>
        <w:rPr>
          <w:rFonts w:hint="eastAsia"/>
          <w:color w:val="000000"/>
        </w:rPr>
      </w:pPr>
    </w:p>
    <w:p>
      <w:pPr>
        <w:spacing w:line="540" w:lineRule="exact"/>
        <w:rPr>
          <w:rFonts w:hint="eastAsia"/>
          <w:color w:val="000000"/>
        </w:rPr>
      </w:pPr>
      <w:r>
        <w:rPr>
          <w:rFonts w:hint="eastAsia"/>
          <w:color w:val="000000"/>
        </w:rPr>
        <w:t>日期：</w:t>
      </w:r>
      <w:r>
        <w:rPr>
          <w:color w:val="000000"/>
        </w:rPr>
        <w:t xml:space="preserve"> </w:t>
      </w:r>
      <w:r>
        <w:rPr>
          <w:rFonts w:hint="eastAsia"/>
          <w:color w:val="000000"/>
        </w:rPr>
        <w:t xml:space="preserve">年  月  日               </w:t>
      </w:r>
      <w:r>
        <w:rPr>
          <w:color w:val="000000"/>
        </w:rPr>
        <w:t xml:space="preserve">  </w:t>
      </w:r>
      <w:r>
        <w:rPr>
          <w:rFonts w:hint="eastAsia"/>
          <w:color w:val="000000"/>
        </w:rPr>
        <w:t xml:space="preserve">日期：   年   月   日    </w:t>
      </w:r>
    </w:p>
    <w:p>
      <w:pPr>
        <w:spacing w:line="540" w:lineRule="exact"/>
        <w:rPr>
          <w:rFonts w:hint="eastAsia"/>
          <w:color w:val="000000"/>
        </w:rPr>
      </w:pPr>
      <w:r>
        <w:rPr>
          <w:rFonts w:hint="eastAsia"/>
          <w:color w:val="000000"/>
        </w:rPr>
        <w:t>联系人:                            联系人：</w:t>
      </w:r>
    </w:p>
    <w:p>
      <w:pPr>
        <w:spacing w:line="540" w:lineRule="exact"/>
        <w:rPr>
          <w:color w:val="000000"/>
        </w:rPr>
      </w:pPr>
      <w:r>
        <w:rPr>
          <w:rFonts w:hint="eastAsia"/>
          <w:color w:val="000000"/>
        </w:rPr>
        <w:t>电话:</w:t>
      </w:r>
      <w:r>
        <w:rPr>
          <w:color w:val="000000"/>
        </w:rPr>
        <w:t xml:space="preserve">     </w:t>
      </w:r>
      <w:r>
        <w:rPr>
          <w:rFonts w:hint="eastAsia"/>
          <w:color w:val="000000"/>
        </w:rPr>
        <w:t xml:space="preserve">                         电话：</w:t>
      </w:r>
    </w:p>
    <w:p>
      <w:pPr>
        <w:spacing w:line="540" w:lineRule="exact"/>
        <w:rPr>
          <w:rFonts w:hint="eastAsia"/>
          <w:color w:val="000000"/>
        </w:rPr>
      </w:pPr>
      <w:r>
        <w:rPr>
          <w:color w:val="000000"/>
        </w:rPr>
        <w:t>地址：                             地址：</w:t>
      </w:r>
    </w:p>
    <w:p>
      <w:pPr>
        <w:pStyle w:val="50710"/>
        <w:tabs>
          <w:tab w:val="left" w:pos="2760"/>
        </w:tabs>
        <w:spacing w:line="560" w:lineRule="exact"/>
        <w:jc w:val="left"/>
        <w:rPr>
          <w:rFonts w:eastAsia="方正仿宋_GBK"/>
          <w:b/>
          <w:sz w:val="32"/>
          <w:szCs w:val="32"/>
        </w:rPr>
      </w:pPr>
      <w:r>
        <w:rPr>
          <w:rFonts w:eastAsia="方正仿宋_GBK"/>
          <w:b/>
          <w:snapToGrid w:val="0"/>
          <w:kern w:val="0"/>
          <w:sz w:val="32"/>
          <w:szCs w:val="32"/>
        </w:rPr>
        <w:t>附件一：分项报价表</w:t>
      </w:r>
    </w:p>
    <w:p>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附件二：设备配置清单</w:t>
      </w:r>
    </w:p>
    <w:p>
      <w:pPr>
        <w:pStyle w:val="46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附件三：技术偏离表</w:t>
      </w:r>
    </w:p>
    <w:p>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附件四 ：货物分配清单</w:t>
      </w:r>
    </w:p>
    <w:p>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附表4-1：货物分配清单</w:t>
      </w:r>
    </w:p>
    <w:tbl>
      <w:tblPr>
        <w:tblStyle w:val="TableNormal"/>
        <w:tblW w:w="8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536"/>
        <w:gridCol w:w="1134"/>
        <w:gridCol w:w="1448"/>
        <w:gridCol w:w="1448"/>
        <w:gridCol w:w="1448"/>
        <w:gridCol w:w="1448"/>
        <w:gridCol w:w="1448"/>
      </w:tblGrid>
      <w:tr>
        <w:tblPrEx>
          <w:tblW w:w="8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cantSplit/>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w:t>
            </w:r>
          </w:p>
        </w:tc>
        <w:tc>
          <w:tcPr>
            <w:tcW w:w="7240" w:type="dxa"/>
            <w:gridSpan w:val="5"/>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分配数量</w:t>
            </w:r>
          </w:p>
        </w:tc>
      </w:tr>
      <w:tr>
        <w:tblPrEx>
          <w:tblW w:w="8908" w:type="dxa"/>
          <w:jc w:val="center"/>
          <w:tblInd w:w="0" w:type="dxa"/>
          <w:tblCellMar>
            <w:top w:w="0" w:type="dxa"/>
            <w:left w:w="108" w:type="dxa"/>
            <w:bottom w:w="0" w:type="dxa"/>
            <w:right w:w="108" w:type="dxa"/>
          </w:tblCellMa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设备1名称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设备2名称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设备3名称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Ind w:w="0" w:type="dxa"/>
          <w:tblCellMar>
            <w:top w:w="0" w:type="dxa"/>
            <w:left w:w="108" w:type="dxa"/>
            <w:bottom w:w="0" w:type="dxa"/>
            <w:right w:w="108" w:type="dxa"/>
          </w:tblCellMa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设备1</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设备2</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设备3</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1</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2</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3</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4</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5</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6</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合计数量</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bl>
    <w:p>
      <w:pPr>
        <w:pStyle w:val="3410"/>
        <w:spacing w:line="560" w:lineRule="exact"/>
        <w:jc w:val="left"/>
        <w:rPr>
          <w:rFonts w:eastAsia="方正仿宋_GBK"/>
          <w:snapToGrid w:val="0"/>
          <w:kern w:val="0"/>
          <w:sz w:val="32"/>
          <w:szCs w:val="32"/>
        </w:rPr>
      </w:pPr>
    </w:p>
    <w:p>
      <w:pPr>
        <w:pStyle w:val="3410"/>
        <w:spacing w:line="560" w:lineRule="exact"/>
        <w:jc w:val="left"/>
        <w:rPr>
          <w:rFonts w:eastAsia="方正仿宋_GBK"/>
          <w:snapToGrid w:val="0"/>
          <w:kern w:val="0"/>
          <w:sz w:val="32"/>
          <w:szCs w:val="32"/>
        </w:rPr>
      </w:pPr>
    </w:p>
    <w:p>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附表4-2：收货联系人</w:t>
      </w:r>
    </w:p>
    <w:p>
      <w:pPr>
        <w:pStyle w:val="3410"/>
        <w:spacing w:line="560" w:lineRule="exact"/>
        <w:jc w:val="left"/>
        <w:rPr>
          <w:rFonts w:eastAsia="方正仿宋_GBK"/>
          <w:sz w:val="32"/>
          <w:szCs w:val="32"/>
        </w:rPr>
      </w:pP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631"/>
        <w:gridCol w:w="1060"/>
        <w:gridCol w:w="1060"/>
        <w:gridCol w:w="1060"/>
        <w:gridCol w:w="2385"/>
        <w:gridCol w:w="1106"/>
        <w:gridCol w:w="1218"/>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单位名称</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部门</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收货联系人姓名</w:t>
            </w:r>
          </w:p>
        </w:tc>
        <w:tc>
          <w:tcPr>
            <w:tcW w:w="2385"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地址</w:t>
            </w:r>
          </w:p>
        </w:tc>
        <w:tc>
          <w:tcPr>
            <w:tcW w:w="110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联系电话</w:t>
            </w:r>
          </w:p>
        </w:tc>
        <w:tc>
          <w:tcPr>
            <w:tcW w:w="121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手机</w:t>
            </w: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1</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2</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3</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4</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5</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6</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bl>
    <w:p>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附件五：项目实施方案</w:t>
      </w:r>
    </w:p>
    <w:p>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附件六：</w:t>
      </w:r>
      <w:r>
        <w:rPr>
          <w:rFonts w:eastAsia="方正仿宋_GBK"/>
          <w:b/>
          <w:snapToGrid w:val="0"/>
          <w:kern w:val="0"/>
          <w:sz w:val="32"/>
          <w:szCs w:val="32"/>
        </w:rPr>
        <w:t>技术培训方案</w:t>
      </w:r>
    </w:p>
    <w:p>
      <w:pPr>
        <w:pStyle w:val="4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附件七：技术支持与原厂售后服务方案</w:t>
      </w:r>
    </w:p>
    <w:p>
      <w:pPr>
        <w:pStyle w:val="3410"/>
        <w:autoSpaceDN w:val="0"/>
        <w:snapToGrid w:val="0"/>
        <w:spacing w:before="312" w:after="312" w:line="300" w:lineRule="exact"/>
        <w:ind w:left="0"/>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附件八：设备到货验收报告</w:t>
      </w:r>
    </w:p>
    <w:tbl>
      <w:tblPr>
        <w:tblStyle w:val="TableNormal"/>
        <w:tblW w:w="10534" w:type="dxa"/>
        <w:jc w:val="center"/>
        <w:tblInd w:w="0" w:type="dxa"/>
        <w:tblLayout w:type="fixed"/>
        <w:tblCellMar>
          <w:top w:w="0" w:type="dxa"/>
          <w:left w:w="108" w:type="dxa"/>
          <w:bottom w:w="0" w:type="dxa"/>
          <w:right w:w="108" w:type="dxa"/>
        </w:tblCellMar>
        <w:tblLook w:val="0000"/>
      </w:tblPr>
      <w:tblGrid>
        <w:gridCol w:w="2921"/>
        <w:gridCol w:w="1589"/>
        <w:gridCol w:w="151"/>
        <w:gridCol w:w="1775"/>
        <w:gridCol w:w="2107"/>
        <w:gridCol w:w="1991"/>
      </w:tblGrid>
      <w:tr>
        <w:tblPrEx>
          <w:tblW w:w="10534" w:type="dxa"/>
          <w:jc w:val="center"/>
          <w:tblInd w:w="0" w:type="dxa"/>
          <w:tblLayout w:type="fixed"/>
          <w:tblCellMar>
            <w:top w:w="0" w:type="dxa"/>
            <w:left w:w="108" w:type="dxa"/>
            <w:bottom w:w="0" w:type="dxa"/>
            <w:right w:w="108" w:type="dxa"/>
          </w:tblCellMar>
          <w:tblLook w:val="0000"/>
        </w:tblPrEx>
        <w:trPr>
          <w:trHeight w:val="540"/>
          <w:jc w:val="center"/>
        </w:trPr>
        <w:tc>
          <w:tcPr>
            <w:tcW w:w="2921" w:type="dxa"/>
            <w:tcBorders>
              <w:top w:val="single" w:sz="18" w:space="0" w:color="000000"/>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项目名称</w:t>
            </w:r>
          </w:p>
        </w:tc>
        <w:tc>
          <w:tcPr>
            <w:tcW w:w="1589" w:type="dxa"/>
            <w:tcBorders>
              <w:top w:val="single" w:sz="18"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b/>
                <w:snapToGrid w:val="0"/>
                <w:kern w:val="0"/>
                <w:sz w:val="32"/>
                <w:szCs w:val="32"/>
              </w:rPr>
            </w:pPr>
          </w:p>
        </w:tc>
        <w:tc>
          <w:tcPr>
            <w:tcW w:w="4033" w:type="dxa"/>
            <w:gridSpan w:val="3"/>
            <w:tcBorders>
              <w:top w:val="single" w:sz="18"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项目合同编号</w:t>
            </w:r>
          </w:p>
        </w:tc>
        <w:tc>
          <w:tcPr>
            <w:tcW w:w="1991" w:type="dxa"/>
            <w:tcBorders>
              <w:top w:val="single" w:sz="18" w:space="0" w:color="000000"/>
              <w:left w:val="nil"/>
              <w:bottom w:val="single" w:sz="4" w:space="0" w:color="000000"/>
              <w:right w:val="single" w:sz="18" w:space="0" w:color="000000"/>
            </w:tcBorders>
            <w:vAlign w:val="center"/>
          </w:tcPr>
          <w:p>
            <w:pPr>
              <w:pStyle w:val="3410"/>
              <w:widowControl/>
              <w:autoSpaceDN w:val="0"/>
              <w:spacing w:line="560" w:lineRule="exact"/>
              <w:jc w:val="center"/>
              <w:rPr>
                <w:rFonts w:eastAsia="方正仿宋_GBK"/>
                <w:b/>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70"/>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节点验收单位</w:t>
            </w:r>
          </w:p>
        </w:tc>
        <w:tc>
          <w:tcPr>
            <w:tcW w:w="7613" w:type="dxa"/>
            <w:gridSpan w:val="5"/>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33"/>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联系人</w:t>
            </w: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联系电话</w:t>
            </w: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95"/>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采购设备名称</w:t>
            </w: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设备描述及说明</w:t>
            </w: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数量</w:t>
            </w: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序列号</w:t>
            </w:r>
          </w:p>
        </w:tc>
      </w:tr>
      <w:tr>
        <w:tblPrEx>
          <w:tblW w:w="10534" w:type="dxa"/>
          <w:jc w:val="center"/>
          <w:tblInd w:w="0" w:type="dxa"/>
          <w:tblLayout w:type="fixed"/>
          <w:tblCellMar>
            <w:top w:w="0" w:type="dxa"/>
            <w:left w:w="108" w:type="dxa"/>
            <w:bottom w:w="0" w:type="dxa"/>
            <w:right w:w="108" w:type="dxa"/>
          </w:tblCellMar>
          <w:tblLook w:val="0000"/>
        </w:tblPrEx>
        <w:trPr>
          <w:trHeight w:val="480"/>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jc w:val="center"/>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10"/>
          <w:jc w:val="center"/>
        </w:trPr>
        <w:tc>
          <w:tcPr>
            <w:tcW w:w="10534" w:type="dxa"/>
            <w:gridSpan w:val="6"/>
            <w:tcBorders>
              <w:top w:val="single" w:sz="4" w:space="0" w:color="000000"/>
              <w:left w:val="single" w:sz="18" w:space="0" w:color="000000"/>
              <w:bottom w:val="single" w:sz="8"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备注： </w:t>
            </w:r>
          </w:p>
        </w:tc>
      </w:tr>
      <w:tr>
        <w:tblPrEx>
          <w:tblW w:w="10534" w:type="dxa"/>
          <w:jc w:val="center"/>
          <w:tblInd w:w="0" w:type="dxa"/>
          <w:tblLayout w:type="fixed"/>
          <w:tblCellMar>
            <w:top w:w="0" w:type="dxa"/>
            <w:left w:w="108" w:type="dxa"/>
            <w:bottom w:w="0" w:type="dxa"/>
            <w:right w:w="108" w:type="dxa"/>
          </w:tblCellMar>
          <w:tblLook w:val="0000"/>
        </w:tblPrEx>
        <w:trPr>
          <w:trHeight w:val="270"/>
          <w:jc w:val="center"/>
        </w:trPr>
        <w:tc>
          <w:tcPr>
            <w:tcW w:w="10534" w:type="dxa"/>
            <w:gridSpan w:val="6"/>
            <w:tcBorders>
              <w:top w:val="single" w:sz="8" w:space="0" w:color="000000"/>
              <w:left w:val="single" w:sz="18" w:space="0" w:color="000000"/>
              <w:bottom w:val="nil"/>
              <w:right w:val="single" w:sz="18"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验收内容</w:t>
            </w:r>
          </w:p>
        </w:tc>
      </w:tr>
      <w:tr>
        <w:tblPrEx>
          <w:tblW w:w="10534" w:type="dxa"/>
          <w:jc w:val="center"/>
          <w:tblInd w:w="0" w:type="dxa"/>
          <w:tblLayout w:type="fixed"/>
          <w:tblCellMar>
            <w:top w:w="0" w:type="dxa"/>
            <w:left w:w="108" w:type="dxa"/>
            <w:bottom w:w="0" w:type="dxa"/>
            <w:right w:w="108" w:type="dxa"/>
          </w:tblCellMar>
          <w:tblLook w:val="0000"/>
        </w:tblPrEx>
        <w:trPr>
          <w:trHeight w:val="570"/>
          <w:jc w:val="center"/>
        </w:trPr>
        <w:tc>
          <w:tcPr>
            <w:tcW w:w="10534" w:type="dxa"/>
            <w:gridSpan w:val="6"/>
            <w:tcBorders>
              <w:top w:val="nil"/>
              <w:left w:val="single" w:sz="18" w:space="0" w:color="000000"/>
              <w:bottom w:val="nil"/>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验收内容：对设备包装、外观进行检查后，双方一致认为设备包装      </w:t>
            </w:r>
          </w:p>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 □完好 / □破损</w:t>
            </w:r>
          </w:p>
        </w:tc>
      </w:tr>
      <w:tr>
        <w:tblPrEx>
          <w:tblW w:w="10534" w:type="dxa"/>
          <w:jc w:val="center"/>
          <w:tblInd w:w="0" w:type="dxa"/>
          <w:tblLayout w:type="fixed"/>
          <w:tblCellMar>
            <w:top w:w="0" w:type="dxa"/>
            <w:left w:w="108" w:type="dxa"/>
            <w:bottom w:w="0" w:type="dxa"/>
            <w:right w:w="108" w:type="dxa"/>
          </w:tblCellMar>
          <w:tblLook w:val="0000"/>
        </w:tblPrEx>
        <w:trPr>
          <w:trHeight w:val="540"/>
          <w:jc w:val="center"/>
        </w:trPr>
        <w:tc>
          <w:tcPr>
            <w:tcW w:w="10534" w:type="dxa"/>
            <w:gridSpan w:val="6"/>
            <w:tcBorders>
              <w:top w:val="nil"/>
              <w:left w:val="single" w:sz="18" w:space="0" w:color="000000"/>
              <w:bottom w:val="nil"/>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开箱验货：检查设备型号、数量、外观及相关资料等是否正确、齐全    </w:t>
            </w:r>
          </w:p>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□齐全 / □不齐全</w:t>
            </w:r>
          </w:p>
        </w:tc>
      </w:tr>
      <w:tr>
        <w:tblPrEx>
          <w:tblW w:w="10534" w:type="dxa"/>
          <w:jc w:val="center"/>
          <w:tblInd w:w="0" w:type="dxa"/>
          <w:tblLayout w:type="fixed"/>
          <w:tblCellMar>
            <w:top w:w="0" w:type="dxa"/>
            <w:left w:w="108" w:type="dxa"/>
            <w:bottom w:w="0" w:type="dxa"/>
            <w:right w:w="108" w:type="dxa"/>
          </w:tblCellMar>
          <w:tblLook w:val="0000"/>
        </w:tblPrEx>
        <w:trPr>
          <w:trHeight w:val="724"/>
          <w:jc w:val="center"/>
        </w:trPr>
        <w:tc>
          <w:tcPr>
            <w:tcW w:w="10534" w:type="dxa"/>
            <w:gridSpan w:val="6"/>
            <w:tcBorders>
              <w:top w:val="nil"/>
              <w:left w:val="single" w:sz="18" w:space="0" w:color="000000"/>
              <w:bottom w:val="single" w:sz="8"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验收意见：□同意 / □不同意验收。</w:t>
            </w:r>
          </w:p>
          <w:p>
            <w:pPr>
              <w:pStyle w:val="3410"/>
              <w:widowControl/>
              <w:autoSpaceDN w:val="0"/>
              <w:spacing w:line="440" w:lineRule="exact"/>
              <w:ind w:firstLine="640" w:firstLineChars="200"/>
              <w:rPr>
                <w:rFonts w:eastAsia="方正仿宋_GBK"/>
                <w:snapToGrid w:val="0"/>
                <w:kern w:val="0"/>
                <w:sz w:val="32"/>
                <w:szCs w:val="32"/>
              </w:rPr>
            </w:pPr>
          </w:p>
          <w:p>
            <w:pPr>
              <w:pStyle w:val="3410"/>
              <w:autoSpaceDN w:val="0"/>
              <w:spacing w:line="440" w:lineRule="exact"/>
              <w:ind w:firstLine="640" w:firstLineChars="200"/>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419"/>
          <w:jc w:val="center"/>
        </w:trPr>
        <w:tc>
          <w:tcPr>
            <w:tcW w:w="4510" w:type="dxa"/>
            <w:gridSpan w:val="2"/>
            <w:vMerge w:val="restart"/>
            <w:tcBorders>
              <w:top w:val="single" w:sz="8" w:space="0" w:color="000000"/>
              <w:left w:val="single" w:sz="18" w:space="0" w:color="000000"/>
              <w:bottom w:val="single" w:sz="18" w:space="0" w:color="000000"/>
              <w:right w:val="single" w:sz="4" w:space="0" w:color="000000"/>
            </w:tcBorders>
            <w:vAlign w:val="center"/>
          </w:tcPr>
          <w:p>
            <w:pPr>
              <w:pStyle w:val="3510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甲方验收代表签字：</w:t>
            </w:r>
          </w:p>
          <w:p>
            <w:pPr>
              <w:pStyle w:val="36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3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3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p>
            <w:pPr>
              <w:pStyle w:val="39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甲方盖章：</w:t>
            </w:r>
          </w:p>
          <w:p>
            <w:pPr>
              <w:pStyle w:val="40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4110"/>
              <w:widowControl/>
              <w:autoSpaceDN w:val="0"/>
              <w:spacing w:line="440" w:lineRule="exact"/>
              <w:rPr>
                <w:rFonts w:eastAsia="方正仿宋_GBK"/>
                <w:snapToGrid w:val="0"/>
                <w:kern w:val="0"/>
                <w:sz w:val="32"/>
                <w:szCs w:val="32"/>
              </w:rPr>
            </w:pPr>
            <w:r>
              <w:rPr>
                <w:rFonts w:eastAsia="方正仿宋_GBK"/>
                <w:snapToGrid w:val="0"/>
                <w:kern w:val="0"/>
                <w:sz w:val="32"/>
                <w:szCs w:val="32"/>
              </w:rPr>
              <w:t>　日期：</w:t>
            </w:r>
          </w:p>
          <w:p>
            <w:pPr>
              <w:pStyle w:val="42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2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2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6024" w:type="dxa"/>
            <w:gridSpan w:val="4"/>
            <w:tcBorders>
              <w:top w:val="single" w:sz="8" w:space="0" w:color="000000"/>
              <w:left w:val="nil"/>
              <w:bottom w:val="nil"/>
              <w:right w:val="single" w:sz="18"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乙方验收代表签字：</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乙方盖章：</w:t>
            </w: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bottom"/>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日期：</w:t>
            </w: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143"/>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single" w:sz="18" w:space="0" w:color="000000"/>
              <w:right w:val="nil"/>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1991" w:type="dxa"/>
            <w:tcBorders>
              <w:top w:val="nil"/>
              <w:left w:val="nil"/>
              <w:bottom w:val="single" w:sz="18" w:space="0" w:color="000000"/>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bl>
    <w:p>
      <w:pPr>
        <w:pStyle w:val="Heading1"/>
        <w:rPr>
          <w:highlight w:val="white"/>
        </w:rPr>
      </w:pPr>
      <w:bookmarkEnd w:id="49"/>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rFonts w:hint="eastAsia"/>
          <w:highlight w:val="white"/>
        </w:rPr>
      </w:pPr>
      <w:bookmarkStart w:id="51" w:name="_Toc17371"/>
      <w:bookmarkStart w:id="52" w:name="_Toc23184"/>
      <w:r>
        <w:rPr>
          <w:rFonts w:hint="eastAsia"/>
          <w:highlight w:val="white"/>
        </w:rPr>
        <w:t>第六部分  投标文件格式</w:t>
      </w:r>
      <w:bookmarkEnd w:id="51"/>
      <w:bookmarkEnd w:id="52"/>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r>
        <w:rPr>
          <w:rFonts w:ascii="宋体" w:hint="eastAsia"/>
          <w:sz w:val="24"/>
        </w:rPr>
        <w:t>投标人提交文件须知：</w:t>
      </w:r>
    </w:p>
    <w:p>
      <w:pPr>
        <w:tabs>
          <w:tab w:val="left" w:pos="588"/>
        </w:tabs>
        <w:autoSpaceDN w:val="0"/>
        <w:spacing w:line="360" w:lineRule="auto"/>
        <w:rPr>
          <w:rFonts w:ascii="宋体" w:hint="eastAsia"/>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eastAsia="宋体" w:cs="微软雅黑" w:hint="eastAsia"/>
          <w:sz w:val="24"/>
          <w:lang w:bidi="ar-SA"/>
        </w:rPr>
      </w:pPr>
      <w:r>
        <w:rPr>
          <w:rFonts w:ascii="宋体" w:hint="eastAsia"/>
          <w:sz w:val="24"/>
        </w:rPr>
        <w:t>2.</w:t>
      </w:r>
      <w:r>
        <w:rPr>
          <w:rFonts w:ascii="宋体" w:eastAsia="宋体" w:cs="微软雅黑" w:hint="eastAsia"/>
          <w:sz w:val="24"/>
          <w:lang w:bidi="ar-SA"/>
        </w:rPr>
        <w:t>投标文件应按照招标文件要求的格式逐项填写，无相应内容可填的项应填写</w:t>
      </w:r>
      <w:r>
        <w:rPr>
          <w:rFonts w:ascii="宋体" w:eastAsia="宋体" w:cs="微软雅黑" w:hint="eastAsia"/>
          <w:sz w:val="24"/>
          <w:lang w:bidi="ar-SA"/>
        </w:rPr>
        <w:t>“</w:t>
      </w:r>
      <w:r>
        <w:rPr>
          <w:rFonts w:ascii="宋体" w:eastAsia="宋体" w:cs="微软雅黑" w:hint="eastAsia"/>
          <w:sz w:val="24"/>
          <w:lang w:bidi="ar-SA"/>
        </w:rPr>
        <w:t>无</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未测试</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没有相应指标</w:t>
      </w:r>
      <w:r>
        <w:rPr>
          <w:rFonts w:ascii="宋体" w:eastAsia="宋体" w:cs="微软雅黑" w:hint="eastAsia"/>
          <w:sz w:val="24"/>
          <w:lang w:bidi="ar-SA"/>
        </w:rPr>
        <w:t>”</w:t>
      </w:r>
      <w:r>
        <w:rPr>
          <w:rFonts w:ascii="宋体" w:eastAsia="宋体" w:cs="微软雅黑" w:hint="eastAsia"/>
          <w:sz w:val="24"/>
          <w:lang w:bidi="ar-SA"/>
        </w:rPr>
        <w:t>等明确的回答文字。</w:t>
      </w:r>
    </w:p>
    <w:p>
      <w:pPr>
        <w:tabs>
          <w:tab w:val="left" w:pos="588"/>
        </w:tabs>
        <w:autoSpaceDN w:val="0"/>
        <w:spacing w:line="360" w:lineRule="auto"/>
        <w:ind w:left="1"/>
        <w:rPr>
          <w:rFonts w:ascii="宋体" w:cs="微软雅黑" w:hint="eastAsia"/>
          <w:bCs/>
          <w:sz w:val="24"/>
          <w:highlight w:val="none"/>
          <w:lang w:bidi="ar-SA"/>
        </w:rPr>
      </w:pPr>
      <w:r>
        <w:rPr>
          <w:rFonts w:ascii="宋体" w:cs="微软雅黑" w:hint="eastAsia"/>
          <w:bCs/>
          <w:sz w:val="24"/>
          <w:highlight w:val="none"/>
          <w:lang w:bidi="ar-SA"/>
        </w:rPr>
        <w:t>3.提及的全部投标材料都须加盖供应商的电子签章。</w:t>
      </w:r>
    </w:p>
    <w:p>
      <w:pPr>
        <w:tabs>
          <w:tab w:val="left" w:pos="588"/>
        </w:tabs>
        <w:autoSpaceDN w:val="0"/>
        <w:spacing w:line="360" w:lineRule="auto"/>
        <w:ind w:left="1"/>
        <w:rPr>
          <w:rFonts w:ascii="宋体" w:eastAsia="宋体" w:cs="微软雅黑" w:hint="eastAsia"/>
          <w:bCs/>
          <w:sz w:val="24"/>
          <w:lang w:bidi="ar-SA"/>
        </w:rPr>
      </w:pPr>
      <w:r>
        <w:rPr>
          <w:rFonts w:ascii="宋体" w:cs="微软雅黑" w:hint="eastAsia"/>
          <w:bCs/>
          <w:sz w:val="24"/>
          <w:highlight w:val="none"/>
          <w:lang w:bidi="ar-SA"/>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hint="eastAsia"/>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hint="eastAsia"/>
          <w:sz w:val="24"/>
        </w:rPr>
      </w:pPr>
      <w:r>
        <w:rPr>
          <w:rFonts w:ascii="宋体" w:hint="eastAsia"/>
          <w:sz w:val="24"/>
        </w:rPr>
        <w:t>6.投标人提交的材料将被保密保存，但不退还。</w:t>
      </w:r>
    </w:p>
    <w:p>
      <w:pPr>
        <w:tabs>
          <w:tab w:val="left" w:pos="588"/>
        </w:tabs>
        <w:autoSpaceDN w:val="0"/>
        <w:spacing w:line="360" w:lineRule="auto"/>
        <w:rPr>
          <w:rFonts w:ascii="宋体" w:hint="eastAsia"/>
          <w:sz w:val="24"/>
        </w:rPr>
      </w:pPr>
      <w:r>
        <w:rPr>
          <w:rFonts w:ascii="宋体" w:hint="eastAsia"/>
          <w:sz w:val="24"/>
        </w:rPr>
        <w:t>7.全部文件应按投标人须知中规定的语言和份数提交。</w:t>
      </w: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autoSpaceDN w:val="0"/>
        <w:spacing w:line="360" w:lineRule="auto"/>
        <w:jc w:val="left"/>
        <w:outlineLvl w:val="2"/>
        <w:rPr>
          <w:rFonts w:ascii="宋体" w:hint="eastAsia"/>
          <w:b/>
          <w:bCs/>
          <w:sz w:val="30"/>
          <w:szCs w:val="30"/>
          <w:highlight w:val="white"/>
        </w:rPr>
      </w:pPr>
    </w:p>
    <w:p>
      <w:pPr>
        <w:tabs>
          <w:tab w:val="left" w:pos="588"/>
        </w:tabs>
        <w:autoSpaceDN w:val="0"/>
        <w:spacing w:line="360" w:lineRule="auto"/>
        <w:rPr>
          <w:rFonts w:ascii="宋体" w:hint="eastAsia"/>
        </w:rPr>
      </w:pPr>
      <w:bookmarkStart w:id="53" w:name="投标文件格式"/>
    </w:p>
    <w:p>
      <w:pPr>
        <w:tabs>
          <w:tab w:val="left" w:pos="588"/>
        </w:tabs>
        <w:autoSpaceDN w:val="0"/>
        <w:spacing w:line="360" w:lineRule="auto"/>
        <w:rPr>
          <w:rFonts w:ascii="宋体" w:hint="eastAsia"/>
        </w:rPr>
      </w:pPr>
    </w:p>
    <w:p>
      <w:pPr>
        <w:tabs>
          <w:tab w:val="left" w:pos="588"/>
        </w:tabs>
        <w:autoSpaceDN w:val="0"/>
        <w:spacing w:line="360" w:lineRule="auto"/>
        <w:rPr>
          <w:rFonts w:ascii="宋体"/>
        </w:rPr>
      </w:pPr>
    </w:p>
    <w:p>
      <w:pPr>
        <w:autoSpaceDN w:val="0"/>
        <w:spacing w:line="360" w:lineRule="auto"/>
        <w:jc w:val="left"/>
        <w:outlineLvl w:val="2"/>
        <w:rPr>
          <w:rFonts w:ascii="宋体" w:hint="eastAsia"/>
          <w:b/>
          <w:bCs/>
          <w:sz w:val="30"/>
          <w:szCs w:val="30"/>
          <w:highlight w:val="white"/>
        </w:rPr>
      </w:pPr>
      <w:bookmarkStart w:id="54" w:name="_GoBack"/>
      <w:bookmarkEnd w:id="54"/>
    </w:p>
    <w:p>
      <w:pPr>
        <w:pStyle w:val="6"/>
        <w:keepNext w:val="0"/>
        <w:keepLines w:val="0"/>
        <w:widowControl w:val="0"/>
        <w:autoSpaceDN w:val="0"/>
        <w:spacing w:before="0" w:after="0" w:line="360" w:lineRule="auto"/>
        <w:jc w:val="center"/>
        <w:outlineLvl w:val="9"/>
        <w:rPr>
          <w:rFonts w:ascii="宋体" w:eastAsia="宋体" w:hint="eastAsia"/>
          <w:szCs w:val="32"/>
        </w:rPr>
      </w:pPr>
      <w:r>
        <w:rPr>
          <w:rFonts w:ascii="宋体" w:eastAsia="宋体" w:hint="eastAsia"/>
          <w:szCs w:val="32"/>
          <w:lang w:eastAsia="zh-CN"/>
        </w:rPr>
        <w:t>开标一览表格式</w:t>
      </w:r>
    </w:p>
    <w:p>
      <w:pPr>
        <w:pStyle w:val="86"/>
        <w:ind w:firstLine="210" w:firstLineChars="100"/>
        <w:rPr>
          <w:rFonts w:ascii="微软雅黑" w:eastAsia="微软雅黑" w:cs="微软雅黑" w:hint="eastAsia"/>
          <w:sz w:val="21"/>
          <w:szCs w:val="21"/>
        </w:rPr>
      </w:pPr>
      <w:bookmarkStart w:id="55" w:name="gxebdItem_unprotect_1"/>
      <w:bookmarkStart w:id="56" w:name="_Ref462505451"/>
      <w:r>
        <w:rPr>
          <w:rFonts w:ascii="微软雅黑" w:eastAsia="微软雅黑" w:cs="微软雅黑" w:hint="eastAsia"/>
          <w:sz w:val="21"/>
          <w:szCs w:val="21"/>
          <w:lang w:bidi="ar-SA"/>
        </w:rPr>
        <w:t>注: 投标人在提交投标文件时，应按照投标工具的提示流程编制提交开标一览表，投标文件中无需额外提供开标一览表。</w:t>
      </w:r>
    </w:p>
    <w:p>
      <w:pPr>
        <w:pStyle w:val="186810"/>
        <w:autoSpaceDN w:val="0"/>
        <w:rPr>
          <w:rFonts w:ascii="宋体" w:eastAsia="宋体" w:hint="eastAsia"/>
          <w:sz w:val="24"/>
          <w:szCs w:val="24"/>
        </w:rPr>
      </w:pPr>
      <w:bookmarkEnd w:id="55"/>
      <w:bookmarkEnd w:id="56"/>
    </w:p>
    <w:p>
      <w:pPr>
        <w:pStyle w:val="186810"/>
        <w:autoSpaceDN w:val="0"/>
        <w:spacing w:line="360" w:lineRule="auto"/>
        <w:rPr>
          <w:rFonts w:ascii="宋体" w:eastAsia="宋体" w:hint="eastAsia"/>
          <w:sz w:val="24"/>
          <w:szCs w:val="24"/>
          <w:u w:val="single"/>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hint="eastAsia"/>
          <w:sz w:val="24"/>
          <w:szCs w:val="24"/>
        </w:rPr>
      </w:pPr>
      <w:r>
        <w:rPr>
          <w:rFonts w:ascii="宋体" w:eastAsia="宋体" w:hint="eastAsia"/>
          <w:sz w:val="24"/>
          <w:szCs w:val="24"/>
          <w:u w:val="single"/>
          <w:lang w:eastAsia="zh-CN"/>
        </w:rPr>
        <w:t>投标人名称：</w:t>
      </w:r>
    </w:p>
    <w:tbl>
      <w:tblPr>
        <w:tblStyle w:val="TableNormal"/>
        <w:tblpPr w:leftFromText="180" w:rightFromText="180" w:vertAnchor="text" w:horzAnchor="page" w:tblpX="1304" w:tblpY="187"/>
        <w:tblOverlap w:val="never"/>
        <w:tblW w:w="5899" w:type="pct"/>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0" w:type="dxa"/>
          <w:left w:w="28" w:type="dxa"/>
          <w:bottom w:w="0" w:type="dxa"/>
          <w:right w:w="28" w:type="dxa"/>
        </w:tblCellMar>
      </w:tblPr>
      <w:tblGrid>
        <w:gridCol w:w="891"/>
        <w:gridCol w:w="763"/>
        <w:gridCol w:w="527"/>
        <w:gridCol w:w="527"/>
        <w:gridCol w:w="527"/>
        <w:gridCol w:w="2831"/>
        <w:gridCol w:w="1306"/>
        <w:gridCol w:w="1395"/>
        <w:gridCol w:w="999"/>
      </w:tblGrid>
      <w:tr>
        <w:tblPrEx>
          <w:tblW w:w="5899" w:type="pct"/>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0" w:type="dxa"/>
            <w:left w:w="28" w:type="dxa"/>
            <w:bottom w:w="0" w:type="dxa"/>
            <w:right w:w="28" w:type="dxa"/>
          </w:tblCellMar>
        </w:tblPrEx>
        <w:trPr>
          <w:trHeight w:val="1126"/>
        </w:trPr>
        <w:tc>
          <w:tcPr>
            <w:tcW w:w="900" w:type="dxa"/>
            <w:tcBorders>
              <w:top w:val="single" w:sz="12" w:space="0" w:color="auto"/>
              <w:left w:val="single" w:sz="12" w:space="0" w:color="auto"/>
              <w:bottom w:val="single" w:sz="6" w:space="0" w:color="auto"/>
              <w:right w:val="single" w:sz="6" w:space="0" w:color="auto"/>
              <w:tl2br w:val="nil"/>
              <w:tr2bl w:val="nil"/>
            </w:tcBorders>
            <w:vAlign w:val="center"/>
          </w:tcPr>
          <w:p>
            <w:pPr>
              <w:pStyle w:val="194710"/>
              <w:jc w:val="center"/>
              <w:rPr>
                <w:rFonts w:eastAsia="微软雅黑"/>
                <w:sz w:val="24"/>
              </w:rPr>
            </w:pPr>
            <w:r>
              <w:rPr>
                <w:rFonts w:hint="eastAsia"/>
                <w:sz w:val="24"/>
              </w:rPr>
              <w:t>货物名称</w:t>
            </w:r>
          </w:p>
        </w:tc>
        <w:tc>
          <w:tcPr>
            <w:tcW w:w="771" w:type="dxa"/>
            <w:tcBorders>
              <w:top w:val="single" w:sz="12" w:space="0" w:color="auto"/>
              <w:left w:val="single" w:sz="6" w:space="0" w:color="auto"/>
              <w:bottom w:val="single" w:sz="6" w:space="0" w:color="auto"/>
              <w:right w:val="single" w:sz="6" w:space="0" w:color="auto"/>
              <w:tl2br w:val="nil"/>
              <w:tr2bl w:val="nil"/>
            </w:tcBorders>
            <w:vAlign w:val="center"/>
          </w:tcPr>
          <w:p>
            <w:pPr>
              <w:pStyle w:val="194610"/>
              <w:jc w:val="center"/>
              <w:rPr>
                <w:rFonts w:hint="eastAsia"/>
                <w:sz w:val="24"/>
              </w:rPr>
            </w:pPr>
            <w:r>
              <w:rPr>
                <w:sz w:val="24"/>
              </w:rPr>
              <w:t>品牌</w:t>
            </w:r>
          </w:p>
        </w:tc>
        <w:tc>
          <w:tcPr>
            <w:tcW w:w="532" w:type="dxa"/>
            <w:tcBorders>
              <w:top w:val="single" w:sz="12" w:space="0" w:color="auto"/>
              <w:left w:val="single" w:sz="6" w:space="0" w:color="auto"/>
              <w:bottom w:val="single" w:sz="6" w:space="0" w:color="auto"/>
              <w:right w:val="single" w:sz="6" w:space="0" w:color="auto"/>
              <w:tl2br w:val="nil"/>
              <w:tr2bl w:val="nil"/>
            </w:tcBorders>
            <w:vAlign w:val="center"/>
          </w:tcPr>
          <w:p>
            <w:pPr>
              <w:pStyle w:val="194510"/>
              <w:jc w:val="center"/>
              <w:rPr>
                <w:sz w:val="24"/>
              </w:rPr>
            </w:pPr>
            <w:r>
              <w:rPr>
                <w:sz w:val="24"/>
              </w:rPr>
              <w:t>型号</w:t>
            </w:r>
          </w:p>
        </w:tc>
        <w:tc>
          <w:tcPr>
            <w:tcW w:w="532" w:type="dxa"/>
            <w:tcBorders>
              <w:top w:val="single" w:sz="12" w:space="0" w:color="auto"/>
              <w:left w:val="single" w:sz="6" w:space="0" w:color="auto"/>
              <w:bottom w:val="single" w:sz="6" w:space="0" w:color="auto"/>
              <w:right w:val="single" w:sz="6" w:space="0" w:color="auto"/>
              <w:tl2br w:val="nil"/>
              <w:tr2bl w:val="nil"/>
            </w:tcBorders>
            <w:vAlign w:val="center"/>
          </w:tcPr>
          <w:p>
            <w:pPr>
              <w:pStyle w:val="194410"/>
              <w:jc w:val="center"/>
              <w:rPr>
                <w:sz w:val="24"/>
              </w:rPr>
            </w:pPr>
            <w:r>
              <w:rPr>
                <w:rFonts w:hint="eastAsia"/>
                <w:sz w:val="24"/>
              </w:rPr>
              <w:t>数量</w:t>
            </w:r>
          </w:p>
        </w:tc>
        <w:tc>
          <w:tcPr>
            <w:tcW w:w="532" w:type="dxa"/>
            <w:tcBorders>
              <w:top w:val="single" w:sz="12" w:space="0" w:color="auto"/>
              <w:left w:val="single" w:sz="6" w:space="0" w:color="auto"/>
              <w:bottom w:val="single" w:sz="6" w:space="0" w:color="auto"/>
              <w:right w:val="single" w:sz="6" w:space="0" w:color="auto"/>
              <w:tl2br w:val="nil"/>
              <w:tr2bl w:val="nil"/>
            </w:tcBorders>
            <w:vAlign w:val="center"/>
          </w:tcPr>
          <w:p>
            <w:pPr>
              <w:pStyle w:val="194310"/>
              <w:jc w:val="center"/>
              <w:rPr>
                <w:rFonts w:hint="eastAsia"/>
                <w:sz w:val="24"/>
              </w:rPr>
            </w:pPr>
            <w:r>
              <w:rPr>
                <w:sz w:val="24"/>
              </w:rPr>
              <w:t>单价</w:t>
            </w:r>
          </w:p>
        </w:tc>
        <w:tc>
          <w:tcPr>
            <w:tcW w:w="2861" w:type="dxa"/>
            <w:tcBorders>
              <w:top w:val="single" w:sz="12" w:space="0" w:color="auto"/>
              <w:left w:val="single" w:sz="6" w:space="0" w:color="auto"/>
              <w:bottom w:val="single" w:sz="6" w:space="0" w:color="auto"/>
              <w:right w:val="single" w:sz="6" w:space="0" w:color="auto"/>
              <w:tl2br w:val="nil"/>
              <w:tr2bl w:val="nil"/>
            </w:tcBorders>
            <w:vAlign w:val="center"/>
          </w:tcPr>
          <w:p>
            <w:pPr>
              <w:pStyle w:val="194210"/>
              <w:jc w:val="center"/>
              <w:rPr>
                <w:rFonts w:hint="eastAsia"/>
                <w:sz w:val="24"/>
              </w:rPr>
            </w:pPr>
            <w:r>
              <w:rPr>
                <w:rFonts w:hint="eastAsia"/>
                <w:sz w:val="24"/>
              </w:rPr>
              <w:t>投标总价</w:t>
            </w:r>
          </w:p>
          <w:p>
            <w:pPr>
              <w:pStyle w:val="194210"/>
              <w:jc w:val="center"/>
              <w:rPr>
                <w:rFonts w:hint="eastAsia"/>
                <w:sz w:val="24"/>
              </w:rPr>
            </w:pPr>
            <w:r>
              <w:rPr>
                <w:rFonts w:hint="eastAsia"/>
                <w:sz w:val="24"/>
              </w:rPr>
              <w:t>（人民币：元）</w:t>
            </w:r>
          </w:p>
        </w:tc>
        <w:tc>
          <w:tcPr>
            <w:tcW w:w="1320" w:type="dxa"/>
            <w:tcBorders>
              <w:top w:val="single" w:sz="12" w:space="0" w:color="auto"/>
              <w:left w:val="single" w:sz="6" w:space="0" w:color="auto"/>
              <w:bottom w:val="single" w:sz="6" w:space="0" w:color="auto"/>
              <w:right w:val="single" w:sz="6" w:space="0" w:color="auto"/>
              <w:tl2br w:val="nil"/>
              <w:tr2bl w:val="nil"/>
            </w:tcBorders>
            <w:vAlign w:val="center"/>
          </w:tcPr>
          <w:p>
            <w:pPr>
              <w:pStyle w:val="194110"/>
              <w:jc w:val="center"/>
              <w:rPr>
                <w:sz w:val="24"/>
              </w:rPr>
            </w:pPr>
            <w:r>
              <w:rPr>
                <w:rFonts w:hint="eastAsia"/>
                <w:sz w:val="24"/>
              </w:rPr>
              <w:t>交货期</w:t>
            </w:r>
          </w:p>
          <w:p>
            <w:pPr>
              <w:pStyle w:val="194110"/>
              <w:jc w:val="center"/>
              <w:rPr>
                <w:rFonts w:hint="eastAsia"/>
                <w:sz w:val="24"/>
              </w:rPr>
            </w:pPr>
            <w:r>
              <w:rPr>
                <w:rFonts w:hint="eastAsia"/>
                <w:sz w:val="24"/>
              </w:rPr>
              <w:t>（含验收）</w:t>
            </w:r>
          </w:p>
        </w:tc>
        <w:tc>
          <w:tcPr>
            <w:tcW w:w="1410" w:type="dxa"/>
            <w:tcBorders>
              <w:top w:val="single" w:sz="12" w:space="0" w:color="auto"/>
              <w:left w:val="single" w:sz="6" w:space="0" w:color="auto"/>
              <w:bottom w:val="single" w:sz="6" w:space="0" w:color="auto"/>
              <w:right w:val="single" w:sz="6" w:space="0" w:color="auto"/>
              <w:tl2br w:val="nil"/>
              <w:tr2bl w:val="nil"/>
            </w:tcBorders>
            <w:vAlign w:val="center"/>
          </w:tcPr>
          <w:p>
            <w:pPr>
              <w:pStyle w:val="194010"/>
              <w:jc w:val="center"/>
              <w:rPr>
                <w:rFonts w:hint="eastAsia"/>
                <w:sz w:val="24"/>
              </w:rPr>
            </w:pPr>
            <w:r>
              <w:rPr>
                <w:rFonts w:hint="eastAsia"/>
                <w:sz w:val="24"/>
              </w:rPr>
              <w:t>质保期</w:t>
            </w:r>
          </w:p>
        </w:tc>
        <w:tc>
          <w:tcPr>
            <w:tcW w:w="1009" w:type="dxa"/>
            <w:tcBorders>
              <w:top w:val="single" w:sz="12" w:space="0" w:color="auto"/>
              <w:left w:val="single" w:sz="6" w:space="0" w:color="auto"/>
              <w:bottom w:val="single" w:sz="6" w:space="0" w:color="auto"/>
              <w:right w:val="single" w:sz="12" w:space="0" w:color="auto"/>
              <w:tl2br w:val="nil"/>
              <w:tr2bl w:val="nil"/>
            </w:tcBorders>
            <w:vAlign w:val="center"/>
          </w:tcPr>
          <w:p>
            <w:pPr>
              <w:pStyle w:val="193910"/>
              <w:jc w:val="center"/>
              <w:rPr>
                <w:rFonts w:hint="eastAsia"/>
                <w:sz w:val="24"/>
              </w:rPr>
            </w:pPr>
            <w:r>
              <w:rPr>
                <w:sz w:val="24"/>
              </w:rPr>
              <w:t>中小企业</w:t>
            </w:r>
          </w:p>
        </w:tc>
      </w:tr>
      <w:tr>
        <w:tblPrEx>
          <w:tblW w:w="5899" w:type="pct"/>
          <w:tblCellMar>
            <w:top w:w="0" w:type="dxa"/>
            <w:left w:w="28" w:type="dxa"/>
            <w:bottom w:w="0" w:type="dxa"/>
            <w:right w:w="28" w:type="dxa"/>
          </w:tblCellMar>
        </w:tblPrEx>
        <w:trPr>
          <w:trHeight w:val="1710"/>
        </w:trPr>
        <w:tc>
          <w:tcPr>
            <w:tcW w:w="900" w:type="dxa"/>
            <w:tcBorders>
              <w:top w:val="single" w:sz="6" w:space="0" w:color="auto"/>
              <w:left w:val="single" w:sz="12" w:space="0" w:color="auto"/>
              <w:bottom w:val="single" w:sz="12" w:space="0" w:color="auto"/>
              <w:right w:val="single" w:sz="6" w:space="0" w:color="auto"/>
              <w:tl2br w:val="nil"/>
              <w:tr2bl w:val="nil"/>
            </w:tcBorders>
            <w:vAlign w:val="center"/>
          </w:tcPr>
          <w:p>
            <w:pPr>
              <w:pStyle w:val="193810"/>
              <w:jc w:val="center"/>
              <w:rPr>
                <w:rFonts w:hint="eastAsia"/>
                <w:sz w:val="24"/>
              </w:rPr>
            </w:pPr>
          </w:p>
        </w:tc>
        <w:tc>
          <w:tcPr>
            <w:tcW w:w="771" w:type="dxa"/>
            <w:tcBorders>
              <w:top w:val="single" w:sz="6" w:space="0" w:color="auto"/>
              <w:left w:val="single" w:sz="6" w:space="0" w:color="auto"/>
              <w:bottom w:val="single" w:sz="12" w:space="0" w:color="auto"/>
              <w:right w:val="single" w:sz="6" w:space="0" w:color="auto"/>
              <w:tl2br w:val="nil"/>
              <w:tr2bl w:val="nil"/>
            </w:tcBorders>
            <w:vAlign w:val="center"/>
          </w:tcPr>
          <w:p>
            <w:pPr>
              <w:pStyle w:val="193710"/>
              <w:jc w:val="center"/>
              <w:rPr>
                <w:rFonts w:hint="eastAsia"/>
                <w:sz w:val="24"/>
              </w:rPr>
            </w:pPr>
          </w:p>
        </w:tc>
        <w:tc>
          <w:tcPr>
            <w:tcW w:w="532" w:type="dxa"/>
            <w:tcBorders>
              <w:top w:val="single" w:sz="6" w:space="0" w:color="auto"/>
              <w:left w:val="single" w:sz="6" w:space="0" w:color="auto"/>
              <w:bottom w:val="single" w:sz="12" w:space="0" w:color="auto"/>
              <w:right w:val="single" w:sz="6" w:space="0" w:color="auto"/>
              <w:tl2br w:val="nil"/>
              <w:tr2bl w:val="nil"/>
            </w:tcBorders>
            <w:vAlign w:val="center"/>
          </w:tcPr>
          <w:p>
            <w:pPr>
              <w:pStyle w:val="193610"/>
              <w:jc w:val="center"/>
              <w:rPr>
                <w:sz w:val="24"/>
              </w:rPr>
            </w:pPr>
          </w:p>
        </w:tc>
        <w:tc>
          <w:tcPr>
            <w:tcW w:w="532" w:type="dxa"/>
            <w:tcBorders>
              <w:top w:val="single" w:sz="6" w:space="0" w:color="auto"/>
              <w:left w:val="single" w:sz="6" w:space="0" w:color="auto"/>
              <w:bottom w:val="single" w:sz="12" w:space="0" w:color="auto"/>
              <w:right w:val="single" w:sz="6" w:space="0" w:color="auto"/>
              <w:tl2br w:val="nil"/>
              <w:tr2bl w:val="nil"/>
            </w:tcBorders>
            <w:vAlign w:val="center"/>
          </w:tcPr>
          <w:p>
            <w:pPr>
              <w:pStyle w:val="193510"/>
              <w:jc w:val="center"/>
              <w:rPr>
                <w:sz w:val="24"/>
              </w:rPr>
            </w:pPr>
          </w:p>
        </w:tc>
        <w:tc>
          <w:tcPr>
            <w:tcW w:w="532" w:type="dxa"/>
            <w:tcBorders>
              <w:top w:val="single" w:sz="6" w:space="0" w:color="auto"/>
              <w:left w:val="single" w:sz="6" w:space="0" w:color="auto"/>
              <w:bottom w:val="single" w:sz="12" w:space="0" w:color="auto"/>
              <w:right w:val="single" w:sz="6" w:space="0" w:color="auto"/>
              <w:tl2br w:val="nil"/>
              <w:tr2bl w:val="nil"/>
            </w:tcBorders>
            <w:vAlign w:val="center"/>
          </w:tcPr>
          <w:p>
            <w:pPr>
              <w:pStyle w:val="193410"/>
              <w:jc w:val="center"/>
              <w:rPr>
                <w:rFonts w:hint="eastAsia"/>
                <w:sz w:val="24"/>
              </w:rPr>
            </w:pPr>
          </w:p>
        </w:tc>
        <w:tc>
          <w:tcPr>
            <w:tcW w:w="2861" w:type="dxa"/>
            <w:tcBorders>
              <w:top w:val="single" w:sz="6" w:space="0" w:color="auto"/>
              <w:left w:val="single" w:sz="6" w:space="0" w:color="auto"/>
              <w:bottom w:val="single" w:sz="12" w:space="0" w:color="auto"/>
              <w:right w:val="single" w:sz="6" w:space="0" w:color="auto"/>
              <w:tl2br w:val="nil"/>
              <w:tr2bl w:val="nil"/>
            </w:tcBorders>
            <w:vAlign w:val="center"/>
          </w:tcPr>
          <w:p>
            <w:pPr>
              <w:pStyle w:val="1933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1933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320" w:type="dxa"/>
            <w:tcBorders>
              <w:top w:val="single" w:sz="6" w:space="0" w:color="auto"/>
              <w:left w:val="single" w:sz="6" w:space="0" w:color="auto"/>
              <w:bottom w:val="single" w:sz="12" w:space="0" w:color="auto"/>
              <w:right w:val="single" w:sz="6" w:space="0" w:color="auto"/>
              <w:tl2br w:val="nil"/>
              <w:tr2bl w:val="nil"/>
            </w:tcBorders>
            <w:vAlign w:val="center"/>
          </w:tcPr>
          <w:p>
            <w:pPr>
              <w:pStyle w:val="193210"/>
              <w:rPr>
                <w:rFonts w:hint="eastAsia"/>
                <w:sz w:val="24"/>
              </w:rPr>
            </w:pPr>
          </w:p>
        </w:tc>
        <w:tc>
          <w:tcPr>
            <w:tcW w:w="1410" w:type="dxa"/>
            <w:tcBorders>
              <w:top w:val="single" w:sz="6" w:space="0" w:color="auto"/>
              <w:left w:val="single" w:sz="6" w:space="0" w:color="auto"/>
              <w:bottom w:val="single" w:sz="12" w:space="0" w:color="auto"/>
              <w:right w:val="single" w:sz="6" w:space="0" w:color="auto"/>
              <w:tl2br w:val="nil"/>
              <w:tr2bl w:val="nil"/>
            </w:tcBorders>
            <w:vAlign w:val="center"/>
          </w:tcPr>
          <w:p>
            <w:pPr>
              <w:pStyle w:val="193110"/>
              <w:rPr>
                <w:rFonts w:hint="eastAsia"/>
                <w:sz w:val="24"/>
              </w:rPr>
            </w:pPr>
          </w:p>
        </w:tc>
        <w:tc>
          <w:tcPr>
            <w:tcW w:w="1009" w:type="dxa"/>
            <w:tcBorders>
              <w:top w:val="single" w:sz="6" w:space="0" w:color="auto"/>
              <w:left w:val="single" w:sz="6" w:space="0" w:color="auto"/>
              <w:bottom w:val="single" w:sz="12" w:space="0" w:color="auto"/>
              <w:right w:val="single" w:sz="12" w:space="0" w:color="auto"/>
              <w:tl2br w:val="nil"/>
              <w:tr2bl w:val="nil"/>
            </w:tcBorders>
            <w:vAlign w:val="center"/>
          </w:tcPr>
          <w:p>
            <w:pPr>
              <w:pStyle w:val="193010"/>
              <w:rPr>
                <w:rFonts w:hint="eastAsia"/>
                <w:sz w:val="24"/>
              </w:rPr>
            </w:pPr>
          </w:p>
        </w:tc>
      </w:tr>
      <w:tr>
        <w:tblPrEx>
          <w:tblW w:w="5899" w:type="pct"/>
          <w:tblCellMar>
            <w:top w:w="0" w:type="dxa"/>
            <w:left w:w="28" w:type="dxa"/>
            <w:bottom w:w="0" w:type="dxa"/>
            <w:right w:w="28" w:type="dxa"/>
          </w:tblCellMar>
        </w:tblPrEx>
        <w:trPr>
          <w:trHeight w:val="1710"/>
        </w:trPr>
        <w:tc>
          <w:tcPr>
            <w:tcW w:w="9867" w:type="dxa"/>
            <w:gridSpan w:val="9"/>
            <w:tcBorders>
              <w:top w:val="single" w:sz="6" w:space="0" w:color="auto"/>
              <w:left w:val="single" w:sz="12" w:space="0" w:color="auto"/>
              <w:bottom w:val="single" w:sz="12" w:space="0" w:color="auto"/>
              <w:right w:val="single" w:sz="12" w:space="0" w:color="auto"/>
              <w:tl2br w:val="nil"/>
              <w:tr2bl w:val="nil"/>
            </w:tcBorders>
            <w:vAlign w:val="center"/>
          </w:tcPr>
          <w:p>
            <w:pPr>
              <w:pStyle w:val="192910"/>
              <w:rPr>
                <w:sz w:val="24"/>
              </w:rPr>
            </w:pPr>
            <w:r>
              <w:rPr>
                <w:sz w:val="24"/>
              </w:rPr>
              <w:t>特别说明事项：</w:t>
            </w:r>
          </w:p>
        </w:tc>
      </w:tr>
    </w:tbl>
    <w:p>
      <w:pPr>
        <w:spacing w:line="360" w:lineRule="auto"/>
        <w:rPr>
          <w:rFonts w:ascii="宋体" w:hint="eastAsia"/>
          <w:sz w:val="22"/>
        </w:rPr>
      </w:pPr>
      <w:r>
        <w:rPr>
          <w:rFonts w:ascii="宋体" w:hint="eastAsia"/>
          <w:sz w:val="22"/>
        </w:rPr>
        <w:t>投标人声明：开标一览表中的“投标总价”是投标货物及相关服务等全部费用的报价。</w:t>
      </w: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pStyle w:val="186910"/>
        <w:autoSpaceDN w:val="0"/>
        <w:spacing w:line="360" w:lineRule="auto"/>
        <w:rPr>
          <w:rFonts w:ascii="宋体" w:eastAsia="宋体" w:hint="eastAsia"/>
          <w:sz w:val="24"/>
          <w:szCs w:val="24"/>
        </w:rPr>
      </w:pPr>
      <w:r>
        <w:rPr>
          <w:rFonts w:ascii="宋体" w:eastAsia="宋体" w:hint="eastAsia"/>
          <w:sz w:val="24"/>
          <w:szCs w:val="24"/>
          <w:lang w:eastAsia="zh-CN"/>
        </w:rPr>
        <w:t>投标人名称(电子签章)：</w:t>
      </w:r>
    </w:p>
    <w:p>
      <w:pPr>
        <w:pStyle w:val="186910"/>
        <w:autoSpaceDN w:val="0"/>
        <w:spacing w:line="360" w:lineRule="auto"/>
        <w:rPr>
          <w:rFonts w:ascii="宋体" w:eastAsia="宋体" w:hint="eastAsia"/>
          <w:sz w:val="24"/>
          <w:szCs w:val="24"/>
        </w:rPr>
      </w:pPr>
      <w:r>
        <w:rPr>
          <w:rFonts w:ascii="宋体" w:eastAsia="宋体" w:hint="eastAsia"/>
          <w:sz w:val="24"/>
          <w:szCs w:val="24"/>
          <w:lang w:eastAsia="zh-CN"/>
        </w:rPr>
        <w:t>投标人代表（签字）：</w:t>
      </w:r>
    </w:p>
    <w:p>
      <w:pPr>
        <w:pStyle w:val="186910"/>
        <w:autoSpaceDN w:val="0"/>
        <w:spacing w:line="360" w:lineRule="auto"/>
        <w:rPr>
          <w:rFonts w:ascii="宋体" w:eastAsia="宋体" w:hint="eastAsia"/>
          <w:sz w:val="24"/>
          <w:szCs w:val="24"/>
        </w:rPr>
      </w:pPr>
      <w:r>
        <w:rPr>
          <w:rFonts w:ascii="宋体" w:eastAsia="宋体" w:hint="eastAsia"/>
          <w:sz w:val="24"/>
          <w:szCs w:val="24"/>
          <w:lang w:eastAsia="zh-CN"/>
        </w:rPr>
        <w:t xml:space="preserve">日期：     </w:t>
      </w:r>
    </w:p>
    <w:p>
      <w:pPr>
        <w:pStyle w:val="183310"/>
        <w:spacing w:line="360" w:lineRule="auto"/>
        <w:ind w:firstLine="720" w:firstLineChars="200"/>
        <w:jc w:val="center"/>
        <w:rPr>
          <w:rFonts w:ascii="黑体" w:eastAsia="黑体" w:hint="eastAsia"/>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ind w:firstLine="480" w:firstLineChars="200"/>
        <w:rPr>
          <w:rFonts w:ascii="Times New Roman" w:hAnsi="Times New Roman"/>
          <w:b/>
          <w:kern w:val="0"/>
          <w:sz w:val="24"/>
          <w:szCs w:val="21"/>
          <w:highlight w:val="none"/>
        </w:rPr>
      </w:pPr>
      <w:r>
        <w:rPr>
          <w:rFonts w:ascii="Times New Roman" w:hAnsi="Times New Roman"/>
          <w:b/>
          <w:kern w:val="0"/>
          <w:sz w:val="24"/>
          <w:szCs w:val="21"/>
          <w:highlight w:val="none"/>
        </w:rPr>
        <w:t>一、投标人资格审查一览表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hint="eastAsia"/>
          <w:b/>
          <w:kern w:val="0"/>
          <w:sz w:val="24"/>
          <w:szCs w:val="21"/>
          <w:highlight w:val="none"/>
        </w:rPr>
        <w:t>投标人承诺：本投标人具备《政府采购法》第二十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w:t>
      </w:r>
      <w:r>
        <w:rPr>
          <w:rFonts w:ascii="Times New Roman" w:hAnsi="Times New Roman" w:hint="eastAsia"/>
          <w:b/>
          <w:kern w:val="0"/>
          <w:sz w:val="24"/>
          <w:szCs w:val="21"/>
        </w:rPr>
        <w:t>符合《政府采购法实施条例》第十七条、第十八条的规定</w:t>
      </w:r>
      <w:r>
        <w:rPr>
          <w:rFonts w:ascii="Times New Roman" w:hAnsi="Times New Roman" w:hint="eastAsia"/>
          <w:b/>
          <w:kern w:val="0"/>
          <w:sz w:val="24"/>
          <w:szCs w:val="21"/>
          <w:highlight w:val="none"/>
        </w:rPr>
        <w:t>，不存在《政府采购法》第七十七条规定的情形。如有违反，愿依法接受相应的处罚。</w:t>
      </w:r>
    </w:p>
    <w:tbl>
      <w:tblPr>
        <w:tblStyle w:val="TableNormal"/>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354"/>
        <w:gridCol w:w="1260"/>
      </w:tblGrid>
      <w:tr>
        <w:tblPrEx>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序号</w:t>
            </w:r>
          </w:p>
        </w:tc>
        <w:tc>
          <w:tcPr>
            <w:tcW w:w="7354" w:type="dxa"/>
            <w:tcBorders>
              <w:tl2br w:val="nil"/>
              <w:tr2bl w:val="nil"/>
            </w:tcBorders>
            <w:vAlign w:val="center"/>
          </w:tcPr>
          <w:p>
            <w:pPr>
              <w:pStyle w:val="234"/>
              <w:jc w:val="center"/>
              <w:rPr>
                <w:rFonts w:hint="eastAsia"/>
              </w:rPr>
            </w:pPr>
            <w:r>
              <w:t>内容</w:t>
            </w:r>
          </w:p>
        </w:tc>
        <w:tc>
          <w:tcPr>
            <w:tcW w:w="1260" w:type="dxa"/>
            <w:tcBorders>
              <w:tl2br w:val="nil"/>
              <w:tr2bl w:val="nil"/>
            </w:tcBorders>
            <w:vAlign w:val="center"/>
          </w:tcPr>
          <w:p>
            <w:pPr>
              <w:pStyle w:val="234"/>
              <w:jc w:val="center"/>
              <w:rPr>
                <w:rFonts w:hint="eastAsia"/>
              </w:rPr>
            </w:pPr>
            <w:r>
              <w:rPr>
                <w:rFonts w:hint="eastAsia"/>
              </w:rPr>
              <w:t>投标人承诺</w:t>
            </w:r>
            <w:r>
              <w:rPr>
                <w:highlight w:val="none"/>
              </w:rPr>
              <w:t>（是/否）</w:t>
            </w: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1</w:t>
            </w:r>
          </w:p>
        </w:tc>
        <w:tc>
          <w:tcPr>
            <w:tcW w:w="7354" w:type="dxa"/>
            <w:tcBorders>
              <w:tl2br w:val="nil"/>
              <w:tr2bl w:val="nil"/>
            </w:tcBorders>
            <w:vAlign w:val="center"/>
          </w:tcPr>
          <w:p>
            <w:pPr>
              <w:pStyle w:val="234"/>
              <w:jc w:val="left"/>
              <w:rPr>
                <w:rFonts w:hint="eastAsia"/>
              </w:rPr>
            </w:pPr>
            <w:r>
              <w:rPr>
                <w:rFonts w:hint="eastAsia"/>
              </w:rPr>
              <w:t>具有有效的营业执照或事业单位法人或自然人的身份证明</w:t>
            </w:r>
          </w:p>
        </w:tc>
        <w:tc>
          <w:tcPr>
            <w:tcW w:w="1260" w:type="dxa"/>
            <w:tcBorders>
              <w:tl2br w:val="nil"/>
              <w:tr2bl w:val="nil"/>
            </w:tcBorders>
            <w:vAlign w:val="center"/>
          </w:tcPr>
          <w:p>
            <w:pPr>
              <w:pStyle w:val="234"/>
              <w:jc w:val="center"/>
              <w:rPr>
                <w:rFonts w:hint="eastAsia"/>
              </w:rP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2</w:t>
            </w:r>
          </w:p>
        </w:tc>
        <w:tc>
          <w:tcPr>
            <w:tcW w:w="7354" w:type="dxa"/>
            <w:tcBorders>
              <w:tl2br w:val="nil"/>
              <w:tr2bl w:val="nil"/>
            </w:tcBorders>
            <w:vAlign w:val="center"/>
          </w:tcPr>
          <w:p>
            <w:pPr>
              <w:pStyle w:val="234"/>
              <w:jc w:val="left"/>
              <w:rPr>
                <w:rFonts w:hint="eastAsia"/>
              </w:rPr>
            </w:pPr>
            <w:r>
              <w:rPr>
                <w:rFonts w:hint="eastAsia"/>
              </w:rPr>
              <w:t>具有</w:t>
            </w:r>
            <w:r>
              <w:t>良好的商业信誉</w:t>
            </w:r>
          </w:p>
        </w:tc>
        <w:tc>
          <w:tcPr>
            <w:tcW w:w="1260" w:type="dxa"/>
            <w:tcBorders>
              <w:tl2br w:val="nil"/>
              <w:tr2bl w:val="nil"/>
            </w:tcBorders>
            <w:vAlign w:val="center"/>
          </w:tcPr>
          <w:p>
            <w:pPr>
              <w:pStyle w:val="234"/>
              <w:jc w:val="center"/>
              <w:rPr>
                <w:rFonts w:hint="eastAsia"/>
              </w:rP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3</w:t>
            </w:r>
          </w:p>
        </w:tc>
        <w:tc>
          <w:tcPr>
            <w:tcW w:w="7354" w:type="dxa"/>
            <w:tcBorders>
              <w:tl2br w:val="nil"/>
              <w:tr2bl w:val="nil"/>
            </w:tcBorders>
            <w:vAlign w:val="center"/>
          </w:tcPr>
          <w:p>
            <w:pPr>
              <w:pStyle w:val="234"/>
              <w:jc w:val="left"/>
              <w:rPr>
                <w:rFonts w:hint="eastAsia"/>
              </w:rPr>
            </w:pPr>
            <w:r>
              <w:rPr>
                <w:rFonts w:hint="eastAsia"/>
              </w:rPr>
              <w:t>具有依法缴纳</w:t>
            </w:r>
            <w:r>
              <w:t>税收</w:t>
            </w:r>
            <w:r>
              <w:rPr>
                <w:rFonts w:hint="eastAsia"/>
              </w:rPr>
              <w:t>和社会保障资金的良好记录</w:t>
            </w:r>
          </w:p>
        </w:tc>
        <w:tc>
          <w:tcPr>
            <w:tcW w:w="1260" w:type="dxa"/>
            <w:tcBorders>
              <w:tl2br w:val="nil"/>
              <w:tr2bl w:val="nil"/>
            </w:tcBorders>
            <w:vAlign w:val="center"/>
          </w:tcPr>
          <w:p>
            <w:pPr>
              <w:pStyle w:val="234"/>
              <w:jc w:val="center"/>
              <w:rPr>
                <w:rFonts w:hint="eastAsia"/>
              </w:rPr>
            </w:pPr>
          </w:p>
        </w:tc>
      </w:tr>
      <w:tr>
        <w:tblPrEx>
          <w:tblW w:w="9388" w:type="dxa"/>
          <w:jc w:val="left"/>
          <w:tblInd w:w="393" w:type="dxa"/>
          <w:tblCellMar>
            <w:top w:w="0" w:type="dxa"/>
            <w:left w:w="108" w:type="dxa"/>
            <w:bottom w:w="0" w:type="dxa"/>
            <w:right w:w="108" w:type="dxa"/>
          </w:tblCellMar>
        </w:tblPrEx>
        <w:trPr>
          <w:trHeight w:val="634"/>
          <w:jc w:val="left"/>
        </w:trPr>
        <w:tc>
          <w:tcPr>
            <w:tcW w:w="774" w:type="dxa"/>
            <w:tcBorders>
              <w:tl2br w:val="nil"/>
              <w:tr2bl w:val="nil"/>
            </w:tcBorders>
            <w:vAlign w:val="center"/>
          </w:tcPr>
          <w:p>
            <w:pPr>
              <w:pStyle w:val="234"/>
              <w:jc w:val="center"/>
            </w:pPr>
            <w:r>
              <w:t>4</w:t>
            </w:r>
          </w:p>
        </w:tc>
        <w:tc>
          <w:tcPr>
            <w:tcW w:w="7354" w:type="dxa"/>
            <w:tcBorders>
              <w:tl2br w:val="nil"/>
              <w:tr2bl w:val="nil"/>
            </w:tcBorders>
            <w:vAlign w:val="center"/>
          </w:tcPr>
          <w:p>
            <w:pPr>
              <w:pStyle w:val="73"/>
            </w:pPr>
            <w:r>
              <w:rPr>
                <w:rFonts w:ascii="Times New Roman" w:hAnsi="Times New Roman"/>
                <w:kern w:val="0"/>
                <w:sz w:val="24"/>
                <w:szCs w:val="21"/>
                <w:highlight w:val="none"/>
              </w:rPr>
              <w:t>具有健全的财务会计制度</w:t>
            </w:r>
          </w:p>
        </w:tc>
        <w:tc>
          <w:tcPr>
            <w:tcW w:w="1260" w:type="dxa"/>
            <w:tcBorders>
              <w:right w:val="single" w:sz="4" w:space="0" w:color="auto"/>
              <w:tl2br w:val="nil"/>
              <w:tr2bl w:val="nil"/>
            </w:tcBorders>
            <w:vAlign w:val="center"/>
          </w:tcPr>
          <w:p>
            <w:pPr>
              <w:pStyle w:val="234"/>
              <w:jc w:val="cente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highlight w:val="none"/>
              </w:rPr>
            </w:pPr>
            <w:r>
              <w:rPr>
                <w:highlight w:val="none"/>
              </w:rPr>
              <w:t>5</w:t>
            </w:r>
          </w:p>
        </w:tc>
        <w:tc>
          <w:tcPr>
            <w:tcW w:w="7354" w:type="dxa"/>
            <w:tcBorders>
              <w:tl2br w:val="nil"/>
              <w:tr2bl w:val="nil"/>
            </w:tcBorders>
            <w:vAlign w:val="center"/>
          </w:tcPr>
          <w:p>
            <w:pPr>
              <w:pStyle w:val="234"/>
            </w:pPr>
            <w:r>
              <w:rPr>
                <w:rFonts w:ascii="Times New Roman" w:eastAsia="宋体" w:hAnsi="Times New Roman" w:hint="eastAsia"/>
                <w:bCs/>
                <w:sz w:val="24"/>
              </w:rPr>
              <w:t>在参加政府采购活动前三年内，在经营活动中没有重大违法记录</w:t>
            </w:r>
          </w:p>
        </w:tc>
        <w:tc>
          <w:tcPr>
            <w:tcW w:w="1260" w:type="dxa"/>
            <w:tcBorders>
              <w:right w:val="single" w:sz="4" w:space="0" w:color="auto"/>
              <w:tl2br w:val="nil"/>
              <w:tr2bl w:val="nil"/>
            </w:tcBorders>
            <w:vAlign w:val="center"/>
          </w:tcPr>
          <w:p>
            <w:pPr>
              <w:pStyle w:val="234"/>
              <w:jc w:val="center"/>
              <w:rPr>
                <w:highlight w:val="yellow"/>
              </w:rP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highlight w:val="none"/>
              </w:rPr>
              <w:t>6</w:t>
            </w:r>
          </w:p>
        </w:tc>
        <w:tc>
          <w:tcPr>
            <w:tcW w:w="7354" w:type="dxa"/>
            <w:tcBorders>
              <w:tl2br w:val="nil"/>
              <w:tr2bl w:val="nil"/>
            </w:tcBorders>
            <w:vAlign w:val="center"/>
          </w:tcPr>
          <w:p>
            <w:pPr>
              <w:pStyle w:val="234"/>
              <w:jc w:val="left"/>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l2br w:val="nil"/>
              <w:tr2bl w:val="nil"/>
            </w:tcBorders>
            <w:vAlign w:val="center"/>
          </w:tcPr>
          <w:p>
            <w:pPr>
              <w:pStyle w:val="234"/>
              <w:jc w:val="center"/>
              <w:rPr>
                <w:rFonts w:hint="eastAsia"/>
                <w:highlight w:val="yellow"/>
              </w:rPr>
            </w:pPr>
          </w:p>
        </w:tc>
      </w:tr>
    </w:tbl>
    <w:p>
      <w:pPr>
        <w:pStyle w:val="87"/>
        <w:spacing w:line="400" w:lineRule="exact"/>
        <w:ind w:left="1046" w:right="932" w:firstLine="0" w:leftChars="498" w:rightChars="444"/>
        <w:rPr>
          <w:rFonts w:ascii="微软雅黑" w:eastAsia="微软雅黑" w:cs="微软雅黑" w:hint="eastAsia"/>
          <w:sz w:val="21"/>
          <w:szCs w:val="21"/>
        </w:rPr>
      </w:pPr>
    </w:p>
    <w:p>
      <w:pPr>
        <w:pStyle w:val="87"/>
        <w:spacing w:line="400" w:lineRule="exact"/>
        <w:ind w:left="1046" w:right="932" w:firstLine="0" w:leftChars="498" w:rightChars="444"/>
        <w:rPr>
          <w:rFonts w:ascii="Times New Roman" w:hAnsi="Times New Roman" w:cs="微软雅黑"/>
          <w:szCs w:val="24"/>
          <w:bdr w:val="none" w:sz="0" w:space="0" w:color="auto"/>
        </w:rPr>
      </w:pPr>
      <w:r>
        <w:rPr>
          <w:rFonts w:ascii="微软雅黑" w:eastAsia="微软雅黑" w:cs="微软雅黑" w:hint="eastAsia"/>
          <w:sz w:val="21"/>
          <w:szCs w:val="21"/>
          <w:lang w:bidi="ar-SA"/>
        </w:rPr>
        <w:t xml:space="preserve">                               </w:t>
      </w:r>
      <w:r>
        <w:rPr>
          <w:rFonts w:ascii="微软雅黑" w:eastAsia="微软雅黑" w:cs="微软雅黑" w:hint="eastAsia"/>
          <w:sz w:val="21"/>
          <w:szCs w:val="21"/>
          <w:lang w:bidi="ar-SA"/>
        </w:rPr>
        <w:t xml:space="preserve"> </w:t>
      </w:r>
      <w:r>
        <w:rPr>
          <w:rFonts w:ascii="Times New Roman" w:eastAsia="宋体" w:hAnsi="Times New Roman" w:cs="微软雅黑" w:hint="eastAsia"/>
          <w:sz w:val="24"/>
          <w:szCs w:val="24"/>
          <w:bdr w:val="none" w:sz="0" w:space="0" w:color="auto"/>
          <w:lang w:bidi="ar-SA"/>
        </w:rPr>
        <w:t>投标人名称（</w:t>
      </w:r>
      <w:r>
        <w:rPr>
          <w:rFonts w:ascii="Times New Roman" w:hAnsi="Times New Roman" w:cs="微软雅黑"/>
          <w:szCs w:val="24"/>
          <w:bdr w:val="none" w:sz="0" w:space="0" w:color="auto"/>
          <w:lang w:bidi="ar-SA"/>
        </w:rPr>
        <w:t>电</w:t>
      </w:r>
      <w:r>
        <w:rPr>
          <w:rFonts w:ascii="Times New Roman" w:hAnsi="Times New Roman" w:cs="微软雅黑"/>
          <w:szCs w:val="24"/>
          <w:bdr w:val="none" w:sz="0" w:space="0" w:color="auto"/>
          <w:lang w:bidi="ar-SA"/>
        </w:rPr>
        <w:t>子</w:t>
      </w:r>
      <w:r>
        <w:rPr>
          <w:rFonts w:ascii="Times New Roman" w:hAnsi="Times New Roman" w:cs="微软雅黑"/>
          <w:szCs w:val="24"/>
          <w:bdr w:val="none" w:sz="0" w:space="0" w:color="auto"/>
          <w:lang w:bidi="ar-SA"/>
        </w:rPr>
        <w:t>签章</w:t>
      </w:r>
      <w:r>
        <w:rPr>
          <w:rFonts w:ascii="Times New Roman" w:eastAsia="宋体" w:hAnsi="Times New Roman" w:cs="微软雅黑" w:hint="eastAsia"/>
          <w:sz w:val="24"/>
          <w:szCs w:val="24"/>
          <w:bdr w:val="none" w:sz="0" w:space="0" w:color="auto"/>
          <w:lang w:bidi="ar-SA"/>
        </w:rPr>
        <w:t>）</w:t>
      </w:r>
      <w:r>
        <w:rPr>
          <w:rFonts w:ascii="Times New Roman" w:eastAsia="宋体" w:hAnsi="Times New Roman" w:cs="微软雅黑" w:hint="eastAsia"/>
          <w:sz w:val="24"/>
          <w:szCs w:val="24"/>
          <w:bdr w:val="none" w:sz="0" w:space="0" w:color="auto"/>
          <w:lang w:bidi="ar-SA"/>
        </w:rPr>
        <w:t>：</w:t>
      </w:r>
    </w:p>
    <w:p>
      <w:pPr>
        <w:pStyle w:val="189010"/>
        <w:autoSpaceDN w:val="0"/>
        <w:spacing w:line="360" w:lineRule="auto"/>
        <w:rPr>
          <w:rFonts w:ascii="宋体" w:eastAsia="宋体" w:hint="eastAsia"/>
          <w:sz w:val="24"/>
          <w:szCs w:val="24"/>
          <w:highlight w:val="white"/>
        </w:rPr>
      </w:pPr>
      <w:r>
        <w:rPr>
          <w:rFonts w:ascii="Times New Roman" w:eastAsia="宋体" w:hAnsi="Times New Roman" w:cs="微软雅黑"/>
          <w:sz w:val="24"/>
          <w:szCs w:val="24"/>
          <w:bdr w:val="none" w:sz="0" w:space="0" w:color="auto"/>
          <w:lang w:bidi="ar-SA"/>
        </w:rPr>
        <w:t xml:space="preserve"> </w:t>
      </w:r>
    </w:p>
    <w:p>
      <w:pPr>
        <w:pStyle w:val="87"/>
        <w:spacing w:line="400" w:lineRule="exact"/>
        <w:ind w:left="6086" w:right="932" w:hanging="5040" w:leftChars="498" w:rightChars="444" w:hangingChars="2100"/>
        <w:rPr>
          <w:rFonts w:ascii="Times New Roman" w:hAnsi="Times New Roman" w:cs="微软雅黑" w:hint="eastAsia"/>
          <w:szCs w:val="24"/>
          <w:bdr w:val="none" w:sz="0" w:space="0" w:color="auto"/>
        </w:rPr>
      </w:pPr>
      <w:r>
        <w:rPr>
          <w:rFonts w:ascii="Times New Roman" w:eastAsia="宋体" w:hAnsi="Times New Roman" w:cs="微软雅黑" w:hint="eastAsia"/>
          <w:sz w:val="24"/>
          <w:szCs w:val="24"/>
          <w:bdr w:val="none" w:sz="0" w:space="0" w:color="auto"/>
          <w:lang w:bidi="ar-SA"/>
        </w:rPr>
        <w:t xml:space="preserve">                                            日期：   年  月  日</w:t>
      </w:r>
    </w:p>
    <w:p>
      <w:pPr>
        <w:pStyle w:val="87"/>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注：①投标人在提交投标文件时，应按照投标工具的提示和流程编制并上传该表。无此表或对此表作实质性修改，投标无效。</w:t>
      </w:r>
    </w:p>
    <w:p>
      <w:pPr>
        <w:pStyle w:val="87"/>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②投标人须对此表中</w:t>
      </w:r>
      <w:r>
        <w:rPr>
          <w:rFonts w:ascii="微软雅黑" w:eastAsia="微软雅黑" w:cs="微软雅黑" w:hint="eastAsia"/>
          <w:sz w:val="21"/>
          <w:szCs w:val="21"/>
          <w:lang w:bidi="ar-SA"/>
        </w:rPr>
        <w:t>全部</w:t>
      </w:r>
      <w:r>
        <w:rPr>
          <w:rFonts w:ascii="微软雅黑" w:eastAsia="微软雅黑" w:cs="微软雅黑" w:hint="eastAsia"/>
          <w:sz w:val="21"/>
          <w:szCs w:val="21"/>
          <w:lang w:bidi="ar-SA"/>
        </w:rPr>
        <w:t>内容作出承诺，否则投标无效。</w:t>
      </w:r>
    </w:p>
    <w:p>
      <w:pPr>
        <w:pStyle w:val="87"/>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w:t>
      </w:r>
      <w:r>
        <w:rPr>
          <w:rFonts w:ascii="微软雅黑" w:eastAsia="微软雅黑" w:cs="微软雅黑" w:hint="eastAsia"/>
          <w:sz w:val="21"/>
          <w:szCs w:val="21"/>
          <w:lang w:bidi="ar-SA"/>
        </w:rPr>
        <w:t>采购机构</w:t>
      </w:r>
      <w:r>
        <w:rPr>
          <w:rFonts w:ascii="微软雅黑" w:eastAsia="微软雅黑" w:cs="微软雅黑" w:hint="eastAsia"/>
          <w:sz w:val="21"/>
          <w:szCs w:val="21"/>
          <w:lang w:bidi="ar-SA"/>
        </w:rPr>
        <w:t>可以根据此表查询投标人承诺事项，投标人的承诺和查询结果不一致的，以查询结果为准。</w:t>
      </w:r>
    </w:p>
    <w:p>
      <w:pPr>
        <w:pStyle w:val="87"/>
        <w:ind w:left="1046" w:right="932" w:firstLine="0" w:leftChars="498" w:rightChars="444"/>
        <w:rPr>
          <w:rFonts w:ascii="微软雅黑" w:eastAsia="微软雅黑" w:cs="微软雅黑"/>
          <w:b/>
          <w:sz w:val="21"/>
          <w:szCs w:val="21"/>
        </w:rPr>
      </w:pPr>
      <w:r>
        <w:rPr>
          <w:rFonts w:ascii="Times New Roman" w:eastAsia="宋体" w:hAnsi="Times New Roman" w:cs="微软雅黑" w:hint="eastAsia"/>
          <w:b/>
          <w:sz w:val="24"/>
          <w:szCs w:val="21"/>
          <w:lang w:bidi="ar-SA"/>
        </w:rPr>
        <w:t>二、联合体投标协议书扫描件</w:t>
      </w:r>
      <w:r>
        <w:rPr>
          <w:rFonts w:ascii="微软雅黑" w:eastAsia="微软雅黑" w:cs="微软雅黑" w:hint="eastAsia"/>
          <w:b/>
          <w:sz w:val="21"/>
          <w:szCs w:val="21"/>
          <w:lang w:bidi="ar-SA"/>
        </w:rPr>
        <w:t>（如投标人须知前附表允许联合体投标且投标人是联合体的上传）</w:t>
      </w:r>
    </w:p>
    <w:p/>
    <w:p>
      <w:pPr>
        <w:pStyle w:val="183410"/>
        <w:rPr>
          <w:rFonts w:ascii="Times New Roman" w:hAnsi="Times New Roman" w:hint="eastAsia"/>
        </w:rPr>
      </w:pPr>
    </w:p>
    <w:p>
      <w:pPr>
        <w:pStyle w:val="234"/>
        <w:rPr>
          <w:rFonts w:hint="eastAsia"/>
        </w:rPr>
      </w:pPr>
    </w:p>
    <w:p>
      <w:pPr>
        <w:pStyle w:val="210"/>
        <w:keepNext w:val="0"/>
        <w:keepLines w:val="0"/>
        <w:widowControl w:val="0"/>
        <w:autoSpaceDN w:val="0"/>
        <w:spacing w:before="0" w:after="0" w:line="360" w:lineRule="auto"/>
        <w:jc w:val="center"/>
        <w:outlineLvl w:val="9"/>
        <w:rPr>
          <w:rFonts w:ascii="宋体" w:eastAsia="宋体" w:hint="eastAsia"/>
          <w:szCs w:val="32"/>
        </w:rPr>
      </w:pPr>
      <w:bookmarkStart w:id="57" w:name="_Toc499068169"/>
      <w:bookmarkStart w:id="58" w:name="_Toc46196323"/>
      <w:bookmarkStart w:id="59" w:name="_Toc485990833"/>
      <w:r>
        <w:rPr>
          <w:rFonts w:ascii="宋体" w:eastAsia="宋体" w:hint="eastAsia"/>
          <w:szCs w:val="32"/>
          <w:lang w:eastAsia="zh-CN"/>
        </w:rPr>
        <w:t>投标函</w:t>
      </w:r>
      <w:bookmarkEnd w:id="57"/>
      <w:bookmarkEnd w:id="58"/>
      <w:bookmarkEnd w:id="59"/>
      <w:r>
        <w:rPr>
          <w:rFonts w:ascii="宋体" w:eastAsia="宋体" w:hint="eastAsia"/>
          <w:szCs w:val="32"/>
          <w:lang w:eastAsia="zh-CN"/>
        </w:rPr>
        <w:t>格式</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海关总署物资装备采购中心：</w:t>
      </w:r>
    </w:p>
    <w:p>
      <w:pPr>
        <w:pStyle w:val="8"/>
        <w:autoSpaceDN w:val="0"/>
        <w:spacing w:line="360" w:lineRule="auto"/>
        <w:ind w:firstLine="480" w:firstLineChars="200"/>
        <w:rPr>
          <w:rFonts w:ascii="宋体" w:eastAsia="宋体" w:hint="eastAsia"/>
          <w:sz w:val="24"/>
          <w:szCs w:val="24"/>
          <w:highlight w:val="white"/>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3、我方提供投标须知规定的全部投标文件，包括电子投标文件1 份，</w:t>
      </w:r>
      <w:r>
        <w:rPr>
          <w:rFonts w:ascii="宋体" w:eastAsia="宋体" w:hint="eastAsia"/>
          <w:sz w:val="24"/>
          <w:szCs w:val="24"/>
          <w:highlight w:val="white"/>
          <w:lang w:eastAsia="zh-CN"/>
        </w:rPr>
        <w:t>开标</w:t>
      </w:r>
      <w:r>
        <w:rPr>
          <w:rFonts w:ascii="宋体" w:eastAsia="宋体" w:hint="eastAsia"/>
          <w:sz w:val="24"/>
          <w:szCs w:val="24"/>
          <w:highlight w:val="white"/>
          <w:lang w:eastAsia="zh-CN"/>
        </w:rPr>
        <w:t>一览表1 份；并已详细审核全部投标文件，包括投标文件修改书（如有的话）、参考资料及有关附件，确认无误。</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4、我方按招标文件要求提供和交付的货物和服务的投标报价详见</w:t>
      </w:r>
      <w:r>
        <w:rPr>
          <w:rFonts w:ascii="宋体" w:eastAsia="宋体" w:hint="eastAsia"/>
          <w:sz w:val="24"/>
          <w:szCs w:val="24"/>
          <w:highlight w:val="white"/>
          <w:lang w:eastAsia="zh-CN"/>
        </w:rPr>
        <w:t>开标</w:t>
      </w:r>
      <w:r>
        <w:rPr>
          <w:rFonts w:ascii="宋体" w:eastAsia="宋体" w:hint="eastAsia"/>
          <w:sz w:val="24"/>
          <w:szCs w:val="24"/>
          <w:highlight w:val="white"/>
          <w:lang w:eastAsia="zh-CN"/>
        </w:rPr>
        <w:t>一览表，并承诺所投货物或服务符合国家相关标准或生产许可。</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6、我方完全理解最低报价不一定中标。</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br w:type="page"/>
      </w:r>
      <w:r>
        <w:rPr>
          <w:rFonts w:ascii="宋体" w:eastAsia="宋体" w:hint="eastAsia"/>
          <w:sz w:val="24"/>
          <w:szCs w:val="24"/>
          <w:highlight w:val="white"/>
          <w:lang w:eastAsia="zh-CN"/>
        </w:rPr>
        <w:t>与本投标有关的一切往来通讯请寄：</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地址：____________________________________________________</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邮编：____________　</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电话：____________　</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传真：____________</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/法定代表人</w:t>
      </w:r>
      <w:r>
        <w:rPr>
          <w:rFonts w:ascii="宋体" w:eastAsia="宋体" w:hint="eastAsia"/>
          <w:sz w:val="24"/>
          <w:szCs w:val="24"/>
          <w:highlight w:val="white"/>
          <w:lang w:eastAsia="zh-CN"/>
        </w:rPr>
        <w:t>姓名：</w:t>
      </w:r>
      <w:r>
        <w:rPr>
          <w:rFonts w:ascii="宋体" w:eastAsia="宋体" w:hint="eastAsia"/>
          <w:sz w:val="24"/>
          <w:szCs w:val="24"/>
          <w:highlight w:val="white"/>
          <w:u w:val="single"/>
          <w:lang w:eastAsia="zh-CN"/>
        </w:rPr>
        <w:t xml:space="preserve">              </w:t>
      </w:r>
    </w:p>
    <w:p>
      <w:pPr>
        <w:pStyle w:val="8"/>
        <w:autoSpaceDN w:val="0"/>
        <w:spacing w:line="360" w:lineRule="auto"/>
        <w:rPr>
          <w:rFonts w:ascii="宋体" w:eastAsia="宋体" w:hint="eastAsia"/>
          <w:sz w:val="24"/>
          <w:szCs w:val="24"/>
          <w:highlight w:val="white"/>
          <w:u w:val="single"/>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/法定代表人</w:t>
      </w:r>
      <w:r>
        <w:rPr>
          <w:rFonts w:ascii="宋体" w:eastAsia="宋体" w:hint="eastAsia"/>
          <w:sz w:val="24"/>
          <w:szCs w:val="24"/>
          <w:highlight w:val="white"/>
          <w:lang w:eastAsia="zh-CN"/>
        </w:rPr>
        <w:t>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/法定代表人</w:t>
      </w:r>
      <w:r>
        <w:rPr>
          <w:rFonts w:ascii="宋体" w:eastAsia="宋体" w:hint="eastAsia"/>
          <w:sz w:val="24"/>
          <w:szCs w:val="24"/>
          <w:highlight w:val="white"/>
          <w:lang w:eastAsia="zh-CN"/>
        </w:rPr>
        <w:t>(签字)：</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　期：</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注：除可填报项目外，对本投标函的任何修改将被视为非实质性响应投标，从而导致该投标被拒绝。</w:t>
      </w:r>
    </w:p>
    <w:p/>
    <w:p>
      <w:pPr>
        <w:autoSpaceDN w:val="0"/>
        <w:spacing w:line="360" w:lineRule="auto"/>
        <w:jc w:val="left"/>
        <w:outlineLvl w:val="2"/>
        <w:rPr>
          <w:rFonts w:ascii="宋体" w:hint="eastAsia"/>
          <w:b/>
          <w:bCs/>
          <w:sz w:val="30"/>
          <w:szCs w:val="30"/>
          <w:highlight w:val="white"/>
        </w:rPr>
      </w:pPr>
    </w:p>
    <w:p>
      <w:pPr>
        <w:pStyle w:val="187010"/>
        <w:autoSpaceDN w:val="0"/>
        <w:jc w:val="center"/>
        <w:rPr>
          <w:rFonts w:ascii="宋体" w:eastAsia="宋体" w:hint="eastAsia"/>
          <w:b/>
          <w:bCs/>
          <w:sz w:val="32"/>
          <w:szCs w:val="24"/>
          <w:highlight w:val="white"/>
        </w:rPr>
      </w:pPr>
      <w:bookmarkStart w:id="60" w:name="_Toc485990839"/>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rPr>
      </w:pP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rPr>
      </w:pPr>
    </w:p>
    <w:p>
      <w:pPr>
        <w:pStyle w:val="187010"/>
        <w:autoSpaceDN w:val="0"/>
        <w:spacing w:line="360" w:lineRule="auto"/>
        <w:ind w:firstLine="480" w:firstLineChars="200"/>
        <w:rPr>
          <w:rFonts w:ascii="宋体" w:eastAsia="宋体" w:hint="eastAsia"/>
          <w:sz w:val="24"/>
          <w:szCs w:val="24"/>
          <w:highlight w:val="white"/>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rPr>
      </w:pPr>
    </w:p>
    <w:p>
      <w:pPr>
        <w:pStyle w:val="187010"/>
        <w:autoSpaceDN w:val="0"/>
        <w:spacing w:line="360" w:lineRule="auto"/>
        <w:rPr>
          <w:rFonts w:ascii="宋体" w:eastAsia="宋体" w:hint="eastAsia"/>
          <w:sz w:val="24"/>
          <w:szCs w:val="24"/>
          <w:highlight w:val="white"/>
        </w:rPr>
      </w:pP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投标人代表姓名（印刷体）：              签字：                  </w:t>
      </w:r>
    </w:p>
    <w:p>
      <w:pPr>
        <w:pStyle w:val="187010"/>
        <w:autoSpaceDN w:val="0"/>
        <w:spacing w:line="360" w:lineRule="auto"/>
        <w:rPr>
          <w:rFonts w:ascii="宋体" w:eastAsia="宋体" w:hint="eastAsia"/>
          <w:sz w:val="32"/>
          <w:szCs w:val="24"/>
          <w:highlight w:val="white"/>
        </w:rPr>
      </w:pPr>
      <w:r>
        <w:rPr>
          <w:rFonts w:ascii="宋体" w:eastAsia="宋体" w:hint="eastAsia"/>
          <w:sz w:val="24"/>
          <w:szCs w:val="24"/>
          <w:highlight w:val="white"/>
          <w:lang w:eastAsia="zh-CN"/>
        </w:rPr>
        <w:t>投标人全称并加盖投标人</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 xml:space="preserve">：       </w:t>
      </w:r>
      <w:r>
        <w:rPr>
          <w:rFonts w:ascii="宋体" w:eastAsia="宋体" w:hint="eastAsia"/>
          <w:sz w:val="32"/>
          <w:szCs w:val="24"/>
          <w:highlight w:val="white"/>
          <w:lang w:eastAsia="zh-CN"/>
        </w:rPr>
        <w:t xml:space="preserve">              </w:t>
      </w: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bookmarkEnd w:id="60"/>
    </w:p>
    <w:p>
      <w:pPr>
        <w:autoSpaceDN w:val="0"/>
        <w:spacing w:line="360" w:lineRule="auto"/>
        <w:jc w:val="left"/>
        <w:outlineLvl w:val="2"/>
        <w:rPr>
          <w:rFonts w:ascii="宋体" w:hint="eastAsia"/>
          <w:b/>
          <w:bCs/>
          <w:sz w:val="30"/>
          <w:szCs w:val="30"/>
          <w:highlight w:val="white"/>
        </w:rPr>
      </w:pPr>
      <w:bookmarkStart w:id="61" w:name="_Toc485990843"/>
      <w:bookmarkStart w:id="62" w:name="_Toc499068175"/>
    </w:p>
    <w:p>
      <w:pPr>
        <w:autoSpaceDN w:val="0"/>
        <w:spacing w:line="360" w:lineRule="auto"/>
        <w:jc w:val="left"/>
        <w:outlineLvl w:val="2"/>
        <w:rPr>
          <w:rFonts w:ascii="宋体" w:hint="eastAsia"/>
          <w:b/>
          <w:bCs/>
          <w:sz w:val="30"/>
          <w:szCs w:val="30"/>
          <w:highlight w:val="white"/>
        </w:rPr>
      </w:pPr>
      <w:bookmarkStart w:id="63" w:name="_Toc499068177"/>
      <w:bookmarkStart w:id="64" w:name="_Toc501718543"/>
      <w:bookmarkStart w:id="65" w:name="_Toc485990846"/>
      <w:bookmarkEnd w:id="61"/>
      <w:bookmarkEnd w:id="62"/>
    </w:p>
    <w:p>
      <w:pPr>
        <w:pStyle w:val="8"/>
        <w:autoSpaceDN w:val="0"/>
        <w:jc w:val="center"/>
        <w:rPr>
          <w:rFonts w:ascii="宋体" w:eastAsia="宋体" w:hint="eastAsia"/>
          <w:b/>
          <w:bCs/>
          <w:sz w:val="32"/>
          <w:szCs w:val="24"/>
          <w:highlight w:val="white"/>
        </w:rPr>
      </w:pPr>
      <w:r>
        <w:rPr>
          <w:rFonts w:ascii="宋体" w:eastAsia="宋体" w:hint="eastAsia"/>
          <w:b/>
          <w:bCs/>
          <w:sz w:val="32"/>
          <w:szCs w:val="24"/>
          <w:highlight w:val="white"/>
          <w:lang w:eastAsia="zh-CN"/>
        </w:rPr>
        <w:t>商务偏离表</w:t>
      </w:r>
      <w:bookmarkEnd w:id="63"/>
      <w:bookmarkEnd w:id="64"/>
      <w:bookmarkEnd w:id="65"/>
      <w:r>
        <w:rPr>
          <w:rFonts w:ascii="宋体" w:eastAsia="宋体" w:hint="eastAsia"/>
          <w:b/>
          <w:bCs/>
          <w:sz w:val="32"/>
          <w:szCs w:val="24"/>
          <w:highlight w:val="white"/>
          <w:lang w:eastAsia="zh-CN"/>
        </w:rPr>
        <w:t>格式</w:t>
      </w:r>
    </w:p>
    <w:tbl>
      <w:tblPr>
        <w:tblStyle w:val="TableNormal"/>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r>
    </w:tbl>
    <w:p>
      <w:pPr>
        <w:pStyle w:val="8"/>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pStyle w:val="8"/>
        <w:autoSpaceDN w:val="0"/>
        <w:rPr>
          <w:rFonts w:ascii="宋体" w:eastAsia="宋体" w:hint="eastAsia"/>
          <w:sz w:val="24"/>
          <w:szCs w:val="24"/>
          <w:highlight w:val="white"/>
        </w:rPr>
      </w:pPr>
    </w:p>
    <w:p>
      <w:pPr>
        <w:pStyle w:val="8"/>
        <w:autoSpaceDN w:val="0"/>
        <w:rPr>
          <w:rFonts w:ascii="宋体" w:eastAsia="宋体" w:hint="eastAsia"/>
          <w:sz w:val="24"/>
          <w:szCs w:val="24"/>
          <w:highlight w:val="white"/>
        </w:rPr>
      </w:pPr>
      <w:r>
        <w:rPr>
          <w:rFonts w:ascii="宋体" w:eastAsia="宋体" w:hint="eastAsia"/>
          <w:sz w:val="24"/>
          <w:szCs w:val="24"/>
          <w:highlight w:val="white"/>
          <w:lang w:eastAsia="zh-CN"/>
        </w:rPr>
        <w:t>注：</w:t>
      </w:r>
    </w:p>
    <w:p>
      <w:pPr>
        <w:pStyle w:val="8"/>
        <w:autoSpaceDN w:val="0"/>
        <w:rPr>
          <w:rFonts w:ascii="宋体" w:eastAsia="宋体" w:hint="eastAsia"/>
          <w:sz w:val="24"/>
          <w:szCs w:val="24"/>
          <w:highlight w:val="white"/>
        </w:rPr>
      </w:pPr>
      <w:r>
        <w:rPr>
          <w:rFonts w:ascii="宋体" w:eastAsia="宋体" w:hint="eastAsia"/>
          <w:sz w:val="24"/>
          <w:szCs w:val="24"/>
          <w:highlight w:val="white"/>
          <w:lang w:eastAsia="zh-CN"/>
        </w:rPr>
        <w:t>1、如有商务偏离，在填写此表时，应做到投标商务应答与招标文件的商务条款一一对应。</w:t>
      </w:r>
    </w:p>
    <w:p>
      <w:pPr>
        <w:pStyle w:val="8"/>
        <w:autoSpaceDN w:val="0"/>
        <w:rPr>
          <w:rFonts w:ascii="宋体" w:eastAsia="宋体" w:hint="eastAsia"/>
          <w:sz w:val="24"/>
          <w:szCs w:val="24"/>
          <w:highlight w:val="white"/>
        </w:rPr>
      </w:pPr>
      <w:r>
        <w:rPr>
          <w:rFonts w:ascii="宋体" w:eastAsia="宋体" w:hint="eastAsia"/>
          <w:sz w:val="24"/>
          <w:szCs w:val="24"/>
          <w:highlight w:val="white"/>
          <w:lang w:eastAsia="zh-CN"/>
        </w:rPr>
        <w:t>2、如全部响应招标文件商务条款，则在本表中注明“商务无偏离”。</w:t>
      </w:r>
    </w:p>
    <w:p/>
    <w:p>
      <w:pPr>
        <w:autoSpaceDN w:val="0"/>
        <w:spacing w:line="360" w:lineRule="auto"/>
        <w:jc w:val="left"/>
        <w:outlineLvl w:val="2"/>
        <w:rPr>
          <w:rFonts w:ascii="宋体" w:hint="eastAsia"/>
          <w:b/>
          <w:bCs/>
          <w:sz w:val="30"/>
          <w:szCs w:val="30"/>
          <w:highlight w:val="white"/>
        </w:rPr>
      </w:pPr>
      <w:bookmarkStart w:id="66" w:name="_Toc499068181"/>
    </w:p>
    <w:p>
      <w:pPr>
        <w:pStyle w:val="8"/>
        <w:autoSpaceDN w:val="0"/>
        <w:jc w:val="center"/>
        <w:rPr>
          <w:rFonts w:ascii="宋体" w:eastAsia="宋体" w:hint="eastAsia"/>
          <w:b/>
          <w:bCs/>
          <w:sz w:val="32"/>
          <w:szCs w:val="24"/>
          <w:highlight w:val="white"/>
        </w:rPr>
      </w:pPr>
      <w:bookmarkEnd w:id="66"/>
      <w:r>
        <w:rPr>
          <w:rFonts w:ascii="宋体" w:eastAsia="宋体" w:hint="eastAsia"/>
          <w:b/>
          <w:bCs/>
          <w:sz w:val="32"/>
          <w:szCs w:val="24"/>
          <w:highlight w:val="white"/>
          <w:lang w:eastAsia="zh-CN"/>
        </w:rPr>
        <w:t>中小企业声明函（货物）格式</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
          <w:bCs/>
          <w:i/>
          <w:iCs/>
          <w:sz w:val="24"/>
          <w:szCs w:val="24"/>
          <w:u w:val="single"/>
        </w:rPr>
        <w:t>海关总署物资装备采购中心</w:t>
      </w:r>
      <w:r>
        <w:rPr>
          <w:rFonts w:eastAsia="宋体" w:hint="eastAsia"/>
          <w:sz w:val="24"/>
          <w:szCs w:val="24"/>
        </w:rPr>
        <w:t>的</w:t>
      </w:r>
      <w:r>
        <w:rPr>
          <w:rFonts w:eastAsia="宋体" w:hint="eastAsia"/>
          <w:b/>
          <w:bCs/>
          <w:i/>
          <w:iCs/>
          <w:sz w:val="24"/>
          <w:szCs w:val="24"/>
          <w:u w:val="single"/>
        </w:rPr>
        <w:t>（项目名称）</w:t>
      </w:r>
      <w:r>
        <w:rPr>
          <w:rFonts w:eastAsia="宋体" w:hint="eastAsia"/>
          <w:sz w:val="24"/>
          <w:szCs w:val="24"/>
        </w:rPr>
        <w:t>采购活动，提供的货物全部由符合政策要求的中小企业制造。相关企业（含联合体中的中小企业、签订分包意向协议的中小企业）的具体情况如下：</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
          <w:iCs/>
          <w:sz w:val="24"/>
          <w:szCs w:val="24"/>
          <w:u w:val="single"/>
        </w:rPr>
        <w:t>（标的名称）</w:t>
      </w:r>
      <w:r>
        <w:rPr>
          <w:rFonts w:eastAsia="宋体" w:hint="eastAsia"/>
          <w:sz w:val="24"/>
          <w:szCs w:val="24"/>
        </w:rPr>
        <w:t>，属于</w:t>
      </w:r>
      <w:r>
        <w:rPr>
          <w:rFonts w:eastAsia="宋体" w:hint="eastAsia"/>
          <w:b/>
          <w:bCs/>
          <w:i/>
          <w:iCs/>
          <w:sz w:val="24"/>
          <w:szCs w:val="24"/>
          <w:u w:val="single"/>
        </w:rPr>
        <w:t>（采购文件中明确的所属行业）</w:t>
      </w:r>
      <w:r>
        <w:rPr>
          <w:rFonts w:eastAsia="宋体" w:hint="eastAsia"/>
          <w:sz w:val="24"/>
          <w:szCs w:val="24"/>
        </w:rPr>
        <w:t>行业；制造商为</w:t>
      </w:r>
      <w:r>
        <w:rPr>
          <w:rFonts w:eastAsia="宋体" w:hint="eastAsia"/>
          <w:b/>
          <w:bCs/>
          <w:i/>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
          <w:iCs/>
          <w:sz w:val="24"/>
          <w:szCs w:val="24"/>
          <w:u w:val="single"/>
        </w:rPr>
        <w:t>（</w:t>
      </w:r>
      <w:r>
        <w:rPr>
          <w:rFonts w:eastAsia="宋体" w:hint="eastAsia"/>
          <w:b/>
          <w:bCs/>
          <w:i/>
          <w:iCs/>
          <w:sz w:val="24"/>
          <w:szCs w:val="24"/>
          <w:u w:val="single"/>
        </w:rPr>
        <w:t>标的名称</w:t>
      </w:r>
      <w:r>
        <w:rPr>
          <w:rFonts w:eastAsia="宋体" w:hint="eastAsia"/>
          <w:i/>
          <w:iCs/>
          <w:sz w:val="24"/>
          <w:szCs w:val="24"/>
          <w:u w:val="single"/>
        </w:rPr>
        <w:t>）</w:t>
      </w:r>
      <w:r>
        <w:rPr>
          <w:rFonts w:eastAsia="宋体" w:hint="eastAsia"/>
          <w:sz w:val="24"/>
          <w:szCs w:val="24"/>
        </w:rPr>
        <w:t>，属于</w:t>
      </w:r>
      <w:r>
        <w:rPr>
          <w:rFonts w:eastAsia="宋体" w:hint="eastAsia"/>
          <w:i/>
          <w:iCs/>
          <w:sz w:val="24"/>
          <w:szCs w:val="24"/>
          <w:u w:val="single"/>
        </w:rPr>
        <w:t>（</w:t>
      </w:r>
      <w:r>
        <w:rPr>
          <w:rFonts w:eastAsia="宋体" w:hint="eastAsia"/>
          <w:b/>
          <w:bCs/>
          <w:i/>
          <w:iCs/>
          <w:sz w:val="24"/>
          <w:szCs w:val="24"/>
          <w:u w:val="single"/>
        </w:rPr>
        <w:t>采购文件中明确的所属行业</w:t>
      </w:r>
      <w:r>
        <w:rPr>
          <w:rFonts w:eastAsia="宋体" w:hint="eastAsia"/>
          <w:i/>
          <w:iCs/>
          <w:sz w:val="24"/>
          <w:szCs w:val="24"/>
          <w:u w:val="single"/>
        </w:rPr>
        <w:t>）</w:t>
      </w:r>
      <w:r>
        <w:rPr>
          <w:rFonts w:eastAsia="宋体" w:hint="eastAsia"/>
          <w:sz w:val="24"/>
          <w:szCs w:val="24"/>
        </w:rPr>
        <w:t>行业；制造商为</w:t>
      </w:r>
      <w:r>
        <w:rPr>
          <w:rFonts w:eastAsia="宋体" w:hint="eastAsia"/>
          <w:i/>
          <w:iCs/>
          <w:sz w:val="24"/>
          <w:szCs w:val="24"/>
          <w:u w:val="single"/>
        </w:rPr>
        <w:t>（</w:t>
      </w:r>
      <w:r>
        <w:rPr>
          <w:rFonts w:eastAsia="宋体" w:hint="eastAsia"/>
          <w:b/>
          <w:bCs/>
          <w:i/>
          <w:iCs/>
          <w:sz w:val="24"/>
          <w:szCs w:val="24"/>
          <w:u w:val="single"/>
        </w:rPr>
        <w:t>企业名称</w:t>
      </w:r>
      <w:r>
        <w:rPr>
          <w:rFonts w:eastAsia="宋体" w:hint="eastAsia"/>
          <w:i/>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以上企业，不属于大企业的分支机构，不存在控股股东为大企业的情形，也不存在与大企业的负责人为同一人的情形。</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本企业对上述声明内容的真实性负责。如有虚假，将依法承担相应责任。</w:t>
      </w:r>
    </w:p>
    <w:p>
      <w:pPr>
        <w:pStyle w:val="94710"/>
        <w:widowControl/>
        <w:spacing w:before="100" w:beforeAutospacing="1" w:after="100" w:afterAutospacing="1" w:line="360" w:lineRule="exact"/>
        <w:ind w:firstLine="3360" w:firstLineChars="1400"/>
        <w:rPr>
          <w:rFonts w:eastAsia="宋体"/>
          <w:sz w:val="24"/>
          <w:szCs w:val="24"/>
        </w:rPr>
      </w:pPr>
      <w:r>
        <w:rPr>
          <w:rFonts w:eastAsia="宋体"/>
          <w:sz w:val="24"/>
          <w:szCs w:val="24"/>
        </w:rPr>
        <w:t>投标人</w:t>
      </w:r>
      <w:r>
        <w:rPr>
          <w:rFonts w:eastAsia="宋体" w:hint="eastAsia"/>
          <w:sz w:val="24"/>
          <w:szCs w:val="24"/>
        </w:rPr>
        <w:t>名称（电子签章）：</w:t>
      </w:r>
    </w:p>
    <w:p>
      <w:pPr>
        <w:pStyle w:val="94710"/>
        <w:widowControl/>
        <w:spacing w:before="100" w:beforeAutospacing="1" w:after="100" w:afterAutospacing="1" w:line="360" w:lineRule="exact"/>
        <w:ind w:firstLine="3360" w:firstLineChars="140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94710"/>
        <w:widowControl/>
        <w:spacing w:before="100" w:beforeAutospacing="1" w:after="100" w:afterAutospacing="1" w:line="360" w:lineRule="exact"/>
        <w:ind w:firstLine="482"/>
        <w:rPr>
          <w:rFonts w:eastAsia="宋体"/>
          <w:sz w:val="24"/>
          <w:szCs w:val="24"/>
        </w:rPr>
      </w:pPr>
    </w:p>
    <w:p>
      <w:pPr>
        <w:pStyle w:val="947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94810"/>
        <w:autoSpaceDN w:val="0"/>
        <w:ind w:firstLine="480" w:firstLineChars="200"/>
        <w:rPr>
          <w:color w:val="000000"/>
          <w:szCs w:val="24"/>
        </w:rPr>
      </w:pPr>
      <w:r>
        <w:rPr>
          <w:rFonts w:eastAsia="宋体" w:hint="eastAsia"/>
          <w:sz w:val="24"/>
          <w:szCs w:val="24"/>
        </w:rPr>
        <w:t>本声明函</w:t>
      </w:r>
      <w:r>
        <w:rPr>
          <w:rFonts w:eastAsia="宋体"/>
          <w:sz w:val="24"/>
          <w:szCs w:val="24"/>
        </w:rPr>
        <w:t>须</w:t>
      </w:r>
      <w:r>
        <w:rPr>
          <w:rFonts w:eastAsia="宋体" w:hint="eastAsia"/>
          <w:sz w:val="24"/>
          <w:szCs w:val="24"/>
        </w:rPr>
        <w:t>加盖投标人公章</w:t>
      </w:r>
      <w:r>
        <w:rPr>
          <w:rFonts w:eastAsia="宋体"/>
          <w:sz w:val="24"/>
          <w:szCs w:val="24"/>
        </w:rPr>
        <w:t>。投标人应当对其出具的《中小企业声明函》真实性负责，投标人出具的《中小企业声明函》内容不实的，属于提供虚假材料谋取中标。投标人对相关制造商信息了解不充分，或者不能确定相关信息真实、准确的，不建议出具《中小企业声明函》。</w:t>
      </w:r>
    </w:p>
    <w:p/>
    <w:p>
      <w:pPr>
        <w:autoSpaceDN w:val="0"/>
        <w:spacing w:line="360" w:lineRule="auto"/>
        <w:jc w:val="left"/>
        <w:outlineLvl w:val="2"/>
        <w:rPr>
          <w:rFonts w:ascii="宋体" w:hint="eastAsia"/>
          <w:b/>
          <w:bCs/>
          <w:sz w:val="30"/>
          <w:szCs w:val="30"/>
          <w:highlight w:val="white"/>
        </w:rPr>
      </w:pPr>
      <w:bookmarkStart w:id="67" w:name="_Toc501718546"/>
      <w:bookmarkStart w:id="68" w:name="_Toc499068183"/>
    </w:p>
    <w:p>
      <w:pPr>
        <w:pStyle w:val="210"/>
        <w:keepNext w:val="0"/>
        <w:keepLines w:val="0"/>
        <w:widowControl w:val="0"/>
        <w:autoSpaceDN w:val="0"/>
        <w:spacing w:line="240" w:lineRule="auto"/>
        <w:jc w:val="center"/>
        <w:outlineLvl w:val="9"/>
        <w:rPr>
          <w:rFonts w:ascii="宋体" w:eastAsia="宋体" w:hint="eastAsia"/>
          <w:szCs w:val="32"/>
        </w:rPr>
      </w:pPr>
      <w:r>
        <w:rPr>
          <w:rFonts w:ascii="宋体" w:eastAsia="宋体" w:hint="eastAsia"/>
          <w:szCs w:val="32"/>
          <w:lang w:eastAsia="zh-CN"/>
        </w:rPr>
        <w:t>残疾人福利性单位声明函</w:t>
      </w:r>
      <w:bookmarkEnd w:id="67"/>
      <w:bookmarkEnd w:id="68"/>
      <w:r>
        <w:rPr>
          <w:rFonts w:ascii="宋体" w:eastAsia="宋体" w:hint="eastAsia"/>
          <w:szCs w:val="32"/>
          <w:lang w:eastAsia="zh-CN"/>
        </w:rPr>
        <w:t>格式</w:t>
      </w:r>
    </w:p>
    <w:p>
      <w:pPr>
        <w:pStyle w:val="8"/>
        <w:autoSpaceDN w:val="0"/>
        <w:spacing w:line="360" w:lineRule="auto"/>
        <w:rPr>
          <w:rFonts w:ascii="宋体" w:eastAsia="宋体" w:hint="eastAsia"/>
          <w:sz w:val="24"/>
          <w:szCs w:val="24"/>
          <w:highlight w:val="white"/>
        </w:rPr>
      </w:pPr>
    </w:p>
    <w:p>
      <w:pPr>
        <w:pStyle w:val="8"/>
        <w:autoSpaceDN w:val="0"/>
        <w:spacing w:line="360" w:lineRule="auto"/>
        <w:ind w:firstLine="480" w:firstLineChars="200"/>
        <w:rPr>
          <w:rFonts w:ascii="宋体" w:eastAsia="宋体" w:hint="eastAsia"/>
          <w:sz w:val="24"/>
          <w:szCs w:val="24"/>
          <w:highlight w:val="white"/>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本单位对上述声明的真实性负责，如有虚假，将依法承担相应责任。</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p>
    <w:p/>
    <w:p>
      <w:pPr>
        <w:pStyle w:val="187110"/>
        <w:autoSpaceDN w:val="0"/>
        <w:spacing w:line="360" w:lineRule="auto"/>
        <w:jc w:val="center"/>
        <w:rPr>
          <w:rFonts w:ascii="宋体" w:eastAsia="宋体" w:hint="eastAsia"/>
          <w:b/>
          <w:sz w:val="32"/>
          <w:szCs w:val="30"/>
        </w:rPr>
      </w:pPr>
      <w:bookmarkStart w:id="69" w:name="_Toc499068184"/>
      <w:r>
        <w:rPr>
          <w:rFonts w:ascii="宋体" w:eastAsia="宋体" w:hint="eastAsia"/>
          <w:b/>
          <w:sz w:val="32"/>
          <w:szCs w:val="30"/>
          <w:lang w:eastAsia="zh-CN"/>
        </w:rPr>
        <w:t>投标分项报价表格式</w:t>
      </w:r>
    </w:p>
    <w:p>
      <w:pPr>
        <w:pStyle w:val="187210"/>
        <w:autoSpaceDN w:val="0"/>
        <w:spacing w:line="360" w:lineRule="auto"/>
        <w:rPr>
          <w:rFonts w:ascii="宋体" w:hint="eastAsia"/>
          <w:sz w:val="24"/>
          <w:szCs w:val="24"/>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tbl>
      <w:tblPr>
        <w:tblStyle w:val="TableNormal"/>
        <w:tblW w:w="5232" w:type="pct"/>
        <w:jc w:val="lef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blGrid>
        <w:gridCol w:w="411"/>
        <w:gridCol w:w="2987"/>
        <w:gridCol w:w="779"/>
        <w:gridCol w:w="411"/>
        <w:gridCol w:w="411"/>
        <w:gridCol w:w="1699"/>
        <w:gridCol w:w="776"/>
        <w:gridCol w:w="776"/>
        <w:gridCol w:w="411"/>
      </w:tblGrid>
      <w:tr>
        <w:tblPrEx>
          <w:tblW w:w="5232" w:type="pct"/>
          <w:jc w:val="lef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454"/>
          <w:jc w:val="left"/>
        </w:trPr>
        <w:tc>
          <w:tcPr>
            <w:tcBorders>
              <w:top w:val="single" w:sz="12"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序号</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名称</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规格型号</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数量</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品牌</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原产地和制造商名称</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单价</w:t>
            </w:r>
          </w:p>
          <w:p>
            <w:pPr>
              <w:pStyle w:val="187310"/>
              <w:jc w:val="center"/>
              <w:rPr>
                <w:rFonts w:ascii="宋体" w:hint="eastAsia"/>
                <w:sz w:val="24"/>
              </w:rPr>
            </w:pPr>
            <w:r>
              <w:rPr>
                <w:rFonts w:ascii="宋体" w:hint="eastAsia"/>
                <w:sz w:val="24"/>
              </w:rPr>
              <w:t>（元）</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合价</w:t>
            </w:r>
          </w:p>
          <w:p>
            <w:pPr>
              <w:pStyle w:val="187310"/>
              <w:jc w:val="center"/>
              <w:rPr>
                <w:rFonts w:ascii="宋体" w:hint="eastAsia"/>
                <w:sz w:val="24"/>
              </w:rPr>
            </w:pPr>
            <w:r>
              <w:rPr>
                <w:rFonts w:ascii="宋体" w:hint="eastAsia"/>
                <w:sz w:val="24"/>
              </w:rPr>
              <w:t>（元）</w:t>
            </w:r>
          </w:p>
        </w:tc>
        <w:tc>
          <w:tcPr>
            <w:tcBorders>
              <w:top w:val="single" w:sz="12"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r>
              <w:rPr>
                <w:rFonts w:ascii="宋体" w:hint="eastAsia"/>
                <w:sz w:val="24"/>
              </w:rPr>
              <w:t>备注</w:t>
            </w: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主设备价格</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1.1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2</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辅助设备价格</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2.1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3</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质保期内的备品备件及专用工具费用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4</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运输费、保险费及伴随费用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5</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安装、调试及检测费用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6</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培训费用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7</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技术支持与售后服务费用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8</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其它</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8.1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gridSpan w:val="6"/>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总价（元）</w:t>
            </w:r>
          </w:p>
        </w:tc>
        <w:tc>
          <w:tcPr>
            <w:gridSpan w:val="3"/>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bl>
    <w:p>
      <w:pPr>
        <w:pStyle w:val="187410"/>
        <w:autoSpaceDN w:val="0"/>
        <w:spacing w:line="360" w:lineRule="auto"/>
        <w:rPr>
          <w:rFonts w:ascii="宋体" w:eastAsia="宋体" w:hint="eastAsia"/>
          <w:sz w:val="24"/>
          <w:szCs w:val="24"/>
        </w:rPr>
      </w:pPr>
    </w:p>
    <w:p>
      <w:pPr>
        <w:pStyle w:val="187410"/>
        <w:rPr>
          <w:rFonts w:ascii="宋体" w:eastAsia="宋体" w:hint="eastAsia"/>
          <w:sz w:val="24"/>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hint="eastAsia"/>
          <w:sz w:val="24"/>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pStyle w:val="187410"/>
        <w:ind w:left="0" w:firstLine="480" w:firstLineChars="200"/>
        <w:rPr>
          <w:rFonts w:ascii="宋体" w:eastAsia="宋体" w:hint="eastAsia"/>
          <w:sz w:val="24"/>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color w:val="auto"/>
          <w:sz w:val="24"/>
          <w:szCs w:val="24"/>
          <w:vertAlign w:val="baseline"/>
          <w:lang w:eastAsia="zh-CN"/>
        </w:rPr>
        <w:t>如有缺漏项，评标时视</w:t>
      </w:r>
      <w:r>
        <w:rPr>
          <w:rFonts w:ascii="宋体" w:eastAsia="宋体" w:hint="eastAsia"/>
          <w:color w:val="auto"/>
          <w:sz w:val="24"/>
          <w:szCs w:val="24"/>
          <w:vertAlign w:val="baseline"/>
          <w:lang w:eastAsia="zh-CN"/>
        </w:rPr>
        <w:t>为不提供该项产品及服务</w:t>
      </w:r>
      <w:r>
        <w:rPr>
          <w:rFonts w:ascii="宋体" w:eastAsia="宋体" w:hint="eastAsia"/>
          <w:sz w:val="24"/>
          <w:lang w:eastAsia="zh-CN"/>
        </w:rPr>
        <w:t>。如有免费提供的内容也需要逐项列明。</w:t>
      </w:r>
    </w:p>
    <w:p>
      <w:pPr>
        <w:pStyle w:val="187610"/>
        <w:ind w:firstLine="480" w:firstLineChars="200"/>
        <w:rPr>
          <w:rFonts w:ascii="宋体" w:eastAsia="宋体" w:hint="eastAsia"/>
          <w:b/>
          <w:sz w:val="24"/>
        </w:rPr>
      </w:pPr>
    </w:p>
    <w:p>
      <w:pPr>
        <w:pStyle w:val="187210"/>
        <w:autoSpaceDN w:val="0"/>
        <w:spacing w:line="360" w:lineRule="auto"/>
        <w:rPr>
          <w:rFonts w:ascii="宋体" w:hint="eastAsia"/>
          <w:sz w:val="24"/>
          <w:szCs w:val="24"/>
        </w:rPr>
      </w:pPr>
    </w:p>
    <w:p>
      <w:pPr>
        <w:pStyle w:val="189210"/>
        <w:autoSpaceDN w:val="0"/>
        <w:spacing w:line="360" w:lineRule="auto"/>
        <w:rPr>
          <w:rFonts w:ascii="宋体" w:eastAsia="宋体" w:hint="eastAsia"/>
          <w:sz w:val="24"/>
          <w:szCs w:val="24"/>
        </w:rPr>
      </w:pPr>
      <w:r>
        <w:rPr>
          <w:rFonts w:ascii="宋体" w:eastAsia="宋体" w:hint="eastAsia"/>
          <w:sz w:val="24"/>
          <w:szCs w:val="24"/>
          <w:lang w:eastAsia="zh-CN"/>
        </w:rPr>
        <w:t>投标人名称(电子签章)：</w:t>
      </w:r>
    </w:p>
    <w:p>
      <w:pPr>
        <w:pStyle w:val="187410"/>
        <w:autoSpaceDN w:val="0"/>
        <w:spacing w:line="360" w:lineRule="auto"/>
        <w:rPr>
          <w:rFonts w:ascii="宋体" w:eastAsia="宋体" w:hint="eastAsia"/>
          <w:sz w:val="24"/>
          <w:szCs w:val="24"/>
        </w:rPr>
      </w:pPr>
      <w:r>
        <w:rPr>
          <w:rFonts w:ascii="宋体" w:eastAsia="宋体" w:hint="eastAsia"/>
          <w:sz w:val="24"/>
          <w:szCs w:val="24"/>
          <w:lang w:eastAsia="zh-CN"/>
        </w:rPr>
        <w:t>投标人代表（签字）：</w:t>
      </w:r>
    </w:p>
    <w:p>
      <w:pPr>
        <w:pStyle w:val="187410"/>
        <w:autoSpaceDN w:val="0"/>
        <w:spacing w:line="360" w:lineRule="auto"/>
        <w:rPr>
          <w:rFonts w:hint="eastAsia"/>
          <w:highlight w:val="white"/>
        </w:rPr>
      </w:pPr>
      <w:r>
        <w:rPr>
          <w:rFonts w:ascii="宋体" w:eastAsia="宋体" w:hint="eastAsia"/>
          <w:sz w:val="24"/>
          <w:szCs w:val="24"/>
          <w:lang w:eastAsia="zh-CN"/>
        </w:rPr>
        <w:t xml:space="preserve">日期：     </w:t>
      </w:r>
      <w:r>
        <w:rPr>
          <w:rFonts w:ascii="宋体" w:eastAsia="宋体" w:hint="eastAsia"/>
          <w:lang w:eastAsia="zh-CN"/>
        </w:rPr>
        <w:t xml:space="preserve">                   </w:t>
      </w:r>
    </w:p>
    <w:p>
      <w:pPr>
        <w:autoSpaceDN w:val="0"/>
        <w:spacing w:line="360" w:lineRule="auto"/>
        <w:jc w:val="left"/>
        <w:outlineLvl w:val="2"/>
        <w:rPr>
          <w:rFonts w:ascii="宋体" w:hint="eastAsia"/>
          <w:b/>
          <w:bCs/>
          <w:sz w:val="30"/>
          <w:szCs w:val="30"/>
          <w:highlight w:val="white"/>
        </w:rPr>
      </w:pPr>
    </w:p>
    <w:p>
      <w:bookmarkEnd w:id="69"/>
    </w:p>
    <w:p>
      <w:pPr>
        <w:pStyle w:val="210"/>
        <w:keepNext w:val="0"/>
        <w:keepLines w:val="0"/>
        <w:widowControl w:val="0"/>
        <w:autoSpaceDN w:val="0"/>
        <w:spacing w:before="0" w:after="0" w:line="360" w:lineRule="auto"/>
        <w:jc w:val="center"/>
        <w:outlineLvl w:val="9"/>
        <w:rPr>
          <w:rFonts w:ascii="宋体" w:eastAsia="宋体" w:hint="eastAsia"/>
          <w:szCs w:val="32"/>
        </w:rPr>
      </w:pPr>
      <w:bookmarkStart w:id="70" w:name="_Toc485990851"/>
      <w:bookmarkStart w:id="71" w:name="_Toc499068185"/>
      <w:r>
        <w:rPr>
          <w:rFonts w:ascii="宋体" w:eastAsia="宋体" w:hint="eastAsia"/>
          <w:szCs w:val="32"/>
          <w:lang w:eastAsia="zh-CN"/>
        </w:rPr>
        <w:t>技术偏离表</w:t>
      </w:r>
      <w:bookmarkEnd w:id="71"/>
      <w:r>
        <w:rPr>
          <w:rFonts w:ascii="宋体" w:eastAsia="宋体" w:hint="eastAsia"/>
          <w:szCs w:val="32"/>
          <w:lang w:eastAsia="zh-CN"/>
        </w:rPr>
        <w:t>格式</w:t>
      </w:r>
    </w:p>
    <w:p>
      <w:pPr>
        <w:rPr>
          <w:rFonts w:hint="eastAsia"/>
        </w:rPr>
      </w:pPr>
    </w:p>
    <w:tbl>
      <w:tblPr>
        <w:tblStyle w:val="TableNormal"/>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bl>
    <w:p>
      <w:pPr>
        <w:pStyle w:val="8"/>
        <w:autoSpaceDN w:val="0"/>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w:t>
      </w:r>
      <w:r>
        <w:rPr>
          <w:rFonts w:ascii="宋体" w:eastAsia="宋体" w:hint="eastAsia"/>
          <w:sz w:val="24"/>
          <w:szCs w:val="24"/>
          <w:highlight w:val="white"/>
          <w:lang w:eastAsia="zh-CN"/>
        </w:rPr>
        <w:t>不得分</w:t>
      </w:r>
      <w:r>
        <w:rPr>
          <w:rFonts w:ascii="宋体" w:eastAsia="宋体" w:hint="eastAsia"/>
          <w:sz w:val="24"/>
          <w:szCs w:val="24"/>
          <w:highlight w:val="white"/>
          <w:lang w:eastAsia="zh-CN"/>
        </w:rPr>
        <w:t>。</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
        <w:autoSpaceDN w:val="0"/>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autoSpaceDN w:val="0"/>
        <w:spacing w:line="360" w:lineRule="auto"/>
        <w:jc w:val="left"/>
        <w:outlineLvl w:val="2"/>
        <w:rPr>
          <w:rFonts w:ascii="宋体" w:hint="eastAsia"/>
          <w:b/>
          <w:bCs/>
          <w:sz w:val="30"/>
          <w:szCs w:val="30"/>
          <w:highlight w:val="white"/>
        </w:rPr>
      </w:pPr>
      <w:bookmarkEnd w:id="70"/>
    </w:p>
    <w:p/>
    <w:p>
      <w:pPr>
        <w:pStyle w:val="210"/>
        <w:keepNext w:val="0"/>
        <w:keepLines w:val="0"/>
        <w:widowControl w:val="0"/>
        <w:autoSpaceDN w:val="0"/>
        <w:spacing w:before="0" w:after="0" w:line="360" w:lineRule="auto"/>
        <w:jc w:val="center"/>
        <w:outlineLvl w:val="9"/>
        <w:rPr>
          <w:rFonts w:ascii="宋体" w:eastAsia="宋体" w:hint="eastAsia"/>
          <w:szCs w:val="32"/>
        </w:rPr>
      </w:pPr>
      <w:bookmarkStart w:id="72" w:name="_Toc499068185_0"/>
      <w:r>
        <w:rPr>
          <w:rFonts w:ascii="宋体" w:eastAsia="宋体" w:hint="eastAsia"/>
          <w:szCs w:val="32"/>
          <w:lang w:eastAsia="zh-CN"/>
        </w:rPr>
        <w:t>技术偏离表</w:t>
      </w:r>
      <w:bookmarkEnd w:id="72"/>
      <w:r>
        <w:rPr>
          <w:rFonts w:ascii="宋体" w:eastAsia="宋体" w:hint="eastAsia"/>
          <w:szCs w:val="32"/>
          <w:lang w:eastAsia="zh-CN"/>
        </w:rPr>
        <w:t>证明材料</w:t>
      </w:r>
    </w:p>
    <w:p>
      <w:pPr>
        <w:rPr>
          <w:rFonts w:hint="eastAsia"/>
        </w:rPr>
      </w:pPr>
    </w:p>
    <w:p>
      <w:pPr>
        <w:pStyle w:val="8"/>
        <w:autoSpaceDN w:val="0"/>
        <w:jc w:val="center"/>
        <w:rPr>
          <w:rFonts w:ascii="宋体" w:eastAsia="宋体" w:hint="eastAsia"/>
          <w:b/>
          <w:bCs/>
          <w:sz w:val="32"/>
          <w:szCs w:val="30"/>
          <w:highlight w:val="white"/>
        </w:rPr>
      </w:pPr>
      <w:r>
        <w:rPr>
          <w:rFonts w:ascii="宋体" w:eastAsia="宋体" w:hint="eastAsia"/>
          <w:b/>
          <w:bCs/>
          <w:sz w:val="32"/>
          <w:szCs w:val="30"/>
          <w:highlight w:val="white"/>
          <w:lang w:eastAsia="zh-CN"/>
        </w:rPr>
        <w:t>货物说明一览表格式</w:t>
      </w:r>
    </w:p>
    <w:p>
      <w:pPr>
        <w:jc w:val="center"/>
      </w:pPr>
    </w:p>
    <w:tbl>
      <w:tblPr>
        <w:tblStyle w:val="TableNormal"/>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
      <w:tblGrid>
        <w:gridCol w:w="3483"/>
        <w:gridCol w:w="665"/>
        <w:gridCol w:w="3483"/>
        <w:gridCol w:w="665"/>
      </w:tblGrid>
      <w:tr>
        <w:tblPrEx>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Ex>
        <w:trPr>
          <w:trHeight w:val="536"/>
          <w:jc w:val="center"/>
        </w:trPr>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招标编号</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货物名称</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规格型号</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数量</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制造厂商</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备注</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6761"/>
          <w:jc w:val="center"/>
        </w:trPr>
        <w:tc>
          <w:tcPr>
            <w:gridSpan w:val="4"/>
            <w:tcBorders>
              <w:top w:val="single" w:sz="4" w:space="0" w:color="auto"/>
              <w:left w:val="single" w:sz="4" w:space="0" w:color="auto"/>
              <w:bottom w:val="single" w:sz="4" w:space="0" w:color="auto"/>
              <w:right w:val="single" w:sz="4" w:space="0" w:color="auto"/>
              <w:tl2br w:val="nil"/>
              <w:tr2bl w:val="nil"/>
            </w:tcBorders>
          </w:tcPr>
          <w:p>
            <w:pPr>
              <w:adjustRightInd w:val="0"/>
              <w:textAlignment w:val="baseline"/>
            </w:pPr>
            <w:r>
              <w:rPr>
                <w:rFonts w:hint="eastAsia"/>
                <w:sz w:val="24"/>
              </w:rPr>
              <w:t>详细性能说明</w:t>
            </w:r>
          </w:p>
        </w:tc>
      </w:tr>
    </w:tbl>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1894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pStyle w:val="8"/>
        <w:autoSpaceDN w:val="0"/>
        <w:rPr>
          <w:rFonts w:ascii="宋体" w:hAnsi="宋体"/>
          <w:sz w:val="24"/>
        </w:rPr>
      </w:pPr>
    </w:p>
    <w:p>
      <w:pPr>
        <w:pStyle w:val="8"/>
        <w:autoSpaceDN w:val="0"/>
        <w:rPr>
          <w:rFonts w:ascii="宋体" w:hAnsi="宋体"/>
          <w:sz w:val="24"/>
        </w:rPr>
      </w:pPr>
    </w:p>
    <w:p/>
    <w:p>
      <w:pPr>
        <w:autoSpaceDN w:val="0"/>
        <w:spacing w:line="360" w:lineRule="auto"/>
        <w:jc w:val="left"/>
        <w:outlineLvl w:val="2"/>
        <w:rPr>
          <w:rFonts w:ascii="宋体" w:hint="eastAsia"/>
          <w:b/>
          <w:bCs/>
          <w:sz w:val="30"/>
          <w:szCs w:val="30"/>
          <w:highlight w:val="white"/>
        </w:rPr>
      </w:pPr>
    </w:p>
    <w:p>
      <w:pPr>
        <w:jc w:val="center"/>
        <w:rPr>
          <w:b/>
          <w:sz w:val="32"/>
        </w:rPr>
      </w:pPr>
      <w:r>
        <w:rPr>
          <w:b/>
          <w:sz w:val="32"/>
        </w:rPr>
        <w:t xml:space="preserve">      质保期外</w:t>
      </w:r>
      <w:r>
        <w:rPr>
          <w:rFonts w:hint="eastAsia"/>
          <w:b/>
          <w:sz w:val="32"/>
        </w:rPr>
        <w:t>X</w:t>
      </w:r>
      <w:r>
        <w:rPr>
          <w:b/>
          <w:sz w:val="32"/>
        </w:rPr>
        <w:t>年</w:t>
      </w:r>
      <w:r>
        <w:rPr>
          <w:rFonts w:hint="eastAsia"/>
          <w:b/>
          <w:sz w:val="32"/>
        </w:rPr>
        <w:t>内所必须的主要零部件及易损件报价表</w:t>
      </w:r>
      <w:r>
        <w:rPr>
          <w:b/>
          <w:sz w:val="32"/>
        </w:rPr>
        <w:t>格式</w:t>
      </w:r>
    </w:p>
    <w:p>
      <w:pPr>
        <w:pStyle w:val="1000"/>
        <w:spacing w:line="360" w:lineRule="auto"/>
        <w:rPr>
          <w:rFonts w:ascii="宋体" w:hint="eastAsia"/>
          <w:sz w:val="24"/>
          <w:szCs w:val="24"/>
          <w:u w:val="single"/>
        </w:rPr>
      </w:pPr>
      <w:r>
        <w:rPr>
          <w:rFonts w:ascii="宋体" w:hint="eastAsia"/>
          <w:sz w:val="24"/>
          <w:szCs w:val="24"/>
        </w:rPr>
        <w:t>项目名称：</w:t>
      </w:r>
      <w:r>
        <w:rPr>
          <w:rFonts w:ascii="宋体" w:hint="eastAsia"/>
          <w:sz w:val="24"/>
          <w:szCs w:val="24"/>
          <w:u w:val="single"/>
        </w:rPr>
        <w:t xml:space="preserve">                  </w:t>
      </w:r>
      <w:r>
        <w:rPr>
          <w:rFonts w:ascii="宋体" w:hint="eastAsia"/>
          <w:sz w:val="24"/>
          <w:szCs w:val="24"/>
        </w:rPr>
        <w:t xml:space="preserve">  招标编号：</w:t>
      </w:r>
      <w:r>
        <w:rPr>
          <w:rFonts w:ascii="宋体" w:hint="eastAsia"/>
          <w:sz w:val="24"/>
          <w:szCs w:val="24"/>
          <w:u w:val="single"/>
        </w:rPr>
        <w:t xml:space="preserve">              </w:t>
      </w:r>
      <w:r>
        <w:rPr>
          <w:rFonts w:ascii="宋体" w:hint="eastAsia"/>
          <w:sz w:val="24"/>
          <w:szCs w:val="24"/>
        </w:rPr>
        <w:t xml:space="preserve">  包号：</w:t>
      </w:r>
      <w:r>
        <w:rPr>
          <w:rFonts w:ascii="宋体" w:hint="eastAsia"/>
          <w:sz w:val="24"/>
          <w:szCs w:val="24"/>
          <w:u w:val="single"/>
        </w:rPr>
        <w:t xml:space="preserve">       </w:t>
      </w:r>
    </w:p>
    <w:tbl>
      <w:tblPr>
        <w:tblStyle w:val="TableNormal"/>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27"/>
        <w:gridCol w:w="2437"/>
        <w:gridCol w:w="891"/>
        <w:gridCol w:w="527"/>
        <w:gridCol w:w="1800"/>
        <w:gridCol w:w="527"/>
        <w:gridCol w:w="891"/>
        <w:gridCol w:w="696"/>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序号</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lang w:eastAsia="zh-CN"/>
              </w:rPr>
              <w:t>主要零部件名称/易损件名称</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规格型号</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品牌</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原产地和制造商名称</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数量</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单价(元)</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lang w:eastAsia="zh-CN"/>
              </w:rPr>
              <w:t>合计</w:t>
            </w:r>
          </w:p>
          <w:p>
            <w:pPr>
              <w:pStyle w:val="310"/>
              <w:jc w:val="center"/>
              <w:rPr>
                <w:rFonts w:ascii="宋体" w:eastAsia="宋体" w:hint="eastAsia"/>
                <w:sz w:val="24"/>
              </w:rPr>
            </w:pPr>
            <w:r>
              <w:rPr>
                <w:rFonts w:ascii="宋体" w:eastAsia="宋体" w:hint="eastAsia"/>
                <w:sz w:val="24"/>
              </w:rPr>
              <w:t>(元)</w:t>
            </w: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gridSpan w:val="7"/>
            <w:tcBorders>
              <w:tl2br w:val="nil"/>
              <w:tr2bl w:val="nil"/>
            </w:tcBorders>
            <w:vAlign w:val="center"/>
          </w:tcPr>
          <w:p>
            <w:pPr>
              <w:pStyle w:val="310"/>
              <w:jc w:val="center"/>
              <w:rPr>
                <w:rFonts w:ascii="宋体" w:eastAsia="宋体" w:hint="eastAsia"/>
                <w:sz w:val="24"/>
              </w:rPr>
            </w:pPr>
            <w:r>
              <w:rPr>
                <w:rFonts w:ascii="宋体" w:eastAsia="宋体" w:hint="eastAsia"/>
                <w:sz w:val="24"/>
              </w:rPr>
              <w:t>总价（元）</w:t>
            </w:r>
          </w:p>
        </w:tc>
        <w:tc>
          <w:tcPr>
            <w:tcBorders>
              <w:tl2br w:val="nil"/>
              <w:tr2bl w:val="nil"/>
            </w:tcBorders>
            <w:vAlign w:val="center"/>
          </w:tcPr>
          <w:p>
            <w:pPr>
              <w:pStyle w:val="310"/>
              <w:jc w:val="center"/>
              <w:rPr>
                <w:rFonts w:ascii="宋体" w:eastAsia="宋体" w:hint="eastAsia"/>
                <w:sz w:val="24"/>
              </w:rPr>
            </w:pPr>
          </w:p>
        </w:tc>
      </w:tr>
    </w:tbl>
    <w:p>
      <w:pPr>
        <w:pStyle w:val="1000"/>
        <w:spacing w:line="360" w:lineRule="auto"/>
        <w:rPr>
          <w:rFonts w:ascii="宋体" w:hint="eastAsia"/>
          <w:b/>
          <w:bCs/>
          <w:sz w:val="22"/>
          <w:szCs w:val="24"/>
        </w:rPr>
      </w:pPr>
      <w:r>
        <w:rPr>
          <w:rFonts w:ascii="宋体" w:hint="eastAsia"/>
          <w:b/>
          <w:bCs/>
          <w:sz w:val="22"/>
          <w:szCs w:val="24"/>
        </w:rPr>
        <w:t>注：此表按品目报价，作为售后服务的评审因素以及质保期外维修时配件的参考，其价格不计入投标总价中。</w:t>
      </w:r>
    </w:p>
    <w:p>
      <w:pPr>
        <w:pStyle w:val="1000"/>
        <w:spacing w:line="360" w:lineRule="auto"/>
        <w:rPr>
          <w:rFonts w:ascii="宋体" w:hint="eastAsia"/>
          <w:sz w:val="24"/>
          <w:szCs w:val="24"/>
        </w:rPr>
      </w:pPr>
    </w:p>
    <w:p>
      <w:pPr>
        <w:rPr>
          <w:rFonts w:ascii="宋体" w:hint="eastAsia"/>
        </w:rPr>
      </w:pPr>
    </w:p>
    <w:p>
      <w:pPr>
        <w:rPr>
          <w:rFonts w:ascii="宋体" w:hint="eastAsia"/>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2100"/>
        <w:spacing w:line="360" w:lineRule="auto"/>
        <w:rPr>
          <w:rFonts w:ascii="宋体" w:hint="eastAsia"/>
          <w:sz w:val="24"/>
          <w:szCs w:val="24"/>
        </w:rPr>
      </w:pPr>
      <w:r>
        <w:rPr>
          <w:rFonts w:ascii="宋体" w:hint="eastAsia"/>
          <w:sz w:val="24"/>
          <w:szCs w:val="24"/>
          <w:highlight w:val="white"/>
        </w:rPr>
        <w:t>日期：</w:t>
      </w:r>
      <w:r>
        <w:rPr>
          <w:rFonts w:ascii="宋体" w:hint="eastAsia"/>
          <w:sz w:val="24"/>
          <w:szCs w:val="24"/>
        </w:rPr>
        <w:t xml:space="preserve"> </w:t>
      </w:r>
    </w:p>
    <w:p>
      <w:pPr>
        <w:rPr>
          <w:rFonts w:hint="eastAsia"/>
        </w:rPr>
      </w:pPr>
    </w:p>
    <w:p/>
    <w:p/>
    <w:p/>
    <w:p/>
    <w:p/>
    <w:p>
      <w:pPr>
        <w:rPr>
          <w:rFonts w:hint="eastAsia"/>
        </w:rPr>
      </w:pPr>
    </w:p>
    <w:p>
      <w:pPr>
        <w:rPr>
          <w:rFonts w:hint="eastAsia"/>
        </w:rPr>
      </w:pPr>
    </w:p>
    <w:p>
      <w:pPr>
        <w:rPr>
          <w:rFonts w:hint="eastAsia"/>
        </w:rPr>
      </w:pPr>
    </w:p>
    <w:p>
      <w:pPr>
        <w:rPr>
          <w:rFonts w:hint="eastAsia"/>
        </w:rPr>
      </w:pPr>
    </w:p>
    <w:p/>
    <w:p/>
    <w:p>
      <w:pPr>
        <w:pStyle w:val="70"/>
        <w:keepNext w:val="0"/>
        <w:keepLines w:val="0"/>
        <w:widowControl w:val="0"/>
        <w:autoSpaceDN w:val="0"/>
        <w:spacing w:before="0" w:after="0" w:line="360" w:lineRule="auto"/>
        <w:jc w:val="center"/>
        <w:outlineLvl w:val="9"/>
        <w:rPr>
          <w:rFonts w:ascii="宋体" w:eastAsia="宋体" w:hint="eastAsia"/>
          <w:szCs w:val="32"/>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名称：</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 xml:space="preserve">地址：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 xml:space="preserve">邮编：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rPr>
      </w:pP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质疑事项</w:t>
      </w:r>
      <w:r>
        <w:rPr>
          <w:rFonts w:ascii="宋体" w:eastAsia="宋体" w:hint="eastAsia"/>
          <w:sz w:val="24"/>
          <w:szCs w:val="24"/>
          <w:highlight w:val="white"/>
          <w:lang w:eastAsia="zh-CN"/>
        </w:rPr>
        <w:t>1</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rPr>
      </w:pPr>
    </w:p>
    <w:p>
      <w:pPr>
        <w:pStyle w:val="187710"/>
        <w:autoSpaceDN w:val="0"/>
        <w:spacing w:line="360" w:lineRule="auto"/>
        <w:rPr>
          <w:rFonts w:ascii="宋体" w:eastAsia="宋体" w:hint="eastAsia"/>
          <w:sz w:val="24"/>
          <w:szCs w:val="24"/>
          <w:highlight w:val="white"/>
        </w:rPr>
      </w:pPr>
    </w:p>
    <w:p>
      <w:pPr>
        <w:pStyle w:val="187710"/>
        <w:autoSpaceDN w:val="0"/>
        <w:adjustRightInd w:val="0"/>
        <w:snapToGrid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签字：</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全称（</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rPr>
      </w:pP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  年  月  日</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注：</w:t>
      </w:r>
      <w:r>
        <w:rPr>
          <w:rFonts w:ascii="宋体" w:eastAsia="宋体" w:hint="eastAsia"/>
          <w:sz w:val="24"/>
          <w:szCs w:val="24"/>
          <w:highlight w:val="white"/>
          <w:lang w:eastAsia="zh-CN"/>
        </w:rPr>
        <w:t>质疑供应商</w:t>
      </w:r>
      <w:r>
        <w:rPr>
          <w:rFonts w:ascii="宋体" w:eastAsia="宋体" w:hint="eastAsia"/>
          <w:sz w:val="24"/>
          <w:szCs w:val="24"/>
          <w:highlight w:val="white"/>
          <w:lang w:eastAsia="zh-CN"/>
        </w:rPr>
        <w:t>为自然人的，由本人签字；</w:t>
      </w:r>
      <w:r>
        <w:rPr>
          <w:rFonts w:ascii="宋体" w:eastAsia="宋体" w:hint="eastAsia"/>
          <w:sz w:val="24"/>
          <w:szCs w:val="24"/>
          <w:highlight w:val="white"/>
          <w:lang w:eastAsia="zh-CN"/>
        </w:rPr>
        <w:t>质疑供应商</w:t>
      </w:r>
      <w:r>
        <w:rPr>
          <w:rFonts w:ascii="宋体" w:eastAsia="宋体" w:hint="eastAsia"/>
          <w:sz w:val="24"/>
          <w:szCs w:val="24"/>
          <w:highlight w:val="white"/>
          <w:lang w:eastAsia="zh-CN"/>
        </w:rPr>
        <w:t>为法人或者其他组织的，应当由法定代表人</w:t>
      </w:r>
      <w:r>
        <w:rPr>
          <w:rFonts w:ascii="宋体" w:eastAsia="宋体" w:hint="eastAsia"/>
          <w:sz w:val="24"/>
          <w:szCs w:val="24"/>
          <w:highlight w:val="white"/>
          <w:lang w:eastAsia="zh-CN"/>
        </w:rPr>
        <w:t>、主要负责人，或者其授权代表</w:t>
      </w:r>
      <w:r>
        <w:rPr>
          <w:rFonts w:ascii="宋体" w:eastAsia="宋体" w:hint="eastAsia"/>
          <w:sz w:val="24"/>
          <w:szCs w:val="24"/>
          <w:highlight w:val="white"/>
          <w:lang w:eastAsia="zh-CN"/>
        </w:rPr>
        <w:t>签字或签章</w:t>
      </w:r>
      <w:r>
        <w:rPr>
          <w:rFonts w:ascii="宋体" w:eastAsia="宋体" w:hint="eastAsia"/>
          <w:sz w:val="24"/>
          <w:szCs w:val="24"/>
          <w:highlight w:val="white"/>
          <w:lang w:eastAsia="zh-CN"/>
        </w:rPr>
        <w:t>，</w:t>
      </w:r>
      <w:r>
        <w:rPr>
          <w:rFonts w:ascii="宋体" w:eastAsia="宋体" w:hint="eastAsia"/>
          <w:sz w:val="24"/>
          <w:szCs w:val="24"/>
          <w:highlight w:val="white"/>
          <w:lang w:eastAsia="zh-CN"/>
        </w:rPr>
        <w:t>并加盖</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w:t>
      </w:r>
    </w:p>
    <w:p>
      <w:pPr>
        <w:pStyle w:val="6"/>
        <w:keepNext w:val="0"/>
        <w:keepLines w:val="0"/>
        <w:widowControl w:val="0"/>
        <w:autoSpaceDN w:val="0"/>
        <w:spacing w:before="0" w:after="0" w:line="360" w:lineRule="auto"/>
        <w:jc w:val="center"/>
        <w:outlineLvl w:val="9"/>
        <w:rPr>
          <w:rFonts w:ascii="宋体" w:eastAsia="宋体" w:hint="eastAsia"/>
          <w:szCs w:val="32"/>
          <w:lang w:eastAsia="zh-CN"/>
        </w:rPr>
      </w:pPr>
      <w:bookmarkEnd w:id="53"/>
    </w:p>
    <w:p>
      <w:pPr>
        <w:rPr>
          <w:rFonts w:hint="eastAsia"/>
        </w:rPr>
      </w:pPr>
    </w:p>
    <w:sectPr>
      <w:headerReference w:type="even" r:id="rId7"/>
      <w:headerReference w:type="default" r:id="rId8"/>
      <w:footerReference w:type="even" r:id="rId9"/>
      <w:headerReference w:type="first" r:id="rId10"/>
      <w:footerReference w:type="first" r:id="rId11"/>
      <w:pgSz w:w="11907" w:h="16840"/>
      <w:pgMar w:top="1440" w:right="1797" w:bottom="1440" w:left="1797" w:header="851" w:footer="851" w:gutter="0"/>
      <w:cols w:space="720"/>
      <w:vAlign w:val="top"/>
      <w:textDirection w:val="lrTb"/>
      <w:docGrid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06" w:usb3="00000000" w:csb0="00040001" w:csb1="00000000"/>
  </w:font>
  <w:font w:name="Calibri">
    <w:altName w:val="DejaVu Sans"/>
    <w:panose1 w:val="020F0502020204030204"/>
    <w:charset w:val="86"/>
    <w:family w:val="swiss"/>
    <w:pitch w:val="variable"/>
    <w:sig w:usb0="E00002FF" w:usb1="4000ACFF" w:usb2="00000001" w:usb3="00000000" w:csb0="2004019F" w:csb1="00000000"/>
  </w:font>
  <w:font w:name="等线">
    <w:altName w:val="宋体"/>
    <w:panose1 w:val="00000000000000000000"/>
    <w:charset w:val="86"/>
    <w:family w:val="auto"/>
    <w:pitch w:val="variable"/>
    <w:sig w:usb0="00000000" w:usb1="00000000" w:usb2="00000000" w:usb3="00000000" w:csb0="00040001" w:csb1="00000000"/>
  </w:font>
  <w:font w:name="Times New Roman">
    <w:altName w:val="方正黑体_GBK"/>
    <w:panose1 w:val="02020603050405020304"/>
    <w:charset w:val="86"/>
    <w:family w:val="roman"/>
    <w:pitch w:val="variable"/>
    <w:sig w:usb0="E0002AFF" w:usb1="C0007841" w:usb2="00000009" w:usb3="00000000" w:csb0="400401FF" w:csb1="FFFF0000"/>
  </w:font>
  <w:font w:name="微软雅黑">
    <w:altName w:val="方正黑体_GBK"/>
    <w:panose1 w:val="020B0503020204020204"/>
    <w:charset w:val="86"/>
    <w:family w:val="auto"/>
    <w:pitch w:val="variable"/>
    <w:sig w:usb0="80000287" w:usb1="280F3C52" w:usb2="00000016" w:usb3="00000000" w:csb0="0004001F" w:csb1="00000000"/>
  </w:font>
  <w:font w:name="Wingdings 2">
    <w:altName w:val="DejaVu Sans"/>
    <w:panose1 w:val="05020102010507070707"/>
    <w:charset w:val="02"/>
    <w:family w:val="auto"/>
    <w:pitch w:val="variable"/>
    <w:sig w:usb0="00000000" w:usb1="00000000" w:usb2="00000000" w:usb3="00000000" w:csb0="80000000" w:csb1="00000000"/>
  </w:font>
  <w:font w:name="方正仿宋_GBK">
    <w:altName w:val="微软雅黑"/>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仿宋">
    <w:altName w:val="方正仿宋_GBK"/>
    <w:panose1 w:val="02010609060101010101"/>
    <w:charset w:val="86"/>
    <w:family w:val="auto"/>
    <w:pitch w:val="variable"/>
    <w:sig w:usb0="800002BF" w:usb1="38CF7CFA" w:usb2="00000016" w:usb3="00000000" w:csb0="00040001" w:csb1="00000000"/>
  </w:font>
  <w:font w:name="方正小标宋_GBK">
    <w:altName w:val="Microsoft YaHei UI"/>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modern"/>
    <w:pitch w:val="variable"/>
    <w:sig w:usb0="800002BF" w:usb1="38CF7CFA" w:usb2="00000016" w:usb3="00000000" w:csb0="00040001" w:csb1="00000000"/>
  </w:font>
  <w:font w:name="方正楷体_GBK">
    <w:altName w:val="微软雅黑"/>
    <w:panose1 w:val="03000509000000000000"/>
    <w:charset w:val="86"/>
    <w:family w:val="script"/>
    <w:pitch w:val="variable"/>
    <w:sig w:usb0="00000001" w:usb1="080E0000" w:usb2="00000000" w:usb3="00000000" w:csb0="00040000" w:csb1="00000000"/>
  </w:font>
  <w:font w:name="方正黑体_GBK">
    <w:altName w:val="微软雅黑"/>
    <w:panose1 w:val="03000509000000000000"/>
    <w:charset w:val="86"/>
    <w:family w:val="script"/>
    <w:pitch w:val="variable"/>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Segoe UI Symbol">
    <w:altName w:val="DejaVu Sans"/>
    <w:panose1 w:val="020B0502040204020203"/>
    <w:charset w:val="00"/>
    <w:family w:val="swiss"/>
    <w:pitch w:val="variable"/>
    <w:sig w:usb0="8000006F" w:usb1="1200FBEF" w:usb2="0004C000" w:usb3="00000000" w:csb0="00000001" w:csb1="00000000"/>
  </w:font>
  <w:font w:name="方正兰亭黑_GBK">
    <w:altName w:val="微软雅黑"/>
    <w:panose1 w:val="00000000000000000000"/>
    <w:charset w:val="86"/>
    <w:family w:val="script"/>
    <w:pitch w:val="variable"/>
    <w:sig w:usb0="00000000" w:usb1="00000000" w:usb2="00080016" w:usb3="00000000" w:csb0="00040001" w:csb1="00000000"/>
  </w:font>
  <w:font w:name="Lucida Sans">
    <w:altName w:val="DejaVu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DejaVu Sans">
    <w:panose1 w:val="020B0603030804020204"/>
    <w:charset w:val="00"/>
    <w:family w:val="auto"/>
    <w:pitch w:val="variable"/>
    <w:sig w:usb0="E7006EFF" w:usb1="D200FDFF" w:usb2="0A246029" w:usb3="0400200C" w:csb0="600001FF" w:csb1="DFFF0000"/>
  </w:font>
  <w:font w:name="Courier New">
    <w:altName w:val="DejaVu Sans"/>
    <w:panose1 w:val="02070309020205020404"/>
    <w:charset w:val="00"/>
    <w:family w:val="moder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20"/>
      <w:tabs>
        <w:tab w:val="center" w:pos="4153"/>
        <w:tab w:val="right" w:pos="8306"/>
      </w:tabs>
      <w:ind w:right="360"/>
      <w:jc w:val="center"/>
    </w:pPr>
    <w:r>
      <w:pict>
        <v:rect id="矩形 2" o:spid="_x0000_s2049" style="width:40.7pt;height:31.6pt;margin-top:-765.85pt;margin-left:0;mso-position-horizontal:center;mso-position-horizontal-relative:margin;mso-wrap-distance-left:8.9pt;mso-wrap-distance-right:8.9pt;mso-wrap-style:none;position:absolute;z-index:251658240" filled="f" stroked="f" strokeweight="0.75pt">
          <v:shadow color="gray"/>
          <v:textbox style="mso-fit-shape-to-text:t" inset="0,0,0,0">
            <w:txbxContent>
              <w:p>
                <w:pPr>
                  <w:pStyle w:val="3"/>
                  <w:tabs>
                    <w:tab w:val="center" w:pos="4153"/>
                    <w:tab w:val="right" w:pos="8306"/>
                  </w:tabs>
                </w:pPr>
                <w:r>
                  <w:rPr>
                    <w:rFonts w:ascii="宋体" w:cs="宋体" w:hint="eastAsia"/>
                    <w:sz w:val="21"/>
                    <w:szCs w:val="21"/>
                    <w:lang w:bidi="ar-SA"/>
                  </w:rPr>
                  <w:t>—</w:t>
                </w:r>
                <w:r>
                  <w:rPr>
                    <w:rFonts w:ascii="宋体" w:cs="宋体" w:hint="eastAsia"/>
                    <w:sz w:val="21"/>
                    <w:szCs w:val="21"/>
                    <w:lang w:bidi="ar-SA"/>
                  </w:rPr>
                  <w:t xml:space="preserve"> </w:t>
                </w:r>
                <w:r>
                  <w:rPr>
                    <w:rFonts w:hint="eastAsia"/>
                  </w:rPr>
                  <w:fldChar w:fldCharType="begin"/>
                </w:r>
                <w:r>
                  <w:rPr>
                    <w:rFonts w:hint="eastAsia"/>
                  </w:rPr>
                  <w:instrText xml:space="preserve"> PAGE  </w:instrText>
                </w:r>
                <w:r>
                  <w:rPr>
                    <w:rFonts w:hint="eastAsia"/>
                  </w:rPr>
                  <w:fldChar w:fldCharType="separate"/>
                </w:r>
                <w:r>
                  <w:t>12</w:t>
                </w:r>
                <w:r>
                  <w:rPr>
                    <w:rFonts w:hint="eastAsia"/>
                  </w:rPr>
                  <w:fldChar w:fldCharType="end"/>
                </w:r>
                <w:r>
                  <w:rPr>
                    <w:rFonts w:hint="eastAsia"/>
                  </w:rPr>
                  <w:t xml:space="preserve"> </w:t>
                </w:r>
                <w:r>
                  <w:rPr>
                    <w:rFonts w:hint="eastAsia"/>
                  </w:rPr>
                  <w:t>—</w:t>
                </w:r>
              </w:p>
              <w:p>
                <w:pPr>
                  <w:pStyle w:val="65"/>
                </w:pP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71"/>
      <w:framePr w:w="0" w:h="0" w:hRule="auto" w:hSpace="0" w:vSpace="0" w:wrap="around" w:vAnchor="text" w:hAnchor="margin" w:xAlign="right" w:y="1" w:anchorLock="0"/>
      <w:tabs>
        <w:tab w:val="center" w:pos="4153"/>
        <w:tab w:val="right" w:pos="8306"/>
      </w:tabs>
      <w:textDirection w:val="lrTb"/>
      <w:rPr>
        <w:rStyle w:val="17Char"/>
      </w:rPr>
    </w:pPr>
    <w:r>
      <w:fldChar w:fldCharType="begin"/>
    </w:r>
    <w:r>
      <w:rPr>
        <w:rStyle w:val="17Char"/>
      </w:rPr>
      <w:instrText>Page</w:instrText>
    </w:r>
    <w:r>
      <w:fldChar w:fldCharType="separate"/>
    </w:r>
    <w:r>
      <w:rPr>
        <w:rStyle w:val="17Char"/>
      </w:rPr>
      <w:t>0</w:t>
    </w:r>
    <w:r>
      <w:fldChar w:fldCharType="end"/>
    </w:r>
  </w:p>
  <w:p>
    <w:pPr>
      <w:pStyle w:val="71"/>
      <w:tabs>
        <w:tab w:val="center" w:pos="4153"/>
        <w:tab w:val="right" w:pos="8306"/>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81"/>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4"/>
      <w:tabs>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5"/>
      <w:tabs>
        <w:tab w:val="center" w:pos="4153"/>
        <w:tab w:val="right"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60"/>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2C9C23"/>
    <w:multiLevelType w:val="multilevel"/>
    <w:tmpl w:val="D62C9C2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
    <w:nsid w:val="DAF6D134"/>
    <w:multiLevelType w:val="multilevel"/>
    <w:tmpl w:val="DAF6D134"/>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
    <w:nsid w:val="00000007"/>
    <w:multiLevelType w:val="multilevel"/>
    <w:tmpl w:val="00000007"/>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3">
    <w:nsid w:val="0FFFFF7D"/>
    <w:multiLevelType w:val="singleLevel"/>
    <w:tmpl w:val="00000000"/>
    <w:lvl w:ilvl="0">
      <w:start w:val="1"/>
      <w:numFmt w:val="decimal"/>
      <w:pStyle w:val="3410"/>
      <w:lvlText w:val="%1."/>
      <w:lvlJc w:val="left"/>
      <w:pPr>
        <w:tabs>
          <w:tab w:val="num" w:pos="1620"/>
        </w:tabs>
        <w:ind w:left="1620" w:hanging="360"/>
      </w:pPr>
    </w:lvl>
  </w:abstractNum>
  <w:abstractNum w:abstractNumId="4">
    <w:nsid w:val="0FFFFF7E"/>
    <w:multiLevelType w:val="singleLevel"/>
    <w:tmpl w:val="00000000"/>
    <w:lvl w:ilvl="0">
      <w:start w:val="1"/>
      <w:numFmt w:val="decimal"/>
      <w:pStyle w:val="3510"/>
      <w:lvlText w:val="%1."/>
      <w:lvlJc w:val="left"/>
      <w:pPr>
        <w:tabs>
          <w:tab w:val="num" w:pos="1200"/>
        </w:tabs>
        <w:ind w:left="1200" w:hanging="360"/>
      </w:pPr>
    </w:lvl>
  </w:abstractNum>
  <w:abstractNum w:abstractNumId="5">
    <w:nsid w:val="0FFFFF7F"/>
    <w:multiLevelType w:val="singleLevel"/>
    <w:tmpl w:val="00000000"/>
    <w:lvl w:ilvl="0">
      <w:start w:val="1"/>
      <w:numFmt w:val="decimal"/>
      <w:pStyle w:val="1"/>
      <w:lvlText w:val="%1."/>
      <w:lvlJc w:val="left"/>
      <w:pPr>
        <w:tabs>
          <w:tab w:val="num" w:pos="780"/>
        </w:tabs>
        <w:ind w:left="780" w:hanging="360"/>
      </w:pPr>
    </w:lvl>
  </w:abstractNum>
  <w:abstractNum w:abstractNumId="6">
    <w:nsid w:val="0FFFFF80"/>
    <w:multiLevelType w:val="singleLevel"/>
    <w:tmpl w:val="00000000"/>
    <w:lvl w:ilvl="0">
      <w:start w:val="1"/>
      <w:numFmt w:val="bullet"/>
      <w:pStyle w:val="4010"/>
      <w:lvlText w:val="●"/>
      <w:lvlJc w:val="left"/>
      <w:pPr>
        <w:tabs>
          <w:tab w:val="num" w:pos="2040"/>
        </w:tabs>
        <w:ind w:left="2040" w:hanging="360"/>
      </w:pPr>
      <w:rPr>
        <w:rFonts w:ascii="宋体" w:hAnsi="宋体" w:hint="default"/>
      </w:rPr>
    </w:lvl>
  </w:abstractNum>
  <w:abstractNum w:abstractNumId="7">
    <w:nsid w:val="0FFFFF81"/>
    <w:multiLevelType w:val="singleLevel"/>
    <w:tmpl w:val="00000000"/>
    <w:lvl w:ilvl="0">
      <w:start w:val="1"/>
      <w:numFmt w:val="bullet"/>
      <w:pStyle w:val="200010"/>
      <w:lvlText w:val="●"/>
      <w:lvlJc w:val="left"/>
      <w:pPr>
        <w:tabs>
          <w:tab w:val="num" w:pos="1620"/>
        </w:tabs>
        <w:ind w:left="1620" w:hanging="360"/>
      </w:pPr>
      <w:rPr>
        <w:rFonts w:ascii="宋体" w:hAnsi="宋体" w:hint="default"/>
      </w:rPr>
    </w:lvl>
  </w:abstractNum>
  <w:abstractNum w:abstractNumId="8">
    <w:nsid w:val="0FFFFF82"/>
    <w:multiLevelType w:val="singleLevel"/>
    <w:tmpl w:val="00000000"/>
    <w:lvl w:ilvl="0">
      <w:start w:val="1"/>
      <w:numFmt w:val="bullet"/>
      <w:pStyle w:val="186110"/>
      <w:lvlText w:val="●"/>
      <w:lvlJc w:val="left"/>
      <w:pPr>
        <w:tabs>
          <w:tab w:val="num" w:pos="1200"/>
        </w:tabs>
        <w:ind w:left="1200" w:hanging="360"/>
      </w:pPr>
      <w:rPr>
        <w:rFonts w:ascii="宋体" w:hAnsi="宋体" w:hint="default"/>
      </w:rPr>
    </w:lvl>
  </w:abstractNum>
  <w:abstractNum w:abstractNumId="9">
    <w:nsid w:val="0FFFFF83"/>
    <w:multiLevelType w:val="singleLevel"/>
    <w:tmpl w:val="00000000"/>
    <w:lvl w:ilvl="0">
      <w:start w:val="1"/>
      <w:numFmt w:val="bullet"/>
      <w:pStyle w:val="4310"/>
      <w:lvlText w:val="●"/>
      <w:lvlJc w:val="left"/>
      <w:pPr>
        <w:tabs>
          <w:tab w:val="num" w:pos="780"/>
        </w:tabs>
        <w:ind w:left="780" w:hanging="360"/>
      </w:pPr>
      <w:rPr>
        <w:rFonts w:ascii="宋体" w:hAnsi="宋体" w:hint="default"/>
      </w:rPr>
    </w:lvl>
  </w:abstractNum>
  <w:abstractNum w:abstractNumId="10">
    <w:nsid w:val="0FFFFF88"/>
    <w:multiLevelType w:val="singleLevel"/>
    <w:tmpl w:val="00000000"/>
    <w:lvl w:ilvl="0">
      <w:start w:val="1"/>
      <w:numFmt w:val="decimal"/>
      <w:pStyle w:val="76"/>
      <w:lvlText w:val="%1."/>
      <w:lvlJc w:val="left"/>
      <w:pPr>
        <w:tabs>
          <w:tab w:val="num" w:pos="360"/>
        </w:tabs>
        <w:ind w:left="360" w:hanging="360"/>
      </w:pPr>
    </w:lvl>
  </w:abstractNum>
  <w:abstractNum w:abstractNumId="11">
    <w:nsid w:val="0FFFFF89"/>
    <w:multiLevelType w:val="singleLevel"/>
    <w:tmpl w:val="00000000"/>
    <w:lvl w:ilvl="0">
      <w:start w:val="1"/>
      <w:numFmt w:val="bullet"/>
      <w:pStyle w:val="83"/>
      <w:lvlText w:val="●"/>
      <w:lvlJc w:val="left"/>
      <w:pPr>
        <w:tabs>
          <w:tab w:val="num" w:pos="360"/>
        </w:tabs>
        <w:ind w:left="360" w:hanging="360"/>
      </w:pPr>
      <w:rPr>
        <w:rFonts w:ascii="宋体" w:hAnsi="宋体" w:hint="default"/>
      </w:rPr>
    </w:lvl>
  </w:abstractNum>
  <w:abstractNum w:abstractNumId="12">
    <w:nsid w:val="3EBF10E3"/>
    <w:multiLevelType w:val="multilevel"/>
    <w:tmpl w:val="3EBF10E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3">
    <w:nsid w:val="4C1F3B68"/>
    <w:multiLevelType w:val="singleLevel"/>
    <w:tmpl w:val="4C1F3B68"/>
    <w:lvl w:ilvl="0">
      <w:start w:val="1"/>
      <w:numFmt w:val="decimal"/>
      <w:lvlText w:val="%1."/>
      <w:lvlJc w:val="left"/>
      <w:pPr>
        <w:tabs>
          <w:tab w:val="num" w:pos="2040"/>
        </w:tabs>
        <w:ind w:left="2040" w:hanging="360"/>
      </w:pPr>
    </w:lvl>
  </w:abstractNum>
  <w:abstractNum w:abstractNumId="14">
    <w:nsid w:val="74319070"/>
    <w:multiLevelType w:val="multilevel"/>
    <w:tmpl w:val="743190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num w:numId="1">
    <w:abstractNumId w:val="0"/>
  </w:num>
  <w:num w:numId="2">
    <w:abstractNumId w:val="1"/>
  </w:num>
  <w:num w:numId="3">
    <w:abstractNumId w:val="2"/>
  </w:num>
  <w:num w:numId="4">
    <w:abstractNumId w:val="12"/>
  </w:num>
  <w:num w:numId="5">
    <w:abstractNumId w:val="13"/>
  </w:num>
  <w:num w:numId="6">
    <w:abstractNumId w:val="14"/>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10"/>
  <w:doNotDisplayPageBoundaries/>
  <w:embedSystemFonts/>
  <w:bordersDoNotSurroundHeader/>
  <w:bordersDoNotSurroundFooter/>
  <w:stylePaneFormatFilter w:val="3F01"/>
  <w:defaultTabStop w:val="420"/>
  <w:defaultTableStyle w:val="Normal"/>
  <w:drawingGridVerticalSpacing w:val="156"/>
  <w:displayHorizontalDrawingGridEvery w:val="0"/>
  <w:displayVerticalDrawingGridEvery w:val="2"/>
  <w:characterSpacingControl w:val="compressPunctuation"/>
  <w:noLineBreaksAfter w:lang="en-US" w:val="([{·‘“〈《「『【〔〖（．［｛￡￥"/>
  <w:noLineBreaksBefore w:lang="en-US" w:val="!),.:;?]}¨·ˇˉ―‖’”…∶、。〃々〉》」』】〕〗！＂＇），．：；？］｀｜｝～￠"/>
  <w:doNotEmbedSmartTag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466F"/>
    <w:rsid w:val="00A77B3E"/>
  </w:rsids>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宋体" w:eastAsia="Times New Roman" w:hAnsi="宋体" w:cs="宋体"/>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uiPriority w:val="9"/>
    <w:qFormat/>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styleId="Heading2">
    <w:name w:val="heading 2"/>
    <w:basedOn w:val="Normal"/>
    <w:next w:val="Normal"/>
    <w:uiPriority w:val="9"/>
    <w:qFormat/>
    <w:pPr>
      <w:keepNext/>
      <w:keepLines/>
      <w:widowControl w:val="0"/>
      <w:spacing w:before="260" w:after="260" w:line="415" w:lineRule="auto"/>
      <w:outlineLvl w:val="1"/>
    </w:pPr>
    <w:rPr>
      <w:rFonts w:ascii="宋体" w:eastAsia="黑体" w:hAnsi="宋体"/>
      <w:b/>
      <w:bCs/>
      <w:sz w:val="32"/>
      <w:szCs w:val="32"/>
    </w:rPr>
  </w:style>
  <w:style w:type="paragraph" w:styleId="Heading3">
    <w:name w:val="heading 3"/>
    <w:basedOn w:val="Normal"/>
    <w:next w:val="Normal"/>
    <w:uiPriority w:val="9"/>
    <w:qFormat/>
    <w:pPr>
      <w:keepNext/>
      <w:keepLines/>
      <w:widowControl w:val="0"/>
      <w:spacing w:before="260" w:after="260" w:line="415" w:lineRule="auto"/>
      <w:outlineLvl w:val="2"/>
    </w:pPr>
    <w:rPr>
      <w:b/>
      <w:bCs/>
      <w:sz w:val="32"/>
      <w:szCs w:val="32"/>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BodyTextIndent">
    <w:name w:val="Body Text Indent"/>
    <w:next w:val="CommentText"/>
    <w:pPr>
      <w:widowControl w:val="0"/>
      <w:ind w:left="1104"/>
      <w:jc w:val="both"/>
    </w:pPr>
    <w:rPr>
      <w:rFonts w:ascii="宋体" w:eastAsia="宋体" w:cs="Times New Roman"/>
      <w:kern w:val="2"/>
      <w:sz w:val="21"/>
      <w:szCs w:val="21"/>
      <w:lang w:val="en-US" w:eastAsia="zh-CN" w:bidi="ar-SA"/>
    </w:rPr>
  </w:style>
  <w:style w:type="paragraph" w:styleId="Footer">
    <w:name w:val="footer"/>
    <w:pPr>
      <w:widowControl w:val="0"/>
      <w:tabs>
        <w:tab w:val="center" w:pos="4153"/>
        <w:tab w:val="right" w:pos="8306"/>
      </w:tabs>
      <w:snapToGrid w:val="0"/>
      <w:jc w:val="left"/>
    </w:pPr>
    <w:rPr>
      <w:rFonts w:ascii="Times New Roman" w:eastAsia="宋体" w:hAnsi="Times New Roman" w:cs="Times New Roman"/>
      <w:kern w:val="2"/>
      <w:sz w:val="18"/>
      <w:szCs w:val="18"/>
      <w:lang w:val="en-US" w:eastAsia="en-US" w:bidi="ar-SA"/>
    </w:rPr>
  </w:style>
  <w:style w:type="paragraph" w:styleId="Header">
    <w:name w:val="head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bdr w:val="none" w:sz="0" w:space="0" w:color="auto"/>
      <w:lang w:val="en-US" w:eastAsia="zh-CN" w:bidi="ar-SA"/>
    </w:rPr>
  </w:style>
  <w:style w:type="paragraph" w:styleId="TOC1">
    <w:name w:val="toc 1"/>
    <w:next w:val="Normal"/>
    <w:uiPriority w:val="39"/>
    <w:pPr>
      <w:widowControl w:val="0"/>
      <w:spacing w:before="120" w:after="120"/>
      <w:jc w:val="left"/>
    </w:pPr>
    <w:rPr>
      <w:rFonts w:ascii="等线" w:eastAsia="等线" w:cs="Times New Roman"/>
      <w:b/>
      <w:bCs/>
      <w:caps/>
      <w:kern w:val="2"/>
      <w:sz w:val="20"/>
      <w:szCs w:val="20"/>
      <w:lang w:val="en-US" w:eastAsia="zh-CN" w:bidi="ar-SA"/>
    </w:rPr>
  </w:style>
  <w:style w:type="paragraph" w:styleId="ListNumber5">
    <w:name w:val="List Number 5"/>
    <w:basedOn w:val="Normal"/>
    <w:pPr>
      <w:numPr>
        <w:ilvl w:val="0"/>
        <w:numId w:val="5"/>
      </w:numPr>
      <w:tabs>
        <w:tab w:val="left" w:pos="2040"/>
      </w:tabs>
    </w:pPr>
  </w:style>
  <w:style w:type="paragraph" w:styleId="CommentSubject">
    <w:name w:val="annotation subject"/>
    <w:pPr>
      <w:widowControl w:val="0"/>
      <w:jc w:val="both"/>
    </w:pPr>
    <w:rPr>
      <w:rFonts w:ascii="Calibri" w:eastAsia="宋体" w:hAnsi="Calibri" w:cs="Times New Roman"/>
      <w:b/>
      <w:bCs/>
      <w:kern w:val="2"/>
      <w:sz w:val="21"/>
      <w:szCs w:val="24"/>
      <w:lang w:val="en-US" w:eastAsia="en-US" w:bidi="ar-SA"/>
    </w:rPr>
  </w:style>
  <w:style w:type="character" w:styleId="PageNumber">
    <w:name w:val="page numbe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rPr>
      <w:sz w:val="21"/>
      <w:szCs w:val="21"/>
    </w:rPr>
  </w:style>
  <w:style w:type="paragraph" w:customStyle="1" w:styleId="40">
    <w:name w:val="正文40"/>
    <w:next w:val="198510"/>
    <w:pPr>
      <w:widowControl w:val="0"/>
      <w:jc w:val="both"/>
    </w:pPr>
    <w:rPr>
      <w:rFonts w:ascii="Calibri" w:eastAsia="宋体" w:hAnsi="Calibri" w:cs="Times New Roman"/>
      <w:kern w:val="2"/>
      <w:sz w:val="21"/>
      <w:szCs w:val="22"/>
      <w:lang w:val="en-US" w:eastAsia="zh-CN" w:bidi="ar-SA"/>
    </w:rPr>
  </w:style>
  <w:style w:type="paragraph" w:customStyle="1" w:styleId="198510">
    <w:name w:val="样式 1985 10 磅"/>
    <w:pPr>
      <w:widowControl w:val="0"/>
      <w:spacing w:line="360" w:lineRule="auto"/>
      <w:jc w:val="both"/>
    </w:pPr>
    <w:rPr>
      <w:rFonts w:ascii="宋体" w:eastAsia="宋体" w:cs="Times New Roman"/>
      <w:kern w:val="2"/>
      <w:sz w:val="21"/>
      <w:szCs w:val="21"/>
      <w:lang w:val="en-US" w:eastAsia="zh-CN" w:bidi="ar-SA"/>
    </w:rPr>
  </w:style>
  <w:style w:type="paragraph" w:customStyle="1" w:styleId="39">
    <w:name w:val="正文39"/>
    <w:pPr>
      <w:widowControl w:val="0"/>
      <w:jc w:val="both"/>
    </w:pPr>
    <w:rPr>
      <w:rFonts w:ascii="Calibri" w:eastAsia="宋体" w:hAnsi="Calibri" w:cs="Times New Roman"/>
      <w:kern w:val="2"/>
      <w:sz w:val="21"/>
      <w:szCs w:val="22"/>
      <w:lang w:val="en-US" w:eastAsia="zh-CN" w:bidi="ar-SA"/>
    </w:rPr>
  </w:style>
  <w:style w:type="paragraph" w:customStyle="1" w:styleId="38">
    <w:name w:val="正文38"/>
    <w:next w:val="14"/>
    <w:pPr>
      <w:widowControl w:val="0"/>
      <w:jc w:val="both"/>
    </w:pPr>
    <w:rPr>
      <w:rFonts w:ascii="Calibri" w:eastAsia="宋体" w:hAnsi="Calibri" w:cs="Times New Roman"/>
      <w:kern w:val="2"/>
      <w:sz w:val="21"/>
      <w:szCs w:val="22"/>
      <w:lang w:val="en-US" w:eastAsia="zh-CN" w:bidi="ar-SA"/>
    </w:rPr>
  </w:style>
  <w:style w:type="paragraph" w:customStyle="1" w:styleId="14">
    <w:name w:val="样式 14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36">
    <w:name w:val="正文36"/>
    <w:pPr>
      <w:widowControl w:val="0"/>
      <w:jc w:val="both"/>
    </w:pPr>
    <w:rPr>
      <w:rFonts w:ascii="Calibri" w:eastAsia="宋体" w:hAnsi="Calibri" w:cs="Times New Roman"/>
      <w:kern w:val="2"/>
      <w:sz w:val="21"/>
      <w:szCs w:val="22"/>
      <w:lang w:val="en-US" w:eastAsia="zh-CN" w:bidi="ar-SA"/>
    </w:rPr>
  </w:style>
  <w:style w:type="paragraph" w:customStyle="1" w:styleId="35">
    <w:name w:val="正文35"/>
    <w:pPr>
      <w:widowControl w:val="0"/>
      <w:jc w:val="both"/>
    </w:pPr>
    <w:rPr>
      <w:rFonts w:ascii="Calibri" w:eastAsia="宋体" w:hAnsi="Calibri" w:cs="Times New Roman"/>
      <w:kern w:val="2"/>
      <w:sz w:val="21"/>
      <w:szCs w:val="22"/>
      <w:lang w:val="en-US" w:eastAsia="zh-CN" w:bidi="ar-SA"/>
    </w:rPr>
  </w:style>
  <w:style w:type="paragraph" w:customStyle="1" w:styleId="11110">
    <w:name w:val="样式 111 10 磅"/>
    <w:pPr>
      <w:widowControl w:val="0"/>
      <w:numPr>
        <w:ilvl w:val="0"/>
        <w:numId w:val="2"/>
      </w:numPr>
      <w:tabs>
        <w:tab w:val="left" w:pos="0"/>
      </w:tabs>
      <w:jc w:val="both"/>
    </w:pPr>
    <w:rPr>
      <w:rFonts w:ascii="宋体" w:eastAsia="宋体" w:cs="Times New Roman"/>
      <w:kern w:val="2"/>
      <w:sz w:val="21"/>
      <w:szCs w:val="21"/>
      <w:lang w:val="en-US" w:eastAsia="zh-CN" w:bidi="ar-SA"/>
    </w:rPr>
  </w:style>
  <w:style w:type="paragraph" w:customStyle="1" w:styleId="192710">
    <w:name w:val="样式 1927 10 磅"/>
    <w:pPr>
      <w:widowControl w:val="0"/>
      <w:jc w:val="both"/>
    </w:pPr>
    <w:rPr>
      <w:rFonts w:ascii="宋体" w:eastAsia="宋体" w:cs="Times New Roman"/>
      <w:kern w:val="2"/>
      <w:sz w:val="21"/>
      <w:szCs w:val="21"/>
      <w:lang w:val="en-US" w:eastAsia="zh-CN" w:bidi="ar-SA"/>
    </w:rPr>
  </w:style>
  <w:style w:type="paragraph" w:customStyle="1" w:styleId="182210">
    <w:name w:val="样式 1822 10 磅"/>
    <w:pPr>
      <w:widowControl w:val="0"/>
      <w:jc w:val="both"/>
    </w:pPr>
    <w:rPr>
      <w:rFonts w:ascii="等线" w:eastAsia="等线"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xl23">
    <w:name w:val="xl23"/>
    <w:pPr>
      <w:widowControl/>
      <w:spacing w:before="100" w:beforeAutospacing="1" w:after="100" w:afterAutospacing="1" w:line="360" w:lineRule="auto"/>
      <w:jc w:val="both"/>
      <w:textAlignment w:val="top"/>
    </w:pPr>
    <w:rPr>
      <w:rFonts w:ascii="Times New Roman" w:eastAsia="宋体" w:hAnsi="Times New Roman" w:cs="Times New Roman"/>
      <w:kern w:val="2"/>
      <w:sz w:val="21"/>
      <w:szCs w:val="24"/>
      <w:lang w:val="en-US" w:eastAsia="en-US" w:bidi="ar-SA"/>
    </w:rPr>
  </w:style>
  <w:style w:type="paragraph" w:customStyle="1" w:styleId="105">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0">
    <w:name w:val="样式 10 小四"/>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30">
    <w:name w:val="正文30"/>
    <w:pPr>
      <w:widowControl w:val="0"/>
      <w:jc w:val="both"/>
    </w:pPr>
    <w:rPr>
      <w:rFonts w:ascii="Calibri" w:eastAsia="宋体" w:hAnsi="Calibri" w:cs="Times New Roman"/>
      <w:kern w:val="2"/>
      <w:sz w:val="21"/>
      <w:szCs w:val="22"/>
      <w:lang w:val="en-US" w:eastAsia="zh-CN" w:bidi="ar-SA"/>
    </w:rPr>
  </w:style>
  <w:style w:type="paragraph" w:customStyle="1" w:styleId="126">
    <w:name w:val="正文126"/>
    <w:pPr>
      <w:widowControl w:val="0"/>
      <w:jc w:val="both"/>
    </w:pPr>
    <w:rPr>
      <w:rFonts w:ascii="Calibri" w:eastAsia="宋体" w:hAnsi="Calibri" w:cs="Times New Roman"/>
      <w:kern w:val="2"/>
      <w:sz w:val="21"/>
      <w:szCs w:val="24"/>
      <w:lang w:val="en-US" w:eastAsia="en-US" w:bidi="ar-SA"/>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3">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6">
    <w:name w:val="样式 76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77">
    <w:name w:val="样式 77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41">
    <w:name w:val="样式 14 小四1"/>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451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4310">
    <w:name w:val="样式 43 10 磅"/>
    <w:next w:val="ListNumber5"/>
    <w:pPr>
      <w:widowControl w:val="0"/>
      <w:jc w:val="both"/>
    </w:pPr>
    <w:rPr>
      <w:rFonts w:ascii="Calibri" w:eastAsia="宋体" w:hAnsi="Calibri" w:cs="Times New Roman"/>
      <w:kern w:val="2"/>
      <w:sz w:val="21"/>
      <w:szCs w:val="22"/>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200010">
    <w:name w:val="样式 2000 10 磅"/>
    <w:pPr>
      <w:widowControl w:val="0"/>
      <w:jc w:val="both"/>
    </w:pPr>
    <w:rPr>
      <w:rFonts w:ascii="Times New Roman" w:eastAsia="宋体" w:hAnsi="Times New Roman" w:cs="Times New Roman"/>
      <w:kern w:val="2"/>
      <w:sz w:val="21"/>
      <w:szCs w:val="24"/>
      <w:lang w:val="en-US" w:eastAsia="zh-CN" w:bidi="ar-SA"/>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1">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2">
    <w:name w:val="样式 2 小三"/>
    <w:pPr>
      <w:widowControl w:val="0"/>
      <w:jc w:val="both"/>
    </w:pPr>
    <w:rPr>
      <w:rFonts w:ascii="Calibri" w:eastAsia="仿宋" w:hAnsi="Calibri" w:cs="Arial"/>
      <w:kern w:val="2"/>
      <w:sz w:val="30"/>
      <w:szCs w:val="22"/>
      <w:lang w:val="en-US" w:eastAsia="zh-CN" w:bidi="ar-SA"/>
    </w:rPr>
  </w:style>
  <w:style w:type="paragraph" w:customStyle="1" w:styleId="200910">
    <w:name w:val="样式 2009 10 磅"/>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3910">
    <w:name w:val="样式 439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3810">
    <w:name w:val="样式 438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201510">
    <w:name w:val="样式 201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3610">
    <w:name w:val="样式 436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94110">
    <w:name w:val="样式 1941 10 磅"/>
    <w:pPr>
      <w:widowControl w:val="0"/>
      <w:jc w:val="both"/>
    </w:pPr>
    <w:rPr>
      <w:rFonts w:ascii="Calibri" w:eastAsia="宋体" w:hAnsi="Calibri" w:cs="Times New Roman"/>
      <w:kern w:val="2"/>
      <w:sz w:val="21"/>
      <w:szCs w:val="22"/>
      <w:lang w:val="en-US" w:eastAsia="zh-CN" w:bidi="ar-SA"/>
    </w:rPr>
  </w:style>
  <w:style w:type="paragraph" w:customStyle="1" w:styleId="194210">
    <w:name w:val="样式 1942 10 磅"/>
    <w:pPr>
      <w:widowControl w:val="0"/>
      <w:jc w:val="both"/>
    </w:pPr>
    <w:rPr>
      <w:rFonts w:ascii="Calibri" w:eastAsia="宋体" w:hAnsi="Calibri" w:cs="Times New Roman"/>
      <w:kern w:val="2"/>
      <w:sz w:val="21"/>
      <w:szCs w:val="22"/>
      <w:lang w:val="en-US" w:eastAsia="zh-CN" w:bidi="ar-SA"/>
    </w:rPr>
  </w:style>
  <w:style w:type="paragraph" w:customStyle="1" w:styleId="194310">
    <w:name w:val="样式 1943 10 磅"/>
    <w:pPr>
      <w:widowControl w:val="0"/>
      <w:jc w:val="both"/>
    </w:pPr>
    <w:rPr>
      <w:rFonts w:ascii="Calibri" w:eastAsia="宋体" w:hAnsi="Calibri" w:cs="Times New Roman"/>
      <w:kern w:val="2"/>
      <w:sz w:val="21"/>
      <w:szCs w:val="22"/>
      <w:lang w:val="en-US" w:eastAsia="zh-CN" w:bidi="ar-SA"/>
    </w:rPr>
  </w:style>
  <w:style w:type="paragraph" w:customStyle="1" w:styleId="194410">
    <w:name w:val="样式 1944 10 磅"/>
    <w:pPr>
      <w:widowControl w:val="0"/>
      <w:jc w:val="both"/>
    </w:pPr>
    <w:rPr>
      <w:rFonts w:ascii="Calibri" w:eastAsia="宋体" w:hAnsi="Calibri" w:cs="Times New Roman"/>
      <w:kern w:val="2"/>
      <w:sz w:val="21"/>
      <w:szCs w:val="22"/>
      <w:lang w:val="en-US" w:eastAsia="zh-CN" w:bidi="ar-SA"/>
    </w:rPr>
  </w:style>
  <w:style w:type="paragraph" w:customStyle="1" w:styleId="41">
    <w:name w:val="样式 41 小三"/>
    <w:pPr>
      <w:widowControl w:val="0"/>
      <w:jc w:val="both"/>
    </w:pPr>
    <w:rPr>
      <w:rFonts w:ascii="Calibri" w:eastAsia="仿宋" w:hAnsi="Calibri" w:cs="Arial"/>
      <w:kern w:val="2"/>
      <w:sz w:val="30"/>
      <w:szCs w:val="22"/>
      <w:lang w:val="en-US" w:eastAsia="zh-CN" w:bidi="ar-SA"/>
    </w:rPr>
  </w:style>
  <w:style w:type="paragraph" w:customStyle="1" w:styleId="194510">
    <w:name w:val="样式 1945 10 磅"/>
    <w:pPr>
      <w:widowControl w:val="0"/>
      <w:jc w:val="both"/>
    </w:pPr>
    <w:rPr>
      <w:rFonts w:ascii="Calibri" w:eastAsia="宋体" w:hAnsi="Calibri" w:cs="Times New Roman"/>
      <w:kern w:val="2"/>
      <w:sz w:val="21"/>
      <w:szCs w:val="22"/>
      <w:lang w:val="en-US" w:eastAsia="zh-CN" w:bidi="ar-SA"/>
    </w:rPr>
  </w:style>
  <w:style w:type="paragraph" w:customStyle="1" w:styleId="194610">
    <w:name w:val="样式 1946 10 磅"/>
    <w:pPr>
      <w:widowControl w:val="0"/>
      <w:jc w:val="both"/>
    </w:pPr>
    <w:rPr>
      <w:rFonts w:ascii="Calibri" w:eastAsia="宋体" w:hAnsi="Calibri" w:cs="Times New Roman"/>
      <w:kern w:val="2"/>
      <w:sz w:val="21"/>
      <w:szCs w:val="22"/>
      <w:lang w:val="en-US" w:eastAsia="zh-CN" w:bidi="ar-SA"/>
    </w:rPr>
  </w:style>
  <w:style w:type="paragraph" w:customStyle="1" w:styleId="42">
    <w:name w:val="样式 42 小三"/>
    <w:pPr>
      <w:widowControl w:val="0"/>
      <w:jc w:val="both"/>
    </w:pPr>
    <w:rPr>
      <w:rFonts w:ascii="Calibri" w:eastAsia="仿宋" w:hAnsi="Calibri" w:cs="Arial"/>
      <w:kern w:val="2"/>
      <w:sz w:val="30"/>
      <w:szCs w:val="22"/>
      <w:lang w:val="en-US" w:eastAsia="zh-CN" w:bidi="ar-SA"/>
    </w:rPr>
  </w:style>
  <w:style w:type="paragraph" w:customStyle="1" w:styleId="51310">
    <w:name w:val="样式 513 10 磅"/>
    <w:pPr>
      <w:widowControl w:val="0"/>
      <w:ind w:left="1104"/>
      <w:jc w:val="both"/>
    </w:pPr>
    <w:rPr>
      <w:rFonts w:ascii="宋体" w:eastAsia="宋体" w:cs="Times New Roman"/>
      <w:kern w:val="2"/>
      <w:sz w:val="21"/>
      <w:szCs w:val="21"/>
      <w:lang w:val="en-US" w:eastAsia="zh-CN" w:bidi="ar-SA"/>
    </w:rPr>
  </w:style>
  <w:style w:type="paragraph" w:customStyle="1" w:styleId="51410">
    <w:name w:val="样式 514 10 磅"/>
    <w:pPr>
      <w:widowControl w:val="0"/>
      <w:ind w:left="1104"/>
      <w:jc w:val="both"/>
    </w:pPr>
    <w:rPr>
      <w:rFonts w:ascii="宋体" w:eastAsia="宋体" w:cs="Times New Roman"/>
      <w:kern w:val="2"/>
      <w:sz w:val="21"/>
      <w:szCs w:val="21"/>
      <w:lang w:val="en-US" w:eastAsia="zh-CN" w:bidi="ar-SA"/>
    </w:rPr>
  </w:style>
  <w:style w:type="paragraph" w:customStyle="1" w:styleId="80">
    <w:name w:val="样式 80 小四"/>
    <w:pPr>
      <w:widowControl w:val="0"/>
      <w:spacing w:line="240" w:lineRule="auto"/>
      <w:jc w:val="left"/>
    </w:pPr>
    <w:rPr>
      <w:rFonts w:ascii="宋体" w:eastAsia="宋体" w:cs="Times New Roman"/>
      <w:kern w:val="2"/>
      <w:sz w:val="24"/>
      <w:szCs w:val="21"/>
      <w:lang w:val="en-US" w:eastAsia="zh-CN" w:bidi="ar-SA"/>
    </w:rPr>
  </w:style>
  <w:style w:type="paragraph" w:customStyle="1" w:styleId="63810">
    <w:name w:val="样式 638 10 磅"/>
    <w:pPr>
      <w:widowControl w:val="0"/>
      <w:jc w:val="both"/>
    </w:pPr>
    <w:rPr>
      <w:rFonts w:ascii="Calibri" w:eastAsia="宋体" w:hAnsi="Calibri" w:cs="Times New Roman"/>
      <w:kern w:val="2"/>
      <w:sz w:val="21"/>
      <w:szCs w:val="22"/>
      <w:lang w:val="en-US" w:eastAsia="zh-CN" w:bidi="ar-SA"/>
    </w:rPr>
  </w:style>
  <w:style w:type="paragraph" w:customStyle="1" w:styleId="65210">
    <w:name w:val="样式 652 10 磅"/>
    <w:pPr>
      <w:widowControl w:val="0"/>
      <w:numPr>
        <w:ilvl w:val="0"/>
        <w:numId w:val="4"/>
      </w:numPr>
      <w:tabs>
        <w:tab w:val="left" w:pos="0"/>
      </w:tabs>
      <w:jc w:val="both"/>
    </w:pPr>
    <w:rPr>
      <w:rFonts w:ascii="宋体" w:eastAsia="宋体" w:cs="Times New Roman"/>
      <w:kern w:val="2"/>
      <w:sz w:val="21"/>
      <w:szCs w:val="21"/>
      <w:lang w:val="en-US" w:eastAsia="zh-CN" w:bidi="ar-SA"/>
    </w:rPr>
  </w:style>
  <w:style w:type="paragraph" w:customStyle="1" w:styleId="65310">
    <w:name w:val="样式 653 10 磅"/>
    <w:pPr>
      <w:widowControl w:val="0"/>
      <w:ind w:left="1104"/>
      <w:jc w:val="both"/>
    </w:pPr>
    <w:rPr>
      <w:rFonts w:ascii="宋体" w:eastAsia="宋体" w:cs="Times New Roman"/>
      <w:kern w:val="2"/>
      <w:sz w:val="21"/>
      <w:szCs w:val="21"/>
      <w:lang w:val="en-US" w:eastAsia="zh-CN" w:bidi="ar-SA"/>
    </w:rPr>
  </w:style>
  <w:style w:type="paragraph" w:customStyle="1" w:styleId="44">
    <w:name w:val="样式 44 小三"/>
    <w:pPr>
      <w:widowControl w:val="0"/>
      <w:jc w:val="both"/>
    </w:pPr>
    <w:rPr>
      <w:rFonts w:ascii="Calibri" w:eastAsia="仿宋" w:hAnsi="Calibri" w:cs="Arial"/>
      <w:kern w:val="2"/>
      <w:sz w:val="30"/>
      <w:szCs w:val="22"/>
      <w:lang w:val="en-US" w:eastAsia="zh-CN" w:bidi="ar-SA"/>
    </w:rPr>
  </w:style>
  <w:style w:type="paragraph" w:customStyle="1" w:styleId="43510">
    <w:name w:val="样式 43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84410">
    <w:name w:val="样式 1844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184510">
    <w:name w:val="样式 184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84610">
    <w:name w:val="样式 1846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5510">
    <w:name w:val="样式 45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201210">
    <w:name w:val="样式 2012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91310">
    <w:name w:val="样式 1913 10 磅"/>
    <w:pPr>
      <w:widowControl w:val="0"/>
      <w:numPr>
        <w:ilvl w:val="0"/>
        <w:numId w:val="6"/>
      </w:numPr>
      <w:tabs>
        <w:tab w:val="left" w:pos="0"/>
      </w:tabs>
      <w:jc w:val="both"/>
    </w:pPr>
    <w:rPr>
      <w:rFonts w:ascii="宋体" w:eastAsia="宋体" w:cs="Times New Roman"/>
      <w:kern w:val="2"/>
      <w:sz w:val="21"/>
      <w:szCs w:val="21"/>
      <w:lang w:val="en-US" w:eastAsia="zh-CN" w:bidi="ar-SA"/>
    </w:rPr>
  </w:style>
  <w:style w:type="paragraph" w:customStyle="1" w:styleId="191410">
    <w:name w:val="样式 1914 10 磅"/>
    <w:pPr>
      <w:widowControl w:val="0"/>
      <w:numPr>
        <w:ilvl w:val="0"/>
        <w:numId w:val="6"/>
      </w:numPr>
      <w:tabs>
        <w:tab w:val="left" w:pos="0"/>
      </w:tabs>
      <w:jc w:val="both"/>
    </w:pPr>
    <w:rPr>
      <w:rFonts w:ascii="宋体" w:eastAsia="宋体" w:cs="Times New Roman"/>
      <w:kern w:val="2"/>
      <w:sz w:val="21"/>
      <w:szCs w:val="21"/>
      <w:lang w:val="en-US" w:eastAsia="zh-CN" w:bidi="ar-SA"/>
    </w:rPr>
  </w:style>
  <w:style w:type="paragraph" w:customStyle="1" w:styleId="191510">
    <w:name w:val="样式 1915 10 磅"/>
    <w:pPr>
      <w:widowControl w:val="0"/>
      <w:numPr>
        <w:ilvl w:val="0"/>
        <w:numId w:val="6"/>
      </w:numPr>
      <w:tabs>
        <w:tab w:val="left" w:pos="0"/>
      </w:tabs>
      <w:jc w:val="both"/>
    </w:pPr>
    <w:rPr>
      <w:rFonts w:ascii="宋体" w:eastAsia="宋体" w:cs="Times New Roman"/>
      <w:kern w:val="2"/>
      <w:sz w:val="21"/>
      <w:szCs w:val="21"/>
      <w:lang w:val="en-US" w:eastAsia="zh-CN" w:bidi="ar-SA"/>
    </w:rPr>
  </w:style>
  <w:style w:type="paragraph" w:customStyle="1" w:styleId="44410">
    <w:name w:val="样式 444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4310">
    <w:name w:val="样式 443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4210">
    <w:name w:val="样式 442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910">
    <w:name w:val="样式 49 10 磅"/>
    <w:pPr>
      <w:widowControl w:val="0"/>
      <w:jc w:val="both"/>
    </w:pPr>
    <w:rPr>
      <w:rFonts w:ascii="等线" w:eastAsia="等线" w:cs="Times New Roman"/>
      <w:kern w:val="2"/>
      <w:sz w:val="21"/>
      <w:szCs w:val="22"/>
      <w:lang w:val="en-US" w:eastAsia="zh-CN" w:bidi="ar-SA"/>
    </w:rPr>
  </w:style>
  <w:style w:type="paragraph" w:customStyle="1" w:styleId="a">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szCs w:val="20"/>
      <w:lang w:val="en-US" w:eastAsia="zh-CN" w:bidi="ar-SA"/>
    </w:rPr>
  </w:style>
  <w:style w:type="paragraph" w:customStyle="1" w:styleId="6">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6">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234">
    <w:name w:val="样式 2 小四34"/>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3">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87">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210">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
    <w:name w:val="正文_8"/>
    <w:pPr>
      <w:widowControl w:val="0"/>
      <w:jc w:val="both"/>
    </w:pPr>
    <w:rPr>
      <w:rFonts w:ascii="Times New Roman" w:eastAsia="方正黑体_GBK" w:hAnsi="Times New Roman" w:cs="Times New Roman"/>
      <w:kern w:val="2"/>
      <w:sz w:val="21"/>
      <w:szCs w:val="22"/>
      <w:lang w:val="en-US" w:eastAsia="en-US"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en-US" w:bidi="ar-SA"/>
    </w:rPr>
  </w:style>
  <w:style w:type="paragraph" w:customStyle="1" w:styleId="199610">
    <w:name w:val="样式 1996 10 磅"/>
    <w:pPr>
      <w:widowControl w:val="0"/>
      <w:jc w:val="both"/>
    </w:pPr>
    <w:rPr>
      <w:rFonts w:ascii="等线" w:eastAsia="等线" w:cs="Times New Roman"/>
      <w:kern w:val="2"/>
      <w:sz w:val="21"/>
      <w:szCs w:val="22"/>
      <w:lang w:val="en-US" w:eastAsia="zh-CN" w:bidi="ar-SA"/>
    </w:rPr>
  </w:style>
  <w:style w:type="paragraph" w:customStyle="1" w:styleId="41310">
    <w:name w:val="样式 413 10 磅"/>
    <w:pPr>
      <w:widowControl w:val="0"/>
      <w:jc w:val="both"/>
    </w:pPr>
    <w:rPr>
      <w:rFonts w:ascii="Times New Roman" w:eastAsia="宋体" w:hAnsi="Times New Roman" w:cs="Times New Roman"/>
      <w:kern w:val="2"/>
      <w:sz w:val="21"/>
      <w:szCs w:val="20"/>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en-US" w:bidi="ar-SA"/>
    </w:rPr>
  </w:style>
  <w:style w:type="paragraph" w:customStyle="1" w:styleId="199510">
    <w:name w:val="样式 1995 10 磅"/>
    <w:pPr>
      <w:widowControl w:val="0"/>
      <w:spacing w:line="360" w:lineRule="auto"/>
      <w:jc w:val="both"/>
    </w:pPr>
    <w:rPr>
      <w:rFonts w:ascii="宋体" w:eastAsia="宋体" w:cs="Times New Roman"/>
      <w:kern w:val="2"/>
      <w:sz w:val="21"/>
      <w:szCs w:val="21"/>
      <w:lang w:val="en-US" w:eastAsia="zh-CN" w:bidi="ar-SA"/>
    </w:rPr>
  </w:style>
  <w:style w:type="paragraph" w:customStyle="1" w:styleId="199410">
    <w:name w:val="样式 1994 10 磅"/>
    <w:pPr>
      <w:widowControl w:val="0"/>
      <w:spacing w:line="360" w:lineRule="auto"/>
      <w:jc w:val="both"/>
    </w:pPr>
    <w:rPr>
      <w:rFonts w:ascii="宋体" w:eastAsia="宋体" w:cs="Times New Roman"/>
      <w:kern w:val="2"/>
      <w:sz w:val="21"/>
      <w:szCs w:val="21"/>
      <w:lang w:val="en-US" w:eastAsia="zh-CN" w:bidi="ar-SA"/>
    </w:rPr>
  </w:style>
  <w:style w:type="paragraph" w:customStyle="1" w:styleId="201310">
    <w:name w:val="样式 2013 10 磅"/>
    <w:pPr>
      <w:widowControl w:val="0"/>
      <w:jc w:val="both"/>
    </w:pPr>
    <w:rPr>
      <w:rFonts w:ascii="Times New Roman" w:eastAsia="宋体" w:hAnsi="Times New Roman" w:cs="Times New Roman"/>
      <w:kern w:val="2"/>
      <w:sz w:val="21"/>
      <w:szCs w:val="24"/>
      <w:lang w:val="en-US" w:eastAsia="zh-CN" w:bidi="ar-SA"/>
    </w:rPr>
  </w:style>
  <w:style w:type="paragraph" w:customStyle="1" w:styleId="199310">
    <w:name w:val="样式 1993 10 磅"/>
    <w:pPr>
      <w:widowControl w:val="0"/>
      <w:spacing w:line="360" w:lineRule="auto"/>
      <w:jc w:val="both"/>
    </w:pPr>
    <w:rPr>
      <w:rFonts w:ascii="宋体" w:eastAsia="宋体" w:cs="Times New Roman"/>
      <w:kern w:val="2"/>
      <w:sz w:val="21"/>
      <w:szCs w:val="21"/>
      <w:lang w:val="en-US" w:eastAsia="zh-CN" w:bidi="ar-SA"/>
    </w:rPr>
  </w:style>
  <w:style w:type="paragraph" w:customStyle="1" w:styleId="199210">
    <w:name w:val="样式 1992 10 磅"/>
    <w:pPr>
      <w:widowControl w:val="0"/>
      <w:spacing w:line="360" w:lineRule="auto"/>
      <w:jc w:val="both"/>
    </w:pPr>
    <w:rPr>
      <w:rFonts w:ascii="宋体" w:eastAsia="宋体" w:cs="Times New Roman"/>
      <w:kern w:val="2"/>
      <w:sz w:val="21"/>
      <w:szCs w:val="21"/>
      <w:lang w:val="en-US" w:eastAsia="zh-CN" w:bidi="ar-SA"/>
    </w:rPr>
  </w:style>
  <w:style w:type="paragraph" w:customStyle="1" w:styleId="199110">
    <w:name w:val="样式 1991 10 磅"/>
    <w:pPr>
      <w:widowControl w:val="0"/>
      <w:spacing w:line="360" w:lineRule="auto"/>
      <w:jc w:val="both"/>
    </w:pPr>
    <w:rPr>
      <w:rFonts w:ascii="宋体" w:eastAsia="宋体" w:cs="Times New Roman"/>
      <w:kern w:val="2"/>
      <w:sz w:val="21"/>
      <w:szCs w:val="21"/>
      <w:lang w:val="en-US" w:eastAsia="zh-CN" w:bidi="ar-SA"/>
    </w:rPr>
  </w:style>
  <w:style w:type="paragraph" w:customStyle="1" w:styleId="199010">
    <w:name w:val="样式 1990 10 磅"/>
    <w:pPr>
      <w:widowControl w:val="0"/>
      <w:spacing w:line="360" w:lineRule="auto"/>
      <w:jc w:val="both"/>
    </w:pPr>
    <w:rPr>
      <w:rFonts w:ascii="宋体" w:eastAsia="宋体" w:cs="Times New Roman"/>
      <w:kern w:val="2"/>
      <w:sz w:val="21"/>
      <w:szCs w:val="21"/>
      <w:lang w:val="en-US" w:eastAsia="zh-CN" w:bidi="ar-SA"/>
    </w:rPr>
  </w:style>
  <w:style w:type="paragraph" w:customStyle="1" w:styleId="198910">
    <w:name w:val="样式 1989 10 磅"/>
    <w:pPr>
      <w:widowControl w:val="0"/>
      <w:spacing w:line="360" w:lineRule="auto"/>
      <w:jc w:val="both"/>
    </w:pPr>
    <w:rPr>
      <w:rFonts w:ascii="宋体" w:eastAsia="宋体" w:cs="Times New Roman"/>
      <w:kern w:val="2"/>
      <w:sz w:val="21"/>
      <w:szCs w:val="21"/>
      <w:lang w:val="en-US" w:eastAsia="zh-CN" w:bidi="ar-SA"/>
    </w:rPr>
  </w:style>
  <w:style w:type="paragraph" w:customStyle="1" w:styleId="198810">
    <w:name w:val="样式 1988 10 磅"/>
    <w:pPr>
      <w:widowControl w:val="0"/>
      <w:spacing w:line="360" w:lineRule="auto"/>
      <w:jc w:val="both"/>
    </w:pPr>
    <w:rPr>
      <w:rFonts w:ascii="宋体" w:eastAsia="宋体" w:cs="Times New Roman"/>
      <w:kern w:val="2"/>
      <w:sz w:val="21"/>
      <w:szCs w:val="21"/>
      <w:lang w:val="en-US" w:eastAsia="zh-CN" w:bidi="ar-SA"/>
    </w:rPr>
  </w:style>
  <w:style w:type="paragraph" w:customStyle="1" w:styleId="198710">
    <w:name w:val="样式 1987 10 磅"/>
    <w:pPr>
      <w:widowControl w:val="0"/>
      <w:spacing w:line="360" w:lineRule="auto"/>
      <w:jc w:val="both"/>
    </w:pPr>
    <w:rPr>
      <w:rFonts w:ascii="宋体" w:eastAsia="宋体" w:cs="Times New Roman"/>
      <w:kern w:val="2"/>
      <w:sz w:val="21"/>
      <w:szCs w:val="21"/>
      <w:lang w:val="en-US" w:eastAsia="zh-CN" w:bidi="ar-SA"/>
    </w:rPr>
  </w:style>
  <w:style w:type="paragraph" w:customStyle="1" w:styleId="198610">
    <w:name w:val="样式 1986 10 磅"/>
    <w:pPr>
      <w:widowControl w:val="0"/>
      <w:spacing w:line="360" w:lineRule="auto"/>
      <w:jc w:val="both"/>
    </w:pPr>
    <w:rPr>
      <w:rFonts w:ascii="宋体" w:eastAsia="宋体" w:cs="Times New Roman"/>
      <w:kern w:val="2"/>
      <w:sz w:val="21"/>
      <w:szCs w:val="21"/>
      <w:lang w:val="en-US" w:eastAsia="zh-CN" w:bidi="ar-SA"/>
    </w:rPr>
  </w:style>
  <w:style w:type="paragraph" w:customStyle="1" w:styleId="198410">
    <w:name w:val="样式 1984 10 磅"/>
    <w:pPr>
      <w:widowControl w:val="0"/>
      <w:spacing w:line="360" w:lineRule="auto"/>
      <w:jc w:val="both"/>
    </w:pPr>
    <w:rPr>
      <w:rFonts w:ascii="宋体" w:eastAsia="宋体" w:cs="Times New Roman"/>
      <w:kern w:val="2"/>
      <w:sz w:val="21"/>
      <w:szCs w:val="21"/>
      <w:lang w:val="en-US" w:eastAsia="zh-CN" w:bidi="ar-SA"/>
    </w:rPr>
  </w:style>
  <w:style w:type="paragraph" w:customStyle="1" w:styleId="198310">
    <w:name w:val="样式 1983 10 磅"/>
    <w:pPr>
      <w:widowControl w:val="0"/>
      <w:spacing w:line="360" w:lineRule="auto"/>
      <w:jc w:val="both"/>
    </w:pPr>
    <w:rPr>
      <w:rFonts w:ascii="宋体" w:eastAsia="宋体" w:cs="Times New Roman"/>
      <w:kern w:val="2"/>
      <w:sz w:val="21"/>
      <w:szCs w:val="21"/>
      <w:lang w:val="en-US" w:eastAsia="zh-CN" w:bidi="ar-SA"/>
    </w:rPr>
  </w:style>
  <w:style w:type="paragraph" w:customStyle="1" w:styleId="198210">
    <w:name w:val="样式 1982 10 磅"/>
    <w:pPr>
      <w:widowControl w:val="0"/>
      <w:spacing w:line="360" w:lineRule="auto"/>
      <w:jc w:val="both"/>
    </w:pPr>
    <w:rPr>
      <w:rFonts w:ascii="宋体" w:eastAsia="宋体" w:cs="Times New Roman"/>
      <w:kern w:val="2"/>
      <w:sz w:val="21"/>
      <w:szCs w:val="21"/>
      <w:lang w:val="en-US" w:eastAsia="zh-CN" w:bidi="ar-SA"/>
    </w:rPr>
  </w:style>
  <w:style w:type="paragraph" w:customStyle="1" w:styleId="198110">
    <w:name w:val="样式 1981 10 磅"/>
    <w:pPr>
      <w:widowControl w:val="0"/>
      <w:spacing w:line="360" w:lineRule="auto"/>
      <w:jc w:val="both"/>
    </w:pPr>
    <w:rPr>
      <w:rFonts w:ascii="宋体" w:eastAsia="宋体" w:cs="Times New Roman"/>
      <w:kern w:val="2"/>
      <w:sz w:val="21"/>
      <w:szCs w:val="21"/>
      <w:lang w:val="en-US" w:eastAsia="zh-CN" w:bidi="ar-SA"/>
    </w:rPr>
  </w:style>
  <w:style w:type="paragraph" w:customStyle="1" w:styleId="198010">
    <w:name w:val="样式 1980 10 磅"/>
    <w:pPr>
      <w:widowControl w:val="0"/>
      <w:spacing w:line="360" w:lineRule="auto"/>
      <w:jc w:val="both"/>
    </w:pPr>
    <w:rPr>
      <w:rFonts w:ascii="宋体" w:eastAsia="宋体" w:cs="Times New Roman"/>
      <w:kern w:val="2"/>
      <w:sz w:val="21"/>
      <w:szCs w:val="21"/>
      <w:lang w:val="en-US" w:eastAsia="zh-CN" w:bidi="ar-SA"/>
    </w:rPr>
  </w:style>
  <w:style w:type="paragraph" w:customStyle="1" w:styleId="197910">
    <w:name w:val="样式 1979 10 磅"/>
    <w:pPr>
      <w:widowControl w:val="0"/>
      <w:spacing w:line="360" w:lineRule="auto"/>
      <w:jc w:val="both"/>
    </w:pPr>
    <w:rPr>
      <w:rFonts w:ascii="宋体" w:eastAsia="宋体" w:cs="Times New Roman"/>
      <w:kern w:val="2"/>
      <w:sz w:val="21"/>
      <w:szCs w:val="21"/>
      <w:lang w:val="en-US" w:eastAsia="zh-CN" w:bidi="ar-SA"/>
    </w:rPr>
  </w:style>
  <w:style w:type="paragraph" w:customStyle="1" w:styleId="197810">
    <w:name w:val="样式 1978 10 磅"/>
    <w:pPr>
      <w:widowControl w:val="0"/>
      <w:spacing w:line="360" w:lineRule="auto"/>
      <w:jc w:val="both"/>
    </w:pPr>
    <w:rPr>
      <w:rFonts w:ascii="宋体" w:eastAsia="宋体" w:cs="Times New Roman"/>
      <w:kern w:val="2"/>
      <w:sz w:val="21"/>
      <w:szCs w:val="21"/>
      <w:lang w:val="en-US" w:eastAsia="zh-CN" w:bidi="ar-SA"/>
    </w:rPr>
  </w:style>
  <w:style w:type="paragraph" w:customStyle="1" w:styleId="197710">
    <w:name w:val="样式 1977 10 磅"/>
    <w:pPr>
      <w:widowControl w:val="0"/>
      <w:spacing w:line="360" w:lineRule="auto"/>
      <w:jc w:val="both"/>
    </w:pPr>
    <w:rPr>
      <w:rFonts w:ascii="宋体" w:eastAsia="宋体" w:cs="Times New Roman"/>
      <w:kern w:val="2"/>
      <w:sz w:val="21"/>
      <w:szCs w:val="21"/>
      <w:lang w:val="en-US" w:eastAsia="zh-CN" w:bidi="ar-SA"/>
    </w:rPr>
  </w:style>
  <w:style w:type="paragraph" w:customStyle="1" w:styleId="197610">
    <w:name w:val="样式 1976 10 磅"/>
    <w:pPr>
      <w:widowControl w:val="0"/>
      <w:spacing w:line="360" w:lineRule="auto"/>
      <w:jc w:val="both"/>
    </w:pPr>
    <w:rPr>
      <w:rFonts w:ascii="宋体" w:eastAsia="宋体" w:cs="Times New Roman"/>
      <w:kern w:val="2"/>
      <w:sz w:val="21"/>
      <w:szCs w:val="21"/>
      <w:lang w:val="en-US" w:eastAsia="zh-CN" w:bidi="ar-SA"/>
    </w:rPr>
  </w:style>
  <w:style w:type="paragraph" w:customStyle="1" w:styleId="197510">
    <w:name w:val="样式 1975 10 磅"/>
    <w:pPr>
      <w:widowControl w:val="0"/>
      <w:spacing w:line="360" w:lineRule="auto"/>
      <w:jc w:val="both"/>
    </w:pPr>
    <w:rPr>
      <w:rFonts w:ascii="宋体" w:eastAsia="宋体" w:cs="Times New Roman"/>
      <w:kern w:val="2"/>
      <w:sz w:val="21"/>
      <w:szCs w:val="21"/>
      <w:lang w:val="en-US" w:eastAsia="zh-CN" w:bidi="ar-SA"/>
    </w:rPr>
  </w:style>
  <w:style w:type="paragraph" w:customStyle="1" w:styleId="197410">
    <w:name w:val="样式 1974 10 磅"/>
    <w:pPr>
      <w:widowControl w:val="0"/>
      <w:spacing w:line="360" w:lineRule="auto"/>
      <w:jc w:val="both"/>
    </w:pPr>
    <w:rPr>
      <w:rFonts w:ascii="宋体" w:eastAsia="宋体" w:cs="Times New Roman"/>
      <w:kern w:val="2"/>
      <w:sz w:val="21"/>
      <w:szCs w:val="21"/>
      <w:lang w:val="en-US" w:eastAsia="zh-CN" w:bidi="ar-SA"/>
    </w:rPr>
  </w:style>
  <w:style w:type="paragraph" w:customStyle="1" w:styleId="197310">
    <w:name w:val="样式 1973 10 磅"/>
    <w:pPr>
      <w:widowControl w:val="0"/>
      <w:spacing w:line="360" w:lineRule="auto"/>
      <w:jc w:val="both"/>
    </w:pPr>
    <w:rPr>
      <w:rFonts w:ascii="宋体" w:eastAsia="宋体" w:cs="Times New Roman"/>
      <w:kern w:val="2"/>
      <w:sz w:val="21"/>
      <w:szCs w:val="21"/>
      <w:lang w:val="en-US" w:eastAsia="zh-CN"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197110">
    <w:name w:val="样式 1971 10 磅"/>
    <w:pPr>
      <w:widowControl w:val="0"/>
      <w:spacing w:line="360" w:lineRule="auto"/>
      <w:jc w:val="both"/>
    </w:pPr>
    <w:rPr>
      <w:rFonts w:ascii="宋体" w:eastAsia="宋体" w:cs="Times New Roman"/>
      <w:kern w:val="2"/>
      <w:sz w:val="21"/>
      <w:szCs w:val="21"/>
      <w:lang w:val="en-US" w:eastAsia="zh-CN" w:bidi="ar-SA"/>
    </w:rPr>
  </w:style>
  <w:style w:type="paragraph" w:customStyle="1" w:styleId="197010">
    <w:name w:val="样式 1970 10 磅"/>
    <w:pPr>
      <w:widowControl w:val="0"/>
      <w:spacing w:line="360" w:lineRule="auto"/>
      <w:jc w:val="both"/>
    </w:pPr>
    <w:rPr>
      <w:rFonts w:ascii="宋体" w:eastAsia="宋体" w:cs="Times New Roman"/>
      <w:kern w:val="2"/>
      <w:sz w:val="21"/>
      <w:szCs w:val="21"/>
      <w:lang w:val="en-US" w:eastAsia="zh-CN" w:bidi="ar-SA"/>
    </w:rPr>
  </w:style>
  <w:style w:type="paragraph" w:customStyle="1" w:styleId="196910">
    <w:name w:val="样式 1969 10 磅"/>
    <w:pPr>
      <w:widowControl w:val="0"/>
      <w:spacing w:line="360" w:lineRule="auto"/>
      <w:jc w:val="both"/>
    </w:pPr>
    <w:rPr>
      <w:rFonts w:ascii="宋体" w:eastAsia="宋体" w:cs="Times New Roman"/>
      <w:kern w:val="2"/>
      <w:sz w:val="21"/>
      <w:szCs w:val="21"/>
      <w:lang w:val="en-US" w:eastAsia="zh-CN" w:bidi="ar-SA"/>
    </w:rPr>
  </w:style>
  <w:style w:type="paragraph" w:customStyle="1" w:styleId="196810">
    <w:name w:val="样式 1968 10 磅"/>
    <w:pPr>
      <w:widowControl w:val="0"/>
      <w:spacing w:line="360" w:lineRule="auto"/>
      <w:jc w:val="both"/>
    </w:pPr>
    <w:rPr>
      <w:rFonts w:ascii="宋体" w:eastAsia="宋体" w:cs="Times New Roman"/>
      <w:kern w:val="2"/>
      <w:sz w:val="21"/>
      <w:szCs w:val="21"/>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196610">
    <w:name w:val="样式 1966 10 磅"/>
    <w:pPr>
      <w:widowControl w:val="0"/>
      <w:spacing w:line="360" w:lineRule="auto"/>
      <w:jc w:val="both"/>
    </w:pPr>
    <w:rPr>
      <w:rFonts w:ascii="宋体" w:eastAsia="宋体" w:cs="Times New Roman"/>
      <w:kern w:val="2"/>
      <w:sz w:val="21"/>
      <w:szCs w:val="21"/>
      <w:lang w:val="en-US" w:eastAsia="zh-CN" w:bidi="ar-SA"/>
    </w:rPr>
  </w:style>
  <w:style w:type="paragraph" w:customStyle="1" w:styleId="196510">
    <w:name w:val="样式 1965 10 磅"/>
    <w:pPr>
      <w:widowControl w:val="0"/>
      <w:spacing w:line="360" w:lineRule="auto"/>
      <w:jc w:val="both"/>
    </w:pPr>
    <w:rPr>
      <w:rFonts w:ascii="宋体" w:eastAsia="宋体" w:cs="Times New Roman"/>
      <w:kern w:val="2"/>
      <w:sz w:val="21"/>
      <w:szCs w:val="21"/>
      <w:lang w:val="en-US" w:eastAsia="zh-CN" w:bidi="ar-SA"/>
    </w:rPr>
  </w:style>
  <w:style w:type="paragraph" w:customStyle="1" w:styleId="196410">
    <w:name w:val="样式 196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96310">
    <w:name w:val="样式 1963 10 磅"/>
    <w:pPr>
      <w:widowControl w:val="0"/>
      <w:spacing w:line="360" w:lineRule="auto"/>
      <w:jc w:val="both"/>
    </w:pPr>
    <w:rPr>
      <w:rFonts w:ascii="宋体" w:eastAsia="宋体" w:cs="Times New Roman"/>
      <w:kern w:val="2"/>
      <w:sz w:val="21"/>
      <w:szCs w:val="21"/>
      <w:lang w:val="en-US" w:eastAsia="zh-CN" w:bidi="ar-SA"/>
    </w:rPr>
  </w:style>
  <w:style w:type="paragraph" w:customStyle="1" w:styleId="196210">
    <w:name w:val="样式 1962 10 磅"/>
    <w:pPr>
      <w:widowControl w:val="0"/>
      <w:spacing w:line="360" w:lineRule="auto"/>
      <w:jc w:val="both"/>
    </w:pPr>
    <w:rPr>
      <w:rFonts w:ascii="宋体" w:eastAsia="宋体" w:cs="Times New Roman"/>
      <w:kern w:val="2"/>
      <w:sz w:val="21"/>
      <w:szCs w:val="21"/>
      <w:lang w:val="en-US" w:eastAsia="zh-CN" w:bidi="ar-SA"/>
    </w:rPr>
  </w:style>
  <w:style w:type="paragraph" w:customStyle="1" w:styleId="196110">
    <w:name w:val="样式 1961 10 磅"/>
    <w:pPr>
      <w:widowControl w:val="0"/>
      <w:spacing w:line="360" w:lineRule="auto"/>
      <w:jc w:val="both"/>
    </w:pPr>
    <w:rPr>
      <w:rFonts w:ascii="宋体" w:eastAsia="宋体" w:cs="Times New Roman"/>
      <w:kern w:val="2"/>
      <w:sz w:val="21"/>
      <w:szCs w:val="21"/>
      <w:lang w:val="en-US" w:eastAsia="zh-CN" w:bidi="ar-SA"/>
    </w:rPr>
  </w:style>
  <w:style w:type="paragraph" w:customStyle="1" w:styleId="196010">
    <w:name w:val="样式 1960 10 磅"/>
    <w:pPr>
      <w:widowControl w:val="0"/>
      <w:spacing w:line="360" w:lineRule="auto"/>
      <w:jc w:val="both"/>
    </w:pPr>
    <w:rPr>
      <w:rFonts w:ascii="宋体" w:eastAsia="宋体" w:cs="Times New Roman"/>
      <w:kern w:val="2"/>
      <w:sz w:val="21"/>
      <w:szCs w:val="21"/>
      <w:lang w:val="en-US" w:eastAsia="zh-CN" w:bidi="ar-SA"/>
    </w:rPr>
  </w:style>
  <w:style w:type="paragraph" w:customStyle="1" w:styleId="195910">
    <w:name w:val="样式 1959 10 磅"/>
    <w:pPr>
      <w:widowControl w:val="0"/>
      <w:spacing w:line="360" w:lineRule="auto"/>
      <w:jc w:val="both"/>
    </w:pPr>
    <w:rPr>
      <w:rFonts w:ascii="宋体" w:eastAsia="宋体" w:cs="Times New Roman"/>
      <w:kern w:val="2"/>
      <w:sz w:val="21"/>
      <w:szCs w:val="21"/>
      <w:lang w:val="en-US" w:eastAsia="zh-CN" w:bidi="ar-SA"/>
    </w:rPr>
  </w:style>
  <w:style w:type="paragraph" w:customStyle="1" w:styleId="195810">
    <w:name w:val="样式 1958 10 磅"/>
    <w:pPr>
      <w:widowControl w:val="0"/>
      <w:spacing w:line="360" w:lineRule="auto"/>
      <w:jc w:val="both"/>
    </w:pPr>
    <w:rPr>
      <w:rFonts w:ascii="宋体" w:eastAsia="宋体" w:cs="Times New Roman"/>
      <w:kern w:val="2"/>
      <w:sz w:val="21"/>
      <w:szCs w:val="21"/>
      <w:lang w:val="en-US" w:eastAsia="zh-CN" w:bidi="ar-SA"/>
    </w:rPr>
  </w:style>
  <w:style w:type="paragraph" w:customStyle="1" w:styleId="195710">
    <w:name w:val="样式 1957 10 磅"/>
    <w:pPr>
      <w:widowControl w:val="0"/>
      <w:spacing w:line="360" w:lineRule="auto"/>
      <w:jc w:val="both"/>
    </w:pPr>
    <w:rPr>
      <w:rFonts w:ascii="宋体" w:eastAsia="宋体" w:cs="Times New Roman"/>
      <w:kern w:val="2"/>
      <w:sz w:val="21"/>
      <w:szCs w:val="21"/>
      <w:lang w:val="en-US" w:eastAsia="zh-CN" w:bidi="ar-SA"/>
    </w:rPr>
  </w:style>
  <w:style w:type="paragraph" w:customStyle="1" w:styleId="195610">
    <w:name w:val="样式 1956 10 磅"/>
    <w:pPr>
      <w:widowControl w:val="0"/>
      <w:spacing w:line="360" w:lineRule="auto"/>
      <w:jc w:val="both"/>
    </w:pPr>
    <w:rPr>
      <w:rFonts w:ascii="宋体" w:eastAsia="宋体" w:cs="Times New Roman"/>
      <w:kern w:val="2"/>
      <w:sz w:val="21"/>
      <w:szCs w:val="21"/>
      <w:lang w:val="en-US" w:eastAsia="zh-CN" w:bidi="ar-SA"/>
    </w:rPr>
  </w:style>
  <w:style w:type="paragraph" w:customStyle="1" w:styleId="195510">
    <w:name w:val="样式 1955 10 磅"/>
    <w:pPr>
      <w:widowControl w:val="0"/>
      <w:spacing w:line="360" w:lineRule="auto"/>
      <w:jc w:val="both"/>
    </w:pPr>
    <w:rPr>
      <w:rFonts w:ascii="宋体" w:eastAsia="宋体" w:cs="Times New Roman"/>
      <w:kern w:val="2"/>
      <w:sz w:val="21"/>
      <w:szCs w:val="21"/>
      <w:lang w:val="en-US" w:eastAsia="zh-CN" w:bidi="ar-SA"/>
    </w:rPr>
  </w:style>
  <w:style w:type="paragraph" w:customStyle="1" w:styleId="195410">
    <w:name w:val="样式 1954 10 磅"/>
    <w:pPr>
      <w:widowControl w:val="0"/>
      <w:spacing w:line="360" w:lineRule="auto"/>
      <w:jc w:val="both"/>
    </w:pPr>
    <w:rPr>
      <w:rFonts w:ascii="宋体" w:eastAsia="宋体" w:cs="Times New Roman"/>
      <w:kern w:val="2"/>
      <w:sz w:val="21"/>
      <w:szCs w:val="21"/>
      <w:lang w:val="en-US" w:eastAsia="zh-CN" w:bidi="ar-SA"/>
    </w:rPr>
  </w:style>
  <w:style w:type="paragraph" w:customStyle="1" w:styleId="195310">
    <w:name w:val="样式 1953 10 磅"/>
    <w:pPr>
      <w:widowControl w:val="0"/>
      <w:spacing w:line="360" w:lineRule="auto"/>
      <w:jc w:val="both"/>
    </w:pPr>
    <w:rPr>
      <w:rFonts w:ascii="宋体" w:eastAsia="宋体" w:cs="Times New Roman"/>
      <w:kern w:val="2"/>
      <w:sz w:val="21"/>
      <w:szCs w:val="21"/>
      <w:lang w:val="en-US" w:eastAsia="zh-CN" w:bidi="ar-SA"/>
    </w:rPr>
  </w:style>
  <w:style w:type="paragraph" w:customStyle="1" w:styleId="15410">
    <w:name w:val="样式 154 10 磅"/>
    <w:next w:val="5010"/>
    <w:pPr>
      <w:widowControl w:val="0"/>
      <w:jc w:val="both"/>
    </w:pPr>
    <w:rPr>
      <w:rFonts w:ascii="Times New Roman" w:eastAsia="方正黑体_GBK" w:hAnsi="Times New Roman" w:cs="Times New Roman"/>
      <w:kern w:val="2"/>
      <w:sz w:val="21"/>
      <w:szCs w:val="22"/>
      <w:lang w:val="en-US" w:eastAsia="zh-CN" w:bidi="ar-SA"/>
    </w:rPr>
  </w:style>
  <w:style w:type="paragraph" w:customStyle="1" w:styleId="5010">
    <w:name w:val="样式 50 10 磅"/>
    <w:pPr>
      <w:widowControl w:val="0"/>
      <w:jc w:val="both"/>
    </w:pPr>
    <w:rPr>
      <w:rFonts w:ascii="Times New Roman" w:eastAsia="宋体" w:hAnsi="Times New Roman" w:cs="Times New Roman"/>
      <w:kern w:val="2"/>
      <w:sz w:val="21"/>
      <w:szCs w:val="24"/>
      <w:lang w:val="en-US" w:eastAsia="zh-CN" w:bidi="ar-SA"/>
    </w:rPr>
  </w:style>
  <w:style w:type="paragraph" w:customStyle="1" w:styleId="195210">
    <w:name w:val="样式 1952 10 磅"/>
    <w:pPr>
      <w:widowControl w:val="0"/>
      <w:spacing w:line="360" w:lineRule="auto"/>
      <w:jc w:val="both"/>
    </w:pPr>
    <w:rPr>
      <w:rFonts w:ascii="宋体" w:eastAsia="宋体" w:cs="Times New Roman"/>
      <w:kern w:val="2"/>
      <w:sz w:val="21"/>
      <w:szCs w:val="21"/>
      <w:lang w:val="en-US" w:eastAsia="zh-CN" w:bidi="ar-SA"/>
    </w:rPr>
  </w:style>
  <w:style w:type="paragraph" w:customStyle="1" w:styleId="195110">
    <w:name w:val="样式 1951 10 磅"/>
    <w:pPr>
      <w:widowControl w:val="0"/>
      <w:spacing w:line="360" w:lineRule="auto"/>
      <w:jc w:val="both"/>
    </w:pPr>
    <w:rPr>
      <w:rFonts w:ascii="宋体" w:eastAsia="宋体" w:cs="Times New Roman"/>
      <w:kern w:val="2"/>
      <w:sz w:val="21"/>
      <w:szCs w:val="21"/>
      <w:lang w:val="en-US" w:eastAsia="zh-CN" w:bidi="ar-SA"/>
    </w:rPr>
  </w:style>
  <w:style w:type="paragraph" w:customStyle="1" w:styleId="195010">
    <w:name w:val="样式 1950 10 磅"/>
    <w:pPr>
      <w:widowControl w:val="0"/>
      <w:spacing w:line="360" w:lineRule="auto"/>
      <w:jc w:val="both"/>
    </w:pPr>
    <w:rPr>
      <w:rFonts w:ascii="宋体" w:eastAsia="宋体" w:cs="Times New Roman"/>
      <w:kern w:val="2"/>
      <w:sz w:val="21"/>
      <w:szCs w:val="21"/>
      <w:lang w:val="en-US" w:eastAsia="zh-CN" w:bidi="ar-SA"/>
    </w:rPr>
  </w:style>
  <w:style w:type="paragraph" w:customStyle="1" w:styleId="0">
    <w:name w:val="纯文本_0"/>
    <w:pPr>
      <w:widowControl w:val="0"/>
      <w:spacing w:line="360" w:lineRule="auto"/>
      <w:jc w:val="both"/>
    </w:pPr>
    <w:rPr>
      <w:rFonts w:ascii="宋体" w:eastAsia="宋体" w:cs="Times New Roman"/>
      <w:kern w:val="2"/>
      <w:sz w:val="21"/>
      <w:szCs w:val="21"/>
      <w:lang w:val="en-US" w:eastAsia="zh-CN"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customStyle="1" w:styleId="2100">
    <w:name w:val="样式 2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70">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5">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60">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20">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3">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5">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71">
    <w:name w:val="样式 7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7">
    <w:name w:val="样式 17 "/>
    <w:link w:val="17Char"/>
    <w:rPr>
      <w:rFonts w:ascii="Times New Roman" w:eastAsia="宋体" w:hAnsi="Times New Roman" w:cs="Times New Roman"/>
      <w:sz w:val="20"/>
      <w:szCs w:val="20"/>
      <w:lang w:val="en-US" w:eastAsia="zh-CN" w:bidi="ar-SA"/>
    </w:rPr>
  </w:style>
  <w:style w:type="paragraph" w:customStyle="1" w:styleId="81">
    <w:name w:val="样式 8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00">
    <w:name w:val="样式 10 磅"/>
    <w:pPr>
      <w:widowControl w:val="0"/>
      <w:jc w:val="both"/>
    </w:pPr>
    <w:rPr>
      <w:rFonts w:ascii="Times New Roman" w:eastAsia="宋体" w:hAnsi="Times New Roman" w:cs="Times New Roman"/>
      <w:kern w:val="2"/>
      <w:sz w:val="21"/>
      <w:szCs w:val="24"/>
      <w:lang w:val="en-US" w:eastAsia="zh-CN" w:bidi="ar-SA"/>
    </w:rPr>
  </w:style>
  <w:style w:type="paragraph" w:customStyle="1" w:styleId="110">
    <w:name w:val="样式 1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
    <w:pPr>
      <w:widowControl w:val="0"/>
      <w:jc w:val="both"/>
    </w:pPr>
    <w:rPr>
      <w:rFonts w:ascii="Times New Roman" w:eastAsia="宋体" w:hAnsi="Times New Roman" w:cs="Times New Roman"/>
      <w:kern w:val="2"/>
      <w:sz w:val="21"/>
      <w:szCs w:val="24"/>
      <w:lang w:val="en-US" w:eastAsia="zh-CN" w:bidi="ar-SA"/>
    </w:rPr>
  </w:style>
  <w:style w:type="paragraph" w:customStyle="1" w:styleId="310">
    <w:name w:val="样式 3 10 磅"/>
    <w:pPr>
      <w:widowControl w:val="0"/>
      <w:jc w:val="both"/>
    </w:pPr>
    <w:rPr>
      <w:rFonts w:ascii="Times New Roman" w:eastAsia="宋体" w:hAnsi="Times New Roman" w:cs="Times New Roman"/>
      <w:kern w:val="2"/>
      <w:sz w:val="21"/>
      <w:szCs w:val="24"/>
      <w:lang w:val="en-US" w:eastAsia="zh-CN" w:bidi="ar-SA"/>
    </w:rPr>
  </w:style>
  <w:style w:type="paragraph" w:customStyle="1" w:styleId="410">
    <w:name w:val="样式 4 10 磅"/>
    <w:pPr>
      <w:widowControl w:val="0"/>
      <w:jc w:val="both"/>
    </w:pPr>
    <w:rPr>
      <w:rFonts w:ascii="Times New Roman" w:eastAsia="宋体" w:hAnsi="Times New Roman" w:cs="Times New Roman"/>
      <w:kern w:val="2"/>
      <w:sz w:val="21"/>
      <w:szCs w:val="24"/>
      <w:lang w:val="en-US" w:eastAsia="zh-CN" w:bidi="ar-SA"/>
    </w:rPr>
  </w:style>
  <w:style w:type="paragraph" w:customStyle="1" w:styleId="510">
    <w:name w:val="样式 5 10 磅"/>
    <w:pPr>
      <w:widowControl w:val="0"/>
      <w:jc w:val="both"/>
    </w:pPr>
    <w:rPr>
      <w:rFonts w:ascii="Times New Roman" w:eastAsia="宋体" w:hAnsi="Times New Roman" w:cs="Times New Roman"/>
      <w:kern w:val="2"/>
      <w:sz w:val="21"/>
      <w:szCs w:val="24"/>
      <w:lang w:val="en-US" w:eastAsia="zh-CN" w:bidi="ar-SA"/>
    </w:rPr>
  </w:style>
  <w:style w:type="paragraph" w:customStyle="1" w:styleId="610">
    <w:name w:val="样式 6 10 磅"/>
    <w:pPr>
      <w:widowControl w:val="0"/>
      <w:jc w:val="both"/>
    </w:pPr>
    <w:rPr>
      <w:rFonts w:ascii="Times New Roman" w:eastAsia="宋体" w:hAnsi="Times New Roman" w:cs="Times New Roman"/>
      <w:kern w:val="2"/>
      <w:sz w:val="21"/>
      <w:szCs w:val="24"/>
      <w:lang w:val="en-US" w:eastAsia="zh-CN" w:bidi="ar-SA"/>
    </w:rPr>
  </w:style>
  <w:style w:type="paragraph" w:customStyle="1" w:styleId="710">
    <w:name w:val="样式 7 10 磅"/>
    <w:pPr>
      <w:widowControl w:val="0"/>
      <w:jc w:val="both"/>
    </w:pPr>
    <w:rPr>
      <w:rFonts w:ascii="Times New Roman" w:eastAsia="宋体" w:hAnsi="Times New Roman" w:cs="Times New Roman"/>
      <w:kern w:val="2"/>
      <w:sz w:val="21"/>
      <w:szCs w:val="24"/>
      <w:lang w:val="en-US" w:eastAsia="zh-CN" w:bidi="ar-SA"/>
    </w:rPr>
  </w:style>
  <w:style w:type="paragraph" w:customStyle="1" w:styleId="810">
    <w:name w:val="样式 8 10 磅"/>
    <w:pPr>
      <w:widowControl w:val="0"/>
      <w:jc w:val="both"/>
    </w:pPr>
    <w:rPr>
      <w:rFonts w:ascii="Times New Roman" w:eastAsia="宋体" w:hAnsi="Times New Roman" w:cs="Times New Roman"/>
      <w:kern w:val="2"/>
      <w:sz w:val="21"/>
      <w:szCs w:val="24"/>
      <w:lang w:val="en-US" w:eastAsia="zh-CN" w:bidi="ar-SA"/>
    </w:rPr>
  </w:style>
  <w:style w:type="paragraph" w:customStyle="1" w:styleId="910">
    <w:name w:val="样式 9 10 磅"/>
    <w:pPr>
      <w:widowControl w:val="0"/>
      <w:jc w:val="both"/>
    </w:pPr>
    <w:rPr>
      <w:rFonts w:ascii="Times New Roman" w:eastAsia="宋体" w:hAnsi="Times New Roman" w:cs="Times New Roman"/>
      <w:kern w:val="2"/>
      <w:sz w:val="21"/>
      <w:szCs w:val="24"/>
      <w:lang w:val="en-US" w:eastAsia="zh-CN" w:bidi="ar-SA"/>
    </w:rPr>
  </w:style>
  <w:style w:type="paragraph" w:customStyle="1" w:styleId="1010">
    <w:name w:val="样式 10 10 磅"/>
    <w:pPr>
      <w:widowControl w:val="0"/>
      <w:jc w:val="both"/>
    </w:pPr>
    <w:rPr>
      <w:rFonts w:ascii="Times New Roman" w:eastAsia="宋体" w:hAnsi="Times New Roman" w:cs="Times New Roman"/>
      <w:kern w:val="2"/>
      <w:sz w:val="21"/>
      <w:szCs w:val="24"/>
      <w:lang w:val="en-US" w:eastAsia="zh-CN" w:bidi="ar-SA"/>
    </w:rPr>
  </w:style>
  <w:style w:type="paragraph" w:customStyle="1" w:styleId="1110">
    <w:name w:val="样式 11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样式 12 10 磅"/>
    <w:pPr>
      <w:widowControl w:val="0"/>
      <w:jc w:val="both"/>
    </w:pPr>
    <w:rPr>
      <w:rFonts w:ascii="Times New Roman" w:eastAsia="宋体" w:hAnsi="Times New Roman" w:cs="Times New Roman"/>
      <w:kern w:val="2"/>
      <w:sz w:val="21"/>
      <w:szCs w:val="24"/>
      <w:lang w:val="en-US" w:eastAsia="zh-CN" w:bidi="ar-SA"/>
    </w:rPr>
  </w:style>
  <w:style w:type="paragraph" w:customStyle="1" w:styleId="1310">
    <w:name w:val="样式 13 10 磅"/>
    <w:pPr>
      <w:widowControl w:val="0"/>
      <w:jc w:val="both"/>
    </w:pPr>
    <w:rPr>
      <w:rFonts w:ascii="Times New Roman" w:eastAsia="宋体" w:hAnsi="Times New Roman" w:cs="Times New Roman"/>
      <w:kern w:val="2"/>
      <w:sz w:val="21"/>
      <w:szCs w:val="24"/>
      <w:lang w:val="en-US" w:eastAsia="zh-CN" w:bidi="ar-SA"/>
    </w:rPr>
  </w:style>
  <w:style w:type="paragraph" w:customStyle="1" w:styleId="1410">
    <w:name w:val="样式 14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710">
    <w:name w:val="样式 1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10">
    <w:name w:val="样式 18 10 磅"/>
    <w:pPr>
      <w:widowControl w:val="0"/>
      <w:jc w:val="both"/>
    </w:pPr>
    <w:rPr>
      <w:rFonts w:ascii="Times New Roman" w:eastAsia="宋体" w:hAnsi="Times New Roman" w:cs="Times New Roman"/>
      <w:kern w:val="2"/>
      <w:sz w:val="21"/>
      <w:szCs w:val="24"/>
      <w:lang w:val="en-US" w:eastAsia="zh-CN" w:bidi="ar-SA"/>
    </w:rPr>
  </w:style>
  <w:style w:type="paragraph" w:customStyle="1" w:styleId="1910">
    <w:name w:val="样式 19 10 磅"/>
    <w:pPr>
      <w:widowControl w:val="0"/>
      <w:jc w:val="both"/>
    </w:pPr>
    <w:rPr>
      <w:rFonts w:ascii="Times New Roman" w:eastAsia="宋体" w:hAnsi="Times New Roman" w:cs="Times New Roman"/>
      <w:kern w:val="2"/>
      <w:sz w:val="21"/>
      <w:szCs w:val="24"/>
      <w:lang w:val="en-US" w:eastAsia="zh-CN" w:bidi="ar-SA"/>
    </w:rPr>
  </w:style>
  <w:style w:type="paragraph" w:customStyle="1" w:styleId="2010">
    <w:name w:val="样式 20 10 磅"/>
    <w:pPr>
      <w:widowControl w:val="0"/>
      <w:jc w:val="both"/>
    </w:pPr>
    <w:rPr>
      <w:rFonts w:ascii="Times New Roman" w:eastAsia="宋体" w:hAnsi="Times New Roman" w:cs="Times New Roman"/>
      <w:kern w:val="2"/>
      <w:sz w:val="21"/>
      <w:szCs w:val="24"/>
      <w:lang w:val="en-US" w:eastAsia="zh-CN" w:bidi="ar-SA"/>
    </w:rPr>
  </w:style>
  <w:style w:type="paragraph" w:customStyle="1" w:styleId="2110">
    <w:name w:val="样式 21 10 磅"/>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样式 22 10 磅"/>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样式 小四"/>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2310">
    <w:name w:val="样式 23 10 磅"/>
    <w:pPr>
      <w:widowControl w:val="0"/>
      <w:jc w:val="both"/>
    </w:pPr>
    <w:rPr>
      <w:rFonts w:ascii="Calibri" w:eastAsia="宋体" w:hAnsi="Calibri" w:cs="Times New Roman"/>
      <w:kern w:val="2"/>
      <w:sz w:val="21"/>
      <w:szCs w:val="22"/>
      <w:lang w:val="en-US" w:eastAsia="zh-CN" w:bidi="ar-SA"/>
    </w:rPr>
  </w:style>
  <w:style w:type="paragraph" w:customStyle="1" w:styleId="2510">
    <w:name w:val="样式 25 10 磅"/>
    <w:pPr>
      <w:widowControl w:val="0"/>
      <w:jc w:val="both"/>
    </w:pPr>
    <w:rPr>
      <w:rFonts w:ascii="Calibri" w:eastAsia="宋体" w:hAnsi="Calibri" w:cs="Times New Roman"/>
      <w:kern w:val="2"/>
      <w:sz w:val="21"/>
      <w:szCs w:val="24"/>
      <w:lang w:val="en-US" w:eastAsia="en-US" w:bidi="ar-SA"/>
    </w:rPr>
  </w:style>
  <w:style w:type="paragraph" w:customStyle="1" w:styleId="2610">
    <w:name w:val="样式 26 10 磅"/>
    <w:pPr>
      <w:widowControl w:val="0"/>
      <w:jc w:val="both"/>
    </w:pPr>
    <w:rPr>
      <w:rFonts w:ascii="Times New Roman" w:eastAsia="宋体" w:hAnsi="Times New Roman" w:cs="Times New Roman"/>
      <w:kern w:val="2"/>
      <w:sz w:val="21"/>
      <w:szCs w:val="24"/>
      <w:lang w:val="en-US" w:eastAsia="zh-CN" w:bidi="ar-SA"/>
    </w:rPr>
  </w:style>
  <w:style w:type="character" w:customStyle="1" w:styleId="17Char">
    <w:name w:val="样式 17  Char"/>
    <w:basedOn w:val="DefaultParagraphFont"/>
    <w:link w:val="17"/>
    <w:rPr>
      <w:rFonts w:ascii="Times New Roman" w:eastAsia="宋体" w:hAnsi="Times New Roman" w:cs="Times New Roman"/>
      <w:sz w:val="20"/>
      <w:szCs w:val="20"/>
    </w:rPr>
  </w:style>
  <w:style w:type="paragraph" w:customStyle="1" w:styleId="200">
    <w:name w:val="正文_2_0"/>
    <w:pPr>
      <w:widowControl w:val="0"/>
      <w:adjustRightInd w:val="0"/>
      <w:spacing w:line="360" w:lineRule="atLeast"/>
      <w:textAlignment w:val="baseline"/>
    </w:pPr>
    <w:rPr>
      <w:rFonts w:ascii="Times New Roman" w:eastAsia="方正黑体_GBK" w:hAnsi="Times New Roman" w:cs="Times New Roman"/>
      <w:sz w:val="24"/>
      <w:lang w:eastAsia="zh-CN"/>
    </w:rPr>
  </w:style>
  <w:style w:type="paragraph" w:customStyle="1" w:styleId="18210">
    <w:name w:val="样式 182 10 磅"/>
    <w:pPr>
      <w:widowControl w:val="0"/>
      <w:jc w:val="both"/>
    </w:pPr>
    <w:rPr>
      <w:rFonts w:ascii="Calibri" w:eastAsia="宋体" w:hAnsi="Calibri" w:cs="Times New Roman"/>
      <w:kern w:val="2"/>
      <w:sz w:val="21"/>
      <w:szCs w:val="22"/>
      <w:lang w:eastAsia="zh-CN"/>
    </w:rPr>
  </w:style>
  <w:style w:type="paragraph" w:customStyle="1" w:styleId="16310">
    <w:name w:val="样式 163 10 磅"/>
    <w:pPr>
      <w:widowControl w:val="0"/>
      <w:jc w:val="both"/>
    </w:pPr>
    <w:rPr>
      <w:rFonts w:ascii="等线" w:eastAsia="等线" w:hAnsi="Times New Roman" w:cs="Times New Roman"/>
      <w:kern w:val="2"/>
      <w:sz w:val="21"/>
      <w:szCs w:val="22"/>
      <w:lang w:eastAsia="zh-CN"/>
    </w:rPr>
  </w:style>
  <w:style w:type="paragraph" w:customStyle="1" w:styleId="9610">
    <w:name w:val="样式 96 10 磅"/>
    <w:pPr>
      <w:widowControl w:val="0"/>
      <w:jc w:val="both"/>
    </w:pPr>
    <w:rPr>
      <w:rFonts w:ascii="等线" w:eastAsia="等线" w:hAnsi="Times New Roman" w:cs="Times New Roman"/>
      <w:kern w:val="2"/>
      <w:sz w:val="21"/>
      <w:szCs w:val="22"/>
      <w:lang w:eastAsia="zh-CN"/>
    </w:rPr>
  </w:style>
  <w:style w:type="paragraph" w:customStyle="1" w:styleId="9710">
    <w:name w:val="样式 97 10 磅"/>
    <w:pPr>
      <w:widowControl w:val="0"/>
      <w:jc w:val="both"/>
    </w:pPr>
    <w:rPr>
      <w:rFonts w:ascii="等线" w:eastAsia="等线" w:hAnsi="Times New Roman" w:cs="Times New Roman"/>
      <w:kern w:val="2"/>
      <w:sz w:val="21"/>
      <w:szCs w:val="22"/>
      <w:lang w:eastAsia="zh-CN"/>
    </w:rPr>
  </w:style>
  <w:style w:type="paragraph" w:customStyle="1" w:styleId="9810">
    <w:name w:val="样式 98 10 磅"/>
    <w:pPr>
      <w:widowControl w:val="0"/>
      <w:jc w:val="both"/>
    </w:pPr>
    <w:rPr>
      <w:rFonts w:ascii="等线" w:eastAsia="等线" w:hAnsi="Times New Roman" w:cs="Times New Roman"/>
      <w:kern w:val="2"/>
      <w:sz w:val="21"/>
      <w:szCs w:val="22"/>
      <w:lang w:eastAsia="zh-CN"/>
    </w:rPr>
  </w:style>
  <w:style w:type="paragraph" w:customStyle="1" w:styleId="9910">
    <w:name w:val="样式 99 10 磅"/>
    <w:pPr>
      <w:widowControl w:val="0"/>
      <w:jc w:val="both"/>
    </w:pPr>
    <w:rPr>
      <w:rFonts w:ascii="等线" w:eastAsia="等线" w:hAnsi="Times New Roman" w:cs="Times New Roman"/>
      <w:kern w:val="2"/>
      <w:sz w:val="21"/>
      <w:szCs w:val="22"/>
      <w:lang w:eastAsia="zh-CN"/>
    </w:rPr>
  </w:style>
  <w:style w:type="paragraph" w:customStyle="1" w:styleId="10010">
    <w:name w:val="样式 100 10 磅"/>
    <w:pPr>
      <w:widowControl w:val="0"/>
      <w:jc w:val="both"/>
    </w:pPr>
    <w:rPr>
      <w:rFonts w:ascii="等线" w:eastAsia="等线" w:hAnsi="Times New Roman" w:cs="Times New Roman"/>
      <w:kern w:val="2"/>
      <w:sz w:val="21"/>
      <w:szCs w:val="22"/>
      <w:lang w:eastAsia="zh-CN"/>
    </w:rPr>
  </w:style>
  <w:style w:type="paragraph" w:customStyle="1" w:styleId="7610">
    <w:name w:val="样式 76 10 磅"/>
    <w:pPr>
      <w:widowControl w:val="0"/>
      <w:jc w:val="both"/>
    </w:pPr>
    <w:rPr>
      <w:rFonts w:ascii="等线" w:eastAsia="等线" w:hAnsi="Times New Roman" w:cs="Times New Roman"/>
      <w:kern w:val="2"/>
      <w:sz w:val="21"/>
      <w:szCs w:val="22"/>
      <w:lang w:eastAsia="zh-CN"/>
    </w:rPr>
  </w:style>
  <w:style w:type="paragraph" w:customStyle="1" w:styleId="6110">
    <w:name w:val="样式 61 10 磅"/>
    <w:pPr>
      <w:widowControl w:val="0"/>
      <w:jc w:val="both"/>
    </w:pPr>
    <w:rPr>
      <w:rFonts w:ascii="等线" w:eastAsia="等线" w:hAnsi="Times New Roman" w:cs="Times New Roman"/>
      <w:kern w:val="2"/>
      <w:sz w:val="21"/>
      <w:szCs w:val="22"/>
      <w:lang w:eastAsia="zh-CN"/>
    </w:rPr>
  </w:style>
  <w:style w:type="paragraph" w:customStyle="1" w:styleId="6210">
    <w:name w:val="样式 62 10 磅"/>
    <w:pPr>
      <w:widowControl w:val="0"/>
      <w:jc w:val="both"/>
    </w:pPr>
    <w:rPr>
      <w:rFonts w:ascii="等线" w:eastAsia="等线" w:hAnsi="Times New Roman" w:cs="Times New Roman"/>
      <w:kern w:val="2"/>
      <w:sz w:val="21"/>
      <w:szCs w:val="22"/>
      <w:lang w:eastAsia="zh-CN"/>
    </w:rPr>
  </w:style>
  <w:style w:type="paragraph" w:customStyle="1" w:styleId="194710">
    <w:name w:val="样式 1947 10 磅"/>
    <w:pPr>
      <w:widowControl w:val="0"/>
      <w:jc w:val="both"/>
    </w:pPr>
    <w:rPr>
      <w:rFonts w:ascii="Times New Roman" w:eastAsia="宋体" w:hAnsi="Times New Roman" w:cs="Times New Roman"/>
      <w:kern w:val="2"/>
      <w:sz w:val="21"/>
      <w:szCs w:val="24"/>
      <w:lang w:eastAsia="zh-CN"/>
    </w:rPr>
  </w:style>
  <w:style w:type="paragraph" w:customStyle="1" w:styleId="194010">
    <w:name w:val="样式 1940 10 磅"/>
    <w:pPr>
      <w:widowControl w:val="0"/>
      <w:jc w:val="both"/>
    </w:pPr>
    <w:rPr>
      <w:rFonts w:ascii="Times New Roman" w:eastAsia="宋体" w:hAnsi="Times New Roman" w:cs="Times New Roman"/>
      <w:kern w:val="2"/>
      <w:sz w:val="21"/>
      <w:szCs w:val="24"/>
      <w:lang w:eastAsia="zh-CN"/>
    </w:rPr>
  </w:style>
  <w:style w:type="paragraph" w:customStyle="1" w:styleId="193910">
    <w:name w:val="样式 1939 10 磅"/>
    <w:pPr>
      <w:widowControl w:val="0"/>
      <w:jc w:val="both"/>
    </w:pPr>
    <w:rPr>
      <w:rFonts w:ascii="Times New Roman" w:eastAsia="宋体" w:hAnsi="Times New Roman" w:cs="Times New Roman"/>
      <w:kern w:val="2"/>
      <w:sz w:val="21"/>
      <w:szCs w:val="24"/>
      <w:lang w:eastAsia="zh-CN"/>
    </w:rPr>
  </w:style>
  <w:style w:type="paragraph" w:customStyle="1" w:styleId="193810">
    <w:name w:val="样式 1938 10 磅"/>
    <w:pPr>
      <w:widowControl w:val="0"/>
      <w:jc w:val="both"/>
    </w:pPr>
    <w:rPr>
      <w:rFonts w:ascii="Times New Roman" w:eastAsia="宋体" w:hAnsi="Times New Roman" w:cs="Times New Roman"/>
      <w:kern w:val="2"/>
      <w:sz w:val="21"/>
      <w:szCs w:val="24"/>
      <w:lang w:eastAsia="zh-CN"/>
    </w:rPr>
  </w:style>
  <w:style w:type="paragraph" w:customStyle="1" w:styleId="193710">
    <w:name w:val="样式 1937 10 磅"/>
    <w:pPr>
      <w:widowControl w:val="0"/>
      <w:jc w:val="both"/>
    </w:pPr>
    <w:rPr>
      <w:rFonts w:ascii="Times New Roman" w:eastAsia="宋体" w:hAnsi="Times New Roman" w:cs="Times New Roman"/>
      <w:kern w:val="2"/>
      <w:sz w:val="21"/>
      <w:szCs w:val="24"/>
      <w:lang w:eastAsia="zh-CN"/>
    </w:rPr>
  </w:style>
  <w:style w:type="paragraph" w:customStyle="1" w:styleId="193610">
    <w:name w:val="样式 1936 10 磅"/>
    <w:pPr>
      <w:widowControl w:val="0"/>
      <w:jc w:val="both"/>
    </w:pPr>
    <w:rPr>
      <w:rFonts w:ascii="Times New Roman" w:eastAsia="宋体" w:hAnsi="Times New Roman" w:cs="Times New Roman"/>
      <w:kern w:val="2"/>
      <w:sz w:val="21"/>
      <w:szCs w:val="24"/>
      <w:lang w:eastAsia="zh-CN"/>
    </w:rPr>
  </w:style>
  <w:style w:type="paragraph" w:customStyle="1" w:styleId="193510">
    <w:name w:val="样式 1935 10 磅"/>
    <w:pPr>
      <w:widowControl w:val="0"/>
      <w:jc w:val="both"/>
    </w:pPr>
    <w:rPr>
      <w:rFonts w:ascii="Times New Roman" w:eastAsia="宋体" w:hAnsi="Times New Roman" w:cs="Times New Roman"/>
      <w:kern w:val="2"/>
      <w:sz w:val="21"/>
      <w:szCs w:val="24"/>
      <w:lang w:eastAsia="zh-CN"/>
    </w:rPr>
  </w:style>
  <w:style w:type="paragraph" w:customStyle="1" w:styleId="193410">
    <w:name w:val="样式 1934 10 磅"/>
    <w:pPr>
      <w:widowControl w:val="0"/>
      <w:jc w:val="both"/>
    </w:pPr>
    <w:rPr>
      <w:rFonts w:ascii="Times New Roman" w:eastAsia="宋体" w:hAnsi="Times New Roman" w:cs="Times New Roman"/>
      <w:kern w:val="2"/>
      <w:sz w:val="21"/>
      <w:szCs w:val="24"/>
      <w:lang w:eastAsia="zh-CN"/>
    </w:rPr>
  </w:style>
  <w:style w:type="paragraph" w:customStyle="1" w:styleId="193310">
    <w:name w:val="样式 1933 10 磅"/>
    <w:pPr>
      <w:widowControl w:val="0"/>
      <w:jc w:val="both"/>
    </w:pPr>
    <w:rPr>
      <w:rFonts w:ascii="Times New Roman" w:eastAsia="宋体" w:hAnsi="Times New Roman" w:cs="Times New Roman"/>
      <w:kern w:val="2"/>
      <w:sz w:val="21"/>
      <w:szCs w:val="24"/>
      <w:lang w:eastAsia="zh-CN"/>
    </w:rPr>
  </w:style>
  <w:style w:type="paragraph" w:customStyle="1" w:styleId="193210">
    <w:name w:val="样式 1932 10 磅"/>
    <w:pPr>
      <w:widowControl w:val="0"/>
      <w:jc w:val="both"/>
    </w:pPr>
    <w:rPr>
      <w:rFonts w:ascii="Times New Roman" w:eastAsia="宋体" w:hAnsi="Times New Roman" w:cs="Times New Roman"/>
      <w:kern w:val="2"/>
      <w:sz w:val="21"/>
      <w:szCs w:val="24"/>
      <w:lang w:eastAsia="zh-CN"/>
    </w:rPr>
  </w:style>
  <w:style w:type="paragraph" w:customStyle="1" w:styleId="193110">
    <w:name w:val="样式 1931 10 磅"/>
    <w:pPr>
      <w:widowControl w:val="0"/>
      <w:jc w:val="both"/>
    </w:pPr>
    <w:rPr>
      <w:rFonts w:ascii="Times New Roman" w:eastAsia="宋体" w:hAnsi="Times New Roman" w:cs="Times New Roman"/>
      <w:kern w:val="2"/>
      <w:sz w:val="21"/>
      <w:szCs w:val="24"/>
      <w:lang w:eastAsia="zh-CN"/>
    </w:rPr>
  </w:style>
  <w:style w:type="paragraph" w:customStyle="1" w:styleId="193010">
    <w:name w:val="样式 1930 10 磅"/>
    <w:pPr>
      <w:widowControl w:val="0"/>
      <w:jc w:val="both"/>
    </w:pPr>
    <w:rPr>
      <w:rFonts w:ascii="Times New Roman" w:eastAsia="宋体" w:hAnsi="Times New Roman" w:cs="Times New Roman"/>
      <w:kern w:val="2"/>
      <w:sz w:val="21"/>
      <w:szCs w:val="24"/>
      <w:lang w:eastAsia="zh-CN"/>
    </w:rPr>
  </w:style>
  <w:style w:type="paragraph" w:customStyle="1" w:styleId="192910">
    <w:name w:val="样式 1929 10 磅"/>
    <w:pPr>
      <w:widowControl w:val="0"/>
      <w:jc w:val="both"/>
    </w:pPr>
    <w:rPr>
      <w:rFonts w:ascii="Times New Roman" w:eastAsia="宋体" w:hAnsi="Times New Roman" w:cs="Times New Roman"/>
      <w:kern w:val="2"/>
      <w:sz w:val="21"/>
      <w:szCs w:val="24"/>
      <w:lang w:eastAsia="zh-CN"/>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eastAsia="zh-CN"/>
    </w:rPr>
  </w:style>
  <w:style w:type="paragraph" w:customStyle="1" w:styleId="94710">
    <w:name w:val="样式 947 10 磅"/>
    <w:pPr>
      <w:widowControl w:val="0"/>
      <w:jc w:val="both"/>
    </w:pPr>
    <w:rPr>
      <w:rFonts w:ascii="Times New Roman" w:eastAsia="方正黑体_GBK" w:hAnsi="Times New Roman" w:cs="Times New Roman"/>
      <w:kern w:val="2"/>
      <w:sz w:val="21"/>
      <w:szCs w:val="22"/>
      <w:lang w:eastAsia="zh-CN"/>
    </w:rPr>
  </w:style>
  <w:style w:type="paragraph" w:customStyle="1" w:styleId="94810">
    <w:name w:val="样式 948 10 磅"/>
    <w:pPr>
      <w:widowControl w:val="0"/>
      <w:spacing w:after="200" w:line="360" w:lineRule="auto"/>
      <w:jc w:val="both"/>
    </w:pPr>
    <w:rPr>
      <w:rFonts w:ascii="Times New Roman" w:eastAsia="方正黑体_GBK" w:hAnsi="Times New Roman" w:cs="Times New Roman"/>
      <w:kern w:val="2"/>
      <w:sz w:val="21"/>
      <w:szCs w:val="22"/>
      <w:lang w:eastAsia="zh-CN"/>
    </w:rPr>
  </w:style>
  <w:style w:type="paragraph" w:customStyle="1" w:styleId="187310">
    <w:name w:val="样式 1873 10 磅"/>
    <w:pPr>
      <w:widowControl w:val="0"/>
      <w:jc w:val="both"/>
    </w:pPr>
    <w:rPr>
      <w:rFonts w:ascii="Times New Roman" w:eastAsia="宋体" w:hAnsi="Times New Roman" w:cs="Times New Roman"/>
      <w:kern w:val="2"/>
      <w:sz w:val="21"/>
      <w:szCs w:val="24"/>
      <w:lang w:eastAsia="zh-CN"/>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eastAsia="zh-CN"/>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eastAsia="zh-CN"/>
    </w:rPr>
  </w:style>
  <w:style w:type="paragraph" w:customStyle="1" w:styleId="1000">
    <w:name w:val="样式 10 磅_0"/>
    <w:pPr>
      <w:widowControl w:val="0"/>
      <w:jc w:val="both"/>
    </w:pPr>
    <w:rPr>
      <w:rFonts w:ascii="Times New Roman" w:eastAsia="宋体" w:hAnsi="Times New Roman" w:cs="Times New Roman"/>
      <w:kern w:val="2"/>
      <w:sz w:val="21"/>
      <w:lang w:eastAsia="zh-CN"/>
    </w:rPr>
  </w:style>
  <w:style w:type="paragraph" w:styleId="PlainText">
    <w:name w:val="Plain Text"/>
    <w:pPr>
      <w:widowControl w:val="0"/>
      <w:jc w:val="both"/>
    </w:pPr>
    <w:rPr>
      <w:rFonts w:eastAsia="宋体" w:hAnsi="方正兰亭黑_GBK" w:cs="Courier New"/>
      <w:kern w:val="2"/>
      <w:sz w:val="21"/>
      <w:szCs w:val="21"/>
      <w:lang w:eastAsia="zh-CN"/>
    </w:rPr>
  </w:style>
  <w:style w:type="paragraph" w:customStyle="1" w:styleId="103">
    <w:name w:val="正文_103"/>
    <w:pPr>
      <w:widowControl w:val="0"/>
      <w:jc w:val="both"/>
    </w:pPr>
    <w:rPr>
      <w:rFonts w:ascii="Times New Roman" w:eastAsia="方正仿宋_GBK" w:hAnsi="Times New Roman" w:cs="Times New Roman"/>
      <w:kern w:val="2"/>
      <w:sz w:val="32"/>
      <w:lang w:eastAsia="zh-CN"/>
    </w:rPr>
  </w:style>
  <w:style w:type="paragraph" w:customStyle="1" w:styleId="31">
    <w:name w:val="样式 3 三号"/>
    <w:pPr>
      <w:widowControl w:val="0"/>
      <w:jc w:val="both"/>
    </w:pPr>
    <w:rPr>
      <w:rFonts w:ascii="Times New Roman" w:eastAsia="方正仿宋_GBK" w:hAnsi="Times New Roman" w:cs="Times New Roman"/>
      <w:kern w:val="2"/>
      <w:sz w:val="32"/>
      <w:lang w:eastAsia="zh-CN"/>
    </w:rPr>
  </w:style>
  <w:style w:type="paragraph" w:customStyle="1" w:styleId="4710">
    <w:name w:val="样式 47 10 磅"/>
    <w:pPr>
      <w:widowControl w:val="0"/>
      <w:jc w:val="both"/>
    </w:pPr>
    <w:rPr>
      <w:rFonts w:ascii="Times New Roman" w:eastAsia="宋体" w:hAnsi="Times New Roman" w:cs="Times New Roman"/>
      <w:kern w:val="2"/>
      <w:sz w:val="21"/>
      <w:szCs w:val="22"/>
      <w:lang w:eastAsia="zh-CN"/>
    </w:rPr>
  </w:style>
  <w:style w:type="paragraph" w:customStyle="1" w:styleId="23">
    <w:name w:val="正文_23"/>
    <w:pPr>
      <w:widowControl w:val="0"/>
      <w:jc w:val="both"/>
    </w:pPr>
    <w:rPr>
      <w:rFonts w:ascii="Times New Roman" w:eastAsia="方正仿宋_GBK" w:hAnsi="Times New Roman" w:cs="Times New Roman"/>
      <w:kern w:val="2"/>
      <w:sz w:val="32"/>
      <w:lang w:eastAsia="zh-CN"/>
    </w:rPr>
  </w:style>
  <w:style w:type="paragraph" w:customStyle="1" w:styleId="50510">
    <w:name w:val="样式 505 10 磅"/>
    <w:next w:val="PlainText"/>
    <w:pPr>
      <w:widowControl w:val="0"/>
      <w:jc w:val="both"/>
    </w:pPr>
    <w:rPr>
      <w:rFonts w:ascii="Times New Roman" w:eastAsia="宋体" w:hAnsi="Times New Roman" w:cs="Times New Roman"/>
      <w:kern w:val="2"/>
      <w:sz w:val="21"/>
      <w:szCs w:val="22"/>
      <w:lang w:eastAsia="zh-CN"/>
    </w:rPr>
  </w:style>
  <w:style w:type="paragraph" w:customStyle="1" w:styleId="90">
    <w:name w:val="正文_90"/>
    <w:pPr>
      <w:widowControl w:val="0"/>
      <w:jc w:val="both"/>
    </w:pPr>
    <w:rPr>
      <w:rFonts w:ascii="Times New Roman" w:eastAsia="方正仿宋_GBK" w:hAnsi="Times New Roman" w:cs="Times New Roman"/>
      <w:kern w:val="2"/>
      <w:sz w:val="32"/>
      <w:lang w:eastAsia="zh-CN"/>
    </w:rPr>
  </w:style>
  <w:style w:type="paragraph" w:customStyle="1" w:styleId="93">
    <w:name w:val="正文_93"/>
    <w:pPr>
      <w:widowControl w:val="0"/>
      <w:jc w:val="both"/>
    </w:pPr>
    <w:rPr>
      <w:rFonts w:ascii="Times New Roman" w:eastAsia="方正仿宋_GBK" w:hAnsi="Times New Roman" w:cs="Times New Roman"/>
      <w:kern w:val="2"/>
      <w:sz w:val="32"/>
      <w:lang w:eastAsia="zh-CN"/>
    </w:rPr>
  </w:style>
  <w:style w:type="paragraph" w:customStyle="1" w:styleId="94">
    <w:name w:val="正文_94"/>
    <w:pPr>
      <w:widowControl w:val="0"/>
      <w:jc w:val="both"/>
    </w:pPr>
    <w:rPr>
      <w:rFonts w:ascii="Times New Roman" w:eastAsia="方正仿宋_GBK" w:hAnsi="Times New Roman" w:cs="Times New Roman"/>
      <w:kern w:val="2"/>
      <w:sz w:val="32"/>
      <w:lang w:eastAsia="zh-CN"/>
    </w:rPr>
  </w:style>
  <w:style w:type="paragraph" w:customStyle="1" w:styleId="32">
    <w:name w:val="正文_32"/>
    <w:pPr>
      <w:widowControl w:val="0"/>
      <w:jc w:val="both"/>
    </w:pPr>
    <w:rPr>
      <w:rFonts w:ascii="Times New Roman" w:eastAsia="方正仿宋_GBK" w:hAnsi="Times New Roman" w:cs="Times New Roman"/>
      <w:kern w:val="2"/>
      <w:sz w:val="32"/>
      <w:lang w:eastAsia="zh-CN"/>
    </w:rPr>
  </w:style>
  <w:style w:type="paragraph" w:customStyle="1" w:styleId="18">
    <w:name w:val="正文_18"/>
    <w:pPr>
      <w:widowControl w:val="0"/>
      <w:jc w:val="both"/>
    </w:pPr>
    <w:rPr>
      <w:rFonts w:ascii="Times New Roman" w:eastAsia="方正仿宋_GBK" w:hAnsi="Times New Roman" w:cs="Times New Roman"/>
      <w:kern w:val="2"/>
      <w:sz w:val="32"/>
      <w:lang w:eastAsia="zh-CN"/>
    </w:rPr>
  </w:style>
  <w:style w:type="paragraph" w:customStyle="1" w:styleId="21">
    <w:name w:val="正文_2"/>
    <w:pPr>
      <w:widowControl w:val="0"/>
      <w:jc w:val="both"/>
    </w:pPr>
    <w:rPr>
      <w:rFonts w:ascii="Times New Roman" w:eastAsia="方正仿宋_GBK" w:hAnsi="Times New Roman" w:cs="Times New Roman"/>
      <w:kern w:val="2"/>
      <w:sz w:val="32"/>
      <w:lang w:eastAsia="zh-CN"/>
    </w:rPr>
  </w:style>
  <w:style w:type="paragraph" w:customStyle="1" w:styleId="33">
    <w:name w:val="正文_3"/>
    <w:pPr>
      <w:widowControl w:val="0"/>
      <w:jc w:val="both"/>
    </w:pPr>
    <w:rPr>
      <w:rFonts w:ascii="Times New Roman" w:eastAsia="方正仿宋_GBK" w:hAnsi="Times New Roman" w:cs="Times New Roman"/>
      <w:kern w:val="2"/>
      <w:sz w:val="32"/>
      <w:lang w:eastAsia="zh-CN"/>
    </w:rPr>
  </w:style>
  <w:style w:type="paragraph" w:customStyle="1" w:styleId="114">
    <w:name w:val="正文_114"/>
    <w:pPr>
      <w:widowControl w:val="0"/>
      <w:jc w:val="both"/>
    </w:pPr>
    <w:rPr>
      <w:rFonts w:ascii="Times New Roman" w:eastAsia="方正仿宋_GBK" w:hAnsi="Times New Roman" w:cs="Times New Roman"/>
      <w:kern w:val="2"/>
      <w:sz w:val="32"/>
      <w:lang w:eastAsia="zh-CN"/>
    </w:rPr>
  </w:style>
  <w:style w:type="paragraph" w:customStyle="1" w:styleId="109">
    <w:name w:val="正文_109"/>
    <w:pPr>
      <w:widowControl w:val="0"/>
      <w:jc w:val="both"/>
    </w:pPr>
    <w:rPr>
      <w:rFonts w:ascii="Times New Roman" w:eastAsia="方正仿宋_GBK" w:hAnsi="Times New Roman" w:cs="Times New Roman"/>
      <w:kern w:val="2"/>
      <w:sz w:val="32"/>
      <w:lang w:eastAsia="zh-CN"/>
    </w:rPr>
  </w:style>
  <w:style w:type="paragraph" w:customStyle="1" w:styleId="130">
    <w:name w:val="正文_130"/>
    <w:pPr>
      <w:widowControl w:val="0"/>
      <w:jc w:val="both"/>
    </w:pPr>
    <w:rPr>
      <w:rFonts w:ascii="Times New Roman" w:eastAsia="方正仿宋_GBK" w:hAnsi="Times New Roman" w:cs="Times New Roman"/>
      <w:kern w:val="2"/>
      <w:sz w:val="32"/>
      <w:lang w:eastAsia="zh-CN"/>
    </w:rPr>
  </w:style>
  <w:style w:type="paragraph" w:customStyle="1" w:styleId="101">
    <w:name w:val="正文_101"/>
    <w:pPr>
      <w:widowControl w:val="0"/>
      <w:jc w:val="both"/>
    </w:pPr>
    <w:rPr>
      <w:rFonts w:ascii="Times New Roman" w:eastAsia="方正仿宋_GBK" w:hAnsi="Times New Roman" w:cs="Times New Roman"/>
      <w:kern w:val="2"/>
      <w:sz w:val="32"/>
      <w:lang w:eastAsia="zh-CN"/>
    </w:rPr>
  </w:style>
  <w:style w:type="paragraph" w:customStyle="1" w:styleId="217">
    <w:name w:val="样式 2 三号_17"/>
    <w:pPr>
      <w:widowControl w:val="0"/>
      <w:jc w:val="both"/>
    </w:pPr>
    <w:rPr>
      <w:rFonts w:ascii="Times New Roman" w:eastAsia="方正仿宋_GBK" w:hAnsi="Times New Roman" w:cs="Times New Roman"/>
      <w:kern w:val="2"/>
      <w:sz w:val="32"/>
      <w:lang w:eastAsia="zh-CN"/>
    </w:rPr>
  </w:style>
  <w:style w:type="paragraph" w:customStyle="1" w:styleId="600">
    <w:name w:val="正文_60"/>
    <w:pPr>
      <w:widowControl w:val="0"/>
      <w:jc w:val="both"/>
    </w:pPr>
    <w:rPr>
      <w:rFonts w:ascii="Times New Roman" w:eastAsia="方正仿宋_GBK" w:hAnsi="Times New Roman" w:cs="Times New Roman"/>
      <w:kern w:val="2"/>
      <w:sz w:val="32"/>
      <w:lang w:eastAsia="zh-CN"/>
    </w:rPr>
  </w:style>
  <w:style w:type="paragraph" w:customStyle="1" w:styleId="50">
    <w:name w:val="正文_50"/>
    <w:pPr>
      <w:widowControl w:val="0"/>
      <w:jc w:val="both"/>
    </w:pPr>
    <w:rPr>
      <w:rFonts w:ascii="Times New Roman" w:eastAsia="方正仿宋_GBK" w:hAnsi="Times New Roman" w:cs="Times New Roman"/>
      <w:kern w:val="2"/>
      <w:sz w:val="32"/>
      <w:lang w:eastAsia="zh-CN"/>
    </w:rPr>
  </w:style>
  <w:style w:type="paragraph" w:customStyle="1" w:styleId="66">
    <w:name w:val="正文_66"/>
    <w:pPr>
      <w:widowControl w:val="0"/>
      <w:jc w:val="both"/>
    </w:pPr>
    <w:rPr>
      <w:rFonts w:ascii="Times New Roman" w:eastAsia="方正仿宋_GBK" w:hAnsi="Times New Roman" w:cs="Times New Roman"/>
      <w:kern w:val="2"/>
      <w:sz w:val="32"/>
      <w:lang w:eastAsia="zh-CN"/>
    </w:rPr>
  </w:style>
  <w:style w:type="paragraph" w:customStyle="1" w:styleId="3010">
    <w:name w:val="样式 30 10 磅"/>
    <w:pPr>
      <w:widowControl w:val="0"/>
      <w:jc w:val="both"/>
    </w:pPr>
    <w:rPr>
      <w:rFonts w:ascii="Times New Roman" w:eastAsia="宋体" w:hAnsi="Times New Roman" w:cs="Times New Roman"/>
      <w:kern w:val="2"/>
      <w:sz w:val="21"/>
      <w:szCs w:val="22"/>
      <w:lang w:eastAsia="zh-CN"/>
    </w:rPr>
  </w:style>
  <w:style w:type="paragraph" w:customStyle="1" w:styleId="50710">
    <w:name w:val="样式 507 10 磅"/>
    <w:next w:val="11"/>
    <w:pPr>
      <w:widowControl w:val="0"/>
      <w:jc w:val="both"/>
    </w:pPr>
    <w:rPr>
      <w:rFonts w:ascii="Times New Roman" w:eastAsia="宋体" w:hAnsi="Times New Roman" w:cs="Times New Roman"/>
      <w:kern w:val="2"/>
      <w:sz w:val="21"/>
      <w:lang w:eastAsia="zh-CN"/>
    </w:rPr>
  </w:style>
  <w:style w:type="paragraph" w:customStyle="1" w:styleId="11">
    <w:name w:val="正文_1"/>
    <w:next w:val="51"/>
    <w:pPr>
      <w:widowControl w:val="0"/>
      <w:jc w:val="both"/>
    </w:pPr>
    <w:rPr>
      <w:rFonts w:ascii="Times New Roman" w:eastAsia="方正仿宋_GBK" w:hAnsi="Times New Roman" w:cs="Times New Roman"/>
      <w:kern w:val="2"/>
      <w:sz w:val="32"/>
      <w:lang w:eastAsia="zh-CN"/>
    </w:rPr>
  </w:style>
  <w:style w:type="paragraph" w:customStyle="1" w:styleId="51">
    <w:name w:val="正文_5"/>
    <w:pPr>
      <w:widowControl w:val="0"/>
      <w:jc w:val="both"/>
    </w:pPr>
    <w:rPr>
      <w:rFonts w:ascii="Times New Roman" w:eastAsia="方正仿宋_GBK" w:hAnsi="Times New Roman" w:cs="Times New Roman"/>
      <w:kern w:val="2"/>
      <w:sz w:val="32"/>
      <w:lang w:eastAsia="zh-CN"/>
    </w:rPr>
  </w:style>
  <w:style w:type="paragraph" w:customStyle="1" w:styleId="4610">
    <w:name w:val="样式 46 10 磅"/>
    <w:pPr>
      <w:widowControl w:val="0"/>
      <w:jc w:val="both"/>
    </w:pPr>
    <w:rPr>
      <w:rFonts w:ascii="Times New Roman" w:eastAsia="宋体" w:hAnsi="Times New Roman" w:cs="Times New Roman"/>
      <w:kern w:val="2"/>
      <w:sz w:val="21"/>
      <w:lang w:eastAsia="zh-CN"/>
    </w:rPr>
  </w:style>
  <w:style w:type="paragraph" w:customStyle="1" w:styleId="35100">
    <w:name w:val="样式 35 10 磅_0"/>
    <w:pPr>
      <w:widowControl w:val="0"/>
      <w:jc w:val="both"/>
    </w:pPr>
    <w:rPr>
      <w:rFonts w:ascii="Times New Roman" w:eastAsia="宋体" w:hAnsi="Times New Roman" w:cs="Times New Roman"/>
      <w:kern w:val="2"/>
      <w:sz w:val="21"/>
      <w:szCs w:val="22"/>
      <w:lang w:eastAsia="zh-CN"/>
    </w:rPr>
  </w:style>
  <w:style w:type="paragraph" w:customStyle="1" w:styleId="3610">
    <w:name w:val="样式 36 10 磅"/>
    <w:pPr>
      <w:widowControl w:val="0"/>
      <w:jc w:val="both"/>
    </w:pPr>
    <w:rPr>
      <w:rFonts w:ascii="Times New Roman" w:eastAsia="宋体" w:hAnsi="Times New Roman" w:cs="Times New Roman"/>
      <w:kern w:val="2"/>
      <w:sz w:val="21"/>
      <w:szCs w:val="22"/>
      <w:lang w:eastAsia="zh-CN"/>
    </w:rPr>
  </w:style>
  <w:style w:type="paragraph" w:customStyle="1" w:styleId="3710">
    <w:name w:val="样式 37 10 磅"/>
    <w:pPr>
      <w:widowControl w:val="0"/>
      <w:jc w:val="both"/>
    </w:pPr>
    <w:rPr>
      <w:rFonts w:ascii="Times New Roman" w:eastAsia="宋体" w:hAnsi="Times New Roman" w:cs="Times New Roman"/>
      <w:kern w:val="2"/>
      <w:sz w:val="21"/>
      <w:szCs w:val="22"/>
      <w:lang w:eastAsia="zh-CN"/>
    </w:rPr>
  </w:style>
  <w:style w:type="paragraph" w:customStyle="1" w:styleId="3810">
    <w:name w:val="样式 38 10 磅"/>
    <w:pPr>
      <w:widowControl w:val="0"/>
      <w:jc w:val="both"/>
    </w:pPr>
    <w:rPr>
      <w:rFonts w:ascii="Times New Roman" w:eastAsia="宋体" w:hAnsi="Times New Roman" w:cs="Times New Roman"/>
      <w:kern w:val="2"/>
      <w:sz w:val="21"/>
      <w:szCs w:val="22"/>
      <w:lang w:eastAsia="zh-CN"/>
    </w:rPr>
  </w:style>
  <w:style w:type="paragraph" w:customStyle="1" w:styleId="3910">
    <w:name w:val="样式 39 10 磅"/>
    <w:pPr>
      <w:widowControl w:val="0"/>
      <w:jc w:val="both"/>
    </w:pPr>
    <w:rPr>
      <w:rFonts w:ascii="Times New Roman" w:eastAsia="宋体" w:hAnsi="Times New Roman" w:cs="Times New Roman"/>
      <w:kern w:val="2"/>
      <w:sz w:val="21"/>
      <w:szCs w:val="22"/>
      <w:lang w:eastAsia="zh-CN"/>
    </w:rPr>
  </w:style>
  <w:style w:type="paragraph" w:customStyle="1" w:styleId="4110">
    <w:name w:val="样式 41 10 磅"/>
    <w:pPr>
      <w:widowControl w:val="0"/>
      <w:jc w:val="both"/>
    </w:pPr>
    <w:rPr>
      <w:rFonts w:ascii="Times New Roman" w:eastAsia="宋体" w:hAnsi="Times New Roman" w:cs="Times New Roman"/>
      <w:kern w:val="2"/>
      <w:sz w:val="21"/>
      <w:szCs w:val="22"/>
      <w:lang w:eastAsia="zh-CN"/>
    </w:rPr>
  </w:style>
  <w:style w:type="paragraph" w:customStyle="1" w:styleId="4210">
    <w:name w:val="样式 42 10 磅"/>
    <w:pPr>
      <w:widowControl w:val="0"/>
      <w:jc w:val="both"/>
    </w:pPr>
    <w:rPr>
      <w:rFonts w:ascii="Times New Roman" w:eastAsia="宋体" w:hAnsi="Times New Roman" w:cs="Times New Roman"/>
      <w:kern w:val="2"/>
      <w:sz w:val="21"/>
      <w:szCs w:val="22"/>
      <w:lang w:eastAsia="zh-CN"/>
    </w:rPr>
  </w:style>
  <w:style w:type="paragraph" w:customStyle="1" w:styleId="2710">
    <w:name w:val="样式 27 10 磅"/>
    <w:next w:val="310"/>
    <w:pPr>
      <w:widowControl w:val="0"/>
      <w:jc w:val="both"/>
    </w:pPr>
    <w:rPr>
      <w:rFonts w:ascii="Times New Roman" w:eastAsia="宋体" w:hAnsi="Times New Roman" w:cs="Times New Roman"/>
      <w:kern w:val="2"/>
      <w:sz w:val="21"/>
      <w:szCs w:val="22"/>
      <w:lang w:eastAsia="zh-CN"/>
    </w:rPr>
  </w:style>
  <w:style w:type="paragraph" w:customStyle="1" w:styleId="2810">
    <w:name w:val="样式 28 10 磅"/>
    <w:next w:val="410"/>
    <w:pPr>
      <w:widowControl w:val="0"/>
      <w:jc w:val="both"/>
    </w:pPr>
    <w:rPr>
      <w:rFonts w:ascii="Times New Roman" w:eastAsia="宋体" w:hAnsi="Times New Roman" w:cs="Times New Roman"/>
      <w:kern w:val="2"/>
      <w:sz w:val="21"/>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14090589</TotalTime>
  <Pages>0</Pages>
  <Words>0</Words>
  <Characters>0</Characters>
  <Application>Microsoft Office Word</Application>
  <DocSecurity>0</DocSecurity>
  <Lines>0</Lines>
  <Paragraphs>0</Paragraphs>
  <ScaleCrop>false</ScaleCrop>
  <Company>Yozosoft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cg_zx</cp:lastModifiedBy>
  <cp:revision>2</cp:revision>
  <dcterms:created xsi:type="dcterms:W3CDTF">2017-11-20T02:14:00Z</dcterms:created>
  <dcterms:modified xsi:type="dcterms:W3CDTF">2025-09-24T07:33:40Z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0FC3E31ED6084844B1E1C60EB389BA53</vt:lpwstr>
  </property>
  <property fmtid="{D5CDD505-2E9C-101B-9397-08002B2CF9AE}" pid="3" name="KSOProductBuildVer">
    <vt:lpwstr>2052-11.8.2.12085</vt:lpwstr>
  </property>
</Properties>
</file>