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竞争性磋商文件</w:t>
      </w: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CG2025-BJ-JC-FW-004</w:t>
      </w:r>
      <w:bookmarkEnd w:id="0"/>
      <w:r>
        <w:rPr>
          <w:rFonts w:ascii="宋体" w:hint="eastAsia"/>
          <w:color w:val="0000FF"/>
          <w:sz w:val="32"/>
          <w:szCs w:val="32"/>
        </w:rPr>
        <w:t xml:space="preserve"> </w:t>
      </w:r>
      <w:bookmarkStart w:id="1" w:name="_GoBack"/>
      <w:bookmarkEnd w:id="1"/>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2" w:name="封面_projectName"/>
      <w:r>
        <w:rPr>
          <w:rFonts w:ascii="宋体" w:hint="eastAsia"/>
          <w:color w:val="0000FF"/>
          <w:sz w:val="32"/>
          <w:lang w:val="en-US" w:eastAsia="zh-CN"/>
        </w:rPr>
        <w:t>海关总署2025年国内外标准题录与文本数据采购项目</w:t>
      </w:r>
      <w:bookmarkEnd w:id="2"/>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hint="eastAsia"/>
          <w:b/>
          <w:bCs/>
          <w:color w:val="0000FF"/>
          <w:sz w:val="32"/>
          <w:szCs w:val="32"/>
        </w:rPr>
      </w:pPr>
      <w:bookmarkStart w:id="3" w:name="封面_createTime_ym"/>
      <w:r>
        <w:rPr>
          <w:rFonts w:ascii="宋体" w:hint="eastAsia"/>
          <w:b/>
          <w:bCs/>
          <w:color w:val="0000FF"/>
          <w:sz w:val="32"/>
          <w:szCs w:val="32"/>
        </w:rPr>
        <w:t>2025年10月</w:t>
      </w:r>
      <w:bookmarkEnd w:id="3"/>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r>
        <w:rPr>
          <w:rFonts w:ascii="宋体" w:hint="eastAsia"/>
          <w:b/>
          <w:color w:val="000000"/>
          <w:sz w:val="32"/>
        </w:rPr>
        <w:t>目    录</w:t>
      </w:r>
    </w:p>
    <w:p>
      <w:pPr>
        <w:pStyle w:val="TOC1"/>
        <w:tabs>
          <w:tab w:val="right" w:leader="dot" w:pos="9185"/>
        </w:tabs>
      </w:pPr>
      <w:r>
        <w:rPr>
          <w:rFonts w:ascii="宋体" w:hint="eastAsia"/>
          <w:bCs w:val="0"/>
          <w:color w:val="000000"/>
          <w:szCs w:val="21"/>
        </w:rPr>
        <w:fldChar w:fldCharType="begin"/>
      </w:r>
      <w:r>
        <w:rPr>
          <w:rFonts w:ascii="宋体" w:hint="eastAsia"/>
          <w:bCs w:val="0"/>
          <w:color w:val="000000"/>
          <w:szCs w:val="21"/>
        </w:rPr>
        <w:instrText xml:space="preserve"> TOC \o "1-1" \h \u </w:instrText>
      </w:r>
      <w:r>
        <w:rPr>
          <w:rFonts w:ascii="宋体" w:hint="eastAsia"/>
          <w:bCs w:val="0"/>
          <w:color w:val="000000"/>
          <w:szCs w:val="21"/>
        </w:rPr>
        <w:fldChar w:fldCharType="separate"/>
      </w:r>
      <w:hyperlink w:anchor="_Toc31833528" w:history="1">
        <w:r>
          <w:rPr>
            <w:rFonts w:ascii="宋体" w:hint="eastAsia"/>
            <w:kern w:val="0"/>
            <w:szCs w:val="30"/>
          </w:rPr>
          <w:t>第一部分  磋商邀请</w:t>
        </w:r>
        <w:r>
          <w:tab/>
        </w:r>
        <w:r>
          <w:fldChar w:fldCharType="begin"/>
        </w:r>
        <w:r>
          <w:instrText>PageRef _Toc31833528 \h</w:instrText>
        </w:r>
        <w:r>
          <w:fldChar w:fldCharType="separate"/>
        </w:r>
        <w:r>
          <w:t>3</w:t>
        </w:r>
        <w:r>
          <w:fldChar w:fldCharType="end"/>
        </w:r>
      </w:hyperlink>
    </w:p>
    <w:p>
      <w:pPr>
        <w:pStyle w:val="TOC1"/>
        <w:tabs>
          <w:tab w:val="right" w:leader="dot" w:pos="9185"/>
        </w:tabs>
      </w:pPr>
      <w:hyperlink w:anchor="_Toc31833529" w:history="1">
        <w:r>
          <w:rPr>
            <w:rFonts w:ascii="宋体" w:hint="eastAsia"/>
            <w:kern w:val="0"/>
            <w:szCs w:val="30"/>
          </w:rPr>
          <w:t>第二部分  供应商须知</w:t>
        </w:r>
        <w:r>
          <w:tab/>
        </w:r>
        <w:r>
          <w:fldChar w:fldCharType="begin"/>
        </w:r>
        <w:r>
          <w:instrText>PageRef _Toc31833529 \h</w:instrText>
        </w:r>
        <w:r>
          <w:fldChar w:fldCharType="separate"/>
        </w:r>
        <w:r>
          <w:t>7</w:t>
        </w:r>
        <w:r>
          <w:fldChar w:fldCharType="end"/>
        </w:r>
      </w:hyperlink>
    </w:p>
    <w:p>
      <w:pPr>
        <w:pStyle w:val="TOC1"/>
        <w:tabs>
          <w:tab w:val="right" w:leader="dot" w:pos="9185"/>
        </w:tabs>
      </w:pPr>
      <w:hyperlink w:anchor="_Toc31833530" w:history="1">
        <w:r>
          <w:rPr>
            <w:rFonts w:ascii="宋体" w:hint="eastAsia"/>
            <w:kern w:val="0"/>
            <w:szCs w:val="30"/>
          </w:rPr>
          <w:t>第三部分 项目需求书</w:t>
        </w:r>
        <w:r>
          <w:tab/>
        </w:r>
        <w:r>
          <w:fldChar w:fldCharType="begin"/>
        </w:r>
        <w:r>
          <w:instrText>PageRef _Toc31833530 \h</w:instrText>
        </w:r>
        <w:r>
          <w:fldChar w:fldCharType="separate"/>
        </w:r>
        <w:r>
          <w:t>24</w:t>
        </w:r>
        <w:r>
          <w:fldChar w:fldCharType="end"/>
        </w:r>
      </w:hyperlink>
    </w:p>
    <w:p>
      <w:pPr>
        <w:pStyle w:val="TOC1"/>
        <w:tabs>
          <w:tab w:val="right" w:leader="dot" w:pos="9185"/>
        </w:tabs>
      </w:pPr>
      <w:hyperlink w:anchor="_Toc31833531" w:history="1">
        <w:r>
          <w:rPr>
            <w:rFonts w:ascii="宋体" w:hint="eastAsia"/>
            <w:kern w:val="0"/>
            <w:szCs w:val="30"/>
          </w:rPr>
          <w:t>第四部分 评</w:t>
        </w:r>
        <w:r>
          <w:rPr>
            <w:rFonts w:ascii="宋体" w:hint="eastAsia"/>
            <w:kern w:val="0"/>
            <w:szCs w:val="30"/>
            <w:lang w:eastAsia="zh-CN"/>
          </w:rPr>
          <w:t>审</w:t>
        </w:r>
        <w:r>
          <w:rPr>
            <w:rFonts w:ascii="宋体" w:hint="eastAsia"/>
            <w:kern w:val="0"/>
            <w:szCs w:val="30"/>
          </w:rPr>
          <w:t>标准</w:t>
        </w:r>
        <w:r>
          <w:tab/>
        </w:r>
        <w:r>
          <w:fldChar w:fldCharType="begin"/>
        </w:r>
        <w:r>
          <w:instrText>PageRef _Toc31833531 \h</w:instrText>
        </w:r>
        <w:r>
          <w:fldChar w:fldCharType="separate"/>
        </w:r>
        <w:r>
          <w:t>77</w:t>
        </w:r>
        <w:r>
          <w:fldChar w:fldCharType="end"/>
        </w:r>
      </w:hyperlink>
    </w:p>
    <w:p>
      <w:pPr>
        <w:pStyle w:val="TOC1"/>
        <w:tabs>
          <w:tab w:val="right" w:leader="dot" w:pos="9185"/>
        </w:tabs>
      </w:pPr>
      <w:hyperlink w:anchor="_Toc31833532" w:history="1">
        <w:r>
          <w:rPr>
            <w:rFonts w:ascii="宋体" w:cs="宋体" w:hint="eastAsia"/>
            <w:kern w:val="0"/>
            <w:szCs w:val="30"/>
            <w:lang w:bidi="ar-SA"/>
          </w:rPr>
          <w:t>第五部分 合同文本</w:t>
        </w:r>
        <w:r>
          <w:tab/>
        </w:r>
        <w:r>
          <w:fldChar w:fldCharType="begin"/>
        </w:r>
        <w:r>
          <w:instrText>PageRef _Toc31833532 \h</w:instrText>
        </w:r>
        <w:r>
          <w:fldChar w:fldCharType="separate"/>
        </w:r>
        <w:r>
          <w:t>79</w:t>
        </w:r>
        <w:r>
          <w:fldChar w:fldCharType="end"/>
        </w:r>
      </w:hyperlink>
    </w:p>
    <w:p>
      <w:pPr>
        <w:pStyle w:val="TOC1"/>
        <w:tabs>
          <w:tab w:val="right" w:leader="dot" w:pos="9185"/>
        </w:tabs>
      </w:pPr>
      <w:hyperlink w:anchor="_Toc31833533" w:history="1">
        <w:r>
          <w:rPr>
            <w:rFonts w:ascii="宋体" w:hint="eastAsia"/>
            <w:kern w:val="0"/>
            <w:szCs w:val="30"/>
          </w:rPr>
          <w:t>第六部分  响应文件格式</w:t>
        </w:r>
        <w:r>
          <w:tab/>
        </w:r>
        <w:r>
          <w:fldChar w:fldCharType="begin"/>
        </w:r>
        <w:r>
          <w:instrText>PageRef _Toc31833533 \h</w:instrText>
        </w:r>
        <w:r>
          <w:fldChar w:fldCharType="separate"/>
        </w:r>
        <w:r>
          <w:t>91</w:t>
        </w:r>
        <w:r>
          <w:fldChar w:fldCharType="end"/>
        </w:r>
      </w:hyperlink>
    </w:p>
    <w:p>
      <w:pPr>
        <w:pStyle w:val="TOC1"/>
        <w:tabs>
          <w:tab w:val="right" w:leader="dot" w:pos="9185"/>
        </w:tabs>
      </w:pPr>
      <w:r>
        <w:rPr>
          <w:rFonts w:ascii="宋体" w:hint="eastAsia"/>
          <w:bCs w:val="0"/>
          <w:color w:val="000000"/>
          <w:szCs w:val="21"/>
        </w:rPr>
        <w:fldChar w:fldCharType="end"/>
      </w:r>
    </w:p>
    <w:p>
      <w:pPr>
        <w:pStyle w:val="TOC1"/>
        <w:tabs>
          <w:tab w:val="right" w:leader="dot" w:pos="9185"/>
        </w:tabs>
        <w:rPr>
          <w:rFonts w:ascii="宋体" w:hint="eastAsia"/>
          <w:b w:val="0"/>
          <w:color w:val="000000"/>
          <w:kern w:val="0"/>
          <w:sz w:val="30"/>
          <w:szCs w:val="30"/>
        </w:rPr>
      </w:pP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4" w:name="_Toc31833528"/>
      <w:r>
        <w:rPr>
          <w:rFonts w:ascii="宋体" w:hint="eastAsia"/>
          <w:b/>
          <w:color w:val="000000"/>
          <w:kern w:val="0"/>
          <w:sz w:val="30"/>
          <w:szCs w:val="30"/>
        </w:rPr>
        <w:t>第一部分  磋商邀请</w:t>
      </w:r>
      <w:bookmarkEnd w:id="4"/>
    </w:p>
    <w:p>
      <w:pPr>
        <w:spacing w:line="360" w:lineRule="auto"/>
        <w:ind w:firstLine="559" w:firstLineChars="233"/>
        <w:jc w:val="left"/>
        <w:rPr>
          <w:rFonts w:ascii="宋体" w:cs="宋体" w:hint="eastAsia"/>
          <w:b/>
          <w:bCs/>
          <w:color w:val="000000"/>
          <w:sz w:val="24"/>
        </w:rPr>
      </w:pPr>
      <w:bookmarkStart w:id="5"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6" w:name="项目_projectName_2"/>
      <w:r>
        <w:rPr>
          <w:rFonts w:ascii="宋体" w:hint="eastAsia"/>
          <w:b/>
          <w:bCs/>
          <w:color w:val="0000FF"/>
          <w:sz w:val="24"/>
        </w:rPr>
        <w:t>海关总署2025年国内外标准题录与文本数据采购项目</w:t>
      </w:r>
      <w:bookmarkEnd w:id="6"/>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7" w:name="项目_projectName_3"/>
      <w:r>
        <w:rPr>
          <w:rFonts w:ascii="宋体" w:hint="eastAsia"/>
          <w:b/>
          <w:bCs/>
          <w:color w:val="0000FF"/>
          <w:sz w:val="24"/>
        </w:rPr>
        <w:t>海关总署2025年国内外标准题录与文本数据采购项目</w:t>
      </w:r>
      <w:bookmarkEnd w:id="7"/>
    </w:p>
    <w:p>
      <w:pPr>
        <w:numPr>
          <w:ilvl w:val="0"/>
          <w:numId w:val="1"/>
        </w:numPr>
        <w:spacing w:line="360" w:lineRule="auto"/>
        <w:rPr>
          <w:rFonts w:ascii="宋体" w:hint="eastAsia"/>
          <w:color w:val="000000"/>
          <w:sz w:val="24"/>
        </w:rPr>
      </w:pPr>
      <w:r>
        <w:rPr>
          <w:rFonts w:ascii="宋体" w:hint="eastAsia"/>
          <w:color w:val="000000"/>
          <w:sz w:val="24"/>
        </w:rPr>
        <w:t>项目编号：</w:t>
      </w:r>
      <w:bookmarkStart w:id="8" w:name="项目_projectNo"/>
      <w:r>
        <w:rPr>
          <w:rFonts w:ascii="宋体" w:hint="eastAsia"/>
          <w:b/>
          <w:bCs/>
          <w:color w:val="0000FF"/>
          <w:sz w:val="24"/>
          <w:lang w:val="en-US" w:eastAsia="zh-CN"/>
        </w:rPr>
        <w:t>CG2025-BJ-JC-FW-004</w:t>
      </w:r>
      <w:bookmarkEnd w:id="8"/>
    </w:p>
    <w:p>
      <w:pPr>
        <w:numPr>
          <w:ilvl w:val="0"/>
          <w:numId w:val="1"/>
        </w:numPr>
        <w:spacing w:line="360" w:lineRule="auto"/>
        <w:rPr>
          <w:rFonts w:ascii="宋体" w:hint="eastAsia"/>
          <w:color w:val="000000"/>
          <w:sz w:val="24"/>
        </w:rPr>
      </w:pPr>
      <w:r>
        <w:rPr>
          <w:rFonts w:ascii="宋体" w:hint="eastAsia"/>
          <w:color w:val="000000"/>
          <w:sz w:val="24"/>
        </w:rPr>
        <w:t>采购人：</w:t>
      </w:r>
      <w:bookmarkStart w:id="9" w:name="采购任务单_purchaserOrgName_0"/>
      <w:r>
        <w:rPr>
          <w:rFonts w:ascii="宋体" w:hint="eastAsia"/>
          <w:b/>
          <w:bCs/>
          <w:color w:val="0000FF"/>
          <w:sz w:val="24"/>
          <w:lang w:val="en-US" w:eastAsia="zh-CN"/>
        </w:rPr>
        <w:t>海关总署</w:t>
      </w:r>
      <w:bookmarkEnd w:id="9"/>
    </w:p>
    <w:p>
      <w:pPr>
        <w:numPr>
          <w:ilvl w:val="0"/>
          <w:numId w:val="1"/>
        </w:numPr>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10" w:name="项目预算和包件预算_0"/>
      <w:r>
        <w:rPr>
          <w:rFonts w:ascii="宋体" w:hint="eastAsia"/>
          <w:b/>
          <w:bCs/>
          <w:color w:val="0000FF"/>
          <w:sz w:val="24"/>
          <w:lang w:val="en-US" w:eastAsia="zh-CN"/>
        </w:rPr>
        <w:t>本项目预算金额合计总金额人民币960,000.00元，其中包1人民币960,000.00元。</w:t>
      </w:r>
      <w:bookmarkEnd w:id="10"/>
    </w:p>
    <w:p>
      <w:pPr>
        <w:numPr>
          <w:ilvl w:val="0"/>
          <w:numId w:val="1"/>
        </w:numPr>
        <w:spacing w:line="360" w:lineRule="auto"/>
        <w:rPr>
          <w:color w:val="000000"/>
        </w:rPr>
      </w:pPr>
      <w:r>
        <w:rPr>
          <w:rFonts w:ascii="宋体" w:hint="eastAsia"/>
          <w:color w:val="000000"/>
          <w:sz w:val="24"/>
        </w:rPr>
        <w:t>采购内容：</w:t>
      </w:r>
    </w:p>
    <w:p>
      <w:pPr>
        <w:numPr>
          <w:ilvl w:val="0"/>
          <w:numId w:val="2"/>
        </w:numPr>
        <w:autoSpaceDN w:val="0"/>
        <w:spacing w:after="120" w:line="360" w:lineRule="auto"/>
        <w:ind w:left="683" w:firstLine="0"/>
        <w:rPr>
          <w:rFonts w:ascii="宋体" w:hint="eastAsia"/>
          <w:sz w:val="24"/>
        </w:rPr>
      </w:pPr>
      <w:r>
        <w:rPr>
          <w:rFonts w:ascii="宋体" w:hint="eastAsia"/>
          <w:sz w:val="24"/>
        </w:rPr>
        <w:t>服务内容</w:t>
      </w:r>
    </w:p>
    <w:tbl>
      <w:tblPr>
        <w:tblStyle w:val="TableNormal"/>
        <w:tblW w:w="8518"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65"/>
        <w:gridCol w:w="756"/>
        <w:gridCol w:w="1559"/>
        <w:gridCol w:w="862"/>
        <w:gridCol w:w="1750"/>
        <w:gridCol w:w="1260"/>
        <w:gridCol w:w="1366"/>
      </w:tblGrid>
      <w:tr>
        <w:tblPrEx>
          <w:tblW w:w="8518"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966" w:type="dxa"/>
            <w:tcBorders>
              <w:top w:val="single" w:sz="4" w:space="0" w:color="000000"/>
              <w:left w:val="single" w:sz="4" w:space="0" w:color="000000"/>
              <w:bottom w:val="single" w:sz="4" w:space="0" w:color="000000"/>
              <w:right w:val="single" w:sz="4" w:space="0" w:color="000000"/>
            </w:tcBorders>
            <w:noWrap/>
          </w:tcPr>
          <w:p>
            <w:pPr>
              <w:pStyle w:val="100"/>
              <w:spacing w:after="120" w:line="240" w:lineRule="auto"/>
              <w:rPr>
                <w:rFonts w:ascii="宋体"/>
                <w:b/>
                <w:bCs/>
                <w:color w:val="000000"/>
                <w:sz w:val="24"/>
                <w:highlight w:val="white"/>
              </w:rPr>
            </w:pPr>
            <w:r>
              <w:rPr>
                <w:rFonts w:ascii="宋体"/>
                <w:b/>
                <w:bCs/>
                <w:color w:val="000000"/>
                <w:sz w:val="24"/>
                <w:highlight w:val="white"/>
              </w:rPr>
              <w:t>包件号</w:t>
            </w:r>
          </w:p>
        </w:tc>
        <w:tc>
          <w:tcPr>
            <w:tcW w:w="756" w:type="dxa"/>
            <w:tcBorders>
              <w:top w:val="single" w:sz="4" w:space="0" w:color="000000"/>
              <w:left w:val="single" w:sz="4" w:space="0" w:color="000000"/>
              <w:bottom w:val="single" w:sz="4" w:space="0" w:color="000000"/>
              <w:right w:val="single" w:sz="4" w:space="0" w:color="000000"/>
            </w:tcBorders>
            <w:noWrap/>
          </w:tcPr>
          <w:p>
            <w:pPr>
              <w:pStyle w:val="11012"/>
              <w:spacing w:after="120" w:line="240" w:lineRule="auto"/>
              <w:rPr>
                <w:rFonts w:ascii="宋体"/>
                <w:b/>
                <w:bCs/>
                <w:color w:val="000000"/>
                <w:sz w:val="24"/>
                <w:highlight w:val="white"/>
              </w:rPr>
            </w:pPr>
            <w:r>
              <w:rPr>
                <w:rFonts w:ascii="宋体"/>
                <w:b/>
                <w:bCs/>
                <w:color w:val="000000"/>
                <w:sz w:val="24"/>
                <w:highlight w:val="white"/>
              </w:rPr>
              <w:t>序号</w:t>
            </w:r>
          </w:p>
        </w:tc>
        <w:tc>
          <w:tcPr>
            <w:tcW w:w="1559" w:type="dxa"/>
            <w:tcBorders>
              <w:top w:val="single" w:sz="4" w:space="0" w:color="000000"/>
              <w:left w:val="single" w:sz="4" w:space="0" w:color="000000"/>
              <w:bottom w:val="single" w:sz="4" w:space="0" w:color="000000"/>
              <w:right w:val="single" w:sz="4" w:space="0" w:color="000000"/>
            </w:tcBorders>
            <w:noWrap/>
          </w:tcPr>
          <w:p>
            <w:pPr>
              <w:pStyle w:val="2102"/>
              <w:spacing w:after="120" w:line="240" w:lineRule="auto"/>
              <w:rPr>
                <w:rFonts w:ascii="宋体"/>
                <w:b/>
                <w:bCs/>
                <w:color w:val="000000"/>
                <w:sz w:val="24"/>
                <w:highlight w:val="white"/>
              </w:rPr>
            </w:pPr>
            <w:r>
              <w:rPr>
                <w:rFonts w:ascii="宋体" w:hint="eastAsia"/>
                <w:b/>
                <w:bCs/>
                <w:color w:val="000000"/>
                <w:sz w:val="24"/>
                <w:highlight w:val="white"/>
                <w:lang w:val="en-US" w:eastAsia="zh-CN"/>
              </w:rPr>
              <w:t>服务内容</w:t>
            </w:r>
          </w:p>
        </w:tc>
        <w:tc>
          <w:tcPr>
            <w:tcW w:w="862" w:type="dxa"/>
            <w:tcBorders>
              <w:top w:val="single" w:sz="4" w:space="0" w:color="000000"/>
              <w:left w:val="single" w:sz="4" w:space="0" w:color="000000"/>
              <w:bottom w:val="single" w:sz="4" w:space="0" w:color="000000"/>
              <w:right w:val="single" w:sz="4" w:space="0" w:color="000000"/>
            </w:tcBorders>
            <w:noWrap/>
          </w:tcPr>
          <w:p>
            <w:pPr>
              <w:pStyle w:val="3100"/>
              <w:spacing w:after="120" w:line="240" w:lineRule="auto"/>
              <w:rPr>
                <w:rFonts w:ascii="宋体"/>
                <w:b/>
                <w:bCs/>
                <w:color w:val="000000"/>
                <w:sz w:val="24"/>
                <w:highlight w:val="white"/>
              </w:rPr>
            </w:pPr>
            <w:r>
              <w:rPr>
                <w:rFonts w:ascii="宋体"/>
                <w:b/>
                <w:bCs/>
                <w:color w:val="000000"/>
                <w:sz w:val="24"/>
                <w:highlight w:val="white"/>
              </w:rPr>
              <w:t>数量</w:t>
            </w:r>
          </w:p>
        </w:tc>
        <w:tc>
          <w:tcPr>
            <w:tcW w:w="1750" w:type="dxa"/>
            <w:tcBorders>
              <w:top w:val="single" w:sz="4" w:space="0" w:color="000000"/>
              <w:left w:val="single" w:sz="4" w:space="0" w:color="000000"/>
              <w:bottom w:val="single" w:sz="4" w:space="0" w:color="000000"/>
              <w:right w:val="single" w:sz="4" w:space="0" w:color="000000"/>
            </w:tcBorders>
            <w:noWrap/>
          </w:tcPr>
          <w:p>
            <w:pPr>
              <w:pStyle w:val="410"/>
              <w:spacing w:after="120" w:line="240" w:lineRule="auto"/>
              <w:rPr>
                <w:rFonts w:ascii="宋体"/>
                <w:b/>
                <w:bCs/>
                <w:color w:val="000000"/>
                <w:sz w:val="24"/>
                <w:highlight w:val="white"/>
              </w:rPr>
            </w:pPr>
            <w:r>
              <w:rPr>
                <w:rFonts w:ascii="宋体" w:hint="eastAsia"/>
                <w:b/>
                <w:bCs/>
                <w:color w:val="000000"/>
                <w:sz w:val="24"/>
                <w:highlight w:val="white"/>
                <w:lang w:val="en-US" w:eastAsia="zh-CN"/>
              </w:rPr>
              <w:t>服务完成时间</w:t>
            </w:r>
          </w:p>
        </w:tc>
        <w:tc>
          <w:tcPr>
            <w:tcW w:w="1260" w:type="dxa"/>
            <w:tcBorders>
              <w:top w:val="single" w:sz="4" w:space="0" w:color="000000"/>
              <w:left w:val="single" w:sz="4" w:space="0" w:color="000000"/>
              <w:bottom w:val="single" w:sz="4" w:space="0" w:color="000000"/>
              <w:right w:val="single" w:sz="4" w:space="0" w:color="000000"/>
            </w:tcBorders>
            <w:noWrap/>
          </w:tcPr>
          <w:p>
            <w:pPr>
              <w:pStyle w:val="5100"/>
              <w:spacing w:after="120" w:line="240" w:lineRule="auto"/>
              <w:rPr>
                <w:rFonts w:ascii="宋体"/>
                <w:b/>
                <w:bCs/>
                <w:color w:val="000000"/>
                <w:sz w:val="24"/>
                <w:highlight w:val="white"/>
              </w:rPr>
            </w:pPr>
            <w:r>
              <w:rPr>
                <w:rFonts w:ascii="宋体" w:hint="eastAsia"/>
                <w:b/>
                <w:bCs/>
                <w:color w:val="000000"/>
                <w:sz w:val="24"/>
                <w:highlight w:val="white"/>
                <w:lang w:val="en-US" w:eastAsia="zh-CN"/>
              </w:rPr>
              <w:t>服务</w:t>
            </w:r>
            <w:r>
              <w:rPr>
                <w:rFonts w:ascii="宋体"/>
                <w:b/>
                <w:bCs/>
                <w:color w:val="000000"/>
                <w:sz w:val="24"/>
                <w:highlight w:val="white"/>
              </w:rPr>
              <w:t>地点</w:t>
            </w:r>
          </w:p>
        </w:tc>
        <w:tc>
          <w:tcPr>
            <w:tcW w:w="1366" w:type="dxa"/>
            <w:tcBorders>
              <w:top w:val="single" w:sz="4" w:space="0" w:color="000000"/>
              <w:left w:val="single" w:sz="4" w:space="0" w:color="000000"/>
              <w:bottom w:val="single" w:sz="4" w:space="0" w:color="000000"/>
              <w:right w:val="single" w:sz="4" w:space="0" w:color="000000"/>
            </w:tcBorders>
            <w:noWrap/>
          </w:tcPr>
          <w:p>
            <w:pPr>
              <w:pStyle w:val="6102"/>
              <w:spacing w:after="120" w:line="240" w:lineRule="auto"/>
              <w:rPr>
                <w:rFonts w:ascii="宋体" w:hint="eastAsia"/>
                <w:b/>
                <w:bCs/>
                <w:color w:val="000000"/>
                <w:sz w:val="24"/>
                <w:highlight w:val="white"/>
              </w:rPr>
            </w:pPr>
            <w:r>
              <w:rPr>
                <w:rFonts w:ascii="宋体" w:hint="eastAsia"/>
                <w:b/>
                <w:bCs/>
                <w:color w:val="000000"/>
                <w:sz w:val="24"/>
                <w:szCs w:val="24"/>
                <w:highlight w:val="white"/>
                <w:lang w:val="en-US" w:eastAsia="zh-CN"/>
              </w:rPr>
              <w:t>服务要求</w:t>
            </w:r>
          </w:p>
        </w:tc>
      </w:tr>
      <w:tr>
        <w:tblPrEx>
          <w:tblW w:w="8518" w:type="dxa"/>
          <w:jc w:val="left"/>
          <w:tblInd w:w="0" w:type="dxa"/>
          <w:tblLayout w:type="fixed"/>
          <w:tblCellMar>
            <w:top w:w="0" w:type="dxa"/>
            <w:left w:w="108" w:type="dxa"/>
            <w:bottom w:w="0" w:type="dxa"/>
            <w:right w:w="108" w:type="dxa"/>
          </w:tblCellMar>
        </w:tblPrEx>
        <w:trPr>
          <w:jc w:val="left"/>
        </w:trPr>
        <w:tc>
          <w:tcPr>
            <w:tcW w:w="966" w:type="dxa"/>
            <w:vMerge w:val="restart"/>
            <w:tcBorders>
              <w:top w:val="single" w:sz="4" w:space="0" w:color="auto"/>
              <w:left w:val="single" w:sz="4" w:space="0" w:color="auto"/>
              <w:bottom w:val="single" w:sz="4" w:space="0" w:color="auto"/>
              <w:right w:val="single" w:sz="4" w:space="0" w:color="auto"/>
            </w:tcBorders>
            <w:noWrap/>
            <w:vAlign w:val="center"/>
          </w:tcPr>
          <w:p>
            <w:pPr>
              <w:spacing w:after="120" w:line="240" w:lineRule="auto"/>
              <w:rPr>
                <w:rFonts w:ascii="宋体"/>
                <w:b/>
                <w:color w:val="0000FF"/>
                <w:sz w:val="24"/>
                <w:highlight w:val="white"/>
              </w:rPr>
            </w:pPr>
            <w:r>
              <w:t>包件1</w:t>
            </w:r>
          </w:p>
        </w:tc>
        <w:tc>
          <w:tcPr>
            <w:tcW w:w="756" w:type="dxa"/>
            <w:tcBorders>
              <w:top w:val="single" w:sz="4" w:space="0" w:color="auto"/>
              <w:left w:val="single" w:sz="4" w:space="0" w:color="auto"/>
              <w:bottom w:val="single" w:sz="4" w:space="0" w:color="auto"/>
              <w:right w:val="single" w:sz="4" w:space="0" w:color="auto"/>
            </w:tcBorders>
            <w:noWrap/>
          </w:tcPr>
          <w:p>
            <w:pPr>
              <w:spacing w:after="120" w:line="240" w:lineRule="auto"/>
              <w:rPr>
                <w:rFonts w:ascii="宋体"/>
                <w:b/>
                <w:color w:val="0000FF"/>
                <w:sz w:val="24"/>
                <w:highlight w:val="white"/>
              </w:rPr>
            </w:pPr>
            <w:r>
              <w:t>1</w:t>
            </w:r>
          </w:p>
        </w:tc>
        <w:tc>
          <w:tcPr>
            <w:tcW w:w="1559" w:type="dxa"/>
            <w:tcBorders>
              <w:top w:val="single" w:sz="4" w:space="0" w:color="auto"/>
              <w:left w:val="single" w:sz="4" w:space="0" w:color="auto"/>
              <w:bottom w:val="single" w:sz="4" w:space="0" w:color="auto"/>
              <w:right w:val="single" w:sz="4" w:space="0" w:color="auto"/>
            </w:tcBorders>
            <w:noWrap/>
          </w:tcPr>
          <w:p>
            <w:pPr>
              <w:spacing w:after="120" w:line="240" w:lineRule="auto"/>
              <w:rPr>
                <w:rFonts w:ascii="宋体"/>
                <w:b/>
                <w:color w:val="0000FF"/>
                <w:sz w:val="24"/>
                <w:highlight w:val="white"/>
              </w:rPr>
            </w:pPr>
            <w:r>
              <w:t>国家标准年度更新文本</w:t>
            </w:r>
          </w:p>
        </w:tc>
        <w:tc>
          <w:tcPr>
            <w:tcW w:w="862" w:type="dxa"/>
            <w:tcBorders>
              <w:top w:val="single" w:sz="4" w:space="0" w:color="auto"/>
              <w:left w:val="single" w:sz="4" w:space="0" w:color="auto"/>
              <w:bottom w:val="single" w:sz="4" w:space="0" w:color="auto"/>
              <w:right w:val="single" w:sz="4" w:space="0" w:color="auto"/>
            </w:tcBorders>
            <w:noWrap/>
          </w:tcPr>
          <w:p>
            <w:pPr>
              <w:spacing w:after="120" w:line="240" w:lineRule="auto"/>
              <w:rPr>
                <w:rFonts w:ascii="宋体"/>
                <w:b/>
                <w:color w:val="0000FF"/>
                <w:sz w:val="24"/>
                <w:highlight w:val="white"/>
              </w:rPr>
            </w:pPr>
            <w:r>
              <w:t>2500</w:t>
            </w:r>
          </w:p>
        </w:tc>
        <w:tc>
          <w:tcPr>
            <w:tcW w:w="1750" w:type="dxa"/>
            <w:vMerge w:val="restart"/>
            <w:tcBorders>
              <w:top w:val="single" w:sz="4" w:space="0" w:color="auto"/>
              <w:left w:val="single" w:sz="4" w:space="0" w:color="auto"/>
              <w:bottom w:val="single" w:sz="4" w:space="0" w:color="auto"/>
              <w:right w:val="single" w:sz="4" w:space="0" w:color="auto"/>
            </w:tcBorders>
            <w:noWrap/>
            <w:vAlign w:val="center"/>
          </w:tcPr>
          <w:p>
            <w:pPr>
              <w:spacing w:after="120" w:line="240" w:lineRule="auto"/>
              <w:rPr>
                <w:rFonts w:ascii="宋体"/>
                <w:b/>
                <w:color w:val="0000FF"/>
                <w:sz w:val="24"/>
                <w:highlight w:val="white"/>
              </w:rPr>
            </w:pPr>
            <w:r>
              <w:t>自合同签订之日起12个月内。</w:t>
            </w:r>
          </w:p>
        </w:tc>
        <w:tc>
          <w:tcPr>
            <w:tcW w:w="1260" w:type="dxa"/>
            <w:vMerge w:val="restart"/>
            <w:tcBorders>
              <w:top w:val="single" w:sz="4" w:space="0" w:color="auto"/>
              <w:left w:val="single" w:sz="4" w:space="0" w:color="auto"/>
              <w:bottom w:val="single" w:sz="4" w:space="0" w:color="auto"/>
              <w:right w:val="single" w:sz="4" w:space="0" w:color="auto"/>
            </w:tcBorders>
            <w:noWrap/>
            <w:vAlign w:val="center"/>
          </w:tcPr>
          <w:p>
            <w:pPr>
              <w:spacing w:after="120" w:line="240" w:lineRule="auto"/>
              <w:rPr>
                <w:rFonts w:ascii="宋体"/>
                <w:b/>
                <w:color w:val="0000FF"/>
                <w:sz w:val="24"/>
                <w:highlight w:val="white"/>
              </w:rPr>
            </w:pPr>
            <w:r>
              <w:t>海关指定地点。</w:t>
            </w:r>
          </w:p>
        </w:tc>
        <w:tc>
          <w:tcPr>
            <w:tcW w:w="1366" w:type="dxa"/>
            <w:vMerge w:val="restart"/>
            <w:tcBorders>
              <w:top w:val="single" w:sz="4" w:space="0" w:color="auto"/>
              <w:left w:val="single" w:sz="4" w:space="0" w:color="auto"/>
              <w:bottom w:val="single" w:sz="4" w:space="0" w:color="auto"/>
              <w:right w:val="single" w:sz="4" w:space="0" w:color="auto"/>
            </w:tcBorders>
            <w:noWrap/>
            <w:vAlign w:val="center"/>
          </w:tcPr>
          <w:p>
            <w:pPr>
              <w:spacing w:after="120" w:line="240" w:lineRule="auto"/>
              <w:rPr>
                <w:rFonts w:ascii="宋体" w:hint="eastAsia"/>
                <w:b/>
                <w:color w:val="0000FF"/>
                <w:sz w:val="24"/>
                <w:highlight w:val="white"/>
              </w:rPr>
            </w:pPr>
            <w:r>
              <w:t>见项目需求书。</w:t>
            </w:r>
          </w:p>
        </w:tc>
      </w:tr>
      <w:tr>
        <w:tblPrEx>
          <w:tblW w:w="8518" w:type="dxa"/>
          <w:jc w:val="left"/>
          <w:tblInd w:w="0" w:type="dxa"/>
          <w:tblLayout w:type="fixed"/>
          <w:tblCellMar>
            <w:top w:w="0" w:type="dxa"/>
            <w:left w:w="108" w:type="dxa"/>
            <w:bottom w:w="0" w:type="dxa"/>
            <w:right w:w="108" w:type="dxa"/>
          </w:tblCellMar>
        </w:tblPrEx>
        <w:trPr>
          <w:jc w:val="left"/>
        </w:trPr>
        <w:tc>
          <w:tcPr>
            <w:tcW w:w="0" w:type="dxa"/>
            <w:vMerge/>
            <w:tcBorders>
              <w:top w:val="single" w:sz="4" w:space="0" w:color="auto"/>
              <w:left w:val="single" w:sz="4" w:space="0" w:color="auto"/>
              <w:bottom w:val="single" w:sz="4" w:space="0" w:color="auto"/>
              <w:right w:val="single" w:sz="4" w:space="0" w:color="auto"/>
            </w:tcBorders>
            <w:noWrap/>
            <w:vAlign w:val="center"/>
          </w:tcPr>
          <w:p/>
        </w:tc>
        <w:tc>
          <w:tcPr>
            <w:tcW w:w="756" w:type="dxa"/>
            <w:tcBorders>
              <w:top w:val="single" w:sz="4" w:space="0" w:color="auto"/>
              <w:left w:val="single" w:sz="4" w:space="0" w:color="auto"/>
              <w:bottom w:val="single" w:sz="4" w:space="0" w:color="auto"/>
              <w:right w:val="single" w:sz="4" w:space="0" w:color="auto"/>
            </w:tcBorders>
            <w:noWrap/>
          </w:tcPr>
          <w:p>
            <w:pPr>
              <w:spacing w:after="120" w:line="240" w:lineRule="auto"/>
              <w:rPr>
                <w:rFonts w:ascii="宋体"/>
                <w:b/>
                <w:color w:val="0000FF"/>
                <w:sz w:val="24"/>
                <w:highlight w:val="white"/>
              </w:rPr>
            </w:pPr>
            <w:r>
              <w:t>2</w:t>
            </w:r>
          </w:p>
        </w:tc>
        <w:tc>
          <w:tcPr>
            <w:tcW w:w="1559" w:type="dxa"/>
            <w:tcBorders>
              <w:top w:val="single" w:sz="4" w:space="0" w:color="auto"/>
              <w:left w:val="single" w:sz="4" w:space="0" w:color="auto"/>
              <w:bottom w:val="single" w:sz="4" w:space="0" w:color="auto"/>
              <w:right w:val="single" w:sz="4" w:space="0" w:color="auto"/>
            </w:tcBorders>
            <w:noWrap/>
          </w:tcPr>
          <w:p>
            <w:pPr>
              <w:spacing w:after="120" w:line="240" w:lineRule="auto"/>
              <w:rPr>
                <w:rFonts w:ascii="宋体"/>
                <w:b/>
                <w:color w:val="0000FF"/>
                <w:sz w:val="24"/>
                <w:highlight w:val="white"/>
              </w:rPr>
            </w:pPr>
            <w:r>
              <w:t>行业标准文本</w:t>
            </w:r>
          </w:p>
        </w:tc>
        <w:tc>
          <w:tcPr>
            <w:tcW w:w="862" w:type="dxa"/>
            <w:tcBorders>
              <w:top w:val="single" w:sz="4" w:space="0" w:color="auto"/>
              <w:left w:val="single" w:sz="4" w:space="0" w:color="auto"/>
              <w:bottom w:val="single" w:sz="4" w:space="0" w:color="auto"/>
              <w:right w:val="single" w:sz="4" w:space="0" w:color="auto"/>
            </w:tcBorders>
            <w:noWrap/>
          </w:tcPr>
          <w:p>
            <w:pPr>
              <w:spacing w:after="120" w:line="240" w:lineRule="auto"/>
              <w:rPr>
                <w:rFonts w:ascii="宋体"/>
                <w:b/>
                <w:color w:val="0000FF"/>
                <w:sz w:val="24"/>
                <w:highlight w:val="white"/>
              </w:rPr>
            </w:pPr>
            <w:r>
              <w:t>4000</w:t>
            </w:r>
          </w:p>
        </w:tc>
        <w:tc>
          <w:tcPr>
            <w:tcW w:w="0" w:type="dxa"/>
            <w:vMerge/>
            <w:tcBorders>
              <w:top w:val="single" w:sz="4" w:space="0" w:color="auto"/>
              <w:left w:val="single" w:sz="4" w:space="0" w:color="auto"/>
              <w:bottom w:val="single" w:sz="4" w:space="0" w:color="auto"/>
              <w:right w:val="single" w:sz="4" w:space="0" w:color="auto"/>
            </w:tcBorders>
            <w:noWrap/>
            <w:vAlign w:val="center"/>
          </w:tcPr>
          <w:p/>
        </w:tc>
        <w:tc>
          <w:tcPr>
            <w:tcW w:w="0" w:type="dxa"/>
            <w:vMerge/>
            <w:tcBorders>
              <w:top w:val="single" w:sz="4" w:space="0" w:color="auto"/>
              <w:left w:val="single" w:sz="4" w:space="0" w:color="auto"/>
              <w:bottom w:val="single" w:sz="4" w:space="0" w:color="auto"/>
              <w:right w:val="single" w:sz="4" w:space="0" w:color="auto"/>
            </w:tcBorders>
            <w:noWrap/>
            <w:vAlign w:val="center"/>
          </w:tcPr>
          <w:p/>
        </w:tc>
        <w:tc>
          <w:tcPr>
            <w:tcW w:w="0" w:type="dxa"/>
            <w:vMerge/>
            <w:tcBorders>
              <w:top w:val="single" w:sz="4" w:space="0" w:color="auto"/>
              <w:left w:val="single" w:sz="4" w:space="0" w:color="auto"/>
              <w:bottom w:val="single" w:sz="4" w:space="0" w:color="auto"/>
              <w:right w:val="single" w:sz="4" w:space="0" w:color="auto"/>
            </w:tcBorders>
            <w:noWrap/>
            <w:vAlign w:val="center"/>
          </w:tcPr>
          <w:p/>
        </w:tc>
      </w:tr>
      <w:tr>
        <w:tblPrEx>
          <w:tblW w:w="8518" w:type="dxa"/>
          <w:jc w:val="left"/>
          <w:tblInd w:w="0" w:type="dxa"/>
          <w:tblLayout w:type="fixed"/>
          <w:tblCellMar>
            <w:top w:w="0" w:type="dxa"/>
            <w:left w:w="108" w:type="dxa"/>
            <w:bottom w:w="0" w:type="dxa"/>
            <w:right w:w="108" w:type="dxa"/>
          </w:tblCellMar>
        </w:tblPrEx>
        <w:trPr>
          <w:jc w:val="left"/>
        </w:trPr>
        <w:tc>
          <w:tcPr>
            <w:tcW w:w="0" w:type="dxa"/>
            <w:vMerge/>
            <w:tcBorders>
              <w:top w:val="single" w:sz="4" w:space="0" w:color="auto"/>
              <w:left w:val="single" w:sz="4" w:space="0" w:color="auto"/>
              <w:bottom w:val="single" w:sz="4" w:space="0" w:color="auto"/>
              <w:right w:val="single" w:sz="4" w:space="0" w:color="auto"/>
            </w:tcBorders>
            <w:noWrap/>
            <w:vAlign w:val="center"/>
          </w:tcPr>
          <w:p/>
        </w:tc>
        <w:tc>
          <w:tcPr>
            <w:tcW w:w="756" w:type="dxa"/>
            <w:tcBorders>
              <w:top w:val="single" w:sz="4" w:space="0" w:color="auto"/>
              <w:left w:val="single" w:sz="4" w:space="0" w:color="auto"/>
              <w:bottom w:val="single" w:sz="4" w:space="0" w:color="auto"/>
              <w:right w:val="single" w:sz="4" w:space="0" w:color="auto"/>
            </w:tcBorders>
            <w:noWrap/>
          </w:tcPr>
          <w:p>
            <w:pPr>
              <w:spacing w:after="120" w:line="240" w:lineRule="auto"/>
              <w:rPr>
                <w:rFonts w:ascii="宋体"/>
                <w:b/>
                <w:color w:val="0000FF"/>
                <w:sz w:val="24"/>
                <w:highlight w:val="white"/>
              </w:rPr>
            </w:pPr>
            <w:r>
              <w:t>3</w:t>
            </w:r>
          </w:p>
        </w:tc>
        <w:tc>
          <w:tcPr>
            <w:tcW w:w="1559" w:type="dxa"/>
            <w:tcBorders>
              <w:top w:val="single" w:sz="4" w:space="0" w:color="auto"/>
              <w:left w:val="single" w:sz="4" w:space="0" w:color="auto"/>
              <w:bottom w:val="single" w:sz="4" w:space="0" w:color="auto"/>
              <w:right w:val="single" w:sz="4" w:space="0" w:color="auto"/>
            </w:tcBorders>
            <w:noWrap/>
          </w:tcPr>
          <w:p>
            <w:pPr>
              <w:spacing w:after="120" w:line="240" w:lineRule="auto"/>
              <w:rPr>
                <w:rFonts w:ascii="宋体"/>
                <w:b/>
                <w:color w:val="0000FF"/>
                <w:sz w:val="24"/>
                <w:highlight w:val="white"/>
              </w:rPr>
            </w:pPr>
            <w:r>
              <w:t>国外和国际标准文本</w:t>
            </w:r>
          </w:p>
        </w:tc>
        <w:tc>
          <w:tcPr>
            <w:tcW w:w="862" w:type="dxa"/>
            <w:tcBorders>
              <w:top w:val="single" w:sz="4" w:space="0" w:color="auto"/>
              <w:left w:val="single" w:sz="4" w:space="0" w:color="auto"/>
              <w:bottom w:val="single" w:sz="4" w:space="0" w:color="auto"/>
              <w:right w:val="single" w:sz="4" w:space="0" w:color="auto"/>
            </w:tcBorders>
            <w:noWrap/>
          </w:tcPr>
          <w:p>
            <w:pPr>
              <w:spacing w:after="120" w:line="240" w:lineRule="auto"/>
              <w:rPr>
                <w:rFonts w:ascii="宋体"/>
                <w:b/>
                <w:color w:val="0000FF"/>
                <w:sz w:val="24"/>
                <w:highlight w:val="white"/>
              </w:rPr>
            </w:pPr>
            <w:r>
              <w:t>800</w:t>
            </w:r>
          </w:p>
        </w:tc>
        <w:tc>
          <w:tcPr>
            <w:tcW w:w="0" w:type="dxa"/>
            <w:vMerge/>
            <w:tcBorders>
              <w:top w:val="single" w:sz="4" w:space="0" w:color="auto"/>
              <w:left w:val="single" w:sz="4" w:space="0" w:color="auto"/>
              <w:bottom w:val="single" w:sz="4" w:space="0" w:color="auto"/>
              <w:right w:val="single" w:sz="4" w:space="0" w:color="auto"/>
            </w:tcBorders>
            <w:noWrap/>
            <w:vAlign w:val="center"/>
          </w:tcPr>
          <w:p/>
        </w:tc>
        <w:tc>
          <w:tcPr>
            <w:tcW w:w="0" w:type="dxa"/>
            <w:vMerge/>
            <w:tcBorders>
              <w:top w:val="single" w:sz="4" w:space="0" w:color="auto"/>
              <w:left w:val="single" w:sz="4" w:space="0" w:color="auto"/>
              <w:bottom w:val="single" w:sz="4" w:space="0" w:color="auto"/>
              <w:right w:val="single" w:sz="4" w:space="0" w:color="auto"/>
            </w:tcBorders>
            <w:noWrap/>
            <w:vAlign w:val="center"/>
          </w:tcPr>
          <w:p/>
        </w:tc>
        <w:tc>
          <w:tcPr>
            <w:tcW w:w="0" w:type="dxa"/>
            <w:vMerge/>
            <w:tcBorders>
              <w:top w:val="single" w:sz="4" w:space="0" w:color="auto"/>
              <w:left w:val="single" w:sz="4" w:space="0" w:color="auto"/>
              <w:bottom w:val="single" w:sz="4" w:space="0" w:color="auto"/>
              <w:right w:val="single" w:sz="4" w:space="0" w:color="auto"/>
            </w:tcBorders>
            <w:noWrap/>
            <w:vAlign w:val="center"/>
          </w:tcPr>
          <w:p/>
        </w:tc>
      </w:tr>
    </w:tbl>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11" w:name="公告_industryType"/>
      <w:r>
        <w:rPr>
          <w:rFonts w:ascii="宋体" w:hint="eastAsia"/>
          <w:b/>
          <w:bCs/>
          <w:color w:val="0000FF"/>
          <w:sz w:val="24"/>
          <w:highlight w:val="none"/>
        </w:rPr>
        <w:t>软件和信息技术服务业</w:t>
      </w:r>
      <w:bookmarkEnd w:id="11"/>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2" w:name="公告_technologyRequire"/>
      <w:r>
        <w:rPr>
          <w:rFonts w:ascii="宋体" w:hint="eastAsia"/>
          <w:b/>
          <w:bCs/>
          <w:color w:val="0000FF"/>
          <w:sz w:val="24"/>
        </w:rPr>
        <w:t>1.供应商必须对所响应包中的所有服务内容进行响应，不允许拆包响应。</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2.针对同一包，一个供应商不得提交两个或两个以上不同的响应文件或响应报价。</w:t>
      </w:r>
      <w:bookmarkEnd w:id="12"/>
    </w:p>
    <w:p>
      <w:pPr>
        <w:autoSpaceDN w:val="0"/>
        <w:spacing w:after="120"/>
        <w:ind w:firstLine="600" w:firstLineChars="250"/>
        <w:rPr>
          <w:rFonts w:ascii="宋体" w:hint="eastAsia"/>
          <w:b/>
          <w:bCs/>
          <w:color w:val="0000FF"/>
          <w:sz w:val="24"/>
        </w:rPr>
      </w:pPr>
    </w:p>
    <w:p>
      <w:pPr>
        <w:numPr>
          <w:ilvl w:val="0"/>
          <w:numId w:val="1"/>
        </w:numPr>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3"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2、磋商日通过“信用中国”网站、中国政府采购网查询，未被列入“失信被执行人、重大税收违法案件当事人名单、政府采购严重违法失信行为记录名单”的。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3、从采购机构在本公告中规定的渠道获取了磋商文件，且在法律上和财务上独立于采购机构。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（1）本项目不接受联合体参与磋商。</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（2）本项目不接受进口产品（进口产品是指通过中国海关报关，验放进入中国境内，且产自关境外的产品）。</w:t>
      </w:r>
      <w:bookmarkEnd w:id="13"/>
    </w:p>
    <w:p>
      <w:pPr>
        <w:spacing w:line="360" w:lineRule="auto"/>
        <w:rPr>
          <w:rFonts w:ascii="宋体"/>
          <w:color w:val="000000"/>
          <w:sz w:val="24"/>
        </w:rPr>
      </w:pPr>
    </w:p>
    <w:p>
      <w:pPr>
        <w:numPr>
          <w:ilvl w:val="0"/>
          <w:numId w:val="1"/>
        </w:numPr>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bookmarkStart w:id="14" w:name="公告_signUpFirstTime"/>
      <w:r>
        <w:rPr>
          <w:rFonts w:ascii="宋体" w:hint="eastAsia"/>
          <w:b/>
          <w:color w:val="auto"/>
          <w:sz w:val="24"/>
          <w:highlight w:val="white"/>
        </w:rPr>
        <w:t>2025-10-17 00:00:00</w:t>
      </w:r>
      <w:bookmarkEnd w:id="14"/>
      <w:r>
        <w:rPr>
          <w:rFonts w:ascii="宋体" w:hint="eastAsia"/>
          <w:b/>
          <w:color w:val="auto"/>
          <w:sz w:val="24"/>
          <w:highlight w:val="white"/>
        </w:rPr>
        <w:t>至</w:t>
      </w:r>
      <w:bookmarkStart w:id="15" w:name="公告_signUpLastTime"/>
      <w:r>
        <w:rPr>
          <w:rFonts w:ascii="宋体" w:hint="eastAsia"/>
          <w:sz w:val="24"/>
        </w:rPr>
        <w:t>2025-10-24 23:59:59</w:t>
      </w:r>
      <w:bookmarkEnd w:id="15"/>
      <w:r>
        <w:rPr>
          <w:rFonts w:ascii="宋体" w:hint="eastAsia"/>
          <w:sz w:val="24"/>
        </w:rPr>
        <w:t>止（北京时间）。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bookmarkStart w:id="16" w:name="项目公告_bidLastTime_1"/>
      <w:r>
        <w:rPr>
          <w:rFonts w:ascii="宋体" w:hint="eastAsia"/>
          <w:color w:val="000000"/>
          <w:sz w:val="24"/>
        </w:rPr>
        <w:t>2025-10-28 08:45:00</w:t>
      </w:r>
      <w:bookmarkEnd w:id="16"/>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17"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地址：北京市东城区金宝街61号鑫海锦江大酒店</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邮政编码：100005</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联系方式：010-65194838（平台使用技术咨询）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010-65194619（业务咨询）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Start w:id="18" w:name="_Hlt14560614"/>
      <w:bookmarkEnd w:id="17"/>
      <w:bookmarkEnd w:id="18"/>
      <w:r>
        <w:rPr>
          <w:rFonts w:ascii="宋体" w:eastAsia="宋体" w:hint="eastAsia"/>
          <w:b/>
          <w:color w:val="0000FF"/>
          <w:sz w:val="24"/>
          <w:szCs w:val="24"/>
          <w:highlight w:val="white"/>
        </w:rPr>
        <w:br/>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19" w:name="公告_siteSurvey"/>
      <w:r>
        <w:rPr>
          <w:rFonts w:ascii="Wingdings 2" w:eastAsia="宋体" w:hAnsi="Wingdings 2" w:cs="Times New Roman"/>
          <w:b/>
          <w:color w:val="0000FF"/>
          <w:kern w:val="2"/>
          <w:sz w:val="24"/>
          <w:szCs w:val="24"/>
          <w:highlight w:val="white"/>
          <w:lang w:val="en-US" w:eastAsia="zh-CN" w:bidi="ar-SA"/>
        </w:rPr>
        <w:t>不适用</w:t>
      </w:r>
      <w:bookmarkEnd w:id="19"/>
      <w:r>
        <w:rPr>
          <w:rFonts w:ascii="宋体" w:hint="eastAsia"/>
          <w:b/>
          <w:sz w:val="24"/>
        </w:rPr>
        <w:t>。</w:t>
      </w:r>
    </w:p>
    <w:p>
      <w:pPr>
        <w:spacing w:line="360" w:lineRule="auto"/>
        <w:rPr>
          <w:rFonts w:ascii="宋体" w:hint="eastAsia"/>
          <w:b/>
          <w:sz w:val="24"/>
        </w:rPr>
      </w:pPr>
    </w:p>
    <w:p>
      <w:pPr>
        <w:numPr>
          <w:ilvl w:val="0"/>
          <w:numId w:val="1"/>
        </w:numPr>
        <w:spacing w:line="360" w:lineRule="auto"/>
        <w:rPr>
          <w:rFonts w:ascii="宋体" w:hint="eastAsia"/>
          <w:snapToGrid w:val="0"/>
          <w:sz w:val="24"/>
          <w:szCs w:val="22"/>
          <w:highlight w:val="white"/>
        </w:rPr>
      </w:pPr>
      <w:r>
        <w:rPr>
          <w:rFonts w:ascii="宋体" w:hint="eastAsia"/>
          <w:sz w:val="24"/>
        </w:rPr>
        <w:t>本项目</w:t>
      </w:r>
      <w:bookmarkStart w:id="20" w:name="任务单_publicDate"/>
      <w:r>
        <w:rPr>
          <w:rFonts w:ascii="宋体" w:hint="eastAsia"/>
          <w:sz w:val="24"/>
        </w:rPr>
        <w:t>于2025-07-11</w:t>
      </w:r>
      <w:bookmarkEnd w:id="20"/>
      <w:r>
        <w:rPr>
          <w:rFonts w:ascii="宋体" w:hint="eastAsia"/>
          <w:sz w:val="24"/>
        </w:rPr>
        <w:t>公开采购意向。</w:t>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autoSpaceDN w:val="0"/>
        <w:spacing w:line="360" w:lineRule="auto"/>
        <w:ind w:firstLine="480"/>
        <w:rPr>
          <w:rFonts w:ascii="宋体" w:hint="eastAsia"/>
          <w:sz w:val="24"/>
        </w:rPr>
      </w:pPr>
      <w:r>
        <w:rPr>
          <w:rFonts w:ascii="宋体" w:hint="eastAsia"/>
          <w:sz w:val="24"/>
        </w:rPr>
        <w:t>1.</w:t>
      </w:r>
      <w:r>
        <w:rPr>
          <w:rFonts w:ascii="宋体" w:hint="eastAsia"/>
          <w:sz w:val="24"/>
        </w:rPr>
        <w:t>磋商前自行安装腾讯会议软件，并请您单位于：</w:t>
      </w:r>
      <w:r>
        <w:rPr>
          <w:rFonts w:ascii="宋体" w:hint="eastAsia"/>
          <w:color w:val="000000"/>
          <w:sz w:val="24"/>
        </w:rPr>
        <w:t>2025-10-28 0</w:t>
      </w:r>
      <w:r>
        <w:rPr>
          <w:rFonts w:ascii="宋体"/>
          <w:color w:val="000000"/>
          <w:sz w:val="24"/>
        </w:rPr>
        <w:t>9</w:t>
      </w:r>
      <w:r>
        <w:rPr>
          <w:rFonts w:ascii="宋体" w:hint="eastAsia"/>
          <w:color w:val="000000"/>
          <w:sz w:val="24"/>
        </w:rPr>
        <w:t>:</w:t>
      </w:r>
      <w:r>
        <w:rPr>
          <w:rFonts w:ascii="宋体"/>
          <w:color w:val="000000"/>
          <w:sz w:val="24"/>
        </w:rPr>
        <w:t>3</w:t>
      </w:r>
      <w:r>
        <w:rPr>
          <w:rFonts w:ascii="宋体" w:hint="eastAsia"/>
          <w:color w:val="000000"/>
          <w:sz w:val="24"/>
        </w:rPr>
        <w:t>0（北京时间）</w:t>
      </w:r>
      <w:r>
        <w:rPr>
          <w:rFonts w:ascii="宋体" w:hint="eastAsia"/>
          <w:sz w:val="24"/>
        </w:rPr>
        <w:t>前登陆腾讯会议（会议号：</w:t>
      </w:r>
      <w:r>
        <w:rPr>
          <w:rFonts w:ascii="宋体"/>
          <w:sz w:val="24"/>
        </w:rPr>
        <w:t>477415302</w:t>
      </w:r>
      <w:r>
        <w:rPr>
          <w:rFonts w:ascii="宋体" w:hint="eastAsia"/>
          <w:sz w:val="24"/>
        </w:rPr>
        <w:t>）等待协商；</w:t>
      </w:r>
    </w:p>
    <w:p>
      <w:pPr>
        <w:autoSpaceDN w:val="0"/>
        <w:spacing w:line="360" w:lineRule="auto"/>
        <w:ind w:firstLine="480"/>
        <w:rPr>
          <w:rFonts w:ascii="宋体" w:hint="eastAsia"/>
          <w:sz w:val="24"/>
        </w:rPr>
      </w:pPr>
      <w:r>
        <w:rPr>
          <w:rFonts w:ascii="宋体" w:hint="eastAsia"/>
          <w:sz w:val="24"/>
        </w:rPr>
        <w:t>2.在磋商开始后进入腾讯会议等待区等候，待磋商小组邀请后进行在线磋商；</w:t>
      </w:r>
    </w:p>
    <w:p>
      <w:pPr>
        <w:autoSpaceDN w:val="0"/>
        <w:spacing w:line="360" w:lineRule="auto"/>
        <w:ind w:firstLine="480"/>
        <w:rPr>
          <w:rFonts w:ascii="宋体" w:hint="eastAsia"/>
          <w:sz w:val="24"/>
        </w:rPr>
      </w:pPr>
      <w:r>
        <w:rPr>
          <w:rFonts w:ascii="宋体" w:hint="eastAsia"/>
          <w:sz w:val="24"/>
        </w:rPr>
        <w:t>3.磋商小组与实质性响应磋商文件要求的所有供应商磋商结束后，磋商小组应当要求所有参加磋商的供应商在规定的时间内，提交最终报价、最终分项报价及最终承诺，并由其法定代表人或授权代表签字再加盖电子签章(最终报价、最终分项报价及最终承诺是供应商响应文件的有效组成部分）。磋商小组确认上传完毕后，请供应商自行离开腾讯会议室。</w:t>
      </w:r>
    </w:p>
    <w:p>
      <w:pPr>
        <w:pStyle w:val="a10"/>
        <w:pBdr>
          <w:top w:val="none" w:sz="0" w:space="0" w:color="auto"/>
          <w:left w:val="none" w:sz="0" w:space="0" w:color="auto"/>
          <w:bottom w:val="none" w:sz="0" w:space="0" w:color="auto"/>
          <w:right w:val="none" w:sz="0" w:space="0" w:color="auto"/>
        </w:pBdr>
        <w:wordWrap/>
        <w:bidi w:val="0"/>
        <w:spacing w:before="0" w:beforeAutospacing="0" w:after="0" w:afterAutospacing="0" w:line="314" w:lineRule="atLeast"/>
        <w:ind w:left="0" w:right="0" w:firstLine="480"/>
        <w:rPr>
          <w:rFonts w:ascii="Times New Roman"/>
          <w:b w:val="0"/>
          <w:bCs w:val="0"/>
          <w:i w:val="0"/>
          <w:iCs w:val="0"/>
          <w:caps w:val="0"/>
          <w:smallCaps w:val="0"/>
          <w:vanish w:val="0"/>
          <w:color w:val="000000"/>
          <w:spacing w:val="0"/>
          <w:sz w:val="21"/>
        </w:rPr>
      </w:pP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5"/>
      <w:r>
        <w:rPr>
          <w:rFonts w:ascii="宋体" w:hint="eastAsia"/>
          <w:b/>
          <w:color w:val="000000"/>
          <w:kern w:val="0"/>
          <w:sz w:val="30"/>
          <w:szCs w:val="30"/>
        </w:rPr>
        <w:br w:type="page"/>
      </w:r>
    </w:p>
    <w:p>
      <w:pPr>
        <w:adjustRightInd w:val="0"/>
        <w:spacing w:before="312"/>
        <w:ind w:right="958"/>
        <w:jc w:val="center"/>
        <w:textAlignment w:val="baseline"/>
        <w:outlineLvl w:val="0"/>
        <w:rPr>
          <w:rFonts w:ascii="宋体" w:hint="eastAsia"/>
          <w:b/>
          <w:color w:val="000000"/>
          <w:kern w:val="0"/>
          <w:sz w:val="30"/>
          <w:szCs w:val="30"/>
        </w:rPr>
      </w:pPr>
      <w:bookmarkStart w:id="21" w:name="_Toc31833529"/>
      <w:r>
        <w:rPr>
          <w:rFonts w:ascii="宋体" w:hint="eastAsia"/>
          <w:b/>
          <w:color w:val="000000"/>
          <w:kern w:val="0"/>
          <w:sz w:val="30"/>
          <w:szCs w:val="30"/>
        </w:rPr>
        <w:t>第二部分  供应商须知</w:t>
      </w:r>
      <w:bookmarkEnd w:id="21"/>
    </w:p>
    <w:p>
      <w:pPr>
        <w:jc w:val="center"/>
        <w:rPr>
          <w:rFonts w:ascii="宋体" w:hint="eastAsia"/>
          <w:bCs/>
          <w:color w:val="000000"/>
          <w:sz w:val="40"/>
          <w:szCs w:val="40"/>
        </w:rPr>
      </w:pPr>
    </w:p>
    <w:p>
      <w:pPr>
        <w:jc w:val="center"/>
        <w:rPr>
          <w:rFonts w:hint="eastAsia"/>
          <w:b/>
          <w:sz w:val="28"/>
          <w:szCs w:val="36"/>
        </w:rPr>
      </w:pPr>
      <w:r>
        <w:rPr>
          <w:rFonts w:hint="eastAsia"/>
          <w:b/>
          <w:sz w:val="28"/>
          <w:szCs w:val="36"/>
        </w:rPr>
        <w:t>供应商须知前附表</w:t>
      </w:r>
    </w:p>
    <w:p>
      <w:pPr>
        <w:pStyle w:val="1062"/>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highlight w:val="white"/>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2"/>
              <w:spacing w:line="360" w:lineRule="auto"/>
              <w:rPr>
                <w:rFonts w:ascii="宋体" w:hint="eastAsia"/>
                <w:bCs/>
                <w:color w:val="000000"/>
                <w:sz w:val="24"/>
                <w:szCs w:val="24"/>
                <w:highlight w:val="white"/>
              </w:rPr>
            </w:pPr>
            <w:bookmarkStart w:id="22" w:name="采购任务单_purchaserOrgName"/>
            <w:r>
              <w:rPr>
                <w:rFonts w:ascii="宋体" w:hint="eastAsia"/>
                <w:b/>
                <w:bCs/>
                <w:color w:val="0000FF"/>
                <w:sz w:val="24"/>
                <w:lang w:val="en-US" w:eastAsia="zh-CN"/>
              </w:rPr>
              <w:t>海关总署</w:t>
            </w:r>
            <w:bookmarkEnd w:id="22"/>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采购项目名称</w:t>
            </w:r>
          </w:p>
        </w:tc>
        <w:tc>
          <w:tcPr>
            <w:tcW w:w="6195" w:type="dxa"/>
            <w:noWrap/>
            <w:vAlign w:val="center"/>
          </w:tcPr>
          <w:p>
            <w:pPr>
              <w:pStyle w:val="1062"/>
              <w:spacing w:line="360" w:lineRule="auto"/>
              <w:rPr>
                <w:rFonts w:ascii="宋体" w:hint="eastAsia"/>
                <w:bCs/>
                <w:color w:val="000000"/>
                <w:sz w:val="24"/>
                <w:szCs w:val="24"/>
                <w:highlight w:val="white"/>
              </w:rPr>
            </w:pPr>
            <w:bookmarkStart w:id="23" w:name="供应商须知_projectName_2"/>
            <w:r>
              <w:rPr>
                <w:rFonts w:ascii="宋体" w:hint="eastAsia"/>
                <w:b/>
                <w:bCs/>
                <w:color w:val="0000FF"/>
                <w:sz w:val="24"/>
              </w:rPr>
              <w:t>海关总署2025年国内外标准题录与文本数据采购项目</w:t>
            </w:r>
            <w:bookmarkEnd w:id="23"/>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4" w:name="项目预算和包件预算"/>
            <w:r>
              <w:rPr>
                <w:rFonts w:ascii="宋体" w:cs="微软雅黑" w:hint="eastAsia"/>
                <w:bCs/>
                <w:sz w:val="24"/>
                <w:lang w:bidi="ar-SA"/>
              </w:rPr>
              <w:t>本项目预算金额合计总金额人民币960,000.00元，其中包1人民币960,000.00元。</w:t>
            </w:r>
            <w:bookmarkEnd w:id="24"/>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5" w:name="供应商须知_maxPrice"/>
            <w:r>
              <w:rPr>
                <w:rFonts w:ascii="宋体" w:cs="微软雅黑" w:hint="eastAsia"/>
                <w:color w:val="0000FF"/>
                <w:sz w:val="24"/>
                <w:highlight w:val="white"/>
                <w:lang w:bidi="ar-SA"/>
              </w:rPr>
              <w:t>960,000.00</w:t>
            </w:r>
            <w:bookmarkEnd w:id="25"/>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26" w:name="投标须知_agentBidding"/>
            <w:r>
              <w:rPr>
                <w:rFonts w:ascii="宋体" w:cs="微软雅黑" w:hint="eastAsia"/>
                <w:sz w:val="24"/>
                <w:lang w:bidi="ar-SA"/>
              </w:rPr>
              <w:t>否</w:t>
            </w:r>
            <w:bookmarkEnd w:id="26"/>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响应报价一览表</w:t>
            </w:r>
          </w:p>
        </w:tc>
        <w:tc>
          <w:tcPr>
            <w:tcW w:w="6195"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27" w:name="投标人须知_canUnion"/>
            <w:r>
              <w:rPr>
                <w:rFonts w:ascii="宋体" w:cs="微软雅黑" w:hint="eastAsia"/>
                <w:bCs/>
                <w:sz w:val="24"/>
                <w:lang w:bidi="ar-SA"/>
              </w:rPr>
              <w:t>否</w:t>
            </w:r>
            <w:bookmarkEnd w:id="27"/>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磋商有效期</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31810"/>
              <w:numPr>
                <w:ilvl w:val="0"/>
                <w:numId w:val="3"/>
              </w:numPr>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是否提交磋商保证金</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2"/>
              <w:numPr>
                <w:ilvl w:val="0"/>
                <w:numId w:val="3"/>
              </w:numPr>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3"/>
              </w:numPr>
              <w:spacing w:line="360" w:lineRule="auto"/>
              <w:jc w:val="center"/>
              <w:rPr>
                <w:rFonts w:ascii="宋体" w:hint="eastAsia"/>
                <w:bCs/>
                <w:color w:val="000000"/>
                <w:sz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bl>
    <w:p>
      <w:pPr>
        <w:spacing w:line="360" w:lineRule="auto"/>
        <w:ind w:firstLine="480" w:firstLineChars="200"/>
        <w:rPr>
          <w:rFonts w:ascii="宋体" w:hint="eastAsia"/>
          <w:color w:val="000000"/>
          <w:sz w:val="24"/>
          <w:highlight w:val="white"/>
        </w:rPr>
      </w:pPr>
      <w:r>
        <w:rPr>
          <w:rFonts w:ascii="宋体" w:hint="eastAsia"/>
          <w:color w:val="000000"/>
          <w:sz w:val="24"/>
          <w:highlight w:val="white"/>
        </w:rPr>
        <w:t>注：1.本须知前附表</w:t>
      </w:r>
      <w:r>
        <w:rPr>
          <w:rFonts w:ascii="宋体" w:cs="微软雅黑" w:hint="eastAsia"/>
          <w:bCs/>
          <w:sz w:val="24"/>
          <w:lang w:bidi="ar-SA"/>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lang w:bidi="ar-SA"/>
        </w:rPr>
        <w:t>且不允许在磋商开始后补正；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定义</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 xml:space="preserve"> “采购人”系指</w:t>
      </w:r>
      <w:bookmarkStart w:id="28" w:name="采购任务单_purchaserOrgName_1"/>
      <w:r>
        <w:rPr>
          <w:rFonts w:ascii="宋体" w:hint="eastAsia"/>
          <w:color w:val="0000FF"/>
          <w:sz w:val="24"/>
          <w:lang w:val="en-US" w:eastAsia="zh-CN"/>
        </w:rPr>
        <w:t>海关总署</w:t>
      </w:r>
      <w:bookmarkEnd w:id="28"/>
      <w:r>
        <w:rPr>
          <w:rFonts w:ascii="宋体" w:hint="eastAsia"/>
          <w:color w:val="000000"/>
          <w:sz w:val="24"/>
        </w:rPr>
        <w:t>。</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4"/>
        </w:numPr>
        <w:tabs>
          <w:tab w:val="left" w:pos="360"/>
          <w:tab w:val="left" w:pos="588"/>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响应费用</w:t>
      </w:r>
    </w:p>
    <w:p>
      <w:pPr>
        <w:numPr>
          <w:ilvl w:val="1"/>
          <w:numId w:val="4"/>
        </w:numPr>
        <w:tabs>
          <w:tab w:val="left" w:pos="360"/>
          <w:tab w:val="left" w:pos="588"/>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hint="eastAsia"/>
          <w:b/>
          <w:color w:val="000000"/>
          <w:sz w:val="24"/>
        </w:rPr>
      </w:pPr>
      <w:r>
        <w:rPr>
          <w:rFonts w:ascii="宋体" w:hint="eastAsia"/>
          <w:b/>
          <w:color w:val="000000"/>
          <w:sz w:val="24"/>
        </w:rPr>
        <w:t>二、竞争性磋商文件说明</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 xml:space="preserve"> 竞争性磋商文件用以阐明供应商所需提供的</w:t>
      </w:r>
      <w:r>
        <w:rPr>
          <w:rFonts w:ascii="宋体" w:hint="eastAsia"/>
          <w:color w:val="000000"/>
          <w:sz w:val="24"/>
          <w:highlight w:val="none"/>
        </w:rPr>
        <w:t>服务</w:t>
      </w:r>
      <w:r>
        <w:rPr>
          <w:rFonts w:ascii="宋体" w:hint="eastAsia"/>
          <w:color w:val="000000"/>
          <w:sz w:val="24"/>
        </w:rPr>
        <w:t>以及其它类似的义务、磋商程序和合同条款。竞争性磋商文件包括如下六部分内容：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第四部分 评</w:t>
      </w:r>
      <w:r>
        <w:rPr>
          <w:rFonts w:ascii="宋体" w:hint="eastAsia"/>
          <w:color w:val="000000"/>
          <w:sz w:val="24"/>
          <w:szCs w:val="21"/>
          <w:lang w:eastAsia="zh-CN"/>
        </w:rPr>
        <w:t>审</w:t>
      </w:r>
      <w:r>
        <w:rPr>
          <w:rFonts w:ascii="宋体" w:hint="eastAsia"/>
          <w:color w:val="000000"/>
          <w:sz w:val="24"/>
          <w:szCs w:val="21"/>
        </w:rPr>
        <w:t>标准</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firstLine="0"/>
        <w:rPr>
          <w:rFonts w:ascii="宋体" w:hint="eastAsia"/>
          <w:color w:val="000000"/>
          <w:sz w:val="24"/>
        </w:rPr>
      </w:pPr>
      <w:r>
        <w:rPr>
          <w:rFonts w:ascii="宋体" w:hint="eastAsia"/>
          <w:color w:val="000000"/>
          <w:sz w:val="24"/>
          <w:szCs w:val="21"/>
        </w:rPr>
        <w:t>第六部分 响应文件格式</w:t>
      </w:r>
    </w:p>
    <w:p>
      <w:pPr>
        <w:pStyle w:val="Heading3"/>
        <w:numPr>
          <w:ilvl w:val="0"/>
          <w:numId w:val="4"/>
        </w:numPr>
        <w:tabs>
          <w:tab w:val="left" w:pos="588"/>
        </w:tabs>
        <w:rPr>
          <w:rFonts w:hint="eastAsia"/>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s>
        <w:spacing w:line="360" w:lineRule="auto"/>
        <w:rPr>
          <w:rFonts w:ascii="宋体" w:hint="eastAsia"/>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s>
        <w:spacing w:line="360" w:lineRule="auto"/>
        <w:rPr>
          <w:rFonts w:ascii="宋体" w:hint="eastAsia"/>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4"/>
        </w:numPr>
        <w:tabs>
          <w:tab w:val="left" w:pos="360"/>
          <w:tab w:val="left" w:pos="588"/>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计量单位</w:t>
      </w:r>
    </w:p>
    <w:p>
      <w:pPr>
        <w:numPr>
          <w:ilvl w:val="1"/>
          <w:numId w:val="4"/>
        </w:numPr>
        <w:tabs>
          <w:tab w:val="left" w:pos="360"/>
          <w:tab w:val="left" w:pos="588"/>
        </w:tabs>
        <w:spacing w:line="360" w:lineRule="auto"/>
        <w:rPr>
          <w:rFonts w:ascii="宋体" w:hint="eastAsia"/>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（1）</w:t>
      </w:r>
      <w:r>
        <w:rPr>
          <w:rFonts w:ascii="宋体" w:hint="eastAsia"/>
          <w:color w:val="000000"/>
          <w:kern w:val="0"/>
          <w:sz w:val="24"/>
          <w:highlight w:val="none"/>
        </w:rPr>
        <w:t>磋商响应函，</w:t>
      </w:r>
      <w:r>
        <w:rPr>
          <w:rFonts w:ascii="宋体" w:hint="eastAsia"/>
          <w:color w:val="000000"/>
          <w:kern w:val="0"/>
          <w:sz w:val="24"/>
        </w:rPr>
        <w:t>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（二）商务资格证明文件</w:t>
      </w:r>
    </w:p>
    <w:p>
      <w:pPr>
        <w:pStyle w:val="1067"/>
        <w:spacing w:line="360" w:lineRule="auto"/>
        <w:ind w:firstLine="480" w:firstLineChars="200"/>
        <w:rPr>
          <w:rFonts w:ascii="宋体" w:hint="eastAsia"/>
          <w:color w:val="000000"/>
          <w:kern w:val="0"/>
          <w:sz w:val="24"/>
          <w:szCs w:val="21"/>
        </w:rPr>
      </w:pPr>
      <w:bookmarkStart w:id="29" w:name="商务资质证明文件"/>
      <w:r>
        <w:rPr>
          <w:rFonts w:ascii="宋体" w:hint="eastAsia"/>
          <w:color w:val="000000"/>
          <w:kern w:val="0"/>
          <w:sz w:val="24"/>
          <w:szCs w:val="21"/>
          <w:highlight w:val="white"/>
        </w:rPr>
        <w:t>★（1）《商务偏离表》，格式见第六部分（加盖供应商电子签章）。</w:t>
      </w: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2）供应商为中小企业时，须提供《中小企业声明函》，格式见第六部分；监狱企业参加本次磋商活动的，应当提供由省级以上监狱管理局、戒毒管理局(含新疆生产建设兵团)出具的属于监狱企业的证明文件；残疾人福利性单位须提供《残疾人福利性单位声明函》，格式见第六部分（加盖供应商电子签章）。</w:t>
      </w: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（3）供应商提供2022年11月1日起至本项目磋商邀请发布之日止（以合同签订日期为准），与本项目同类服务项目业绩相关材料，具体要求见第四部分评</w:t>
      </w:r>
      <w:r>
        <w:rPr>
          <w:rFonts w:ascii="宋体"/>
          <w:color w:val="000000"/>
          <w:kern w:val="0"/>
          <w:sz w:val="24"/>
          <w:szCs w:val="21"/>
          <w:highlight w:val="white"/>
        </w:rPr>
        <w:t>审</w:t>
      </w:r>
      <w:r>
        <w:rPr>
          <w:rFonts w:ascii="宋体" w:hint="eastAsia"/>
          <w:color w:val="000000"/>
          <w:kern w:val="0"/>
          <w:sz w:val="24"/>
          <w:szCs w:val="21"/>
          <w:highlight w:val="white"/>
        </w:rPr>
        <w:t>标准。</w:t>
      </w: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（4）供应商满足供应商资格标准的其他必要资格证明文件（如有）（加盖供应商电子签章）。</w:t>
      </w:r>
      <w:bookmarkEnd w:id="29"/>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（三)服务应答文件</w:t>
      </w:r>
    </w:p>
    <w:p>
      <w:pPr>
        <w:pStyle w:val="1067"/>
        <w:widowControl/>
        <w:spacing w:line="360" w:lineRule="auto"/>
        <w:ind w:firstLine="480" w:firstLineChars="200"/>
        <w:rPr>
          <w:rFonts w:ascii="宋体" w:hint="eastAsia"/>
          <w:color w:val="000000"/>
          <w:sz w:val="24"/>
          <w:szCs w:val="24"/>
        </w:rPr>
      </w:pPr>
      <w:bookmarkStart w:id="30" w:name="服务应答文件"/>
      <w:r>
        <w:rPr>
          <w:rFonts w:ascii="宋体" w:hint="eastAsia"/>
          <w:color w:val="000000"/>
          <w:sz w:val="24"/>
          <w:szCs w:val="24"/>
        </w:rPr>
        <w:t xml:space="preserve">（1）★《服务偏离表》（服务类项目用）：须对本磋商文件第三部分《项目需求书》中相关内容，按附件格式逐项应答，如有缺项进行相应扣分，格式见第六部分（加盖供应商电子签章）。 </w:t>
      </w: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（2）供应商提供项目人员团队情况，具体要求见《项目需求书》相关内容（加盖供应商电子签章）。</w:t>
      </w: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（3）供应商按要求进行需求理解分析，提供项目实施管理方案等，具体要求见第四部分评分标准（加盖供应商电子签章）。</w:t>
      </w:r>
    </w:p>
    <w:p>
      <w:pPr>
        <w:pStyle w:val="1067"/>
        <w:widowControl/>
        <w:spacing w:line="360" w:lineRule="auto"/>
        <w:ind w:firstLine="480" w:firstLineChars="200"/>
        <w:rPr>
          <w:rFonts w:ascii="宋体"/>
          <w:color w:val="000000"/>
          <w:sz w:val="24"/>
          <w:szCs w:val="24"/>
        </w:rPr>
      </w:pPr>
      <w:r>
        <w:rPr>
          <w:rFonts w:ascii="宋体" w:hint="eastAsia"/>
          <w:color w:val="000000"/>
          <w:sz w:val="24"/>
          <w:szCs w:val="24"/>
        </w:rPr>
        <w:t>（4）供应商认为应该提供的其他证明材料。（如有）（加盖供应商电子签章）。</w:t>
      </w:r>
      <w:bookmarkEnd w:id="30"/>
    </w:p>
    <w:p>
      <w:pPr>
        <w:pStyle w:val="1067"/>
        <w:widowControl/>
        <w:spacing w:line="360" w:lineRule="auto"/>
        <w:ind w:firstLine="480" w:firstLineChars="200"/>
        <w:rPr>
          <w:rFonts w:ascii="宋体" w:hint="eastAsia"/>
          <w:color w:val="000000"/>
          <w:sz w:val="24"/>
          <w:szCs w:val="24"/>
        </w:rPr>
      </w:pPr>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rPr>
        <w:t>响应文件格式</w:t>
      </w:r>
    </w:p>
    <w:p>
      <w:pPr>
        <w:numPr>
          <w:ilvl w:val="1"/>
          <w:numId w:val="4"/>
        </w:numPr>
        <w:tabs>
          <w:tab w:val="left" w:pos="360"/>
          <w:tab w:val="left" w:pos="588"/>
        </w:tabs>
        <w:spacing w:line="360" w:lineRule="auto"/>
        <w:rPr>
          <w:rFonts w:ascii="宋体" w:hint="eastAsia"/>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响应报价</w:t>
      </w:r>
    </w:p>
    <w:p>
      <w:pPr>
        <w:numPr>
          <w:ilvl w:val="1"/>
          <w:numId w:val="4"/>
        </w:numPr>
        <w:tabs>
          <w:tab w:val="left" w:pos="360"/>
          <w:tab w:val="left" w:pos="588"/>
        </w:tabs>
        <w:spacing w:line="360" w:lineRule="auto"/>
        <w:rPr>
          <w:rFonts w:ascii="宋体" w:hint="eastAsia"/>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s>
        <w:spacing w:line="360" w:lineRule="auto"/>
        <w:rPr>
          <w:rFonts w:ascii="宋体" w:hint="eastAsia"/>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s>
        <w:spacing w:line="360" w:lineRule="auto"/>
        <w:rPr>
          <w:rFonts w:ascii="宋体" w:hint="eastAsia"/>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lang w:bidi="ar-SA"/>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lang w:bidi="ar-SA"/>
        </w:rPr>
        <w:t>响应报价一览表</w:t>
      </w:r>
      <w:r>
        <w:rPr>
          <w:rFonts w:ascii="宋体" w:hint="eastAsia"/>
          <w:color w:val="000000"/>
          <w:kern w:val="24"/>
          <w:sz w:val="24"/>
        </w:rPr>
        <w:t>的响应报价不一致，则供应商的报价以《</w:t>
      </w:r>
      <w:r>
        <w:rPr>
          <w:rFonts w:ascii="宋体" w:cs="宋体" w:hint="eastAsia"/>
          <w:color w:val="000000"/>
          <w:kern w:val="24"/>
          <w:sz w:val="24"/>
          <w:lang w:bidi="ar-SA"/>
        </w:rPr>
        <w:t>响应报价一览表》</w:t>
      </w:r>
      <w:r>
        <w:rPr>
          <w:rFonts w:ascii="宋体" w:hint="eastAsia"/>
          <w:color w:val="000000"/>
          <w:kern w:val="24"/>
          <w:sz w:val="24"/>
        </w:rPr>
        <w:t>的响应报价为准。</w:t>
      </w:r>
    </w:p>
    <w:p>
      <w:pPr>
        <w:numPr>
          <w:ilvl w:val="1"/>
          <w:numId w:val="4"/>
        </w:numPr>
        <w:tabs>
          <w:tab w:val="left" w:pos="360"/>
          <w:tab w:val="left" w:pos="588"/>
        </w:tabs>
        <w:spacing w:line="360" w:lineRule="auto"/>
        <w:rPr>
          <w:rFonts w:ascii="宋体" w:hint="eastAsia"/>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s>
        <w:spacing w:line="360" w:lineRule="auto"/>
        <w:rPr>
          <w:rFonts w:ascii="宋体" w:hint="eastAsia"/>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报价货币</w:t>
      </w:r>
    </w:p>
    <w:p>
      <w:pPr>
        <w:numPr>
          <w:ilvl w:val="1"/>
          <w:numId w:val="4"/>
        </w:numPr>
        <w:tabs>
          <w:tab w:val="left" w:pos="360"/>
          <w:tab w:val="left" w:pos="588"/>
        </w:tabs>
        <w:spacing w:line="360" w:lineRule="auto"/>
        <w:rPr>
          <w:rFonts w:ascii="宋体" w:hint="eastAsia"/>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lang w:bidi="ar-SA"/>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磋商有效期</w:t>
      </w:r>
    </w:p>
    <w:p>
      <w:pPr>
        <w:numPr>
          <w:ilvl w:val="1"/>
          <w:numId w:val="4"/>
        </w:numPr>
        <w:tabs>
          <w:tab w:val="left" w:pos="360"/>
          <w:tab w:val="left" w:pos="588"/>
        </w:tabs>
        <w:spacing w:line="360" w:lineRule="auto"/>
        <w:rPr>
          <w:rFonts w:ascii="宋体" w:hint="eastAsia"/>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s>
        <w:spacing w:line="360" w:lineRule="auto"/>
        <w:rPr>
          <w:rFonts w:ascii="宋体" w:hint="eastAsia"/>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s>
        <w:spacing w:line="360" w:lineRule="auto"/>
        <w:rPr>
          <w:rFonts w:ascii="宋体" w:hint="eastAsia"/>
          <w:color w:val="000000"/>
          <w:kern w:val="0"/>
          <w:sz w:val="24"/>
        </w:rPr>
      </w:pPr>
      <w:r>
        <w:rPr>
          <w:rFonts w:ascii="宋体" w:cs="微软雅黑" w:hint="eastAsia"/>
          <w:sz w:val="24"/>
          <w:szCs w:val="21"/>
          <w:lang w:bidi="ar-SA"/>
        </w:rPr>
        <w:t>供应商须登陆中国海关政府采购网，下载</w:t>
      </w:r>
      <w:r>
        <w:rPr>
          <w:rFonts w:ascii="宋体" w:hint="eastAsia"/>
          <w:sz w:val="24"/>
        </w:rPr>
        <w:t>海关智慧政采综合管理平台</w:t>
      </w:r>
      <w:r>
        <w:rPr>
          <w:rFonts w:ascii="宋体" w:cs="微软雅黑" w:hint="eastAsia"/>
          <w:sz w:val="24"/>
          <w:szCs w:val="21"/>
          <w:lang w:bidi="ar-SA"/>
        </w:rPr>
        <w:t>的投标工具，制作并上传电子响应文件，文件上传成功后，将获得系统回执。</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s>
        <w:spacing w:line="360" w:lineRule="auto"/>
        <w:rPr>
          <w:rFonts w:ascii="宋体" w:hint="eastAsia"/>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s>
        <w:spacing w:line="360" w:lineRule="auto"/>
        <w:rPr>
          <w:rFonts w:ascii="宋体" w:hint="eastAsia"/>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s>
        <w:spacing w:line="360" w:lineRule="auto"/>
        <w:rPr>
          <w:rFonts w:ascii="宋体" w:hint="eastAsia"/>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hint="eastAsia"/>
          <w:color w:val="000000"/>
          <w:kern w:val="0"/>
          <w:sz w:val="24"/>
        </w:rPr>
      </w:pPr>
    </w:p>
    <w:p>
      <w:pPr>
        <w:ind w:left="425"/>
        <w:jc w:val="center"/>
        <w:outlineLvl w:val="1"/>
        <w:rPr>
          <w:rFonts w:ascii="宋体" w:hint="eastAsia"/>
          <w:b/>
          <w:color w:val="000000"/>
          <w:sz w:val="24"/>
        </w:rPr>
      </w:pPr>
      <w:r>
        <w:rPr>
          <w:rFonts w:ascii="宋体" w:hint="eastAsia"/>
          <w:b/>
          <w:color w:val="000000"/>
          <w:sz w:val="24"/>
        </w:rPr>
        <w:t>五、磋商与评审</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19.1响应文件提交时间和方式见采购公告。</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19.2参加竞争性磋商的供应商不足3家的，不进入解密程序。</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19.4</w:t>
      </w:r>
      <w:r>
        <w:rPr>
          <w:rFonts w:ascii="宋体" w:hint="eastAsia"/>
          <w:color w:val="000000"/>
          <w:sz w:val="24"/>
          <w:highlight w:val="none"/>
          <w:lang w:eastAsia="zh-CN"/>
        </w:rPr>
        <w:t>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hint="eastAsia"/>
          <w:color w:val="000000"/>
          <w:sz w:val="24"/>
          <w:highlight w:val="yellow"/>
        </w:rPr>
      </w:pPr>
      <w:r>
        <w:rPr>
          <w:rFonts w:ascii="宋体" w:hint="eastAsia"/>
          <w:color w:val="000000"/>
          <w:sz w:val="24"/>
          <w:highlight w:val="none"/>
        </w:rPr>
        <w:t>19.5本项目不进行公开报价。</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autoSpaceDN w:val="0"/>
        <w:spacing w:line="360" w:lineRule="auto"/>
        <w:rPr>
          <w:rFonts w:ascii="宋体" w:hint="eastAsia"/>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autoSpaceDN w:val="0"/>
        <w:spacing w:line="360" w:lineRule="auto"/>
        <w:rPr>
          <w:rFonts w:ascii="宋体" w:hint="eastAsia"/>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s>
        <w:spacing w:line="360" w:lineRule="auto"/>
        <w:rPr>
          <w:rFonts w:ascii="宋体" w:hint="eastAsia"/>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评审方法：</w:t>
      </w:r>
      <w:r>
        <w:rPr>
          <w:rFonts w:ascii="宋体" w:cs="Courier New" w:hint="eastAsia"/>
          <w:color w:val="000000"/>
          <w:kern w:val="0"/>
          <w:sz w:val="24"/>
          <w:lang w:bidi="ar-SA"/>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s>
        <w:spacing w:line="360" w:lineRule="auto"/>
        <w:rPr>
          <w:rFonts w:ascii="宋体" w:hint="eastAsia"/>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本项目上述企业单位制造的产品在评审时给予报价12%的扣除，用扣除后的价格参与评审打分，即参加评审的价格=响应报价×(1-12%)。未提供相关声明函或证明文件的评审时其响应报价不予扣除，同时具备上述两种及以上类型的企业单位，不重复享受政策优惠。</w:t>
      </w:r>
    </w:p>
    <w:p>
      <w:pPr>
        <w:pStyle w:val="Heading3"/>
        <w:numPr>
          <w:ilvl w:val="0"/>
          <w:numId w:val="6"/>
        </w:numPr>
        <w:tabs>
          <w:tab w:val="left" w:pos="360"/>
          <w:tab w:val="left" w:pos="588"/>
        </w:tabs>
        <w:rPr>
          <w:rFonts w:ascii="宋体" w:hint="eastAsia"/>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firstLine="0"/>
        <w:rPr>
          <w:rFonts w:ascii="宋体" w:hint="eastAsia"/>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w:t>
      </w:r>
      <w:r>
        <w:rPr>
          <w:rFonts w:ascii="宋体" w:eastAsia="宋体" w:hint="eastAsia"/>
          <w:color w:val="000000"/>
          <w:kern w:val="0"/>
          <w:sz w:val="24"/>
        </w:rPr>
        <w:t>〔2015〕124号</w:t>
      </w:r>
      <w:r>
        <w:rPr>
          <w:rFonts w:ascii="宋体" w:hint="eastAsia"/>
          <w:color w:val="000000"/>
          <w:kern w:val="0"/>
          <w:sz w:val="24"/>
        </w:rPr>
        <w:t>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（5）不同供应商的响应文件相互混装。</w:t>
      </w:r>
    </w:p>
    <w:p>
      <w:pPr>
        <w:ind w:left="425"/>
        <w:jc w:val="center"/>
        <w:outlineLvl w:val="1"/>
        <w:rPr>
          <w:rFonts w:ascii="宋体" w:hint="eastAsia"/>
          <w:b/>
          <w:color w:val="000000"/>
          <w:sz w:val="24"/>
        </w:rPr>
      </w:pPr>
      <w:r>
        <w:rPr>
          <w:rFonts w:ascii="宋体" w:hint="eastAsia"/>
          <w:b/>
          <w:color w:val="000000"/>
          <w:sz w:val="24"/>
        </w:rPr>
        <w:t>六、授予合同</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lang w:bidi="ar-SA"/>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lang w:bidi="ar-SA"/>
        </w:rPr>
        <w:t>推荐的成交候选人名单排序，确定下一候选人为成交供应商，也可以重新组织采购活动。</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s>
        <w:spacing w:line="360" w:lineRule="auto"/>
        <w:rPr>
          <w:rFonts w:ascii="宋体" w:hint="eastAsia"/>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s>
        <w:spacing w:line="360" w:lineRule="auto"/>
        <w:rPr>
          <w:rFonts w:ascii="宋体" w:hint="eastAsia"/>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hint="eastAsia"/>
          <w:color w:val="000000"/>
          <w:szCs w:val="22"/>
          <w:highlight w:val="cyan"/>
        </w:rPr>
      </w:pPr>
    </w:p>
    <w:p>
      <w:pPr>
        <w:ind w:left="425"/>
        <w:jc w:val="center"/>
        <w:outlineLvl w:val="1"/>
        <w:rPr>
          <w:rFonts w:ascii="宋体" w:hint="eastAsia"/>
          <w:b/>
          <w:color w:val="000000"/>
          <w:sz w:val="24"/>
        </w:rPr>
      </w:pPr>
      <w:r>
        <w:rPr>
          <w:rFonts w:ascii="宋体" w:hint="eastAsia"/>
          <w:b/>
          <w:color w:val="000000"/>
          <w:sz w:val="24"/>
        </w:rPr>
        <w:t>七、质疑提出与处理</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s>
        <w:spacing w:line="360" w:lineRule="auto"/>
        <w:rPr>
          <w:rFonts w:ascii="宋体" w:hint="eastAsia"/>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hint="eastAsia"/>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s>
        <w:spacing w:line="360" w:lineRule="auto"/>
        <w:rPr>
          <w:rFonts w:ascii="宋体" w:hint="eastAsia"/>
          <w:color w:val="000000"/>
          <w:kern w:val="0"/>
          <w:sz w:val="24"/>
          <w:highlight w:val="white"/>
        </w:rPr>
      </w:pPr>
      <w:r>
        <w:rPr>
          <w:rFonts w:ascii="宋体" w:cs="微软雅黑" w:hint="eastAsia"/>
          <w:bCs/>
          <w:sz w:val="24"/>
          <w:lang w:bidi="ar-SA"/>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s>
        <w:spacing w:line="360" w:lineRule="auto"/>
        <w:rPr>
          <w:rFonts w:ascii="宋体" w:hint="eastAsia"/>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s>
        <w:spacing w:line="360" w:lineRule="auto"/>
        <w:rPr>
          <w:rFonts w:ascii="宋体" w:hint="eastAsia"/>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588"/>
        </w:tabs>
        <w:rPr>
          <w:rFonts w:ascii="宋体" w:hint="eastAsia"/>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s>
        <w:spacing w:line="360" w:lineRule="auto"/>
        <w:rPr>
          <w:rFonts w:ascii="宋体" w:hint="eastAsia"/>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312"/>
        <w:ind w:right="958"/>
        <w:jc w:val="center"/>
        <w:textAlignment w:val="baseline"/>
        <w:outlineLvl w:val="0"/>
        <w:rPr>
          <w:rFonts w:ascii="宋体" w:hint="eastAsia"/>
          <w:b/>
          <w:bCs/>
          <w:color w:val="000000"/>
          <w:kern w:val="0"/>
          <w:sz w:val="30"/>
          <w:szCs w:val="30"/>
        </w:rPr>
      </w:pPr>
      <w:r>
        <w:rPr>
          <w:rFonts w:ascii="宋体" w:hint="eastAsia"/>
          <w:b/>
          <w:bCs/>
          <w:color w:val="000000"/>
          <w:kern w:val="0"/>
          <w:sz w:val="30"/>
          <w:szCs w:val="30"/>
        </w:rPr>
        <w:br w:type="page"/>
      </w:r>
      <w:bookmarkStart w:id="31" w:name="_Toc31833530"/>
      <w:r>
        <w:rPr>
          <w:rFonts w:ascii="宋体" w:hint="eastAsia"/>
          <w:b/>
          <w:bCs/>
          <w:color w:val="000000"/>
          <w:kern w:val="0"/>
          <w:sz w:val="30"/>
          <w:szCs w:val="30"/>
        </w:rPr>
        <w:t>第三部分 项目需求书</w:t>
      </w:r>
      <w:bookmarkEnd w:id="31"/>
    </w:p>
    <w:p>
      <w:pPr>
        <w:pStyle w:val="1530"/>
        <w:pBdr>
          <w:top w:val="none" w:sz="0" w:space="0" w:color="auto"/>
          <w:left w:val="none" w:sz="0" w:space="0" w:color="auto"/>
          <w:bottom w:val="none" w:sz="0" w:space="0" w:color="auto"/>
          <w:right w:val="none" w:sz="0" w:space="0" w:color="auto"/>
        </w:pBdr>
        <w:spacing w:before="100" w:beforeAutospacing="1" w:after="100" w:afterAutospacing="1" w:line="360" w:lineRule="auto"/>
        <w:ind w:firstLine="640" w:firstLineChars="200"/>
        <w:jc w:val="center"/>
        <w:rPr>
          <w:rFonts w:ascii="宋体" w:cs="Calibri" w:hint="eastAsia"/>
          <w:sz w:val="28"/>
          <w:szCs w:val="28"/>
        </w:rPr>
      </w:pPr>
      <w:bookmarkStart w:id="32" w:name="插入_采购需求书"/>
      <w:r>
        <w:rPr>
          <w:rFonts w:ascii="宋体" w:eastAsia="宋体" w:cs="Times New Roman" w:hint="eastAsia"/>
          <w:b/>
          <w:bCs w:val="0"/>
          <w:vanish w:val="0"/>
          <w:spacing w:val="0"/>
          <w:kern w:val="44"/>
          <w:sz w:val="32"/>
          <w:szCs w:val="32"/>
        </w:rPr>
        <w:t>“国内外标准题录与文本数据”项目需求书</w:t>
      </w:r>
    </w:p>
    <w:p>
      <w:pPr>
        <w:pStyle w:val="4413"/>
        <w:rPr>
          <w:rFonts w:ascii="宋体" w:eastAsia="宋体" w:cs="Times New Roman" w:hint="eastAsia"/>
          <w:b/>
          <w:bCs/>
          <w:spacing w:val="0"/>
          <w:kern w:val="0"/>
          <w:sz w:val="24"/>
          <w:szCs w:val="24"/>
        </w:rPr>
      </w:pPr>
      <w:bookmarkEnd w:id="32"/>
      <w:r>
        <w:rPr>
          <w:rFonts w:ascii="宋体" w:eastAsia="宋体" w:cs="Calibri" w:hint="eastAsia"/>
          <w:spacing w:val="0"/>
          <w:kern w:val="0"/>
          <w:sz w:val="24"/>
          <w:szCs w:val="24"/>
        </w:rPr>
        <w:t>说明：未经采购人同意，投标人不得向与此项目无关的任何第三方透露招标文件技术内容部分。注：加 “▲”标记表示为重要指标项，如不满足将影响评分。加 “★”标记表示为必须满足条款，否则做为无效投标处理。</w:t>
      </w:r>
      <w:r>
        <w:rPr>
          <w:rFonts w:ascii="宋体" w:eastAsia="宋体" w:cs="微软雅黑" w:hint="eastAsia"/>
          <w:b/>
          <w:bCs/>
          <w:spacing w:val="0"/>
          <w:kern w:val="0"/>
          <w:sz w:val="24"/>
          <w:szCs w:val="24"/>
        </w:rPr>
        <w:t>提交投标文件时，须注明需提供证明材料或承诺函等材料项所在位置（页码）。</w:t>
      </w:r>
    </w:p>
    <w:p>
      <w:pPr>
        <w:pStyle w:val="4512"/>
        <w:pBdr>
          <w:top w:val="none" w:sz="0" w:space="0" w:color="auto"/>
          <w:left w:val="none" w:sz="0" w:space="0" w:color="auto"/>
          <w:bottom w:val="none" w:sz="0" w:space="0" w:color="auto"/>
          <w:right w:val="none" w:sz="0" w:space="0" w:color="auto"/>
        </w:pBdr>
        <w:ind w:left="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一、承诺项</w:t>
      </w:r>
    </w:p>
    <w:p>
      <w:pPr>
        <w:pStyle w:val="4413"/>
        <w:rPr>
          <w:rFonts w:ascii="宋体" w:eastAsia="宋体" w:cs="Times New Roman" w:hint="eastAsia"/>
          <w:spacing w:val="0"/>
          <w:kern w:val="2"/>
          <w:sz w:val="24"/>
          <w:szCs w:val="24"/>
        </w:rPr>
      </w:pPr>
      <w:r>
        <w:rPr>
          <w:rFonts w:ascii="宋体" w:eastAsia="宋体" w:cs="Times New Roman" w:hint="eastAsia"/>
          <w:spacing w:val="0"/>
          <w:kern w:val="2"/>
          <w:sz w:val="24"/>
          <w:szCs w:val="24"/>
        </w:rPr>
        <w:t xml:space="preserve">1.行业类型（必填项）：I65软件和信息技术服务业                                           </w:t>
      </w:r>
    </w:p>
    <w:p>
      <w:pPr>
        <w:pStyle w:val="4413"/>
        <w:rPr>
          <w:rFonts w:ascii="宋体" w:eastAsia="宋体" w:cs="Times New Roman" w:hint="eastAsia"/>
          <w:spacing w:val="0"/>
          <w:kern w:val="2"/>
          <w:sz w:val="24"/>
          <w:szCs w:val="24"/>
        </w:rPr>
      </w:pPr>
      <w:r>
        <w:rPr>
          <w:rFonts w:ascii="宋体" w:eastAsia="宋体" w:cs="方正仿宋_GBK" w:hint="eastAsia"/>
          <w:spacing w:val="0"/>
          <w:kern w:val="2"/>
          <w:sz w:val="24"/>
          <w:szCs w:val="24"/>
        </w:rPr>
        <w:t>注：行业类型依据工业和信息化部等主管部门印发的《中小企业划型标准规定》（工信部联企业〔2011〕300号），参考《国民经济行业分类注释》（国家统计局2017年），如工业、建筑业、其他未列明行业等。</w:t>
      </w:r>
    </w:p>
    <w:p>
      <w:pPr>
        <w:pStyle w:val="4413"/>
        <w:rPr>
          <w:rFonts w:ascii="宋体" w:eastAsia="宋体" w:cs="方正仿宋_GBK" w:hint="eastAsia"/>
          <w:color w:val="000000"/>
          <w:spacing w:val="0"/>
          <w:kern w:val="2"/>
          <w:sz w:val="24"/>
          <w:szCs w:val="24"/>
        </w:rPr>
      </w:pPr>
      <w:r>
        <w:rPr>
          <w:rFonts w:ascii="宋体" w:eastAsia="宋体" w:cs="方正仿宋_GBK" w:hint="eastAsia"/>
          <w:color w:val="000000"/>
          <w:spacing w:val="0"/>
          <w:kern w:val="2"/>
          <w:sz w:val="24"/>
          <w:szCs w:val="24"/>
        </w:rPr>
        <w:t>2.项目立项审核情况</w:t>
      </w:r>
    </w:p>
    <w:p>
      <w:pPr>
        <w:pStyle w:val="4413"/>
        <w:rPr>
          <w:rFonts w:ascii="宋体" w:eastAsia="宋体" w:cs="方正仿宋_GBK"/>
          <w:spacing w:val="0"/>
          <w:kern w:val="2"/>
          <w:sz w:val="24"/>
          <w:szCs w:val="24"/>
        </w:rPr>
      </w:pPr>
      <w:r>
        <w:rPr>
          <w:rFonts w:ascii="宋体" w:eastAsia="宋体" w:cs="方正仿宋_GBK" w:hint="eastAsia"/>
          <w:spacing w:val="0"/>
          <w:kern w:val="2"/>
          <w:sz w:val="24"/>
          <w:szCs w:val="24"/>
        </w:rPr>
        <w:t>本项目</w:t>
      </w:r>
      <w:r>
        <w:rPr>
          <w:rFonts w:ascii="宋体" w:eastAsia="宋体" w:cs="方正仿宋_GBK"/>
          <w:spacing w:val="0"/>
          <w:kern w:val="2"/>
          <w:sz w:val="24"/>
          <w:szCs w:val="24"/>
        </w:rPr>
        <w:t>不</w:t>
      </w:r>
      <w:r>
        <w:rPr>
          <w:rFonts w:ascii="宋体" w:eastAsia="宋体" w:cs="方正仿宋_GBK" w:hint="eastAsia"/>
          <w:spacing w:val="0"/>
          <w:kern w:val="2"/>
          <w:sz w:val="24"/>
          <w:szCs w:val="24"/>
        </w:rPr>
        <w:t>属于新建、改建或者采用购买服务方式的政务应用程序项目。</w:t>
      </w:r>
    </w:p>
    <w:p>
      <w:pPr>
        <w:pStyle w:val="4413"/>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二、采购政策落实</w:t>
      </w:r>
    </w:p>
    <w:tbl>
      <w:tblPr>
        <w:tblW w:w="9061"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hidden/>
          <w:trHeight w:val="421"/>
          <w:jc w:val="left"/>
        </w:trPr>
        <w:tc>
          <w:tcPr>
            <w:tcW w:w="758" w:type="dxa"/>
            <w:tcBorders>
              <w:top w:val="single" w:sz="4" w:space="0" w:color="auto"/>
              <w:left w:val="single" w:sz="4" w:space="0" w:color="auto"/>
              <w:bottom w:val="single" w:sz="4" w:space="0" w:color="auto"/>
              <w:right w:val="single" w:sz="4" w:space="0" w:color="auto"/>
              <w:tl2br w:val="nil"/>
              <w:tr2bl w:val="nil"/>
            </w:tcBorders>
            <w:shd w:val="clear" w:color="auto" w:fill="A6A6A6"/>
            <w:vAlign w:val="center"/>
          </w:tcPr>
          <w:p>
            <w:pPr>
              <w:pStyle w:val="37810"/>
              <w:pBdr>
                <w:top w:val="none" w:sz="0" w:space="0" w:color="auto"/>
                <w:left w:val="none" w:sz="0" w:space="0" w:color="auto"/>
                <w:bottom w:val="none" w:sz="0" w:space="0" w:color="auto"/>
                <w:right w:val="none" w:sz="0" w:space="0" w:color="auto"/>
              </w:pBdr>
              <w:jc w:val="center"/>
              <w:rPr>
                <w:rFonts w:ascii="宋体" w:eastAsia="宋体" w:cs="Calibri" w:hint="eastAsia"/>
                <w:b/>
                <w:bCs w:val="0"/>
                <w:vanish w:val="0"/>
                <w:spacing w:val="0"/>
                <w:kern w:val="2"/>
                <w:sz w:val="21"/>
                <w:szCs w:val="21"/>
              </w:rPr>
            </w:pPr>
            <w:bookmarkStart w:id="33" w:name="采购政策落实_index"/>
            <w:bookmarkEnd w:id="33"/>
            <w:r>
              <w:rPr>
                <w:rFonts w:ascii="宋体" w:eastAsia="宋体" w:cs="Calibri" w:hint="eastAsia"/>
                <w:b/>
                <w:bCs w:val="0"/>
                <w:vanish w:val="0"/>
                <w:spacing w:val="0"/>
                <w:kern w:val="2"/>
                <w:sz w:val="24"/>
                <w:szCs w:val="24"/>
              </w:rPr>
              <w:t>序号</w:t>
            </w:r>
          </w:p>
        </w:tc>
        <w:tc>
          <w:tcPr>
            <w:tcW w:w="2631" w:type="dxa"/>
            <w:tcBorders>
              <w:top w:val="single" w:sz="4" w:space="0" w:color="auto"/>
              <w:left w:val="nil"/>
              <w:bottom w:val="single" w:sz="4" w:space="0" w:color="auto"/>
              <w:right w:val="single" w:sz="4" w:space="0" w:color="auto"/>
              <w:tl2br w:val="nil"/>
              <w:tr2bl w:val="nil"/>
            </w:tcBorders>
            <w:shd w:val="clear" w:color="auto" w:fill="A6A6A6"/>
            <w:vAlign w:val="center"/>
          </w:tcPr>
          <w:p>
            <w:pPr>
              <w:pStyle w:val="37910"/>
              <w:pBdr>
                <w:top w:val="none" w:sz="0" w:space="0" w:color="auto"/>
                <w:left w:val="none" w:sz="0" w:space="0" w:color="auto"/>
                <w:bottom w:val="none" w:sz="0" w:space="0" w:color="auto"/>
                <w:right w:val="none" w:sz="0" w:space="0" w:color="auto"/>
              </w:pBdr>
              <w:jc w:val="center"/>
              <w:rPr>
                <w:rFonts w:ascii="宋体" w:eastAsia="宋体" w:cs="Calibri" w:hint="eastAsia"/>
                <w:b/>
                <w:bCs w:val="0"/>
                <w:vanish w:val="0"/>
                <w:spacing w:val="0"/>
                <w:kern w:val="2"/>
                <w:sz w:val="21"/>
                <w:szCs w:val="21"/>
              </w:rPr>
            </w:pPr>
            <w:r>
              <w:rPr>
                <w:rFonts w:ascii="宋体" w:eastAsia="宋体" w:cs="Calibri" w:hint="eastAsia"/>
                <w:b/>
                <w:bCs w:val="0"/>
                <w:vanish w:val="0"/>
                <w:spacing w:val="0"/>
                <w:kern w:val="2"/>
                <w:sz w:val="24"/>
                <w:szCs w:val="24"/>
              </w:rPr>
              <w:t>内容</w:t>
            </w:r>
          </w:p>
        </w:tc>
        <w:tc>
          <w:tcPr>
            <w:tcW w:w="5672" w:type="dxa"/>
            <w:tcBorders>
              <w:top w:val="single" w:sz="4" w:space="0" w:color="auto"/>
              <w:left w:val="nil"/>
              <w:bottom w:val="single" w:sz="4" w:space="0" w:color="auto"/>
              <w:right w:val="single" w:sz="4" w:space="0" w:color="auto"/>
              <w:tl2br w:val="nil"/>
              <w:tr2bl w:val="nil"/>
            </w:tcBorders>
            <w:shd w:val="clear" w:color="auto" w:fill="A6A6A6"/>
            <w:vAlign w:val="center"/>
          </w:tcPr>
          <w:p>
            <w:pPr>
              <w:pStyle w:val="38010"/>
              <w:pBdr>
                <w:top w:val="none" w:sz="0" w:space="0" w:color="auto"/>
                <w:left w:val="none" w:sz="0" w:space="0" w:color="auto"/>
                <w:bottom w:val="none" w:sz="0" w:space="0" w:color="auto"/>
                <w:right w:val="none" w:sz="0" w:space="0" w:color="auto"/>
              </w:pBdr>
              <w:jc w:val="center"/>
              <w:rPr>
                <w:rFonts w:ascii="宋体" w:eastAsia="宋体" w:cs="Calibri" w:hint="eastAsia"/>
                <w:b/>
                <w:bCs w:val="0"/>
                <w:vanish w:val="0"/>
                <w:spacing w:val="0"/>
                <w:kern w:val="2"/>
                <w:sz w:val="21"/>
                <w:szCs w:val="21"/>
              </w:rPr>
            </w:pPr>
            <w:r>
              <w:rPr>
                <w:rFonts w:ascii="宋体" w:eastAsia="宋体" w:cs="Calibri" w:hint="eastAsia"/>
                <w:b/>
                <w:bCs w:val="0"/>
                <w:vanish w:val="0"/>
                <w:spacing w:val="0"/>
                <w:kern w:val="2"/>
                <w:sz w:val="24"/>
                <w:szCs w:val="24"/>
              </w:rPr>
              <w:t>说明</w:t>
            </w:r>
          </w:p>
        </w:tc>
      </w:tr>
      <w:tr>
        <w:tblPrEx>
          <w:tblW w:w="9061" w:type="dxa"/>
          <w:jc w:val="left"/>
          <w:tblInd w:w="0" w:type="dxa"/>
          <w:tblLayout w:type="fixed"/>
          <w:tblCellMar>
            <w:top w:w="0" w:type="dxa"/>
            <w:left w:w="108" w:type="dxa"/>
            <w:bottom w:w="0" w:type="dxa"/>
            <w:right w:w="108" w:type="dxa"/>
          </w:tblCellMar>
        </w:tblPrEx>
        <w:trPr>
          <w:hidden/>
          <w:trHeight w:val="1042"/>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38210"/>
              <w:pBdr>
                <w:top w:val="none" w:sz="0" w:space="0" w:color="auto"/>
                <w:left w:val="none" w:sz="0" w:space="0" w:color="auto"/>
                <w:bottom w:val="none" w:sz="0" w:space="0" w:color="auto"/>
                <w:right w:val="none" w:sz="0" w:space="0" w:color="auto"/>
              </w:pBdr>
              <w:jc w:val="center"/>
              <w:rPr>
                <w:rFonts w:ascii="宋体" w:eastAsia="宋体" w:cs="Calibri" w:hint="eastAsia"/>
                <w:vanish w:val="0"/>
                <w:spacing w:val="0"/>
                <w:kern w:val="2"/>
                <w:sz w:val="21"/>
                <w:szCs w:val="21"/>
              </w:rPr>
            </w:pPr>
            <w:r>
              <w:rPr>
                <w:rFonts w:ascii="宋体" w:eastAsia="宋体" w:cs="Calibri" w:hint="eastAsia"/>
                <w:vanish w:val="0"/>
                <w:spacing w:val="0"/>
                <w:kern w:val="2"/>
                <w:sz w:val="24"/>
                <w:szCs w:val="24"/>
              </w:rPr>
              <w:t>1</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38310"/>
              <w:rPr>
                <w:rFonts w:ascii="宋体" w:eastAsia="宋体" w:cs="Times New Roman" w:hint="eastAsia"/>
                <w:spacing w:val="0"/>
                <w:kern w:val="2"/>
                <w:sz w:val="21"/>
                <w:szCs w:val="21"/>
              </w:rPr>
            </w:pPr>
            <w:r>
              <w:rPr>
                <w:rFonts w:ascii="宋体" w:eastAsia="宋体" w:cs="Times New Roman" w:hint="eastAsia"/>
                <w:spacing w:val="0"/>
                <w:kern w:val="2"/>
                <w:sz w:val="21"/>
                <w:szCs w:val="21"/>
              </w:rPr>
              <w:t>是否面向中小企业</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38410"/>
              <w:pBdr>
                <w:top w:val="none" w:sz="0" w:space="0" w:color="auto"/>
                <w:left w:val="none" w:sz="0" w:space="0" w:color="auto"/>
                <w:bottom w:val="none" w:sz="0" w:space="0" w:color="auto"/>
                <w:right w:val="none" w:sz="0" w:space="0" w:color="auto"/>
              </w:pBdr>
              <w:jc w:val="left"/>
              <w:rPr>
                <w:rFonts w:ascii="宋体" w:eastAsia="宋体" w:cs="Times New Roman" w:hint="eastAsia"/>
                <w:vanish w:val="0"/>
                <w:spacing w:val="0"/>
                <w:kern w:val="2"/>
                <w:sz w:val="21"/>
                <w:szCs w:val="21"/>
              </w:rPr>
            </w:pPr>
            <w:r>
              <w:rPr>
                <w:rFonts w:ascii="宋体" w:eastAsia="宋体" w:cs="Times New Roman" w:hint="eastAsia"/>
                <w:vanish w:val="0"/>
                <w:spacing w:val="0"/>
                <w:kern w:val="2"/>
                <w:sz w:val="21"/>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hidden/>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38510"/>
              <w:pBdr>
                <w:top w:val="none" w:sz="0" w:space="0" w:color="auto"/>
                <w:left w:val="none" w:sz="0" w:space="0" w:color="auto"/>
                <w:bottom w:val="none" w:sz="0" w:space="0" w:color="auto"/>
                <w:right w:val="none" w:sz="0" w:space="0" w:color="auto"/>
              </w:pBdr>
              <w:jc w:val="center"/>
              <w:rPr>
                <w:rFonts w:ascii="宋体" w:eastAsia="宋体" w:cs="Calibri" w:hint="eastAsia"/>
                <w:vanish w:val="0"/>
                <w:spacing w:val="0"/>
                <w:kern w:val="2"/>
                <w:sz w:val="21"/>
                <w:szCs w:val="21"/>
              </w:rPr>
            </w:pPr>
            <w:r>
              <w:rPr>
                <w:rFonts w:ascii="宋体" w:eastAsia="宋体" w:cs="Calibri" w:hint="eastAsia"/>
                <w:vanish w:val="0"/>
                <w:spacing w:val="0"/>
                <w:kern w:val="2"/>
                <w:sz w:val="24"/>
                <w:szCs w:val="24"/>
              </w:rPr>
              <w:t>2</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38610"/>
              <w:rPr>
                <w:rFonts w:ascii="宋体" w:eastAsia="宋体" w:cs="Calibri" w:hint="eastAsia"/>
                <w:b/>
                <w:bCs w:val="0"/>
                <w:spacing w:val="0"/>
                <w:kern w:val="2"/>
                <w:sz w:val="21"/>
                <w:szCs w:val="21"/>
              </w:rPr>
            </w:pPr>
            <w:r>
              <w:rPr>
                <w:rFonts w:ascii="宋体" w:eastAsia="宋体" w:cs="Times New Roman" w:hint="eastAsia"/>
                <w:spacing w:val="0"/>
                <w:kern w:val="2"/>
                <w:sz w:val="21"/>
                <w:szCs w:val="21"/>
              </w:rPr>
              <w:t>是否允许进口产品</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38710"/>
              <w:rPr>
                <w:rFonts w:ascii="宋体" w:eastAsia="宋体" w:cs="Calibri" w:hint="eastAsia"/>
                <w:b/>
                <w:bCs w:val="0"/>
                <w:i/>
                <w:iCs/>
                <w:spacing w:val="0"/>
                <w:kern w:val="2"/>
                <w:sz w:val="21"/>
                <w:szCs w:val="21"/>
              </w:rPr>
            </w:pPr>
            <w:r>
              <w:rPr>
                <w:rFonts w:ascii="宋体" w:eastAsia="宋体" w:cs="Times New Roman" w:hint="eastAsia"/>
                <w:spacing w:val="0"/>
                <w:kern w:val="2"/>
                <w:sz w:val="21"/>
                <w:szCs w:val="21"/>
              </w:rPr>
              <w:t>否</w:t>
            </w:r>
          </w:p>
        </w:tc>
      </w:tr>
      <w:tr>
        <w:tblPrEx>
          <w:tblW w:w="9061" w:type="dxa"/>
          <w:jc w:val="left"/>
          <w:tblInd w:w="0" w:type="dxa"/>
          <w:tblLayout w:type="fixed"/>
          <w:tblCellMar>
            <w:top w:w="0" w:type="dxa"/>
            <w:left w:w="108" w:type="dxa"/>
            <w:bottom w:w="0" w:type="dxa"/>
            <w:right w:w="108" w:type="dxa"/>
          </w:tblCellMar>
        </w:tblPrEx>
        <w:trPr>
          <w:hidden/>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38810"/>
              <w:pBdr>
                <w:top w:val="none" w:sz="0" w:space="0" w:color="auto"/>
                <w:left w:val="none" w:sz="0" w:space="0" w:color="auto"/>
                <w:bottom w:val="none" w:sz="0" w:space="0" w:color="auto"/>
                <w:right w:val="none" w:sz="0" w:space="0" w:color="auto"/>
              </w:pBdr>
              <w:jc w:val="center"/>
              <w:rPr>
                <w:rFonts w:ascii="宋体" w:eastAsia="宋体" w:cs="Calibri" w:hint="eastAsia"/>
                <w:vanish w:val="0"/>
                <w:spacing w:val="0"/>
                <w:kern w:val="2"/>
                <w:sz w:val="21"/>
                <w:szCs w:val="21"/>
              </w:rPr>
            </w:pPr>
            <w:r>
              <w:rPr>
                <w:rFonts w:ascii="宋体" w:eastAsia="宋体" w:cs="Calibri" w:hint="eastAsia"/>
                <w:vanish w:val="0"/>
                <w:spacing w:val="0"/>
                <w:kern w:val="2"/>
                <w:sz w:val="24"/>
                <w:szCs w:val="24"/>
              </w:rPr>
              <w:t>3</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38910"/>
              <w:rPr>
                <w:rFonts w:ascii="宋体" w:eastAsia="宋体" w:cs="Calibri" w:hint="eastAsia"/>
                <w:b/>
                <w:bCs w:val="0"/>
                <w:spacing w:val="0"/>
                <w:kern w:val="2"/>
                <w:sz w:val="21"/>
                <w:szCs w:val="21"/>
              </w:rPr>
            </w:pPr>
            <w:r>
              <w:rPr>
                <w:rFonts w:ascii="宋体" w:eastAsia="宋体" w:cs="Times New Roman" w:hint="eastAsia"/>
                <w:spacing w:val="0"/>
                <w:kern w:val="2"/>
                <w:sz w:val="21"/>
                <w:szCs w:val="21"/>
              </w:rPr>
              <w:t>是否需要节能产品</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39010"/>
              <w:rPr>
                <w:rFonts w:ascii="宋体" w:eastAsia="宋体" w:cs="Calibri" w:hint="eastAsia"/>
                <w:b/>
                <w:bCs w:val="0"/>
                <w:i/>
                <w:iCs/>
                <w:spacing w:val="0"/>
                <w:kern w:val="2"/>
                <w:sz w:val="21"/>
                <w:szCs w:val="21"/>
              </w:rPr>
            </w:pPr>
            <w:r>
              <w:rPr>
                <w:rFonts w:ascii="宋体" w:eastAsia="宋体" w:cs="Times New Roman" w:hint="eastAsia"/>
                <w:spacing w:val="0"/>
                <w:kern w:val="2"/>
                <w:sz w:val="21"/>
                <w:szCs w:val="21"/>
              </w:rPr>
              <w:t>否</w:t>
            </w:r>
          </w:p>
        </w:tc>
      </w:tr>
      <w:tr>
        <w:tblPrEx>
          <w:tblW w:w="9061" w:type="dxa"/>
          <w:jc w:val="left"/>
          <w:tblInd w:w="0" w:type="dxa"/>
          <w:tblLayout w:type="fixed"/>
          <w:tblCellMar>
            <w:top w:w="0" w:type="dxa"/>
            <w:left w:w="108" w:type="dxa"/>
            <w:bottom w:w="0" w:type="dxa"/>
            <w:right w:w="108" w:type="dxa"/>
          </w:tblCellMar>
        </w:tblPrEx>
        <w:trPr>
          <w:hidden/>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39110"/>
              <w:pBdr>
                <w:top w:val="none" w:sz="0" w:space="0" w:color="auto"/>
                <w:left w:val="none" w:sz="0" w:space="0" w:color="auto"/>
                <w:bottom w:val="none" w:sz="0" w:space="0" w:color="auto"/>
                <w:right w:val="none" w:sz="0" w:space="0" w:color="auto"/>
              </w:pBdr>
              <w:jc w:val="center"/>
              <w:rPr>
                <w:rFonts w:ascii="宋体" w:eastAsia="宋体" w:cs="Calibri" w:hint="eastAsia"/>
                <w:vanish w:val="0"/>
                <w:spacing w:val="0"/>
                <w:kern w:val="2"/>
                <w:sz w:val="21"/>
                <w:szCs w:val="21"/>
              </w:rPr>
            </w:pPr>
            <w:r>
              <w:rPr>
                <w:rFonts w:ascii="宋体" w:eastAsia="宋体" w:cs="Calibri" w:hint="eastAsia"/>
                <w:vanish w:val="0"/>
                <w:spacing w:val="0"/>
                <w:kern w:val="2"/>
                <w:sz w:val="24"/>
                <w:szCs w:val="24"/>
              </w:rPr>
              <w:t>4</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39210"/>
              <w:rPr>
                <w:rFonts w:ascii="宋体" w:eastAsia="宋体" w:cs="Times New Roman" w:hint="eastAsia"/>
                <w:spacing w:val="0"/>
                <w:kern w:val="2"/>
                <w:sz w:val="21"/>
                <w:szCs w:val="21"/>
              </w:rPr>
            </w:pPr>
            <w:r>
              <w:rPr>
                <w:rFonts w:ascii="宋体" w:eastAsia="宋体" w:cs="Times New Roman" w:hint="eastAsia"/>
                <w:spacing w:val="0"/>
                <w:kern w:val="2"/>
                <w:sz w:val="21"/>
                <w:szCs w:val="21"/>
              </w:rPr>
              <w:t>是否需要环保标志产品</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39310"/>
              <w:rPr>
                <w:rFonts w:ascii="宋体" w:eastAsia="宋体" w:cs="Times New Roman" w:hint="eastAsia"/>
                <w:i/>
                <w:iCs/>
                <w:spacing w:val="0"/>
                <w:kern w:val="2"/>
                <w:sz w:val="21"/>
                <w:szCs w:val="21"/>
              </w:rPr>
            </w:pPr>
            <w:r>
              <w:rPr>
                <w:rFonts w:ascii="宋体" w:eastAsia="宋体" w:cs="Times New Roman" w:hint="eastAsia"/>
                <w:spacing w:val="0"/>
                <w:kern w:val="2"/>
                <w:sz w:val="21"/>
                <w:szCs w:val="21"/>
              </w:rPr>
              <w:t>否</w:t>
            </w:r>
          </w:p>
        </w:tc>
      </w:tr>
      <w:tr>
        <w:tblPrEx>
          <w:tblW w:w="9061" w:type="dxa"/>
          <w:jc w:val="left"/>
          <w:tblInd w:w="0" w:type="dxa"/>
          <w:tblLayout w:type="fixed"/>
          <w:tblCellMar>
            <w:top w:w="0" w:type="dxa"/>
            <w:left w:w="108" w:type="dxa"/>
            <w:bottom w:w="0" w:type="dxa"/>
            <w:right w:w="108" w:type="dxa"/>
          </w:tblCellMar>
        </w:tblPrEx>
        <w:trPr>
          <w:hidden/>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41810"/>
              <w:pBdr>
                <w:top w:val="none" w:sz="0" w:space="0" w:color="auto"/>
                <w:left w:val="none" w:sz="0" w:space="0" w:color="auto"/>
                <w:bottom w:val="none" w:sz="0" w:space="0" w:color="auto"/>
                <w:right w:val="none" w:sz="0" w:space="0" w:color="auto"/>
              </w:pBdr>
              <w:jc w:val="center"/>
              <w:rPr>
                <w:rFonts w:ascii="宋体" w:eastAsia="宋体" w:cs="Calibri" w:hint="eastAsia"/>
                <w:vanish w:val="0"/>
                <w:spacing w:val="0"/>
                <w:kern w:val="2"/>
                <w:sz w:val="21"/>
                <w:szCs w:val="21"/>
              </w:rPr>
            </w:pPr>
            <w:r>
              <w:rPr>
                <w:rFonts w:ascii="宋体" w:eastAsia="宋体" w:cs="Calibri" w:hint="eastAsia"/>
                <w:vanish w:val="0"/>
                <w:spacing w:val="0"/>
                <w:kern w:val="2"/>
                <w:sz w:val="24"/>
                <w:szCs w:val="24"/>
              </w:rPr>
              <w:t>5</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43410"/>
              <w:rPr>
                <w:rFonts w:ascii="宋体" w:eastAsia="宋体" w:cs="Times New Roman" w:hint="eastAsia"/>
                <w:spacing w:val="0"/>
                <w:kern w:val="2"/>
                <w:sz w:val="21"/>
                <w:szCs w:val="21"/>
              </w:rPr>
            </w:pPr>
            <w:r>
              <w:rPr>
                <w:rFonts w:ascii="宋体" w:eastAsia="宋体" w:cs="Times New Roman" w:hint="eastAsia"/>
                <w:spacing w:val="0"/>
                <w:kern w:val="2"/>
                <w:sz w:val="21"/>
                <w:szCs w:val="21"/>
              </w:rPr>
              <w:t>是否面向监狱企业</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49610"/>
              <w:rPr>
                <w:rFonts w:ascii="宋体" w:eastAsia="宋体" w:cs="Times New Roman" w:hint="eastAsia"/>
                <w:i/>
                <w:iCs/>
                <w:spacing w:val="0"/>
                <w:kern w:val="2"/>
                <w:sz w:val="21"/>
                <w:szCs w:val="21"/>
              </w:rPr>
            </w:pPr>
            <w:r>
              <w:rPr>
                <w:rFonts w:ascii="宋体" w:eastAsia="宋体" w:cs="Times New Roman" w:hint="eastAsia"/>
                <w:spacing w:val="0"/>
                <w:kern w:val="2"/>
                <w:sz w:val="21"/>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hidden/>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49710"/>
              <w:pBdr>
                <w:top w:val="none" w:sz="0" w:space="0" w:color="auto"/>
                <w:left w:val="none" w:sz="0" w:space="0" w:color="auto"/>
                <w:bottom w:val="none" w:sz="0" w:space="0" w:color="auto"/>
                <w:right w:val="none" w:sz="0" w:space="0" w:color="auto"/>
              </w:pBdr>
              <w:jc w:val="center"/>
              <w:rPr>
                <w:rFonts w:ascii="宋体" w:eastAsia="宋体" w:cs="Calibri" w:hint="eastAsia"/>
                <w:vanish w:val="0"/>
                <w:spacing w:val="0"/>
                <w:kern w:val="2"/>
                <w:sz w:val="21"/>
                <w:szCs w:val="21"/>
              </w:rPr>
            </w:pPr>
            <w:r>
              <w:rPr>
                <w:rFonts w:ascii="宋体" w:eastAsia="宋体" w:cs="Calibri" w:hint="eastAsia"/>
                <w:vanish w:val="0"/>
                <w:spacing w:val="0"/>
                <w:kern w:val="2"/>
                <w:sz w:val="24"/>
                <w:szCs w:val="24"/>
              </w:rPr>
              <w:t>6</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49810"/>
              <w:pBdr>
                <w:top w:val="none" w:sz="0" w:space="0" w:color="auto"/>
                <w:left w:val="none" w:sz="0" w:space="0" w:color="auto"/>
                <w:bottom w:val="none" w:sz="0" w:space="0" w:color="auto"/>
                <w:right w:val="none" w:sz="0" w:space="0" w:color="auto"/>
              </w:pBdr>
              <w:jc w:val="left"/>
              <w:rPr>
                <w:rFonts w:ascii="宋体" w:eastAsia="宋体" w:cs="Times New Roman" w:hint="eastAsia"/>
                <w:vanish w:val="0"/>
                <w:spacing w:val="0"/>
                <w:kern w:val="2"/>
                <w:sz w:val="21"/>
                <w:szCs w:val="21"/>
              </w:rPr>
            </w:pPr>
            <w:r>
              <w:rPr>
                <w:rFonts w:ascii="宋体" w:eastAsia="宋体" w:cs="Times New Roman" w:hint="eastAsia"/>
                <w:vanish w:val="0"/>
                <w:spacing w:val="0"/>
                <w:kern w:val="2"/>
                <w:sz w:val="21"/>
                <w:szCs w:val="21"/>
              </w:rPr>
              <w:t>是否面向残疾人福利性单位</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49910"/>
              <w:rPr>
                <w:rFonts w:ascii="宋体" w:eastAsia="宋体" w:cs="Times New Roman" w:hint="eastAsia"/>
                <w:spacing w:val="0"/>
                <w:kern w:val="2"/>
                <w:sz w:val="21"/>
                <w:szCs w:val="21"/>
              </w:rPr>
            </w:pPr>
            <w:r>
              <w:rPr>
                <w:rFonts w:ascii="宋体" w:eastAsia="宋体" w:cs="Times New Roman" w:hint="eastAsia"/>
                <w:spacing w:val="0"/>
                <w:kern w:val="2"/>
                <w:sz w:val="21"/>
                <w:szCs w:val="21"/>
              </w:rPr>
              <w:t>是，提供《残疾人福利性单位声明函》并加盖单位公章</w:t>
            </w:r>
          </w:p>
        </w:tc>
      </w:tr>
    </w:tbl>
    <w:p>
      <w:pPr>
        <w:pStyle w:val="4413"/>
        <w:rPr>
          <w:rFonts w:ascii="Calibri" w:eastAsia="宋体" w:hAnsi="Calibri" w:cs="Times New Roman"/>
          <w:spacing w:val="0"/>
          <w:kern w:val="0"/>
          <w:sz w:val="24"/>
          <w:szCs w:val="24"/>
        </w:rPr>
      </w:pPr>
    </w:p>
    <w:p>
      <w:pPr>
        <w:pStyle w:val="4413"/>
        <w:rPr>
          <w:rFonts w:ascii="宋体" w:eastAsia="宋体" w:cs="Calibri" w:hint="eastAsia"/>
          <w:spacing w:val="0"/>
          <w:kern w:val="0"/>
          <w:sz w:val="24"/>
          <w:szCs w:val="24"/>
        </w:rPr>
      </w:pPr>
      <w:r>
        <w:rPr>
          <w:rFonts w:ascii="宋体" w:eastAsia="宋体" w:cs="Calibri" w:hint="eastAsia"/>
          <w:spacing w:val="0"/>
          <w:kern w:val="0"/>
          <w:sz w:val="24"/>
          <w:szCs w:val="24"/>
        </w:rPr>
        <w:t>注：本项目不专门面向中小企业、监狱企业、残疾人企业。</w:t>
      </w:r>
    </w:p>
    <w:p>
      <w:pPr>
        <w:pStyle w:val="4512"/>
        <w:pBdr>
          <w:top w:val="none" w:sz="0" w:space="0" w:color="auto"/>
          <w:left w:val="none" w:sz="0" w:space="0" w:color="auto"/>
          <w:bottom w:val="none" w:sz="0" w:space="0" w:color="auto"/>
          <w:right w:val="none" w:sz="0" w:space="0" w:color="auto"/>
        </w:pBdr>
        <w:ind w:left="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三、商务需求</w:t>
      </w:r>
    </w:p>
    <w:tbl>
      <w:tblPr>
        <w:tblW w:w="9108"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438"/>
        <w:gridCol w:w="1830"/>
        <w:gridCol w:w="6840"/>
      </w:tblGrid>
      <w:tr>
        <w:tblPrEx>
          <w:tblW w:w="9108"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hidden/>
          <w:trHeight w:val="421"/>
          <w:jc w:val="left"/>
        </w:trPr>
        <w:tc>
          <w:tcPr>
            <w:tcW w:w="438" w:type="dxa"/>
            <w:tcBorders>
              <w:top w:val="single" w:sz="4" w:space="0" w:color="auto"/>
              <w:left w:val="single" w:sz="4" w:space="0" w:color="auto"/>
              <w:bottom w:val="single" w:sz="4" w:space="0" w:color="auto"/>
              <w:right w:val="single" w:sz="4" w:space="0" w:color="auto"/>
              <w:tl2br w:val="nil"/>
              <w:tr2bl w:val="nil"/>
            </w:tcBorders>
            <w:shd w:val="clear" w:color="auto" w:fill="A6A6A6"/>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序号</w:t>
            </w:r>
          </w:p>
        </w:tc>
        <w:tc>
          <w:tcPr>
            <w:tcW w:w="1830" w:type="dxa"/>
            <w:tcBorders>
              <w:top w:val="single" w:sz="4" w:space="0" w:color="auto"/>
              <w:left w:val="nil"/>
              <w:bottom w:val="single" w:sz="4" w:space="0" w:color="auto"/>
              <w:right w:val="single" w:sz="4" w:space="0" w:color="auto"/>
              <w:tl2br w:val="nil"/>
              <w:tr2bl w:val="nil"/>
            </w:tcBorders>
            <w:shd w:val="clear" w:color="auto" w:fill="A6A6A6"/>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内容</w:t>
            </w:r>
          </w:p>
        </w:tc>
        <w:tc>
          <w:tcPr>
            <w:tcW w:w="6840" w:type="dxa"/>
            <w:tcBorders>
              <w:top w:val="single" w:sz="4" w:space="0" w:color="auto"/>
              <w:left w:val="nil"/>
              <w:bottom w:val="single" w:sz="4" w:space="0" w:color="auto"/>
              <w:right w:val="single" w:sz="4" w:space="0" w:color="auto"/>
              <w:tl2br w:val="nil"/>
              <w:tr2bl w:val="nil"/>
            </w:tcBorders>
            <w:shd w:val="clear" w:color="auto" w:fill="A6A6A6"/>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b/>
                <w:bCs w:val="0"/>
                <w:vanish w:val="0"/>
                <w:spacing w:val="0"/>
                <w:kern w:val="0"/>
                <w:sz w:val="24"/>
                <w:szCs w:val="24"/>
              </w:rPr>
            </w:pPr>
            <w:bookmarkStart w:id="34" w:name="商务需求_Title_说明_Required_Table"/>
            <w:r>
              <w:rPr>
                <w:rFonts w:ascii="宋体" w:eastAsia="宋体" w:cs="Calibri" w:hint="eastAsia"/>
                <w:b/>
                <w:bCs w:val="0"/>
                <w:vanish w:val="0"/>
                <w:spacing w:val="0"/>
                <w:kern w:val="0"/>
                <w:sz w:val="24"/>
                <w:szCs w:val="24"/>
              </w:rPr>
              <w:t>说明</w:t>
            </w:r>
            <w:bookmarkEnd w:id="34"/>
          </w:p>
        </w:tc>
      </w:tr>
      <w:tr>
        <w:tblPrEx>
          <w:tblW w:w="9108" w:type="dxa"/>
          <w:jc w:val="left"/>
          <w:tblInd w:w="0" w:type="dxa"/>
          <w:tblLayout w:type="fixed"/>
          <w:tblCellMar>
            <w:top w:w="0" w:type="dxa"/>
            <w:left w:w="108" w:type="dxa"/>
            <w:bottom w:w="0" w:type="dxa"/>
            <w:right w:w="108" w:type="dxa"/>
          </w:tblCellMar>
        </w:tblPrEx>
        <w:trPr>
          <w:hidden/>
          <w:trHeight w:val="693"/>
          <w:jc w:val="left"/>
        </w:trPr>
        <w:tc>
          <w:tcPr>
            <w:tcW w:w="43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b/>
                <w:bCs w:val="0"/>
                <w:vanish w:val="0"/>
                <w:spacing w:val="0"/>
                <w:kern w:val="0"/>
                <w:sz w:val="24"/>
                <w:szCs w:val="24"/>
              </w:rPr>
              <w:t>1</w:t>
            </w:r>
          </w:p>
        </w:tc>
        <w:tc>
          <w:tcPr>
            <w:tcW w:w="183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投标人资质</w:t>
            </w:r>
          </w:p>
        </w:tc>
        <w:tc>
          <w:tcPr>
            <w:tcW w:w="68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spacing w:line="360" w:lineRule="auto"/>
              <w:ind w:left="0" w:firstLine="0"/>
              <w:rPr>
                <w:rFonts w:ascii="宋体" w:eastAsia="宋体" w:cs="Calibri" w:hint="eastAsia"/>
                <w:vanish w:val="0"/>
                <w:spacing w:val="0"/>
                <w:kern w:val="0"/>
                <w:sz w:val="24"/>
                <w:szCs w:val="24"/>
              </w:rPr>
            </w:pPr>
            <w:r>
              <w:rPr>
                <w:rFonts w:ascii="宋体" w:eastAsia="宋体" w:cs="Times New Roman" w:hint="eastAsia"/>
                <w:bCs/>
                <w:vanish w:val="0"/>
                <w:spacing w:val="0"/>
                <w:kern w:val="0"/>
                <w:sz w:val="24"/>
                <w:szCs w:val="24"/>
              </w:rPr>
              <w:t>供应商资格条件见磋商邀请。</w:t>
            </w:r>
          </w:p>
        </w:tc>
      </w:tr>
      <w:tr>
        <w:tblPrEx>
          <w:tblW w:w="9108" w:type="dxa"/>
          <w:jc w:val="left"/>
          <w:tblInd w:w="0" w:type="dxa"/>
          <w:tblLayout w:type="fixed"/>
          <w:tblCellMar>
            <w:top w:w="0" w:type="dxa"/>
            <w:left w:w="108" w:type="dxa"/>
            <w:bottom w:w="0" w:type="dxa"/>
            <w:right w:w="108" w:type="dxa"/>
          </w:tblCellMar>
        </w:tblPrEx>
        <w:trPr>
          <w:hidden/>
          <w:trHeight w:val="641"/>
          <w:jc w:val="left"/>
        </w:trPr>
        <w:tc>
          <w:tcPr>
            <w:tcW w:w="43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b/>
                <w:bCs w:val="0"/>
                <w:vanish w:val="0"/>
                <w:spacing w:val="0"/>
                <w:kern w:val="0"/>
                <w:sz w:val="24"/>
                <w:szCs w:val="24"/>
              </w:rPr>
              <w:t>2</w:t>
            </w:r>
          </w:p>
        </w:tc>
        <w:tc>
          <w:tcPr>
            <w:tcW w:w="183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投标产品资质</w:t>
            </w:r>
          </w:p>
        </w:tc>
        <w:tc>
          <w:tcPr>
            <w:tcW w:w="68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spacing w:line="360" w:lineRule="auto"/>
              <w:ind w:left="0" w:firstLine="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无</w:t>
            </w:r>
          </w:p>
        </w:tc>
      </w:tr>
      <w:tr>
        <w:tblPrEx>
          <w:tblW w:w="9108" w:type="dxa"/>
          <w:jc w:val="left"/>
          <w:tblInd w:w="0" w:type="dxa"/>
          <w:tblLayout w:type="fixed"/>
          <w:tblCellMar>
            <w:top w:w="0" w:type="dxa"/>
            <w:left w:w="108" w:type="dxa"/>
            <w:bottom w:w="0" w:type="dxa"/>
            <w:right w:w="108" w:type="dxa"/>
          </w:tblCellMar>
        </w:tblPrEx>
        <w:trPr>
          <w:hidden/>
          <w:trHeight w:val="479"/>
          <w:jc w:val="left"/>
        </w:trPr>
        <w:tc>
          <w:tcPr>
            <w:tcW w:w="43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3</w:t>
            </w:r>
          </w:p>
        </w:tc>
        <w:tc>
          <w:tcPr>
            <w:tcW w:w="183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核心产品</w:t>
            </w:r>
          </w:p>
        </w:tc>
        <w:tc>
          <w:tcPr>
            <w:tcW w:w="68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spacing w:line="360" w:lineRule="auto"/>
              <w:ind w:left="0" w:firstLine="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无</w:t>
            </w:r>
          </w:p>
        </w:tc>
      </w:tr>
      <w:tr>
        <w:tblPrEx>
          <w:tblW w:w="9108" w:type="dxa"/>
          <w:jc w:val="left"/>
          <w:tblInd w:w="0" w:type="dxa"/>
          <w:tblLayout w:type="fixed"/>
          <w:tblCellMar>
            <w:top w:w="0" w:type="dxa"/>
            <w:left w:w="108" w:type="dxa"/>
            <w:bottom w:w="0" w:type="dxa"/>
            <w:right w:w="108" w:type="dxa"/>
          </w:tblCellMar>
        </w:tblPrEx>
        <w:trPr>
          <w:hidden/>
          <w:trHeight w:val="641"/>
          <w:jc w:val="left"/>
        </w:trPr>
        <w:tc>
          <w:tcPr>
            <w:tcW w:w="43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b/>
                <w:bCs w:val="0"/>
                <w:vanish w:val="0"/>
                <w:spacing w:val="0"/>
                <w:kern w:val="0"/>
                <w:sz w:val="24"/>
                <w:szCs w:val="24"/>
              </w:rPr>
              <w:t>4</w:t>
            </w:r>
          </w:p>
        </w:tc>
        <w:tc>
          <w:tcPr>
            <w:tcW w:w="183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信息安全要求</w:t>
            </w:r>
          </w:p>
        </w:tc>
        <w:tc>
          <w:tcPr>
            <w:tcW w:w="68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spacing w:line="360" w:lineRule="auto"/>
              <w:ind w:left="0" w:firstLine="0"/>
              <w:rPr>
                <w:rFonts w:ascii="宋体" w:eastAsia="宋体" w:cs="Times New Roman" w:hint="eastAsia"/>
                <w:bCs/>
                <w:vanish w:val="0"/>
                <w:color w:val="000000"/>
                <w:spacing w:val="0"/>
                <w:kern w:val="0"/>
                <w:sz w:val="24"/>
                <w:szCs w:val="24"/>
              </w:rPr>
            </w:pPr>
            <w:r>
              <w:rPr>
                <w:rFonts w:ascii="宋体" w:eastAsia="宋体" w:cs="Times New Roman" w:hint="eastAsia"/>
                <w:bCs/>
                <w:vanish w:val="0"/>
                <w:spacing w:val="0"/>
                <w:kern w:val="0"/>
                <w:sz w:val="24"/>
                <w:szCs w:val="24"/>
              </w:rPr>
              <w:t>★ 投标人须提供数据来源合法合规的</w:t>
            </w:r>
            <w:r>
              <w:rPr>
                <w:rFonts w:ascii="宋体" w:cs="Times New Roman" w:hint="eastAsia"/>
                <w:bCs/>
                <w:vanish w:val="0"/>
                <w:spacing w:val="0"/>
                <w:kern w:val="0"/>
                <w:sz w:val="24"/>
                <w:szCs w:val="24"/>
                <w:lang w:val="en-US" w:eastAsia="zh-CN"/>
              </w:rPr>
              <w:t>承诺函</w:t>
            </w:r>
            <w:r>
              <w:rPr>
                <w:rFonts w:ascii="宋体" w:eastAsia="宋体" w:cs="Times New Roman"/>
                <w:bCs/>
                <w:vanish w:val="0"/>
                <w:spacing w:val="0"/>
                <w:kern w:val="0"/>
                <w:sz w:val="24"/>
                <w:szCs w:val="24"/>
              </w:rPr>
              <w:t>，并加盖单位公章</w:t>
            </w:r>
            <w:r>
              <w:rPr>
                <w:rFonts w:ascii="宋体" w:eastAsia="宋体" w:cs="Times New Roman" w:hint="eastAsia"/>
                <w:bCs/>
                <w:vanish w:val="0"/>
                <w:spacing w:val="0"/>
                <w:kern w:val="0"/>
                <w:sz w:val="24"/>
                <w:szCs w:val="24"/>
              </w:rPr>
              <w:t>，对数据来源的合法性负</w:t>
            </w:r>
            <w:r>
              <w:rPr>
                <w:rFonts w:ascii="宋体" w:eastAsia="宋体" w:cs="Times New Roman" w:hint="eastAsia"/>
                <w:bCs/>
                <w:vanish w:val="0"/>
                <w:color w:val="000000"/>
                <w:spacing w:val="0"/>
                <w:kern w:val="0"/>
                <w:sz w:val="24"/>
                <w:szCs w:val="24"/>
              </w:rPr>
              <w:t>责。</w:t>
            </w:r>
            <w:r>
              <w:rPr>
                <w:rFonts w:ascii="宋体" w:eastAsia="宋体" w:cs="Times New Roman" w:hint="eastAsia"/>
                <w:vanish w:val="0"/>
                <w:color w:val="000000"/>
                <w:spacing w:val="-4"/>
                <w:kern w:val="0"/>
                <w:sz w:val="24"/>
                <w:szCs w:val="24"/>
              </w:rPr>
              <w:t>海关总署及任何海关单位不就该数据来源的合法性承担任何责任。</w:t>
            </w:r>
          </w:p>
          <w:p>
            <w:pPr>
              <w:pStyle w:val="4413"/>
              <w:pBdr>
                <w:top w:val="none" w:sz="0" w:space="0" w:color="auto"/>
                <w:left w:val="none" w:sz="0" w:space="0" w:color="auto"/>
                <w:bottom w:val="none" w:sz="0" w:space="0" w:color="auto"/>
                <w:right w:val="none" w:sz="0" w:space="0" w:color="auto"/>
              </w:pBdr>
              <w:spacing w:line="360" w:lineRule="auto"/>
              <w:ind w:left="0" w:firstLine="0"/>
              <w:rPr>
                <w:rFonts w:ascii="宋体" w:eastAsia="宋体" w:cs="Times New Roman" w:hint="eastAsia"/>
                <w:bCs/>
                <w:vanish w:val="0"/>
                <w:spacing w:val="0"/>
                <w:kern w:val="0"/>
                <w:sz w:val="24"/>
                <w:szCs w:val="24"/>
              </w:rPr>
            </w:pPr>
            <w:r>
              <w:rPr>
                <w:rFonts w:ascii="宋体" w:eastAsia="宋体" w:cs="Times New Roman" w:hint="eastAsia"/>
                <w:bCs/>
                <w:vanish w:val="0"/>
                <w:color w:val="000000"/>
                <w:spacing w:val="0"/>
                <w:kern w:val="0"/>
                <w:sz w:val="24"/>
                <w:szCs w:val="24"/>
              </w:rPr>
              <w:t>★提供安全承诺书（承诺内容包括采购数据的安全，防止数据的未授权或非法处理、意外丢失、破坏或损坏，项目人员不得向外泄露海关相关信息等内容）</w:t>
            </w:r>
            <w:r>
              <w:rPr>
                <w:rFonts w:ascii="宋体" w:eastAsia="宋体" w:cs="Calibri" w:hint="eastAsia"/>
                <w:vanish w:val="0"/>
                <w:color w:val="000000"/>
                <w:spacing w:val="0"/>
                <w:kern w:val="0"/>
                <w:sz w:val="24"/>
                <w:szCs w:val="24"/>
              </w:rPr>
              <w:t>，并加盖单位公章。</w:t>
            </w:r>
          </w:p>
        </w:tc>
      </w:tr>
      <w:tr>
        <w:tblPrEx>
          <w:tblW w:w="9108" w:type="dxa"/>
          <w:jc w:val="left"/>
          <w:tblInd w:w="0" w:type="dxa"/>
          <w:tblLayout w:type="fixed"/>
          <w:tblCellMar>
            <w:top w:w="0" w:type="dxa"/>
            <w:left w:w="108" w:type="dxa"/>
            <w:bottom w:w="0" w:type="dxa"/>
            <w:right w:w="108" w:type="dxa"/>
          </w:tblCellMar>
        </w:tblPrEx>
        <w:trPr>
          <w:hidden/>
          <w:trHeight w:val="915"/>
          <w:jc w:val="left"/>
        </w:trPr>
        <w:tc>
          <w:tcPr>
            <w:tcW w:w="43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5</w:t>
            </w:r>
          </w:p>
        </w:tc>
        <w:tc>
          <w:tcPr>
            <w:tcW w:w="183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是否需要现场考察</w:t>
            </w:r>
          </w:p>
        </w:tc>
        <w:tc>
          <w:tcPr>
            <w:tcW w:w="68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spacing w:line="360" w:lineRule="auto"/>
              <w:ind w:left="0" w:firstLine="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无</w:t>
            </w:r>
          </w:p>
        </w:tc>
      </w:tr>
      <w:tr>
        <w:tblPrEx>
          <w:tblW w:w="9108" w:type="dxa"/>
          <w:jc w:val="left"/>
          <w:tblInd w:w="0" w:type="dxa"/>
          <w:tblLayout w:type="fixed"/>
          <w:tblCellMar>
            <w:top w:w="0" w:type="dxa"/>
            <w:left w:w="108" w:type="dxa"/>
            <w:bottom w:w="0" w:type="dxa"/>
            <w:right w:w="108" w:type="dxa"/>
          </w:tblCellMar>
        </w:tblPrEx>
        <w:trPr>
          <w:hidden/>
          <w:trHeight w:val="1020"/>
          <w:jc w:val="left"/>
        </w:trPr>
        <w:tc>
          <w:tcPr>
            <w:tcW w:w="43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6</w:t>
            </w:r>
          </w:p>
        </w:tc>
        <w:tc>
          <w:tcPr>
            <w:tcW w:w="183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是否收取履约保证金</w:t>
            </w:r>
          </w:p>
        </w:tc>
        <w:tc>
          <w:tcPr>
            <w:tcW w:w="68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rPr>
                <w:rFonts w:ascii="宋体" w:eastAsia="宋体" w:cs="Calibri" w:hint="eastAsia"/>
                <w:vanish w:val="0"/>
                <w:color w:val="000000"/>
                <w:spacing w:val="0"/>
                <w:kern w:val="0"/>
                <w:sz w:val="24"/>
                <w:szCs w:val="24"/>
              </w:rPr>
            </w:pPr>
            <w:r>
              <w:rPr>
                <w:rFonts w:ascii="宋体" w:eastAsia="宋体" w:cs="Calibri" w:hint="eastAsia"/>
                <w:bCs/>
                <w:vanish w:val="0"/>
                <w:color w:val="000000"/>
                <w:spacing w:val="0"/>
                <w:kern w:val="0"/>
                <w:sz w:val="24"/>
                <w:szCs w:val="24"/>
              </w:rPr>
              <w:t>无</w:t>
            </w:r>
          </w:p>
        </w:tc>
      </w:tr>
      <w:tr>
        <w:tblPrEx>
          <w:tblW w:w="9108" w:type="dxa"/>
          <w:jc w:val="left"/>
          <w:tblInd w:w="0" w:type="dxa"/>
          <w:tblLayout w:type="fixed"/>
          <w:tblCellMar>
            <w:top w:w="0" w:type="dxa"/>
            <w:left w:w="108" w:type="dxa"/>
            <w:bottom w:w="0" w:type="dxa"/>
            <w:right w:w="108" w:type="dxa"/>
          </w:tblCellMar>
        </w:tblPrEx>
        <w:trPr>
          <w:hidden/>
          <w:trHeight w:val="1019"/>
          <w:jc w:val="left"/>
        </w:trPr>
        <w:tc>
          <w:tcPr>
            <w:tcW w:w="43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7</w:t>
            </w:r>
          </w:p>
        </w:tc>
        <w:tc>
          <w:tcPr>
            <w:tcW w:w="183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0"/>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支付方式</w:t>
            </w:r>
          </w:p>
        </w:tc>
        <w:tc>
          <w:tcPr>
            <w:tcW w:w="68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rPr>
                <w:rFonts w:ascii="宋体" w:eastAsia="宋体" w:cs="Calibri" w:hint="eastAsia"/>
                <w:vanish w:val="0"/>
                <w:spacing w:val="0"/>
                <w:kern w:val="0"/>
                <w:sz w:val="24"/>
                <w:szCs w:val="24"/>
              </w:rPr>
            </w:pPr>
            <w:r>
              <w:rPr>
                <w:rFonts w:ascii="宋体" w:eastAsia="宋体" w:cs="Calibri" w:hint="eastAsia"/>
                <w:bCs/>
                <w:vanish w:val="0"/>
                <w:spacing w:val="0"/>
                <w:kern w:val="0"/>
                <w:sz w:val="24"/>
                <w:szCs w:val="24"/>
              </w:rPr>
              <w:t>合同签订10个工作日内，甲方向乙方支付合同款项的30%；项目验收通过后，甲方向乙方支付合同款项的70%。</w:t>
            </w:r>
          </w:p>
        </w:tc>
      </w:tr>
    </w:tbl>
    <w:p>
      <w:pPr>
        <w:pStyle w:val="4512"/>
        <w:pBdr>
          <w:top w:val="none" w:sz="0" w:space="0" w:color="auto"/>
          <w:left w:val="none" w:sz="0" w:space="0" w:color="auto"/>
          <w:bottom w:val="none" w:sz="0" w:space="0" w:color="auto"/>
          <w:right w:val="none" w:sz="0" w:space="0" w:color="auto"/>
        </w:pBdr>
        <w:ind w:left="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四、项目概述</w:t>
      </w:r>
    </w:p>
    <w:tbl>
      <w:tblPr>
        <w:tblW w:w="9061"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hidden/>
          <w:trHeight w:val="70"/>
          <w:jc w:val="left"/>
        </w:trPr>
        <w:tc>
          <w:tcPr>
            <w:tcW w:w="758" w:type="dxa"/>
            <w:tcBorders>
              <w:top w:val="single" w:sz="4" w:space="0" w:color="auto"/>
              <w:left w:val="single" w:sz="4" w:space="0" w:color="auto"/>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序号</w:t>
            </w:r>
          </w:p>
        </w:tc>
        <w:tc>
          <w:tcPr>
            <w:tcW w:w="2631" w:type="dxa"/>
            <w:tcBorders>
              <w:top w:val="single" w:sz="4" w:space="0" w:color="auto"/>
              <w:left w:val="nil"/>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内容</w:t>
            </w:r>
          </w:p>
        </w:tc>
        <w:tc>
          <w:tcPr>
            <w:tcW w:w="5672" w:type="dxa"/>
            <w:tcBorders>
              <w:top w:val="single" w:sz="4" w:space="0" w:color="auto"/>
              <w:left w:val="nil"/>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b/>
                <w:bCs w:val="0"/>
                <w:vanish w:val="0"/>
                <w:spacing w:val="0"/>
                <w:kern w:val="0"/>
                <w:sz w:val="24"/>
                <w:szCs w:val="24"/>
              </w:rPr>
            </w:pPr>
            <w:bookmarkStart w:id="35" w:name="项目概述_Title_说明_Required_Table"/>
            <w:r>
              <w:rPr>
                <w:rFonts w:ascii="宋体" w:eastAsia="宋体" w:cs="Calibri" w:hint="eastAsia"/>
                <w:b/>
                <w:bCs w:val="0"/>
                <w:vanish w:val="0"/>
                <w:spacing w:val="0"/>
                <w:kern w:val="0"/>
                <w:sz w:val="24"/>
                <w:szCs w:val="24"/>
              </w:rPr>
              <w:t>说明</w:t>
            </w:r>
            <w:bookmarkEnd w:id="35"/>
          </w:p>
        </w:tc>
      </w:tr>
      <w:tr>
        <w:tblPrEx>
          <w:tblW w:w="9061" w:type="dxa"/>
          <w:jc w:val="left"/>
          <w:tblInd w:w="0" w:type="dxa"/>
          <w:tblLayout w:type="fixed"/>
          <w:tblCellMar>
            <w:top w:w="0" w:type="dxa"/>
            <w:left w:w="108" w:type="dxa"/>
            <w:bottom w:w="0" w:type="dxa"/>
            <w:right w:w="108" w:type="dxa"/>
          </w:tblCellMar>
        </w:tblPrEx>
        <w:trPr>
          <w:hidden/>
          <w:trHeight w:val="466"/>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b/>
                <w:bCs w:val="0"/>
                <w:vanish w:val="0"/>
                <w:spacing w:val="0"/>
                <w:kern w:val="0"/>
                <w:sz w:val="24"/>
                <w:szCs w:val="24"/>
              </w:rPr>
              <w:t>1</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项目背景</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8102"/>
              <w:pBdr>
                <w:top w:val="none" w:sz="0" w:space="0" w:color="auto"/>
                <w:left w:val="none" w:sz="0" w:space="0" w:color="auto"/>
                <w:bottom w:val="none" w:sz="0" w:space="0" w:color="auto"/>
                <w:right w:val="none" w:sz="0" w:space="0" w:color="auto"/>
              </w:pBdr>
              <w:ind w:left="0" w:firstLine="480" w:firstLineChars="200"/>
              <w:rPr>
                <w:rFonts w:ascii="Times New Roman" w:eastAsia="宋体" w:hAnsi="Times New Roman" w:cs="Times New Roman" w:hint="eastAsia"/>
                <w:vanish w:val="0"/>
                <w:spacing w:val="0"/>
                <w:kern w:val="0"/>
                <w:sz w:val="24"/>
                <w:szCs w:val="24"/>
              </w:rPr>
            </w:pPr>
            <w:r>
              <w:rPr>
                <w:rFonts w:ascii="宋体" w:eastAsia="宋体" w:cs="Times New Roman" w:hint="eastAsia"/>
                <w:vanish w:val="0"/>
                <w:spacing w:val="0"/>
                <w:kern w:val="0"/>
                <w:sz w:val="24"/>
                <w:szCs w:val="24"/>
              </w:rPr>
              <w:t>标准数据资源是新时代中国特色社会主义现代化海关的重要生产资源，通过采集国内外标准题录与文本数据，并纳入海关大数据基础资源建设范畴，将助力开展海关涉税化验、检验检疫、技贸措施反制、业务监管、实验室检测能力验证与评审、科研等各项工作，将成为推动智关强国行动、智慧海关建设的重要方面、重要支撑与重要力量。</w:t>
            </w:r>
          </w:p>
        </w:tc>
      </w:tr>
      <w:tr>
        <w:tblPrEx>
          <w:tblW w:w="9061" w:type="dxa"/>
          <w:jc w:val="left"/>
          <w:tblInd w:w="0" w:type="dxa"/>
          <w:tblLayout w:type="fixed"/>
          <w:tblCellMar>
            <w:top w:w="0" w:type="dxa"/>
            <w:left w:w="108" w:type="dxa"/>
            <w:bottom w:w="0" w:type="dxa"/>
            <w:right w:w="108" w:type="dxa"/>
          </w:tblCellMar>
        </w:tblPrEx>
        <w:trPr>
          <w:hidden/>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b/>
                <w:bCs w:val="0"/>
                <w:vanish w:val="0"/>
                <w:spacing w:val="0"/>
                <w:kern w:val="0"/>
                <w:sz w:val="24"/>
                <w:szCs w:val="24"/>
              </w:rPr>
              <w:t>2</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执行依据</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8102"/>
              <w:pBdr>
                <w:top w:val="none" w:sz="0" w:space="0" w:color="auto"/>
                <w:left w:val="none" w:sz="0" w:space="0" w:color="auto"/>
                <w:bottom w:val="none" w:sz="0" w:space="0" w:color="auto"/>
                <w:right w:val="none" w:sz="0" w:space="0" w:color="auto"/>
              </w:pBdr>
              <w:ind w:left="0" w:firstLine="480" w:firstLineChars="200"/>
              <w:rPr>
                <w:rFonts w:ascii="Times New Roman" w:eastAsia="宋体" w:hAnsi="Times New Roman" w:cs="Times New Roman" w:hint="eastAsia"/>
                <w:vanish w:val="0"/>
                <w:spacing w:val="0"/>
                <w:kern w:val="0"/>
                <w:sz w:val="24"/>
                <w:szCs w:val="24"/>
              </w:rPr>
            </w:pPr>
            <w:r>
              <w:rPr>
                <w:rFonts w:ascii="宋体" w:eastAsia="宋体" w:cs="Times New Roman" w:hint="eastAsia"/>
                <w:vanish w:val="0"/>
                <w:spacing w:val="0"/>
                <w:kern w:val="0"/>
                <w:sz w:val="24"/>
                <w:szCs w:val="24"/>
              </w:rPr>
              <w:t>《国家中长期科技发展规划纲要》指出，今天的投入，就是对未来国家竞争力的投资。我国必须大幅度增加科技投入，加强科技基础条件平台建设，厚植科技创新物质基础，确保科技持续发展的重要前提和根本保障。数据资源是科技平台的基础要素和生命力，海关系统多年来收集的大量标准法规数据资源，通过智慧海关建设中的知识库平台可向系统内所有用户开放使用。</w:t>
            </w:r>
          </w:p>
        </w:tc>
      </w:tr>
      <w:tr>
        <w:tblPrEx>
          <w:tblW w:w="9061" w:type="dxa"/>
          <w:jc w:val="left"/>
          <w:tblInd w:w="0" w:type="dxa"/>
          <w:tblLayout w:type="fixed"/>
          <w:tblCellMar>
            <w:top w:w="0" w:type="dxa"/>
            <w:left w:w="108" w:type="dxa"/>
            <w:bottom w:w="0" w:type="dxa"/>
            <w:right w:w="108" w:type="dxa"/>
          </w:tblCellMar>
        </w:tblPrEx>
        <w:trPr>
          <w:hidden/>
          <w:trHeight w:val="83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b/>
                <w:bCs w:val="0"/>
                <w:vanish w:val="0"/>
                <w:spacing w:val="0"/>
                <w:kern w:val="0"/>
                <w:sz w:val="24"/>
                <w:szCs w:val="24"/>
              </w:rPr>
              <w:t>3</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项目内容</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8102"/>
              <w:pBdr>
                <w:top w:val="none" w:sz="0" w:space="0" w:color="auto"/>
                <w:left w:val="none" w:sz="0" w:space="0" w:color="auto"/>
                <w:bottom w:val="none" w:sz="0" w:space="0" w:color="auto"/>
                <w:right w:val="none" w:sz="0" w:space="0" w:color="auto"/>
              </w:pBdr>
              <w:ind w:firstLine="240" w:firstLineChars="100"/>
              <w:rPr>
                <w:rFonts w:ascii="宋体" w:eastAsia="宋体" w:cs="Calibri" w:hint="eastAsia"/>
                <w:vanish w:val="0"/>
                <w:color w:val="595959"/>
                <w:spacing w:val="0"/>
                <w:kern w:val="0"/>
                <w:sz w:val="24"/>
                <w:szCs w:val="24"/>
              </w:rPr>
            </w:pPr>
            <w:r>
              <w:rPr>
                <w:rFonts w:ascii="宋体" w:eastAsia="宋体" w:cs="Times New Roman" w:hint="eastAsia"/>
                <w:vanish w:val="0"/>
                <w:spacing w:val="0"/>
                <w:kern w:val="0"/>
                <w:sz w:val="24"/>
                <w:szCs w:val="24"/>
              </w:rPr>
              <w:t>国内外标准题录与文本数据</w:t>
            </w:r>
            <w:r>
              <w:rPr>
                <w:rFonts w:ascii="Times New Roman" w:eastAsia="宋体" w:hAnsi="Times New Roman"/>
                <w:vanish w:val="0"/>
                <w:spacing w:val="0"/>
                <w:kern w:val="0"/>
                <w:sz w:val="24"/>
                <w:szCs w:val="24"/>
              </w:rPr>
              <w:t xml:space="preserve"> </w:t>
            </w:r>
          </w:p>
        </w:tc>
      </w:tr>
      <w:tr>
        <w:tblPrEx>
          <w:tblW w:w="9061" w:type="dxa"/>
          <w:jc w:val="left"/>
          <w:tblInd w:w="0" w:type="dxa"/>
          <w:tblLayout w:type="fixed"/>
          <w:tblCellMar>
            <w:top w:w="0" w:type="dxa"/>
            <w:left w:w="108" w:type="dxa"/>
            <w:bottom w:w="0" w:type="dxa"/>
            <w:right w:w="108" w:type="dxa"/>
          </w:tblCellMar>
        </w:tblPrEx>
        <w:trPr>
          <w:hidden/>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4</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项目范围</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spacing w:line="360" w:lineRule="auto"/>
              <w:ind w:left="0" w:firstLine="0"/>
              <w:jc w:val="both"/>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采购我国的国家标准文本，与海关业务相关的行业标准文本，海关有需求的国外和国际标准文本，以及相应的标准题录信息。</w:t>
            </w:r>
          </w:p>
        </w:tc>
      </w:tr>
      <w:tr>
        <w:tblPrEx>
          <w:tblW w:w="9061" w:type="dxa"/>
          <w:jc w:val="left"/>
          <w:tblInd w:w="0" w:type="dxa"/>
          <w:tblLayout w:type="fixed"/>
          <w:tblCellMar>
            <w:top w:w="0" w:type="dxa"/>
            <w:left w:w="108" w:type="dxa"/>
            <w:bottom w:w="0" w:type="dxa"/>
            <w:right w:w="108" w:type="dxa"/>
          </w:tblCellMar>
        </w:tblPrEx>
        <w:trPr>
          <w:hidden/>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5</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需求分析</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5112"/>
              <w:pBdr>
                <w:top w:val="none" w:sz="0" w:space="0" w:color="auto"/>
                <w:left w:val="none" w:sz="0" w:space="0" w:color="auto"/>
                <w:bottom w:val="none" w:sz="0" w:space="0" w:color="auto"/>
                <w:right w:val="none" w:sz="0" w:space="0" w:color="auto"/>
              </w:pBdr>
              <w:spacing w:line="360" w:lineRule="auto"/>
              <w:ind w:left="0" w:firstLine="0"/>
              <w:jc w:val="both"/>
              <w:rPr>
                <w:rFonts w:ascii="Times New Roman" w:eastAsia="宋体" w:hAnsi="Times New Roman"/>
                <w:vanish w:val="0"/>
                <w:spacing w:val="0"/>
                <w:kern w:val="0"/>
                <w:sz w:val="24"/>
                <w:szCs w:val="24"/>
              </w:rPr>
            </w:pPr>
            <w:r>
              <w:rPr>
                <w:rFonts w:ascii="Times New Roman" w:eastAsia="宋体" w:hAnsi="Times New Roman"/>
                <w:vanish w:val="0"/>
                <w:spacing w:val="0"/>
                <w:kern w:val="0"/>
                <w:sz w:val="24"/>
                <w:szCs w:val="24"/>
              </w:rPr>
              <w:t>1.</w:t>
            </w:r>
            <w:r>
              <w:rPr>
                <w:rFonts w:ascii="宋体" w:eastAsia="宋体" w:cs="Times New Roman" w:hint="eastAsia"/>
                <w:vanish w:val="0"/>
                <w:spacing w:val="0"/>
                <w:kern w:val="0"/>
                <w:sz w:val="24"/>
                <w:szCs w:val="24"/>
              </w:rPr>
              <w:t>国家标准年度更新文本</w:t>
            </w:r>
          </w:p>
          <w:p>
            <w:pPr>
              <w:pStyle w:val="5112"/>
              <w:pBdr>
                <w:top w:val="none" w:sz="0" w:space="0" w:color="auto"/>
                <w:left w:val="none" w:sz="0" w:space="0" w:color="auto"/>
                <w:bottom w:val="none" w:sz="0" w:space="0" w:color="auto"/>
                <w:right w:val="none" w:sz="0" w:space="0" w:color="auto"/>
              </w:pBdr>
              <w:spacing w:line="360" w:lineRule="auto"/>
              <w:ind w:left="0" w:firstLine="0"/>
              <w:jc w:val="both"/>
              <w:rPr>
                <w:rFonts w:ascii="Times New Roman" w:eastAsia="宋体" w:hAnsi="Times New Roman"/>
                <w:vanish w:val="0"/>
                <w:spacing w:val="0"/>
                <w:kern w:val="0"/>
                <w:sz w:val="24"/>
                <w:szCs w:val="24"/>
              </w:rPr>
            </w:pPr>
            <w:r>
              <w:rPr>
                <w:rFonts w:ascii="宋体" w:eastAsia="宋体" w:cs="Times New Roman" w:hint="eastAsia"/>
                <w:vanish w:val="0"/>
                <w:spacing w:val="0"/>
                <w:kern w:val="0"/>
                <w:sz w:val="24"/>
                <w:szCs w:val="24"/>
              </w:rPr>
              <w:t>在多年连续采集的基础上，继续采集我国国家标准</w:t>
            </w:r>
            <w:r>
              <w:rPr>
                <w:rFonts w:ascii="Times New Roman" w:eastAsia="宋体" w:hAnsi="Times New Roman"/>
                <w:vanish w:val="0"/>
                <w:spacing w:val="0"/>
                <w:kern w:val="0"/>
                <w:sz w:val="24"/>
                <w:szCs w:val="24"/>
              </w:rPr>
              <w:t>2026</w:t>
            </w:r>
            <w:r>
              <w:rPr>
                <w:rFonts w:ascii="宋体" w:eastAsia="宋体" w:cs="Times New Roman" w:hint="eastAsia"/>
                <w:vanish w:val="0"/>
                <w:spacing w:val="0"/>
                <w:kern w:val="0"/>
                <w:sz w:val="24"/>
                <w:szCs w:val="24"/>
              </w:rPr>
              <w:t>年度新发布的标准文本和标准题录信息表。</w:t>
            </w:r>
          </w:p>
          <w:p>
            <w:pPr>
              <w:pStyle w:val="5112"/>
              <w:pBdr>
                <w:top w:val="none" w:sz="0" w:space="0" w:color="auto"/>
                <w:left w:val="none" w:sz="0" w:space="0" w:color="auto"/>
                <w:bottom w:val="none" w:sz="0" w:space="0" w:color="auto"/>
                <w:right w:val="none" w:sz="0" w:space="0" w:color="auto"/>
              </w:pBdr>
              <w:spacing w:line="360" w:lineRule="auto"/>
              <w:ind w:left="0" w:firstLine="0"/>
              <w:jc w:val="both"/>
              <w:rPr>
                <w:rFonts w:ascii="Times New Roman" w:eastAsia="宋体" w:hAnsi="Times New Roman"/>
                <w:vanish w:val="0"/>
                <w:spacing w:val="0"/>
                <w:kern w:val="0"/>
                <w:sz w:val="24"/>
                <w:szCs w:val="24"/>
              </w:rPr>
            </w:pPr>
            <w:r>
              <w:rPr>
                <w:rFonts w:ascii="Times New Roman" w:eastAsia="宋体" w:hAnsi="Times New Roman"/>
                <w:vanish w:val="0"/>
                <w:spacing w:val="0"/>
                <w:kern w:val="0"/>
                <w:sz w:val="24"/>
                <w:szCs w:val="24"/>
              </w:rPr>
              <w:t>2.</w:t>
            </w:r>
            <w:r>
              <w:rPr>
                <w:rFonts w:ascii="宋体" w:eastAsia="宋体" w:cs="Times New Roman" w:hint="eastAsia"/>
                <w:vanish w:val="0"/>
                <w:spacing w:val="0"/>
                <w:kern w:val="0"/>
                <w:sz w:val="24"/>
                <w:szCs w:val="24"/>
              </w:rPr>
              <w:t>我国行业标准年度更新文本</w:t>
            </w:r>
          </w:p>
          <w:p>
            <w:pPr>
              <w:pStyle w:val="5112"/>
              <w:pBdr>
                <w:top w:val="none" w:sz="0" w:space="0" w:color="auto"/>
                <w:left w:val="none" w:sz="0" w:space="0" w:color="auto"/>
                <w:bottom w:val="none" w:sz="0" w:space="0" w:color="auto"/>
                <w:right w:val="none" w:sz="0" w:space="0" w:color="auto"/>
              </w:pBdr>
              <w:spacing w:line="360" w:lineRule="auto"/>
              <w:ind w:left="0" w:firstLine="0"/>
              <w:jc w:val="both"/>
              <w:rPr>
                <w:rFonts w:ascii="Times New Roman" w:eastAsia="宋体" w:hAnsi="Times New Roman"/>
                <w:vanish w:val="0"/>
                <w:spacing w:val="0"/>
                <w:kern w:val="0"/>
                <w:sz w:val="24"/>
                <w:szCs w:val="24"/>
              </w:rPr>
            </w:pPr>
            <w:r>
              <w:rPr>
                <w:rFonts w:ascii="宋体" w:eastAsia="宋体" w:cs="Times New Roman" w:hint="eastAsia"/>
                <w:vanish w:val="0"/>
                <w:spacing w:val="0"/>
                <w:kern w:val="0"/>
                <w:sz w:val="24"/>
                <w:szCs w:val="24"/>
              </w:rPr>
              <w:t>在以往多年连续采集的基础上，继续采集我国与海关业务有关的</w:t>
            </w:r>
            <w:r>
              <w:rPr>
                <w:rFonts w:ascii="Times New Roman" w:eastAsia="宋体" w:hAnsi="Times New Roman"/>
                <w:vanish w:val="0"/>
                <w:spacing w:val="0"/>
                <w:kern w:val="0"/>
                <w:sz w:val="24"/>
                <w:szCs w:val="24"/>
              </w:rPr>
              <w:t>48</w:t>
            </w:r>
            <w:r>
              <w:rPr>
                <w:rFonts w:ascii="宋体" w:eastAsia="宋体" w:cs="Times New Roman" w:hint="eastAsia"/>
                <w:vanish w:val="0"/>
                <w:spacing w:val="0"/>
                <w:kern w:val="0"/>
                <w:sz w:val="24"/>
                <w:szCs w:val="24"/>
              </w:rPr>
              <w:t>类行业标准</w:t>
            </w:r>
            <w:r>
              <w:rPr>
                <w:rFonts w:ascii="Times New Roman" w:eastAsia="宋体" w:hAnsi="Times New Roman"/>
                <w:vanish w:val="0"/>
                <w:spacing w:val="0"/>
                <w:kern w:val="0"/>
                <w:sz w:val="24"/>
                <w:szCs w:val="24"/>
              </w:rPr>
              <w:t>2025</w:t>
            </w:r>
            <w:r>
              <w:rPr>
                <w:rFonts w:ascii="宋体" w:eastAsia="宋体" w:cs="Times New Roman" w:hint="eastAsia"/>
                <w:vanish w:val="0"/>
                <w:spacing w:val="0"/>
                <w:kern w:val="0"/>
                <w:sz w:val="24"/>
                <w:szCs w:val="24"/>
              </w:rPr>
              <w:t>年度新发布标准和标准题录信息表（行业标准种类见附表</w:t>
            </w:r>
            <w:r>
              <w:rPr>
                <w:rFonts w:ascii="Times New Roman" w:eastAsia="宋体" w:hAnsi="Times New Roman"/>
                <w:vanish w:val="0"/>
                <w:spacing w:val="0"/>
                <w:kern w:val="0"/>
                <w:sz w:val="24"/>
                <w:szCs w:val="24"/>
              </w:rPr>
              <w:t>1</w:t>
            </w:r>
            <w:r>
              <w:rPr>
                <w:rFonts w:ascii="宋体" w:eastAsia="宋体" w:cs="Times New Roman" w:hint="eastAsia"/>
                <w:vanish w:val="0"/>
                <w:spacing w:val="0"/>
                <w:kern w:val="0"/>
                <w:sz w:val="24"/>
                <w:szCs w:val="24"/>
              </w:rPr>
              <w:t>）。</w:t>
            </w:r>
          </w:p>
          <w:p>
            <w:pPr>
              <w:pStyle w:val="5112"/>
              <w:pBdr>
                <w:top w:val="none" w:sz="0" w:space="0" w:color="auto"/>
                <w:left w:val="none" w:sz="0" w:space="0" w:color="auto"/>
                <w:bottom w:val="none" w:sz="0" w:space="0" w:color="auto"/>
                <w:right w:val="none" w:sz="0" w:space="0" w:color="auto"/>
              </w:pBdr>
              <w:spacing w:line="360" w:lineRule="auto"/>
              <w:ind w:left="0" w:firstLine="0"/>
              <w:jc w:val="both"/>
              <w:rPr>
                <w:rFonts w:ascii="Times New Roman" w:eastAsia="宋体" w:hAnsi="Times New Roman"/>
                <w:vanish w:val="0"/>
                <w:spacing w:val="0"/>
                <w:kern w:val="0"/>
                <w:sz w:val="24"/>
                <w:szCs w:val="24"/>
              </w:rPr>
            </w:pPr>
            <w:r>
              <w:rPr>
                <w:rFonts w:ascii="Times New Roman" w:eastAsia="宋体" w:hAnsi="Times New Roman"/>
                <w:vanish w:val="0"/>
                <w:spacing w:val="0"/>
                <w:kern w:val="0"/>
                <w:sz w:val="24"/>
                <w:szCs w:val="24"/>
              </w:rPr>
              <w:t>3.</w:t>
            </w:r>
            <w:r>
              <w:rPr>
                <w:rFonts w:ascii="宋体" w:eastAsia="宋体" w:cs="Times New Roman" w:hint="eastAsia"/>
                <w:vanish w:val="0"/>
                <w:spacing w:val="0"/>
                <w:kern w:val="0"/>
                <w:sz w:val="24"/>
                <w:szCs w:val="24"/>
              </w:rPr>
              <w:t>国外和国际标准采集文本</w:t>
            </w:r>
          </w:p>
          <w:p>
            <w:pPr>
              <w:pStyle w:val="4413"/>
              <w:pBdr>
                <w:top w:val="none" w:sz="0" w:space="0" w:color="auto"/>
                <w:left w:val="none" w:sz="0" w:space="0" w:color="auto"/>
                <w:bottom w:val="none" w:sz="0" w:space="0" w:color="auto"/>
                <w:right w:val="none" w:sz="0" w:space="0" w:color="auto"/>
              </w:pBdr>
              <w:spacing w:line="360" w:lineRule="auto"/>
              <w:ind w:left="0" w:firstLine="0"/>
              <w:rPr>
                <w:rFonts w:ascii="Times New Roman" w:eastAsia="宋体" w:hAnsi="Times New Roman"/>
                <w:vanish w:val="0"/>
                <w:spacing w:val="0"/>
                <w:kern w:val="0"/>
                <w:sz w:val="24"/>
                <w:szCs w:val="24"/>
              </w:rPr>
            </w:pPr>
            <w:r>
              <w:rPr>
                <w:rFonts w:ascii="宋体" w:eastAsia="宋体" w:cs="Times New Roman" w:hint="eastAsia"/>
                <w:vanish w:val="0"/>
                <w:spacing w:val="0"/>
                <w:kern w:val="0"/>
                <w:sz w:val="24"/>
                <w:szCs w:val="24"/>
              </w:rPr>
              <w:t>按采购人提出的需求清单，采购包括</w:t>
            </w:r>
            <w:r>
              <w:rPr>
                <w:rFonts w:ascii="Times New Roman" w:eastAsia="宋体" w:hAnsi="Times New Roman"/>
                <w:vanish w:val="0"/>
                <w:spacing w:val="0"/>
                <w:kern w:val="0"/>
                <w:sz w:val="24"/>
                <w:szCs w:val="24"/>
              </w:rPr>
              <w:t>ISO</w:t>
            </w:r>
            <w:r>
              <w:rPr>
                <w:rFonts w:ascii="宋体" w:eastAsia="宋体" w:cs="Times New Roman" w:hint="eastAsia"/>
                <w:vanish w:val="0"/>
                <w:spacing w:val="0"/>
                <w:kern w:val="0"/>
                <w:sz w:val="24"/>
                <w:szCs w:val="24"/>
              </w:rPr>
              <w:t>、</w:t>
            </w:r>
            <w:r>
              <w:rPr>
                <w:rFonts w:ascii="Times New Roman" w:eastAsia="宋体" w:hAnsi="Times New Roman"/>
                <w:vanish w:val="0"/>
                <w:spacing w:val="0"/>
                <w:kern w:val="0"/>
                <w:sz w:val="24"/>
                <w:szCs w:val="24"/>
              </w:rPr>
              <w:t>IEC</w:t>
            </w:r>
            <w:r>
              <w:rPr>
                <w:rFonts w:ascii="宋体" w:eastAsia="宋体" w:cs="Times New Roman" w:hint="eastAsia"/>
                <w:vanish w:val="0"/>
                <w:spacing w:val="0"/>
                <w:kern w:val="0"/>
                <w:sz w:val="24"/>
                <w:szCs w:val="24"/>
              </w:rPr>
              <w:t>、美国</w:t>
            </w:r>
            <w:r>
              <w:rPr>
                <w:rFonts w:ascii="Times New Roman" w:eastAsia="宋体" w:hAnsi="Times New Roman"/>
                <w:vanish w:val="0"/>
                <w:spacing w:val="0"/>
                <w:kern w:val="0"/>
                <w:sz w:val="24"/>
                <w:szCs w:val="24"/>
              </w:rPr>
              <w:t>ASTM</w:t>
            </w:r>
            <w:r>
              <w:rPr>
                <w:rFonts w:ascii="宋体" w:eastAsia="宋体" w:cs="Times New Roman" w:hint="eastAsia"/>
                <w:vanish w:val="0"/>
                <w:spacing w:val="0"/>
                <w:kern w:val="0"/>
                <w:sz w:val="24"/>
                <w:szCs w:val="24"/>
              </w:rPr>
              <w:t>等标准，需求的标准数量</w:t>
            </w:r>
            <w:r>
              <w:rPr>
                <w:rFonts w:ascii="Times New Roman" w:eastAsia="宋体" w:hAnsi="Times New Roman"/>
                <w:vanish w:val="0"/>
                <w:spacing w:val="0"/>
                <w:kern w:val="0"/>
                <w:sz w:val="24"/>
                <w:szCs w:val="24"/>
              </w:rPr>
              <w:t>800</w:t>
            </w:r>
            <w:r>
              <w:rPr>
                <w:rFonts w:ascii="宋体" w:eastAsia="宋体" w:cs="Times New Roman" w:hint="eastAsia"/>
                <w:vanish w:val="0"/>
                <w:spacing w:val="0"/>
                <w:kern w:val="0"/>
                <w:sz w:val="24"/>
                <w:szCs w:val="24"/>
              </w:rPr>
              <w:t>项（采购国外标准名录见附表</w:t>
            </w:r>
            <w:r>
              <w:rPr>
                <w:rFonts w:ascii="Times New Roman" w:eastAsia="宋体" w:hAnsi="Times New Roman"/>
                <w:vanish w:val="0"/>
                <w:spacing w:val="0"/>
                <w:kern w:val="0"/>
                <w:sz w:val="24"/>
                <w:szCs w:val="24"/>
              </w:rPr>
              <w:t>2</w:t>
            </w:r>
            <w:r>
              <w:rPr>
                <w:rFonts w:ascii="宋体" w:eastAsia="宋体" w:cs="Times New Roman" w:hint="eastAsia"/>
                <w:vanish w:val="0"/>
                <w:spacing w:val="0"/>
                <w:kern w:val="0"/>
                <w:sz w:val="24"/>
                <w:szCs w:val="24"/>
              </w:rPr>
              <w:t>）。</w:t>
            </w:r>
          </w:p>
          <w:p>
            <w:pPr>
              <w:pStyle w:val="4413"/>
              <w:pBdr>
                <w:top w:val="none" w:sz="0" w:space="0" w:color="auto"/>
                <w:left w:val="none" w:sz="0" w:space="0" w:color="auto"/>
                <w:bottom w:val="none" w:sz="0" w:space="0" w:color="auto"/>
                <w:right w:val="none" w:sz="0" w:space="0" w:color="auto"/>
              </w:pBdr>
              <w:spacing w:line="360" w:lineRule="auto"/>
              <w:ind w:left="0" w:firstLine="0"/>
              <w:rPr>
                <w:rFonts w:ascii="宋体" w:eastAsia="宋体" w:cs="Calibri" w:hint="eastAsia"/>
                <w:vanish w:val="0"/>
                <w:spacing w:val="0"/>
                <w:kern w:val="0"/>
                <w:sz w:val="24"/>
                <w:szCs w:val="24"/>
              </w:rPr>
            </w:pPr>
            <w:r>
              <w:rPr>
                <w:rFonts w:ascii="Times New Roman" w:eastAsia="宋体" w:hAnsi="Times New Roman"/>
                <w:vanish w:val="0"/>
                <w:spacing w:val="0"/>
                <w:kern w:val="0"/>
                <w:sz w:val="24"/>
                <w:szCs w:val="24"/>
              </w:rPr>
              <w:t>4</w:t>
            </w:r>
            <w:r>
              <w:rPr>
                <w:rFonts w:ascii="宋体" w:eastAsia="宋体" w:cs="Times New Roman"/>
                <w:vanish w:val="0"/>
                <w:spacing w:val="0"/>
                <w:kern w:val="0"/>
                <w:sz w:val="24"/>
                <w:szCs w:val="24"/>
              </w:rPr>
              <w:t>.</w:t>
            </w:r>
            <w:r>
              <w:rPr>
                <w:rFonts w:ascii="宋体" w:eastAsia="宋体" w:cs="Times New Roman" w:hint="eastAsia"/>
                <w:vanish w:val="0"/>
                <w:spacing w:val="0"/>
                <w:kern w:val="0"/>
                <w:sz w:val="24"/>
                <w:szCs w:val="24"/>
              </w:rPr>
              <w:t>要求提供标准编号、名称、发布机构、发布时间等标准基本信息表</w:t>
            </w:r>
            <w:r>
              <w:rPr>
                <w:rFonts w:ascii="Times New Roman" w:eastAsia="宋体" w:hAnsi="Times New Roman"/>
                <w:vanish w:val="0"/>
                <w:spacing w:val="0"/>
                <w:kern w:val="0"/>
                <w:sz w:val="24"/>
                <w:szCs w:val="24"/>
              </w:rPr>
              <w:t>(</w:t>
            </w:r>
            <w:r>
              <w:rPr>
                <w:rFonts w:ascii="宋体" w:eastAsia="宋体" w:cs="Times New Roman" w:hint="eastAsia"/>
                <w:vanish w:val="0"/>
                <w:spacing w:val="0"/>
                <w:kern w:val="0"/>
                <w:sz w:val="24"/>
                <w:szCs w:val="24"/>
              </w:rPr>
              <w:t>见“五集成需求”中的“技术需求”</w:t>
            </w:r>
            <w:r>
              <w:rPr>
                <w:rFonts w:ascii="Times New Roman" w:eastAsia="宋体" w:hAnsi="Times New Roman"/>
                <w:vanish w:val="0"/>
                <w:spacing w:val="0"/>
                <w:kern w:val="0"/>
                <w:sz w:val="24"/>
                <w:szCs w:val="24"/>
              </w:rPr>
              <w:t>)</w:t>
            </w:r>
            <w:r>
              <w:rPr>
                <w:rFonts w:ascii="宋体" w:eastAsia="宋体" w:cs="Times New Roman" w:hint="eastAsia"/>
                <w:vanish w:val="0"/>
                <w:spacing w:val="0"/>
                <w:kern w:val="0"/>
                <w:sz w:val="24"/>
                <w:szCs w:val="24"/>
              </w:rPr>
              <w:t>。提供</w:t>
            </w:r>
            <w:r>
              <w:rPr>
                <w:rFonts w:ascii="Times New Roman" w:eastAsia="宋体" w:hAnsi="Times New Roman"/>
                <w:vanish w:val="0"/>
                <w:spacing w:val="0"/>
                <w:kern w:val="0"/>
                <w:sz w:val="24"/>
                <w:szCs w:val="24"/>
              </w:rPr>
              <w:t>PDF</w:t>
            </w:r>
            <w:r>
              <w:rPr>
                <w:rFonts w:ascii="宋体" w:eastAsia="宋体" w:cs="Times New Roman" w:hint="eastAsia"/>
                <w:vanish w:val="0"/>
                <w:spacing w:val="0"/>
                <w:kern w:val="0"/>
                <w:sz w:val="24"/>
                <w:szCs w:val="24"/>
              </w:rPr>
              <w:t>电子版或其他可读的文件。</w:t>
            </w:r>
          </w:p>
        </w:tc>
      </w:tr>
      <w:tr>
        <w:tblPrEx>
          <w:tblW w:w="9061" w:type="dxa"/>
          <w:jc w:val="left"/>
          <w:tblInd w:w="0" w:type="dxa"/>
          <w:tblLayout w:type="fixed"/>
          <w:tblCellMar>
            <w:top w:w="0" w:type="dxa"/>
            <w:left w:w="108" w:type="dxa"/>
            <w:bottom w:w="0" w:type="dxa"/>
            <w:right w:w="108" w:type="dxa"/>
          </w:tblCellMar>
        </w:tblPrEx>
        <w:trPr>
          <w:hidden/>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6</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与前期项目的关系</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5211"/>
              <w:pBdr>
                <w:top w:val="none" w:sz="0" w:space="0" w:color="auto"/>
                <w:left w:val="none" w:sz="0" w:space="0" w:color="auto"/>
                <w:bottom w:val="none" w:sz="0" w:space="0" w:color="auto"/>
                <w:right w:val="none" w:sz="0" w:space="0" w:color="auto"/>
              </w:pBdr>
              <w:ind w:firstLine="0"/>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标准数据定期更新，数据投送至技贸平台服务器，所有数据包将更新至其特定目录下。海关知识库对接技贸平台，运用适当的软件工具实现数据同步跟新到本地数据库服务器，使数据库能够快速启动和运行。</w:t>
            </w:r>
          </w:p>
        </w:tc>
      </w:tr>
      <w:tr>
        <w:tblPrEx>
          <w:tblW w:w="9061" w:type="dxa"/>
          <w:jc w:val="left"/>
          <w:tblInd w:w="0" w:type="dxa"/>
          <w:tblLayout w:type="fixed"/>
          <w:tblCellMar>
            <w:top w:w="0" w:type="dxa"/>
            <w:left w:w="108" w:type="dxa"/>
            <w:bottom w:w="0" w:type="dxa"/>
            <w:right w:w="108" w:type="dxa"/>
          </w:tblCellMar>
        </w:tblPrEx>
        <w:trPr>
          <w:hidden/>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5312"/>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7</w:t>
            </w:r>
          </w:p>
        </w:tc>
        <w:tc>
          <w:tcPr>
            <w:tcW w:w="2631" w:type="dxa"/>
            <w:tcBorders>
              <w:top w:val="single" w:sz="4" w:space="0" w:color="auto"/>
              <w:left w:val="nil"/>
              <w:bottom w:val="single" w:sz="4" w:space="0" w:color="auto"/>
              <w:right w:val="single" w:sz="4" w:space="0" w:color="auto"/>
              <w:tl2br w:val="nil"/>
              <w:tr2bl w:val="nil"/>
            </w:tcBorders>
            <w:vAlign w:val="center"/>
          </w:tcPr>
          <w:p>
            <w:pPr>
              <w:pStyle w:val="5411"/>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项目履约时间</w:t>
            </w:r>
            <w:r>
              <w:rPr>
                <w:rFonts w:ascii="宋体" w:eastAsia="宋体" w:cs="Times New Roman" w:hint="eastAsia"/>
                <w:bCs/>
                <w:vanish w:val="0"/>
                <w:spacing w:val="0"/>
                <w:kern w:val="0"/>
                <w:sz w:val="24"/>
                <w:szCs w:val="24"/>
              </w:rPr>
              <w:t>★</w:t>
            </w:r>
          </w:p>
        </w:tc>
        <w:tc>
          <w:tcPr>
            <w:tcW w:w="5672" w:type="dxa"/>
            <w:tcBorders>
              <w:top w:val="single" w:sz="4" w:space="0" w:color="auto"/>
              <w:left w:val="nil"/>
              <w:bottom w:val="single" w:sz="4" w:space="0" w:color="auto"/>
              <w:right w:val="single" w:sz="4" w:space="0" w:color="auto"/>
              <w:tl2br w:val="nil"/>
              <w:tr2bl w:val="nil"/>
            </w:tcBorders>
            <w:vAlign w:val="center"/>
          </w:tcPr>
          <w:p>
            <w:pPr>
              <w:pStyle w:val="5511"/>
              <w:pBdr>
                <w:top w:val="none" w:sz="0" w:space="0" w:color="auto"/>
                <w:left w:val="none" w:sz="0" w:space="0" w:color="auto"/>
                <w:bottom w:val="none" w:sz="0" w:space="0" w:color="auto"/>
                <w:right w:val="none" w:sz="0" w:space="0" w:color="auto"/>
              </w:pBdr>
              <w:spacing w:line="360" w:lineRule="auto"/>
              <w:ind w:left="0" w:firstLine="0"/>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自合同签订之日起</w:t>
            </w:r>
            <w:r>
              <w:rPr>
                <w:rFonts w:ascii="Times New Roman" w:eastAsia="宋体" w:hAnsi="Times New Roman"/>
                <w:vanish w:val="0"/>
                <w:spacing w:val="0"/>
                <w:kern w:val="0"/>
                <w:sz w:val="24"/>
                <w:szCs w:val="24"/>
              </w:rPr>
              <w:t>12</w:t>
            </w:r>
            <w:r>
              <w:rPr>
                <w:rFonts w:ascii="宋体" w:eastAsia="宋体" w:cs="Times New Roman" w:hint="eastAsia"/>
                <w:vanish w:val="0"/>
                <w:spacing w:val="0"/>
                <w:kern w:val="0"/>
                <w:sz w:val="24"/>
                <w:szCs w:val="24"/>
              </w:rPr>
              <w:t>个月内</w:t>
            </w:r>
            <w:r>
              <w:rPr>
                <w:rFonts w:ascii="宋体" w:eastAsia="宋体" w:cs="Times New Roman"/>
                <w:vanish w:val="0"/>
                <w:spacing w:val="0"/>
                <w:kern w:val="0"/>
                <w:sz w:val="24"/>
                <w:szCs w:val="24"/>
              </w:rPr>
              <w:t>，提供承诺函并加盖公章。</w:t>
            </w:r>
          </w:p>
        </w:tc>
      </w:tr>
    </w:tbl>
    <w:p>
      <w:pPr>
        <w:pStyle w:val="4512"/>
        <w:pBdr>
          <w:top w:val="none" w:sz="0" w:space="0" w:color="auto"/>
          <w:left w:val="none" w:sz="0" w:space="0" w:color="auto"/>
          <w:bottom w:val="none" w:sz="0" w:space="0" w:color="auto"/>
          <w:right w:val="none" w:sz="0" w:space="0" w:color="auto"/>
        </w:pBdr>
        <w:ind w:left="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五、集成需求</w:t>
      </w:r>
    </w:p>
    <w:tbl>
      <w:tblPr>
        <w:tblW w:w="8988"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507"/>
        <w:gridCol w:w="1300"/>
        <w:gridCol w:w="6090"/>
        <w:gridCol w:w="1091"/>
      </w:tblGrid>
      <w:tr>
        <w:tblPrEx>
          <w:tblW w:w="8988"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hidden/>
          <w:trHeight w:val="70"/>
          <w:jc w:val="left"/>
        </w:trPr>
        <w:tc>
          <w:tcPr>
            <w:tcW w:w="507" w:type="dxa"/>
            <w:tcBorders>
              <w:top w:val="single" w:sz="4" w:space="0" w:color="auto"/>
              <w:left w:val="single" w:sz="4" w:space="0" w:color="auto"/>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序号</w:t>
            </w:r>
          </w:p>
        </w:tc>
        <w:tc>
          <w:tcPr>
            <w:tcW w:w="1300" w:type="dxa"/>
            <w:tcBorders>
              <w:top w:val="single" w:sz="4" w:space="0" w:color="auto"/>
              <w:left w:val="nil"/>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内容</w:t>
            </w:r>
          </w:p>
        </w:tc>
        <w:tc>
          <w:tcPr>
            <w:tcW w:w="6090" w:type="dxa"/>
            <w:tcBorders>
              <w:top w:val="single" w:sz="4" w:space="0" w:color="auto"/>
              <w:left w:val="nil"/>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b/>
                <w:bCs w:val="0"/>
                <w:vanish w:val="0"/>
                <w:spacing w:val="0"/>
                <w:kern w:val="0"/>
                <w:sz w:val="24"/>
                <w:szCs w:val="24"/>
              </w:rPr>
            </w:pPr>
            <w:bookmarkStart w:id="36" w:name="集成需求_Title_说明_Required_Table"/>
            <w:r>
              <w:rPr>
                <w:rFonts w:ascii="宋体" w:eastAsia="宋体" w:cs="Calibri" w:hint="eastAsia"/>
                <w:b/>
                <w:bCs w:val="0"/>
                <w:vanish w:val="0"/>
                <w:spacing w:val="0"/>
                <w:kern w:val="0"/>
                <w:sz w:val="24"/>
                <w:szCs w:val="24"/>
              </w:rPr>
              <w:t>说明</w:t>
            </w:r>
            <w:bookmarkEnd w:id="36"/>
          </w:p>
        </w:tc>
        <w:tc>
          <w:tcPr>
            <w:tcW w:w="1091" w:type="dxa"/>
            <w:tcBorders>
              <w:top w:val="single" w:sz="4" w:space="0" w:color="auto"/>
              <w:left w:val="nil"/>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firstLine="0"/>
              <w:jc w:val="center"/>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证明材料要求</w:t>
            </w:r>
          </w:p>
        </w:tc>
      </w:tr>
      <w:tr>
        <w:tblPrEx>
          <w:tblW w:w="8988" w:type="dxa"/>
          <w:jc w:val="left"/>
          <w:tblInd w:w="0" w:type="dxa"/>
          <w:tblLayout w:type="fixed"/>
          <w:tblCellMar>
            <w:top w:w="0" w:type="dxa"/>
            <w:left w:w="108" w:type="dxa"/>
            <w:bottom w:w="0" w:type="dxa"/>
            <w:right w:w="108" w:type="dxa"/>
          </w:tblCellMar>
        </w:tblPrEx>
        <w:trPr>
          <w:hidden/>
          <w:trHeight w:val="1601"/>
          <w:jc w:val="left"/>
        </w:trPr>
        <w:tc>
          <w:tcPr>
            <w:tcW w:w="507"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b/>
                <w:bCs w:val="0"/>
                <w:vanish w:val="0"/>
                <w:spacing w:val="0"/>
                <w:kern w:val="0"/>
                <w:sz w:val="24"/>
                <w:szCs w:val="24"/>
              </w:rPr>
              <w:t>1</w:t>
            </w:r>
          </w:p>
        </w:tc>
        <w:tc>
          <w:tcPr>
            <w:tcW w:w="130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业务需求</w:t>
            </w:r>
          </w:p>
        </w:tc>
        <w:tc>
          <w:tcPr>
            <w:tcW w:w="60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480" w:firstLineChars="20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本项目应按照海关项目管理要求、技术要求、集成要求和方案编制要求开展实施，并接受和配合集成联调测试工作。</w:t>
            </w:r>
          </w:p>
        </w:tc>
        <w:tc>
          <w:tcPr>
            <w:tcW w:w="1091"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8988" w:type="dxa"/>
          <w:jc w:val="left"/>
          <w:tblInd w:w="0" w:type="dxa"/>
          <w:tblLayout w:type="fixed"/>
          <w:tblCellMar>
            <w:top w:w="0" w:type="dxa"/>
            <w:left w:w="108" w:type="dxa"/>
            <w:bottom w:w="0" w:type="dxa"/>
            <w:right w:w="108" w:type="dxa"/>
          </w:tblCellMar>
        </w:tblPrEx>
        <w:trPr>
          <w:hidden/>
          <w:trHeight w:val="1601"/>
          <w:jc w:val="left"/>
        </w:trPr>
        <w:tc>
          <w:tcPr>
            <w:tcW w:w="507"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b/>
                <w:bCs w:val="0"/>
                <w:vanish w:val="0"/>
                <w:spacing w:val="0"/>
                <w:kern w:val="0"/>
                <w:sz w:val="24"/>
                <w:szCs w:val="24"/>
              </w:rPr>
              <w:t>2</w:t>
            </w:r>
          </w:p>
        </w:tc>
        <w:tc>
          <w:tcPr>
            <w:tcW w:w="130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技术需求</w:t>
            </w:r>
          </w:p>
        </w:tc>
        <w:tc>
          <w:tcPr>
            <w:tcW w:w="6090" w:type="dxa"/>
            <w:tcBorders>
              <w:top w:val="single" w:sz="4" w:space="0" w:color="auto"/>
              <w:left w:val="nil"/>
              <w:bottom w:val="single" w:sz="4" w:space="0" w:color="auto"/>
              <w:right w:val="single" w:sz="4" w:space="0" w:color="auto"/>
              <w:tl2br w:val="nil"/>
              <w:tr2bl w:val="nil"/>
            </w:tcBorders>
            <w:vAlign w:val="center"/>
          </w:tcPr>
          <w:p>
            <w:pPr>
              <w:pStyle w:val="5611"/>
              <w:pBdr>
                <w:top w:val="none" w:sz="0" w:space="0" w:color="auto"/>
                <w:left w:val="none" w:sz="0" w:space="0" w:color="auto"/>
                <w:bottom w:val="none" w:sz="0" w:space="0" w:color="auto"/>
                <w:right w:val="none" w:sz="0" w:space="0" w:color="auto"/>
              </w:pBdr>
              <w:ind w:firstLine="48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1.标准题录信息表为电子表格格式，字段如下：</w:t>
            </w:r>
          </w:p>
          <w:p>
            <w:pPr>
              <w:pStyle w:val="5611"/>
              <w:pBdr>
                <w:top w:val="none" w:sz="0" w:space="0" w:color="auto"/>
                <w:left w:val="none" w:sz="0" w:space="0" w:color="auto"/>
                <w:bottom w:val="none" w:sz="0" w:space="0" w:color="auto"/>
                <w:right w:val="none" w:sz="0" w:space="0" w:color="auto"/>
              </w:pBdr>
              <w:ind w:firstLine="48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必填项：标准编号、中文名称、外文名称、国别/组织、发布日期、标准层级、原文语种；</w:t>
            </w:r>
          </w:p>
          <w:p>
            <w:pPr>
              <w:pStyle w:val="5611"/>
              <w:pBdr>
                <w:top w:val="none" w:sz="0" w:space="0" w:color="auto"/>
                <w:left w:val="none" w:sz="0" w:space="0" w:color="auto"/>
                <w:bottom w:val="none" w:sz="0" w:space="0" w:color="auto"/>
                <w:right w:val="none" w:sz="0" w:space="0" w:color="auto"/>
              </w:pBdr>
              <w:ind w:firstLine="48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非必填项：发布机构、发布公文号、实施日期、废止日期、制/修订、代替标准、更新后标准、废止公文号、标准分类、标准性质、国际标准分类号、中国标准分类号、采标方式、采标情况、有效性、归口单位、起草人、起草单位、专业领域、涉及产品（HS编码）、适用范围、引用文件、术语定义、原文文本、中译文文本。</w:t>
            </w:r>
          </w:p>
          <w:p>
            <w:pPr>
              <w:pStyle w:val="5712"/>
              <w:pBdr>
                <w:top w:val="none" w:sz="0" w:space="0" w:color="auto"/>
                <w:left w:val="none" w:sz="0" w:space="0" w:color="auto"/>
                <w:bottom w:val="none" w:sz="0" w:space="0" w:color="auto"/>
                <w:right w:val="none" w:sz="0" w:space="0" w:color="auto"/>
              </w:pBdr>
              <w:ind w:left="0" w:firstLine="0"/>
              <w:rPr>
                <w:rFonts w:ascii="Times New Roman" w:eastAsia="宋体" w:hAnsi="Times New Roman"/>
                <w:vanish w:val="0"/>
                <w:spacing w:val="0"/>
                <w:kern w:val="0"/>
                <w:sz w:val="24"/>
                <w:szCs w:val="24"/>
              </w:rPr>
            </w:pPr>
            <w:r>
              <w:rPr>
                <w:rFonts w:ascii="宋体" w:eastAsia="宋体" w:cs="Times New Roman" w:hint="eastAsia"/>
                <w:vanish w:val="0"/>
                <w:spacing w:val="0"/>
                <w:kern w:val="0"/>
                <w:sz w:val="24"/>
                <w:szCs w:val="24"/>
              </w:rPr>
              <w:t>2.标准文本为PDF格式或其他可读的文件。</w:t>
            </w:r>
          </w:p>
        </w:tc>
        <w:tc>
          <w:tcPr>
            <w:tcW w:w="1091"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8988" w:type="dxa"/>
          <w:jc w:val="left"/>
          <w:tblInd w:w="0" w:type="dxa"/>
          <w:tblLayout w:type="fixed"/>
          <w:tblCellMar>
            <w:top w:w="0" w:type="dxa"/>
            <w:left w:w="108" w:type="dxa"/>
            <w:bottom w:w="0" w:type="dxa"/>
            <w:right w:w="108" w:type="dxa"/>
          </w:tblCellMar>
        </w:tblPrEx>
        <w:trPr>
          <w:hidden/>
          <w:trHeight w:val="1066"/>
          <w:jc w:val="left"/>
        </w:trPr>
        <w:tc>
          <w:tcPr>
            <w:tcW w:w="507"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b/>
                <w:bCs w:val="0"/>
                <w:vanish w:val="0"/>
                <w:spacing w:val="0"/>
                <w:kern w:val="0"/>
                <w:sz w:val="24"/>
                <w:szCs w:val="24"/>
              </w:rPr>
              <w:t>3</w:t>
            </w:r>
          </w:p>
        </w:tc>
        <w:tc>
          <w:tcPr>
            <w:tcW w:w="130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b/>
                <w:bCs w:val="0"/>
                <w:vanish w:val="0"/>
                <w:spacing w:val="0"/>
                <w:kern w:val="0"/>
                <w:sz w:val="24"/>
                <w:szCs w:val="24"/>
              </w:rPr>
            </w:pPr>
            <w:r>
              <w:rPr>
                <w:rFonts w:ascii="宋体" w:eastAsia="宋体" w:cs="Calibri" w:hint="eastAsia"/>
                <w:b/>
                <w:bCs w:val="0"/>
                <w:vanish w:val="0"/>
                <w:spacing w:val="0"/>
                <w:kern w:val="0"/>
                <w:sz w:val="24"/>
                <w:szCs w:val="24"/>
              </w:rPr>
              <w:t>系统需求</w:t>
            </w:r>
          </w:p>
        </w:tc>
        <w:tc>
          <w:tcPr>
            <w:tcW w:w="60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480"/>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无</w:t>
            </w:r>
          </w:p>
        </w:tc>
        <w:tc>
          <w:tcPr>
            <w:tcW w:w="1091"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bl>
    <w:p>
      <w:pPr>
        <w:pStyle w:val="4413"/>
        <w:rPr>
          <w:rFonts w:ascii="宋体" w:eastAsia="宋体" w:cs="Calibri" w:hint="eastAsia"/>
          <w:spacing w:val="0"/>
          <w:kern w:val="0"/>
          <w:sz w:val="24"/>
          <w:szCs w:val="24"/>
        </w:rPr>
      </w:pPr>
    </w:p>
    <w:p>
      <w:pPr>
        <w:pStyle w:val="4512"/>
        <w:pBdr>
          <w:top w:val="none" w:sz="0" w:space="0" w:color="auto"/>
          <w:left w:val="none" w:sz="0" w:space="0" w:color="auto"/>
          <w:bottom w:val="none" w:sz="0" w:space="0" w:color="auto"/>
          <w:right w:val="none" w:sz="0" w:space="0" w:color="auto"/>
        </w:pBdr>
        <w:ind w:left="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六、货物或服务指标要求</w:t>
      </w:r>
    </w:p>
    <w:p>
      <w:pPr>
        <w:pStyle w:val="4413"/>
        <w:rPr>
          <w:rFonts w:ascii="宋体" w:eastAsia="宋体" w:cs="Calibri" w:hint="eastAsia"/>
          <w:spacing w:val="0"/>
          <w:kern w:val="0"/>
          <w:sz w:val="24"/>
          <w:szCs w:val="24"/>
        </w:rPr>
      </w:pPr>
      <w:r>
        <w:rPr>
          <w:rFonts w:ascii="宋体" w:eastAsia="宋体" w:cs="Calibri" w:hint="eastAsia"/>
          <w:spacing w:val="0"/>
          <w:kern w:val="0"/>
          <w:sz w:val="24"/>
          <w:szCs w:val="24"/>
        </w:rPr>
        <w:t>参数指标要求</w:t>
      </w:r>
    </w:p>
    <w:p>
      <w:pPr>
        <w:pStyle w:val="4413"/>
        <w:rPr>
          <w:rFonts w:ascii="宋体" w:eastAsia="宋体" w:cs="Calibri" w:hint="eastAsia"/>
          <w:spacing w:val="0"/>
          <w:kern w:val="0"/>
          <w:sz w:val="24"/>
          <w:szCs w:val="24"/>
        </w:rPr>
      </w:pPr>
      <w:r>
        <w:rPr>
          <w:rFonts w:ascii="宋体" w:eastAsia="宋体" w:cs="Calibri" w:hint="eastAsia"/>
          <w:spacing w:val="0"/>
          <w:kern w:val="0"/>
          <w:sz w:val="24"/>
          <w:szCs w:val="24"/>
        </w:rPr>
        <w:t>①★代表实质性指标，不满足该指标项将导致投标被拒绝；加 “▲”标记表示为重要指标项，无标识则表示一般指标项，如不满足将影响评分。</w:t>
      </w:r>
    </w:p>
    <w:p>
      <w:pPr>
        <w:pStyle w:val="4413"/>
        <w:rPr>
          <w:rFonts w:ascii="宋体" w:eastAsia="宋体" w:cs="Calibri" w:hint="eastAsia"/>
          <w:spacing w:val="0"/>
          <w:kern w:val="0"/>
          <w:sz w:val="24"/>
          <w:szCs w:val="24"/>
        </w:rPr>
      </w:pPr>
      <w:r>
        <w:rPr>
          <w:rFonts w:ascii="宋体" w:eastAsia="宋体" w:cs="Calibri" w:hint="eastAsia"/>
          <w:spacing w:val="0"/>
          <w:kern w:val="0"/>
          <w:sz w:val="24"/>
          <w:szCs w:val="24"/>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pStyle w:val="4413"/>
        <w:pBdr>
          <w:top w:val="none" w:sz="0" w:space="0" w:color="auto"/>
          <w:left w:val="none" w:sz="0" w:space="0" w:color="auto"/>
          <w:bottom w:val="none" w:sz="0" w:space="0" w:color="auto"/>
          <w:right w:val="none" w:sz="0" w:space="0" w:color="auto"/>
        </w:pBdr>
        <w:ind w:left="0" w:firstLine="0"/>
        <w:rPr>
          <w:rFonts w:ascii="宋体" w:eastAsia="宋体" w:cs="Calibri" w:hint="eastAsia"/>
          <w:vanish w:val="0"/>
          <w:spacing w:val="0"/>
          <w:kern w:val="0"/>
          <w:sz w:val="24"/>
          <w:szCs w:val="24"/>
        </w:rPr>
      </w:pPr>
    </w:p>
    <w:tbl>
      <w:tblPr>
        <w:tblW w:w="9052"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893"/>
        <w:gridCol w:w="969"/>
        <w:gridCol w:w="2052"/>
        <w:gridCol w:w="3353"/>
        <w:gridCol w:w="1785"/>
      </w:tblGrid>
      <w:tr>
        <w:tblPrEx>
          <w:tblW w:w="9052"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hidden/>
          <w:trHeight w:val="70"/>
          <w:jc w:val="left"/>
        </w:trPr>
        <w:tc>
          <w:tcPr>
            <w:tcW w:w="893" w:type="dxa"/>
            <w:tcBorders>
              <w:top w:val="single" w:sz="4" w:space="0" w:color="auto"/>
              <w:left w:val="single" w:sz="4" w:space="0" w:color="auto"/>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Calibri" w:eastAsia="宋体" w:hAnsi="Calibri" w:cs="Times New Roman"/>
                <w:vanish w:val="0"/>
                <w:spacing w:val="0"/>
                <w:kern w:val="0"/>
                <w:sz w:val="24"/>
                <w:szCs w:val="24"/>
              </w:rPr>
            </w:pPr>
            <w:bookmarkStart w:id="37" w:name="指标明细_index_Required_goodsId"/>
            <w:bookmarkEnd w:id="37"/>
            <w:r>
              <w:rPr>
                <w:rFonts w:ascii="宋体" w:eastAsia="宋体" w:cs="Times New Roman" w:hint="eastAsia"/>
                <w:vanish w:val="0"/>
                <w:spacing w:val="0"/>
                <w:kern w:val="0"/>
                <w:sz w:val="24"/>
                <w:szCs w:val="24"/>
              </w:rPr>
              <w:t>序号</w:t>
            </w:r>
          </w:p>
        </w:tc>
        <w:tc>
          <w:tcPr>
            <w:tcW w:w="969" w:type="dxa"/>
            <w:tcBorders>
              <w:top w:val="single" w:sz="4" w:space="0" w:color="auto"/>
              <w:left w:val="nil"/>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重要性</w:t>
            </w:r>
          </w:p>
        </w:tc>
        <w:tc>
          <w:tcPr>
            <w:tcW w:w="2052" w:type="dxa"/>
            <w:tcBorders>
              <w:top w:val="single" w:sz="4" w:space="0" w:color="auto"/>
              <w:left w:val="nil"/>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指标项</w:t>
            </w:r>
          </w:p>
        </w:tc>
        <w:tc>
          <w:tcPr>
            <w:tcW w:w="3353" w:type="dxa"/>
            <w:tcBorders>
              <w:top w:val="single" w:sz="4" w:space="0" w:color="auto"/>
              <w:left w:val="nil"/>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指标要求</w:t>
            </w:r>
          </w:p>
        </w:tc>
        <w:tc>
          <w:tcPr>
            <w:tcW w:w="1785" w:type="dxa"/>
            <w:tcBorders>
              <w:top w:val="single" w:sz="4" w:space="0" w:color="auto"/>
              <w:left w:val="nil"/>
              <w:bottom w:val="single" w:sz="4" w:space="0" w:color="auto"/>
              <w:right w:val="single" w:sz="4" w:space="0" w:color="auto"/>
              <w:tl2br w:val="nil"/>
              <w:tr2bl w:val="nil"/>
            </w:tcBorders>
            <w:shd w:val="clear" w:color="auto" w:fill="A6A6A6"/>
          </w:tcPr>
          <w:p>
            <w:pPr>
              <w:pStyle w:val="4413"/>
              <w:pBdr>
                <w:top w:val="none" w:sz="0" w:space="0" w:color="auto"/>
                <w:left w:val="none" w:sz="0" w:space="0" w:color="auto"/>
                <w:bottom w:val="none" w:sz="0" w:space="0" w:color="auto"/>
                <w:right w:val="none" w:sz="0" w:space="0" w:color="auto"/>
              </w:pBdr>
              <w:ind w:left="0" w:firstLine="0"/>
              <w:jc w:val="center"/>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证明材料要求</w:t>
            </w:r>
          </w:p>
        </w:tc>
      </w:tr>
      <w:tr>
        <w:tblPrEx>
          <w:tblW w:w="9052" w:type="dxa"/>
          <w:jc w:val="left"/>
          <w:tblInd w:w="0" w:type="dxa"/>
          <w:tblLayout w:type="fixed"/>
          <w:tblCellMar>
            <w:top w:w="0" w:type="dxa"/>
            <w:left w:w="108" w:type="dxa"/>
            <w:bottom w:w="0" w:type="dxa"/>
            <w:right w:w="108" w:type="dxa"/>
          </w:tblCellMar>
        </w:tblPrEx>
        <w:trPr>
          <w:hidden/>
          <w:trHeight w:val="631"/>
          <w:jc w:val="left"/>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pPr>
              <w:pStyle w:val="4413"/>
              <w:numPr>
                <w:ilvl w:val="0"/>
                <w:numId w:val="7"/>
              </w:numPr>
              <w:pBdr>
                <w:top w:val="none" w:sz="0" w:space="0" w:color="auto"/>
                <w:left w:val="none" w:sz="0" w:space="0" w:color="auto"/>
                <w:bottom w:val="none" w:sz="0" w:space="0" w:color="auto"/>
                <w:right w:val="none" w:sz="0" w:space="0" w:color="auto"/>
              </w:pBdr>
              <w:ind w:left="425" w:hanging="425"/>
              <w:jc w:val="both"/>
              <w:rPr>
                <w:rFonts w:ascii="Calibri" w:eastAsia="宋体" w:hAnsi="Calibri" w:cs="Times New Roman"/>
                <w:vanish w:val="0"/>
                <w:spacing w:val="0"/>
                <w:kern w:val="0"/>
                <w:sz w:val="24"/>
                <w:szCs w:val="24"/>
              </w:rPr>
            </w:pPr>
          </w:p>
        </w:tc>
        <w:tc>
          <w:tcPr>
            <w:tcW w:w="969" w:type="dxa"/>
            <w:tcBorders>
              <w:top w:val="single" w:sz="4" w:space="0" w:color="auto"/>
              <w:left w:val="nil"/>
              <w:bottom w:val="single" w:sz="4" w:space="0" w:color="auto"/>
              <w:right w:val="single" w:sz="4" w:space="0" w:color="auto"/>
              <w:tl2br w:val="nil"/>
              <w:tr2bl w:val="nil"/>
            </w:tcBorders>
            <w:vAlign w:val="center"/>
          </w:tcPr>
          <w:p>
            <w:pPr>
              <w:pStyle w:val="4413"/>
              <w:rPr>
                <w:rFonts w:ascii="Calibri" w:eastAsia="宋体" w:hAnsi="Calibri" w:cs="Times New Roman"/>
                <w:spacing w:val="0"/>
                <w:kern w:val="0"/>
                <w:sz w:val="24"/>
                <w:szCs w:val="24"/>
              </w:rPr>
            </w:pPr>
            <w:r>
              <w:rPr>
                <w:rFonts w:ascii="宋体" w:eastAsia="宋体" w:cs="Calibri" w:hint="eastAsia"/>
                <w:spacing w:val="0"/>
                <w:kern w:val="0"/>
                <w:sz w:val="24"/>
                <w:szCs w:val="24"/>
              </w:rPr>
              <w:t>▲</w:t>
            </w:r>
          </w:p>
        </w:tc>
        <w:tc>
          <w:tcPr>
            <w:tcW w:w="2052"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国家标准数据</w:t>
            </w:r>
          </w:p>
        </w:tc>
        <w:tc>
          <w:tcPr>
            <w:tcW w:w="3353"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rPr>
                <w:rFonts w:ascii="CESI仿宋-GB13000" w:eastAsia="CESI仿宋-GB13000" w:cs="Times New Roman" w:hint="eastAsia"/>
                <w:vanish w:val="0"/>
                <w:spacing w:val="0"/>
                <w:kern w:val="0"/>
                <w:sz w:val="24"/>
                <w:szCs w:val="24"/>
              </w:rPr>
            </w:pPr>
            <w:r>
              <w:rPr>
                <w:rFonts w:ascii="宋体" w:eastAsia="宋体" w:cs="Times New Roman" w:hint="eastAsia"/>
                <w:vanish w:val="0"/>
                <w:spacing w:val="0"/>
                <w:kern w:val="0"/>
                <w:sz w:val="24"/>
                <w:szCs w:val="24"/>
              </w:rPr>
              <w:t>我国国家标准2026年度新发布出版标准文本及其标准题录信息表。数量约2500项。</w:t>
            </w:r>
          </w:p>
        </w:tc>
        <w:tc>
          <w:tcPr>
            <w:tcW w:w="17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无</w:t>
            </w:r>
          </w:p>
        </w:tc>
      </w:tr>
      <w:tr>
        <w:tblPrEx>
          <w:tblW w:w="9052" w:type="dxa"/>
          <w:jc w:val="left"/>
          <w:tblInd w:w="0" w:type="dxa"/>
          <w:tblLayout w:type="fixed"/>
          <w:tblCellMar>
            <w:top w:w="0" w:type="dxa"/>
            <w:left w:w="108" w:type="dxa"/>
            <w:bottom w:w="0" w:type="dxa"/>
            <w:right w:w="108" w:type="dxa"/>
          </w:tblCellMar>
        </w:tblPrEx>
        <w:trPr>
          <w:hidden/>
          <w:trHeight w:val="631"/>
          <w:jc w:val="left"/>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pPr>
              <w:pStyle w:val="4413"/>
              <w:numPr>
                <w:ilvl w:val="0"/>
                <w:numId w:val="7"/>
              </w:numPr>
              <w:pBdr>
                <w:top w:val="none" w:sz="0" w:space="0" w:color="auto"/>
                <w:left w:val="none" w:sz="0" w:space="0" w:color="auto"/>
                <w:bottom w:val="none" w:sz="0" w:space="0" w:color="auto"/>
                <w:right w:val="none" w:sz="0" w:space="0" w:color="auto"/>
              </w:pBdr>
              <w:ind w:left="425" w:hanging="425"/>
              <w:jc w:val="both"/>
              <w:rPr>
                <w:rFonts w:ascii="Calibri" w:eastAsia="宋体" w:hAnsi="Calibri" w:cs="Times New Roman"/>
                <w:vanish w:val="0"/>
                <w:spacing w:val="0"/>
                <w:kern w:val="0"/>
                <w:sz w:val="24"/>
                <w:szCs w:val="24"/>
              </w:rPr>
            </w:pPr>
          </w:p>
        </w:tc>
        <w:tc>
          <w:tcPr>
            <w:tcW w:w="969" w:type="dxa"/>
            <w:tcBorders>
              <w:top w:val="single" w:sz="4" w:space="0" w:color="auto"/>
              <w:left w:val="nil"/>
              <w:bottom w:val="single" w:sz="4" w:space="0" w:color="auto"/>
              <w:right w:val="single" w:sz="4" w:space="0" w:color="auto"/>
              <w:tl2br w:val="nil"/>
              <w:tr2bl w:val="nil"/>
            </w:tcBorders>
            <w:vAlign w:val="center"/>
          </w:tcPr>
          <w:p>
            <w:pPr>
              <w:pStyle w:val="4413"/>
              <w:rPr>
                <w:rFonts w:ascii="Calibri" w:eastAsia="宋体" w:hAnsi="Calibri" w:cs="Times New Roman"/>
                <w:spacing w:val="0"/>
                <w:kern w:val="0"/>
                <w:sz w:val="24"/>
                <w:szCs w:val="24"/>
              </w:rPr>
            </w:pPr>
            <w:r>
              <w:rPr>
                <w:rFonts w:ascii="宋体" w:eastAsia="宋体" w:cs="Calibri" w:hint="eastAsia"/>
                <w:spacing w:val="0"/>
                <w:kern w:val="0"/>
                <w:sz w:val="24"/>
                <w:szCs w:val="24"/>
              </w:rPr>
              <w:t>▲</w:t>
            </w:r>
          </w:p>
        </w:tc>
        <w:tc>
          <w:tcPr>
            <w:tcW w:w="2052"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行业标准数据</w:t>
            </w:r>
          </w:p>
        </w:tc>
        <w:tc>
          <w:tcPr>
            <w:tcW w:w="3353"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与海关业务有关的48类行业标准文本及题录信息表。数量约4000项。</w:t>
            </w:r>
          </w:p>
        </w:tc>
        <w:tc>
          <w:tcPr>
            <w:tcW w:w="17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无</w:t>
            </w:r>
          </w:p>
        </w:tc>
      </w:tr>
      <w:tr>
        <w:tblPrEx>
          <w:tblW w:w="9052" w:type="dxa"/>
          <w:jc w:val="left"/>
          <w:tblInd w:w="0" w:type="dxa"/>
          <w:tblLayout w:type="fixed"/>
          <w:tblCellMar>
            <w:top w:w="0" w:type="dxa"/>
            <w:left w:w="108" w:type="dxa"/>
            <w:bottom w:w="0" w:type="dxa"/>
            <w:right w:w="108" w:type="dxa"/>
          </w:tblCellMar>
        </w:tblPrEx>
        <w:trPr>
          <w:hidden/>
          <w:trHeight w:val="631"/>
          <w:jc w:val="left"/>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pPr>
              <w:pStyle w:val="4413"/>
              <w:numPr>
                <w:ilvl w:val="0"/>
                <w:numId w:val="7"/>
              </w:numPr>
              <w:pBdr>
                <w:top w:val="none" w:sz="0" w:space="0" w:color="auto"/>
                <w:left w:val="none" w:sz="0" w:space="0" w:color="auto"/>
                <w:bottom w:val="none" w:sz="0" w:space="0" w:color="auto"/>
                <w:right w:val="none" w:sz="0" w:space="0" w:color="auto"/>
              </w:pBdr>
              <w:ind w:left="425" w:hanging="425"/>
              <w:jc w:val="both"/>
              <w:rPr>
                <w:rFonts w:ascii="Calibri" w:eastAsia="宋体" w:hAnsi="Calibri" w:cs="Times New Roman"/>
                <w:vanish w:val="0"/>
                <w:spacing w:val="0"/>
                <w:kern w:val="0"/>
                <w:sz w:val="24"/>
                <w:szCs w:val="24"/>
              </w:rPr>
            </w:pPr>
          </w:p>
        </w:tc>
        <w:tc>
          <w:tcPr>
            <w:tcW w:w="969" w:type="dxa"/>
            <w:tcBorders>
              <w:top w:val="single" w:sz="4" w:space="0" w:color="auto"/>
              <w:left w:val="nil"/>
              <w:bottom w:val="single" w:sz="4" w:space="0" w:color="auto"/>
              <w:right w:val="single" w:sz="4" w:space="0" w:color="auto"/>
              <w:tl2br w:val="nil"/>
              <w:tr2bl w:val="nil"/>
            </w:tcBorders>
            <w:vAlign w:val="center"/>
          </w:tcPr>
          <w:p>
            <w:pPr>
              <w:pStyle w:val="4413"/>
              <w:rPr>
                <w:rFonts w:ascii="Calibri" w:eastAsia="宋体" w:hAnsi="Calibri" w:cs="Times New Roman"/>
                <w:spacing w:val="0"/>
                <w:kern w:val="0"/>
                <w:sz w:val="24"/>
                <w:szCs w:val="24"/>
              </w:rPr>
            </w:pPr>
            <w:r>
              <w:rPr>
                <w:rFonts w:ascii="宋体" w:eastAsia="宋体" w:cs="Calibri" w:hint="eastAsia"/>
                <w:spacing w:val="0"/>
                <w:kern w:val="0"/>
                <w:sz w:val="24"/>
                <w:szCs w:val="24"/>
              </w:rPr>
              <w:t>▲</w:t>
            </w:r>
          </w:p>
        </w:tc>
        <w:tc>
          <w:tcPr>
            <w:tcW w:w="2052"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rPr>
                <w:rFonts w:ascii="Calibri" w:eastAsia="宋体" w:hAnsi="Calibri" w:cs="Times New Roman"/>
                <w:b/>
                <w:bCs/>
                <w:vanish w:val="0"/>
                <w:spacing w:val="0"/>
                <w:kern w:val="0"/>
                <w:sz w:val="24"/>
                <w:szCs w:val="24"/>
              </w:rPr>
            </w:pPr>
            <w:r>
              <w:rPr>
                <w:rFonts w:ascii="宋体" w:eastAsia="宋体" w:cs="Times New Roman" w:hint="eastAsia"/>
                <w:vanish w:val="0"/>
                <w:spacing w:val="0"/>
                <w:kern w:val="0"/>
                <w:sz w:val="24"/>
                <w:szCs w:val="24"/>
              </w:rPr>
              <w:t>国外和国际标准数据</w:t>
            </w:r>
          </w:p>
        </w:tc>
        <w:tc>
          <w:tcPr>
            <w:tcW w:w="3353"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按采购人要求，采购包括</w:t>
            </w:r>
            <w:r>
              <w:rPr>
                <w:rFonts w:ascii="Calibri" w:eastAsia="宋体" w:hAnsi="Calibri" w:cs="Times New Roman"/>
                <w:vanish w:val="0"/>
                <w:spacing w:val="0"/>
                <w:kern w:val="0"/>
                <w:sz w:val="24"/>
                <w:szCs w:val="24"/>
              </w:rPr>
              <w:t>ISO</w:t>
            </w:r>
            <w:r>
              <w:rPr>
                <w:rFonts w:ascii="宋体" w:eastAsia="宋体" w:cs="Times New Roman" w:hint="eastAsia"/>
                <w:vanish w:val="0"/>
                <w:spacing w:val="0"/>
                <w:kern w:val="0"/>
                <w:sz w:val="24"/>
                <w:szCs w:val="24"/>
              </w:rPr>
              <w:t>、</w:t>
            </w:r>
            <w:r>
              <w:rPr>
                <w:rFonts w:ascii="Calibri" w:eastAsia="宋体" w:hAnsi="Calibri" w:cs="Times New Roman"/>
                <w:vanish w:val="0"/>
                <w:spacing w:val="0"/>
                <w:kern w:val="0"/>
                <w:sz w:val="24"/>
                <w:szCs w:val="24"/>
              </w:rPr>
              <w:t>IEC</w:t>
            </w:r>
            <w:r>
              <w:rPr>
                <w:rFonts w:ascii="宋体" w:eastAsia="宋体" w:cs="Times New Roman" w:hint="eastAsia"/>
                <w:vanish w:val="0"/>
                <w:spacing w:val="0"/>
                <w:kern w:val="0"/>
                <w:sz w:val="24"/>
                <w:szCs w:val="24"/>
              </w:rPr>
              <w:t>、美国</w:t>
            </w:r>
            <w:r>
              <w:rPr>
                <w:rFonts w:ascii="Calibri" w:eastAsia="宋体" w:hAnsi="Calibri" w:cs="Times New Roman"/>
                <w:vanish w:val="0"/>
                <w:spacing w:val="0"/>
                <w:kern w:val="0"/>
                <w:sz w:val="24"/>
                <w:szCs w:val="24"/>
              </w:rPr>
              <w:t>ASTM</w:t>
            </w:r>
            <w:r>
              <w:rPr>
                <w:rFonts w:ascii="宋体" w:eastAsia="宋体" w:cs="Times New Roman" w:hint="eastAsia"/>
                <w:vanish w:val="0"/>
                <w:spacing w:val="0"/>
                <w:kern w:val="0"/>
                <w:sz w:val="24"/>
                <w:szCs w:val="24"/>
              </w:rPr>
              <w:t>等标准文本及题录信息表。数量800项。</w:t>
            </w:r>
          </w:p>
        </w:tc>
        <w:tc>
          <w:tcPr>
            <w:tcW w:w="17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无</w:t>
            </w:r>
          </w:p>
        </w:tc>
      </w:tr>
    </w:tbl>
    <w:p>
      <w:pPr>
        <w:pStyle w:val="4512"/>
        <w:pBdr>
          <w:top w:val="none" w:sz="0" w:space="0" w:color="auto"/>
          <w:left w:val="none" w:sz="0" w:space="0" w:color="auto"/>
          <w:bottom w:val="none" w:sz="0" w:space="0" w:color="auto"/>
          <w:right w:val="none" w:sz="0" w:space="0" w:color="auto"/>
        </w:pBdr>
        <w:ind w:left="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七、服务要求</w:t>
      </w:r>
    </w:p>
    <w:p>
      <w:pPr>
        <w:pStyle w:val="4413"/>
        <w:rPr>
          <w:rFonts w:ascii="宋体" w:eastAsia="宋体" w:cs="Calibri" w:hint="eastAsia"/>
          <w:spacing w:val="0"/>
          <w:kern w:val="0"/>
          <w:sz w:val="24"/>
          <w:szCs w:val="24"/>
        </w:rPr>
      </w:pPr>
      <w:r>
        <w:rPr>
          <w:rFonts w:ascii="宋体" w:eastAsia="宋体" w:cs="Calibri" w:hint="eastAsia"/>
          <w:spacing w:val="0"/>
          <w:kern w:val="0"/>
          <w:sz w:val="24"/>
          <w:szCs w:val="24"/>
        </w:rPr>
        <w:t>①★代表实质性指标，不满足该指标项将导致投标被拒绝；加 “▲”标记表示为重要指标项，无标识则表示一般指标项，如不满足将影响评分。</w:t>
      </w:r>
    </w:p>
    <w:p>
      <w:pPr>
        <w:pStyle w:val="4413"/>
        <w:rPr>
          <w:rFonts w:ascii="宋体" w:eastAsia="宋体" w:cs="Calibri" w:hint="eastAsia"/>
          <w:spacing w:val="0"/>
          <w:kern w:val="0"/>
          <w:sz w:val="24"/>
          <w:szCs w:val="24"/>
        </w:rPr>
      </w:pPr>
      <w:r>
        <w:rPr>
          <w:rFonts w:ascii="宋体" w:eastAsia="宋体" w:cs="Calibri" w:hint="eastAsia"/>
          <w:spacing w:val="0"/>
          <w:kern w:val="0"/>
          <w:sz w:val="24"/>
          <w:szCs w:val="24"/>
        </w:rPr>
        <w:t>②“证明材料要求”项可填“是”和“否”。填“是”的，投标人须按“服务要求标准”提供相关证明材料。</w:t>
      </w:r>
    </w:p>
    <w:tbl>
      <w:tblPr>
        <w:tblW w:w="9262"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808"/>
        <w:gridCol w:w="1140"/>
        <w:gridCol w:w="1196"/>
        <w:gridCol w:w="4228"/>
        <w:gridCol w:w="1890"/>
      </w:tblGrid>
      <w:tr>
        <w:tblPrEx>
          <w:tblW w:w="9262"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hidden/>
          <w:jc w:val="left"/>
        </w:trPr>
        <w:tc>
          <w:tcPr>
            <w:tcW w:w="808" w:type="dxa"/>
            <w:tcBorders>
              <w:top w:val="single" w:sz="4" w:space="0" w:color="auto"/>
              <w:left w:val="single" w:sz="4" w:space="0" w:color="auto"/>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序号</w:t>
            </w:r>
          </w:p>
        </w:tc>
        <w:tc>
          <w:tcPr>
            <w:tcW w:w="1140"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内容</w:t>
            </w:r>
          </w:p>
        </w:tc>
        <w:tc>
          <w:tcPr>
            <w:tcW w:w="1196"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重要性</w:t>
            </w:r>
          </w:p>
        </w:tc>
        <w:tc>
          <w:tcPr>
            <w:tcW w:w="4228"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bookmarkStart w:id="38" w:name="服务要求_Title_服务要求标准_Required_Table"/>
            <w:r>
              <w:rPr>
                <w:rFonts w:ascii="宋体" w:eastAsia="宋体" w:cs="Calibri" w:hint="eastAsia"/>
                <w:vanish w:val="0"/>
                <w:spacing w:val="0"/>
                <w:kern w:val="0"/>
                <w:sz w:val="24"/>
                <w:szCs w:val="24"/>
              </w:rPr>
              <w:t>服务要求标准</w:t>
            </w:r>
            <w:bookmarkEnd w:id="38"/>
          </w:p>
        </w:tc>
        <w:tc>
          <w:tcPr>
            <w:tcW w:w="1890"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bookmarkStart w:id="39" w:name="服务要求_Title_证明材料要求_Required_Table"/>
            <w:r>
              <w:rPr>
                <w:rFonts w:ascii="宋体" w:eastAsia="宋体" w:cs="Calibri" w:hint="eastAsia"/>
                <w:vanish w:val="0"/>
                <w:spacing w:val="0"/>
                <w:kern w:val="0"/>
                <w:sz w:val="24"/>
                <w:szCs w:val="24"/>
              </w:rPr>
              <w:t>证明材料要求</w:t>
            </w:r>
            <w:bookmarkEnd w:id="39"/>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售后服务承诺函</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w:t>
            </w:r>
          </w:p>
        </w:tc>
        <w:tc>
          <w:tcPr>
            <w:tcW w:w="4228" w:type="dxa"/>
            <w:tcBorders>
              <w:top w:val="single" w:sz="4" w:space="0" w:color="auto"/>
              <w:left w:val="nil"/>
              <w:bottom w:val="single" w:sz="4" w:space="0" w:color="auto"/>
              <w:right w:val="single" w:sz="4" w:space="0" w:color="auto"/>
              <w:tl2br w:val="nil"/>
              <w:tr2bl w:val="nil"/>
            </w:tcBorders>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firstLine="480" w:firstLineChars="20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1.合同期内提供售后及答疑服务，包括</w:t>
            </w:r>
            <w:r>
              <w:rPr>
                <w:rFonts w:ascii="宋体" w:cs="Times New Roman" w:hint="eastAsia"/>
                <w:vanish w:val="0"/>
                <w:color w:val="000000"/>
                <w:spacing w:val="0"/>
                <w:kern w:val="0"/>
                <w:sz w:val="24"/>
                <w:szCs w:val="24"/>
                <w:lang w:eastAsia="zh-CN"/>
              </w:rPr>
              <w:t>配合甲方做好数据入池等相关</w:t>
            </w:r>
            <w:r>
              <w:rPr>
                <w:rFonts w:ascii="宋体" w:eastAsia="宋体" w:cs="Times New Roman" w:hint="eastAsia"/>
                <w:vanish w:val="0"/>
                <w:spacing w:val="0"/>
                <w:kern w:val="0"/>
                <w:sz w:val="24"/>
                <w:szCs w:val="24"/>
              </w:rPr>
              <w:t>工作；</w:t>
            </w:r>
          </w:p>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firstLine="480" w:firstLineChars="200"/>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2.数据技术人员和分析人员需配合海关遇到的实际问题，提供的实时团队现场支持或远程技术支持。</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是，提供《承诺函》并加盖单位公章</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2</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驻场人员要求</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highlight w:val="green"/>
              </w:rPr>
            </w:pPr>
          </w:p>
        </w:tc>
        <w:tc>
          <w:tcPr>
            <w:tcW w:w="4228" w:type="dxa"/>
            <w:tcBorders>
              <w:top w:val="single" w:sz="4" w:space="0" w:color="auto"/>
              <w:left w:val="nil"/>
              <w:bottom w:val="single" w:sz="4" w:space="0" w:color="auto"/>
              <w:right w:val="single" w:sz="4" w:space="0" w:color="auto"/>
              <w:tl2br w:val="nil"/>
              <w:tr2bl w:val="nil"/>
            </w:tcBorders>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firstLine="480" w:firstLineChars="200"/>
              <w:rPr>
                <w:rFonts w:ascii="宋体" w:eastAsia="宋体" w:cs="Calibri" w:hint="eastAsia"/>
                <w:vanish w:val="0"/>
                <w:spacing w:val="0"/>
                <w:kern w:val="0"/>
                <w:sz w:val="24"/>
                <w:szCs w:val="24"/>
              </w:rPr>
            </w:pPr>
            <w:r>
              <w:rPr>
                <w:rFonts w:ascii="宋体" w:eastAsia="宋体" w:cs="Times New Roman" w:hint="eastAsia"/>
                <w:bCs/>
                <w:vanish w:val="0"/>
                <w:spacing w:val="0"/>
                <w:kern w:val="0"/>
                <w:sz w:val="24"/>
                <w:szCs w:val="24"/>
              </w:rPr>
              <w:t>无</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否</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3</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投标人服务标准</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4228" w:type="dxa"/>
            <w:tcBorders>
              <w:top w:val="single" w:sz="4" w:space="0" w:color="auto"/>
              <w:left w:val="nil"/>
              <w:bottom w:val="single" w:sz="4" w:space="0" w:color="auto"/>
              <w:right w:val="single" w:sz="4" w:space="0" w:color="auto"/>
              <w:tl2br w:val="nil"/>
              <w:tr2bl w:val="nil"/>
            </w:tcBorders>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firstLine="480" w:firstLineChars="200"/>
              <w:rPr>
                <w:rFonts w:ascii="宋体" w:eastAsia="宋体" w:cs="Calibri" w:hint="eastAsia"/>
                <w:vanish w:val="0"/>
                <w:spacing w:val="0"/>
                <w:kern w:val="0"/>
                <w:sz w:val="24"/>
                <w:szCs w:val="24"/>
              </w:rPr>
            </w:pPr>
            <w:r>
              <w:rPr>
                <w:rFonts w:ascii="宋体" w:eastAsia="宋体" w:cs="Times New Roman" w:hint="eastAsia"/>
                <w:bCs/>
                <w:vanish w:val="0"/>
                <w:spacing w:val="-5"/>
                <w:kern w:val="0"/>
                <w:sz w:val="24"/>
                <w:szCs w:val="24"/>
              </w:rPr>
              <w:t>供应商应提供全面、有效、及时的技术支持和售后服务，包括紧急情况下的现场支持、热线电话支持、远程服务支持、电子邮件支持等，提供</w:t>
            </w:r>
            <w:r>
              <w:rPr>
                <w:rFonts w:ascii="宋体" w:eastAsia="宋体" w:cs="Times New Roman" w:hint="eastAsia"/>
                <w:vanish w:val="0"/>
                <w:spacing w:val="0"/>
                <w:kern w:val="0"/>
                <w:sz w:val="24"/>
                <w:szCs w:val="24"/>
              </w:rPr>
              <w:t>5×8小时（工作日9：00-17：00）</w:t>
            </w:r>
            <w:r>
              <w:rPr>
                <w:rFonts w:ascii="宋体" w:eastAsia="宋体" w:cs="Times New Roman" w:hint="eastAsia"/>
                <w:bCs/>
                <w:vanish w:val="0"/>
                <w:spacing w:val="-5"/>
                <w:kern w:val="0"/>
                <w:sz w:val="24"/>
                <w:szCs w:val="24"/>
              </w:rPr>
              <w:t>的响应支持。</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是，提供《承诺函》并加盖单位公章</w:t>
            </w:r>
            <w:r>
              <w:rPr>
                <w:rFonts w:ascii="宋体" w:eastAsia="宋体" w:cs="Calibri" w:hint="eastAsia"/>
                <w:vanish w:val="0"/>
                <w:spacing w:val="0"/>
                <w:kern w:val="0"/>
                <w:sz w:val="24"/>
                <w:szCs w:val="24"/>
              </w:rPr>
              <w:t>。</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4</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人员资格标准</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Calibri" w:eastAsia="宋体" w:hAnsi="Calibri" w:cs="Arial"/>
                <w:vanish w:val="0"/>
                <w:spacing w:val="0"/>
                <w:kern w:val="0"/>
                <w:sz w:val="24"/>
                <w:szCs w:val="24"/>
              </w:rPr>
              <w:t>▲</w:t>
            </w:r>
          </w:p>
        </w:tc>
        <w:tc>
          <w:tcPr>
            <w:tcW w:w="4228" w:type="dxa"/>
            <w:tcBorders>
              <w:top w:val="single" w:sz="4" w:space="0" w:color="auto"/>
              <w:left w:val="nil"/>
              <w:bottom w:val="single" w:sz="4" w:space="0" w:color="auto"/>
              <w:right w:val="single" w:sz="4" w:space="0" w:color="auto"/>
              <w:tl2br w:val="nil"/>
              <w:tr2bl w:val="nil"/>
            </w:tcBorders>
            <w:vAlign w:val="center"/>
          </w:tcPr>
          <w:p>
            <w:pPr>
              <w:pStyle w:val="5811"/>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spacing w:line="360" w:lineRule="auto"/>
              <w:ind w:firstLine="0"/>
              <w:jc w:val="both"/>
              <w:rPr>
                <w:rFonts w:ascii="宋体" w:eastAsia="宋体" w:cs="Times New Roman" w:hint="eastAsia"/>
                <w:vanish w:val="0"/>
                <w:spacing w:val="0"/>
                <w:kern w:val="0"/>
                <w:sz w:val="24"/>
                <w:szCs w:val="24"/>
              </w:rPr>
            </w:pPr>
            <w:r>
              <w:rPr>
                <w:rFonts w:ascii="宋体" w:eastAsia="宋体" w:cs="Times New Roman" w:hint="eastAsia"/>
                <w:bCs/>
                <w:vanish w:val="0"/>
                <w:spacing w:val="0"/>
                <w:kern w:val="0"/>
                <w:sz w:val="24"/>
                <w:szCs w:val="24"/>
              </w:rPr>
              <w:t>项目团队对相关领域业务熟悉，</w:t>
            </w:r>
            <w:r>
              <w:rPr>
                <w:rFonts w:ascii="宋体" w:eastAsia="宋体" w:cs="Times New Roman" w:hint="eastAsia"/>
                <w:vanish w:val="0"/>
                <w:spacing w:val="0"/>
                <w:kern w:val="0"/>
                <w:sz w:val="24"/>
                <w:szCs w:val="24"/>
              </w:rPr>
              <w:t>项目团队人员要求如下：</w:t>
            </w:r>
          </w:p>
          <w:p>
            <w:pPr>
              <w:pStyle w:val="5911"/>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left="0" w:firstLine="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1）参与人员应为投标人签订劳动合同的员工。</w:t>
            </w:r>
          </w:p>
          <w:p>
            <w:pPr>
              <w:pStyle w:val="5811"/>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spacing w:line="360" w:lineRule="auto"/>
              <w:ind w:left="120" w:hanging="120" w:hangingChars="50"/>
              <w:jc w:val="both"/>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2）项目实施期间需提供必要的人力资源，投标人应提供实施人员名单、项目履历、</w:t>
            </w:r>
            <w:r>
              <w:rPr>
                <w:rFonts w:ascii="宋体" w:eastAsia="宋体" w:cs="Times New Roman" w:hint="eastAsia"/>
                <w:bCs/>
                <w:vanish w:val="0"/>
                <w:spacing w:val="-5"/>
                <w:kern w:val="0"/>
                <w:sz w:val="24"/>
                <w:szCs w:val="24"/>
              </w:rPr>
              <w:t>工作经验</w:t>
            </w:r>
            <w:r>
              <w:rPr>
                <w:rFonts w:ascii="宋体" w:eastAsia="宋体" w:cs="Times New Roman"/>
                <w:bCs/>
                <w:vanish w:val="0"/>
                <w:spacing w:val="-5"/>
                <w:kern w:val="0"/>
                <w:sz w:val="24"/>
                <w:szCs w:val="24"/>
              </w:rPr>
              <w:t>、</w:t>
            </w:r>
            <w:r>
              <w:rPr>
                <w:rFonts w:ascii="宋体" w:eastAsia="宋体" w:cs="Times New Roman" w:hint="eastAsia"/>
                <w:vanish w:val="0"/>
                <w:spacing w:val="0"/>
                <w:kern w:val="0"/>
                <w:sz w:val="24"/>
                <w:szCs w:val="24"/>
              </w:rPr>
              <w:t>在本项目中的职责分工。</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5811"/>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spacing w:line="360" w:lineRule="auto"/>
              <w:ind w:firstLine="0"/>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是，</w:t>
            </w:r>
            <w:r>
              <w:rPr>
                <w:rFonts w:ascii="宋体" w:eastAsia="宋体" w:cs="Times New Roman" w:hint="eastAsia"/>
                <w:bCs/>
                <w:vanish w:val="0"/>
                <w:spacing w:val="-5"/>
                <w:kern w:val="0"/>
                <w:sz w:val="24"/>
                <w:szCs w:val="24"/>
              </w:rPr>
              <w:t>提供详细团队人员名单、</w:t>
            </w:r>
            <w:r>
              <w:rPr>
                <w:rFonts w:ascii="宋体" w:eastAsia="宋体" w:cs="Times New Roman" w:hint="eastAsia"/>
                <w:vanish w:val="0"/>
                <w:spacing w:val="0"/>
                <w:kern w:val="0"/>
                <w:sz w:val="24"/>
                <w:szCs w:val="24"/>
              </w:rPr>
              <w:t>项目履历</w:t>
            </w:r>
            <w:r>
              <w:rPr>
                <w:rFonts w:ascii="宋体" w:eastAsia="宋体" w:cs="Times New Roman" w:hint="eastAsia"/>
                <w:bCs/>
                <w:vanish w:val="0"/>
                <w:spacing w:val="-5"/>
                <w:kern w:val="0"/>
                <w:sz w:val="24"/>
                <w:szCs w:val="24"/>
              </w:rPr>
              <w:t>、工作经验</w:t>
            </w:r>
            <w:r>
              <w:rPr>
                <w:rFonts w:ascii="宋体" w:eastAsia="宋体" w:cs="Times New Roman"/>
                <w:bCs/>
                <w:vanish w:val="0"/>
                <w:spacing w:val="-5"/>
                <w:kern w:val="0"/>
                <w:sz w:val="24"/>
                <w:szCs w:val="24"/>
              </w:rPr>
              <w:t>、</w:t>
            </w:r>
            <w:r>
              <w:rPr>
                <w:rFonts w:ascii="宋体" w:eastAsia="宋体" w:cs="Times New Roman" w:hint="eastAsia"/>
                <w:vanish w:val="0"/>
                <w:spacing w:val="0"/>
                <w:kern w:val="0"/>
                <w:sz w:val="24"/>
                <w:szCs w:val="24"/>
              </w:rPr>
              <w:t>在本项目中的职责分工</w:t>
            </w:r>
            <w:r>
              <w:rPr>
                <w:rFonts w:ascii="宋体" w:eastAsia="宋体" w:cs="Times New Roman" w:hint="eastAsia"/>
                <w:bCs/>
                <w:vanish w:val="0"/>
                <w:spacing w:val="-5"/>
                <w:kern w:val="0"/>
                <w:sz w:val="24"/>
                <w:szCs w:val="24"/>
              </w:rPr>
              <w:t>，以及团队人员的劳动合同或距磋商之日三个月内任意一个月的社保证明等材料。</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5</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培训标准</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4228"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无</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6</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集成标准</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4228"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本项目应按照海关项目管理要求、技术要求、集成要求和方案编制要求开展实施集成工作，并接受和配合集成联调测试工作。</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bookmarkStart w:id="40" w:name="实施方案"/>
            <w:r>
              <w:rPr>
                <w:rFonts w:ascii="宋体" w:eastAsia="宋体" w:cs="Calibri" w:hint="eastAsia"/>
                <w:vanish w:val="0"/>
                <w:spacing w:val="0"/>
                <w:kern w:val="0"/>
                <w:sz w:val="24"/>
                <w:szCs w:val="24"/>
              </w:rPr>
              <w:t>7</w:t>
            </w:r>
            <w:bookmarkEnd w:id="40"/>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color w:val="000000"/>
                <w:spacing w:val="0"/>
                <w:kern w:val="0"/>
                <w:sz w:val="24"/>
                <w:szCs w:val="24"/>
              </w:rPr>
            </w:pPr>
            <w:r>
              <w:rPr>
                <w:rFonts w:ascii="宋体" w:eastAsia="宋体" w:cs="Times New Roman" w:hint="eastAsia"/>
                <w:vanish w:val="0"/>
                <w:color w:val="000000"/>
                <w:spacing w:val="-4"/>
                <w:kern w:val="0"/>
                <w:sz w:val="24"/>
                <w:szCs w:val="24"/>
              </w:rPr>
              <w:t>业务</w:t>
            </w:r>
            <w:r>
              <w:rPr>
                <w:rFonts w:ascii="宋体" w:cs="Times New Roman" w:hint="eastAsia"/>
                <w:vanish w:val="0"/>
                <w:color w:val="000000"/>
                <w:spacing w:val="-4"/>
                <w:kern w:val="0"/>
                <w:sz w:val="24"/>
                <w:szCs w:val="24"/>
                <w:lang w:eastAsia="zh-CN"/>
              </w:rPr>
              <w:t>服务</w:t>
            </w:r>
            <w:r>
              <w:rPr>
                <w:rFonts w:ascii="宋体" w:eastAsia="宋体" w:cs="Times New Roman" w:hint="eastAsia"/>
                <w:vanish w:val="0"/>
                <w:color w:val="000000"/>
                <w:spacing w:val="-4"/>
                <w:kern w:val="0"/>
                <w:sz w:val="24"/>
                <w:szCs w:val="24"/>
              </w:rPr>
              <w:t>需求</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color w:val="000000"/>
                <w:spacing w:val="0"/>
                <w:kern w:val="0"/>
                <w:sz w:val="24"/>
                <w:szCs w:val="24"/>
              </w:rPr>
            </w:pPr>
            <w:r>
              <w:rPr>
                <w:rFonts w:ascii="宋体" w:eastAsia="宋体" w:cs="Calibri" w:hint="eastAsia"/>
                <w:vanish w:val="0"/>
                <w:color w:val="000000"/>
                <w:spacing w:val="0"/>
                <w:kern w:val="0"/>
                <w:sz w:val="24"/>
                <w:szCs w:val="24"/>
              </w:rPr>
              <w:t>▲</w:t>
            </w:r>
          </w:p>
        </w:tc>
        <w:tc>
          <w:tcPr>
            <w:tcW w:w="4228" w:type="dxa"/>
            <w:tcBorders>
              <w:top w:val="single" w:sz="4" w:space="0" w:color="auto"/>
              <w:left w:val="nil"/>
              <w:bottom w:val="single" w:sz="4" w:space="0" w:color="auto"/>
              <w:right w:val="single" w:sz="4" w:space="0" w:color="auto"/>
              <w:tl2br w:val="nil"/>
              <w:tr2bl w:val="nil"/>
            </w:tcBorders>
          </w:tcPr>
          <w:p>
            <w:pPr>
              <w:pStyle w:val="4413"/>
              <w:keepNext w:val="0"/>
              <w:keepLines w:val="0"/>
              <w:pageBreakBefore w:val="0"/>
              <w:widowControl w:val="0"/>
              <w:suppressLineNumbers w:val="0"/>
              <w:suppressAutoHyphens w:val="0"/>
              <w:spacing w:line="440" w:lineRule="exact"/>
              <w:ind w:left="0" w:firstLine="464"/>
              <w:rPr>
                <w:rFonts w:ascii="宋体" w:eastAsia="宋体" w:cs="Calibri" w:hint="eastAsia"/>
                <w:vanish w:val="0"/>
                <w:color w:val="000000"/>
                <w:spacing w:val="0"/>
                <w:kern w:val="0"/>
                <w:sz w:val="24"/>
                <w:szCs w:val="24"/>
              </w:rPr>
            </w:pPr>
            <w:r>
              <w:rPr>
                <w:rFonts w:ascii="宋体" w:eastAsia="宋体" w:cs="Times New Roman" w:hint="eastAsia"/>
                <w:vanish w:val="0"/>
                <w:color w:val="000000"/>
                <w:spacing w:val="-4"/>
                <w:kern w:val="0"/>
                <w:sz w:val="24"/>
                <w:szCs w:val="24"/>
              </w:rPr>
              <w:t>供应商需在合同期内持续稳定供应数据及服务。</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both"/>
              <w:rPr>
                <w:rFonts w:ascii="宋体" w:eastAsia="宋体" w:cs="Calibri" w:hint="eastAsia"/>
                <w:vanish w:val="0"/>
                <w:color w:val="000000"/>
                <w:spacing w:val="0"/>
                <w:kern w:val="0"/>
                <w:sz w:val="24"/>
                <w:szCs w:val="24"/>
                <w:lang w:val="en-US" w:eastAsia="zh-CN"/>
              </w:rPr>
            </w:pPr>
            <w:r>
              <w:rPr>
                <w:rFonts w:ascii="宋体" w:eastAsia="宋体" w:cs="Calibri" w:hint="eastAsia"/>
                <w:vanish w:val="0"/>
                <w:color w:val="000000"/>
                <w:spacing w:val="0"/>
                <w:kern w:val="0"/>
                <w:sz w:val="24"/>
                <w:szCs w:val="24"/>
              </w:rPr>
              <w:t>是，提供</w:t>
            </w:r>
            <w:r>
              <w:rPr>
                <w:rFonts w:ascii="宋体" w:cs="Calibri" w:hint="eastAsia"/>
                <w:vanish w:val="0"/>
                <w:color w:val="000000"/>
                <w:spacing w:val="0"/>
                <w:kern w:val="0"/>
                <w:sz w:val="24"/>
                <w:szCs w:val="24"/>
                <w:lang w:eastAsia="zh-CN"/>
              </w:rPr>
              <w:t>《</w:t>
            </w:r>
            <w:r>
              <w:rPr>
                <w:rFonts w:ascii="宋体" w:eastAsia="宋体" w:cs="Calibri" w:hint="eastAsia"/>
                <w:vanish w:val="0"/>
                <w:color w:val="000000"/>
                <w:spacing w:val="0"/>
                <w:kern w:val="0"/>
                <w:sz w:val="24"/>
                <w:szCs w:val="24"/>
              </w:rPr>
              <w:t>业务</w:t>
            </w:r>
            <w:r>
              <w:rPr>
                <w:rFonts w:ascii="宋体" w:cs="Calibri" w:hint="eastAsia"/>
                <w:vanish w:val="0"/>
                <w:color w:val="000000"/>
                <w:spacing w:val="0"/>
                <w:kern w:val="0"/>
                <w:sz w:val="24"/>
                <w:szCs w:val="24"/>
                <w:lang w:eastAsia="zh-CN"/>
              </w:rPr>
              <w:t>服务</w:t>
            </w:r>
            <w:r>
              <w:rPr>
                <w:rFonts w:ascii="宋体" w:cs="Calibri" w:hint="eastAsia"/>
                <w:vanish w:val="0"/>
                <w:color w:val="000000"/>
                <w:spacing w:val="0"/>
                <w:kern w:val="0"/>
                <w:sz w:val="24"/>
                <w:szCs w:val="24"/>
                <w:lang w:val="en-US" w:eastAsia="zh-CN"/>
              </w:rPr>
              <w:t>承诺书》</w:t>
            </w:r>
            <w:r>
              <w:rPr>
                <w:rFonts w:ascii="宋体" w:eastAsia="宋体" w:cs="Times New Roman" w:hint="eastAsia"/>
                <w:vanish w:val="0"/>
                <w:color w:val="000000"/>
                <w:spacing w:val="0"/>
                <w:kern w:val="0"/>
                <w:sz w:val="24"/>
                <w:szCs w:val="24"/>
              </w:rPr>
              <w:t>并加盖单位公章</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8</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风险及质量管理要求</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w:t>
            </w:r>
          </w:p>
        </w:tc>
        <w:tc>
          <w:tcPr>
            <w:tcW w:w="4228"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1.投标人应提供完整的风险管理方案，分析本应用建设过程中的风险，并提出规避及应对措施</w:t>
            </w:r>
            <w:r>
              <w:rPr>
                <w:rFonts w:ascii="宋体" w:eastAsia="宋体" w:cs="Times New Roman"/>
                <w:vanish w:val="0"/>
                <w:spacing w:val="0"/>
                <w:kern w:val="0"/>
                <w:sz w:val="24"/>
                <w:szCs w:val="24"/>
              </w:rPr>
              <w:t>。</w:t>
            </w:r>
          </w:p>
          <w:p>
            <w:pPr>
              <w:pStyle w:val="4413"/>
              <w:pBdr>
                <w:top w:val="none" w:sz="0" w:space="0" w:color="auto"/>
                <w:left w:val="none" w:sz="0" w:space="0" w:color="auto"/>
                <w:bottom w:val="none" w:sz="0" w:space="0" w:color="auto"/>
                <w:right w:val="none" w:sz="0" w:space="0" w:color="auto"/>
              </w:pBdr>
              <w:ind w:firstLine="0"/>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2.投标人应提供质量管理方案，旨在确保项目及其交付结果符合相关质量标准要求，方案需包括制定质量管理总体框架，制定项目质量保证原则等。</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是，提供风险及质量管理响应方案</w:t>
            </w:r>
          </w:p>
        </w:tc>
      </w:tr>
      <w:tr>
        <w:tblPrEx>
          <w:tblW w:w="9262" w:type="dxa"/>
          <w:jc w:val="left"/>
          <w:tblInd w:w="0" w:type="dxa"/>
          <w:tblLayout w:type="fixed"/>
          <w:tblCellMar>
            <w:top w:w="0" w:type="dxa"/>
            <w:left w:w="108" w:type="dxa"/>
            <w:bottom w:w="0" w:type="dxa"/>
            <w:right w:w="108" w:type="dxa"/>
          </w:tblCellMar>
        </w:tblPrEx>
        <w:trPr>
          <w:hidden/>
          <w:trHeight w:val="361"/>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9</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Times New Roman" w:hint="eastAsia"/>
                <w:vanish w:val="0"/>
                <w:spacing w:val="-4"/>
                <w:kern w:val="0"/>
                <w:sz w:val="24"/>
                <w:szCs w:val="24"/>
              </w:rPr>
              <w:t>试点推广要求</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4228"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Times New Roman" w:hint="eastAsia"/>
                <w:vanish w:val="0"/>
                <w:spacing w:val="-4"/>
                <w:kern w:val="0"/>
                <w:sz w:val="24"/>
                <w:szCs w:val="24"/>
              </w:rPr>
              <w:t>无</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10</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扩展需求指标</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4228"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无</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11</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评测要求</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Arial" w:hint="eastAsia"/>
                <w:vanish w:val="0"/>
                <w:spacing w:val="0"/>
                <w:kern w:val="0"/>
                <w:sz w:val="24"/>
                <w:szCs w:val="24"/>
              </w:rPr>
            </w:pPr>
          </w:p>
        </w:tc>
        <w:tc>
          <w:tcPr>
            <w:tcW w:w="4228"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无</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rPr>
                <w:rFonts w:ascii="宋体" w:eastAsia="宋体" w:cs="Calibri" w:hint="eastAsia"/>
                <w:spacing w:val="0"/>
                <w:kern w:val="0"/>
                <w:sz w:val="24"/>
                <w:szCs w:val="24"/>
              </w:rPr>
            </w:pPr>
            <w:r>
              <w:rPr>
                <w:rFonts w:ascii="宋体" w:eastAsia="宋体" w:cs="Calibri" w:hint="eastAsia"/>
                <w:spacing w:val="0"/>
                <w:kern w:val="0"/>
                <w:sz w:val="24"/>
                <w:szCs w:val="24"/>
              </w:rPr>
              <w:t>否</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12</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安全生产要求</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w:t>
            </w:r>
          </w:p>
        </w:tc>
        <w:tc>
          <w:tcPr>
            <w:tcW w:w="4228"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投标人人员在项目执行过程中严格遵守法律法规、相关政策，不得发生违反采购人安全生产、数据安全、疫情管控、知识产权、工作制度等各项规章制度的情况。</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center"/>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是，提供《安全生产承诺函》并加盖单位公章</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13</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安全保密要求</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w:t>
            </w:r>
          </w:p>
        </w:tc>
        <w:tc>
          <w:tcPr>
            <w:tcW w:w="4228" w:type="dxa"/>
            <w:tcBorders>
              <w:top w:val="single" w:sz="4" w:space="0" w:color="auto"/>
              <w:left w:val="nil"/>
              <w:bottom w:val="single" w:sz="4" w:space="0" w:color="auto"/>
              <w:right w:val="single" w:sz="4" w:space="0" w:color="auto"/>
              <w:tl2br w:val="nil"/>
              <w:tr2bl w:val="nil"/>
            </w:tcBorders>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firstLine="480" w:firstLineChars="20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投标人应对在采购人工作过程中所获知的全部技术资料和技术秘密采取保密措施。除非法律法规要求或取得采购人事先书面同意，投标人不得对外透漏。</w:t>
            </w:r>
          </w:p>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在本项目服务期结束后，投标人保证归还采购人员提供的所有技术资料和文件，并承诺不保留任何副本。投标人应保证己方人员保守其获悉的采购人秘密，并采取必要措施确保己方人员遵守上述有关知识产权、保密等方面的约定。</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center"/>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是，提供《安全保密承诺函》并加盖单位公章</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14</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知识产权归属</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w:t>
            </w:r>
          </w:p>
        </w:tc>
        <w:tc>
          <w:tcPr>
            <w:tcW w:w="4228" w:type="dxa"/>
            <w:tcBorders>
              <w:top w:val="single" w:sz="4" w:space="0" w:color="auto"/>
              <w:left w:val="nil"/>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left="0" w:firstLine="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1.本项目在海关系统内所产生的所有成果的知识产权归甲方所有；此处不包括供应商所提供的数据、服务本身及相关资料的知识产权。</w:t>
            </w:r>
          </w:p>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left="0" w:firstLine="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2.海关有权对本项目涉及的所有成果在海关系统内进行推广应用，无需另付费用。</w:t>
            </w:r>
          </w:p>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left="0" w:firstLine="0"/>
              <w:rPr>
                <w:rFonts w:ascii="宋体" w:eastAsia="宋体" w:cs="Times New Roman" w:hint="eastAsia"/>
                <w:vanish w:val="0"/>
                <w:spacing w:val="0"/>
                <w:kern w:val="0"/>
                <w:sz w:val="24"/>
                <w:szCs w:val="24"/>
              </w:rPr>
            </w:pPr>
            <w:r>
              <w:rPr>
                <w:rFonts w:ascii="宋体" w:eastAsia="宋体" w:cs="Times New Roman" w:hint="eastAsia"/>
                <w:vanish w:val="0"/>
                <w:spacing w:val="0"/>
                <w:kern w:val="0"/>
                <w:sz w:val="24"/>
                <w:szCs w:val="24"/>
              </w:rPr>
              <w:t>3.未经采购人和委托方允许，不能将本项目有关内容向第三方泄露。</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center"/>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是，提供《知识产权归属承诺函》并加盖单位公章</w:t>
            </w:r>
          </w:p>
        </w:tc>
      </w:tr>
      <w:tr>
        <w:tblPrEx>
          <w:tblW w:w="9262"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15</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Times New Roman" w:eastAsia="宋体" w:hAnsi="Times New Roman" w:cs="Times New Roman" w:hint="eastAsia"/>
                <w:vanish w:val="0"/>
                <w:spacing w:val="0"/>
                <w:kern w:val="0"/>
                <w:sz w:val="24"/>
                <w:szCs w:val="24"/>
              </w:rPr>
            </w:pPr>
            <w:r>
              <w:rPr>
                <w:rFonts w:ascii="宋体" w:eastAsia="宋体" w:cs="Times New Roman" w:hint="eastAsia"/>
                <w:vanish w:val="0"/>
                <w:spacing w:val="0"/>
                <w:kern w:val="0"/>
                <w:sz w:val="24"/>
                <w:szCs w:val="24"/>
              </w:rPr>
              <w:t>其他要求</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p>
        </w:tc>
        <w:tc>
          <w:tcPr>
            <w:tcW w:w="4228" w:type="dxa"/>
            <w:tcBorders>
              <w:top w:val="single" w:sz="4" w:space="0" w:color="auto"/>
              <w:left w:val="nil"/>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firstLine="480" w:firstLineChars="200"/>
              <w:rPr>
                <w:rFonts w:ascii="宋体" w:eastAsia="宋体" w:cs="Times New Roman" w:hint="eastAsia"/>
                <w:vanish w:val="0"/>
                <w:spacing w:val="-4"/>
                <w:kern w:val="0"/>
                <w:sz w:val="24"/>
                <w:szCs w:val="24"/>
              </w:rPr>
            </w:pPr>
            <w:r>
              <w:rPr>
                <w:rFonts w:ascii="宋体" w:eastAsia="宋体" w:cs="Times New Roman" w:hint="eastAsia"/>
                <w:vanish w:val="0"/>
                <w:spacing w:val="0"/>
                <w:kern w:val="0"/>
                <w:sz w:val="24"/>
                <w:szCs w:val="24"/>
              </w:rPr>
              <w:t>无</w:t>
            </w:r>
          </w:p>
        </w:tc>
        <w:tc>
          <w:tcPr>
            <w:tcW w:w="1890" w:type="dxa"/>
            <w:tcBorders>
              <w:top w:val="single" w:sz="4" w:space="0" w:color="auto"/>
              <w:left w:val="nil"/>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spacing w:line="360" w:lineRule="auto"/>
              <w:ind w:left="0" w:firstLine="0"/>
              <w:rPr>
                <w:rFonts w:ascii="Times New Roman" w:eastAsia="宋体" w:hAnsi="Times New Roman"/>
                <w:vanish w:val="0"/>
                <w:spacing w:val="0"/>
                <w:kern w:val="0"/>
                <w:sz w:val="24"/>
                <w:szCs w:val="24"/>
              </w:rPr>
            </w:pPr>
            <w:r>
              <w:rPr>
                <w:rFonts w:ascii="宋体" w:eastAsia="宋体" w:cs="Times New Roman" w:hint="eastAsia"/>
                <w:vanish w:val="0"/>
                <w:spacing w:val="0"/>
                <w:kern w:val="0"/>
                <w:sz w:val="24"/>
                <w:szCs w:val="24"/>
              </w:rPr>
              <w:t>否</w:t>
            </w:r>
          </w:p>
        </w:tc>
      </w:tr>
    </w:tbl>
    <w:p>
      <w:pPr>
        <w:pStyle w:val="4512"/>
        <w:pBdr>
          <w:top w:val="none" w:sz="0" w:space="0" w:color="auto"/>
          <w:left w:val="none" w:sz="0" w:space="0" w:color="auto"/>
          <w:bottom w:val="none" w:sz="0" w:space="0" w:color="auto"/>
          <w:right w:val="none" w:sz="0" w:space="0" w:color="auto"/>
        </w:pBdr>
        <w:ind w:left="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八、实施要求</w:t>
      </w:r>
    </w:p>
    <w:p>
      <w:pPr>
        <w:pStyle w:val="4413"/>
        <w:rPr>
          <w:rFonts w:ascii="宋体" w:eastAsia="宋体" w:cs="Calibri" w:hint="eastAsia"/>
          <w:spacing w:val="0"/>
          <w:kern w:val="0"/>
          <w:sz w:val="24"/>
          <w:szCs w:val="24"/>
        </w:rPr>
      </w:pPr>
      <w:r>
        <w:rPr>
          <w:rFonts w:ascii="宋体" w:eastAsia="宋体" w:cs="Calibri" w:hint="eastAsia"/>
          <w:spacing w:val="0"/>
          <w:kern w:val="0"/>
          <w:sz w:val="24"/>
          <w:szCs w:val="24"/>
        </w:rPr>
        <w:t>①★代表实质性指标，不满足该指标项将导致投标被拒绝；加 “▲”标记表示为重要指标项，无标识则表示一般指标项，如不满足将影响评分。</w:t>
      </w:r>
    </w:p>
    <w:p>
      <w:pPr>
        <w:pStyle w:val="4413"/>
        <w:rPr>
          <w:rFonts w:ascii="宋体" w:eastAsia="宋体" w:cs="Calibri" w:hint="eastAsia"/>
          <w:spacing w:val="0"/>
          <w:kern w:val="0"/>
          <w:sz w:val="24"/>
          <w:szCs w:val="24"/>
        </w:rPr>
      </w:pPr>
      <w:r>
        <w:rPr>
          <w:rFonts w:ascii="宋体" w:eastAsia="宋体" w:cs="Calibri" w:hint="eastAsia"/>
          <w:spacing w:val="0"/>
          <w:kern w:val="0"/>
          <w:sz w:val="24"/>
          <w:szCs w:val="24"/>
        </w:rPr>
        <w:t>②“证明材料要求”项可填“是”和“否”。填“是”的，投标人须按“实施标准”提供相关证明材料。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hidden/>
          <w:jc w:val="left"/>
        </w:trPr>
        <w:tc>
          <w:tcPr>
            <w:tcW w:w="808" w:type="dxa"/>
            <w:tcBorders>
              <w:top w:val="single" w:sz="4" w:space="0" w:color="auto"/>
              <w:left w:val="single" w:sz="4" w:space="0" w:color="auto"/>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序号</w:t>
            </w:r>
          </w:p>
        </w:tc>
        <w:tc>
          <w:tcPr>
            <w:tcW w:w="1140"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内容</w:t>
            </w:r>
          </w:p>
        </w:tc>
        <w:tc>
          <w:tcPr>
            <w:tcW w:w="1196"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重要性</w:t>
            </w:r>
          </w:p>
        </w:tc>
        <w:tc>
          <w:tcPr>
            <w:tcW w:w="3690"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bookmarkStart w:id="41" w:name="实施方案_Title_实施标准_Required_Table"/>
            <w:r>
              <w:rPr>
                <w:rFonts w:ascii="宋体" w:eastAsia="宋体" w:cs="Calibri" w:hint="eastAsia"/>
                <w:vanish w:val="0"/>
                <w:spacing w:val="0"/>
                <w:kern w:val="0"/>
                <w:sz w:val="24"/>
                <w:szCs w:val="24"/>
              </w:rPr>
              <w:t>实施</w:t>
            </w:r>
            <w:bookmarkEnd w:id="41"/>
            <w:r>
              <w:rPr>
                <w:rFonts w:ascii="宋体" w:eastAsia="宋体" w:cs="Calibri" w:hint="eastAsia"/>
                <w:vanish w:val="0"/>
                <w:spacing w:val="0"/>
                <w:kern w:val="0"/>
                <w:sz w:val="24"/>
                <w:szCs w:val="24"/>
              </w:rPr>
              <w:t>标准</w:t>
            </w:r>
          </w:p>
        </w:tc>
        <w:tc>
          <w:tcPr>
            <w:tcW w:w="1685"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bookmarkStart w:id="42" w:name="实施方案_Title_证明材料要求_Required_Table"/>
            <w:r>
              <w:rPr>
                <w:rFonts w:ascii="宋体" w:eastAsia="宋体" w:cs="Calibri" w:hint="eastAsia"/>
                <w:vanish w:val="0"/>
                <w:spacing w:val="0"/>
                <w:kern w:val="0"/>
                <w:sz w:val="24"/>
                <w:szCs w:val="24"/>
              </w:rPr>
              <w:t>证明材料要求</w:t>
            </w:r>
            <w:bookmarkEnd w:id="42"/>
          </w:p>
        </w:tc>
      </w:tr>
      <w:tr>
        <w:tblPrEx>
          <w:tblW w:w="8519"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项目实施过程控制</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3690" w:type="dxa"/>
            <w:tcBorders>
              <w:top w:val="single" w:sz="4" w:space="0" w:color="auto"/>
              <w:left w:val="nil"/>
              <w:bottom w:val="single" w:sz="4" w:space="0" w:color="auto"/>
              <w:right w:val="single" w:sz="4" w:space="0" w:color="auto"/>
              <w:tl2br w:val="nil"/>
              <w:tr2bl w:val="nil"/>
            </w:tcBorders>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ind w:left="0" w:firstLine="480" w:firstLineChars="20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投标人应在项目实施过程中，需服从采购人的组织、协调；按海关相应的技术、管理等规范要求开展工作。</w:t>
            </w:r>
          </w:p>
        </w:tc>
        <w:tc>
          <w:tcPr>
            <w:tcW w:w="16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8519"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2</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项目实施过程文档管理</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3690" w:type="dxa"/>
            <w:tcBorders>
              <w:top w:val="single" w:sz="4" w:space="0" w:color="auto"/>
              <w:left w:val="nil"/>
              <w:bottom w:val="single" w:sz="4" w:space="0" w:color="auto"/>
              <w:right w:val="single" w:sz="4" w:space="0" w:color="auto"/>
              <w:tl2br w:val="nil"/>
              <w:tr2bl w:val="nil"/>
            </w:tcBorders>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ind w:left="0" w:firstLine="480" w:firstLineChars="200"/>
              <w:jc w:val="both"/>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无</w:t>
            </w:r>
          </w:p>
        </w:tc>
        <w:tc>
          <w:tcPr>
            <w:tcW w:w="16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8519"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3</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项目实施组织架构</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3690" w:type="dxa"/>
            <w:tcBorders>
              <w:top w:val="single" w:sz="4" w:space="0" w:color="auto"/>
              <w:left w:val="nil"/>
              <w:bottom w:val="single" w:sz="4" w:space="0" w:color="auto"/>
              <w:right w:val="single" w:sz="4" w:space="0" w:color="auto"/>
              <w:tl2br w:val="nil"/>
              <w:tr2bl w:val="nil"/>
            </w:tcBorders>
          </w:tcPr>
          <w:p>
            <w:pPr>
              <w:pStyle w:val="4413"/>
              <w:rPr>
                <w:rFonts w:ascii="宋体" w:eastAsia="宋体" w:cs="Calibri" w:hint="eastAsia"/>
                <w:spacing w:val="0"/>
                <w:kern w:val="0"/>
                <w:sz w:val="24"/>
                <w:szCs w:val="24"/>
              </w:rPr>
            </w:pPr>
            <w:r>
              <w:rPr>
                <w:rFonts w:ascii="宋体" w:eastAsia="宋体" w:cs="Times New Roman" w:hint="eastAsia"/>
                <w:spacing w:val="0"/>
                <w:kern w:val="0"/>
                <w:sz w:val="24"/>
                <w:szCs w:val="24"/>
              </w:rPr>
              <w:t>投标人应负责提出本项目实施的人员配置方案，人员配置要求：项目组成员及角色设置合理</w:t>
            </w:r>
            <w:r>
              <w:rPr>
                <w:rFonts w:ascii="宋体" w:eastAsia="宋体" w:cs="Times New Roman" w:hint="eastAsia"/>
                <w:b/>
                <w:bCs/>
                <w:spacing w:val="0"/>
                <w:kern w:val="0"/>
                <w:sz w:val="24"/>
                <w:szCs w:val="24"/>
              </w:rPr>
              <w:t>。</w:t>
            </w:r>
          </w:p>
        </w:tc>
        <w:tc>
          <w:tcPr>
            <w:tcW w:w="16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left"/>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8519"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4</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项目实施进度安排</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w:t>
            </w:r>
          </w:p>
        </w:tc>
        <w:tc>
          <w:tcPr>
            <w:tcW w:w="3690"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480" w:firstLineChars="200"/>
              <w:jc w:val="left"/>
              <w:rPr>
                <w:rFonts w:ascii="Calibri" w:eastAsia="宋体" w:hAnsi="Calibri" w:cs="Times New Roman"/>
                <w:vanish w:val="0"/>
                <w:spacing w:val="0"/>
                <w:kern w:val="0"/>
                <w:sz w:val="24"/>
                <w:szCs w:val="24"/>
              </w:rPr>
            </w:pPr>
            <w:r>
              <w:rPr>
                <w:rFonts w:ascii="宋体" w:eastAsia="宋体" w:cs="Times New Roman" w:hint="eastAsia"/>
                <w:bCs/>
                <w:vanish w:val="0"/>
                <w:spacing w:val="0"/>
                <w:kern w:val="0"/>
                <w:sz w:val="24"/>
                <w:szCs w:val="24"/>
              </w:rPr>
              <w:t>本项目实施周期为12个月</w:t>
            </w:r>
            <w:r>
              <w:rPr>
                <w:rFonts w:ascii="宋体" w:eastAsia="宋体" w:cs="Times New Roman" w:hint="eastAsia"/>
                <w:vanish w:val="0"/>
                <w:spacing w:val="0"/>
                <w:kern w:val="0"/>
                <w:sz w:val="24"/>
                <w:szCs w:val="24"/>
              </w:rPr>
              <w:t>：</w:t>
            </w:r>
          </w:p>
          <w:p>
            <w:pPr>
              <w:pStyle w:val="4413"/>
              <w:pBdr>
                <w:top w:val="none" w:sz="0" w:space="0" w:color="auto"/>
                <w:left w:val="none" w:sz="0" w:space="0" w:color="auto"/>
                <w:bottom w:val="none" w:sz="0" w:space="0" w:color="auto"/>
                <w:right w:val="none" w:sz="0" w:space="0" w:color="auto"/>
              </w:pBdr>
              <w:ind w:left="0" w:firstLine="480" w:firstLineChars="200"/>
              <w:jc w:val="left"/>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国家标准数据，合同签订后每</w:t>
            </w:r>
            <w:r>
              <w:rPr>
                <w:rFonts w:ascii="Calibri" w:eastAsia="宋体" w:hAnsi="Calibri" w:cs="Times New Roman"/>
                <w:vanish w:val="0"/>
                <w:spacing w:val="0"/>
                <w:kern w:val="0"/>
                <w:sz w:val="24"/>
                <w:szCs w:val="24"/>
              </w:rPr>
              <w:t>3</w:t>
            </w:r>
            <w:r>
              <w:rPr>
                <w:rFonts w:ascii="宋体" w:eastAsia="宋体" w:cs="Times New Roman" w:hint="eastAsia"/>
                <w:vanish w:val="0"/>
                <w:spacing w:val="0"/>
                <w:kern w:val="0"/>
                <w:sz w:val="24"/>
                <w:szCs w:val="24"/>
              </w:rPr>
              <w:t>个月更新一次。</w:t>
            </w:r>
          </w:p>
          <w:p>
            <w:pPr>
              <w:pStyle w:val="4413"/>
              <w:pBdr>
                <w:top w:val="none" w:sz="0" w:space="0" w:color="auto"/>
                <w:left w:val="none" w:sz="0" w:space="0" w:color="auto"/>
                <w:bottom w:val="none" w:sz="0" w:space="0" w:color="auto"/>
                <w:right w:val="none" w:sz="0" w:space="0" w:color="auto"/>
              </w:pBdr>
              <w:ind w:left="0" w:firstLine="480" w:firstLineChars="200"/>
              <w:jc w:val="left"/>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行业标准数据，合同签订后每半年更新一次。</w:t>
            </w:r>
          </w:p>
          <w:p>
            <w:pPr>
              <w:pStyle w:val="4413"/>
              <w:pBdr>
                <w:top w:val="none" w:sz="0" w:space="0" w:color="auto"/>
                <w:left w:val="none" w:sz="0" w:space="0" w:color="auto"/>
                <w:bottom w:val="none" w:sz="0" w:space="0" w:color="auto"/>
                <w:right w:val="none" w:sz="0" w:space="0" w:color="auto"/>
              </w:pBdr>
              <w:ind w:left="0" w:firstLine="480" w:firstLineChars="200"/>
              <w:jc w:val="left"/>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国外和国际标准数据，合同期内，按采购人提供的需求清单采购。</w:t>
            </w:r>
          </w:p>
        </w:tc>
        <w:tc>
          <w:tcPr>
            <w:tcW w:w="16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48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是，提供《承诺函》并加盖单位公章</w:t>
            </w:r>
          </w:p>
        </w:tc>
      </w:tr>
      <w:tr>
        <w:tblPrEx>
          <w:tblW w:w="8519"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5</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项目安装过程安排</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3690"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480" w:firstLineChars="200"/>
              <w:jc w:val="both"/>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无</w:t>
            </w:r>
          </w:p>
        </w:tc>
        <w:tc>
          <w:tcPr>
            <w:tcW w:w="16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48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8519"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6</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项目验收安排</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3690" w:type="dxa"/>
            <w:tcBorders>
              <w:top w:val="single" w:sz="4" w:space="0" w:color="auto"/>
              <w:left w:val="nil"/>
              <w:bottom w:val="single" w:sz="4" w:space="0" w:color="auto"/>
              <w:right w:val="single" w:sz="4" w:space="0" w:color="auto"/>
              <w:tl2br w:val="nil"/>
              <w:tr2bl w:val="nil"/>
            </w:tcBorders>
          </w:tcPr>
          <w:p>
            <w:pPr>
              <w:pStyle w:val="4413"/>
              <w:rPr>
                <w:rFonts w:ascii="Calibri" w:eastAsia="宋体" w:hAnsi="Calibri" w:cs="Times New Roman"/>
                <w:spacing w:val="0"/>
                <w:kern w:val="0"/>
                <w:sz w:val="24"/>
                <w:szCs w:val="24"/>
              </w:rPr>
            </w:pPr>
            <w:r>
              <w:rPr>
                <w:rFonts w:ascii="宋体" w:eastAsia="宋体" w:cs="Times New Roman" w:hint="eastAsia"/>
                <w:spacing w:val="0"/>
                <w:kern w:val="0"/>
                <w:sz w:val="24"/>
                <w:szCs w:val="24"/>
              </w:rPr>
              <w:t>具体验收由海关组织相关业务、技术专家进行评审。</w:t>
            </w:r>
          </w:p>
          <w:p>
            <w:pPr>
              <w:pStyle w:val="4413"/>
              <w:rPr>
                <w:rFonts w:ascii="Calibri" w:eastAsia="宋体" w:hAnsi="Calibri" w:cs="Times New Roman"/>
                <w:spacing w:val="0"/>
                <w:kern w:val="0"/>
                <w:sz w:val="24"/>
                <w:szCs w:val="24"/>
              </w:rPr>
            </w:pPr>
            <w:r>
              <w:rPr>
                <w:rFonts w:ascii="宋体" w:eastAsia="宋体" w:cs="Times New Roman" w:hint="eastAsia"/>
                <w:spacing w:val="0"/>
                <w:kern w:val="0"/>
                <w:sz w:val="24"/>
                <w:szCs w:val="24"/>
              </w:rPr>
              <w:t>中标方需承诺协助为验收提供相关服务。</w:t>
            </w:r>
          </w:p>
          <w:p>
            <w:pPr>
              <w:pStyle w:val="4413"/>
              <w:rPr>
                <w:rFonts w:ascii="Calibri" w:eastAsia="宋体" w:hAnsi="Calibri" w:cs="Times New Roman"/>
                <w:spacing w:val="0"/>
                <w:kern w:val="0"/>
                <w:sz w:val="24"/>
                <w:szCs w:val="24"/>
              </w:rPr>
            </w:pPr>
            <w:r>
              <w:rPr>
                <w:rFonts w:ascii="宋体" w:eastAsia="宋体" w:cs="Times New Roman" w:hint="eastAsia"/>
                <w:spacing w:val="0"/>
                <w:kern w:val="0"/>
                <w:sz w:val="24"/>
                <w:szCs w:val="24"/>
              </w:rPr>
              <w:t>系统验收合格的条件必须至少满足以下要求：</w:t>
            </w:r>
          </w:p>
          <w:p>
            <w:pPr>
              <w:pStyle w:val="4413"/>
              <w:rPr>
                <w:rFonts w:ascii="Calibri" w:eastAsia="宋体" w:hAnsi="Calibri" w:cs="Times New Roman"/>
                <w:spacing w:val="0"/>
                <w:kern w:val="0"/>
                <w:sz w:val="24"/>
                <w:szCs w:val="24"/>
              </w:rPr>
            </w:pPr>
            <w:r>
              <w:rPr>
                <w:rFonts w:ascii="宋体" w:eastAsia="宋体" w:cs="Times New Roman" w:hint="eastAsia"/>
                <w:spacing w:val="0"/>
                <w:kern w:val="0"/>
                <w:sz w:val="24"/>
                <w:szCs w:val="24"/>
              </w:rPr>
              <w:t>已提供了合同的全部资料和软件；</w:t>
            </w:r>
          </w:p>
          <w:p>
            <w:pPr>
              <w:pStyle w:val="4413"/>
              <w:pBdr>
                <w:top w:val="none" w:sz="0" w:space="0" w:color="auto"/>
                <w:left w:val="none" w:sz="0" w:space="0" w:color="auto"/>
                <w:bottom w:val="none" w:sz="0" w:space="0" w:color="auto"/>
                <w:right w:val="none" w:sz="0" w:space="0" w:color="auto"/>
              </w:pBdr>
              <w:ind w:left="0" w:firstLine="0"/>
              <w:jc w:val="both"/>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移交与本项目有关的相关技术资料。</w:t>
            </w:r>
          </w:p>
        </w:tc>
        <w:tc>
          <w:tcPr>
            <w:tcW w:w="16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48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8519"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7</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项目培训安排</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3690" w:type="dxa"/>
            <w:tcBorders>
              <w:top w:val="single" w:sz="4" w:space="0" w:color="auto"/>
              <w:left w:val="nil"/>
              <w:bottom w:val="single" w:sz="4" w:space="0" w:color="auto"/>
              <w:right w:val="single" w:sz="4" w:space="0" w:color="auto"/>
              <w:tl2br w:val="nil"/>
              <w:tr2bl w:val="nil"/>
            </w:tcBorders>
          </w:tcPr>
          <w:p>
            <w:pPr>
              <w:pStyle w:val="4413"/>
              <w:pBdr>
                <w:top w:val="none" w:sz="0" w:space="0" w:color="auto"/>
                <w:left w:val="none" w:sz="0" w:space="0" w:color="auto"/>
                <w:bottom w:val="none" w:sz="0" w:space="0" w:color="auto"/>
                <w:right w:val="none" w:sz="0" w:space="0" w:color="auto"/>
              </w:pBdr>
              <w:ind w:left="0" w:firstLine="480" w:firstLineChars="200"/>
              <w:jc w:val="both"/>
              <w:rPr>
                <w:rFonts w:ascii="宋体" w:eastAsia="宋体" w:cs="Calibri" w:hint="eastAsia"/>
                <w:vanish w:val="0"/>
                <w:spacing w:val="0"/>
                <w:kern w:val="0"/>
                <w:sz w:val="24"/>
                <w:szCs w:val="24"/>
              </w:rPr>
            </w:pPr>
            <w:r>
              <w:rPr>
                <w:rFonts w:ascii="宋体" w:eastAsia="宋体" w:cs="Times New Roman" w:hint="eastAsia"/>
                <w:vanish w:val="0"/>
                <w:spacing w:val="0"/>
                <w:kern w:val="0"/>
                <w:sz w:val="24"/>
                <w:szCs w:val="24"/>
              </w:rPr>
              <w:t>无</w:t>
            </w:r>
          </w:p>
        </w:tc>
        <w:tc>
          <w:tcPr>
            <w:tcW w:w="16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firstLine="480"/>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r>
        <w:tblPrEx>
          <w:tblW w:w="8519"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4413"/>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8</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交付或实施地点</w:t>
            </w:r>
          </w:p>
        </w:tc>
        <w:tc>
          <w:tcPr>
            <w:tcW w:w="1196"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p>
        </w:tc>
        <w:tc>
          <w:tcPr>
            <w:tcW w:w="3690" w:type="dxa"/>
            <w:tcBorders>
              <w:top w:val="single" w:sz="4" w:space="0" w:color="auto"/>
              <w:left w:val="nil"/>
              <w:bottom w:val="single" w:sz="4" w:space="0" w:color="auto"/>
              <w:right w:val="single" w:sz="4" w:space="0" w:color="auto"/>
              <w:tl2br w:val="nil"/>
              <w:tr2bl w:val="nil"/>
            </w:tcBorders>
          </w:tcPr>
          <w:p>
            <w:pPr>
              <w:pStyle w:val="4413"/>
              <w:rPr>
                <w:rFonts w:ascii="宋体" w:eastAsia="宋体" w:cs="Calibri" w:hint="eastAsia"/>
                <w:spacing w:val="0"/>
                <w:kern w:val="0"/>
                <w:sz w:val="24"/>
                <w:szCs w:val="24"/>
              </w:rPr>
            </w:pPr>
            <w:r>
              <w:rPr>
                <w:rFonts w:ascii="宋体" w:eastAsia="宋体" w:cs="Times New Roman" w:hint="eastAsia"/>
                <w:spacing w:val="0"/>
                <w:kern w:val="0"/>
                <w:sz w:val="24"/>
                <w:szCs w:val="24"/>
              </w:rPr>
              <w:t>采购人指定场所，驻场期间的保障费用由投标人自行承担。</w:t>
            </w:r>
          </w:p>
        </w:tc>
        <w:tc>
          <w:tcPr>
            <w:tcW w:w="1685" w:type="dxa"/>
            <w:tcBorders>
              <w:top w:val="single" w:sz="4" w:space="0" w:color="auto"/>
              <w:left w:val="nil"/>
              <w:bottom w:val="single" w:sz="4" w:space="0" w:color="auto"/>
              <w:right w:val="single" w:sz="4" w:space="0" w:color="auto"/>
              <w:tl2br w:val="nil"/>
              <w:tr2bl w:val="nil"/>
            </w:tcBorders>
            <w:vAlign w:val="center"/>
          </w:tcPr>
          <w:p>
            <w:pPr>
              <w:pStyle w:val="4413"/>
              <w:pBdr>
                <w:top w:val="none" w:sz="0" w:space="0" w:color="auto"/>
                <w:left w:val="none" w:sz="0" w:space="0" w:color="auto"/>
                <w:bottom w:val="none" w:sz="0" w:space="0" w:color="auto"/>
                <w:right w:val="none" w:sz="0" w:space="0" w:color="auto"/>
              </w:pBdr>
              <w:jc w:val="both"/>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否</w:t>
            </w:r>
          </w:p>
        </w:tc>
      </w:tr>
    </w:tbl>
    <w:p>
      <w:pPr>
        <w:pStyle w:val="4512"/>
        <w:pBdr>
          <w:top w:val="none" w:sz="0" w:space="0" w:color="auto"/>
          <w:left w:val="none" w:sz="0" w:space="0" w:color="auto"/>
          <w:bottom w:val="none" w:sz="0" w:space="0" w:color="auto"/>
          <w:right w:val="none" w:sz="0" w:space="0" w:color="auto"/>
        </w:pBdr>
        <w:ind w:left="0"/>
        <w:rPr>
          <w:rFonts w:ascii="Calibri" w:eastAsia="宋体" w:hAnsi="Calibri" w:cs="Times New Roman"/>
          <w:vanish w:val="0"/>
          <w:spacing w:val="0"/>
          <w:kern w:val="0"/>
          <w:sz w:val="24"/>
          <w:szCs w:val="24"/>
        </w:rPr>
      </w:pPr>
      <w:r>
        <w:rPr>
          <w:rFonts w:ascii="宋体" w:eastAsia="宋体" w:cs="Calibri" w:hint="eastAsia"/>
          <w:vanish w:val="0"/>
          <w:spacing w:val="0"/>
          <w:kern w:val="0"/>
          <w:sz w:val="24"/>
          <w:szCs w:val="24"/>
        </w:rPr>
        <w:t>九、其它内容</w:t>
      </w:r>
    </w:p>
    <w:p>
      <w:pPr>
        <w:pStyle w:val="6014"/>
        <w:pBdr>
          <w:top w:val="none" w:sz="0" w:space="0" w:color="auto"/>
          <w:left w:val="none" w:sz="0" w:space="0" w:color="auto"/>
          <w:bottom w:val="none" w:sz="0" w:space="0" w:color="auto"/>
          <w:right w:val="none" w:sz="0" w:space="0" w:color="auto"/>
        </w:pBdr>
        <w:ind w:firstLine="48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1.业绩要求。</w:t>
      </w:r>
    </w:p>
    <w:p>
      <w:pPr>
        <w:pStyle w:val="1811"/>
        <w:pBdr>
          <w:top w:val="none" w:sz="0" w:space="0" w:color="auto"/>
          <w:left w:val="none" w:sz="0" w:space="0" w:color="auto"/>
          <w:bottom w:val="none" w:sz="0" w:space="0" w:color="auto"/>
          <w:right w:val="none" w:sz="0" w:space="0" w:color="auto"/>
        </w:pBdr>
        <w:ind w:firstLine="480"/>
        <w:rPr>
          <w:rFonts w:ascii="宋体" w:eastAsia="宋体" w:cs="Calibri" w:hint="eastAsia"/>
          <w:vanish w:val="0"/>
          <w:spacing w:val="0"/>
          <w:kern w:val="0"/>
          <w:sz w:val="24"/>
          <w:szCs w:val="24"/>
        </w:rPr>
      </w:pPr>
      <w:r>
        <w:rPr>
          <w:rFonts w:ascii="宋体" w:eastAsia="宋体" w:cs="Calibri"/>
          <w:vanish w:val="0"/>
          <w:spacing w:val="0"/>
          <w:kern w:val="0"/>
          <w:sz w:val="24"/>
          <w:szCs w:val="24"/>
        </w:rPr>
        <w:t>供应商</w:t>
      </w:r>
      <w:r>
        <w:rPr>
          <w:rFonts w:ascii="宋体" w:eastAsia="宋体" w:cs="Calibri" w:hint="eastAsia"/>
          <w:vanish w:val="0"/>
          <w:spacing w:val="0"/>
          <w:kern w:val="0"/>
          <w:sz w:val="24"/>
          <w:szCs w:val="24"/>
        </w:rPr>
        <w:t>提供2022年11月1日起至本项目</w:t>
      </w:r>
      <w:r>
        <w:rPr>
          <w:rFonts w:ascii="宋体" w:eastAsia="宋体" w:cs="Calibri"/>
          <w:vanish w:val="0"/>
          <w:spacing w:val="0"/>
          <w:kern w:val="0"/>
          <w:sz w:val="24"/>
          <w:szCs w:val="24"/>
        </w:rPr>
        <w:t>磋商邀请</w:t>
      </w:r>
      <w:r>
        <w:rPr>
          <w:rFonts w:ascii="宋体" w:eastAsia="宋体" w:cs="Calibri" w:hint="eastAsia"/>
          <w:vanish w:val="0"/>
          <w:spacing w:val="0"/>
          <w:kern w:val="0"/>
          <w:sz w:val="24"/>
          <w:szCs w:val="24"/>
        </w:rPr>
        <w:t>发布之日止（以合同签订日期为准），与本项目同类服务项目业绩相关材料。</w:t>
      </w:r>
    </w:p>
    <w:p>
      <w:pPr>
        <w:pStyle w:val="50010"/>
        <w:pBdr>
          <w:top w:val="none" w:sz="0" w:space="0" w:color="auto"/>
          <w:left w:val="none" w:sz="0" w:space="0" w:color="auto"/>
          <w:bottom w:val="none" w:sz="0" w:space="0" w:color="auto"/>
          <w:right w:val="none" w:sz="0" w:space="0" w:color="auto"/>
        </w:pBdr>
        <w:spacing w:line="360" w:lineRule="auto"/>
        <w:ind w:firstLine="480" w:firstLineChars="200"/>
        <w:rPr>
          <w:rFonts w:ascii="宋体" w:eastAsia="宋体" w:cs="Calibri" w:hint="eastAsia"/>
          <w:b w:val="0"/>
          <w:i w:val="0"/>
          <w:iCs w:val="0"/>
          <w:caps w:val="0"/>
          <w:smallCaps w:val="0"/>
          <w:vanish w:val="0"/>
          <w:spacing w:val="0"/>
          <w:kern w:val="0"/>
          <w:sz w:val="24"/>
          <w:szCs w:val="24"/>
        </w:rPr>
      </w:pPr>
      <w:r>
        <w:rPr>
          <w:rFonts w:ascii="宋体" w:eastAsia="宋体" w:cs="Calibri" w:hint="eastAsia"/>
          <w:b w:val="0"/>
          <w:i w:val="0"/>
          <w:iCs w:val="0"/>
          <w:caps w:val="0"/>
          <w:smallCaps w:val="0"/>
          <w:vanish w:val="0"/>
          <w:spacing w:val="0"/>
          <w:kern w:val="0"/>
          <w:sz w:val="24"/>
          <w:szCs w:val="24"/>
        </w:rPr>
        <w:t>2.相关主观评审因素要求。</w:t>
      </w:r>
    </w:p>
    <w:p>
      <w:pPr>
        <w:pStyle w:val="50010"/>
        <w:pBdr>
          <w:top w:val="none" w:sz="0" w:space="0" w:color="auto"/>
          <w:left w:val="none" w:sz="0" w:space="0" w:color="auto"/>
          <w:bottom w:val="none" w:sz="0" w:space="0" w:color="auto"/>
          <w:right w:val="none" w:sz="0" w:space="0" w:color="auto"/>
        </w:pBdr>
        <w:ind w:firstLine="480" w:firstLineChars="200"/>
        <w:rPr>
          <w:rFonts w:ascii="宋体" w:eastAsia="宋体" w:cs="Calibri" w:hint="eastAsia"/>
          <w:b w:val="0"/>
          <w:i w:val="0"/>
          <w:iCs w:val="0"/>
          <w:caps w:val="0"/>
          <w:smallCaps w:val="0"/>
          <w:vanish w:val="0"/>
          <w:spacing w:val="0"/>
          <w:kern w:val="0"/>
          <w:sz w:val="24"/>
          <w:szCs w:val="24"/>
        </w:rPr>
      </w:pPr>
      <w:r>
        <w:rPr>
          <w:rFonts w:ascii="宋体" w:eastAsia="宋体" w:cs="Calibri" w:hint="eastAsia"/>
          <w:b w:val="0"/>
          <w:i w:val="0"/>
          <w:iCs w:val="0"/>
          <w:caps w:val="0"/>
          <w:smallCaps w:val="0"/>
          <w:vanish w:val="0"/>
          <w:spacing w:val="0"/>
          <w:kern w:val="0"/>
          <w:sz w:val="24"/>
          <w:szCs w:val="24"/>
        </w:rPr>
        <w:t>(一)需求理解分析</w:t>
      </w:r>
    </w:p>
    <w:p>
      <w:pPr>
        <w:pStyle w:val="50010"/>
        <w:pBdr>
          <w:top w:val="none" w:sz="0" w:space="0" w:color="auto"/>
          <w:left w:val="none" w:sz="0" w:space="0" w:color="auto"/>
          <w:bottom w:val="none" w:sz="0" w:space="0" w:color="auto"/>
          <w:right w:val="none" w:sz="0" w:space="0" w:color="auto"/>
        </w:pBdr>
        <w:ind w:firstLine="480" w:firstLineChars="200"/>
        <w:rPr>
          <w:rFonts w:ascii="宋体" w:eastAsia="宋体" w:cs="Calibri" w:hint="eastAsia"/>
          <w:b w:val="0"/>
          <w:i w:val="0"/>
          <w:iCs w:val="0"/>
          <w:caps w:val="0"/>
          <w:smallCaps w:val="0"/>
          <w:vanish w:val="0"/>
          <w:spacing w:val="0"/>
          <w:kern w:val="0"/>
          <w:sz w:val="24"/>
          <w:szCs w:val="24"/>
        </w:rPr>
      </w:pPr>
      <w:r>
        <w:rPr>
          <w:rFonts w:ascii="宋体" w:eastAsia="宋体" w:cs="Calibri" w:hint="eastAsia"/>
          <w:b w:val="0"/>
          <w:i w:val="0"/>
          <w:iCs w:val="0"/>
          <w:caps w:val="0"/>
          <w:smallCaps w:val="0"/>
          <w:vanish w:val="0"/>
          <w:spacing w:val="0"/>
          <w:kern w:val="0"/>
          <w:sz w:val="24"/>
          <w:szCs w:val="24"/>
        </w:rPr>
        <w:t>阐述对服务项目需求的理解，包括但不限于标准类型，数据来源及获取渠道，提供的数据信息的完整性，文本质量，电子版清晰程度，可读性，以及使用的便利性等。</w:t>
      </w:r>
    </w:p>
    <w:p>
      <w:pPr>
        <w:pStyle w:val="50010"/>
        <w:pBdr>
          <w:top w:val="none" w:sz="0" w:space="0" w:color="auto"/>
          <w:left w:val="none" w:sz="0" w:space="0" w:color="auto"/>
          <w:bottom w:val="none" w:sz="0" w:space="0" w:color="auto"/>
          <w:right w:val="none" w:sz="0" w:space="0" w:color="auto"/>
        </w:pBdr>
        <w:ind w:firstLine="480" w:firstLineChars="200"/>
        <w:rPr>
          <w:rFonts w:ascii="宋体" w:eastAsia="宋体" w:cs="Calibri" w:hint="eastAsia"/>
          <w:b w:val="0"/>
          <w:i w:val="0"/>
          <w:iCs w:val="0"/>
          <w:caps w:val="0"/>
          <w:smallCaps w:val="0"/>
          <w:vanish w:val="0"/>
          <w:spacing w:val="0"/>
          <w:kern w:val="0"/>
          <w:sz w:val="24"/>
          <w:szCs w:val="24"/>
        </w:rPr>
      </w:pPr>
      <w:r>
        <w:rPr>
          <w:rFonts w:ascii="宋体" w:eastAsia="宋体" w:cs="Calibri" w:hint="eastAsia"/>
          <w:b w:val="0"/>
          <w:i w:val="0"/>
          <w:iCs w:val="0"/>
          <w:caps w:val="0"/>
          <w:smallCaps w:val="0"/>
          <w:vanish w:val="0"/>
          <w:spacing w:val="0"/>
          <w:kern w:val="0"/>
          <w:sz w:val="24"/>
          <w:szCs w:val="24"/>
        </w:rPr>
        <w:t>(二)实施管理方案</w:t>
      </w:r>
    </w:p>
    <w:p>
      <w:pPr>
        <w:pStyle w:val="50010"/>
        <w:pBdr>
          <w:top w:val="none" w:sz="0" w:space="0" w:color="auto"/>
          <w:left w:val="none" w:sz="0" w:space="0" w:color="auto"/>
          <w:bottom w:val="none" w:sz="0" w:space="0" w:color="auto"/>
          <w:right w:val="none" w:sz="0" w:space="0" w:color="auto"/>
        </w:pBdr>
        <w:ind w:firstLine="480" w:firstLineChars="200"/>
        <w:rPr>
          <w:rFonts w:ascii="宋体" w:eastAsia="宋体" w:cs="Calibri" w:hint="eastAsia"/>
          <w:b w:val="0"/>
          <w:i w:val="0"/>
          <w:iCs w:val="0"/>
          <w:caps w:val="0"/>
          <w:smallCaps w:val="0"/>
          <w:vanish w:val="0"/>
          <w:spacing w:val="0"/>
          <w:kern w:val="0"/>
          <w:sz w:val="24"/>
          <w:szCs w:val="24"/>
        </w:rPr>
      </w:pPr>
      <w:r>
        <w:rPr>
          <w:rFonts w:ascii="宋体" w:eastAsia="宋体" w:cs="Calibri" w:hint="eastAsia"/>
          <w:b w:val="0"/>
          <w:i w:val="0"/>
          <w:iCs w:val="0"/>
          <w:caps w:val="0"/>
          <w:smallCaps w:val="0"/>
          <w:vanish w:val="0"/>
          <w:spacing w:val="0"/>
          <w:kern w:val="0"/>
          <w:sz w:val="24"/>
          <w:szCs w:val="24"/>
        </w:rPr>
        <w:t>提供项目实施管理方案，内容包括但不限于项目实施计划、交付日期，交付形式，人员配备等对用户的有利性以及保证项目顺利实施的其他因素、项目进度及保障措施等内容。</w:t>
      </w:r>
    </w:p>
    <w:p>
      <w:pPr>
        <w:pStyle w:val="4413"/>
        <w:pBdr>
          <w:top w:val="none" w:sz="0" w:space="0" w:color="auto"/>
          <w:left w:val="none" w:sz="0" w:space="0" w:color="auto"/>
          <w:bottom w:val="none" w:sz="0" w:space="0" w:color="auto"/>
          <w:right w:val="none" w:sz="0" w:space="0" w:color="auto"/>
        </w:pBdr>
        <w:ind w:firstLine="480"/>
        <w:rPr>
          <w:rFonts w:ascii="宋体" w:eastAsia="宋体" w:cs="Calibri" w:hint="eastAsia"/>
          <w:vanish w:val="0"/>
          <w:spacing w:val="0"/>
          <w:kern w:val="0"/>
          <w:sz w:val="24"/>
          <w:szCs w:val="24"/>
        </w:rPr>
      </w:pPr>
    </w:p>
    <w:p>
      <w:pPr>
        <w:pStyle w:val="4413"/>
        <w:pBdr>
          <w:top w:val="none" w:sz="0" w:space="0" w:color="auto"/>
          <w:left w:val="none" w:sz="0" w:space="0" w:color="auto"/>
          <w:bottom w:val="none" w:sz="0" w:space="0" w:color="auto"/>
          <w:right w:val="none" w:sz="0" w:space="0" w:color="auto"/>
        </w:pBdr>
        <w:ind w:firstLine="480"/>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3.技术服务需求响应程度表</w:t>
      </w:r>
    </w:p>
    <w:tbl>
      <w:tblPr>
        <w:tblW w:w="9228"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808"/>
        <w:gridCol w:w="1140"/>
        <w:gridCol w:w="1880"/>
        <w:gridCol w:w="5400"/>
      </w:tblGrid>
      <w:tr>
        <w:tblPrEx>
          <w:tblW w:w="9228" w:type="dxa"/>
          <w:jc w:val="left"/>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hidden/>
          <w:trHeight w:val="494"/>
          <w:jc w:val="left"/>
        </w:trPr>
        <w:tc>
          <w:tcPr>
            <w:tcW w:w="808" w:type="dxa"/>
            <w:tcBorders>
              <w:top w:val="single" w:sz="4" w:space="0" w:color="auto"/>
              <w:left w:val="single" w:sz="4" w:space="0" w:color="auto"/>
              <w:bottom w:val="single" w:sz="4" w:space="0" w:color="auto"/>
              <w:right w:val="single" w:sz="4" w:space="0" w:color="auto"/>
              <w:tl2br w:val="nil"/>
              <w:tr2bl w:val="nil"/>
            </w:tcBorders>
          </w:tcPr>
          <w:p>
            <w:pPr>
              <w:pStyle w:val="6112"/>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序号</w:t>
            </w:r>
          </w:p>
        </w:tc>
        <w:tc>
          <w:tcPr>
            <w:tcW w:w="1140" w:type="dxa"/>
            <w:tcBorders>
              <w:top w:val="single" w:sz="4" w:space="0" w:color="auto"/>
              <w:left w:val="nil"/>
              <w:bottom w:val="single" w:sz="4" w:space="0" w:color="auto"/>
              <w:right w:val="single" w:sz="4" w:space="0" w:color="auto"/>
              <w:tl2br w:val="nil"/>
              <w:tr2bl w:val="nil"/>
            </w:tcBorders>
          </w:tcPr>
          <w:p>
            <w:pPr>
              <w:pStyle w:val="6211"/>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内容</w:t>
            </w:r>
          </w:p>
        </w:tc>
        <w:tc>
          <w:tcPr>
            <w:tcW w:w="1880" w:type="dxa"/>
            <w:tcBorders>
              <w:top w:val="single" w:sz="4" w:space="0" w:color="auto"/>
              <w:left w:val="nil"/>
              <w:bottom w:val="single" w:sz="4" w:space="0" w:color="auto"/>
              <w:right w:val="single" w:sz="4" w:space="0" w:color="auto"/>
              <w:tl2br w:val="nil"/>
              <w:tr2bl w:val="nil"/>
            </w:tcBorders>
          </w:tcPr>
          <w:p>
            <w:pPr>
              <w:pStyle w:val="6311"/>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数量</w:t>
            </w:r>
          </w:p>
        </w:tc>
        <w:tc>
          <w:tcPr>
            <w:tcW w:w="5400" w:type="dxa"/>
            <w:tcBorders>
              <w:top w:val="single" w:sz="4" w:space="0" w:color="auto"/>
              <w:left w:val="nil"/>
              <w:bottom w:val="single" w:sz="4" w:space="0" w:color="auto"/>
              <w:right w:val="single" w:sz="4" w:space="0" w:color="auto"/>
              <w:tl2br w:val="nil"/>
              <w:tr2bl w:val="nil"/>
            </w:tcBorders>
          </w:tcPr>
          <w:p>
            <w:pPr>
              <w:pStyle w:val="6411"/>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所在位置</w:t>
            </w:r>
          </w:p>
        </w:tc>
      </w:tr>
      <w:tr>
        <w:tblPrEx>
          <w:tblW w:w="9228" w:type="dxa"/>
          <w:jc w:val="left"/>
          <w:tblInd w:w="0" w:type="dxa"/>
          <w:tblLayout w:type="fixed"/>
          <w:tblCellMar>
            <w:top w:w="0" w:type="dxa"/>
            <w:left w:w="108" w:type="dxa"/>
            <w:bottom w:w="0" w:type="dxa"/>
            <w:right w:w="108" w:type="dxa"/>
          </w:tblCellMar>
        </w:tblPrEx>
        <w:trPr>
          <w:hidden/>
          <w:trHeight w:val="1133"/>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6511"/>
              <w:pBdr>
                <w:top w:val="none" w:sz="0" w:space="0" w:color="auto"/>
                <w:left w:val="none" w:sz="0" w:space="0" w:color="auto"/>
                <w:bottom w:val="none" w:sz="0" w:space="0" w:color="auto"/>
                <w:right w:val="none" w:sz="0" w:space="0" w:color="auto"/>
              </w:pBdr>
              <w:ind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1</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6612"/>
              <w:pBdr>
                <w:top w:val="none" w:sz="0" w:space="0" w:color="auto"/>
                <w:left w:val="none" w:sz="0" w:space="0" w:color="auto"/>
                <w:bottom w:val="none" w:sz="0" w:space="0" w:color="auto"/>
                <w:right w:val="none" w:sz="0" w:space="0" w:color="auto"/>
              </w:pBdr>
              <w:ind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重要指标项</w:t>
            </w:r>
          </w:p>
        </w:tc>
        <w:tc>
          <w:tcPr>
            <w:tcW w:w="1880" w:type="dxa"/>
            <w:tcBorders>
              <w:top w:val="single" w:sz="4" w:space="0" w:color="auto"/>
              <w:left w:val="nil"/>
              <w:bottom w:val="single" w:sz="4" w:space="0" w:color="auto"/>
              <w:right w:val="single" w:sz="4" w:space="0" w:color="auto"/>
              <w:tl2br w:val="nil"/>
              <w:tr2bl w:val="nil"/>
            </w:tcBorders>
            <w:vAlign w:val="center"/>
          </w:tcPr>
          <w:p>
            <w:pPr>
              <w:pStyle w:val="6712"/>
              <w:pBdr>
                <w:top w:val="none" w:sz="0" w:space="0" w:color="auto"/>
                <w:left w:val="none" w:sz="0" w:space="0" w:color="auto"/>
                <w:bottom w:val="none" w:sz="0" w:space="0" w:color="auto"/>
                <w:right w:val="none" w:sz="0" w:space="0" w:color="auto"/>
              </w:pBdr>
              <w:ind w:firstLine="0"/>
              <w:jc w:val="center"/>
              <w:rPr>
                <w:rFonts w:ascii="宋体" w:eastAsia="宋体" w:cs="Calibri" w:hint="eastAsia"/>
                <w:vanish w:val="0"/>
                <w:color w:val="000000"/>
                <w:spacing w:val="0"/>
                <w:kern w:val="0"/>
                <w:sz w:val="24"/>
                <w:szCs w:val="24"/>
              </w:rPr>
            </w:pPr>
            <w:r>
              <w:rPr>
                <w:rFonts w:ascii="宋体" w:eastAsia="宋体" w:cs="Calibri" w:hint="eastAsia"/>
                <w:vanish w:val="0"/>
                <w:color w:val="000000"/>
                <w:spacing w:val="0"/>
                <w:kern w:val="0"/>
                <w:sz w:val="24"/>
                <w:szCs w:val="24"/>
              </w:rPr>
              <w:t>9</w:t>
            </w:r>
          </w:p>
        </w:tc>
        <w:tc>
          <w:tcPr>
            <w:tcW w:w="5400" w:type="dxa"/>
            <w:tcBorders>
              <w:top w:val="single" w:sz="4" w:space="0" w:color="auto"/>
              <w:left w:val="nil"/>
              <w:bottom w:val="single" w:sz="4" w:space="0" w:color="auto"/>
              <w:right w:val="single" w:sz="4" w:space="0" w:color="auto"/>
              <w:tl2br w:val="nil"/>
              <w:tr2bl w:val="nil"/>
            </w:tcBorders>
          </w:tcPr>
          <w:p>
            <w:pPr>
              <w:pStyle w:val="6811"/>
              <w:pBdr>
                <w:top w:val="none" w:sz="0" w:space="0" w:color="auto"/>
                <w:left w:val="none" w:sz="0" w:space="0" w:color="auto"/>
                <w:bottom w:val="none" w:sz="0" w:space="0" w:color="auto"/>
                <w:right w:val="none" w:sz="0" w:space="0" w:color="auto"/>
              </w:pBdr>
              <w:jc w:val="left"/>
              <w:rPr>
                <w:rFonts w:ascii="宋体" w:eastAsia="宋体" w:cs="Calibri" w:hint="eastAsia"/>
                <w:vanish w:val="0"/>
                <w:color w:val="000000"/>
                <w:spacing w:val="0"/>
                <w:kern w:val="0"/>
                <w:sz w:val="21"/>
                <w:szCs w:val="21"/>
              </w:rPr>
            </w:pPr>
            <w:r>
              <w:rPr>
                <w:rFonts w:ascii="宋体" w:eastAsia="宋体" w:cs="Calibri" w:hint="eastAsia"/>
                <w:vanish w:val="0"/>
                <w:color w:val="000000"/>
                <w:spacing w:val="0"/>
                <w:kern w:val="0"/>
                <w:sz w:val="21"/>
                <w:szCs w:val="21"/>
              </w:rPr>
              <w:t>分别为：</w:t>
            </w:r>
          </w:p>
          <w:p>
            <w:pPr>
              <w:pStyle w:val="6811"/>
              <w:pBdr>
                <w:top w:val="none" w:sz="0" w:space="0" w:color="auto"/>
                <w:left w:val="none" w:sz="0" w:space="0" w:color="auto"/>
                <w:bottom w:val="none" w:sz="0" w:space="0" w:color="auto"/>
                <w:right w:val="none" w:sz="0" w:space="0" w:color="auto"/>
              </w:pBdr>
              <w:jc w:val="left"/>
              <w:rPr>
                <w:rFonts w:ascii="宋体" w:eastAsia="宋体" w:cs="Calibri" w:hint="eastAsia"/>
                <w:vanish w:val="0"/>
                <w:color w:val="000000"/>
                <w:spacing w:val="0"/>
                <w:kern w:val="0"/>
                <w:sz w:val="24"/>
                <w:szCs w:val="24"/>
              </w:rPr>
            </w:pPr>
            <w:r>
              <w:rPr>
                <w:rFonts w:ascii="宋体" w:eastAsia="宋体" w:cs="Calibri" w:hint="eastAsia"/>
                <w:vanish w:val="0"/>
                <w:color w:val="000000"/>
                <w:spacing w:val="0"/>
                <w:kern w:val="0"/>
                <w:sz w:val="21"/>
                <w:szCs w:val="21"/>
              </w:rPr>
              <w:t>六、</w:t>
            </w:r>
            <w:r>
              <w:rPr>
                <w:rFonts w:ascii="宋体" w:eastAsia="宋体" w:cs="Calibri" w:hint="eastAsia"/>
                <w:vanish w:val="0"/>
                <w:color w:val="000000"/>
                <w:spacing w:val="0"/>
                <w:kern w:val="0"/>
                <w:sz w:val="24"/>
                <w:szCs w:val="24"/>
              </w:rPr>
              <w:t>货物或服务指标要求3个：第1、2、3项各1个。</w:t>
            </w:r>
          </w:p>
          <w:p>
            <w:pPr>
              <w:pStyle w:val="6811"/>
              <w:jc w:val="left"/>
              <w:rPr>
                <w:rFonts w:ascii="宋体" w:eastAsia="宋体" w:cs="Calibri" w:hint="eastAsia"/>
                <w:vanish w:val="0"/>
                <w:color w:val="000000"/>
                <w:spacing w:val="0"/>
                <w:kern w:val="0"/>
                <w:sz w:val="21"/>
                <w:szCs w:val="21"/>
              </w:rPr>
            </w:pPr>
            <w:r>
              <w:rPr>
                <w:rFonts w:ascii="宋体" w:eastAsia="宋体" w:cs="Calibri" w:hint="eastAsia"/>
                <w:vanish w:val="0"/>
                <w:color w:val="000000"/>
                <w:spacing w:val="0"/>
                <w:kern w:val="0"/>
                <w:sz w:val="21"/>
                <w:szCs w:val="21"/>
              </w:rPr>
              <w:t>七、服务要求</w:t>
            </w:r>
            <w:r>
              <w:rPr>
                <w:rFonts w:ascii="宋体" w:eastAsia="宋体" w:cs="Calibri"/>
                <w:vanish w:val="0"/>
                <w:color w:val="000000"/>
                <w:spacing w:val="0"/>
                <w:kern w:val="0"/>
                <w:sz w:val="21"/>
                <w:szCs w:val="21"/>
              </w:rPr>
              <w:t>6</w:t>
            </w:r>
            <w:r>
              <w:rPr>
                <w:rFonts w:ascii="宋体" w:eastAsia="宋体" w:cs="Calibri" w:hint="eastAsia"/>
                <w:vanish w:val="0"/>
                <w:color w:val="000000"/>
                <w:spacing w:val="0"/>
                <w:kern w:val="0"/>
                <w:sz w:val="21"/>
                <w:szCs w:val="21"/>
              </w:rPr>
              <w:t>个：第7、12项各1个，第4、8项各2个。</w:t>
            </w:r>
          </w:p>
        </w:tc>
      </w:tr>
      <w:tr>
        <w:tblPrEx>
          <w:tblW w:w="9228" w:type="dxa"/>
          <w:jc w:val="left"/>
          <w:tblInd w:w="0" w:type="dxa"/>
          <w:tblLayout w:type="fixed"/>
          <w:tblCellMar>
            <w:top w:w="0" w:type="dxa"/>
            <w:left w:w="108" w:type="dxa"/>
            <w:bottom w:w="0" w:type="dxa"/>
            <w:right w:w="108" w:type="dxa"/>
          </w:tblCellMar>
        </w:tblPrEx>
        <w:trPr>
          <w:hidden/>
          <w:trHeight w:val="1134"/>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Style w:val="6511"/>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2</w:t>
            </w:r>
          </w:p>
        </w:tc>
        <w:tc>
          <w:tcPr>
            <w:tcW w:w="1140" w:type="dxa"/>
            <w:tcBorders>
              <w:top w:val="single" w:sz="4" w:space="0" w:color="auto"/>
              <w:left w:val="nil"/>
              <w:bottom w:val="single" w:sz="4" w:space="0" w:color="auto"/>
              <w:right w:val="single" w:sz="4" w:space="0" w:color="auto"/>
              <w:tl2br w:val="nil"/>
              <w:tr2bl w:val="nil"/>
            </w:tcBorders>
            <w:vAlign w:val="center"/>
          </w:tcPr>
          <w:p>
            <w:pPr>
              <w:pStyle w:val="6612"/>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spacing w:val="0"/>
                <w:kern w:val="0"/>
                <w:sz w:val="24"/>
                <w:szCs w:val="24"/>
              </w:rPr>
            </w:pPr>
            <w:r>
              <w:rPr>
                <w:rFonts w:ascii="宋体" w:eastAsia="宋体" w:cs="Calibri" w:hint="eastAsia"/>
                <w:vanish w:val="0"/>
                <w:spacing w:val="0"/>
                <w:kern w:val="0"/>
                <w:sz w:val="24"/>
                <w:szCs w:val="24"/>
              </w:rPr>
              <w:t>一般指标项</w:t>
            </w:r>
          </w:p>
        </w:tc>
        <w:tc>
          <w:tcPr>
            <w:tcW w:w="1880" w:type="dxa"/>
            <w:tcBorders>
              <w:top w:val="single" w:sz="4" w:space="0" w:color="auto"/>
              <w:left w:val="nil"/>
              <w:bottom w:val="single" w:sz="4" w:space="0" w:color="auto"/>
              <w:right w:val="single" w:sz="4" w:space="0" w:color="auto"/>
              <w:tl2br w:val="nil"/>
              <w:tr2bl w:val="nil"/>
            </w:tcBorders>
            <w:vAlign w:val="center"/>
          </w:tcPr>
          <w:p>
            <w:pPr>
              <w:pStyle w:val="6712"/>
              <w:pBdr>
                <w:top w:val="none" w:sz="0" w:space="0" w:color="auto"/>
                <w:left w:val="none" w:sz="0" w:space="0" w:color="auto"/>
                <w:bottom w:val="none" w:sz="0" w:space="0" w:color="auto"/>
                <w:right w:val="none" w:sz="0" w:space="0" w:color="auto"/>
              </w:pBdr>
              <w:ind w:left="0" w:firstLine="0"/>
              <w:jc w:val="center"/>
              <w:rPr>
                <w:rFonts w:ascii="宋体" w:eastAsia="宋体" w:cs="Calibri" w:hint="eastAsia"/>
                <w:vanish w:val="0"/>
                <w:color w:val="000000"/>
                <w:spacing w:val="0"/>
                <w:kern w:val="0"/>
                <w:sz w:val="24"/>
                <w:szCs w:val="24"/>
              </w:rPr>
            </w:pPr>
            <w:r>
              <w:rPr>
                <w:rFonts w:ascii="宋体" w:eastAsia="宋体" w:cs="Calibri" w:hint="eastAsia"/>
                <w:vanish w:val="0"/>
                <w:color w:val="000000"/>
                <w:spacing w:val="0"/>
                <w:kern w:val="0"/>
                <w:sz w:val="24"/>
                <w:szCs w:val="24"/>
              </w:rPr>
              <w:t>1</w:t>
            </w:r>
            <w:r>
              <w:rPr>
                <w:rFonts w:ascii="宋体" w:eastAsia="宋体" w:cs="Calibri"/>
                <w:vanish w:val="0"/>
                <w:color w:val="000000"/>
                <w:spacing w:val="0"/>
                <w:kern w:val="0"/>
                <w:sz w:val="24"/>
                <w:szCs w:val="24"/>
              </w:rPr>
              <w:t>6</w:t>
            </w:r>
          </w:p>
        </w:tc>
        <w:tc>
          <w:tcPr>
            <w:tcW w:w="5400" w:type="dxa"/>
            <w:tcBorders>
              <w:top w:val="single" w:sz="4" w:space="0" w:color="auto"/>
              <w:left w:val="nil"/>
              <w:bottom w:val="single" w:sz="4" w:space="0" w:color="auto"/>
              <w:right w:val="single" w:sz="4" w:space="0" w:color="auto"/>
              <w:tl2br w:val="nil"/>
              <w:tr2bl w:val="nil"/>
            </w:tcBorders>
          </w:tcPr>
          <w:p>
            <w:pPr>
              <w:pStyle w:val="6811"/>
              <w:pBdr>
                <w:top w:val="none" w:sz="0" w:space="0" w:color="auto"/>
                <w:left w:val="none" w:sz="0" w:space="0" w:color="auto"/>
                <w:bottom w:val="none" w:sz="0" w:space="0" w:color="auto"/>
                <w:right w:val="none" w:sz="0" w:space="0" w:color="auto"/>
              </w:pBdr>
              <w:jc w:val="left"/>
              <w:rPr>
                <w:rFonts w:ascii="宋体" w:eastAsia="宋体" w:cs="Calibri" w:hint="eastAsia"/>
                <w:vanish w:val="0"/>
                <w:color w:val="000000"/>
                <w:spacing w:val="0"/>
                <w:kern w:val="0"/>
                <w:sz w:val="21"/>
                <w:szCs w:val="21"/>
              </w:rPr>
            </w:pPr>
            <w:r>
              <w:rPr>
                <w:rFonts w:ascii="宋体" w:eastAsia="宋体" w:cs="Calibri" w:hint="eastAsia"/>
                <w:vanish w:val="0"/>
                <w:color w:val="000000"/>
                <w:spacing w:val="0"/>
                <w:kern w:val="0"/>
                <w:sz w:val="21"/>
                <w:szCs w:val="21"/>
              </w:rPr>
              <w:t>分别为：</w:t>
            </w:r>
          </w:p>
          <w:p>
            <w:pPr>
              <w:pStyle w:val="6811"/>
              <w:pBdr>
                <w:top w:val="none" w:sz="0" w:space="0" w:color="auto"/>
                <w:left w:val="none" w:sz="0" w:space="0" w:color="auto"/>
                <w:bottom w:val="none" w:sz="0" w:space="0" w:color="auto"/>
                <w:right w:val="none" w:sz="0" w:space="0" w:color="auto"/>
              </w:pBdr>
              <w:jc w:val="left"/>
              <w:rPr>
                <w:rFonts w:ascii="宋体" w:eastAsia="宋体" w:cs="Calibri" w:hint="eastAsia"/>
                <w:vanish w:val="0"/>
                <w:color w:val="000000"/>
                <w:spacing w:val="0"/>
                <w:kern w:val="0"/>
                <w:sz w:val="21"/>
                <w:szCs w:val="21"/>
              </w:rPr>
            </w:pPr>
            <w:r>
              <w:rPr>
                <w:rFonts w:ascii="宋体" w:eastAsia="宋体" w:cs="Calibri" w:hint="eastAsia"/>
                <w:vanish w:val="0"/>
                <w:color w:val="000000"/>
                <w:spacing w:val="0"/>
                <w:kern w:val="0"/>
                <w:sz w:val="21"/>
                <w:szCs w:val="21"/>
              </w:rPr>
              <w:t>四、</w:t>
            </w:r>
            <w:r>
              <w:rPr>
                <w:rFonts w:ascii="宋体" w:eastAsia="宋体" w:cs="Calibri" w:hint="eastAsia"/>
                <w:vanish w:val="0"/>
                <w:color w:val="000000"/>
                <w:spacing w:val="0"/>
                <w:kern w:val="0"/>
                <w:sz w:val="24"/>
                <w:szCs w:val="24"/>
              </w:rPr>
              <w:t>项目概述</w:t>
            </w:r>
            <w:r>
              <w:rPr>
                <w:rFonts w:ascii="宋体" w:eastAsia="宋体" w:cs="Calibri"/>
                <w:vanish w:val="0"/>
                <w:color w:val="000000"/>
                <w:spacing w:val="0"/>
                <w:kern w:val="0"/>
                <w:sz w:val="24"/>
                <w:szCs w:val="24"/>
              </w:rPr>
              <w:t>7</w:t>
            </w:r>
            <w:r>
              <w:rPr>
                <w:rFonts w:ascii="宋体" w:eastAsia="宋体" w:cs="Calibri" w:hint="eastAsia"/>
                <w:vanish w:val="0"/>
                <w:color w:val="000000"/>
                <w:spacing w:val="0"/>
                <w:kern w:val="0"/>
                <w:sz w:val="24"/>
                <w:szCs w:val="24"/>
              </w:rPr>
              <w:t>个：第3、4、6项各1个，第5项4个。</w:t>
            </w:r>
          </w:p>
          <w:p>
            <w:pPr>
              <w:pStyle w:val="6811"/>
              <w:pBdr>
                <w:top w:val="none" w:sz="0" w:space="0" w:color="auto"/>
                <w:left w:val="none" w:sz="0" w:space="0" w:color="auto"/>
                <w:bottom w:val="none" w:sz="0" w:space="0" w:color="auto"/>
                <w:right w:val="none" w:sz="0" w:space="0" w:color="auto"/>
              </w:pBdr>
              <w:jc w:val="left"/>
              <w:rPr>
                <w:rFonts w:ascii="宋体" w:eastAsia="宋体" w:cs="Calibri" w:hint="eastAsia"/>
                <w:vanish w:val="0"/>
                <w:color w:val="000000"/>
                <w:spacing w:val="0"/>
                <w:kern w:val="0"/>
                <w:sz w:val="21"/>
                <w:szCs w:val="21"/>
              </w:rPr>
            </w:pPr>
            <w:r>
              <w:rPr>
                <w:rFonts w:ascii="宋体" w:eastAsia="宋体" w:cs="Calibri" w:hint="eastAsia"/>
                <w:vanish w:val="0"/>
                <w:color w:val="000000"/>
                <w:spacing w:val="0"/>
                <w:kern w:val="0"/>
                <w:sz w:val="21"/>
                <w:szCs w:val="21"/>
              </w:rPr>
              <w:t>五、集成需求3个：第1项1个，第2项2个。</w:t>
            </w:r>
          </w:p>
          <w:p>
            <w:pPr>
              <w:pStyle w:val="6811"/>
              <w:pBdr>
                <w:top w:val="none" w:sz="0" w:space="0" w:color="auto"/>
                <w:left w:val="none" w:sz="0" w:space="0" w:color="auto"/>
                <w:bottom w:val="none" w:sz="0" w:space="0" w:color="auto"/>
                <w:right w:val="none" w:sz="0" w:space="0" w:color="auto"/>
              </w:pBdr>
              <w:jc w:val="left"/>
              <w:rPr>
                <w:rFonts w:ascii="宋体" w:eastAsia="宋体" w:cs="Calibri" w:hint="eastAsia"/>
                <w:vanish w:val="0"/>
                <w:color w:val="000000"/>
                <w:spacing w:val="0"/>
                <w:kern w:val="0"/>
                <w:sz w:val="21"/>
                <w:szCs w:val="21"/>
              </w:rPr>
            </w:pPr>
            <w:r>
              <w:rPr>
                <w:rFonts w:ascii="宋体" w:eastAsia="宋体" w:cs="Calibri" w:hint="eastAsia"/>
                <w:vanish w:val="0"/>
                <w:color w:val="000000"/>
                <w:spacing w:val="0"/>
                <w:kern w:val="0"/>
                <w:sz w:val="21"/>
                <w:szCs w:val="21"/>
              </w:rPr>
              <w:t>七、服务要求2个：第3、6项各1个。</w:t>
            </w:r>
          </w:p>
          <w:p>
            <w:pPr>
              <w:pStyle w:val="6811"/>
              <w:pBdr>
                <w:top w:val="none" w:sz="0" w:space="0" w:color="auto"/>
                <w:left w:val="none" w:sz="0" w:space="0" w:color="auto"/>
                <w:bottom w:val="none" w:sz="0" w:space="0" w:color="auto"/>
                <w:right w:val="none" w:sz="0" w:space="0" w:color="auto"/>
              </w:pBdr>
              <w:ind w:firstLine="525" w:firstLineChars="250"/>
              <w:jc w:val="left"/>
              <w:rPr>
                <w:rFonts w:ascii="宋体" w:eastAsia="宋体" w:cs="Calibri" w:hint="eastAsia"/>
                <w:vanish w:val="0"/>
                <w:color w:val="000000"/>
                <w:spacing w:val="0"/>
                <w:kern w:val="0"/>
                <w:sz w:val="44"/>
                <w:szCs w:val="44"/>
              </w:rPr>
            </w:pPr>
            <w:r>
              <w:rPr>
                <w:rFonts w:ascii="宋体" w:eastAsia="宋体" w:cs="Calibri" w:hint="eastAsia"/>
                <w:vanish w:val="0"/>
                <w:color w:val="000000"/>
                <w:spacing w:val="0"/>
                <w:kern w:val="0"/>
                <w:sz w:val="21"/>
                <w:szCs w:val="21"/>
              </w:rPr>
              <w:t>八、实施要求4个：第1、3、6、8项各1个。</w:t>
            </w:r>
          </w:p>
        </w:tc>
      </w:tr>
    </w:tbl>
    <w:p>
      <w:pPr>
        <w:pStyle w:val="7011"/>
        <w:rPr>
          <w:rFonts w:ascii="宋体" w:eastAsia="宋体" w:cs="Calibri" w:hint="eastAsia"/>
          <w:b/>
          <w:bCs/>
          <w:spacing w:val="0"/>
          <w:kern w:val="0"/>
          <w:sz w:val="24"/>
          <w:szCs w:val="24"/>
        </w:rPr>
      </w:pPr>
      <w:r>
        <w:rPr>
          <w:rFonts w:ascii="宋体" w:eastAsia="宋体" w:cs="Calibri" w:hint="eastAsia"/>
          <w:b/>
          <w:bCs/>
          <w:spacing w:val="0"/>
          <w:kern w:val="0"/>
          <w:sz w:val="24"/>
          <w:szCs w:val="24"/>
        </w:rPr>
        <w:t>备注：</w:t>
      </w:r>
    </w:p>
    <w:p>
      <w:pPr>
        <w:pStyle w:val="7011"/>
        <w:rPr>
          <w:rFonts w:ascii="宋体" w:eastAsia="宋体" w:cs="Calibri" w:hint="eastAsia"/>
          <w:spacing w:val="0"/>
          <w:kern w:val="0"/>
          <w:sz w:val="24"/>
          <w:szCs w:val="24"/>
        </w:rPr>
      </w:pPr>
      <w:r>
        <w:rPr>
          <w:rFonts w:ascii="宋体" w:eastAsia="宋体" w:cs="Calibri" w:hint="eastAsia"/>
          <w:spacing w:val="0"/>
          <w:kern w:val="0"/>
          <w:sz w:val="24"/>
          <w:szCs w:val="24"/>
        </w:rPr>
        <w:t>①表格内容填写完整、规范，确保无缺漏项。</w:t>
      </w:r>
    </w:p>
    <w:p>
      <w:pPr>
        <w:pStyle w:val="7112"/>
        <w:rPr>
          <w:rFonts w:ascii="宋体" w:eastAsia="宋体" w:cs="Calibri" w:hint="eastAsia"/>
          <w:spacing w:val="0"/>
          <w:kern w:val="0"/>
          <w:sz w:val="24"/>
          <w:szCs w:val="24"/>
        </w:rPr>
      </w:pPr>
      <w:r>
        <w:rPr>
          <w:rFonts w:ascii="宋体" w:eastAsia="宋体" w:cs="Calibri" w:hint="eastAsia"/>
          <w:spacing w:val="0"/>
          <w:kern w:val="0"/>
          <w:sz w:val="24"/>
          <w:szCs w:val="24"/>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7112"/>
        <w:rPr>
          <w:rFonts w:ascii="宋体" w:eastAsia="宋体" w:cs="Calibri" w:hint="eastAsia"/>
          <w:spacing w:val="0"/>
          <w:kern w:val="0"/>
          <w:sz w:val="24"/>
          <w:szCs w:val="24"/>
        </w:rPr>
      </w:pPr>
      <w:r>
        <w:rPr>
          <w:rFonts w:ascii="宋体" w:eastAsia="宋体" w:cs="Calibri" w:hint="eastAsia"/>
          <w:spacing w:val="0"/>
          <w:kern w:val="0"/>
          <w:sz w:val="24"/>
          <w:szCs w:val="24"/>
        </w:rPr>
        <w:t>③需统计重要指标项和一般指标项数量，并分别填入《技术服务需求响应程度表》。</w:t>
      </w:r>
    </w:p>
    <w:p>
      <w:pPr>
        <w:pStyle w:val="38110"/>
        <w:rPr>
          <w:rFonts w:ascii="Times New Roman" w:eastAsia="宋体" w:hAnsi="Times New Roman"/>
          <w:color w:val="0000FF"/>
          <w:spacing w:val="0"/>
          <w:kern w:val="2"/>
          <w:sz w:val="21"/>
          <w:szCs w:val="21"/>
        </w:rPr>
      </w:pPr>
    </w:p>
    <w:p>
      <w:pPr>
        <w:pStyle w:val="38110"/>
        <w:rPr>
          <w:rFonts w:ascii="Times New Roman" w:eastAsia="宋体" w:hAnsi="Times New Roman" w:cs="Times New Roman" w:hint="eastAsia"/>
          <w:spacing w:val="0"/>
          <w:kern w:val="2"/>
          <w:sz w:val="21"/>
          <w:szCs w:val="21"/>
          <w:highlight w:val="white"/>
        </w:rPr>
      </w:pPr>
    </w:p>
    <w:p>
      <w:pPr>
        <w:pStyle w:val="4512"/>
        <w:pBdr>
          <w:top w:val="none" w:sz="0" w:space="0" w:color="auto"/>
          <w:left w:val="none" w:sz="0" w:space="0" w:color="auto"/>
          <w:bottom w:val="none" w:sz="0" w:space="0" w:color="auto"/>
          <w:right w:val="none" w:sz="0" w:space="0" w:color="auto"/>
        </w:pBdr>
        <w:ind w:left="0"/>
        <w:rPr>
          <w:rFonts w:ascii="Times New Roman" w:eastAsia="宋体" w:hAnsi="Times New Roman"/>
          <w:vanish w:val="0"/>
          <w:spacing w:val="0"/>
          <w:kern w:val="0"/>
          <w:sz w:val="24"/>
          <w:szCs w:val="24"/>
        </w:rPr>
      </w:pPr>
      <w:r>
        <w:rPr>
          <w:rFonts w:ascii="宋体" w:eastAsia="宋体" w:cs="Times New Roman" w:hint="eastAsia"/>
          <w:vanish w:val="0"/>
          <w:spacing w:val="0"/>
          <w:kern w:val="0"/>
          <w:sz w:val="24"/>
          <w:szCs w:val="24"/>
        </w:rPr>
        <w:t>附表</w:t>
      </w:r>
      <w:r>
        <w:rPr>
          <w:rFonts w:ascii="Times New Roman" w:eastAsia="宋体" w:hAnsi="Times New Roman"/>
          <w:vanish w:val="0"/>
          <w:spacing w:val="0"/>
          <w:kern w:val="0"/>
          <w:sz w:val="24"/>
          <w:szCs w:val="24"/>
        </w:rPr>
        <w:t>1</w:t>
      </w:r>
      <w:r>
        <w:rPr>
          <w:rFonts w:ascii="宋体" w:eastAsia="宋体" w:cs="Times New Roman" w:hint="eastAsia"/>
          <w:vanish w:val="0"/>
          <w:spacing w:val="0"/>
          <w:kern w:val="0"/>
          <w:sz w:val="24"/>
          <w:szCs w:val="24"/>
        </w:rPr>
        <w:t>： 需采购的行业标准种类</w:t>
      </w:r>
    </w:p>
    <w:p>
      <w:pPr>
        <w:pStyle w:val="50110"/>
        <w:pBdr>
          <w:top w:val="none" w:sz="0" w:space="0" w:color="auto"/>
          <w:left w:val="none" w:sz="0" w:space="0" w:color="auto"/>
          <w:bottom w:val="none" w:sz="0" w:space="0" w:color="auto"/>
          <w:right w:val="none" w:sz="0" w:space="0" w:color="auto"/>
        </w:pBdr>
        <w:jc w:val="center"/>
        <w:rPr>
          <w:rFonts w:ascii="方正小标宋_GBK" w:eastAsia="方正小标宋_GBK" w:cs="Times New Roman" w:hint="eastAsia"/>
          <w:vanish w:val="0"/>
          <w:spacing w:val="0"/>
          <w:kern w:val="2"/>
          <w:sz w:val="24"/>
          <w:szCs w:val="24"/>
        </w:rPr>
      </w:pPr>
      <w:r>
        <w:rPr>
          <w:rFonts w:ascii="方正小标宋_GBK" w:eastAsia="方正小标宋_GBK" w:cs="Times New Roman" w:hint="eastAsia"/>
          <w:vanish w:val="0"/>
          <w:spacing w:val="0"/>
          <w:kern w:val="2"/>
          <w:sz w:val="24"/>
          <w:szCs w:val="24"/>
        </w:rPr>
        <w:t>与海关业务相关的48种行业标准</w:t>
      </w:r>
    </w:p>
    <w:tbl>
      <w:tblPr>
        <w:tblW w:w="8137"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657"/>
        <w:gridCol w:w="6480"/>
      </w:tblGrid>
      <w:tr>
        <w:tblPrEx>
          <w:tblW w:w="8137"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hidden/>
          <w:trHeight w:val="471"/>
          <w:jc w:val="center"/>
        </w:trPr>
        <w:tc>
          <w:tcPr>
            <w:tcW w:w="1657"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jc w:val="center"/>
              <w:rPr>
                <w:rFonts w:ascii="Times New Roman" w:eastAsia="方正仿宋_GBK" w:hAnsi="Times New Roman"/>
                <w:b/>
                <w:bCs/>
                <w:vanish w:val="0"/>
                <w:spacing w:val="0"/>
                <w:kern w:val="0"/>
                <w:sz w:val="21"/>
                <w:szCs w:val="21"/>
              </w:rPr>
            </w:pPr>
            <w:r>
              <w:rPr>
                <w:rFonts w:ascii="方正仿宋_GBK" w:eastAsia="方正仿宋_GBK" w:cs="Times New Roman" w:hint="eastAsia"/>
                <w:b/>
                <w:bCs/>
                <w:vanish w:val="0"/>
                <w:spacing w:val="0"/>
                <w:kern w:val="0"/>
                <w:sz w:val="21"/>
                <w:szCs w:val="21"/>
              </w:rPr>
              <w:t>序号</w:t>
            </w:r>
          </w:p>
        </w:tc>
        <w:tc>
          <w:tcPr>
            <w:tcW w:w="6480" w:type="dxa"/>
            <w:tcBorders>
              <w:top w:val="single" w:sz="4" w:space="0" w:color="auto"/>
              <w:left w:val="nil"/>
              <w:bottom w:val="single" w:sz="4" w:space="0" w:color="auto"/>
              <w:right w:val="single" w:sz="4" w:space="0" w:color="auto"/>
              <w:tl2br w:val="nil"/>
              <w:tr2bl w:val="nil"/>
            </w:tcBorders>
            <w:noWrap/>
            <w:vAlign w:val="center"/>
          </w:tcPr>
          <w:p>
            <w:pPr>
              <w:pStyle w:val="502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jc w:val="center"/>
              <w:rPr>
                <w:rFonts w:ascii="Times New Roman" w:eastAsia="方正仿宋_GBK" w:hAnsi="Times New Roman"/>
                <w:vanish w:val="0"/>
                <w:spacing w:val="0"/>
                <w:kern w:val="0"/>
                <w:sz w:val="21"/>
                <w:szCs w:val="21"/>
              </w:rPr>
            </w:pPr>
            <w:r>
              <w:rPr>
                <w:rFonts w:ascii="方正仿宋_GBK" w:eastAsia="方正仿宋_GBK" w:cs="Times New Roman" w:hint="eastAsia"/>
                <w:b/>
                <w:bCs/>
                <w:vanish w:val="0"/>
                <w:spacing w:val="0"/>
                <w:kern w:val="0"/>
                <w:sz w:val="21"/>
                <w:szCs w:val="21"/>
              </w:rPr>
              <w:t>行业标准</w:t>
            </w:r>
          </w:p>
        </w:tc>
      </w:tr>
      <w:tr>
        <w:tblPrEx>
          <w:tblW w:w="8137" w:type="dxa"/>
          <w:jc w:val="center"/>
          <w:tblLayout w:type="fixed"/>
          <w:tblCellMar>
            <w:top w:w="0" w:type="dxa"/>
            <w:left w:w="108" w:type="dxa"/>
            <w:bottom w:w="0" w:type="dxa"/>
            <w:right w:w="108" w:type="dxa"/>
          </w:tblCellMar>
        </w:tblPrEx>
        <w:trPr>
          <w:hidden/>
          <w:trHeight w:val="555"/>
          <w:jc w:val="center"/>
        </w:trPr>
        <w:tc>
          <w:tcPr>
            <w:tcW w:w="1657"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bCs/>
                <w:vanish w:val="0"/>
                <w:spacing w:val="0"/>
                <w:kern w:val="0"/>
                <w:sz w:val="21"/>
                <w:szCs w:val="21"/>
              </w:rPr>
            </w:pPr>
            <w:r>
              <w:rPr>
                <w:rFonts w:ascii="Times New Roman" w:eastAsia="方正仿宋_GBK" w:hAnsi="Times New Roman"/>
                <w:bCs/>
                <w:vanish w:val="0"/>
                <w:spacing w:val="0"/>
                <w:kern w:val="0"/>
                <w:sz w:val="21"/>
                <w:szCs w:val="21"/>
              </w:rPr>
              <w:t>1</w:t>
            </w:r>
          </w:p>
        </w:tc>
        <w:tc>
          <w:tcPr>
            <w:tcW w:w="6480" w:type="dxa"/>
            <w:tcBorders>
              <w:top w:val="single" w:sz="4" w:space="0" w:color="auto"/>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bCs/>
                <w:vanish w:val="0"/>
                <w:spacing w:val="0"/>
                <w:kern w:val="0"/>
                <w:sz w:val="21"/>
                <w:szCs w:val="21"/>
              </w:rPr>
            </w:pPr>
            <w:r>
              <w:rPr>
                <w:rFonts w:ascii="方正仿宋_GBK" w:eastAsia="方正仿宋_GBK" w:cs="Times New Roman" w:hint="eastAsia"/>
                <w:bCs/>
                <w:vanish w:val="0"/>
                <w:spacing w:val="0"/>
                <w:kern w:val="0"/>
                <w:sz w:val="21"/>
                <w:szCs w:val="21"/>
              </w:rPr>
              <w:t>粮食</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林业</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地质矿产</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4</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纺织</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5</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黑色冶金</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6</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机械</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7</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煤炭</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8</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能源</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9</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农业</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10</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轻工</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11</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认证认可</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12</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石油化工</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13</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水产</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14</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稀土</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15</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有色金属</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16</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卫生</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17</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国家职业卫生</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18</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包装</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19</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城镇建设</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20</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船舶</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21</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档案</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22</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地震</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23</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公共安全</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24</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供销合作</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25</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国家物资储备</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26</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国密</w:t>
            </w:r>
          </w:p>
        </w:tc>
      </w:tr>
      <w:tr>
        <w:tblPrEx>
          <w:tblW w:w="8137" w:type="dxa"/>
          <w:jc w:val="center"/>
          <w:tblLayout w:type="fixed"/>
          <w:tblCellMar>
            <w:top w:w="0" w:type="dxa"/>
            <w:left w:w="108" w:type="dxa"/>
            <w:bottom w:w="0" w:type="dxa"/>
            <w:right w:w="108" w:type="dxa"/>
          </w:tblCellMar>
        </w:tblPrEx>
        <w:trPr>
          <w:hidden/>
          <w:trHeight w:val="300"/>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27</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国内贸易</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28</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海洋</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29</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建筑工程</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30</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劳动和劳动安全</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31</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旅游</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32</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民政</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33</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气象</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34</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体育</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35</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土地管理</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36</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文化</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37</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物资管理</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38</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新闻出版</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39</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烟草</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Times New Roman" w:eastAsia="方正仿宋_GBK" w:hAnsi="Times New Roman"/>
                <w:vanish w:val="0"/>
                <w:spacing w:val="0"/>
                <w:kern w:val="0"/>
                <w:sz w:val="21"/>
                <w:szCs w:val="21"/>
              </w:rPr>
              <w:t>40</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before="156" w:beforeAutospacing="0"/>
              <w:contextualSpacing w:val="0"/>
              <w:rPr>
                <w:rFonts w:ascii="Times New Roman" w:eastAsia="方正仿宋_GBK" w:hAnsi="Times New Roman"/>
                <w:vanish w:val="0"/>
                <w:spacing w:val="0"/>
                <w:kern w:val="0"/>
                <w:sz w:val="21"/>
                <w:szCs w:val="21"/>
              </w:rPr>
            </w:pPr>
            <w:r>
              <w:rPr>
                <w:rFonts w:ascii="方正仿宋_GBK" w:eastAsia="方正仿宋_GBK" w:cs="Times New Roman" w:hint="eastAsia"/>
                <w:vanish w:val="0"/>
                <w:spacing w:val="0"/>
                <w:kern w:val="0"/>
                <w:sz w:val="21"/>
                <w:szCs w:val="21"/>
              </w:rPr>
              <w:t>医药</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nil"/>
              <w:left w:val="single" w:sz="4" w:space="0" w:color="auto"/>
              <w:bottom w:val="single" w:sz="4" w:space="0" w:color="auto"/>
              <w:right w:val="single" w:sz="4" w:space="0" w:color="auto"/>
              <w:tl2br w:val="nil"/>
              <w:tr2bl w:val="nil"/>
            </w:tcBorders>
            <w:noWrap/>
            <w:vAlign w:val="bottom"/>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jc w:val="left"/>
              <w:rPr>
                <w:rFonts w:ascii="Times New Roman" w:eastAsia="方正仿宋_GBK" w:hAnsi="Times New Roman" w:cs="宋体"/>
                <w:vanish w:val="0"/>
                <w:spacing w:val="0"/>
                <w:kern w:val="0"/>
                <w:sz w:val="21"/>
                <w:szCs w:val="21"/>
              </w:rPr>
            </w:pPr>
            <w:r>
              <w:rPr>
                <w:rFonts w:ascii="Times New Roman" w:eastAsia="方正仿宋_GBK" w:hAnsi="Times New Roman" w:cs="宋体"/>
                <w:vanish w:val="0"/>
                <w:spacing w:val="0"/>
                <w:kern w:val="0"/>
                <w:sz w:val="21"/>
                <w:szCs w:val="21"/>
              </w:rPr>
              <w:t>41</w:t>
            </w:r>
          </w:p>
        </w:tc>
        <w:tc>
          <w:tcPr>
            <w:tcW w:w="6480" w:type="dxa"/>
            <w:tcBorders>
              <w:top w:val="nil"/>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rPr>
                <w:rFonts w:ascii="Times New Roman" w:eastAsia="方正仿宋_GBK" w:hAnsi="Times New Roman" w:cs="宋体"/>
                <w:vanish w:val="0"/>
                <w:spacing w:val="0"/>
                <w:kern w:val="0"/>
                <w:sz w:val="21"/>
                <w:szCs w:val="21"/>
              </w:rPr>
            </w:pPr>
            <w:r>
              <w:rPr>
                <w:rFonts w:ascii="方正仿宋_GBK" w:eastAsia="方正仿宋_GBK" w:cs="宋体" w:hint="eastAsia"/>
                <w:vanish w:val="0"/>
                <w:spacing w:val="0"/>
                <w:kern w:val="0"/>
                <w:sz w:val="21"/>
                <w:szCs w:val="21"/>
              </w:rPr>
              <w:t>电力</w:t>
            </w:r>
          </w:p>
        </w:tc>
      </w:tr>
      <w:tr>
        <w:tblPrEx>
          <w:tblW w:w="8137" w:type="dxa"/>
          <w:jc w:val="center"/>
          <w:tblLayout w:type="fixed"/>
          <w:tblCellMar>
            <w:top w:w="0" w:type="dxa"/>
            <w:left w:w="108" w:type="dxa"/>
            <w:bottom w:w="0" w:type="dxa"/>
            <w:right w:w="108" w:type="dxa"/>
          </w:tblCellMar>
        </w:tblPrEx>
        <w:trPr>
          <w:hidden/>
          <w:trHeight w:val="300"/>
          <w:jc w:val="center"/>
        </w:trPr>
        <w:tc>
          <w:tcPr>
            <w:tcW w:w="1657" w:type="dxa"/>
            <w:tcBorders>
              <w:top w:val="single" w:sz="4" w:space="0" w:color="auto"/>
              <w:left w:val="single" w:sz="4" w:space="0" w:color="auto"/>
              <w:bottom w:val="single" w:sz="4" w:space="0" w:color="auto"/>
              <w:right w:val="single" w:sz="4" w:space="0" w:color="auto"/>
              <w:tl2br w:val="nil"/>
              <w:tr2bl w:val="nil"/>
            </w:tcBorders>
            <w:noWrap/>
            <w:vAlign w:val="bottom"/>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jc w:val="left"/>
              <w:rPr>
                <w:rFonts w:ascii="Times New Roman" w:eastAsia="方正仿宋_GBK" w:hAnsi="Times New Roman" w:cs="宋体"/>
                <w:vanish w:val="0"/>
                <w:spacing w:val="0"/>
                <w:kern w:val="0"/>
                <w:sz w:val="21"/>
                <w:szCs w:val="21"/>
              </w:rPr>
            </w:pPr>
            <w:r>
              <w:rPr>
                <w:rFonts w:ascii="Times New Roman" w:eastAsia="方正仿宋_GBK" w:hAnsi="Times New Roman" w:cs="宋体"/>
                <w:vanish w:val="0"/>
                <w:spacing w:val="0"/>
                <w:kern w:val="0"/>
                <w:sz w:val="21"/>
                <w:szCs w:val="21"/>
              </w:rPr>
              <w:t>42</w:t>
            </w:r>
          </w:p>
        </w:tc>
        <w:tc>
          <w:tcPr>
            <w:tcW w:w="6480" w:type="dxa"/>
            <w:tcBorders>
              <w:top w:val="single" w:sz="4" w:space="0" w:color="auto"/>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rPr>
                <w:rFonts w:ascii="Times New Roman" w:eastAsia="方正仿宋_GBK" w:hAnsi="Times New Roman" w:cs="宋体"/>
                <w:vanish w:val="0"/>
                <w:spacing w:val="0"/>
                <w:kern w:val="0"/>
                <w:sz w:val="21"/>
                <w:szCs w:val="21"/>
              </w:rPr>
            </w:pPr>
            <w:r>
              <w:rPr>
                <w:rFonts w:ascii="方正仿宋_GBK" w:eastAsia="方正仿宋_GBK" w:cs="宋体" w:hint="eastAsia"/>
                <w:vanish w:val="0"/>
                <w:spacing w:val="0"/>
                <w:kern w:val="0"/>
                <w:sz w:val="21"/>
                <w:szCs w:val="21"/>
              </w:rPr>
              <w:t>核工业</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single" w:sz="4" w:space="0" w:color="auto"/>
              <w:left w:val="single" w:sz="4" w:space="0" w:color="auto"/>
              <w:bottom w:val="single" w:sz="4" w:space="0" w:color="auto"/>
              <w:right w:val="single" w:sz="4" w:space="0" w:color="auto"/>
              <w:tl2br w:val="nil"/>
              <w:tr2bl w:val="nil"/>
            </w:tcBorders>
            <w:noWrap/>
            <w:vAlign w:val="bottom"/>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jc w:val="left"/>
              <w:rPr>
                <w:rFonts w:ascii="Times New Roman" w:eastAsia="方正仿宋_GBK" w:hAnsi="Times New Roman" w:cs="宋体"/>
                <w:vanish w:val="0"/>
                <w:spacing w:val="0"/>
                <w:kern w:val="0"/>
                <w:sz w:val="21"/>
                <w:szCs w:val="21"/>
              </w:rPr>
            </w:pPr>
            <w:r>
              <w:rPr>
                <w:rFonts w:ascii="Times New Roman" w:eastAsia="方正仿宋_GBK" w:hAnsi="Times New Roman" w:cs="宋体"/>
                <w:vanish w:val="0"/>
                <w:spacing w:val="0"/>
                <w:kern w:val="0"/>
                <w:sz w:val="21"/>
                <w:szCs w:val="21"/>
              </w:rPr>
              <w:t>43</w:t>
            </w:r>
          </w:p>
        </w:tc>
        <w:tc>
          <w:tcPr>
            <w:tcW w:w="6480" w:type="dxa"/>
            <w:tcBorders>
              <w:top w:val="single" w:sz="4" w:space="0" w:color="auto"/>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rPr>
                <w:rFonts w:ascii="Times New Roman" w:eastAsia="方正仿宋_GBK" w:hAnsi="Times New Roman" w:cs="宋体"/>
                <w:vanish w:val="0"/>
                <w:spacing w:val="0"/>
                <w:kern w:val="0"/>
                <w:sz w:val="21"/>
                <w:szCs w:val="21"/>
              </w:rPr>
            </w:pPr>
            <w:r>
              <w:rPr>
                <w:rFonts w:ascii="方正仿宋_GBK" w:eastAsia="方正仿宋_GBK" w:cs="宋体" w:hint="eastAsia"/>
                <w:vanish w:val="0"/>
                <w:spacing w:val="0"/>
                <w:kern w:val="0"/>
                <w:sz w:val="21"/>
                <w:szCs w:val="21"/>
              </w:rPr>
              <w:t>化工</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single" w:sz="4" w:space="0" w:color="auto"/>
              <w:left w:val="single" w:sz="4" w:space="0" w:color="auto"/>
              <w:bottom w:val="single" w:sz="4" w:space="0" w:color="auto"/>
              <w:right w:val="single" w:sz="4" w:space="0" w:color="auto"/>
              <w:tl2br w:val="nil"/>
              <w:tr2bl w:val="nil"/>
            </w:tcBorders>
            <w:noWrap/>
            <w:vAlign w:val="bottom"/>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jc w:val="left"/>
              <w:rPr>
                <w:rFonts w:ascii="Times New Roman" w:eastAsia="方正仿宋_GBK" w:hAnsi="Times New Roman" w:cs="宋体"/>
                <w:vanish w:val="0"/>
                <w:spacing w:val="0"/>
                <w:kern w:val="0"/>
                <w:sz w:val="21"/>
                <w:szCs w:val="21"/>
              </w:rPr>
            </w:pPr>
            <w:r>
              <w:rPr>
                <w:rFonts w:ascii="Times New Roman" w:eastAsia="方正仿宋_GBK" w:hAnsi="Times New Roman" w:cs="宋体"/>
                <w:vanish w:val="0"/>
                <w:spacing w:val="0"/>
                <w:kern w:val="0"/>
                <w:sz w:val="21"/>
                <w:szCs w:val="21"/>
              </w:rPr>
              <w:t>44</w:t>
            </w:r>
          </w:p>
        </w:tc>
        <w:tc>
          <w:tcPr>
            <w:tcW w:w="6480" w:type="dxa"/>
            <w:tcBorders>
              <w:top w:val="single" w:sz="4" w:space="0" w:color="auto"/>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rPr>
                <w:rFonts w:ascii="Times New Roman" w:eastAsia="方正仿宋_GBK" w:hAnsi="Times New Roman" w:cs="宋体"/>
                <w:vanish w:val="0"/>
                <w:spacing w:val="0"/>
                <w:kern w:val="0"/>
                <w:sz w:val="21"/>
                <w:szCs w:val="21"/>
              </w:rPr>
            </w:pPr>
            <w:r>
              <w:rPr>
                <w:rFonts w:ascii="方正仿宋_GBK" w:eastAsia="方正仿宋_GBK" w:cs="宋体" w:hint="eastAsia"/>
                <w:vanish w:val="0"/>
                <w:spacing w:val="0"/>
                <w:kern w:val="0"/>
                <w:sz w:val="21"/>
                <w:szCs w:val="21"/>
              </w:rPr>
              <w:t>环境保护</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single" w:sz="4" w:space="0" w:color="auto"/>
              <w:left w:val="single" w:sz="4" w:space="0" w:color="auto"/>
              <w:bottom w:val="single" w:sz="4" w:space="0" w:color="auto"/>
              <w:right w:val="single" w:sz="4" w:space="0" w:color="auto"/>
              <w:tl2br w:val="nil"/>
              <w:tr2bl w:val="nil"/>
            </w:tcBorders>
            <w:noWrap/>
            <w:vAlign w:val="bottom"/>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jc w:val="left"/>
              <w:rPr>
                <w:rFonts w:ascii="Times New Roman" w:eastAsia="方正仿宋_GBK" w:hAnsi="Times New Roman" w:cs="宋体"/>
                <w:vanish w:val="0"/>
                <w:spacing w:val="0"/>
                <w:kern w:val="0"/>
                <w:sz w:val="21"/>
                <w:szCs w:val="21"/>
              </w:rPr>
            </w:pPr>
            <w:r>
              <w:rPr>
                <w:rFonts w:ascii="Times New Roman" w:eastAsia="方正仿宋_GBK" w:hAnsi="Times New Roman" w:cs="宋体"/>
                <w:vanish w:val="0"/>
                <w:spacing w:val="0"/>
                <w:kern w:val="0"/>
                <w:sz w:val="21"/>
                <w:szCs w:val="21"/>
              </w:rPr>
              <w:t>45</w:t>
            </w:r>
          </w:p>
        </w:tc>
        <w:tc>
          <w:tcPr>
            <w:tcW w:w="6480" w:type="dxa"/>
            <w:tcBorders>
              <w:top w:val="single" w:sz="4" w:space="0" w:color="auto"/>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rPr>
                <w:rFonts w:ascii="Times New Roman" w:eastAsia="方正仿宋_GBK" w:hAnsi="Times New Roman" w:cs="宋体"/>
                <w:vanish w:val="0"/>
                <w:spacing w:val="0"/>
                <w:kern w:val="0"/>
                <w:sz w:val="21"/>
                <w:szCs w:val="21"/>
              </w:rPr>
            </w:pPr>
            <w:r>
              <w:rPr>
                <w:rFonts w:ascii="方正仿宋_GBK" w:eastAsia="方正仿宋_GBK" w:cs="宋体" w:hint="eastAsia"/>
                <w:vanish w:val="0"/>
                <w:spacing w:val="0"/>
                <w:kern w:val="0"/>
                <w:sz w:val="21"/>
                <w:szCs w:val="21"/>
              </w:rPr>
              <w:t>建材</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single" w:sz="4" w:space="0" w:color="auto"/>
              <w:left w:val="single" w:sz="4" w:space="0" w:color="auto"/>
              <w:bottom w:val="single" w:sz="4" w:space="0" w:color="auto"/>
              <w:right w:val="single" w:sz="4" w:space="0" w:color="auto"/>
              <w:tl2br w:val="nil"/>
              <w:tr2bl w:val="nil"/>
            </w:tcBorders>
            <w:noWrap/>
            <w:vAlign w:val="bottom"/>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jc w:val="left"/>
              <w:rPr>
                <w:rFonts w:ascii="Times New Roman" w:eastAsia="方正仿宋_GBK" w:hAnsi="Times New Roman" w:cs="宋体"/>
                <w:vanish w:val="0"/>
                <w:spacing w:val="0"/>
                <w:kern w:val="0"/>
                <w:sz w:val="21"/>
                <w:szCs w:val="21"/>
              </w:rPr>
            </w:pPr>
            <w:r>
              <w:rPr>
                <w:rFonts w:ascii="Times New Roman" w:eastAsia="方正仿宋_GBK" w:hAnsi="Times New Roman" w:cs="宋体"/>
                <w:vanish w:val="0"/>
                <w:spacing w:val="0"/>
                <w:kern w:val="0"/>
                <w:sz w:val="21"/>
                <w:szCs w:val="21"/>
              </w:rPr>
              <w:t>46</w:t>
            </w:r>
          </w:p>
        </w:tc>
        <w:tc>
          <w:tcPr>
            <w:tcW w:w="6480" w:type="dxa"/>
            <w:tcBorders>
              <w:top w:val="single" w:sz="4" w:space="0" w:color="auto"/>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rPr>
                <w:rFonts w:ascii="Times New Roman" w:eastAsia="方正仿宋_GBK" w:hAnsi="Times New Roman" w:cs="宋体"/>
                <w:vanish w:val="0"/>
                <w:spacing w:val="0"/>
                <w:kern w:val="0"/>
                <w:sz w:val="21"/>
                <w:szCs w:val="21"/>
              </w:rPr>
            </w:pPr>
            <w:r>
              <w:rPr>
                <w:rFonts w:ascii="方正仿宋_GBK" w:eastAsia="方正仿宋_GBK" w:cs="宋体" w:hint="eastAsia"/>
                <w:vanish w:val="0"/>
                <w:spacing w:val="0"/>
                <w:kern w:val="0"/>
                <w:sz w:val="21"/>
                <w:szCs w:val="21"/>
              </w:rPr>
              <w:t>汽车</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single" w:sz="4" w:space="0" w:color="auto"/>
              <w:left w:val="single" w:sz="4" w:space="0" w:color="auto"/>
              <w:bottom w:val="single" w:sz="4" w:space="0" w:color="auto"/>
              <w:right w:val="single" w:sz="4" w:space="0" w:color="auto"/>
              <w:tl2br w:val="nil"/>
              <w:tr2bl w:val="nil"/>
            </w:tcBorders>
            <w:noWrap/>
            <w:vAlign w:val="bottom"/>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jc w:val="left"/>
              <w:rPr>
                <w:rFonts w:ascii="Times New Roman" w:eastAsia="方正仿宋_GBK" w:hAnsi="Times New Roman" w:cs="宋体"/>
                <w:vanish w:val="0"/>
                <w:spacing w:val="0"/>
                <w:kern w:val="0"/>
                <w:sz w:val="21"/>
                <w:szCs w:val="21"/>
              </w:rPr>
            </w:pPr>
            <w:r>
              <w:rPr>
                <w:rFonts w:ascii="Times New Roman" w:eastAsia="方正仿宋_GBK" w:hAnsi="Times New Roman" w:cs="宋体"/>
                <w:vanish w:val="0"/>
                <w:spacing w:val="0"/>
                <w:kern w:val="0"/>
                <w:sz w:val="21"/>
                <w:szCs w:val="21"/>
              </w:rPr>
              <w:t>47</w:t>
            </w:r>
          </w:p>
        </w:tc>
        <w:tc>
          <w:tcPr>
            <w:tcW w:w="6480" w:type="dxa"/>
            <w:tcBorders>
              <w:top w:val="single" w:sz="4" w:space="0" w:color="auto"/>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rPr>
                <w:rFonts w:ascii="Times New Roman" w:eastAsia="方正仿宋_GBK" w:hAnsi="Times New Roman" w:cs="宋体"/>
                <w:vanish w:val="0"/>
                <w:spacing w:val="0"/>
                <w:kern w:val="0"/>
                <w:sz w:val="21"/>
                <w:szCs w:val="21"/>
              </w:rPr>
            </w:pPr>
            <w:r>
              <w:rPr>
                <w:rFonts w:ascii="方正仿宋_GBK" w:eastAsia="方正仿宋_GBK" w:cs="宋体" w:hint="eastAsia"/>
                <w:vanish w:val="0"/>
                <w:spacing w:val="0"/>
                <w:kern w:val="0"/>
                <w:sz w:val="21"/>
                <w:szCs w:val="21"/>
              </w:rPr>
              <w:t>电子</w:t>
            </w:r>
          </w:p>
        </w:tc>
      </w:tr>
      <w:tr>
        <w:tblPrEx>
          <w:tblW w:w="8137" w:type="dxa"/>
          <w:jc w:val="center"/>
          <w:tblLayout w:type="fixed"/>
          <w:tblCellMar>
            <w:top w:w="0" w:type="dxa"/>
            <w:left w:w="108" w:type="dxa"/>
            <w:bottom w:w="0" w:type="dxa"/>
            <w:right w:w="108" w:type="dxa"/>
          </w:tblCellMar>
        </w:tblPrEx>
        <w:trPr>
          <w:hidden/>
          <w:trHeight w:val="288"/>
          <w:jc w:val="center"/>
        </w:trPr>
        <w:tc>
          <w:tcPr>
            <w:tcW w:w="1657" w:type="dxa"/>
            <w:tcBorders>
              <w:top w:val="single" w:sz="4" w:space="0" w:color="auto"/>
              <w:left w:val="single" w:sz="4" w:space="0" w:color="auto"/>
              <w:bottom w:val="single" w:sz="4" w:space="0" w:color="auto"/>
              <w:right w:val="single" w:sz="4" w:space="0" w:color="auto"/>
              <w:tl2br w:val="nil"/>
              <w:tr2bl w:val="nil"/>
            </w:tcBorders>
            <w:noWrap/>
            <w:vAlign w:val="bottom"/>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jc w:val="left"/>
              <w:rPr>
                <w:rFonts w:ascii="Times New Roman" w:eastAsia="方正仿宋_GBK" w:hAnsi="Times New Roman" w:cs="宋体"/>
                <w:vanish w:val="0"/>
                <w:spacing w:val="0"/>
                <w:kern w:val="0"/>
                <w:sz w:val="21"/>
                <w:szCs w:val="21"/>
              </w:rPr>
            </w:pPr>
            <w:r>
              <w:rPr>
                <w:rFonts w:ascii="Times New Roman" w:eastAsia="方正仿宋_GBK" w:hAnsi="Times New Roman" w:cs="宋体"/>
                <w:vanish w:val="0"/>
                <w:spacing w:val="0"/>
                <w:kern w:val="0"/>
                <w:sz w:val="21"/>
                <w:szCs w:val="21"/>
              </w:rPr>
              <w:t>48</w:t>
            </w:r>
          </w:p>
        </w:tc>
        <w:tc>
          <w:tcPr>
            <w:tcW w:w="6480" w:type="dxa"/>
            <w:tcBorders>
              <w:top w:val="single" w:sz="4" w:space="0" w:color="auto"/>
              <w:left w:val="nil"/>
              <w:bottom w:val="single" w:sz="4" w:space="0" w:color="auto"/>
              <w:right w:val="single" w:sz="4" w:space="0" w:color="auto"/>
              <w:tl2br w:val="nil"/>
              <w:tr2bl w:val="nil"/>
            </w:tcBorders>
            <w:noWrap/>
            <w:vAlign w:val="center"/>
          </w:tcPr>
          <w:p>
            <w:pPr>
              <w:pStyle w:val="50110"/>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rPr>
                <w:rFonts w:ascii="Times New Roman" w:eastAsia="方正仿宋_GBK" w:hAnsi="Times New Roman" w:cs="宋体"/>
                <w:vanish w:val="0"/>
                <w:spacing w:val="0"/>
                <w:kern w:val="0"/>
                <w:sz w:val="21"/>
                <w:szCs w:val="21"/>
              </w:rPr>
            </w:pPr>
            <w:r>
              <w:rPr>
                <w:rFonts w:ascii="方正仿宋_GBK" w:eastAsia="方正仿宋_GBK" w:cs="宋体" w:hint="eastAsia"/>
                <w:vanish w:val="0"/>
                <w:spacing w:val="0"/>
                <w:kern w:val="0"/>
                <w:sz w:val="21"/>
                <w:szCs w:val="21"/>
              </w:rPr>
              <w:t>石油天然气</w:t>
            </w:r>
          </w:p>
        </w:tc>
      </w:tr>
    </w:tbl>
    <w:p>
      <w:pPr>
        <w:pStyle w:val="4512"/>
        <w:pBdr>
          <w:top w:val="none" w:sz="0" w:space="0" w:color="auto"/>
          <w:left w:val="none" w:sz="0" w:space="0" w:color="auto"/>
          <w:bottom w:val="none" w:sz="0" w:space="0" w:color="auto"/>
          <w:right w:val="none" w:sz="0" w:space="0" w:color="auto"/>
        </w:pBdr>
        <w:ind w:left="0"/>
        <w:rPr>
          <w:rFonts w:ascii="Calibri" w:eastAsia="宋体" w:hAnsi="Calibri" w:cs="Times New Roman"/>
          <w:vanish w:val="0"/>
          <w:spacing w:val="0"/>
          <w:kern w:val="0"/>
          <w:sz w:val="24"/>
          <w:szCs w:val="24"/>
        </w:rPr>
      </w:pPr>
      <w:r>
        <w:rPr>
          <w:rFonts w:ascii="宋体" w:eastAsia="宋体" w:cs="Times New Roman" w:hint="eastAsia"/>
          <w:vanish w:val="0"/>
          <w:spacing w:val="0"/>
          <w:kern w:val="0"/>
          <w:sz w:val="24"/>
          <w:szCs w:val="24"/>
        </w:rPr>
        <w:t>附表</w:t>
      </w:r>
      <w:r>
        <w:rPr>
          <w:rFonts w:ascii="Times New Roman" w:eastAsia="宋体" w:hAnsi="Times New Roman"/>
          <w:vanish w:val="0"/>
          <w:spacing w:val="0"/>
          <w:kern w:val="0"/>
          <w:sz w:val="24"/>
          <w:szCs w:val="24"/>
        </w:rPr>
        <w:t>2</w:t>
      </w:r>
      <w:r>
        <w:rPr>
          <w:rFonts w:ascii="宋体" w:eastAsia="宋体" w:cs="Times New Roman" w:hint="eastAsia"/>
          <w:vanish w:val="0"/>
          <w:color w:val="000000"/>
          <w:spacing w:val="0"/>
          <w:kern w:val="0"/>
          <w:sz w:val="24"/>
          <w:szCs w:val="24"/>
        </w:rPr>
        <w:t>： 需采购的国外标准名录</w:t>
      </w:r>
    </w:p>
    <w:tbl>
      <w:tblPr>
        <w:tblW w:w="8126" w:type="dxa"/>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646"/>
        <w:gridCol w:w="1720"/>
        <w:gridCol w:w="5161"/>
        <w:gridCol w:w="599"/>
      </w:tblGrid>
      <w:tr>
        <w:tblPrEx>
          <w:tblW w:w="8126" w:type="dxa"/>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b/>
                <w:bCs w:val="0"/>
                <w:spacing w:val="0"/>
                <w:kern w:val="2"/>
                <w:sz w:val="20"/>
                <w:szCs w:val="20"/>
              </w:rPr>
            </w:pPr>
            <w:r>
              <w:rPr>
                <w:rFonts w:ascii="方正仿宋_GBK" w:eastAsia="方正仿宋_GBK" w:cs="Times New Roman" w:hint="eastAsia"/>
                <w:b/>
                <w:bCs w:val="0"/>
                <w:spacing w:val="0"/>
                <w:kern w:val="2"/>
                <w:sz w:val="20"/>
                <w:szCs w:val="20"/>
              </w:rPr>
              <w:t>序号</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标准编号（含年号）</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b/>
                <w:bCs w:val="0"/>
                <w:spacing w:val="0"/>
                <w:kern w:val="2"/>
                <w:sz w:val="20"/>
                <w:szCs w:val="20"/>
              </w:rPr>
            </w:pPr>
            <w:r>
              <w:rPr>
                <w:rFonts w:ascii="方正仿宋_GBK" w:eastAsia="方正仿宋_GBK" w:cs="Times New Roman" w:hint="eastAsia"/>
                <w:b/>
                <w:bCs w:val="0"/>
                <w:spacing w:val="0"/>
                <w:kern w:val="2"/>
                <w:sz w:val="20"/>
                <w:szCs w:val="20"/>
              </w:rPr>
              <w:t>标准名称</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b/>
                <w:bCs w:val="0"/>
                <w:spacing w:val="0"/>
                <w:kern w:val="2"/>
                <w:sz w:val="20"/>
                <w:szCs w:val="20"/>
              </w:rPr>
            </w:pPr>
            <w:r>
              <w:rPr>
                <w:rFonts w:ascii="方正仿宋_GBK" w:eastAsia="方正仿宋_GBK" w:cs="Times New Roman" w:hint="eastAsia"/>
                <w:b/>
                <w:bCs w:val="0"/>
                <w:spacing w:val="0"/>
                <w:kern w:val="2"/>
                <w:sz w:val="20"/>
                <w:szCs w:val="20"/>
              </w:rPr>
              <w:t>备注</w:t>
            </w:r>
          </w:p>
        </w:tc>
      </w:tr>
      <w:tr>
        <w:tblPrEx>
          <w:tblW w:w="8126" w:type="dxa"/>
          <w:jc w:val="left"/>
          <w:tblInd w:w="0" w:type="dxa"/>
          <w:tblLayout w:type="fixed"/>
          <w:tblCellMar>
            <w:top w:w="0" w:type="dxa"/>
            <w:left w:w="108" w:type="dxa"/>
            <w:bottom w:w="0" w:type="dxa"/>
            <w:right w:w="108" w:type="dxa"/>
          </w:tblCellMar>
        </w:tblPrEx>
        <w:trPr>
          <w:trHeight w:val="1038"/>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AUTO01-A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Automation: Specimen Container/Specimen Carrier; Approved Standard</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 xml:space="preserve">Clinical and Laboratory Standards Institute </w:t>
            </w:r>
            <w:r>
              <w:rPr>
                <w:rFonts w:ascii="方正仿宋_GBK" w:eastAsia="方正仿宋_GBK" w:cs="Times New Roman" w:hint="eastAsia"/>
                <w:spacing w:val="0"/>
                <w:kern w:val="2"/>
                <w:sz w:val="20"/>
                <w:szCs w:val="20"/>
              </w:rPr>
              <w:t>标准</w:t>
            </w: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AUTO10-A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Autoverification of Clinical Laboratory Test Results;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AUTO11-ED3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Information Technology Security of In Vitro Diagnostic Instruments and Software Systems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7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AUTO12-A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Specimen Labels: Content and Location, Fonts, and Label Orientation; Approved Standard</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AUTO13-A2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Instruments and Data Management Systems: Design of Software User Interfaces and End-User Software Systems Validation, Operation, and Monitoring;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AUTO15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Autoverification of Medical Laboratory Results for Specific Disciplines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AUTO16</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Next-Generation In Vitro Diagnostic Instrument Interface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AUTO17</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Semantic Interoperability for In Vitro Diagnostic Systems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AUTO2-A2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Automation: Bar Codes for Specimen Container Identification; Approved Standard</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AUTO3-A2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Automation: Communications With Automated Clinical Laboratory Systems, Instruments, Devices, and Information Systems; Approved Standard</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AUTO8-A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Managing and Validating Laboratory Information Systems;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C24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Statistical Quality Control for Quantitative Measurement Procedures: Principles and Definitions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C31-A2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Ionized Calcium Determinations: Precollection Variables, Specimen Choice, Collection, and Handling;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C34-ED5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Sweat Testing: Specimen Collection and Quantitative Chloride Analysis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C37-A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Preparation and Validation of Commutable Frozen Human Serum Pools as Secondary Reference Materials for Cholesterol Measurement Procedures;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C38</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Control of Preexamination Variation in Trace Element Determinations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C40</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Measurement Procedures for the Determination of Lead in Whole Blood</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C43-A2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Gas Chromatography/Mass Spectrometry Confirmation of Drugs;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C46-A2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Blood Gas and pH Analysis and Related Measurements;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C49</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Analysis of Body Fluids in Clinical Chemistry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C50-A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Mass Spectrometry in the Clinical Laboratory: General Principles and Guidance;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C52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Toxicology and Drug Testing in the Medical Laboratory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C56-A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Hemolysis, Icterus, and Lipemia/Turbidity Indices as Indicators of Interference in Clinical Laboratory Analysis;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C57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Mass Spectrometry for Androgen and Estrogen Measurements in Serum</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C58-A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Assessment of Fetal Lung Maturity by the Lamellar Body Count;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C62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Liquid Chromatography-Mass Spectrometry Methods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C63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Support for Pain Management Programs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C64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Quantitative Measurement of Proteins and Peptides by Mass Spectrometry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EP05-A3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Precision Performance of Quantitative Measurement Methods;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EP06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Linearity of Quantitative Measurement Procedures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EP06-EG</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Developer Validation of Linearity Establishment Guide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EP06IG</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User Verification of Linearity Implementation Guide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EP07</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Interference Testing in Clinical Chemistry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EP09C</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Measurement Procedure Comparison and Bias Estimation Using Patient Samples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EP10</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Preliminary Evaluation of Quantitative Medical Laboratory Measurement Procedures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EP10-A3-AMD</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Preliminary Evaluation of Quantitative Clinical Laboratory Measurement Procedures;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Qualitative, Binary Output Examination Performance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EP14-A4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Commutability of Processed Samples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EP15-A3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User Verification of Precision and Estimation of Bias;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EP15IG1</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User Verification of Precision Implementation Guide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EP15IG2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User Verification of Bias (Trueness) Implementation Guide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EP17-A2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Detection Capability for Clinical Laboratory Measurement Procedures;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EP17-IG</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Detection Capability Implementation Guide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EP18-A2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Risk Management Techniques to Identify and Control Laboratory Error Sources;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EP19</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 Framework for Using CLSI Documents to Evaluate Medical Laboratory Test Methods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EP21</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Total Analytical Error for Quantitative Medical Laboratory Measurement Procedures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EP21IG</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Total Analytical Error for Quantitative Medical Laboratory Measurement Procedures Implementation Guide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Quality Control Based on Risk Management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EP24-A2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Assessment of the Diagnostic Accuracy of Laboratory Tests Using Receiver Operating Characteristic Curves;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Stability of In Vitro Medical Laboratory Test Reagents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EP26</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User Evaluation of Acceptability of a Reagent Lot Change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EP26IG</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User Evaluation of Acceptability of a Reagent Lot Change Implementation Guide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EP27</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Constructing and Interpreting an Error Grid for Quantitative Measurement Procedures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EP28-A3C</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Defining, Establishing, and Verifying Reference Intervals in the Clinical Laboratory;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EP29-A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Expression of Measurement Uncertainty in Laboratory Medicine;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EP30</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Characterization and Qualification of Commutable Reference Materials for Laboratory Medicine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EP31-A-IR</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Verification of Comparability of Patient Results Within One Health Care System;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Implementation of Metrological Traceability in Laboratory Medicine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Use of Delta Checks in the Medical Laboratory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Establishing and Verifying an Extended Measuring Interval Through Specimen Dilution and Spiking</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EP34IG</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Verification of an Extended Measuring Interval Implementation Guide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Assessment of Equivalence or Suitability of Specimen Types for Medical Laboratory Measurement Procedures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EP36</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Harmonization of Symbology and Equations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EP37</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Supplemental Tables for Interference Testing in Clinical Chemistry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EP39</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 Hierarchical Approach to Selecting Surrogate Samples for the Evaluation of In Vitro Medical Laboratory Tests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EP43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Implementing a Laboratory Test Under Emergency Use Conditions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EP46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Determining Allowable Total Error Goals and Limits for Quantitative Medical Laboratory Measurement Procedures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EP47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Evaluation of Reagent Carryover Effects on Test Results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GP05-A3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Clinical Laboratory Waste Management;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GP17-A3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Clinical Laboratory Safety;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GP31-A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Instrument Implementation, Verification, and Maintenance;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GP34-A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Validation and Verification of Tubes for Venous and Capillary Blood Specimen Collection;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GP36-A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Planning for Laboratory Operations During a Disaster;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72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GP38APKGE</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GP38-A: QUALITY MANAGEMENT SYSTEM: LEADERSHIP AND MANAGEMENT ROLES AND RESPONSIBILITIES; APPROVED GUIDELINE AND GP38-A EXECUTIVE SUMMARY: QUALITY MANAGEMENT SYSTEM: LEADERSHIP AND MANAGEMENT ROLES AND RESPONSIBILITIES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GP39-A6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Tubes and Additives for Venous and Capillary Blood Specimen Collection;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GP40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Preparation and Testing of Reagent Water in  the Medical Laboratory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GP42-A7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Collection of Capillary Blood Specimens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GP47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Management of Critical- and Significant-Risk Results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GP47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Management of Critical- and Significant-Risk Results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GP47ES SUPP</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Management of Critical- and Significant-Risk Results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GP48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Essential Elements of a Phlebotomy Training Program</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GP49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Developing and Managing a Medical Laboratory (Test) Utilization Management Program</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H02-A5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Procedures for the Erythrocyte Sedimentation Rate Test;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H07-A3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Procedure for Determining Packed Cell Volume by the Microhematocrit Method;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H15-A3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Reference and Selected Procedures for the Quantitative Determination of Hemoglobin in Blood;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H17-A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Determination of Serum Iron, Total Iron-Binding Capacity and Percent Transferrin Saturation;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H20-A2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Reference Leukocyte (WBC) Differential Count (Proportional) and Evaluation of Instrumental Methods;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Collection, Transport, and Processing of Blood Specimens for Testing Plasma-Based Coagulation Assays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H22-P</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Histochemical Method for Leukocyte Alkaline Phosphatase, Proposed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H26-A2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Validation, Verification, and Quality Assurance of Automated Hematology Analyzers;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H42-A2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Enumeration of Immunologically Defined Cell Populations by Flow Cytometry;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H43-A2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Clinical Flow Cytometric Analysis of Neoplastic Hematolymphoid Cells;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H45-A2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of the Bleeding Time Test;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H47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One-Stage Prothrombin Time (PT) Test and Activated Partial Thromboplastin Time (APTT) Test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H48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Determination of Coagulation Factor Activities Using the One-Stage Clotting Assay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H52-A2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Red Blood Cell Diagnostic Testing Using Flow Cytometry;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H54-A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Procedures for Validation of INR and Local Calibration of PT/INR Systems;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H56-A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Body Fluid Analysis for Cellular Composition;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99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H57-A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Protocol for the Evaluation, Validation, and Implementation of Coagulometers;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H58-A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Platelet Function Testing by Aggregometry;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H59-A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Quantitative D-dimer for the Exclusion of Venous Thromboembolic Disease;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H60-A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Testing for the Lupus Anticoagulant;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H62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Validation of Assays Performed by Flow Cytometry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HS1-A2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 Quality Management System Model for Health Care;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I/LA15-A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Apolipoprotein Immunoassays: Development and Recommended Performance Characteristics;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I/LA18-A2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Specifications for Immunological Testing for Infectious Diseases;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I/LA20-ED3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Analytical Performance Characteristics, Quality Assurance, and Clinical Utility of Immunological Assays for Human Immunoglobulin E Antibodies of Defined Allergen Specificities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I/LA21-A2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Clinical Evaluation of Immunoassays;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109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I/LA25-A2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Maternal Serum Screening;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I/LA26-A2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of Single Cell Immune Response Assays;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I/LA28-A2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Assurance for Design Control and Implementation of Immunohistochemistry Assays;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I/LA29-A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Detection of HLA-Specific Alloantibody by Flow Cytometry and Solid Phase Assays;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I/LA31-A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for Preterm, Low Birth Weight, and Sick Newborns;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I/LA32-A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by Tandem Mass Spectrometry;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I/LA35-A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for Cystic Fibrosis;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I03-A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Standards for Relating Spectrophotometer Performance Characteristics to Analytical Goals;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LDTSTAGE1E</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LDT Regulatory Guidance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M02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Standards for Antimicrobial Disk Susceptibility Tests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72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119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M02,M07,M100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M02 Performance Standards for Antimicrobial Disk Susceptibility Tests; M07 Methods for Dilution Antimicrobial Susceptibility Tests for Bacteria That Grow Aerobically; M100 Performance Standards for Antimicrobial Susceptibility Testing</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M02,M100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M02 Performance Standards for Antimicrobial Disk Susceptibility Tests; M100 Performance Standards for Antimicrobial Susceptibility Testing</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M07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Methods for Dilution Antimicrobial Susceptibility Tests for Bacteria That Grow Aerobically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M07,M100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M07 Methods for Dilution Antimicrobial Susceptibility Tests for Bacteria That Grow Aerobically; M100 Performance Standards for Antimicrobial Susceptibility Testing</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M100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Standards for Antimicrobial Susceptibility Testing</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Methods for Antimicrobial Susceptibility Testing of Anaerobic Bacteria</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M15-A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Diagnosis of Blood-borne Parasitic Diseases;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M22-A3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Control for Commercially Prepared Microbiological Culture Media;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Development of In Vitro Susceptibility Testing Criteria and Quality Control Parameters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M23S</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Procedure for Optimizing Disk Contents (Potencies) for Disk Diffusion Testing of Antimicrobial Agents Using Harmonized CLSI and EUCAST Criteria</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129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M23S2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Process to Submit Disk Content (Potency) Data for Joint CLSI-EUCAST Working Group Review and Approval</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Susceptibility Testing of Mycobacteria, Nocardia spp., and Other Aerobic Actinomycetes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M24S</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Standards for Susceptibility Testing of Mycobacteria, Nocardia spp., and Other Aerobic Actinomycetes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M26-A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Methods for Determining Bactericidal Activity of Antimicrobial Agents;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Reference Method for Broth Dilution Antifungal Susceptibility Testing of Yeasts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M27M44S</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Standards for Antifungal Susceptibility Testing of Yeasts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M28-A2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Procedures for the Recovery and Identification of Parasites From the Intestinal Tract;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M29-A4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Protection of Laboratory Workers From Occupationally Acquired Infections;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M35-A2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Abbreviated Identification of Bacteria and Yeast;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M38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Reference Method for Broth Dilution Antifungal Susceptibility Testing of Filamentous Fungi</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139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M38M51S</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Standards for Antifungal Susceptibility Testing of Filamentous Fungi</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M39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Analysis and Presentation of Cumulative Antimicrobial Susceptibility Test Data</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M39QG</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Antibiograms: Developing Cumulative Reports for Your Clinicians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M40-A2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Control of Microbiological Transport Systems; Approved Standard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M43-A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Methods for Antimicrobial Susceptibility Testing for Human Mycoplasmas;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M44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 for Antifungal Disk Diffusion Susceptibility Testing of Yeasts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M45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Methods for Antimicrobial Dilution and Disk Susceptibility Testing of Infrequently Isolated or Fastidious Bacteria</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M47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Principles and Procedures for Blood Cultures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M48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Detection and Identification of Mycobacteria</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M50-A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Control for Commercial Microbial Identification Systems;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149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M51-A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 for Antifungal Disk Diffusion Susceptibility Testing of Nondermatophyte Filamentous Fungi;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M52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Verification of Commercial Microbial Identification and Antimicrobial Susceptibility Testing Systems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M53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Criteria for Laboratory Testing and Diagnosis of Human Immunodeficiency Virus Infection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M54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Principles and Procedures for Detection and Culture of Fungi in Clinical Specimens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M56-A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Principles and Procedures for Detection of Anaerobes in Clinical Specimens;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M57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Principles and Procedures for the Development of Epidemiological Cutoff Values for Antifungal Susceptibility Testing</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M57S</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Epidemiological Cutoff Values for Antifungal Susceptibility Testing</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M58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Methods for the Identification of Cultured Microorganisms Using Matrix-Assisted Laser Desorption/Ionization Time-of-Flight Mass Spectrometry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M64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Implementation of Taxonomy Nomenclature Changes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MM01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Molecular Testing for Heritable Genetics and Specimen Identification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159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MM03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Molecular Diagnostic Methods for Infectious Diseases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MM05-A2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Nucleic Acid Amplification Assays for Molecular Hematopathology;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MM06-A2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Quantitative Molecular Methods for Infectious Diseases;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MM07-A2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Fluorescence In Situ Hybridization Methods for Clinical Laboratories;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MM09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Human Genetic and Genomic Testing Using Traditional and High-Throughput Nucleic Acid Sequencing Methods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Collection, Transport, Preparation, and Storage of Specimens for Molecular Methods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Design of Molecular Proficiency Testing/ External Quality Assessment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Validation and Verification of Multiplex Nucleic Acid Assays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Interpretive Criteria for Identification of Bacteria and Fungi by Targeted DNA Sequencing</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MM19-A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Establishing Molecular Testing in Clinical Laboratory Environments;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169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MM20-A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Management for Molecular Genetic Testing;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Genomic Copy Number Microarrays for Constitutional Genetic and Oncology Applications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171</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Microarrays for Diagnosis and Monitoring of Infectious Diseases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172</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MM23-ED2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Molecular Diagnostic Methods for Solid Tumors (Nonhematologic Neoplasms)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173</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Molecular Methods for Genotyping and Strain Typing of Infectious Organisms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174</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MM26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Cancer Molecular Testing: Principles of Oncology Test Interpretation, Laboratory and Assay Design, and Clinical Consultation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175</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NBS01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Dried Blood Spot Specimen Collection for Newborn Screening</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176</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NBS02-ED3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Follow-up and Education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177</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NBS03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for Preterm, Low Birth Weight, and Sick Newborns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178</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NBS04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by Tandem Mass Spectrometry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179</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NBS05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for Cystic Fibrosis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180</w:t>
            </w:r>
          </w:p>
        </w:tc>
        <w:tc>
          <w:tcPr>
            <w:tcW w:w="172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NBS06-A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Blood Spot Screening for Severe Combined Immunodeficiency by Measurement of T-cell Receptor Excision Circles; Approved Guideline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NBS07</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Blood Spot Screening for Pompe Disease by Lysosomal Acid α-Glucosidase Activity Assays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NBS08</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for Hemoglobinopathies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NBS09</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for X-Linked Adrenoleukodystrophy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NBS10</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for Congenital Hypothyroidism</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NBS11</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for Congenital Adrenal Hyperplasia</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NBS13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Newborn Screening for Spinal Muscular Atrophy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POCT01-A2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Point-of-Care Connectivity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POCT04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Essential Tools for Implementation and Management of a Point-of-Care Testing Program</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189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POCT05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Metrics for Continuous Interstitial Glucose Monitoring</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POCT06</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Effects of Different Sample Types on Glucose Measurements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POCT07-A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Management: Approaches to Reducing Errors at the Point of Care;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POCT08-A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Practices in Noninstrumented Pointof- Care Testing: An Instructional Manual and Resources for Health Care Workers;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POCT09-A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Selection Criteria for Point-of-Care Testing Devices;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POCT10-A2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Physician and Nonphysician Provider-Performed Microscopy Testing;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POCT12-A3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Point-of-Care Blood Glucose Testing in Acute and Chronic Care Facilities;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POCT13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Glucose Monitoring in Settings Without Laboratory Support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POCT14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Point-of-Care Coagulation Testing and Anticoagulation Monitoring</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POCT15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Point-of-Care Testing for Infectious Diseases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199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POCT16</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Emergency and Disaster Point-of-Care Testing</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POCT17</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Use of Glucose Meters for Critically Ill Patients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PRE01</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Patient and Laboratory Specimen Identification Processes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PRE02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Collection of Diagnostic Venous Blood Specimens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PRE04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Handling, Transport, Processing, and Storage of Blood Specimens for Routine Laboratory Examinations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PRE05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Processes for the Collection of Urine Specimens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QMS01</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 Quality Management System Model for Laboratory Services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QMS02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Developing and Managing Laboratory Documents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QMS03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Training and Competence Assessment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QMS04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Design</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209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QMS05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Qualifying, Selecting, and Evaluating a Referral Laboratory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QMS06</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Management System: Continual Improvement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QMS11</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Nonconforming Event Management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QMS12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Developing and Using Quality Indicators for Laboratory Improvement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QMS13-A</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Management System: Equipment; Approved Guideline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QMS14-ED2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Quality Management System: Leadership and Management Roles and Responsibilities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QMS15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Internal Audit Program</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QMS16</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Laboratory Personnel Management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QMS17</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External Assessments, Audits, and Inspections of the Laboratory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QMS18</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Process Management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219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QMS19</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Customer Focus in a Quality Management System</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QMS20</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The Cost of Quality in Medical Laboratories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QMS21</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Purchasing and Inventory Management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QMS22</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Management of Paper-based and Electronic Laboratory Information</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QMS23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General Laboratory Equipment Performance Qualification, Use, and Maintenance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QMS24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Using Proficiency Testing and Alternative Assessment to Improve Medical Laboratory Quality</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QMS25</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Handbook for Developing a Laboratory Quality Manual</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QMS26</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Managing Laboratory Records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QMS29</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Management Review</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VET01</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Standards for Antimicrobial Disk and Dilution Susceptibility Tests for Bacteria Isolated From Animals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229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VET01S</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Standards for Antimicrobial Disk and Dilution Susceptibility Tests for Bacteria Isolated From Animals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VET02-ED4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Development of Quality Control Ranges, Breakpoints, and Interpretive Categories for Antimicrobial Agents Used in Veterinary Medicine</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VET03</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Methods for Antimicrobial Broth Dilution and Disk Diffusion Susceptibility Testing of Bacteria Isolated From Aquatic Animals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72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VET03-A PK</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VET03-A: Methods for Antimicrobial Disk Susceptibility Testing of Bacteria Isolated From Aquatic Animals; Approved Guideline VET03/VET04-S2: Performance Standards for Antimicrobial Susceptibility Testing of Bacteria Isolated From Aquatic Animals; Second Informational Supplement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126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VET03-A/VET04-A2 PK</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VET03-A: Methods for Antimicrobial Disk Susceptibility Testing of Bacteria Isolated From Aquatic Animals; Approved Guideline VET04-A2: Methods for Broth Dilution Susceptibility Testing of Bacteria Isolated From Aquatic Animals; Approved Guideline</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Second Edition VET03/VET04-S2: Performance Standards for Antimicrobial Susceptibility Testing of Bacteria Isolated From Aquatic Animals; Second Informational Supplement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VET04</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Performance Standards for Antimicrobial Susceptibility Testing of Bacteria Isolated From Aquatic Animals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78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VET04-A2 PK</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VET04-A2: Methods for Broth Dilution Susceptibility Testing of Bacteria Isolated From Aquatic Animals; Approved Guideline</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Second Edition VET03/VET04-S2: Performance Standards for Antimicrobial Susceptibility Testing of Bacteria Isolated From Aquatic Animals; Second Informational Supplement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VET05-R</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Generation, Presentation, and Application of Antimicrobial Susceptibility Test Data for Bacteria of Animal Origin; A Report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VET06</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Methods for Antimicrobial Susceptibility Testing of Infrequently Isolated or Fastidious Bacteria Isolated From Animals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VET09</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Understanding Susceptibility Test Data as a Component of Antimicrobial Stewardship in Veterinary Settings</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239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CLSI X03-R</w:t>
            </w:r>
          </w:p>
        </w:tc>
        <w:tc>
          <w:tcPr>
            <w:tcW w:w="516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Implementing a Needlestick and Sharps Injury Prevention Program in the Clinical Laboratory; A Report</w:t>
            </w:r>
          </w:p>
        </w:tc>
        <w:tc>
          <w:tcPr>
            <w:tcW w:w="599"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 xml:space="preserve">IATA-DGR </w:t>
            </w:r>
            <w:r>
              <w:rPr>
                <w:rFonts w:ascii="方正仿宋_GBK" w:eastAsia="方正仿宋_GBK" w:cs="Times New Roman" w:hint="eastAsia"/>
                <w:spacing w:val="0"/>
                <w:kern w:val="2"/>
                <w:sz w:val="20"/>
                <w:szCs w:val="20"/>
              </w:rPr>
              <w:t>（最新版）</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《国际航空运输协会危险品规则》</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（最新版）</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合</w:t>
            </w: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 xml:space="preserve">ICAO 9284 </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2025-2026</w:t>
            </w:r>
            <w:r>
              <w:rPr>
                <w:rFonts w:ascii="方正仿宋_GBK" w:eastAsia="方正仿宋_GBK" w:cs="Times New Roman" w:hint="eastAsia"/>
                <w:spacing w:val="0"/>
                <w:kern w:val="2"/>
                <w:sz w:val="20"/>
                <w:szCs w:val="20"/>
              </w:rPr>
              <w:t>年版）</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《国际航空运输危险货物规则》</w:t>
            </w:r>
            <w:r>
              <w:rPr>
                <w:rFonts w:ascii="Times New Roman" w:eastAsia="宋体" w:hAnsi="Times New Roman"/>
                <w:spacing w:val="0"/>
                <w:kern w:val="2"/>
                <w:sz w:val="20"/>
                <w:szCs w:val="20"/>
              </w:rPr>
              <w:t>ICAO</w:t>
            </w:r>
            <w:r>
              <w:rPr>
                <w:rFonts w:ascii="方正仿宋_GBK" w:eastAsia="方正仿宋_GBK" w:cs="Times New Roman" w:hint="eastAsia"/>
                <w:spacing w:val="0"/>
                <w:kern w:val="2"/>
                <w:sz w:val="20"/>
                <w:szCs w:val="20"/>
              </w:rPr>
              <w:t>（中文版，包括：与危险品有关的航空器事故征候应急响应指南）</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合</w:t>
            </w: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IMDG code Edition 42</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24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《国际海运危险货物规则》</w:t>
            </w:r>
            <w:r>
              <w:rPr>
                <w:rFonts w:ascii="Times New Roman" w:eastAsia="宋体" w:hAnsi="Times New Roman"/>
                <w:spacing w:val="0"/>
                <w:kern w:val="2"/>
                <w:sz w:val="20"/>
                <w:szCs w:val="20"/>
              </w:rPr>
              <w:t>IMDG 42-24</w:t>
            </w:r>
            <w:r>
              <w:rPr>
                <w:rFonts w:ascii="方正仿宋_GBK" w:eastAsia="方正仿宋_GBK" w:cs="Times New Roman" w:hint="eastAsia"/>
                <w:spacing w:val="0"/>
                <w:kern w:val="2"/>
                <w:sz w:val="20"/>
                <w:szCs w:val="20"/>
              </w:rPr>
              <w:t>修订版</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中文版优先，可用英文版）</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合</w:t>
            </w: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jetro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日本《食品、包装、玩具和清洗剂的分类、标准和测试方法》</w:t>
            </w:r>
            <w:r>
              <w:rPr>
                <w:rFonts w:ascii="Times New Roman" w:eastAsia="宋体" w:hAnsi="Times New Roman"/>
                <w:spacing w:val="0"/>
                <w:kern w:val="2"/>
                <w:sz w:val="20"/>
                <w:szCs w:val="20"/>
              </w:rPr>
              <w:t>Specification standards and testing methods for foodstuffs implements, containers and packageing ,toys detergents (</w:t>
            </w:r>
            <w:r>
              <w:rPr>
                <w:rFonts w:ascii="方正仿宋_GBK" w:eastAsia="方正仿宋_GBK" w:cs="Times New Roman" w:hint="eastAsia"/>
                <w:spacing w:val="0"/>
                <w:kern w:val="2"/>
                <w:sz w:val="20"/>
                <w:szCs w:val="20"/>
              </w:rPr>
              <w:t>最新版</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合</w:t>
            </w: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AATCC TM 20A-2021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Fiber Analysis: Quantitative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AHAM HRF-1-2019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ANSI/AHAM RAC-1-2020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ANSI/OPEI B71.9-2022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American National Standard for for Multipurpose Off-Highway Utility Vehicles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ANSI/TIA 5050-2018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电信通信产品无线（移动）设备接收音量控制要求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249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AOAC 986.23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AOAC Official Method 986.23</w:t>
              <w:br/>
              <w:t>Cobalamin (Vitamin B12 Activity) in Milk-Based Infant Formula: Turbidimetric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AOAC 992.05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Total Folate (Pteroylglutamic Acid) in Infant Formula: Microbiological Methods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AOAC Official Method 2016.13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Lutein and β-Carotene in Infant Formula and Adult Nutritionals by Ultra-High-Performance Liquid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AOAC Official Method 932.06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Fat in dried milk</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AOAC Official Method 986.25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Proximate analysis of milk-based infant formula</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AOAC Official Method 995.05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Vitamin D in Infant Formulas and Enteral Products Liquid Chromatographic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AOAC Official Method 997.05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Taurine in powdered milk and powdered infant formula. Liquid chromatographic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AOAC</w:t>
            </w:r>
            <w:r>
              <w:rPr>
                <w:rFonts w:ascii="方正仿宋_GBK" w:eastAsia="方正仿宋_GBK" w:cs="Times New Roman" w:hint="eastAsia"/>
                <w:spacing w:val="0"/>
                <w:kern w:val="2"/>
                <w:sz w:val="20"/>
                <w:szCs w:val="20"/>
              </w:rPr>
              <w:t>官方方法</w:t>
            </w:r>
            <w:r>
              <w:rPr>
                <w:rFonts w:ascii="Times New Roman" w:eastAsia="宋体" w:hAnsi="Times New Roman"/>
                <w:spacing w:val="0"/>
                <w:kern w:val="2"/>
                <w:sz w:val="20"/>
                <w:szCs w:val="20"/>
              </w:rPr>
              <w:t>2001.02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测定特定食品中的反式低聚半乳糖</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离子交换色谱法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API Spec 5CT Addendum 1 (2025)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Specification for Casing and Tubing</w:t>
            </w:r>
            <w:r>
              <w:rPr>
                <w:rFonts w:ascii="方正仿宋_GBK" w:eastAsia="方正仿宋_GBK" w:cs="Times New Roman" w:hint="eastAsia"/>
                <w:spacing w:val="0"/>
                <w:kern w:val="2"/>
                <w:sz w:val="20"/>
                <w:szCs w:val="20"/>
              </w:rPr>
              <w:t>（标准更新名称可能不准确）</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API SPEC 5L-Errata 1/2018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Specification for Line Pipe</w:t>
            </w:r>
            <w:r>
              <w:rPr>
                <w:rFonts w:ascii="方正仿宋_GBK" w:eastAsia="方正仿宋_GBK" w:cs="Times New Roman" w:hint="eastAsia"/>
                <w:spacing w:val="0"/>
                <w:kern w:val="2"/>
                <w:sz w:val="20"/>
                <w:szCs w:val="20"/>
              </w:rPr>
              <w:t>（标准更新名称可能不准确）</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259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AS/CA S004-2013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用户设备语音性能需求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AS/NZS 4268:2017+A1:2021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Radio equipment and systems - Short range devices - Limits and methods of measurement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 3133:2020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Approval and test specification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Airbreak switches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 3133:2020 Amd 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Approval and test specification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Air-break switches Amendment No. 1 Correction amendment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AS/NZS 3100/AMD 1:2022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Approval and test specification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General requirements for electrical equipment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AS/NZS 3100:2022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Approval and test specification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General requirements for electrical equipment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AS/NZS 3105:2014</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Incorporating Amendment No. 1:2017</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Approval and test specification</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Electrical portable outlet devices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7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AS/NZS 3112:2017 (Incorporating Amendment No. 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Approval and test specification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Plugs and socket-outlets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AS/NZS 3120:2021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Approval and test specification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Cord extension sockets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AS/NZS 3122:2021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Approval and test specification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Socketoutlet adaptors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269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AS/NZS 3199:2020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Approval and test specification</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Cord extension sets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AS/NZS 60320.1:2023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Appliance couplers for household and similar general purposes  Part 1: General requirements (IEC 60320-1:2015 (ED. 3.1) MOD)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AS/NZS 60320.3:2023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Appliance couplers for household and similar general purposes Part 3: Standard sheets and gauges (IEC 60320-3:2014 (ED. 1.2) MOD)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SAI</w:t>
            </w: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ASTM A240/A240M-25a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Specification for Chromium and Chromium-Nickel Stainless Steel Plate, Sheet, and Strip for Pressure Vessels and for General Applications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D1298-24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用比重计法测定原油和液态石油产品密度、相对密度（比重）或</w:t>
            </w:r>
            <w:r>
              <w:rPr>
                <w:rFonts w:ascii="Times New Roman" w:eastAsia="宋体" w:hAnsi="Times New Roman"/>
                <w:spacing w:val="0"/>
                <w:kern w:val="2"/>
                <w:sz w:val="20"/>
                <w:szCs w:val="20"/>
              </w:rPr>
              <w:t>API</w:t>
            </w:r>
            <w:r>
              <w:rPr>
                <w:rFonts w:ascii="方正仿宋_GBK" w:eastAsia="方正仿宋_GBK" w:cs="Times New Roman" w:hint="eastAsia"/>
                <w:spacing w:val="0"/>
                <w:kern w:val="2"/>
                <w:sz w:val="20"/>
                <w:szCs w:val="20"/>
              </w:rPr>
              <w:t>重力的试验方法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D1655-24b</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Specification for Aviation Turbine Fuels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D2866-11(2025)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Total Ash Content of Activated Carbon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D2887-24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Boiling Range Distribution of Petroleum Fractions by Gas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D396-24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Specification for Fuel Oils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D482-19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石油产品灰分的标准测试方法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279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D5194-24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液态芳烃中痕量氯化物的试验方法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D6299-25a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Practice for Applying Statistical Quality Assurance and Control Charting Techniques to Evaluate Analytical Measurement System Performance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D6352-24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Boiling Range Distribution of Petroleum Distillates in Boiling Range from 174</w:t>
            </w:r>
            <w:r>
              <w:rPr>
                <w:rFonts w:ascii="Times New Roman" w:eastAsia="方正仿宋_GBK" w:hAnsi="Times New Roman" w:cs="Times New Roman"/>
                <w:spacing w:val="0"/>
                <w:kern w:val="2"/>
                <w:sz w:val="20"/>
                <w:szCs w:val="20"/>
              </w:rPr>
              <w:t> </w:t>
            </w:r>
            <w:r>
              <w:rPr>
                <w:rFonts w:ascii="Times New Roman" w:eastAsia="宋体" w:hAnsi="Times New Roman"/>
                <w:spacing w:val="0"/>
                <w:kern w:val="2"/>
                <w:sz w:val="20"/>
                <w:szCs w:val="20"/>
              </w:rPr>
              <w:t>°C to 700</w:t>
            </w:r>
            <w:r>
              <w:rPr>
                <w:rFonts w:ascii="Times New Roman" w:eastAsia="方正仿宋_GBK" w:hAnsi="Times New Roman" w:cs="Times New Roman"/>
                <w:spacing w:val="0"/>
                <w:kern w:val="2"/>
                <w:sz w:val="20"/>
                <w:szCs w:val="20"/>
              </w:rPr>
              <w:t> </w:t>
            </w:r>
            <w:r>
              <w:rPr>
                <w:rFonts w:ascii="Times New Roman" w:eastAsia="宋体" w:hAnsi="Times New Roman"/>
                <w:spacing w:val="0"/>
                <w:kern w:val="2"/>
                <w:sz w:val="20"/>
                <w:szCs w:val="20"/>
              </w:rPr>
              <w:t>°C by Gas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D6617-21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Practice for Laboratory Bias Detection Using Single Test Result from Standard Material</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D6708-24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Practice for Statistical Assessment and Improvement of Expected Agreement Between Two Test Methods that Purport to Measure the Same Property of a Material</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D6866-24a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Methods for Determining the Biobased Content of Solid, Liquid, and Gaseous Samples Using Radiocarbon Analysis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D7042-25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Dynamic Viscosity and Density of Liquids by Stabinger Viscometer (and the Calculation of Kinematic Viscosity)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D7094-25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Flash Point Modified Continuously Closed Cup(mcccfp)</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D7169-23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Boiling Point Distribution of Samples with Residues Such as Crude Oils and Atmospheric and Vacuum Residues by High Temperature Gas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D720/D720M-25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Free-Swelling Index of Coal</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289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D7213-23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Boiling Range Distribution of Petroleum Distillates in the Boiling Range from 100</w:t>
            </w:r>
            <w:r>
              <w:rPr>
                <w:rFonts w:ascii="Times New Roman" w:eastAsia="方正仿宋_GBK" w:hAnsi="Times New Roman" w:cs="Times New Roman"/>
                <w:spacing w:val="0"/>
                <w:kern w:val="2"/>
                <w:sz w:val="20"/>
                <w:szCs w:val="20"/>
              </w:rPr>
              <w:t> </w:t>
            </w:r>
            <w:r>
              <w:rPr>
                <w:rFonts w:ascii="Times New Roman" w:eastAsia="宋体" w:hAnsi="Times New Roman"/>
                <w:spacing w:val="0"/>
                <w:kern w:val="2"/>
                <w:sz w:val="20"/>
                <w:szCs w:val="20"/>
              </w:rPr>
              <w:t>°C to 615</w:t>
            </w:r>
            <w:r>
              <w:rPr>
                <w:rFonts w:ascii="Times New Roman" w:eastAsia="方正仿宋_GBK" w:hAnsi="Times New Roman" w:cs="Times New Roman"/>
                <w:spacing w:val="0"/>
                <w:kern w:val="2"/>
                <w:sz w:val="20"/>
                <w:szCs w:val="20"/>
              </w:rPr>
              <w:t> </w:t>
            </w:r>
            <w:r>
              <w:rPr>
                <w:rFonts w:ascii="Times New Roman" w:eastAsia="宋体" w:hAnsi="Times New Roman"/>
                <w:spacing w:val="0"/>
                <w:kern w:val="2"/>
                <w:sz w:val="20"/>
                <w:szCs w:val="20"/>
              </w:rPr>
              <w:t>°C by Gas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D7235-21a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Guide for Establishing a Linear Correlation Relationship Between Analyzer and Primary Test Method Results Using Relevant ASTM Standard Practices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D7366-08(2019)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Standard Practice for Estimation of Measurement Uncertainty for Data from Regression-based Methods </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4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D7398-23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Boiling Range Distribution of Fatty Acid Methyl Esters (FAME) in the Boiling Range from 100</w:t>
            </w:r>
            <w:r>
              <w:rPr>
                <w:rFonts w:ascii="Times New Roman" w:eastAsia="方正仿宋_GBK" w:hAnsi="Times New Roman" w:cs="Times New Roman"/>
                <w:spacing w:val="0"/>
                <w:kern w:val="2"/>
                <w:sz w:val="20"/>
                <w:szCs w:val="20"/>
              </w:rPr>
              <w:t> </w:t>
            </w:r>
            <w:r>
              <w:rPr>
                <w:rFonts w:ascii="Times New Roman" w:eastAsia="宋体" w:hAnsi="Times New Roman"/>
                <w:spacing w:val="0"/>
                <w:kern w:val="2"/>
                <w:sz w:val="20"/>
                <w:szCs w:val="20"/>
              </w:rPr>
              <w:t>°C to 615</w:t>
            </w:r>
            <w:r>
              <w:rPr>
                <w:rFonts w:ascii="Times New Roman" w:eastAsia="方正仿宋_GBK" w:hAnsi="Times New Roman" w:cs="Times New Roman"/>
                <w:spacing w:val="0"/>
                <w:kern w:val="2"/>
                <w:sz w:val="20"/>
                <w:szCs w:val="20"/>
              </w:rPr>
              <w:t> </w:t>
            </w:r>
            <w:r>
              <w:rPr>
                <w:rFonts w:ascii="Times New Roman" w:eastAsia="宋体" w:hAnsi="Times New Roman"/>
                <w:spacing w:val="0"/>
                <w:kern w:val="2"/>
                <w:sz w:val="20"/>
                <w:szCs w:val="20"/>
              </w:rPr>
              <w:t>°C by Gas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4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D7500-24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Determination of Boiling Range Distribution of Distillates and Lubricating Base Oils</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in Boiling Range from 100</w:t>
            </w:r>
            <w:r>
              <w:rPr>
                <w:rFonts w:ascii="Times New Roman" w:eastAsia="方正仿宋_GBK" w:hAnsi="Times New Roman" w:cs="Times New Roman"/>
                <w:spacing w:val="0"/>
                <w:kern w:val="2"/>
                <w:sz w:val="20"/>
                <w:szCs w:val="20"/>
              </w:rPr>
              <w:t> </w:t>
            </w:r>
            <w:r>
              <w:rPr>
                <w:rFonts w:ascii="Times New Roman" w:eastAsia="宋体" w:hAnsi="Times New Roman"/>
                <w:spacing w:val="0"/>
                <w:kern w:val="2"/>
                <w:sz w:val="20"/>
                <w:szCs w:val="20"/>
              </w:rPr>
              <w:t>°C to 735</w:t>
            </w:r>
            <w:r>
              <w:rPr>
                <w:rFonts w:ascii="Times New Roman" w:eastAsia="方正仿宋_GBK" w:hAnsi="Times New Roman" w:cs="Times New Roman"/>
                <w:spacing w:val="0"/>
                <w:kern w:val="2"/>
                <w:sz w:val="20"/>
                <w:szCs w:val="20"/>
              </w:rPr>
              <w:t> </w:t>
            </w:r>
            <w:r>
              <w:rPr>
                <w:rFonts w:ascii="Times New Roman" w:eastAsia="宋体" w:hAnsi="Times New Roman"/>
                <w:spacing w:val="0"/>
                <w:kern w:val="2"/>
                <w:sz w:val="20"/>
                <w:szCs w:val="20"/>
              </w:rPr>
              <w:t>°C by Gas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4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D7798-24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Boiling Range Distribution of Petroleum Distillates with Final Boiling Points up to 538</w:t>
            </w:r>
            <w:r>
              <w:rPr>
                <w:rFonts w:ascii="Times New Roman" w:eastAsia="方正仿宋_GBK" w:hAnsi="Times New Roman" w:cs="Times New Roman"/>
                <w:spacing w:val="0"/>
                <w:kern w:val="2"/>
                <w:sz w:val="20"/>
                <w:szCs w:val="20"/>
              </w:rPr>
              <w:t> </w:t>
            </w:r>
            <w:r>
              <w:rPr>
                <w:rFonts w:ascii="Times New Roman" w:eastAsia="宋体" w:hAnsi="Times New Roman"/>
                <w:spacing w:val="0"/>
                <w:kern w:val="2"/>
                <w:sz w:val="20"/>
                <w:szCs w:val="20"/>
              </w:rPr>
              <w:t>°C by Ultra Fast Gas Chromatography (UF GC)</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D7900-25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Determination of Light Hydrocarbons in Stabilized Crude Oils by Gas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D7915-22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Practice for Application of Generalized Extreme Studentized Deviate (GESD) Technique to Simultaneously Identify Multiple Outliers in a Data Set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78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D7963-22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Determination of Contamination Level of Fatty Acid Methyl Esters in Middle Distillate and Residual Fuels Using Flow Analysis by Fourier Transform Infrared Spectroscopy</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Rapid Screening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D8473-22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Determining the Biobased content of Liquid Hydrocarbon Fuels Using Liquid Scintillation Counting with Spiked Carbon-14</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299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D86-23ae2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大气压力下石油产品和液态燃料蒸馏试验方法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E23-25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Methods for Notched Bar Impact Testing of Metallic Materials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E2554-18(2024)e1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Practice for Estimating and Monitoring the Uncertainty of Test Results of a Test Method Using Control Chart Techniques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E45-25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Methods for Determining the Inclusion Content of Steel</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E882-10(2016)e1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Guide for Accountability and Quality Control in the Chemical Analysis Laboratory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F963-23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Consumer Safety Specification for Toy Safety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ASTM-D6450-16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Flash Point by Continuously Closed Cup (CCCFP) Tester</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A 370-24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钢产品机械测试的试验方法及定义</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C738-94(2025)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从上釉陶瓷表面提取铅和镉的试验方法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D1078-11(2019)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挥发性有机溶剂沸程的标准测定方法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309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D1094-24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航空燃料水反应性的试验方法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D1209-25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澄清液色度的标准试验方法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铂钴标度</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D130-19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用铜片表面变色试验检定石油产品铜腐蚀性的标准试验</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D1319-20a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荧光指示剂吸附法测定液体石油产品中烃族的标准试验方法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D1322-25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煤油和航空涡轮燃料的烟点的标准测试方法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D1363-25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甲醇和丙酮高锰酸钾反应时间的标准测试方法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D1500-24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石油产品</w:t>
            </w:r>
            <w:r>
              <w:rPr>
                <w:rFonts w:ascii="Times New Roman" w:eastAsia="宋体" w:hAnsi="Times New Roman"/>
                <w:spacing w:val="0"/>
                <w:kern w:val="2"/>
                <w:sz w:val="20"/>
                <w:szCs w:val="20"/>
              </w:rPr>
              <w:t>ASTM</w:t>
            </w:r>
            <w:r>
              <w:rPr>
                <w:rFonts w:ascii="方正仿宋_GBK" w:eastAsia="方正仿宋_GBK" w:cs="Times New Roman" w:hint="eastAsia"/>
                <w:spacing w:val="0"/>
                <w:kern w:val="2"/>
                <w:sz w:val="20"/>
                <w:szCs w:val="20"/>
              </w:rPr>
              <w:t>颜色的试验方法</w:t>
            </w:r>
            <w:r>
              <w:rPr>
                <w:rFonts w:ascii="Times New Roman" w:eastAsia="宋体" w:hAnsi="Times New Roman"/>
                <w:spacing w:val="0"/>
                <w:kern w:val="2"/>
                <w:sz w:val="20"/>
                <w:szCs w:val="20"/>
              </w:rPr>
              <w:t>(ASTM</w:t>
            </w:r>
            <w:r>
              <w:rPr>
                <w:rFonts w:ascii="方正仿宋_GBK" w:eastAsia="方正仿宋_GBK" w:cs="Times New Roman" w:hint="eastAsia"/>
                <w:spacing w:val="0"/>
                <w:kern w:val="2"/>
                <w:sz w:val="20"/>
                <w:szCs w:val="20"/>
              </w:rPr>
              <w:t>颜色标度</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D156-23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石油产品赛波特颜色的标准试验方法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赛波特比色计法</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D1613-17(2023)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色漆、清漆、喷漆和有关产品中挥发性溶剂及化学中间体酸度的试验方法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D1655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319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D1840-22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紫外线分光光度法测定航空涡轮机燃料中萘烃试验方法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D1857/D1857M-24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Fusibility of Coal and Coke Ash</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D2068-24a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过滤器堵塞趋势试验方法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D2163-23ε1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用气相色谱法分析液化石油气和丙烯浓缩物的标准试验方法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D2270-24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依据</w:t>
            </w:r>
            <w:r>
              <w:rPr>
                <w:rFonts w:ascii="Times New Roman" w:eastAsia="宋体" w:hAnsi="Times New Roman"/>
                <w:spacing w:val="0"/>
                <w:kern w:val="2"/>
                <w:sz w:val="20"/>
                <w:szCs w:val="20"/>
              </w:rPr>
              <w:t>40</w:t>
            </w:r>
            <w:r>
              <w:rPr>
                <w:rFonts w:ascii="方正仿宋_GBK" w:eastAsia="方正仿宋_GBK" w:cs="Times New Roman" w:hint="eastAsia"/>
                <w:spacing w:val="0"/>
                <w:kern w:val="2"/>
                <w:sz w:val="20"/>
                <w:szCs w:val="20"/>
              </w:rPr>
              <w:t>和</w:t>
            </w:r>
            <w:r>
              <w:rPr>
                <w:rFonts w:ascii="Times New Roman" w:eastAsia="宋体" w:hAnsi="Times New Roman"/>
                <w:spacing w:val="0"/>
                <w:kern w:val="2"/>
                <w:sz w:val="20"/>
                <w:szCs w:val="20"/>
              </w:rPr>
              <w:t>100</w:t>
            </w:r>
            <w:r>
              <w:rPr>
                <w:rFonts w:ascii="方正仿宋_GBK" w:eastAsia="方正仿宋_GBK" w:cs="Times New Roman" w:hint="eastAsia"/>
                <w:spacing w:val="0"/>
                <w:kern w:val="2"/>
                <w:sz w:val="20"/>
                <w:szCs w:val="20"/>
              </w:rPr>
              <w:t>度的运动粘度计算粘度指数的标准规范</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D2274-14(2019)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馏分燃料油氧化安定性标准测试方法（加速法）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D2386-19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航空燃料冰点测定法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D240-19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用弹式量热计测定液烃燃料燃烧热的试验方法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D2425-23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中间馏分烃类组成测定标准实验法（质谱法）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D2500-23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石油产品浊点和液态燃料测定法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329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D2624-24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航空和馏分燃料电导率的标准试验方法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D2699-24b</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火花点火发动机燃料研究法辛烷值试验方法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D2700-24c</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火花点燃式发动机燃料马达法辛烷值测定标准试验方法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D2709-22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用离心法测定中间馏分燃料中水和沉淀物的试验方法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D2867-23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Methods for Moisture in Activated Carbon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D3172-13(2021)e1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煤和焦炭近似分析用标准规范</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D3173/D3173M-17a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煤和焦炭分析样品水分试验方法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D3174-12(2018)e1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煤和焦炭中分析样灰分测定的标准试验方法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D3175-20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煤和焦炭分析样品中挥发性物质测试方法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D3227-24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电位法测定汽油、煤油、航空涡轮和馏分燃料油中硫醇性硫的标准试验方法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339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D323-20a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石油产品蒸气压试验方法（雷德法）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D3237-22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用原子吸收光谱法测定汽油中铅的试验方法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D3241-24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航空涡轮燃料热氧化安定性标准试验方法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D3242-23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测定航空涡轮燃料酸值的标准试验方法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D3302/D3302M-22a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煤炭总水分试验方法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D3338/3338M-20a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航空燃料燃烧净热值的估算的标准试验方法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D341-20e1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液态石油产品粘度</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温度曲线图标准实验方法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D3546-05(2019)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冰醋酸中甲酸的试验方法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D3606-24a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气相色谱法测定火花点火燃料中苯和甲苯含量测定的标准试验方法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D381-22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用喷射蒸发法测定燃料中树胶含量的试验方法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349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D3828-16a(2021)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使用小型闭杯试验仪测定闪点的试验方法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D3831-22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用原子吸收光谱法测定汽油中锰含量的试验方法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D3948-22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用便携式分离仪测定航空涡轮燃料水分离性能的试验方法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D4006-22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蒸馏法测定原油中水含量的标准试验方法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D4052-22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数字密度计液体密度、相对密度和</w:t>
            </w:r>
            <w:r>
              <w:rPr>
                <w:rFonts w:ascii="Times New Roman" w:eastAsia="宋体" w:hAnsi="Times New Roman"/>
                <w:spacing w:val="0"/>
                <w:kern w:val="2"/>
                <w:sz w:val="20"/>
                <w:szCs w:val="20"/>
              </w:rPr>
              <w:t>API</w:t>
            </w:r>
            <w:r>
              <w:rPr>
                <w:rFonts w:ascii="方正仿宋_GBK" w:eastAsia="方正仿宋_GBK" w:cs="Times New Roman" w:hint="eastAsia"/>
                <w:spacing w:val="0"/>
                <w:kern w:val="2"/>
                <w:sz w:val="20"/>
                <w:szCs w:val="20"/>
              </w:rPr>
              <w:t>比重的标准测试方法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D4057-22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石油和石油产品手工抽样规程</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D409/D409M-24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Test Method for Grindability of Coal by the Hardgrove-Machine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D4176-22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馏分燃料中游离水和颗粒污染的标准试验方法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目视检查程序</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D4239-18e1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用高温管式炉燃烧法测定煤和焦炭分析样品中硫含量的方法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D4294-24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能量扩散</w:t>
            </w:r>
            <w:r>
              <w:rPr>
                <w:rFonts w:ascii="Times New Roman" w:eastAsia="宋体" w:hAnsi="Times New Roman"/>
                <w:spacing w:val="0"/>
                <w:kern w:val="2"/>
                <w:sz w:val="20"/>
                <w:szCs w:val="20"/>
              </w:rPr>
              <w:t>X</w:t>
            </w:r>
            <w:r>
              <w:rPr>
                <w:rFonts w:ascii="方正仿宋_GBK" w:eastAsia="方正仿宋_GBK" w:cs="Times New Roman" w:hint="eastAsia"/>
                <w:spacing w:val="0"/>
                <w:kern w:val="2"/>
                <w:sz w:val="20"/>
                <w:szCs w:val="20"/>
              </w:rPr>
              <w:t>射线荧光光度法测定石油产品中硫含量的试验方法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359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D445-24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透明和不透明液体运动粘度的标准试验方法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和动力粘度的计算</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D4530-25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残炭标准测定法（微量法）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D473-22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原油和燃料油中沉淀物的提取方法标准测试方法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D4737-21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用四变量方程计算十六烷指数的试验方法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D4740-24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斑点试验法测定残余燃料清洁性和相容性的试验方法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D4815-22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气相色谱法汽油中甲基叔丁基醚、二乙基丁基醚、甲苯磺酰</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精氨酸甲酯、二异丙酯、叔戊醇和</w:t>
            </w:r>
            <w:r>
              <w:rPr>
                <w:rFonts w:ascii="Times New Roman" w:eastAsia="宋体" w:hAnsi="Times New Roman"/>
                <w:spacing w:val="0"/>
                <w:kern w:val="2"/>
                <w:sz w:val="20"/>
                <w:szCs w:val="20"/>
              </w:rPr>
              <w:t>C1-C4</w:t>
            </w:r>
            <w:r>
              <w:rPr>
                <w:rFonts w:ascii="方正仿宋_GBK" w:eastAsia="方正仿宋_GBK" w:cs="Times New Roman" w:hint="eastAsia"/>
                <w:spacing w:val="0"/>
                <w:kern w:val="2"/>
                <w:sz w:val="20"/>
                <w:szCs w:val="20"/>
              </w:rPr>
              <w:t>醇测定的标准试验方法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D4868-17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估算燃烧器和柴油机燃料总热值及净热值的试验方法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D4870-22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在残渣燃料中总沉淀物的标准实验方法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D4931-23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绿色石油焦中总水分的标准试验方法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D4952-23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燃料和溶剂中活性硫化物的定性分析标准试验方法（博士试验）</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369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D5001-25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航空涡轮燃料润滑性标准测试方法（球柱润滑性评定仪法）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D5002-22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用数字式密度分析仪测定原油密度、相对密度和</w:t>
            </w:r>
            <w:r>
              <w:rPr>
                <w:rFonts w:ascii="Times New Roman" w:eastAsia="宋体" w:hAnsi="Times New Roman"/>
                <w:spacing w:val="0"/>
                <w:kern w:val="2"/>
                <w:sz w:val="20"/>
                <w:szCs w:val="20"/>
              </w:rPr>
              <w:t>API</w:t>
            </w:r>
            <w:r>
              <w:rPr>
                <w:rFonts w:ascii="方正仿宋_GBK" w:eastAsia="方正仿宋_GBK" w:cs="Times New Roman" w:hint="eastAsia"/>
                <w:spacing w:val="0"/>
                <w:kern w:val="2"/>
                <w:sz w:val="20"/>
                <w:szCs w:val="20"/>
              </w:rPr>
              <w:t>重度的试验方法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D5136-24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高纯度</w:t>
            </w:r>
            <w:r>
              <w:rPr>
                <w:rFonts w:ascii="Times New Roman" w:eastAsia="宋体" w:hAnsi="Times New Roman"/>
                <w:spacing w:val="0"/>
                <w:kern w:val="2"/>
                <w:sz w:val="20"/>
                <w:szCs w:val="20"/>
              </w:rPr>
              <w:t>P-</w:t>
            </w:r>
            <w:r>
              <w:rPr>
                <w:rFonts w:ascii="方正仿宋_GBK" w:eastAsia="方正仿宋_GBK" w:cs="Times New Roman" w:hint="eastAsia"/>
                <w:spacing w:val="0"/>
                <w:kern w:val="2"/>
                <w:sz w:val="20"/>
                <w:szCs w:val="20"/>
              </w:rPr>
              <w:t>二甲苯规格</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D5185-18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用感应耦合等离子体原子发射光谱法测定用过润滑油中添加剂元素、磨损金属和污染物以及基础油中选定元素的试验方法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D5191-22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石油产品蒸气压力试验方法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小型法</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D525-12a(2019)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汽油氧化安定性的标准试验方法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诱导期方法</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D5452-23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用于实验室过滤的航空燃料中的微粒子污染的标准试验方法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D5453-25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用紫外荧光法测定轻质烃、火花点火发动机燃料、柴油发动机燃料和发动机油中总硫含量的试验方法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D5580-21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用气相色谱法测定成品汽油中苯、甲苯、乙苯、</w:t>
            </w:r>
            <w:r>
              <w:rPr>
                <w:rFonts w:ascii="Times New Roman" w:eastAsia="宋体" w:hAnsi="Times New Roman"/>
                <w:spacing w:val="0"/>
                <w:kern w:val="2"/>
                <w:sz w:val="20"/>
                <w:szCs w:val="20"/>
              </w:rPr>
              <w:t>p/m</w:t>
            </w:r>
            <w:r>
              <w:rPr>
                <w:rFonts w:ascii="方正仿宋_GBK" w:eastAsia="方正仿宋_GBK" w:cs="Times New Roman" w:hint="eastAsia"/>
                <w:spacing w:val="0"/>
                <w:kern w:val="2"/>
                <w:sz w:val="20"/>
                <w:szCs w:val="20"/>
              </w:rPr>
              <w:t>二甲苯、</w:t>
            </w:r>
            <w:r>
              <w:rPr>
                <w:rFonts w:ascii="Times New Roman" w:eastAsia="宋体" w:hAnsi="Times New Roman"/>
                <w:spacing w:val="0"/>
                <w:kern w:val="2"/>
                <w:sz w:val="20"/>
                <w:szCs w:val="20"/>
              </w:rPr>
              <w:t>o-</w:t>
            </w:r>
            <w:r>
              <w:rPr>
                <w:rFonts w:ascii="方正仿宋_GBK" w:eastAsia="方正仿宋_GBK" w:cs="Times New Roman" w:hint="eastAsia"/>
                <w:spacing w:val="0"/>
                <w:kern w:val="2"/>
                <w:sz w:val="20"/>
                <w:szCs w:val="20"/>
              </w:rPr>
              <w:t>二甲苯、</w:t>
            </w:r>
            <w:r>
              <w:rPr>
                <w:rFonts w:ascii="Times New Roman" w:eastAsia="宋体" w:hAnsi="Times New Roman"/>
                <w:spacing w:val="0"/>
                <w:kern w:val="2"/>
                <w:sz w:val="20"/>
                <w:szCs w:val="20"/>
              </w:rPr>
              <w:t>C9</w:t>
            </w:r>
            <w:r>
              <w:rPr>
                <w:rFonts w:ascii="方正仿宋_GBK" w:eastAsia="方正仿宋_GBK" w:cs="Times New Roman" w:hint="eastAsia"/>
                <w:spacing w:val="0"/>
                <w:kern w:val="2"/>
                <w:sz w:val="20"/>
                <w:szCs w:val="20"/>
              </w:rPr>
              <w:t>和重芳烃以及总芳烃的试验方法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D5582-2022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木制品甲醛释放量标准试验方法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干燥器法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379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D56-22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用泰格闭杯闪点试验器测定闪点的标准试验方法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D5776-21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电滴定法测定芳烃溴指数的标准测试方法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D5808-23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芳烃和相关化合物中有机氯化物的试验方法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微库仑法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D5865/5865M-19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煤和焦炭中总热值测定的标准试验方法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D6304-25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卡尔费休库仑法测定石油产品、润滑油、添加剂中水分含量的标准试验方法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38"/>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D6371-24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柴油和加热燃料冷滤点试验方法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D6376-25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波长色散</w:t>
            </w:r>
            <w:r>
              <w:rPr>
                <w:rFonts w:ascii="Times New Roman" w:eastAsia="宋体" w:hAnsi="Times New Roman"/>
                <w:spacing w:val="0"/>
                <w:kern w:val="2"/>
                <w:sz w:val="20"/>
                <w:szCs w:val="20"/>
              </w:rPr>
              <w:t>X</w:t>
            </w:r>
            <w:r>
              <w:rPr>
                <w:rFonts w:ascii="方正仿宋_GBK" w:eastAsia="方正仿宋_GBK" w:cs="Times New Roman" w:hint="eastAsia"/>
                <w:spacing w:val="0"/>
                <w:kern w:val="2"/>
                <w:sz w:val="20"/>
                <w:szCs w:val="20"/>
              </w:rPr>
              <w:t>射线荧光光谱法测定石油焦中的痕量金属含量的标准试验方法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D6378-22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测定石油产品、烃和烃</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氧化混合物蒸气压的试验方法（三倍展开法）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ASTM D6450-16a</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2021</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连续密封杯测闪点</w:t>
            </w:r>
            <w:r>
              <w:rPr>
                <w:rFonts w:ascii="Times New Roman" w:eastAsia="宋体" w:hAnsi="Times New Roman"/>
                <w:spacing w:val="0"/>
                <w:kern w:val="2"/>
                <w:sz w:val="20"/>
                <w:szCs w:val="20"/>
              </w:rPr>
              <w:t>(CCCFP)</w:t>
            </w:r>
            <w:r>
              <w:rPr>
                <w:rFonts w:ascii="方正仿宋_GBK" w:eastAsia="方正仿宋_GBK" w:cs="Times New Roman" w:hint="eastAsia"/>
                <w:spacing w:val="0"/>
                <w:kern w:val="2"/>
                <w:sz w:val="20"/>
                <w:szCs w:val="20"/>
              </w:rPr>
              <w:t>试验器的标准试验方法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D664-24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用电位滴定法测定石油产品酸值的试验方法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389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D6667-21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用紫外荧光法测定气态烃和液化石油气中总挥发硫的试验方法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D6839-21a</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用气相色谱法测量火花点火发动机油中烃类型、氧化复合物和苯的试验方法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D7039-24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单波长色散</w:t>
            </w:r>
            <w:r>
              <w:rPr>
                <w:rFonts w:ascii="Times New Roman" w:eastAsia="宋体" w:hAnsi="Times New Roman"/>
                <w:spacing w:val="0"/>
                <w:kern w:val="2"/>
                <w:sz w:val="20"/>
                <w:szCs w:val="20"/>
              </w:rPr>
              <w:t>X</w:t>
            </w:r>
            <w:r>
              <w:rPr>
                <w:rFonts w:ascii="方正仿宋_GBK" w:eastAsia="方正仿宋_GBK" w:cs="Times New Roman" w:hint="eastAsia"/>
                <w:spacing w:val="0"/>
                <w:kern w:val="2"/>
                <w:sz w:val="20"/>
                <w:szCs w:val="20"/>
              </w:rPr>
              <w:t>荧光法测定汽油、柴油、喷气燃料、煤油、生物柴油、生物柴油混合燃料和汽油乙醇混合燃料中总硫含量的标准试验方法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D7183-23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芳烃和相关化学品中总硫含量的试验方法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紫外荧光法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D7261-22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便携式分离计柴油水分离特性测定的标准试验方法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D7504-23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用气相色谱分析法和有效碳数测定单环烃中痕量杂质的试验方法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D7566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7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D8276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7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D843-24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硝化级二甲苯规格</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D847-23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苯、甲苯、二甲苯、溶剂石脑油和类似工业芳烃的酸度的试验方法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399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D848-23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工业芳烃酸洗颜色试验方法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D849-15(2024)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工业芳烃测试铜片腐蚀性的标准试验方法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D850-21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工业芳烃及有关物质蒸馏的试验方法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D852-24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苯凝固点测定方法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D891-25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液态工业化合物表观比重的测试方法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D92-24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克利夫兰德开杯法测定闪点和燃点的标准试验方法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D93-25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宾斯克马丁闭杯闪点试验器测定闪点的试验方法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D95-23e1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蒸馏法测定石油产品及沥青材料中水的试验方法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D97-17b(2022)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石油产品倾点的标准试验方法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D974-22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用颜色指示剂滴定法测定酸碱值的标准试验方法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409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E1019-24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用燃烧和惰性气体熔融技术测定钢、铁、镍和钴合金中碳、硫、氮及氧的方法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E1064-24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用卡尔</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菲歇尔库伦滴定法测定有机液体含水量的试验方法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E203-24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卡尔费休容量法测定水分含量的标准试验方法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E394-22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w:t>
            </w:r>
            <w:r>
              <w:rPr>
                <w:rFonts w:ascii="Times New Roman" w:eastAsia="宋体" w:hAnsi="Times New Roman"/>
                <w:spacing w:val="0"/>
                <w:kern w:val="2"/>
                <w:sz w:val="20"/>
                <w:szCs w:val="20"/>
              </w:rPr>
              <w:t>1,10-</w:t>
            </w:r>
            <w:r>
              <w:rPr>
                <w:rFonts w:ascii="方正仿宋_GBK" w:eastAsia="方正仿宋_GBK" w:cs="Times New Roman" w:hint="eastAsia"/>
                <w:spacing w:val="0"/>
                <w:kern w:val="2"/>
                <w:sz w:val="20"/>
                <w:szCs w:val="20"/>
              </w:rPr>
              <w:t>菲罗啉法测定痕量铁的试验方法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E537-2024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用差示扫描量热仪评价化学品热稳定性的标准测试方法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E70-24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带玻璃电极水溶液的</w:t>
            </w:r>
            <w:r>
              <w:rPr>
                <w:rFonts w:ascii="Times New Roman" w:eastAsia="宋体" w:hAnsi="Times New Roman"/>
                <w:spacing w:val="0"/>
                <w:kern w:val="2"/>
                <w:sz w:val="20"/>
                <w:szCs w:val="20"/>
              </w:rPr>
              <w:t>pH</w:t>
            </w:r>
            <w:r>
              <w:rPr>
                <w:rFonts w:ascii="方正仿宋_GBK" w:eastAsia="方正仿宋_GBK" w:cs="Times New Roman" w:hint="eastAsia"/>
                <w:spacing w:val="0"/>
                <w:kern w:val="2"/>
                <w:sz w:val="20"/>
                <w:szCs w:val="20"/>
              </w:rPr>
              <w:t>值测量用标准试验方法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F1004-23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Consumer Safety Specification for Expansion Gates and Expandable Enclosures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F1313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Specification forVolatile N-Nitrosamine Levels in Rubber Nipples onPacifiers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F2050-19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Consumer Safety Specification for Hand-Held Infant Carriers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F2613-22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Consumer Safety Specification for Children's Chairs and Stools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419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ASTM F404-21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Standard Consumer Safety Specification for High Chairs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AWS D1.1/D1.1M-2025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Structural Welding Code</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Steel</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1186-1:2002(R2007)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与食品接触的材料和物品中总迁移量测定方法和条件指南</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1186-3:2022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与食品接触的材料和物品（塑料）在水性食品模拟物中总迁移量测定</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全浸入法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788"/>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15662:2018-TC</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Tracked Changes.Foods of plant origin.Multimethod for the determination of pesticide residues using GC- and LC-based analysis following acetonitrile extraction/partitioning and clean-up by dispersive SPE.Modular QuEChERS-method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71-1:2014+A1:2018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Safety of toys Part1:Mechanical and physical properties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71-2:2020+A1:2025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Safety of toys Part2:Flammability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71-3:2019+A1:2024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Safety of toys Part3:Migration of cetain elements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IEC/IEEE 62209-1-1528:2021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人暴露于手持和车载无线通信设备产生的射频场</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人体模型</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仪器使用和规程</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紧贴耳朵使用的手持设备</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频率范围</w:t>
            </w:r>
            <w:r>
              <w:rPr>
                <w:rFonts w:ascii="Times New Roman" w:eastAsia="宋体" w:hAnsi="Times New Roman"/>
                <w:spacing w:val="0"/>
                <w:kern w:val="2"/>
                <w:sz w:val="20"/>
                <w:szCs w:val="20"/>
              </w:rPr>
              <w:t>300 MHz</w:t>
            </w:r>
            <w:r>
              <w:rPr>
                <w:rFonts w:ascii="方正仿宋_GBK" w:eastAsia="方正仿宋_GBK" w:cs="Times New Roman" w:hint="eastAsia"/>
                <w:spacing w:val="0"/>
                <w:kern w:val="2"/>
                <w:sz w:val="20"/>
                <w:szCs w:val="20"/>
              </w:rPr>
              <w:t>到</w:t>
            </w:r>
            <w:r>
              <w:rPr>
                <w:rFonts w:ascii="Times New Roman" w:eastAsia="宋体" w:hAnsi="Times New Roman"/>
                <w:spacing w:val="0"/>
                <w:kern w:val="2"/>
                <w:sz w:val="20"/>
                <w:szCs w:val="20"/>
              </w:rPr>
              <w:t>3 GHz)</w:t>
            </w:r>
            <w:r>
              <w:rPr>
                <w:rFonts w:ascii="方正仿宋_GBK" w:eastAsia="方正仿宋_GBK" w:cs="Times New Roman" w:hint="eastAsia"/>
                <w:spacing w:val="0"/>
                <w:kern w:val="2"/>
                <w:sz w:val="20"/>
                <w:szCs w:val="20"/>
              </w:rPr>
              <w:t>的吸收率</w:t>
            </w:r>
            <w:r>
              <w:rPr>
                <w:rFonts w:ascii="Times New Roman" w:eastAsia="宋体" w:hAnsi="Times New Roman"/>
                <w:spacing w:val="0"/>
                <w:kern w:val="2"/>
                <w:sz w:val="20"/>
                <w:szCs w:val="20"/>
              </w:rPr>
              <w:t>(SAR)</w:t>
            </w:r>
            <w:r>
              <w:rPr>
                <w:rFonts w:ascii="方正仿宋_GBK" w:eastAsia="方正仿宋_GBK" w:cs="Times New Roman" w:hint="eastAsia"/>
                <w:spacing w:val="0"/>
                <w:kern w:val="2"/>
                <w:sz w:val="20"/>
                <w:szCs w:val="20"/>
              </w:rPr>
              <w:t>测定规程</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1101"/>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ISO 105-C10:2007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Textiles - Tests for colour fastness - Part C10:Colour fastness to washing with soap or soap and soda(ISO 105-C10:2006)</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429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ISO 12460-3:2023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木材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甲醛释出的测定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3</w:t>
            </w:r>
            <w:r>
              <w:rPr>
                <w:rFonts w:ascii="方正仿宋_GBK" w:eastAsia="方正仿宋_GBK" w:cs="Times New Roman" w:hint="eastAsia"/>
                <w:spacing w:val="0"/>
                <w:kern w:val="2"/>
                <w:sz w:val="20"/>
                <w:szCs w:val="20"/>
              </w:rPr>
              <w:t>部分：按气体分析法释出甲醛</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EN ISO 12460-5:2015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木基板材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甲醛释放的测定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5</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萃取法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称为穿孔萃取法</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ISO 562:2024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Hard coal and coke. Determination of volatile matter</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PD CEN/TS 17062:2019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Foods of plant origin.Multimethod for the determination of pesticide residues in vegetable oils by LC-MS/MS(QuOil)</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BS PD CEN/TS 17240:2018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智能传输系统</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安全</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基于</w:t>
            </w:r>
            <w:r>
              <w:rPr>
                <w:rFonts w:ascii="Times New Roman" w:eastAsia="宋体" w:hAnsi="Times New Roman"/>
                <w:spacing w:val="0"/>
                <w:kern w:val="2"/>
                <w:sz w:val="20"/>
                <w:szCs w:val="20"/>
              </w:rPr>
              <w:t>IMS</w:t>
            </w:r>
            <w:r>
              <w:rPr>
                <w:rFonts w:ascii="方正仿宋_GBK" w:eastAsia="方正仿宋_GBK" w:cs="Times New Roman" w:hint="eastAsia"/>
                <w:spacing w:val="0"/>
                <w:kern w:val="2"/>
                <w:sz w:val="20"/>
                <w:szCs w:val="20"/>
              </w:rPr>
              <w:t>分组交换系统的</w:t>
            </w:r>
            <w:r>
              <w:rPr>
                <w:rFonts w:ascii="Times New Roman" w:eastAsia="宋体" w:hAnsi="Times New Roman"/>
                <w:spacing w:val="0"/>
                <w:kern w:val="2"/>
                <w:sz w:val="20"/>
                <w:szCs w:val="20"/>
              </w:rPr>
              <w:t>ECall</w:t>
            </w:r>
            <w:r>
              <w:rPr>
                <w:rFonts w:ascii="方正仿宋_GBK" w:eastAsia="方正仿宋_GBK" w:cs="Times New Roman" w:hint="eastAsia"/>
                <w:spacing w:val="0"/>
                <w:kern w:val="2"/>
                <w:sz w:val="20"/>
                <w:szCs w:val="20"/>
              </w:rPr>
              <w:t>端到端一致性试验</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CAN/CGSB 4.2 NO.27.5-2023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Textile test method Flame resistance-45° angle test-one second flame impingement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CAN/CGSB-4.2 No.12.2-2012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Textile test methods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Tearing strength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Trapezoid method </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Battery Life Test Plan v2.2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电池寿命测试方法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96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Certification and Wi-Fi Alliance Test Plan for RF Performance Evaluation of Wi-Fi Mobile Converged Devices V7.0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 xml:space="preserve">CTIA OTA Test Plan </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认证项目，无线设备空中性能测试规范，射频辐射功率和接收机性能测试方法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Certification Speech Performance Test Plan v2.6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认证项目，语音性能测试计划</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439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01.01(</w:t>
            </w:r>
            <w:r>
              <w:rPr>
                <w:rFonts w:ascii="方正仿宋_GBK" w:eastAsia="方正仿宋_GBK" w:cs="Times New Roman" w:hint="eastAsia"/>
                <w:spacing w:val="0"/>
                <w:kern w:val="2"/>
                <w:sz w:val="20"/>
                <w:szCs w:val="20"/>
              </w:rPr>
              <w:t>最新版</w:t>
            </w:r>
            <w:r>
              <w:rPr>
                <w:rFonts w:ascii="Times New Roman" w:eastAsia="宋体" w:hAnsi="Times New Roman"/>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01.01 </w:t>
            </w:r>
            <w:r>
              <w:rPr>
                <w:rFonts w:ascii="方正仿宋_GBK" w:eastAsia="方正仿宋_GBK" w:cs="Times New Roman" w:hint="eastAsia"/>
                <w:spacing w:val="0"/>
                <w:kern w:val="2"/>
                <w:sz w:val="20"/>
                <w:szCs w:val="20"/>
              </w:rPr>
              <w:t>测试范围、要求和适用性</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01.02(</w:t>
            </w:r>
            <w:r>
              <w:rPr>
                <w:rFonts w:ascii="方正仿宋_GBK" w:eastAsia="方正仿宋_GBK" w:cs="Times New Roman" w:hint="eastAsia"/>
                <w:spacing w:val="0"/>
                <w:kern w:val="2"/>
                <w:sz w:val="20"/>
                <w:szCs w:val="20"/>
              </w:rPr>
              <w:t>最新版</w:t>
            </w:r>
            <w:r>
              <w:rPr>
                <w:rFonts w:ascii="Times New Roman" w:eastAsia="宋体" w:hAnsi="Times New Roman"/>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CTIA 01.02</w:t>
            </w:r>
            <w:r>
              <w:rPr>
                <w:rFonts w:ascii="方正仿宋_GBK" w:eastAsia="方正仿宋_GBK" w:cs="Times New Roman" w:hint="eastAsia"/>
                <w:spacing w:val="0"/>
                <w:kern w:val="2"/>
                <w:sz w:val="20"/>
                <w:szCs w:val="20"/>
              </w:rPr>
              <w:t>测试列表</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01.03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01.03 </w:t>
            </w:r>
            <w:r>
              <w:rPr>
                <w:rFonts w:ascii="方正仿宋_GBK" w:eastAsia="方正仿宋_GBK" w:cs="Times New Roman" w:hint="eastAsia"/>
                <w:spacing w:val="0"/>
                <w:kern w:val="2"/>
                <w:sz w:val="20"/>
                <w:szCs w:val="20"/>
              </w:rPr>
              <w:t>规范性报告表</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01.04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01.04 </w:t>
            </w:r>
            <w:r>
              <w:rPr>
                <w:rFonts w:ascii="方正仿宋_GBK" w:eastAsia="方正仿宋_GBK" w:cs="Times New Roman" w:hint="eastAsia"/>
                <w:spacing w:val="0"/>
                <w:kern w:val="2"/>
                <w:sz w:val="20"/>
                <w:szCs w:val="20"/>
              </w:rPr>
              <w:t>资料性报告表</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01.20 </w:t>
            </w:r>
            <w:r>
              <w:rPr>
                <w:rFonts w:ascii="方正仿宋_GBK" w:eastAsia="方正仿宋_GBK" w:cs="Times New Roman" w:hint="eastAsia"/>
                <w:spacing w:val="0"/>
                <w:kern w:val="2"/>
                <w:sz w:val="20"/>
                <w:szCs w:val="20"/>
              </w:rPr>
              <w:t>单输入单输出电波暗室测试方法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01.21 </w:t>
            </w:r>
            <w:r>
              <w:rPr>
                <w:rFonts w:ascii="方正仿宋_GBK" w:eastAsia="方正仿宋_GBK" w:cs="Times New Roman" w:hint="eastAsia"/>
                <w:spacing w:val="0"/>
                <w:kern w:val="2"/>
                <w:sz w:val="20"/>
                <w:szCs w:val="20"/>
              </w:rPr>
              <w:t>单输入单输出混响室测试方法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01.22 </w:t>
            </w:r>
            <w:r>
              <w:rPr>
                <w:rFonts w:ascii="方正仿宋_GBK" w:eastAsia="方正仿宋_GBK" w:cs="Times New Roman" w:hint="eastAsia"/>
                <w:spacing w:val="0"/>
                <w:kern w:val="2"/>
                <w:sz w:val="20"/>
                <w:szCs w:val="20"/>
              </w:rPr>
              <w:t>单输入单输出毫米波测试方法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01.40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01.40 </w:t>
            </w:r>
            <w:r>
              <w:rPr>
                <w:rFonts w:ascii="方正仿宋_GBK" w:eastAsia="方正仿宋_GBK" w:cs="Times New Roman" w:hint="eastAsia"/>
                <w:spacing w:val="0"/>
                <w:kern w:val="2"/>
                <w:sz w:val="20"/>
                <w:szCs w:val="20"/>
              </w:rPr>
              <w:t>多输入多输出多探头电波暗室测试方法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01.41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01.41 </w:t>
            </w:r>
            <w:r>
              <w:rPr>
                <w:rFonts w:ascii="方正仿宋_GBK" w:eastAsia="方正仿宋_GBK" w:cs="Times New Roman" w:hint="eastAsia"/>
                <w:spacing w:val="0"/>
                <w:kern w:val="2"/>
                <w:sz w:val="20"/>
                <w:szCs w:val="20"/>
              </w:rPr>
              <w:t>多输入多输出两步法暗室测试方法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01.51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CTIA 01.51</w:t>
            </w:r>
            <w:r>
              <w:rPr>
                <w:rFonts w:ascii="方正仿宋_GBK" w:eastAsia="方正仿宋_GBK" w:cs="Times New Roman" w:hint="eastAsia"/>
                <w:spacing w:val="0"/>
                <w:kern w:val="2"/>
                <w:sz w:val="20"/>
                <w:szCs w:val="20"/>
              </w:rPr>
              <w:t>无线技术、定位技术</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449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01.52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01.52 </w:t>
            </w:r>
            <w:r>
              <w:rPr>
                <w:rFonts w:ascii="方正仿宋_GBK" w:eastAsia="方正仿宋_GBK" w:cs="Times New Roman" w:hint="eastAsia"/>
                <w:spacing w:val="0"/>
                <w:kern w:val="2"/>
                <w:sz w:val="20"/>
                <w:szCs w:val="20"/>
              </w:rPr>
              <w:t>非</w:t>
            </w:r>
            <w:r>
              <w:rPr>
                <w:rFonts w:ascii="Times New Roman" w:eastAsia="宋体" w:hAnsi="Times New Roman"/>
                <w:spacing w:val="0"/>
                <w:kern w:val="2"/>
                <w:sz w:val="20"/>
                <w:szCs w:val="20"/>
              </w:rPr>
              <w:t>3GPP</w:t>
            </w:r>
            <w:r>
              <w:rPr>
                <w:rFonts w:ascii="方正仿宋_GBK" w:eastAsia="方正仿宋_GBK" w:cs="Times New Roman" w:hint="eastAsia"/>
                <w:spacing w:val="0"/>
                <w:kern w:val="2"/>
                <w:sz w:val="20"/>
                <w:szCs w:val="20"/>
              </w:rPr>
              <w:t>无线接入技术标准要求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01.70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01.70 </w:t>
            </w:r>
            <w:r>
              <w:rPr>
                <w:rFonts w:ascii="方正仿宋_GBK" w:eastAsia="方正仿宋_GBK" w:cs="Times New Roman" w:hint="eastAsia"/>
                <w:spacing w:val="0"/>
                <w:kern w:val="2"/>
                <w:sz w:val="20"/>
                <w:szCs w:val="20"/>
              </w:rPr>
              <w:t>不确定度分析</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01.71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01.71 </w:t>
            </w:r>
            <w:r>
              <w:rPr>
                <w:rFonts w:ascii="方正仿宋_GBK" w:eastAsia="方正仿宋_GBK" w:cs="Times New Roman" w:hint="eastAsia"/>
                <w:spacing w:val="0"/>
                <w:kern w:val="2"/>
                <w:sz w:val="20"/>
                <w:szCs w:val="20"/>
              </w:rPr>
              <w:t>设备设置和定位指南</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01.72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01.72 </w:t>
            </w:r>
            <w:r>
              <w:rPr>
                <w:rFonts w:ascii="方正仿宋_GBK" w:eastAsia="方正仿宋_GBK" w:cs="Times New Roman" w:hint="eastAsia"/>
                <w:spacing w:val="0"/>
                <w:kern w:val="2"/>
                <w:sz w:val="20"/>
                <w:szCs w:val="20"/>
              </w:rPr>
              <w:t>近场模型</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CTIA OTA Test Plan;CTIA 01.73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CTIA</w:t>
            </w:r>
            <w:r>
              <w:rPr>
                <w:rFonts w:ascii="方正仿宋_GBK" w:eastAsia="方正仿宋_GBK" w:cs="Times New Roman" w:hint="eastAsia"/>
                <w:spacing w:val="0"/>
                <w:kern w:val="2"/>
                <w:sz w:val="20"/>
                <w:szCs w:val="20"/>
              </w:rPr>
              <w:t>认证项目，</w:t>
            </w:r>
            <w:r>
              <w:rPr>
                <w:rFonts w:ascii="Times New Roman" w:eastAsia="宋体" w:hAnsi="Times New Roman"/>
                <w:spacing w:val="0"/>
                <w:kern w:val="2"/>
                <w:sz w:val="20"/>
                <w:szCs w:val="20"/>
              </w:rPr>
              <w:t xml:space="preserve">CTIA 01.73 </w:t>
            </w:r>
            <w:r>
              <w:rPr>
                <w:rFonts w:ascii="方正仿宋_GBK" w:eastAsia="方正仿宋_GBK" w:cs="Times New Roman" w:hint="eastAsia"/>
                <w:spacing w:val="0"/>
                <w:kern w:val="2"/>
                <w:sz w:val="20"/>
                <w:szCs w:val="20"/>
              </w:rPr>
              <w:t>辅助程序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DIN EN ISO 105-C10:2007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Textiles - Tests for colour fastness - Part C10:Colour fastness to washing with soap or soap and soda(ISO 105-C10:2006);English version of DIN EN ISO 105-C10:2007-06</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DIN EN ISO 105-X11-darft(2024)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extiles - Tests for colour fastness - Part X11: Colour fastness to hot pressing (ISO/DIS 105-X11:2024); German and English version prEN ISO 105-X11:2024</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14078-2014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Liquid petroleum products - Determination of fatty acid methyl ester (FAME) content in middle distillates - Infrared spectrometry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1811:2023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拟直接和长期与皮肤接触的物品和人体刺穿部分的全部插入组件释放镍的参考试验方法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50360:2017+A1:2023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用于证明无线通信设备符合与人员暴露于频率范围内的电磁场相关的基本限制和暴露限值的产品标准</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459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50566:2017+A1:2023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证明无线通信设备符合与人体暴露于</w:t>
            </w:r>
            <w:r>
              <w:rPr>
                <w:rFonts w:ascii="Times New Roman" w:eastAsia="宋体" w:hAnsi="Times New Roman"/>
                <w:spacing w:val="0"/>
                <w:kern w:val="2"/>
                <w:sz w:val="20"/>
                <w:szCs w:val="20"/>
              </w:rPr>
              <w:t xml:space="preserve"> 30 MHz </w:t>
            </w:r>
            <w:r>
              <w:rPr>
                <w:rFonts w:ascii="方正仿宋_GBK" w:eastAsia="方正仿宋_GBK" w:cs="Times New Roman" w:hint="eastAsia"/>
                <w:spacing w:val="0"/>
                <w:kern w:val="2"/>
                <w:sz w:val="20"/>
                <w:szCs w:val="20"/>
              </w:rPr>
              <w:t>至</w:t>
            </w:r>
            <w:r>
              <w:rPr>
                <w:rFonts w:ascii="Times New Roman" w:eastAsia="宋体" w:hAnsi="Times New Roman"/>
                <w:spacing w:val="0"/>
                <w:kern w:val="2"/>
                <w:sz w:val="20"/>
                <w:szCs w:val="20"/>
              </w:rPr>
              <w:t xml:space="preserve"> 6 GHz </w:t>
            </w:r>
            <w:r>
              <w:rPr>
                <w:rFonts w:ascii="方正仿宋_GBK" w:eastAsia="方正仿宋_GBK" w:cs="Times New Roman" w:hint="eastAsia"/>
                <w:spacing w:val="0"/>
                <w:kern w:val="2"/>
                <w:sz w:val="20"/>
                <w:szCs w:val="20"/>
              </w:rPr>
              <w:t>频率范围内的电磁场相关的基本限制和暴露限值的产品标准：手持式和身体安装式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12"/>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50663:2017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与电磁场（</w:t>
            </w:r>
            <w:r>
              <w:rPr>
                <w:rFonts w:ascii="Times New Roman" w:eastAsia="宋体" w:hAnsi="Times New Roman"/>
                <w:spacing w:val="0"/>
                <w:kern w:val="2"/>
                <w:sz w:val="20"/>
                <w:szCs w:val="20"/>
              </w:rPr>
              <w:t>10MHz-300GHz</w:t>
            </w:r>
            <w:r>
              <w:rPr>
                <w:rFonts w:ascii="方正仿宋_GBK" w:eastAsia="方正仿宋_GBK" w:cs="Times New Roman" w:hint="eastAsia"/>
                <w:spacing w:val="0"/>
                <w:kern w:val="2"/>
                <w:sz w:val="20"/>
                <w:szCs w:val="20"/>
              </w:rPr>
              <w:t>）人体暴露限制有关的低功率电子和电气设备评估通用标准</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50665:2017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与电磁场（</w:t>
            </w:r>
            <w:r>
              <w:rPr>
                <w:rFonts w:ascii="Times New Roman" w:eastAsia="宋体" w:hAnsi="Times New Roman"/>
                <w:spacing w:val="0"/>
                <w:kern w:val="2"/>
                <w:sz w:val="20"/>
                <w:szCs w:val="20"/>
              </w:rPr>
              <w:t>0 Hz 300 GHz</w:t>
            </w:r>
            <w:r>
              <w:rPr>
                <w:rFonts w:ascii="方正仿宋_GBK" w:eastAsia="方正仿宋_GBK" w:cs="Times New Roman" w:hint="eastAsia"/>
                <w:spacing w:val="0"/>
                <w:kern w:val="2"/>
                <w:sz w:val="20"/>
                <w:szCs w:val="20"/>
              </w:rPr>
              <w:t>）人体暴露限制相关的电子和电气设备评估通用标准</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60601-1-6:2010+A1:2015+A2:2021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医用电气设备</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1-6</w:t>
            </w:r>
            <w:r>
              <w:rPr>
                <w:rFonts w:ascii="方正仿宋_GBK" w:eastAsia="方正仿宋_GBK" w:cs="Times New Roman" w:hint="eastAsia"/>
                <w:spacing w:val="0"/>
                <w:kern w:val="2"/>
                <w:sz w:val="20"/>
                <w:szCs w:val="20"/>
              </w:rPr>
              <w:t>部分：基本安全和基本性能的通用要求</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并列标准：可用性</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60601-1:2006+A13:2024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医用电气设备</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部分：基本安全和基本性能的通用要求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71-10:2005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Safety of toys - Part 10: Organic chemical compounds - Sample preparation and extraction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71-7:2014+A3:2020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Safety of toys - Part 7: Finger paints - Requirements and test methods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IEC 62368-1:2024+A11:2024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音频视频、信息技术和通信技术设备</w:t>
            </w:r>
            <w:r>
              <w:rPr>
                <w:rFonts w:ascii="Times New Roman" w:eastAsia="宋体" w:hAnsi="Times New Roman"/>
                <w:spacing w:val="0"/>
                <w:kern w:val="2"/>
                <w:sz w:val="20"/>
                <w:szCs w:val="20"/>
              </w:rPr>
              <w:t>-1</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IEC 62368-2:2025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音频视频、信息技术和通信技术设备</w:t>
            </w:r>
            <w:r>
              <w:rPr>
                <w:rFonts w:ascii="Times New Roman" w:eastAsia="宋体" w:hAnsi="Times New Roman"/>
                <w:spacing w:val="0"/>
                <w:kern w:val="2"/>
                <w:sz w:val="20"/>
                <w:szCs w:val="20"/>
              </w:rPr>
              <w:t>-2</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IEC 62368-3:2020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音频视频、信息技术和通信技术设备</w:t>
            </w:r>
            <w:r>
              <w:rPr>
                <w:rFonts w:ascii="Times New Roman" w:eastAsia="宋体" w:hAnsi="Times New Roman"/>
                <w:spacing w:val="0"/>
                <w:kern w:val="2"/>
                <w:sz w:val="20"/>
                <w:szCs w:val="20"/>
              </w:rPr>
              <w:t>-3</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469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ISO 14362-1:2017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由偶氮染料分解的某些芳香胺的检测方法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萃取和无需萃取的某些偶氮染料的检测方法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ISO 14362-3:2017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由偶氮染料分解的某些芳香胺的检测方法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3</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:4-</w:t>
            </w:r>
            <w:r>
              <w:rPr>
                <w:rFonts w:ascii="方正仿宋_GBK" w:eastAsia="方正仿宋_GBK" w:cs="Times New Roman" w:hint="eastAsia"/>
                <w:spacing w:val="0"/>
                <w:kern w:val="2"/>
                <w:sz w:val="20"/>
                <w:szCs w:val="20"/>
              </w:rPr>
              <w:t>胺基偶氮苯的检测</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7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EN ISO 811-2018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织物</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耐水渗透性的测定</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静水压试验</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EPA 130.1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总硬度（以</w:t>
            </w:r>
            <w:r>
              <w:rPr>
                <w:rFonts w:ascii="Times New Roman" w:eastAsia="宋体" w:hAnsi="Times New Roman"/>
                <w:spacing w:val="0"/>
                <w:kern w:val="2"/>
                <w:sz w:val="20"/>
                <w:szCs w:val="20"/>
              </w:rPr>
              <w:t>CaCO3</w:t>
            </w:r>
            <w:r>
              <w:rPr>
                <w:rFonts w:ascii="方正仿宋_GBK" w:eastAsia="方正仿宋_GBK" w:cs="Times New Roman" w:hint="eastAsia"/>
                <w:spacing w:val="0"/>
                <w:kern w:val="2"/>
                <w:sz w:val="20"/>
                <w:szCs w:val="20"/>
              </w:rPr>
              <w:t>计）</w:t>
            </w:r>
            <w:r>
              <w:rPr>
                <w:rFonts w:ascii="Times New Roman" w:eastAsia="宋体" w:hAnsi="Times New Roman"/>
                <w:spacing w:val="0"/>
                <w:kern w:val="2"/>
                <w:sz w:val="20"/>
                <w:szCs w:val="20"/>
              </w:rPr>
              <w:t>(EDTA</w:t>
            </w:r>
            <w:r>
              <w:rPr>
                <w:rFonts w:ascii="方正仿宋_GBK" w:eastAsia="方正仿宋_GBK" w:cs="Times New Roman" w:hint="eastAsia"/>
                <w:spacing w:val="0"/>
                <w:kern w:val="2"/>
                <w:sz w:val="20"/>
                <w:szCs w:val="20"/>
              </w:rPr>
              <w:t>自动比色法）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EPA</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EPA 1625C-1989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半挥发性有机物的测定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同位素稀释气相色谱质谱法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EPA</w:t>
            </w: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EPA 525.3-2012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饮用水中半挥发性有机物的测定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固相萃取</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毛细管柱气相色谱</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质谱法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EPA</w:t>
            </w:r>
          </w:p>
        </w:tc>
      </w:tr>
      <w:tr>
        <w:tblPrEx>
          <w:tblW w:w="8126" w:type="dxa"/>
          <w:jc w:val="left"/>
          <w:tblInd w:w="0" w:type="dxa"/>
          <w:tblLayout w:type="fixed"/>
          <w:tblCellMar>
            <w:top w:w="0" w:type="dxa"/>
            <w:left w:w="108" w:type="dxa"/>
            <w:bottom w:w="0" w:type="dxa"/>
            <w:right w:w="108" w:type="dxa"/>
          </w:tblCellMar>
        </w:tblPrEx>
        <w:trPr>
          <w:trHeight w:val="75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EPA 630.1-2007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城市污水和工业污水中二硫代氨基甲酸（盐）酯类农药的测定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EPA</w:t>
            </w: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EN 301 406:2016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数字增强型无绳电信（</w:t>
            </w:r>
            <w:r>
              <w:rPr>
                <w:rFonts w:ascii="Times New Roman" w:eastAsia="宋体" w:hAnsi="Times New Roman"/>
                <w:spacing w:val="0"/>
                <w:kern w:val="2"/>
                <w:sz w:val="20"/>
                <w:szCs w:val="20"/>
              </w:rPr>
              <w:t>DECT</w:t>
            </w:r>
            <w:r>
              <w:rPr>
                <w:rFonts w:ascii="方正仿宋_GBK" w:eastAsia="方正仿宋_GBK" w:cs="Times New Roman" w:hint="eastAsia"/>
                <w:spacing w:val="0"/>
                <w:kern w:val="2"/>
                <w:sz w:val="20"/>
                <w:szCs w:val="20"/>
              </w:rPr>
              <w:t>）；协调标准涵盖指令</w:t>
            </w:r>
            <w:r>
              <w:rPr>
                <w:rFonts w:ascii="Times New Roman" w:eastAsia="宋体" w:hAnsi="Times New Roman"/>
                <w:spacing w:val="0"/>
                <w:kern w:val="2"/>
                <w:sz w:val="20"/>
                <w:szCs w:val="20"/>
              </w:rPr>
              <w:t xml:space="preserve"> 2014/53/EU</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V2.2.0</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 xml:space="preserve"> 3.2 </w:t>
            </w:r>
            <w:r>
              <w:rPr>
                <w:rFonts w:ascii="方正仿宋_GBK" w:eastAsia="方正仿宋_GBK" w:cs="Times New Roman" w:hint="eastAsia"/>
                <w:spacing w:val="0"/>
                <w:kern w:val="2"/>
                <w:sz w:val="20"/>
                <w:szCs w:val="20"/>
              </w:rPr>
              <w:t>条的基本要求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EN 301 511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全球无线通信系统</w:t>
            </w:r>
            <w:r>
              <w:rPr>
                <w:rFonts w:ascii="Times New Roman" w:eastAsia="宋体" w:hAnsi="Times New Roman"/>
                <w:spacing w:val="0"/>
                <w:kern w:val="2"/>
                <w:sz w:val="20"/>
                <w:szCs w:val="20"/>
              </w:rPr>
              <w:t>(GSM)</w:t>
            </w:r>
            <w:r>
              <w:rPr>
                <w:rFonts w:ascii="方正仿宋_GBK" w:eastAsia="方正仿宋_GBK" w:cs="Times New Roman" w:hint="eastAsia"/>
                <w:spacing w:val="0"/>
                <w:kern w:val="2"/>
                <w:sz w:val="20"/>
                <w:szCs w:val="20"/>
              </w:rPr>
              <w:t>；涉及</w:t>
            </w:r>
            <w:r>
              <w:rPr>
                <w:rFonts w:ascii="Times New Roman" w:eastAsia="宋体" w:hAnsi="Times New Roman"/>
                <w:spacing w:val="0"/>
                <w:kern w:val="2"/>
                <w:sz w:val="20"/>
                <w:szCs w:val="20"/>
              </w:rPr>
              <w:t>R&amp;TTE</w:t>
            </w:r>
            <w:r>
              <w:rPr>
                <w:rFonts w:ascii="方正仿宋_GBK" w:eastAsia="方正仿宋_GBK" w:cs="Times New Roman" w:hint="eastAsia"/>
                <w:spacing w:val="0"/>
                <w:kern w:val="2"/>
                <w:sz w:val="20"/>
                <w:szCs w:val="20"/>
              </w:rPr>
              <w:t>导则第</w:t>
            </w:r>
            <w:r>
              <w:rPr>
                <w:rFonts w:ascii="Times New Roman" w:eastAsia="宋体" w:hAnsi="Times New Roman"/>
                <w:spacing w:val="0"/>
                <w:kern w:val="2"/>
                <w:sz w:val="20"/>
                <w:szCs w:val="20"/>
              </w:rPr>
              <w:t>3.2</w:t>
            </w:r>
            <w:r>
              <w:rPr>
                <w:rFonts w:ascii="方正仿宋_GBK" w:eastAsia="方正仿宋_GBK" w:cs="Times New Roman" w:hint="eastAsia"/>
                <w:spacing w:val="0"/>
                <w:kern w:val="2"/>
                <w:sz w:val="20"/>
                <w:szCs w:val="20"/>
              </w:rPr>
              <w:t>章下的必要要求的工作在</w:t>
            </w:r>
            <w:r>
              <w:rPr>
                <w:rFonts w:ascii="Times New Roman" w:eastAsia="宋体" w:hAnsi="Times New Roman"/>
                <w:spacing w:val="0"/>
                <w:kern w:val="2"/>
                <w:sz w:val="20"/>
                <w:szCs w:val="20"/>
              </w:rPr>
              <w:t xml:space="preserve">GSM 900 </w:t>
            </w:r>
            <w:r>
              <w:rPr>
                <w:rFonts w:ascii="方正仿宋_GBK" w:eastAsia="方正仿宋_GBK" w:cs="Times New Roman" w:hint="eastAsia"/>
                <w:spacing w:val="0"/>
                <w:kern w:val="2"/>
                <w:sz w:val="20"/>
                <w:szCs w:val="20"/>
              </w:rPr>
              <w:t>和</w:t>
            </w:r>
            <w:r>
              <w:rPr>
                <w:rFonts w:ascii="Times New Roman" w:eastAsia="宋体" w:hAnsi="Times New Roman"/>
                <w:spacing w:val="0"/>
                <w:kern w:val="2"/>
                <w:sz w:val="20"/>
                <w:szCs w:val="20"/>
              </w:rPr>
              <w:t>GSM 1800</w:t>
            </w:r>
            <w:r>
              <w:rPr>
                <w:rFonts w:ascii="方正仿宋_GBK" w:eastAsia="方正仿宋_GBK" w:cs="Times New Roman" w:hint="eastAsia"/>
                <w:spacing w:val="0"/>
                <w:kern w:val="2"/>
                <w:sz w:val="20"/>
                <w:szCs w:val="20"/>
              </w:rPr>
              <w:t>频段内的移动台协调标准</w:t>
            </w:r>
            <w:r>
              <w:rPr>
                <w:rFonts w:ascii="Times New Roman" w:eastAsia="宋体" w:hAnsi="Times New Roman"/>
                <w:spacing w:val="0"/>
                <w:kern w:val="2"/>
                <w:sz w:val="20"/>
                <w:szCs w:val="20"/>
              </w:rPr>
              <w:t>(1999 5 EC)</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EN 301 908-1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电磁兼容性和无线电频谱管理</w:t>
            </w:r>
            <w:r>
              <w:rPr>
                <w:rFonts w:ascii="Times New Roman" w:eastAsia="宋体" w:hAnsi="Times New Roman"/>
                <w:spacing w:val="0"/>
                <w:kern w:val="2"/>
                <w:sz w:val="20"/>
                <w:szCs w:val="20"/>
              </w:rPr>
              <w:t>(ERM).IMT-2000</w:t>
            </w:r>
            <w:r>
              <w:rPr>
                <w:rFonts w:ascii="方正仿宋_GBK" w:eastAsia="方正仿宋_GBK" w:cs="Times New Roman" w:hint="eastAsia"/>
                <w:spacing w:val="0"/>
                <w:kern w:val="2"/>
                <w:sz w:val="20"/>
                <w:szCs w:val="20"/>
              </w:rPr>
              <w:t>第三代蜂窝式网络用基站</w:t>
            </w:r>
            <w:r>
              <w:rPr>
                <w:rFonts w:ascii="Times New Roman" w:eastAsia="宋体" w:hAnsi="Times New Roman"/>
                <w:spacing w:val="0"/>
                <w:kern w:val="2"/>
                <w:sz w:val="20"/>
                <w:szCs w:val="20"/>
              </w:rPr>
              <w:t>(BS)</w:t>
            </w:r>
            <w:r>
              <w:rPr>
                <w:rFonts w:ascii="方正仿宋_GBK" w:eastAsia="方正仿宋_GBK" w:cs="Times New Roman" w:hint="eastAsia"/>
                <w:spacing w:val="0"/>
                <w:kern w:val="2"/>
                <w:sz w:val="20"/>
                <w:szCs w:val="20"/>
              </w:rPr>
              <w:t>和用户设备</w:t>
            </w:r>
            <w:r>
              <w:rPr>
                <w:rFonts w:ascii="Times New Roman" w:eastAsia="宋体" w:hAnsi="Times New Roman"/>
                <w:spacing w:val="0"/>
                <w:kern w:val="2"/>
                <w:sz w:val="20"/>
                <w:szCs w:val="20"/>
              </w:rPr>
              <w:t>(UE).</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包括</w:t>
            </w:r>
            <w:r>
              <w:rPr>
                <w:rFonts w:ascii="Times New Roman" w:eastAsia="宋体" w:hAnsi="Times New Roman"/>
                <w:spacing w:val="0"/>
                <w:kern w:val="2"/>
                <w:sz w:val="20"/>
                <w:szCs w:val="20"/>
              </w:rPr>
              <w:t>R&amp;TTE</w:t>
            </w:r>
            <w:r>
              <w:rPr>
                <w:rFonts w:ascii="方正仿宋_GBK" w:eastAsia="方正仿宋_GBK" w:cs="Times New Roman" w:hint="eastAsia"/>
                <w:spacing w:val="0"/>
                <w:kern w:val="2"/>
                <w:sz w:val="20"/>
                <w:szCs w:val="20"/>
              </w:rPr>
              <w:t>指令</w:t>
            </w:r>
            <w:r>
              <w:rPr>
                <w:rFonts w:ascii="Times New Roman" w:eastAsia="宋体" w:hAnsi="Times New Roman"/>
                <w:spacing w:val="0"/>
                <w:kern w:val="2"/>
                <w:sz w:val="20"/>
                <w:szCs w:val="20"/>
              </w:rPr>
              <w:t>3.2</w:t>
            </w:r>
            <w:r>
              <w:rPr>
                <w:rFonts w:ascii="方正仿宋_GBK" w:eastAsia="方正仿宋_GBK" w:cs="Times New Roman" w:hint="eastAsia"/>
                <w:spacing w:val="0"/>
                <w:kern w:val="2"/>
                <w:sz w:val="20"/>
                <w:szCs w:val="20"/>
              </w:rPr>
              <w:t>节基本要求的</w:t>
            </w:r>
            <w:r>
              <w:rPr>
                <w:rFonts w:ascii="Times New Roman" w:eastAsia="宋体" w:hAnsi="Times New Roman"/>
                <w:spacing w:val="0"/>
                <w:kern w:val="2"/>
                <w:sz w:val="20"/>
                <w:szCs w:val="20"/>
              </w:rPr>
              <w:t>IMT-2000</w:t>
            </w:r>
            <w:r>
              <w:rPr>
                <w:rFonts w:ascii="方正仿宋_GBK" w:eastAsia="方正仿宋_GBK" w:cs="Times New Roman" w:hint="eastAsia"/>
                <w:spacing w:val="0"/>
                <w:kern w:val="2"/>
                <w:sz w:val="20"/>
                <w:szCs w:val="20"/>
              </w:rPr>
              <w:t>的协调的</w:t>
            </w:r>
            <w:r>
              <w:rPr>
                <w:rFonts w:ascii="Times New Roman" w:eastAsia="宋体" w:hAnsi="Times New Roman"/>
                <w:spacing w:val="0"/>
                <w:kern w:val="2"/>
                <w:sz w:val="20"/>
                <w:szCs w:val="20"/>
              </w:rPr>
              <w:t>EN:</w:t>
            </w:r>
            <w:r>
              <w:rPr>
                <w:rFonts w:ascii="方正仿宋_GBK" w:eastAsia="方正仿宋_GBK" w:cs="Times New Roman" w:hint="eastAsia"/>
                <w:spacing w:val="0"/>
                <w:kern w:val="2"/>
                <w:sz w:val="20"/>
                <w:szCs w:val="20"/>
              </w:rPr>
              <w:t>绪论和一般要求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479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EN 301 908-13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IMT</w:t>
            </w:r>
            <w:r>
              <w:rPr>
                <w:rFonts w:ascii="方正仿宋_GBK" w:eastAsia="方正仿宋_GBK" w:cs="Times New Roman" w:hint="eastAsia"/>
                <w:spacing w:val="0"/>
                <w:kern w:val="2"/>
                <w:sz w:val="20"/>
                <w:szCs w:val="20"/>
              </w:rPr>
              <w:t>蜂窝网络；在</w:t>
            </w:r>
            <w:r>
              <w:rPr>
                <w:rFonts w:ascii="Times New Roman" w:eastAsia="宋体" w:hAnsi="Times New Roman"/>
                <w:spacing w:val="0"/>
                <w:kern w:val="2"/>
                <w:sz w:val="20"/>
                <w:szCs w:val="20"/>
              </w:rPr>
              <w:t>R&amp;TTE</w:t>
            </w:r>
            <w:r>
              <w:rPr>
                <w:rFonts w:ascii="方正仿宋_GBK" w:eastAsia="方正仿宋_GBK" w:cs="Times New Roman" w:hint="eastAsia"/>
                <w:spacing w:val="0"/>
                <w:kern w:val="2"/>
                <w:sz w:val="20"/>
                <w:szCs w:val="20"/>
              </w:rPr>
              <w:t>导则第</w:t>
            </w:r>
            <w:r>
              <w:rPr>
                <w:rFonts w:ascii="Times New Roman" w:eastAsia="宋体" w:hAnsi="Times New Roman"/>
                <w:spacing w:val="0"/>
                <w:kern w:val="2"/>
                <w:sz w:val="20"/>
                <w:szCs w:val="20"/>
              </w:rPr>
              <w:t>3.2</w:t>
            </w:r>
            <w:r>
              <w:rPr>
                <w:rFonts w:ascii="方正仿宋_GBK" w:eastAsia="方正仿宋_GBK" w:cs="Times New Roman" w:hint="eastAsia"/>
                <w:spacing w:val="0"/>
                <w:kern w:val="2"/>
                <w:sz w:val="20"/>
                <w:szCs w:val="20"/>
              </w:rPr>
              <w:t>章下调和</w:t>
            </w:r>
            <w:r>
              <w:rPr>
                <w:rFonts w:ascii="Times New Roman" w:eastAsia="宋体" w:hAnsi="Times New Roman"/>
                <w:spacing w:val="0"/>
                <w:kern w:val="2"/>
                <w:sz w:val="20"/>
                <w:szCs w:val="20"/>
              </w:rPr>
              <w:t>EN</w:t>
            </w:r>
            <w:r>
              <w:rPr>
                <w:rFonts w:ascii="方正仿宋_GBK" w:eastAsia="方正仿宋_GBK" w:cs="Times New Roman" w:hint="eastAsia"/>
                <w:spacing w:val="0"/>
                <w:kern w:val="2"/>
                <w:sz w:val="20"/>
                <w:szCs w:val="20"/>
              </w:rPr>
              <w:t>的基本要求；第</w:t>
            </w:r>
            <w:r>
              <w:rPr>
                <w:rFonts w:ascii="Times New Roman" w:eastAsia="宋体" w:hAnsi="Times New Roman"/>
                <w:spacing w:val="0"/>
                <w:kern w:val="2"/>
                <w:sz w:val="20"/>
                <w:szCs w:val="20"/>
              </w:rPr>
              <w:t>13</w:t>
            </w:r>
            <w:r>
              <w:rPr>
                <w:rFonts w:ascii="方正仿宋_GBK" w:eastAsia="方正仿宋_GBK" w:cs="Times New Roman" w:hint="eastAsia"/>
                <w:spacing w:val="0"/>
                <w:kern w:val="2"/>
                <w:sz w:val="20"/>
                <w:szCs w:val="20"/>
              </w:rPr>
              <w:t>部分：演进通用陆地无线接入</w:t>
            </w:r>
            <w:r>
              <w:rPr>
                <w:rFonts w:ascii="Times New Roman" w:eastAsia="宋体" w:hAnsi="Times New Roman"/>
                <w:spacing w:val="0"/>
                <w:kern w:val="2"/>
                <w:sz w:val="20"/>
                <w:szCs w:val="20"/>
              </w:rPr>
              <w:t>(E-UTRA)</w:t>
            </w:r>
            <w:r>
              <w:rPr>
                <w:rFonts w:ascii="方正仿宋_GBK" w:eastAsia="方正仿宋_GBK" w:cs="Times New Roman" w:hint="eastAsia"/>
                <w:spacing w:val="0"/>
                <w:kern w:val="2"/>
                <w:sz w:val="20"/>
                <w:szCs w:val="20"/>
              </w:rPr>
              <w:t>用户设备</w:t>
            </w:r>
            <w:r>
              <w:rPr>
                <w:rFonts w:ascii="Times New Roman" w:eastAsia="宋体" w:hAnsi="Times New Roman"/>
                <w:spacing w:val="0"/>
                <w:kern w:val="2"/>
                <w:sz w:val="20"/>
                <w:szCs w:val="20"/>
              </w:rPr>
              <w:t>(UE)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85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EN 301 908-2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电磁兼容性和无线电频谱管理</w:t>
            </w:r>
            <w:r>
              <w:rPr>
                <w:rFonts w:ascii="Times New Roman" w:eastAsia="宋体" w:hAnsi="Times New Roman"/>
                <w:spacing w:val="0"/>
                <w:kern w:val="2"/>
                <w:sz w:val="20"/>
                <w:szCs w:val="20"/>
              </w:rPr>
              <w:t>(ERM).IMT-2000</w:t>
            </w:r>
            <w:r>
              <w:rPr>
                <w:rFonts w:ascii="方正仿宋_GBK" w:eastAsia="方正仿宋_GBK" w:cs="Times New Roman" w:hint="eastAsia"/>
                <w:spacing w:val="0"/>
                <w:kern w:val="2"/>
                <w:sz w:val="20"/>
                <w:szCs w:val="20"/>
              </w:rPr>
              <w:t>第三代蜂窝式网络用基站</w:t>
            </w:r>
            <w:r>
              <w:rPr>
                <w:rFonts w:ascii="Times New Roman" w:eastAsia="宋体" w:hAnsi="Times New Roman"/>
                <w:spacing w:val="0"/>
                <w:kern w:val="2"/>
                <w:sz w:val="20"/>
                <w:szCs w:val="20"/>
              </w:rPr>
              <w:t>(BS)</w:t>
            </w:r>
            <w:r>
              <w:rPr>
                <w:rFonts w:ascii="方正仿宋_GBK" w:eastAsia="方正仿宋_GBK" w:cs="Times New Roman" w:hint="eastAsia"/>
                <w:spacing w:val="0"/>
                <w:kern w:val="2"/>
                <w:sz w:val="20"/>
                <w:szCs w:val="20"/>
              </w:rPr>
              <w:t>和用户设备</w:t>
            </w:r>
            <w:r>
              <w:rPr>
                <w:rFonts w:ascii="Times New Roman" w:eastAsia="宋体" w:hAnsi="Times New Roman"/>
                <w:spacing w:val="0"/>
                <w:kern w:val="2"/>
                <w:sz w:val="20"/>
                <w:szCs w:val="20"/>
              </w:rPr>
              <w:t>(UE).</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包括</w:t>
            </w:r>
            <w:r>
              <w:rPr>
                <w:rFonts w:ascii="Times New Roman" w:eastAsia="宋体" w:hAnsi="Times New Roman"/>
                <w:spacing w:val="0"/>
                <w:kern w:val="2"/>
                <w:sz w:val="20"/>
                <w:szCs w:val="20"/>
              </w:rPr>
              <w:t>R&amp;TTE</w:t>
            </w:r>
            <w:r>
              <w:rPr>
                <w:rFonts w:ascii="方正仿宋_GBK" w:eastAsia="方正仿宋_GBK" w:cs="Times New Roman" w:hint="eastAsia"/>
                <w:spacing w:val="0"/>
                <w:kern w:val="2"/>
                <w:sz w:val="20"/>
                <w:szCs w:val="20"/>
              </w:rPr>
              <w:t>指令</w:t>
            </w:r>
            <w:r>
              <w:rPr>
                <w:rFonts w:ascii="Times New Roman" w:eastAsia="宋体" w:hAnsi="Times New Roman"/>
                <w:spacing w:val="0"/>
                <w:kern w:val="2"/>
                <w:sz w:val="20"/>
                <w:szCs w:val="20"/>
              </w:rPr>
              <w:t>3.2</w:t>
            </w:r>
            <w:r>
              <w:rPr>
                <w:rFonts w:ascii="方正仿宋_GBK" w:eastAsia="方正仿宋_GBK" w:cs="Times New Roman" w:hint="eastAsia"/>
                <w:spacing w:val="0"/>
                <w:kern w:val="2"/>
                <w:sz w:val="20"/>
                <w:szCs w:val="20"/>
              </w:rPr>
              <w:t>节基本要求的</w:t>
            </w:r>
            <w:r>
              <w:rPr>
                <w:rFonts w:ascii="Times New Roman" w:eastAsia="宋体" w:hAnsi="Times New Roman"/>
                <w:spacing w:val="0"/>
                <w:kern w:val="2"/>
                <w:sz w:val="20"/>
                <w:szCs w:val="20"/>
              </w:rPr>
              <w:t>IMT-2000</w:t>
            </w:r>
            <w:r>
              <w:rPr>
                <w:rFonts w:ascii="方正仿宋_GBK" w:eastAsia="方正仿宋_GBK" w:cs="Times New Roman" w:hint="eastAsia"/>
                <w:spacing w:val="0"/>
                <w:kern w:val="2"/>
                <w:sz w:val="20"/>
                <w:szCs w:val="20"/>
              </w:rPr>
              <w:t>的协调的</w:t>
            </w:r>
            <w:r>
              <w:rPr>
                <w:rFonts w:ascii="Times New Roman" w:eastAsia="宋体" w:hAnsi="Times New Roman"/>
                <w:spacing w:val="0"/>
                <w:kern w:val="2"/>
                <w:sz w:val="20"/>
                <w:szCs w:val="20"/>
              </w:rPr>
              <w:t>EN:CDMA</w:t>
            </w:r>
            <w:r>
              <w:rPr>
                <w:rFonts w:ascii="方正仿宋_GBK" w:eastAsia="方正仿宋_GBK" w:cs="Times New Roman" w:hint="eastAsia"/>
                <w:spacing w:val="0"/>
                <w:kern w:val="2"/>
                <w:sz w:val="20"/>
                <w:szCs w:val="20"/>
              </w:rPr>
              <w:t>直接扩频系统</w:t>
            </w:r>
            <w:r>
              <w:rPr>
                <w:rFonts w:ascii="Times New Roman" w:eastAsia="宋体" w:hAnsi="Times New Roman"/>
                <w:spacing w:val="0"/>
                <w:kern w:val="2"/>
                <w:sz w:val="20"/>
                <w:szCs w:val="20"/>
              </w:rPr>
              <w:t>(UTRA FDD)(UE)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EN 301 908-4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协调的</w:t>
            </w:r>
            <w:r>
              <w:rPr>
                <w:rFonts w:ascii="Times New Roman" w:eastAsia="宋体" w:hAnsi="Times New Roman"/>
                <w:spacing w:val="0"/>
                <w:kern w:val="2"/>
                <w:sz w:val="20"/>
                <w:szCs w:val="20"/>
              </w:rPr>
              <w:t>EN</w:t>
            </w:r>
            <w:r>
              <w:rPr>
                <w:rFonts w:ascii="方正仿宋_GBK" w:eastAsia="方正仿宋_GBK" w:cs="Times New Roman" w:hint="eastAsia"/>
                <w:spacing w:val="0"/>
                <w:kern w:val="2"/>
                <w:sz w:val="20"/>
                <w:szCs w:val="20"/>
              </w:rPr>
              <w:t>覆盖的基本要求</w:t>
            </w:r>
            <w:r>
              <w:rPr>
                <w:rFonts w:ascii="Times New Roman" w:eastAsia="宋体" w:hAnsi="Times New Roman"/>
                <w:spacing w:val="0"/>
                <w:kern w:val="2"/>
                <w:sz w:val="20"/>
                <w:szCs w:val="20"/>
              </w:rPr>
              <w:t xml:space="preserve"> R</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TTE</w:t>
            </w:r>
            <w:r>
              <w:rPr>
                <w:rFonts w:ascii="方正仿宋_GBK" w:eastAsia="方正仿宋_GBK" w:cs="Times New Roman" w:hint="eastAsia"/>
                <w:spacing w:val="0"/>
                <w:kern w:val="2"/>
                <w:sz w:val="20"/>
                <w:szCs w:val="20"/>
              </w:rPr>
              <w:t>指令第</w:t>
            </w:r>
            <w:r>
              <w:rPr>
                <w:rFonts w:ascii="Times New Roman" w:eastAsia="宋体" w:hAnsi="Times New Roman"/>
                <w:spacing w:val="0"/>
                <w:kern w:val="2"/>
                <w:sz w:val="20"/>
                <w:szCs w:val="20"/>
              </w:rPr>
              <w:t>3.2</w:t>
            </w:r>
            <w:r>
              <w:rPr>
                <w:rFonts w:ascii="方正仿宋_GBK" w:eastAsia="方正仿宋_GBK" w:cs="Times New Roman" w:hint="eastAsia"/>
                <w:spacing w:val="0"/>
                <w:kern w:val="2"/>
                <w:sz w:val="20"/>
                <w:szCs w:val="20"/>
              </w:rPr>
              <w:t>；第四部分：多载波</w:t>
            </w:r>
            <w:r>
              <w:rPr>
                <w:rFonts w:ascii="Times New Roman" w:eastAsia="宋体" w:hAnsi="Times New Roman"/>
                <w:spacing w:val="0"/>
                <w:kern w:val="2"/>
                <w:sz w:val="20"/>
                <w:szCs w:val="20"/>
              </w:rPr>
              <w:t>CDMA</w:t>
            </w:r>
            <w:r>
              <w:rPr>
                <w:rFonts w:ascii="方正仿宋_GBK" w:eastAsia="方正仿宋_GBK" w:cs="Times New Roman" w:hint="eastAsia"/>
                <w:spacing w:val="0"/>
                <w:kern w:val="2"/>
                <w:sz w:val="20"/>
                <w:szCs w:val="20"/>
              </w:rPr>
              <w:t>用户设备</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102 221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《机卡接口物理、电气、逻辑特性技术要求》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102 230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《机卡接口物理、电气、逻辑特性一致性测试方法》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102 230-1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智能卡；</w:t>
            </w:r>
            <w:r>
              <w:rPr>
                <w:rFonts w:ascii="Times New Roman" w:eastAsia="宋体" w:hAnsi="Times New Roman"/>
                <w:spacing w:val="0"/>
                <w:kern w:val="2"/>
                <w:sz w:val="20"/>
                <w:szCs w:val="20"/>
              </w:rPr>
              <w:t>UICC-</w:t>
            </w:r>
            <w:r>
              <w:rPr>
                <w:rFonts w:ascii="方正仿宋_GBK" w:eastAsia="方正仿宋_GBK" w:cs="Times New Roman" w:hint="eastAsia"/>
                <w:spacing w:val="0"/>
                <w:kern w:val="2"/>
                <w:sz w:val="20"/>
                <w:szCs w:val="20"/>
              </w:rPr>
              <w:t>终端接口；物理，电子和逻辑测试规范</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102 384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智能卡；</w:t>
            </w:r>
            <w:r>
              <w:rPr>
                <w:rFonts w:ascii="Times New Roman" w:eastAsia="宋体" w:hAnsi="Times New Roman"/>
                <w:spacing w:val="0"/>
                <w:kern w:val="2"/>
                <w:sz w:val="20"/>
                <w:szCs w:val="20"/>
              </w:rPr>
              <w:t>UICC-</w:t>
            </w:r>
            <w:r>
              <w:rPr>
                <w:rFonts w:ascii="方正仿宋_GBK" w:eastAsia="方正仿宋_GBK" w:cs="Times New Roman" w:hint="eastAsia"/>
                <w:spacing w:val="0"/>
                <w:kern w:val="2"/>
                <w:sz w:val="20"/>
                <w:szCs w:val="20"/>
              </w:rPr>
              <w:t>终端接口；卡应用工具包</w:t>
            </w:r>
            <w:r>
              <w:rPr>
                <w:rFonts w:ascii="Times New Roman" w:eastAsia="宋体" w:hAnsi="Times New Roman"/>
                <w:spacing w:val="0"/>
                <w:kern w:val="2"/>
                <w:sz w:val="20"/>
                <w:szCs w:val="20"/>
              </w:rPr>
              <w:t>(CAT)</w:t>
            </w:r>
            <w:r>
              <w:rPr>
                <w:rFonts w:ascii="方正仿宋_GBK" w:eastAsia="方正仿宋_GBK" w:cs="Times New Roman" w:hint="eastAsia"/>
                <w:spacing w:val="0"/>
                <w:kern w:val="2"/>
                <w:sz w:val="20"/>
                <w:szCs w:val="20"/>
              </w:rPr>
              <w:t>一致性规范</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103 106-V1.6.1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语音和多媒体传输质量；背景噪声下的语音质量表现：移动终端的背景噪声传输客观测试方法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103 281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语音和多媒体传输质量；背景噪声下的语音质量表现：超宽带和全频段移动终端客观测试方法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103 625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紧急通讯；将手机位置传输到</w:t>
            </w:r>
            <w:r>
              <w:rPr>
                <w:rFonts w:ascii="Times New Roman" w:eastAsia="宋体" w:hAnsi="Times New Roman"/>
                <w:spacing w:val="0"/>
                <w:kern w:val="2"/>
                <w:sz w:val="20"/>
                <w:szCs w:val="20"/>
              </w:rPr>
              <w:t>PSAP</w:t>
            </w:r>
            <w:r>
              <w:rPr>
                <w:rFonts w:ascii="方正仿宋_GBK" w:eastAsia="方正仿宋_GBK" w:cs="Times New Roman" w:hint="eastAsia"/>
                <w:spacing w:val="0"/>
                <w:kern w:val="2"/>
                <w:sz w:val="20"/>
                <w:szCs w:val="20"/>
              </w:rPr>
              <w:t>以进行紧急呼叫</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高级移动位置</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489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125 101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《通用移动通信系统（</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WCDMA</w:t>
            </w:r>
            <w:r>
              <w:rPr>
                <w:rFonts w:ascii="方正仿宋_GBK" w:eastAsia="方正仿宋_GBK" w:cs="Times New Roman" w:hint="eastAsia"/>
                <w:spacing w:val="0"/>
                <w:kern w:val="2"/>
                <w:sz w:val="20"/>
                <w:szCs w:val="20"/>
              </w:rPr>
              <w:t>终端无线收发信机一致性技术要求（频分双工）》</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125 133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《通用移动通信系统（</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）；无线资源管理要求》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126 131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通用移动通信系统</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LTE</w:t>
            </w:r>
            <w:r>
              <w:rPr>
                <w:rFonts w:ascii="方正仿宋_GBK" w:eastAsia="方正仿宋_GBK" w:cs="Times New Roman" w:hint="eastAsia"/>
                <w:spacing w:val="0"/>
                <w:kern w:val="2"/>
                <w:sz w:val="20"/>
                <w:szCs w:val="20"/>
              </w:rPr>
              <w:t>；电话终端的音频性能要求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126 132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通用移动通信系统</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LTE</w:t>
            </w:r>
            <w:r>
              <w:rPr>
                <w:rFonts w:ascii="方正仿宋_GBK" w:eastAsia="方正仿宋_GBK" w:cs="Times New Roman" w:hint="eastAsia"/>
                <w:spacing w:val="0"/>
                <w:kern w:val="2"/>
                <w:sz w:val="20"/>
                <w:szCs w:val="20"/>
              </w:rPr>
              <w:t>；语音和视频电话终端声学测试规范</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131 111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《数字蜂窝通信网（阶段</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USIM</w:t>
            </w:r>
            <w:r>
              <w:rPr>
                <w:rFonts w:ascii="方正仿宋_GBK" w:eastAsia="方正仿宋_GBK" w:cs="Times New Roman" w:hint="eastAsia"/>
                <w:spacing w:val="0"/>
                <w:kern w:val="2"/>
                <w:sz w:val="20"/>
                <w:szCs w:val="20"/>
              </w:rPr>
              <w:t>应用工具箱（</w:t>
            </w:r>
            <w:r>
              <w:rPr>
                <w:rFonts w:ascii="Times New Roman" w:eastAsia="宋体" w:hAnsi="Times New Roman"/>
                <w:spacing w:val="0"/>
                <w:kern w:val="2"/>
                <w:sz w:val="20"/>
                <w:szCs w:val="20"/>
              </w:rPr>
              <w:t>USAT</w:t>
            </w:r>
            <w:r>
              <w:rPr>
                <w:rFonts w:ascii="方正仿宋_GBK" w:eastAsia="方正仿宋_GBK" w:cs="Times New Roman" w:hint="eastAsia"/>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131 121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USIM</w:t>
            </w:r>
            <w:r>
              <w:rPr>
                <w:rFonts w:ascii="方正仿宋_GBK" w:eastAsia="方正仿宋_GBK" w:cs="Times New Roman" w:hint="eastAsia"/>
                <w:spacing w:val="0"/>
                <w:kern w:val="2"/>
                <w:sz w:val="20"/>
                <w:szCs w:val="20"/>
              </w:rPr>
              <w:t>应用特性》</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131 124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USAT</w:t>
            </w:r>
            <w:r>
              <w:rPr>
                <w:rFonts w:ascii="方正仿宋_GBK" w:eastAsia="方正仿宋_GBK" w:cs="Times New Roman" w:hint="eastAsia"/>
                <w:spacing w:val="0"/>
                <w:kern w:val="2"/>
                <w:sz w:val="20"/>
                <w:szCs w:val="20"/>
              </w:rPr>
              <w:t>一致性测试规范》</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134 121-1 2013/V11.0.1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《通用移动通信系统（</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）；终端一致性规范；无线发射和接收（</w:t>
            </w:r>
            <w:r>
              <w:rPr>
                <w:rFonts w:ascii="Times New Roman" w:eastAsia="宋体" w:hAnsi="Times New Roman"/>
                <w:spacing w:val="0"/>
                <w:kern w:val="2"/>
                <w:sz w:val="20"/>
                <w:szCs w:val="20"/>
              </w:rPr>
              <w:t>FDD</w:t>
            </w:r>
            <w:r>
              <w:rPr>
                <w:rFonts w:ascii="方正仿宋_GBK" w:eastAsia="方正仿宋_GBK" w:cs="Times New Roman" w:hint="eastAsia"/>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ETSI TS 134 123-2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通用移动电信系统（</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）；用户终端</w:t>
            </w:r>
            <w:r>
              <w:rPr>
                <w:rFonts w:ascii="Times New Roman" w:eastAsia="宋体" w:hAnsi="Times New Roman"/>
                <w:spacing w:val="0"/>
                <w:kern w:val="2"/>
                <w:sz w:val="20"/>
                <w:szCs w:val="20"/>
              </w:rPr>
              <w:t>(UE)</w:t>
            </w:r>
            <w:r>
              <w:rPr>
                <w:rFonts w:ascii="方正仿宋_GBK" w:eastAsia="方正仿宋_GBK" w:cs="Times New Roman" w:hint="eastAsia"/>
                <w:spacing w:val="0"/>
                <w:kern w:val="2"/>
                <w:sz w:val="20"/>
                <w:szCs w:val="20"/>
              </w:rPr>
              <w:t>一致性规范；第二部分：应用一致性陈述</w:t>
            </w:r>
            <w:r>
              <w:rPr>
                <w:rFonts w:ascii="Times New Roman" w:eastAsia="宋体" w:hAnsi="Times New Roman"/>
                <w:spacing w:val="0"/>
                <w:kern w:val="2"/>
                <w:sz w:val="20"/>
                <w:szCs w:val="20"/>
              </w:rPr>
              <w:t>(ICS)</w:t>
            </w:r>
            <w:r>
              <w:rPr>
                <w:rFonts w:ascii="方正仿宋_GBK" w:eastAsia="方正仿宋_GBK" w:cs="Times New Roman" w:hint="eastAsia"/>
                <w:spacing w:val="0"/>
                <w:kern w:val="2"/>
                <w:sz w:val="20"/>
                <w:szCs w:val="20"/>
              </w:rPr>
              <w:t>形式规范</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ETSI TS 134 123-3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通用移动通信系统（</w:t>
            </w:r>
            <w:r>
              <w:rPr>
                <w:rFonts w:ascii="Times New Roman" w:eastAsia="宋体" w:hAnsi="Times New Roman"/>
                <w:spacing w:val="0"/>
                <w:kern w:val="2"/>
                <w:sz w:val="20"/>
                <w:szCs w:val="20"/>
              </w:rPr>
              <w:t>UMTS</w:t>
            </w:r>
            <w:r>
              <w:rPr>
                <w:rFonts w:ascii="方正仿宋_GBK" w:eastAsia="方正仿宋_GBK" w:cs="Times New Roman" w:hint="eastAsia"/>
                <w:spacing w:val="0"/>
                <w:kern w:val="2"/>
                <w:sz w:val="20"/>
                <w:szCs w:val="20"/>
              </w:rPr>
              <w:t>）；用户设备（</w:t>
            </w:r>
            <w:r>
              <w:rPr>
                <w:rFonts w:ascii="Times New Roman" w:eastAsia="宋体" w:hAnsi="Times New Roman"/>
                <w:spacing w:val="0"/>
                <w:kern w:val="2"/>
                <w:sz w:val="20"/>
                <w:szCs w:val="20"/>
              </w:rPr>
              <w:t>UE</w:t>
            </w:r>
            <w:r>
              <w:rPr>
                <w:rFonts w:ascii="方正仿宋_GBK" w:eastAsia="方正仿宋_GBK" w:cs="Times New Roman" w:hint="eastAsia"/>
                <w:spacing w:val="0"/>
                <w:kern w:val="2"/>
                <w:sz w:val="20"/>
                <w:szCs w:val="20"/>
              </w:rPr>
              <w:t>）一致性测试规范；第三部分：抽象测试集</w:t>
            </w:r>
            <w:r>
              <w:rPr>
                <w:rFonts w:ascii="Times New Roman" w:eastAsia="宋体" w:hAnsi="Times New Roman"/>
                <w:spacing w:val="0"/>
                <w:kern w:val="2"/>
                <w:sz w:val="20"/>
                <w:szCs w:val="20"/>
              </w:rPr>
              <w:t xml:space="preserve"> (ATSs)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499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136 101 V10.5.0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LTE</w:t>
            </w:r>
            <w:r>
              <w:rPr>
                <w:rFonts w:ascii="方正仿宋_GBK" w:eastAsia="方正仿宋_GBK" w:cs="Times New Roman" w:hint="eastAsia"/>
                <w:spacing w:val="0"/>
                <w:kern w:val="2"/>
                <w:sz w:val="20"/>
                <w:szCs w:val="20"/>
              </w:rPr>
              <w:t>；演进通用陆地无线接入</w:t>
            </w:r>
            <w:r>
              <w:rPr>
                <w:rFonts w:ascii="Times New Roman" w:eastAsia="宋体" w:hAnsi="Times New Roman"/>
                <w:spacing w:val="0"/>
                <w:kern w:val="2"/>
                <w:sz w:val="20"/>
                <w:szCs w:val="20"/>
              </w:rPr>
              <w:t>(E-UTRA)</w:t>
            </w:r>
            <w:r>
              <w:rPr>
                <w:rFonts w:ascii="方正仿宋_GBK" w:eastAsia="方正仿宋_GBK" w:cs="Times New Roman" w:hint="eastAsia"/>
                <w:spacing w:val="0"/>
                <w:kern w:val="2"/>
                <w:sz w:val="20"/>
                <w:szCs w:val="20"/>
              </w:rPr>
              <w:t>；用户设备</w:t>
            </w:r>
            <w:r>
              <w:rPr>
                <w:rFonts w:ascii="Times New Roman" w:eastAsia="宋体" w:hAnsi="Times New Roman"/>
                <w:spacing w:val="0"/>
                <w:kern w:val="2"/>
                <w:sz w:val="20"/>
                <w:szCs w:val="20"/>
              </w:rPr>
              <w:t>(UE)</w:t>
            </w:r>
            <w:r>
              <w:rPr>
                <w:rFonts w:ascii="方正仿宋_GBK" w:eastAsia="方正仿宋_GBK" w:cs="Times New Roman" w:hint="eastAsia"/>
                <w:spacing w:val="0"/>
                <w:kern w:val="2"/>
                <w:sz w:val="20"/>
                <w:szCs w:val="20"/>
              </w:rPr>
              <w:t>无线电发送和接收》</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138 521-1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138 521-2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138 521-3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ETSI TS 151 010-1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《数字蜂窝通信网（阶段</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MS</w:t>
            </w:r>
            <w:r>
              <w:rPr>
                <w:rFonts w:ascii="方正仿宋_GBK" w:eastAsia="方正仿宋_GBK" w:cs="Times New Roman" w:hint="eastAsia"/>
                <w:spacing w:val="0"/>
                <w:kern w:val="2"/>
                <w:sz w:val="20"/>
                <w:szCs w:val="20"/>
              </w:rPr>
              <w:t>一致性规范；第一部分：一致性要求》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GPA 2172-19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混合天然气的热值、相对密度和压缩因子的计算</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GPA 2172-25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Calculation of Gross Heating Value,Relative Density,Compressibility and Theoretical Hydrocarbon Liquid Content for Natural Gas Mixtures for Custody Transfer</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GPA 2261-25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Analysis for Natural Gas and Similar Gaseous Mixtures by Gas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GPA STD 2261-2020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天然气的组成分析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气相色谱法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GSMA SGP.23-2023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远程</w:t>
            </w:r>
            <w:r>
              <w:rPr>
                <w:rFonts w:ascii="Times New Roman" w:eastAsia="宋体" w:hAnsi="Times New Roman"/>
                <w:spacing w:val="0"/>
                <w:kern w:val="2"/>
                <w:sz w:val="20"/>
                <w:szCs w:val="20"/>
              </w:rPr>
              <w:t>SIM</w:t>
            </w:r>
            <w:r>
              <w:rPr>
                <w:rFonts w:ascii="方正仿宋_GBK" w:eastAsia="方正仿宋_GBK" w:cs="Times New Roman" w:hint="eastAsia"/>
                <w:spacing w:val="0"/>
                <w:kern w:val="2"/>
                <w:sz w:val="20"/>
                <w:szCs w:val="20"/>
              </w:rPr>
              <w:t>配置测试规范</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509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GSMA TS.09-2021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电池寿命测量与电流消耗技术</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GSMA TS.09-2022/V12.0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电池寿命测量和耗电技术</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GSO 1268:2002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IEC 60086-4 ed.6.0 b:2025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原电池</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4</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锂电池的安全要求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60335-1:2020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通用要求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60335-2-113 b.2021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2-113</w:t>
            </w:r>
            <w:r>
              <w:rPr>
                <w:rFonts w:ascii="方正仿宋_GBK" w:eastAsia="方正仿宋_GBK" w:cs="Times New Roman" w:hint="eastAsia"/>
                <w:spacing w:val="0"/>
                <w:kern w:val="2"/>
                <w:sz w:val="20"/>
                <w:szCs w:val="20"/>
              </w:rPr>
              <w:t>部分：含有激光和强光源的美容疗理器具的特殊要求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60335-2-11:2024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60335-2-13:2021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深油炸锅、油煎锅及类似器具的特殊要求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60335-2-14 b.2025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60335-2-15 ed.7.0 b.2024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液体加热器的特殊要求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519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60335-2-17:2022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电热毯、电热垫及类似柔性发热器具的特殊要求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60335-2-21:2022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储水式热水器的特殊要求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60335-2-24:2025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制冷器具、冰淇淋机和制冰机的特殊要求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60335-2-25:2024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微波炉，包括组合型微波炉的特殊要求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60335-2-27:2024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2-27</w:t>
            </w:r>
            <w:r>
              <w:rPr>
                <w:rFonts w:ascii="方正仿宋_GBK" w:eastAsia="方正仿宋_GBK" w:cs="Times New Roman" w:hint="eastAsia"/>
                <w:spacing w:val="0"/>
                <w:kern w:val="2"/>
                <w:sz w:val="20"/>
                <w:szCs w:val="20"/>
              </w:rPr>
              <w:t>部分：紫外和红外辐射皮肤护理电器的特殊要求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60335-2-2:2019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真空吸尘器和吸水式清洁器具的特殊要求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60335-2-31:2024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吸油烟机的特殊要求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60335-2-32:2024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60335-2-3:2022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保温板和类似器具的特殊要求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60335-2-40:2024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热泵、空调器和除湿机的特殊要求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529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60335-2-43:2024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60335-2-4:2024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离心式脱水机的特殊要求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60335-2-52:2021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2-52</w:t>
            </w:r>
            <w:r>
              <w:rPr>
                <w:rFonts w:ascii="方正仿宋_GBK" w:eastAsia="方正仿宋_GBK" w:cs="Times New Roman" w:hint="eastAsia"/>
                <w:spacing w:val="0"/>
                <w:kern w:val="2"/>
                <w:sz w:val="20"/>
                <w:szCs w:val="20"/>
              </w:rPr>
              <w:t>部分：口腔卫生器具的特殊要求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60335-2-54:2022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使用液体或蒸汽的家用表面清洁器具的特殊要求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60335-2-55:2021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2-55</w:t>
            </w:r>
            <w:r>
              <w:rPr>
                <w:rFonts w:ascii="方正仿宋_GBK" w:eastAsia="方正仿宋_GBK" w:cs="Times New Roman" w:hint="eastAsia"/>
                <w:spacing w:val="0"/>
                <w:kern w:val="2"/>
                <w:sz w:val="20"/>
                <w:szCs w:val="20"/>
              </w:rPr>
              <w:t>部分：水族箱和花园池塘用电器的特殊要求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60335-2-59:2021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灭虫器的特殊要求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60335-2-7:2024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洗衣机的特殊要求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60335-2-84:2019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2-84</w:t>
            </w:r>
            <w:r>
              <w:rPr>
                <w:rFonts w:ascii="方正仿宋_GBK" w:eastAsia="方正仿宋_GBK" w:cs="Times New Roman" w:hint="eastAsia"/>
                <w:spacing w:val="0"/>
                <w:kern w:val="2"/>
                <w:sz w:val="20"/>
                <w:szCs w:val="20"/>
              </w:rPr>
              <w:t>部分：坐便器的特殊要求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60335-2-85:2022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2-85</w:t>
            </w:r>
            <w:r>
              <w:rPr>
                <w:rFonts w:ascii="方正仿宋_GBK" w:eastAsia="方正仿宋_GBK" w:cs="Times New Roman" w:hint="eastAsia"/>
                <w:spacing w:val="0"/>
                <w:kern w:val="2"/>
                <w:sz w:val="20"/>
                <w:szCs w:val="20"/>
              </w:rPr>
              <w:t>部分：织物蒸汽机的特殊要求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60335-2-9:2019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家用和类似用途电器的安全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烤架、面包片烘烤器及类似用途便携式烹饪器具的特殊要求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539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60825-1:2014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激光产品的安全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部分：设备分类和要求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60884-1:2022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Plugs and socket-outlets for household and similar purposes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Part 1: General requirements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61951-1:2023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含碱性或其它非酸性电解质的蓄电池和蓄电池组</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便携式密封单体蓄电池和蓄电池组</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部分：镍镉电池</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61951-2:2022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含碱性或其他非酸性电解质的蓄电池和蓄电池组－便携式密封单体蓄电池和蓄电池组</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部分：金属氢化物镍电池</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62133-2:2017/AMD1:2021/COR1:2021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含碱性或非酸性电解液的二次单体电池和电池（组）：便携式密封二次单体电池及应用于便携式设备中由它们制造的电池（组）的安全要求</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部分：锂体系</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62281:2023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锂原电池和蓄电池在运输中的安全要求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IEC TS 63457-1:2025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Househoid and similar appliances- Subsequent safety testing after repair,refurbishment,and remanufacturing - Part 1 :General requirements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IFAI CPAI 84-2021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IP 170-23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Determination of flash point - Abel closed-cup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IP 399-16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Determination of hydrogen sulphide in fuel oils </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549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IP 565-2013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航空涡轮燃料的洁净度（便携式自动颗粒计数器法）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0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IP 577-13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Determination of the level of cleanliness of aviation turbine fuel - Automatic particle counter method using light extinction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IP 585-21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Determination of fatty acid methyl esters (FAME), derived from bio-diesel fuel, in aviation turbine fuel - GC-MS with selective ion monitoring/scan detection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IP 298-1992(2006)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醌茜的测定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萃取分光光度法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EI</w:t>
            </w: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IP 501/05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通过灰化、熔融和电感耦合等离子发射光谱法测定残渣燃料油中铝、硅、钒、镍、铁、钠、钙、锌、磷的标准试验方法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EI</w:t>
            </w: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IP 565/13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航空喷气发动机燃料清洁度的测定－便携式自动颗粒计数器法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EI</w:t>
            </w: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105-B02:2014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色牢度试验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B02</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耐人工光色牢度</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氙弧灯退色试验</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105-C10:2006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色牢度试验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耐皂洗色牢度</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105-E01:2013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纺织品耐水色牢度试验方法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105-E04:2013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纺织品耐汗渍色牢度试验方法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559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105-X12:2016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纺织品耐摩擦色牢度试验方法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105-X18:2007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色牢度试验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X18</w:t>
            </w:r>
            <w:r>
              <w:rPr>
                <w:rFonts w:ascii="方正仿宋_GBK" w:eastAsia="方正仿宋_GBK" w:cs="Times New Roman" w:hint="eastAsia"/>
                <w:spacing w:val="0"/>
                <w:kern w:val="2"/>
                <w:sz w:val="20"/>
                <w:szCs w:val="20"/>
              </w:rPr>
              <w:t>部分：潜在酚黄变的评估</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10775:2013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纸和纸板的检验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镉含量的测定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用原子吸收分光光度测定法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10993-1:2025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Biological evaluation of medical devicesPart 1: Requirements and general principles for the evaluation of biological safety within a risk management process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11014:2009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Safety data sheet for chemical products-Content and order of sections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ISO 11290-2:2017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Microbiology of the food chain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Horizontal method for the detection and enumeration of Listeria monocytogenes and of Listeria spp.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Part 2: Enumeration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11642-2012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色牢度试验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耐水色牢度</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11790:2017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铜、铅、锌和镍精矿机械取样系统检验指南</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12192:2011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纸和纸板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压缩强度</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纸张的抗压性试验方法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12743:2021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铜、铅、锌和镍精矿中金属和水分含量测定的取样程序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569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12872:2022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Olive oils and olive-pomace oils-Determination of the 2-glyceryl monopalmitate content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12945-1:2020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测定织物表面起毛起球或毡化性能的测定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起球箱法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12945-2:2020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测定织物表面起毛起球或毡化性能的测定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部分：改型的马丁代尔法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12947-2:2016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织物抗磨损性</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马丁代尔的测定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部分：试样破裂的测定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12947-3:1998+Cor 1:2002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纺织品抗磨损马丁代尔法测定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3</w:t>
            </w:r>
            <w:r>
              <w:rPr>
                <w:rFonts w:ascii="方正仿宋_GBK" w:eastAsia="方正仿宋_GBK" w:cs="Times New Roman" w:hint="eastAsia"/>
                <w:spacing w:val="0"/>
                <w:kern w:val="2"/>
                <w:sz w:val="20"/>
                <w:szCs w:val="20"/>
              </w:rPr>
              <w:t>部分：重量损失</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12947-4:1998+Cor 1:2002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纺织品抗磨损马丁代尔法测定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4</w:t>
            </w:r>
            <w:r>
              <w:rPr>
                <w:rFonts w:ascii="方正仿宋_GBK" w:eastAsia="方正仿宋_GBK" w:cs="Times New Roman" w:hint="eastAsia"/>
                <w:spacing w:val="0"/>
                <w:kern w:val="2"/>
                <w:sz w:val="20"/>
                <w:szCs w:val="20"/>
              </w:rPr>
              <w:t>部分：外观变化</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13543:2016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铜、铅、锌、硫化镍精矿中所含金属量的测定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13546:2021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铜精矿化学分析方法冷原子吸收光谱法测定汞量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13909-2:2025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Coal and coke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Mechanical sampling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Part 2: Sampling of coal from moving streams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13909-4:2025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Coal and coke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Mechanical sampling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Part 4: Preparation of test samples of coal</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579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13934-1:2013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机织物断裂强力和断裂伸长的测定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13934-2:2014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织物断裂强力和断裂伸长率的测定（抓样法）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13935-1:2014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纺织材料</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织物和成衣接缝拉伸特性</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用剥离方法对接缝裂开最大拉力的测定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13935-2:2014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纺织材料</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织物和成衣接缝拉伸特性</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用夹钳方法对接缝裂开最大拉力的测定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13936-1:2004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机织物接缝抗滑移性测定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部分：定滑移量法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13936-2:2004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机织物接缝抗滑移性测定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部分：定负荷法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13937-1:2000+COR 1:2004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织物撕破性能</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部分：撕破强力的测定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冲击摆锤法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13937-2:2000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织物撕破性能</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部分：裤形试样测定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撕破强度</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（单舌法）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13937-3:2000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织物撕破性能</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3</w:t>
            </w:r>
            <w:r>
              <w:rPr>
                <w:rFonts w:ascii="方正仿宋_GBK" w:eastAsia="方正仿宋_GBK" w:cs="Times New Roman" w:hint="eastAsia"/>
                <w:spacing w:val="0"/>
                <w:kern w:val="2"/>
                <w:sz w:val="20"/>
                <w:szCs w:val="20"/>
              </w:rPr>
              <w:t>部分：翼形试样测定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撕破强度</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（单舌法）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13937-4:2000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纺织品－织物撕破性能</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4</w:t>
            </w:r>
            <w:r>
              <w:rPr>
                <w:rFonts w:ascii="方正仿宋_GBK" w:eastAsia="方正仿宋_GBK" w:cs="Times New Roman" w:hint="eastAsia"/>
                <w:spacing w:val="0"/>
                <w:kern w:val="2"/>
                <w:sz w:val="20"/>
                <w:szCs w:val="20"/>
              </w:rPr>
              <w:t>部分：舌形试样测定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撕破强度（双舌法）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589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13938-1:2019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织物胀破性能</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部分：胀破强力和胀破扩张度的测定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液压法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14184-1:2011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甲醛的测定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部分：自由和水解态甲醛（水抽提法）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14362-1:2017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由偶氮染料分解的某些芳香胺的检测方法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无需萃取的某些偶氮染料的检测方法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14362-3:2017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由偶氮染料分解的某些芳香胺的检测方法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3</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:4-</w:t>
            </w:r>
            <w:r>
              <w:rPr>
                <w:rFonts w:ascii="方正仿宋_GBK" w:eastAsia="方正仿宋_GBK" w:cs="Times New Roman" w:hint="eastAsia"/>
                <w:spacing w:val="0"/>
                <w:kern w:val="2"/>
                <w:sz w:val="20"/>
                <w:szCs w:val="20"/>
              </w:rPr>
              <w:t>胺基偶氮苯的检测</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15189:2022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Medical laboratories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Particular requirements for quality and competence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15320:2011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纸和纸板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萃取液中五氯酚的测定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15487:2018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评定家洗和烘干后衣服和其它纺织品外观的方法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4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16000-3:2022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Indoor airPart 3: Determination of formaldehyde and other carbonyl compounds in indoor and test chamber air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Active sampling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16181-1:2021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鞋类</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鞋和鞋部件中可能存在的临界物质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鞋材中邻苯二甲酸盐的测定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16181-2:2021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鞋类</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鞋和鞋部件中可能存在的临界物质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鞋材中邻苯二甲酸盐的测定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599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16217:2020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Cosmetics -Sun protection test methods -Water immersion procedure for determining water resistance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16634-1:2008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Food products-Determination of the total nitrogen content by combustion according to the Dumas principle and calculation of the protein content-Part 1:Oilseeds and animal feeding stuffs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16634-2:2016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Food products-Determination of the total nitrogen content by combustion according to the Dumas principle and calculation of the protein content-Part 2:Cereals,pulses and milled cereal products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16649-2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食品和动物饲料的微生物学</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列举葡萄糖苷酸酶</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阳性大肠杆菌的水平方法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85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16649-3:2015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Microbiology of the food chain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Horizontal method for the enumeration of beta-glucuronidase positive Escherichia coli</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Part 3: Detection and most probable number technique using 5-bromo-4-chloro-3 indolyl-ß-D-glucuronide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17070:2015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化学试验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四氯苯酚、三氯苯酚、二氯苯酚、氯苯酚</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同分异构体和五氯苯酚含量测定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17075-2017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六价铬含量的测定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17131:2020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皮革材质鉴定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显微镜法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17226-1:2021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甲醛含量的化学测定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部分：用高效液相色谱法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17226-2:2018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甲醛含量的化学测定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部分：用比色分析法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609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17234-1:2024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化学测试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染色皮革中某些偶氮染料的检测</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17234-2:2011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化学测试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染色皮革中某些偶氮染料的检测</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四胺基偶氮苯</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38"/>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1833-10:2019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10</w:t>
            </w:r>
            <w:r>
              <w:rPr>
                <w:rFonts w:ascii="方正仿宋_GBK" w:eastAsia="方正仿宋_GBK" w:cs="Times New Roman" w:hint="eastAsia"/>
                <w:spacing w:val="0"/>
                <w:kern w:val="2"/>
                <w:sz w:val="20"/>
                <w:szCs w:val="20"/>
              </w:rPr>
              <w:t>部分：三醋酯纤维或聚乳酸纤维与某些其他纤维的混合物（二氯甲烷法）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1833-11:2017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11</w:t>
            </w:r>
            <w:r>
              <w:rPr>
                <w:rFonts w:ascii="方正仿宋_GBK" w:eastAsia="方正仿宋_GBK" w:cs="Times New Roman" w:hint="eastAsia"/>
                <w:spacing w:val="0"/>
                <w:kern w:val="2"/>
                <w:sz w:val="20"/>
                <w:szCs w:val="20"/>
              </w:rPr>
              <w:t>部分：纤维素纤维与聚酯纤维的混合物（硫酸法）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1833-12:2020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12</w:t>
            </w:r>
            <w:r>
              <w:rPr>
                <w:rFonts w:ascii="方正仿宋_GBK" w:eastAsia="方正仿宋_GBK" w:cs="Times New Roman" w:hint="eastAsia"/>
                <w:spacing w:val="0"/>
                <w:kern w:val="2"/>
                <w:sz w:val="20"/>
                <w:szCs w:val="20"/>
              </w:rPr>
              <w:t>部分：聚丙烯腈纤维、某些改性聚丙烯腈纤维、某些含氯纤维或某些弹性纤维与某些其他纤维的混合物（二甲基甲酰胺法）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1833-13:2019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13</w:t>
            </w:r>
            <w:r>
              <w:rPr>
                <w:rFonts w:ascii="方正仿宋_GBK" w:eastAsia="方正仿宋_GBK" w:cs="Times New Roman" w:hint="eastAsia"/>
                <w:spacing w:val="0"/>
                <w:kern w:val="2"/>
                <w:sz w:val="20"/>
                <w:szCs w:val="20"/>
              </w:rPr>
              <w:t>部分：某些含氯纤维与某些其他纤维的混合物（二硫化碳</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丙酮法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1833-14:2019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14</w:t>
            </w:r>
            <w:r>
              <w:rPr>
                <w:rFonts w:ascii="方正仿宋_GBK" w:eastAsia="方正仿宋_GBK" w:cs="Times New Roman" w:hint="eastAsia"/>
                <w:spacing w:val="0"/>
                <w:kern w:val="2"/>
                <w:sz w:val="20"/>
                <w:szCs w:val="20"/>
              </w:rPr>
              <w:t>部分：醋酯纤维与某些含氯纤维的混合物（冰乙酸法）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1833-15:2019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15</w:t>
            </w:r>
            <w:r>
              <w:rPr>
                <w:rFonts w:ascii="方正仿宋_GBK" w:eastAsia="方正仿宋_GBK" w:cs="Times New Roman" w:hint="eastAsia"/>
                <w:spacing w:val="0"/>
                <w:kern w:val="2"/>
                <w:sz w:val="20"/>
                <w:szCs w:val="20"/>
              </w:rPr>
              <w:t>部分：黄麻与某些动物纤维的混合物（含氮量法）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1833-16:2019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16</w:t>
            </w:r>
            <w:r>
              <w:rPr>
                <w:rFonts w:ascii="方正仿宋_GBK" w:eastAsia="方正仿宋_GBK" w:cs="Times New Roman" w:hint="eastAsia"/>
                <w:spacing w:val="0"/>
                <w:kern w:val="2"/>
                <w:sz w:val="20"/>
                <w:szCs w:val="20"/>
              </w:rPr>
              <w:t>部分：聚丙烯纤维与某些其他纤维的混合物（二甲苯法）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1833-17:2019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17</w:t>
            </w:r>
            <w:r>
              <w:rPr>
                <w:rFonts w:ascii="方正仿宋_GBK" w:eastAsia="方正仿宋_GBK" w:cs="Times New Roman" w:hint="eastAsia"/>
                <w:spacing w:val="0"/>
                <w:kern w:val="2"/>
                <w:sz w:val="20"/>
                <w:szCs w:val="20"/>
              </w:rPr>
              <w:t>部分：含氯纤维（氯乙烯均聚物）与某些其他纤维的混合物（硫酸法）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619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1833-18:2020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18</w:t>
            </w:r>
            <w:r>
              <w:rPr>
                <w:rFonts w:ascii="方正仿宋_GBK" w:eastAsia="方正仿宋_GBK" w:cs="Times New Roman" w:hint="eastAsia"/>
                <w:spacing w:val="0"/>
                <w:kern w:val="2"/>
                <w:sz w:val="20"/>
                <w:szCs w:val="20"/>
              </w:rPr>
              <w:t>部分：蚕丝与羊毛或其他动物毛纤维的混合物（硫酸法）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1833-1:2020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部分：试验通则</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1833-20:2018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20</w:t>
            </w:r>
            <w:r>
              <w:rPr>
                <w:rFonts w:ascii="方正仿宋_GBK" w:eastAsia="方正仿宋_GBK" w:cs="Times New Roman" w:hint="eastAsia"/>
                <w:spacing w:val="0"/>
                <w:kern w:val="2"/>
                <w:sz w:val="20"/>
                <w:szCs w:val="20"/>
              </w:rPr>
              <w:t>部分：聚氨酯弹性纤维与某些其他纤维的混合物（二甲基乙酰胺法）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1833-21:2019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21</w:t>
            </w:r>
            <w:r>
              <w:rPr>
                <w:rFonts w:ascii="方正仿宋_GBK" w:eastAsia="方正仿宋_GBK" w:cs="Times New Roman" w:hint="eastAsia"/>
                <w:spacing w:val="0"/>
                <w:kern w:val="2"/>
                <w:sz w:val="20"/>
                <w:szCs w:val="20"/>
              </w:rPr>
              <w:t>部分：含氯纤维、某些改性聚丙烯腈纤维、某些弹性纤维、醋酯纤维、三醋酯纤维与某些其他纤维的混合物（环己酮法）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1833-22:2020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22</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某种铜氨丝或莫代尔或莱赛尔和亚麻纤维和纤维胶的混合</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甲酸和氯化锌方法</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1833-24:2010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24</w:t>
            </w:r>
            <w:r>
              <w:rPr>
                <w:rFonts w:ascii="方正仿宋_GBK" w:eastAsia="方正仿宋_GBK" w:cs="Times New Roman" w:hint="eastAsia"/>
                <w:spacing w:val="0"/>
                <w:kern w:val="2"/>
                <w:sz w:val="20"/>
                <w:szCs w:val="20"/>
              </w:rPr>
              <w:t>部分：聚酯纤维与某些其他纤维的混合物（苯酚</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四氯乙烷法）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1833-25:2013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25</w:t>
            </w:r>
            <w:r>
              <w:rPr>
                <w:rFonts w:ascii="方正仿宋_GBK" w:eastAsia="方正仿宋_GBK" w:cs="Times New Roman" w:hint="eastAsia"/>
                <w:spacing w:val="0"/>
                <w:kern w:val="2"/>
                <w:sz w:val="20"/>
                <w:szCs w:val="20"/>
              </w:rPr>
              <w:t>部分：聚酯纤维与某些其他纤维的混合物（三氯乙酸</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三氯甲烷法）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1833-2:2020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部分：三组分纤维混合物</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1833-3:2020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3</w:t>
            </w:r>
            <w:r>
              <w:rPr>
                <w:rFonts w:ascii="方正仿宋_GBK" w:eastAsia="方正仿宋_GBK" w:cs="Times New Roman" w:hint="eastAsia"/>
                <w:spacing w:val="0"/>
                <w:kern w:val="2"/>
                <w:sz w:val="20"/>
                <w:szCs w:val="20"/>
              </w:rPr>
              <w:t>部分：醋酯纤维与某些其他纤维的混合物（丙酮法）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1833-4:2017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4</w:t>
            </w:r>
            <w:r>
              <w:rPr>
                <w:rFonts w:ascii="方正仿宋_GBK" w:eastAsia="方正仿宋_GBK" w:cs="Times New Roman" w:hint="eastAsia"/>
                <w:spacing w:val="0"/>
                <w:kern w:val="2"/>
                <w:sz w:val="20"/>
                <w:szCs w:val="20"/>
              </w:rPr>
              <w:t>部分：某些蛋白质纤维与某些其他纤维的混合物</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次氯酸盐法</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629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1833-5:2006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5</w:t>
            </w:r>
            <w:r>
              <w:rPr>
                <w:rFonts w:ascii="方正仿宋_GBK" w:eastAsia="方正仿宋_GBK" w:cs="Times New Roman" w:hint="eastAsia"/>
                <w:spacing w:val="0"/>
                <w:kern w:val="2"/>
                <w:sz w:val="20"/>
                <w:szCs w:val="20"/>
              </w:rPr>
              <w:t>部分：粘胶纤维、铜氨纤维或莫代尔纤维与棉的混合物（锌酸钠法）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1833-6:2018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6</w:t>
            </w:r>
            <w:r>
              <w:rPr>
                <w:rFonts w:ascii="方正仿宋_GBK" w:eastAsia="方正仿宋_GBK" w:cs="Times New Roman" w:hint="eastAsia"/>
                <w:spacing w:val="0"/>
                <w:kern w:val="2"/>
                <w:sz w:val="20"/>
                <w:szCs w:val="20"/>
              </w:rPr>
              <w:t>部分：粘胶纤维、某些铜氨纤维、莫代尔纤维或莱赛尔纤维与棉的混合物（甲酸</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氯化锌法）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1833-7:2017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7</w:t>
            </w:r>
            <w:r>
              <w:rPr>
                <w:rFonts w:ascii="方正仿宋_GBK" w:eastAsia="方正仿宋_GBK" w:cs="Times New Roman" w:hint="eastAsia"/>
                <w:spacing w:val="0"/>
                <w:kern w:val="2"/>
                <w:sz w:val="20"/>
                <w:szCs w:val="20"/>
              </w:rPr>
              <w:t>部分：聚酰胺纤维与某些其他纤维混合物（甲酸法）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1833-8:2006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8</w:t>
            </w:r>
            <w:r>
              <w:rPr>
                <w:rFonts w:ascii="方正仿宋_GBK" w:eastAsia="方正仿宋_GBK" w:cs="Times New Roman" w:hint="eastAsia"/>
                <w:spacing w:val="0"/>
                <w:kern w:val="2"/>
                <w:sz w:val="20"/>
                <w:szCs w:val="20"/>
              </w:rPr>
              <w:t>部分：醋酯纤维与三醋酯纤维混合物</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丙酮法</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1833-9:2019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定量化学分析</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9</w:t>
            </w:r>
            <w:r>
              <w:rPr>
                <w:rFonts w:ascii="方正仿宋_GBK" w:eastAsia="方正仿宋_GBK" w:cs="Times New Roman" w:hint="eastAsia"/>
                <w:spacing w:val="0"/>
                <w:kern w:val="2"/>
                <w:sz w:val="20"/>
                <w:szCs w:val="20"/>
              </w:rPr>
              <w:t>部分：醋酯纤维与三醋酯纤维混合物（苯甲醇法）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1924-2:2008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纸和纸板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抗张性的测定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部分：恒速拉伸法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1924-3:2005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纸和纸板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抗张强度的测定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3</w:t>
            </w:r>
            <w:r>
              <w:rPr>
                <w:rFonts w:ascii="方正仿宋_GBK" w:eastAsia="方正仿宋_GBK" w:cs="Times New Roman" w:hint="eastAsia"/>
                <w:spacing w:val="0"/>
                <w:kern w:val="2"/>
                <w:sz w:val="20"/>
                <w:szCs w:val="20"/>
              </w:rPr>
              <w:t>部分：恒定伸长率法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19579:2006</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固体矿物燃料</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红外光谱测定法测定硫含量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1974:2012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纸撕裂度的测定</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埃尔门多夫</w:t>
            </w:r>
            <w:r>
              <w:rPr>
                <w:rFonts w:ascii="Times New Roman" w:eastAsia="宋体" w:hAnsi="Times New Roman"/>
                <w:spacing w:val="0"/>
                <w:kern w:val="2"/>
                <w:sz w:val="20"/>
                <w:szCs w:val="20"/>
              </w:rPr>
              <w:t>Elmenderf</w:t>
            </w:r>
            <w:r>
              <w:rPr>
                <w:rFonts w:ascii="方正仿宋_GBK" w:eastAsia="方正仿宋_GBK" w:cs="Times New Roman" w:hint="eastAsia"/>
                <w:spacing w:val="0"/>
                <w:kern w:val="2"/>
                <w:sz w:val="20"/>
                <w:szCs w:val="20"/>
              </w:rPr>
              <w:t>扯裂试验法</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19976-1:2019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硫化铜、铅、锌精矿中镉的测定第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部分：火焰原子吸收光谱法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639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19976-2:2019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铜、铅和硫化锌精矿中镉的测定第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部分：酸消解和电感耦合等离子体原子发射光谱法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20483:2013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Cereals and pulses-Determination of the nitrogen content and calculation of the crude protein content-Kjeldahl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2060:1994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纱线线密度</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或支数</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的测定方法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绞纱法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21748-2017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Guidance for the use of repeatability, reproducibility and trueness estimates in measurement uncertainty evaluation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ISO 22964:2017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Microbiology of the food chain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Horizontal method for the detection of Cronobacter spp.</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23910:2019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物理和机械试验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线缝抗撕裂强度的测量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23942:2022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Determination of hydroxytyrosol and tyrosol content in extra virgin olive oils by RP-HPLC</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24363:2023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Determination of fatty acid methyl esters(cis and trans) and squalene in olive oil and other vegetable oils by gas chromatography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24442:2022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Cosmetics - Sun protection test methods -In vivo determination of sunscreen UVA protection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24444:2019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Cosmetics -Sun protection test methods - In vivo determination of the sun protection factor (SPF)</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649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24557:2024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Pulses-Determination of moisture content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Air-oven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2493-1:2010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纸和纸板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挺度的测定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部分：恒定转角法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2589:2016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物理和机械试验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厚度的测定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2758:2014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纸耐破度的测定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2759:2014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纸板耐破度的测定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287:2017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纸和纸板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水份含量的测定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烘干法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29541:2010</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固体矿物燃料</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总碳氢氮的测定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仪器法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29981:2024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Milk products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Enumeration of bifidobacteria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Colony-count technique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3034:2011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瓦楞纸板厚度的测定法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3071-2020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纺织品水萃取液</w:t>
            </w:r>
            <w:r>
              <w:rPr>
                <w:rFonts w:ascii="Times New Roman" w:eastAsia="宋体" w:hAnsi="Times New Roman"/>
                <w:spacing w:val="0"/>
                <w:kern w:val="2"/>
                <w:sz w:val="20"/>
                <w:szCs w:val="20"/>
              </w:rPr>
              <w:t>pH</w:t>
            </w:r>
            <w:r>
              <w:rPr>
                <w:rFonts w:ascii="方正仿宋_GBK" w:eastAsia="方正仿宋_GBK" w:cs="Times New Roman" w:hint="eastAsia"/>
                <w:spacing w:val="0"/>
                <w:kern w:val="2"/>
                <w:sz w:val="20"/>
                <w:szCs w:val="20"/>
              </w:rPr>
              <w:t>值的测定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659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31000:2018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Risk management - Guidelines</w:t>
            </w:r>
            <w:r>
              <w:rPr>
                <w:rFonts w:ascii="方正仿宋_GBK" w:eastAsia="方正仿宋_GBK" w:cs="Times New Roman" w:hint="eastAsia"/>
                <w:spacing w:val="0"/>
                <w:kern w:val="2"/>
                <w:sz w:val="20"/>
                <w:szCs w:val="20"/>
              </w:rPr>
              <w:t>（风险管理指南）</w:t>
            </w:r>
            <w:r>
              <w:rPr>
                <w:rFonts w:ascii="Times New Roman" w:eastAsia="宋体" w:hAnsi="Times New Roman"/>
                <w:spacing w:val="0"/>
                <w:kern w:val="2"/>
                <w:sz w:val="20"/>
                <w:szCs w:val="20"/>
              </w:rPr>
              <w:t xml:space="preserve"> </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31010:2019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Risk management - Risk assessment techniques</w:t>
            </w:r>
            <w:r>
              <w:rPr>
                <w:rFonts w:ascii="方正仿宋_GBK" w:eastAsia="方正仿宋_GBK" w:cs="Times New Roman" w:hint="eastAsia"/>
                <w:spacing w:val="0"/>
                <w:kern w:val="2"/>
                <w:sz w:val="20"/>
                <w:szCs w:val="20"/>
              </w:rPr>
              <w:t>（风险评估技术）</w:t>
            </w:r>
            <w:r>
              <w:rPr>
                <w:rFonts w:ascii="Times New Roman" w:eastAsia="宋体" w:hAnsi="Times New Roman"/>
                <w:spacing w:val="0"/>
                <w:kern w:val="2"/>
                <w:sz w:val="20"/>
                <w:szCs w:val="20"/>
              </w:rPr>
              <w:t xml:space="preserve"> </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3170:2025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Hydrocarbon Liquids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Manual sampling</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3377-1:2011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物理和机械试验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撕裂力的测定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部分：单边撕裂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3377-2:2016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物理和机械试验撕裂力的测定：双边撕裂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3759:2011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测定织物尺寸变化时试样的准备、标记和测量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3801:1977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机织物单位长度质量和单位面积质量的测定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4045:2018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皮革</w:t>
            </w:r>
            <w:r>
              <w:rPr>
                <w:rFonts w:ascii="Times New Roman" w:eastAsia="宋体" w:hAnsi="Times New Roman"/>
                <w:spacing w:val="0"/>
                <w:kern w:val="2"/>
                <w:sz w:val="20"/>
                <w:szCs w:val="20"/>
              </w:rPr>
              <w:t xml:space="preserve"> pH</w:t>
            </w:r>
            <w:r>
              <w:rPr>
                <w:rFonts w:ascii="方正仿宋_GBK" w:eastAsia="方正仿宋_GBK" w:cs="Times New Roman" w:hint="eastAsia"/>
                <w:spacing w:val="0"/>
                <w:kern w:val="2"/>
                <w:sz w:val="20"/>
                <w:szCs w:val="20"/>
              </w:rPr>
              <w:t>值的测定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4298:2022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锰矿石和锰精矿化学分析方法电位滴定法测定锰量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4589.2-2017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塑料</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用氧指数法测定燃烧行为</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部分：室温测试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669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4689-3:2017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铁矿石化学分析方法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燃烧</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红外吸收法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ISO 4831:2006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Microbiology of food and animal feeding stuffs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Horizontal method for the detection and enumeration of coliforms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Most probable number technique</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4833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食物链微生物学</w:t>
            </w:r>
            <w:r>
              <w:rPr>
                <w:rFonts w:ascii="Times New Roman" w:eastAsia="宋体" w:hAnsi="Times New Roman"/>
                <w:spacing w:val="0"/>
                <w:kern w:val="2"/>
                <w:sz w:val="20"/>
                <w:szCs w:val="20"/>
              </w:rPr>
              <w:t xml:space="preserve"> - </w:t>
            </w:r>
            <w:r>
              <w:rPr>
                <w:rFonts w:ascii="方正仿宋_GBK" w:eastAsia="方正仿宋_GBK" w:cs="Times New Roman" w:hint="eastAsia"/>
                <w:spacing w:val="0"/>
                <w:kern w:val="2"/>
                <w:sz w:val="20"/>
                <w:szCs w:val="20"/>
              </w:rPr>
              <w:t>微生物计数水平法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501:2025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Hard coal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Determination of the crucible swelling number</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5074-2015(E)</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煤的可磨性指数测定方法哈德格罗夫法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5077:2007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纺织品在洗涤和干燥时尺寸变化的测定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534:2011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纸和纸板</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单页纸厚度的测定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536:2019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纸和纸板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定量的测定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540:2008</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固体矿物燃料</w:t>
            </w:r>
            <w:r>
              <w:rPr>
                <w:rFonts w:ascii="Times New Roman" w:eastAsia="方正仿宋_GBK" w:hAnsi="Times New Roman" w:cs="Times New Roman"/>
                <w:spacing w:val="0"/>
                <w:kern w:val="2"/>
                <w:sz w:val="20"/>
                <w:szCs w:val="20"/>
              </w:rPr>
              <w:t>–</w:t>
            </w:r>
            <w:r>
              <w:rPr>
                <w:rFonts w:ascii="方正仿宋_GBK" w:eastAsia="方正仿宋_GBK" w:cs="Times New Roman" w:hint="eastAsia"/>
                <w:spacing w:val="0"/>
                <w:kern w:val="2"/>
                <w:sz w:val="20"/>
                <w:szCs w:val="20"/>
              </w:rPr>
              <w:t>灰分可熔性测定</w:t>
            </w:r>
            <w:r>
              <w:rPr>
                <w:rFonts w:ascii="Times New Roman" w:eastAsia="方正仿宋_GBK" w:hAnsi="Times New Roman" w:cs="Times New Roman"/>
                <w:spacing w:val="0"/>
                <w:kern w:val="2"/>
                <w:sz w:val="20"/>
                <w:szCs w:val="20"/>
              </w:rPr>
              <w:t>–</w:t>
            </w:r>
            <w:r>
              <w:rPr>
                <w:rFonts w:ascii="方正仿宋_GBK" w:eastAsia="方正仿宋_GBK" w:cs="Times New Roman" w:hint="eastAsia"/>
                <w:spacing w:val="0"/>
                <w:kern w:val="2"/>
                <w:sz w:val="20"/>
                <w:szCs w:val="20"/>
              </w:rPr>
              <w:t>高温管法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5626:1993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纸和纸板耐折度的测定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679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5725-1-2023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Accuracy (trueness and precision) of measurement methods and results-Part 1: General principles and definitions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5725-3-2023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Accuracy (trueness and precision) of measurement methods and results-Part 3: Intermediate precision and alternative designs for collaborative studies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589:2008</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硬煤</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全水分的测定方法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5983-1:2005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Animal feeding stuffs-Determination of nitrogen content and calculation of crude protein content  Part 1:Kjeldahl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5983-2:2009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Animal feeding stuffs-Determination of nitrogen content and calculation of crude protein content  Part 2:Block digestion and steam distillation method </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5997:1984</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铬矿石和铬精矿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硅含量的测定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分子吸收光谱法和重量法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6129:1981</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铬矿石</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分析试样中湿存水的测定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重量法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6130:1985</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铬矿石</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全铁含量的测定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还原后滴定法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622:2025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Coal and coke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Determination of phosphorus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Reduced molybdophosphate photometric method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6330:2021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纺织品试验时采用的家庭洗涤及干燥程序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689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6331:1983</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铬矿石和铬精矿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铬含量的测定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滴定法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6540:2021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Maize-Determination of moisture content(milled grains and on whole grains)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6579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食品和动物饲料微生物学沙门氏菌检测</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659:2009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Oilseeds-Determination of oil content(Reference mothod)</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660:2020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Animal and vegetable fats and oils-Determination of acid value and acidity</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665:2020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Oilseeds-Determination of moisture and volatile matter content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6888-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食物链微生物学</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凝固酶阳性葡萄球菌（金黄色葡萄球菌及其他种类）计数水平法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6925:1982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铺地织物</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抗燃性</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室温下的小块试验</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6941:2003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燃烧性能</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垂直方向试样火焰蔓延性能的测定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712-1:2024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Cereals and cereal products - Determination of moisture content-Part 1:Reference method </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699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712-2:2024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Cereals and cereal products - Determination of moisture content-Part 2:Automatic drying oven method </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7211-2:1984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机织物结构分析方法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织物密度的测定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7211-5:2020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机织物结构分析方法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织物中拆下纱线线密度的测定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85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7251:2005/Amd 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Microbiology of food and animal feeding stuffs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Horizontal method for the detection and enumeration of presumptive Escherichia coli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Most probable number technique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Amendment 1: Inclusion of performance testing of culture media and reagents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734:2023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Oilseed meals-Determination of oil content-Extraction method with hexane(or light petroleum)</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749:1977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Oilseedresidues-Determination of total ash</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7768:2009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洗涤和干燥后耐久压烫织物外观的评定方法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7769:2009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洗涤和干燥后耐久压烫织物褶裥外观的评定方法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7770:2009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洗涤和干燥后耐久压烫织物接缝外观的评定方法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811:2018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纺织织物</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抗渗水性的测定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静水压法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709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8191-1:1987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家具</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软体家具易燃性的评价</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火源</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燃着的香烟</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8791-2:2013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纸和纸板</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粗糙度</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平滑度的</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漏气法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本特生法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9073-15:2007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非织造布试验方法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15</w:t>
            </w:r>
            <w:r>
              <w:rPr>
                <w:rFonts w:ascii="方正仿宋_GBK" w:eastAsia="方正仿宋_GBK" w:cs="Times New Roman" w:hint="eastAsia"/>
                <w:spacing w:val="0"/>
                <w:kern w:val="2"/>
                <w:sz w:val="20"/>
                <w:szCs w:val="20"/>
              </w:rPr>
              <w:t>部分：透气性的测定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9073-16:2007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非织造布试验方法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16</w:t>
            </w:r>
            <w:r>
              <w:rPr>
                <w:rFonts w:ascii="方正仿宋_GBK" w:eastAsia="方正仿宋_GBK" w:cs="Times New Roman" w:hint="eastAsia"/>
                <w:spacing w:val="0"/>
                <w:kern w:val="2"/>
                <w:sz w:val="20"/>
                <w:szCs w:val="20"/>
              </w:rPr>
              <w:t>部分：抗渗水性的测定（静水压法）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9073-4:2021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纺织品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非织造品的检验方法</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4</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抗撕裂的测定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4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91:2017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Petroleum and related products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Temperature and pressure volume correction factors (petroleum measurement tables) and standard reference conditions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ISO Guide 73:2009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Risk management - Vocabulary</w:t>
            </w:r>
            <w:r>
              <w:rPr>
                <w:rFonts w:ascii="方正仿宋_GBK" w:eastAsia="方正仿宋_GBK" w:cs="Times New Roman" w:hint="eastAsia"/>
                <w:spacing w:val="0"/>
                <w:kern w:val="2"/>
                <w:sz w:val="20"/>
                <w:szCs w:val="20"/>
              </w:rPr>
              <w:t>（风险管理术语）</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ISO/IEC 17025:2017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Accreditation Criteria for the Competence of Testing and Calibration Laboratories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ISO/IEC 18305-2016</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信息技术</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实时定位系统</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定位和跟踪系统的试验和评估</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ISO/IEC GUIDE 98-1:2024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Guide to the expression of uncertainty in measurement - Part 1: Introduction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719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ISO/IEC Guide 98-6-2021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Uncertainty of measurement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Part 6: Developing and using measurement models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ISO/TS 21872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食物链微生物学</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水平法测定弧菌属</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ISO/TS 4689-1:2023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铁矿石硫含量的测定第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部分：硫酸钡重量法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ISO/TS 9516-4:2021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w:t>
            </w:r>
            <w:r>
              <w:rPr>
                <w:rFonts w:ascii="Times New Roman" w:eastAsia="宋体" w:hAnsi="Times New Roman"/>
                <w:spacing w:val="0"/>
                <w:kern w:val="2"/>
                <w:sz w:val="20"/>
                <w:szCs w:val="20"/>
              </w:rPr>
              <w:t>X</w:t>
            </w:r>
            <w:r>
              <w:rPr>
                <w:rFonts w:ascii="方正仿宋_GBK" w:eastAsia="方正仿宋_GBK" w:cs="Times New Roman" w:hint="eastAsia"/>
                <w:spacing w:val="0"/>
                <w:kern w:val="2"/>
                <w:sz w:val="20"/>
                <w:szCs w:val="20"/>
              </w:rPr>
              <w:t>射线荧光光谱法测定各种元素第</w:t>
            </w:r>
            <w:r>
              <w:rPr>
                <w:rFonts w:ascii="Times New Roman" w:eastAsia="宋体" w:hAnsi="Times New Roman"/>
                <w:spacing w:val="0"/>
                <w:kern w:val="2"/>
                <w:sz w:val="20"/>
                <w:szCs w:val="20"/>
              </w:rPr>
              <w:t>4</w:t>
            </w:r>
            <w:r>
              <w:rPr>
                <w:rFonts w:ascii="方正仿宋_GBK" w:eastAsia="方正仿宋_GBK" w:cs="Times New Roman" w:hint="eastAsia"/>
                <w:spacing w:val="0"/>
                <w:kern w:val="2"/>
                <w:sz w:val="20"/>
                <w:szCs w:val="20"/>
              </w:rPr>
              <w:t>部分：基于性能的熔融制备法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10203:2017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铁矿石化学分析方法火焰原子吸收光谱法测定钙</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10258:2018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硫化铜精矿化学分析方法滴定法测定铜量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10307-1:2009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残渣燃料油中总沉淀物</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篇：热过滤测定法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10307-2:2009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残渣燃料油中总沉淀物</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篇：标准老化程序测定法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10370:2014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残炭测定</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微量法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10478:1994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燃料油中铝和硅的测定</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电感耦合等离子体发射和原子吸收光谱法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729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11535-2006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铁矿石多元素测定－等离子体原子发射光谱法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11536:2015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铁矿石烧失量的测定重量法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1171:2010(E)</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固体矿物燃料</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灰分测定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11722:2013</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固体矿物燃料</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硬煤</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采用氮干燥法对一般分析试样水分含量的测定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11794:2017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铜、铅、锌和镍精矿浆料取样</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12156-1:2023(E)</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柴油</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使用高频往复装置</w:t>
            </w:r>
            <w:r>
              <w:rPr>
                <w:rFonts w:ascii="Times New Roman" w:eastAsia="宋体" w:hAnsi="Times New Roman"/>
                <w:spacing w:val="0"/>
                <w:kern w:val="2"/>
                <w:sz w:val="20"/>
                <w:szCs w:val="20"/>
              </w:rPr>
              <w:t>(HFRR)</w:t>
            </w:r>
            <w:r>
              <w:rPr>
                <w:rFonts w:ascii="方正仿宋_GBK" w:eastAsia="方正仿宋_GBK" w:cs="Times New Roman" w:hint="eastAsia"/>
                <w:spacing w:val="0"/>
                <w:kern w:val="2"/>
                <w:sz w:val="20"/>
                <w:szCs w:val="20"/>
              </w:rPr>
              <w:t>进行润滑油评定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12185:1996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原油和石油产品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密度测定</w:t>
            </w:r>
            <w:r>
              <w:rPr>
                <w:rFonts w:ascii="Times New Roman" w:eastAsia="宋体" w:hAnsi="Times New Roman"/>
                <w:spacing w:val="0"/>
                <w:kern w:val="2"/>
                <w:sz w:val="20"/>
                <w:szCs w:val="20"/>
              </w:rPr>
              <w:t>-U</w:t>
            </w:r>
            <w:r>
              <w:rPr>
                <w:rFonts w:ascii="方正仿宋_GBK" w:eastAsia="方正仿宋_GBK" w:cs="Times New Roman" w:hint="eastAsia"/>
                <w:spacing w:val="0"/>
                <w:kern w:val="2"/>
                <w:sz w:val="20"/>
                <w:szCs w:val="20"/>
              </w:rPr>
              <w:t>形振动管法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13913:2014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土质</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使用带有质谱检测的毛细管气相色谱法</w:t>
            </w:r>
            <w:r>
              <w:rPr>
                <w:rFonts w:ascii="Times New Roman" w:eastAsia="宋体" w:hAnsi="Times New Roman"/>
                <w:spacing w:val="0"/>
                <w:kern w:val="2"/>
                <w:sz w:val="20"/>
                <w:szCs w:val="20"/>
              </w:rPr>
              <w:t>(GC</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MS)</w:t>
            </w:r>
            <w:r>
              <w:rPr>
                <w:rFonts w:ascii="方正仿宋_GBK" w:eastAsia="方正仿宋_GBK" w:cs="Times New Roman" w:hint="eastAsia"/>
                <w:spacing w:val="0"/>
                <w:kern w:val="2"/>
                <w:sz w:val="20"/>
                <w:szCs w:val="20"/>
              </w:rPr>
              <w:t>对选定邻苯二甲酸盐的测定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14001:2015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环境管理系统</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使用指南要求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14021:2016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环境标志和声明</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自我环境声明</w:t>
            </w:r>
            <w:r>
              <w:rPr>
                <w:rFonts w:ascii="Times New Roman" w:eastAsia="宋体" w:hAnsi="Times New Roman"/>
                <w:spacing w:val="0"/>
                <w:kern w:val="2"/>
                <w:sz w:val="20"/>
                <w:szCs w:val="20"/>
              </w:rPr>
              <w:t>(II</w:t>
            </w:r>
            <w:r>
              <w:rPr>
                <w:rFonts w:ascii="方正仿宋_GBK" w:eastAsia="方正仿宋_GBK" w:cs="Times New Roman" w:hint="eastAsia"/>
                <w:spacing w:val="0"/>
                <w:kern w:val="2"/>
                <w:sz w:val="20"/>
                <w:szCs w:val="20"/>
              </w:rPr>
              <w:t>型环境标志</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739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14064-1:2018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温室气体</w:t>
            </w:r>
            <w:r>
              <w:rPr>
                <w:rFonts w:ascii="Times New Roman" w:eastAsia="宋体" w:hAnsi="Times New Roman"/>
                <w:spacing w:val="0"/>
                <w:kern w:val="2"/>
                <w:sz w:val="20"/>
                <w:szCs w:val="20"/>
              </w:rPr>
              <w:t xml:space="preserve"> -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温室气体排放和排放量化与报告组织层面指导</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14065:2020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验证和核实环境信息机构一般原则和要求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14067:2018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温室气体</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产品的碳足迹</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量化要求和指南</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14091:2021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适应气候变化</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脆弱性、影响和风险评估指南</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15833-1:2006+A1:2014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清洗消毒器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部分：通用要求、术语、定义和试验</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613"/>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15883-2:2006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清洗消毒器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部分：外科器械麻醉设备碗</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碟</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接收器</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器具</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玻璃器皿等采用热消毒的清洗消毒器的要求和试验</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16495:2022 EN</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Packaging - Transport packaging for dangerous goods - Test methods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16620-2:2019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塑料生物基含量第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生物基碳含量的测定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17294-2:2023</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水质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电感耦合等离子体质谱法（</w:t>
            </w:r>
            <w:r>
              <w:rPr>
                <w:rFonts w:ascii="Times New Roman" w:eastAsia="宋体" w:hAnsi="Times New Roman"/>
                <w:spacing w:val="0"/>
                <w:kern w:val="2"/>
                <w:sz w:val="20"/>
                <w:szCs w:val="20"/>
              </w:rPr>
              <w:t>ICP-MS</w:t>
            </w:r>
            <w:r>
              <w:rPr>
                <w:rFonts w:ascii="方正仿宋_GBK" w:eastAsia="方正仿宋_GBK" w:cs="Times New Roman" w:hint="eastAsia"/>
                <w:spacing w:val="0"/>
                <w:kern w:val="2"/>
                <w:sz w:val="20"/>
                <w:szCs w:val="20"/>
              </w:rPr>
              <w:t>）的应用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包括铀同位素在内的选定元素的测定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18856:2004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水质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邻苯二甲酸酯的测定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气相色谱／质谱法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749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1928-2020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固体矿物燃料用弹式量热计测定总值并计算净热值</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19579-2006(E)</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固体矿物燃料红外光谱测定法测定硫含量</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19739:2004/Cor.1:2009(E)</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天然气</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用气相色谱法测定硫化物</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21826-1:2022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w:t>
            </w:r>
            <w:r>
              <w:rPr>
                <w:rFonts w:ascii="Times New Roman" w:eastAsia="宋体" w:hAnsi="Times New Roman"/>
                <w:spacing w:val="0"/>
                <w:kern w:val="2"/>
                <w:sz w:val="20"/>
                <w:szCs w:val="20"/>
              </w:rPr>
              <w:t>EDTA</w:t>
            </w:r>
            <w:r>
              <w:rPr>
                <w:rFonts w:ascii="方正仿宋_GBK" w:eastAsia="方正仿宋_GBK" w:cs="Times New Roman" w:hint="eastAsia"/>
                <w:spacing w:val="0"/>
                <w:kern w:val="2"/>
                <w:sz w:val="20"/>
                <w:szCs w:val="20"/>
              </w:rPr>
              <w:t>光度滴定法测定总铁含量第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部分：微波消解法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22854:2021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液态石油产品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汽车发动机汽油中烃类及氧化物的测定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多维气相色谱分析法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23872:2021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采矿结构</w:t>
            </w:r>
            <w:r>
              <w:rPr>
                <w:rFonts w:ascii="Times New Roman" w:eastAsia="方正仿宋_GBK" w:hAnsi="Times New Roman" w:cs="Times New Roman"/>
                <w:spacing w:val="0"/>
                <w:kern w:val="2"/>
                <w:sz w:val="20"/>
                <w:szCs w:val="20"/>
              </w:rPr>
              <w:t>——</w:t>
            </w:r>
            <w:r>
              <w:rPr>
                <w:rFonts w:ascii="方正仿宋_GBK" w:eastAsia="方正仿宋_GBK" w:cs="Times New Roman" w:hint="eastAsia"/>
                <w:spacing w:val="0"/>
                <w:kern w:val="2"/>
                <w:sz w:val="20"/>
                <w:szCs w:val="20"/>
              </w:rPr>
              <w:t>地下结构</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248-1-2021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生橡胶挥发性物质含量测定</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热轧法和烘箱法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2719:2016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闪点测试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宾斯基</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马丁闭杯法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3016:2019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石油产品倾点试验方法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3085:2019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铁矿石取样、制样和测量精度检验实验方法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759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3087:2020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铁矿石批量含水率的测定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3104:2023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透明和不透明液体</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运动粘度的标准试验方法和动力粘度的计算法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3675:1998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原油和液体石油产品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密度测定法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密度计法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3733:1999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原油及沥青材料</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水分的测定法</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蒸馏法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4406:2021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液压传动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油液</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固体颗粒污染物等级代号法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4689-2:2017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铁矿石硫含量的测定第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部分：燃烧</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滴定法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4935:1989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钢铁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硫含量的测定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感应炉燃烧后红外吸收法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5564-1982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整粒黑、白胡椒或胡椒粉中胡椒碱含量的测定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分光光度法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ISO 562:2010</w:t>
            </w:r>
            <w:r>
              <w:rPr>
                <w:rFonts w:ascii="方正仿宋_GBK" w:eastAsia="方正仿宋_GBK" w:cs="Times New Roman" w:hint="eastAsia"/>
                <w:spacing w:val="0"/>
                <w:kern w:val="2"/>
                <w:sz w:val="20"/>
                <w:szCs w:val="20"/>
              </w:rPr>
              <w:t>（</w:t>
            </w:r>
            <w:r>
              <w:rPr>
                <w:rFonts w:ascii="Times New Roman" w:eastAsia="宋体" w:hAnsi="Times New Roman"/>
                <w:spacing w:val="0"/>
                <w:kern w:val="2"/>
                <w:sz w:val="20"/>
                <w:szCs w:val="20"/>
              </w:rPr>
              <w:t>E</w:t>
            </w:r>
            <w:r>
              <w:rPr>
                <w:rFonts w:ascii="方正仿宋_GBK" w:eastAsia="方正仿宋_GBK" w:cs="Times New Roman" w:hint="eastAsia"/>
                <w:spacing w:val="0"/>
                <w:kern w:val="2"/>
                <w:sz w:val="20"/>
                <w:szCs w:val="20"/>
              </w:rPr>
              <w:t>）</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硬煤和焦炭</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挥发分的测定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59020:2024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循环经济</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衡量和评估循环绩效</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769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6245:2001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灰分的标准测试方法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6321-2021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动植物油脂</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熔点的测定</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6486-1:2019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盛食物用陶瓷器皿、玻璃陶瓷器皿和玻璃餐具</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铅和镉的释放</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第一部分：试验方法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6892-1∶2019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金属材料</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拉伸试验</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室温试验方法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7086-1:2019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与食物接触的玻璃空心制品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铅、镉溶出量</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检验方法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7494-1:2018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牙科学</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非移动的牙科治疗机和牙科病人椅</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部分：通用要求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80601-2-56:2017+A1:2018</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医用电气设备</w:t>
            </w:r>
            <w:r>
              <w:rPr>
                <w:rFonts w:ascii="Times New Roman" w:eastAsia="宋体" w:hAnsi="Times New Roman"/>
                <w:spacing w:val="0"/>
                <w:kern w:val="2"/>
                <w:sz w:val="20"/>
                <w:szCs w:val="20"/>
              </w:rPr>
              <w:t>- 2-56</w:t>
            </w:r>
            <w:r>
              <w:rPr>
                <w:rFonts w:ascii="方正仿宋_GBK" w:eastAsia="方正仿宋_GBK" w:cs="Times New Roman" w:hint="eastAsia"/>
                <w:spacing w:val="0"/>
                <w:kern w:val="2"/>
                <w:sz w:val="20"/>
                <w:szCs w:val="20"/>
              </w:rPr>
              <w:t>部分：体温测量用临床温度计基本安全和基本性能的特殊要求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80601-2-69:2020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医用电气设备</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2-69</w:t>
            </w:r>
            <w:r>
              <w:rPr>
                <w:rFonts w:ascii="方正仿宋_GBK" w:eastAsia="方正仿宋_GBK" w:cs="Times New Roman" w:hint="eastAsia"/>
                <w:spacing w:val="0"/>
                <w:kern w:val="2"/>
                <w:sz w:val="20"/>
                <w:szCs w:val="20"/>
              </w:rPr>
              <w:t>部分：氧气浓缩器的基本安全和基本性能专用要求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8754:2003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石油产品</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硫含量的测定</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能量色散</w:t>
            </w:r>
            <w:r>
              <w:rPr>
                <w:rFonts w:ascii="Times New Roman" w:eastAsia="宋体" w:hAnsi="Times New Roman"/>
                <w:spacing w:val="0"/>
                <w:kern w:val="2"/>
                <w:sz w:val="20"/>
                <w:szCs w:val="20"/>
              </w:rPr>
              <w:t>-X</w:t>
            </w:r>
            <w:r>
              <w:rPr>
                <w:rFonts w:ascii="方正仿宋_GBK" w:eastAsia="方正仿宋_GBK" w:cs="Times New Roman" w:hint="eastAsia"/>
                <w:spacing w:val="0"/>
                <w:kern w:val="2"/>
                <w:sz w:val="20"/>
                <w:szCs w:val="20"/>
              </w:rPr>
              <w:t>射线荧光光度法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9377-2:2000</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水质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烃油指数第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部分：使用溶剂提取和气相色谱法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779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 9556:1989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钢铁</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总碳含量的测定</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感应炉燃烧后红外吸收法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ISO/TR 18230:2015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铁矿石烧失量的测定非氧化矿石</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ISO/TR 4688-1:2017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铁矿石铝的测定第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部分：火焰原子吸收光谱法</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ISO/TS 16965:2013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土壤质量</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使用电感耦合等离子体质谱法</w:t>
            </w:r>
            <w:r>
              <w:rPr>
                <w:rFonts w:ascii="Times New Roman" w:eastAsia="宋体" w:hAnsi="Times New Roman"/>
                <w:spacing w:val="0"/>
                <w:kern w:val="2"/>
                <w:sz w:val="20"/>
                <w:szCs w:val="20"/>
              </w:rPr>
              <w:t xml:space="preserve"> (ICP-MS) </w:t>
            </w:r>
            <w:r>
              <w:rPr>
                <w:rFonts w:ascii="方正仿宋_GBK" w:eastAsia="方正仿宋_GBK" w:cs="Times New Roman" w:hint="eastAsia"/>
                <w:spacing w:val="0"/>
                <w:kern w:val="2"/>
                <w:sz w:val="20"/>
                <w:szCs w:val="20"/>
              </w:rPr>
              <w:t>测定微量元素</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ITU-T G.160-2012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语音增强设备</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ITU-T Q.764-1999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7</w:t>
            </w:r>
            <w:r>
              <w:rPr>
                <w:rFonts w:ascii="方正仿宋_GBK" w:eastAsia="方正仿宋_GBK" w:cs="Times New Roman" w:hint="eastAsia"/>
                <w:spacing w:val="0"/>
                <w:kern w:val="2"/>
                <w:sz w:val="20"/>
                <w:szCs w:val="20"/>
              </w:rPr>
              <w:t>号信令系统</w:t>
            </w:r>
            <w:r>
              <w:rPr>
                <w:rFonts w:ascii="Times New Roman" w:eastAsia="宋体" w:hAnsi="Times New Roman"/>
                <w:spacing w:val="0"/>
                <w:kern w:val="2"/>
                <w:sz w:val="20"/>
                <w:szCs w:val="20"/>
              </w:rPr>
              <w:t>-ISDN</w:t>
            </w:r>
            <w:r>
              <w:rPr>
                <w:rFonts w:ascii="方正仿宋_GBK" w:eastAsia="方正仿宋_GBK" w:cs="Times New Roman" w:hint="eastAsia"/>
                <w:spacing w:val="0"/>
                <w:kern w:val="2"/>
                <w:sz w:val="20"/>
                <w:szCs w:val="20"/>
              </w:rPr>
              <w:t>用户信令流程</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JIS G 1211-3:2018/AMENDMENT 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Iron and steel -- Determination of carbon -- Part 3: Infrared absorption method after combustion (Amendment 1)_English Version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525"/>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JIS G 1215-4:2018/AMENDMENT 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Iron and steel -- Determination of sulfur -- Part 4: Infrared absorption method after combustion in an induction furnace (Amendment 1)_English Version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JIS G3193:2025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Dimensions, shape, mass and permissible variations of hot rolled steel plates, sheets and strips_English Version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方正仿宋_GBK" w:eastAsia="方正仿宋_GBK" w:cs="Times New Roman" w:hint="eastAsia"/>
                <w:spacing w:val="0"/>
                <w:kern w:val="2"/>
                <w:sz w:val="20"/>
                <w:szCs w:val="20"/>
              </w:rPr>
            </w:pPr>
            <w:r>
              <w:rPr>
                <w:rFonts w:ascii="Times New Roman" w:eastAsia="宋体" w:hAnsi="Times New Roman"/>
                <w:spacing w:val="0"/>
                <w:kern w:val="2"/>
                <w:sz w:val="20"/>
                <w:szCs w:val="20"/>
              </w:rPr>
              <w:t xml:space="preserve">JIS L 1096 </w:t>
            </w:r>
            <w:r>
              <w:rPr>
                <w:rFonts w:ascii="方正仿宋_GBK" w:eastAsia="方正仿宋_GBK" w:cs="Times New Roman" w:hint="eastAsia"/>
                <w:spacing w:val="0"/>
                <w:kern w:val="2"/>
                <w:sz w:val="20"/>
                <w:szCs w:val="20"/>
              </w:rPr>
              <w:t>（修订</w:t>
            </w:r>
            <w:r>
              <w:rPr>
                <w:rFonts w:ascii="Times New Roman" w:eastAsia="宋体" w:hAnsi="Times New Roman"/>
                <w:spacing w:val="0"/>
                <w:kern w:val="2"/>
                <w:sz w:val="20"/>
                <w:szCs w:val="20"/>
              </w:rPr>
              <w:t>2024</w:t>
            </w:r>
            <w:r>
              <w:rPr>
                <w:rFonts w:ascii="方正仿宋_GBK" w:eastAsia="方正仿宋_GBK" w:cs="Times New Roman" w:hint="eastAsia"/>
                <w:spacing w:val="0"/>
                <w:kern w:val="2"/>
                <w:sz w:val="20"/>
                <w:szCs w:val="20"/>
              </w:rPr>
              <w:t>版）</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織物及び編物の生地試験方法（追補</w:t>
            </w:r>
            <w:r>
              <w:rPr>
                <w:rFonts w:ascii="Times New Roman" w:eastAsia="宋体" w:hAnsi="Times New Roman"/>
                <w:spacing w:val="0"/>
                <w:kern w:val="2"/>
                <w:sz w:val="20"/>
                <w:szCs w:val="20"/>
              </w:rPr>
              <w:t xml:space="preserve"> 1)</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480"/>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789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JIS Z 2241:2022/AMENDMENT 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Metallic materials -- Tensile testing -- Method of test at room temperature (Amendment 1)_English Version</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MS 1774-5 </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方正仿宋_GBK" w:eastAsia="方正仿宋_GBK" w:cs="Times New Roman" w:hint="eastAsia"/>
                <w:spacing w:val="0"/>
                <w:kern w:val="2"/>
                <w:sz w:val="20"/>
                <w:szCs w:val="20"/>
              </w:rPr>
              <w:t>玩具安全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5</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非实验装置的化学玩具</w:t>
            </w:r>
            <w:r>
              <w:rPr>
                <w:rFonts w:ascii="Times New Roman" w:eastAsia="宋体" w:hAnsi="Times New Roman"/>
                <w:spacing w:val="0"/>
                <w:kern w:val="2"/>
                <w:sz w:val="20"/>
                <w:szCs w:val="20"/>
              </w:rPr>
              <w:t>(</w:t>
            </w:r>
            <w:r>
              <w:rPr>
                <w:rFonts w:ascii="方正仿宋_GBK" w:eastAsia="方正仿宋_GBK" w:cs="Times New Roman" w:hint="eastAsia"/>
                <w:spacing w:val="0"/>
                <w:kern w:val="2"/>
                <w:sz w:val="20"/>
                <w:szCs w:val="20"/>
              </w:rPr>
              <w:t>装置</w:t>
            </w:r>
            <w:r>
              <w:rPr>
                <w:rFonts w:ascii="Times New Roman" w:eastAsia="宋体" w:hAnsi="Times New Roman"/>
                <w:spacing w:val="0"/>
                <w:kern w:val="2"/>
                <w:sz w:val="20"/>
                <w:szCs w:val="20"/>
              </w:rPr>
              <w:t>)</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JMS</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791</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MS 2587</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电玩具电池安全要求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JMS</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792</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MS 589</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能效安全要求</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JMS</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793</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NSF/ANSI/CAN61-2024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bottom"/>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 xml:space="preserve">Drinking Water System Components </w:t>
            </w:r>
            <w:r>
              <w:rPr>
                <w:rFonts w:ascii="Times New Roman" w:eastAsia="方正仿宋_GBK" w:hAnsi="Times New Roman" w:cs="Times New Roman"/>
                <w:spacing w:val="0"/>
                <w:kern w:val="2"/>
                <w:sz w:val="20"/>
                <w:szCs w:val="20"/>
              </w:rPr>
              <w:t>–</w:t>
            </w:r>
            <w:r>
              <w:rPr>
                <w:rFonts w:ascii="Times New Roman" w:eastAsia="宋体" w:hAnsi="Times New Roman"/>
                <w:spacing w:val="0"/>
                <w:kern w:val="2"/>
                <w:sz w:val="20"/>
                <w:szCs w:val="20"/>
              </w:rPr>
              <w:t xml:space="preserve"> Health Effects</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r>
      <w:tr>
        <w:tblPrEx>
          <w:tblW w:w="8126" w:type="dxa"/>
          <w:jc w:val="left"/>
          <w:tblInd w:w="0" w:type="dxa"/>
          <w:tblLayout w:type="fixed"/>
          <w:tblCellMar>
            <w:top w:w="0" w:type="dxa"/>
            <w:left w:w="108" w:type="dxa"/>
            <w:bottom w:w="0" w:type="dxa"/>
            <w:right w:w="108" w:type="dxa"/>
          </w:tblCellMar>
        </w:tblPrEx>
        <w:trPr>
          <w:trHeight w:val="287"/>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794</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SASO IEC 60095-1:2023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hAnsi="Times New Roman"/>
                <w:spacing w:val="0"/>
                <w:kern w:val="2"/>
                <w:sz w:val="20"/>
                <w:szCs w:val="20"/>
              </w:rPr>
            </w:pP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SASO</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795</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 IEC 62115</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电玩具安全</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796</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 ISO 8124 Part 1</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玩具安全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1</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机械物理性能</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797</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 ISO 8124 Part 2</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玩具安全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2</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易燃性</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798</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 ISO 8124 Part 3</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玩具安全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3</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特定元素的迁移</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799</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 ISO 8124 Part 4</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spacing w:val="0"/>
                <w:kern w:val="2"/>
                <w:sz w:val="20"/>
                <w:szCs w:val="20"/>
              </w:rPr>
            </w:pPr>
            <w:r>
              <w:rPr>
                <w:rFonts w:ascii="方正仿宋_GBK" w:eastAsia="方正仿宋_GBK" w:cs="Times New Roman" w:hint="eastAsia"/>
                <w:spacing w:val="0"/>
                <w:kern w:val="2"/>
                <w:sz w:val="20"/>
                <w:szCs w:val="20"/>
              </w:rPr>
              <w:t>玩具安全</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第</w:t>
            </w:r>
            <w:r>
              <w:rPr>
                <w:rFonts w:ascii="Times New Roman" w:eastAsia="宋体" w:hAnsi="Times New Roman"/>
                <w:spacing w:val="0"/>
                <w:kern w:val="2"/>
                <w:sz w:val="20"/>
                <w:szCs w:val="20"/>
              </w:rPr>
              <w:t>4</w:t>
            </w:r>
            <w:r>
              <w:rPr>
                <w:rFonts w:ascii="方正仿宋_GBK" w:eastAsia="方正仿宋_GBK" w:cs="Times New Roman" w:hint="eastAsia"/>
                <w:spacing w:val="0"/>
                <w:kern w:val="2"/>
                <w:sz w:val="20"/>
                <w:szCs w:val="20"/>
              </w:rPr>
              <w:t>部分</w:t>
            </w:r>
            <w:r>
              <w:rPr>
                <w:rFonts w:ascii="Times New Roman" w:eastAsia="宋体" w:hAnsi="Times New Roman"/>
                <w:spacing w:val="0"/>
                <w:kern w:val="2"/>
                <w:sz w:val="20"/>
                <w:szCs w:val="20"/>
              </w:rPr>
              <w:t xml:space="preserve"> </w:t>
            </w:r>
            <w:r>
              <w:rPr>
                <w:rFonts w:ascii="方正仿宋_GBK" w:eastAsia="方正仿宋_GBK" w:cs="Times New Roman" w:hint="eastAsia"/>
                <w:spacing w:val="0"/>
                <w:kern w:val="2"/>
                <w:sz w:val="20"/>
                <w:szCs w:val="20"/>
              </w:rPr>
              <w:t>室内和室外家庭用摇摆、滑动及类似行为玩具</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spacing w:val="0"/>
                <w:kern w:val="2"/>
                <w:sz w:val="20"/>
                <w:szCs w:val="20"/>
              </w:rPr>
            </w:pPr>
            <w:r>
              <w:rPr>
                <w:rFonts w:ascii="Times New Roman" w:eastAsia="宋体" w:hAnsi="Times New Roman"/>
                <w:spacing w:val="0"/>
                <w:kern w:val="2"/>
                <w:sz w:val="20"/>
                <w:szCs w:val="20"/>
              </w:rPr>
              <w:t>SNI</w:t>
            </w:r>
          </w:p>
        </w:tc>
      </w:tr>
      <w:tr>
        <w:tblPrEx>
          <w:tblW w:w="8126" w:type="dxa"/>
          <w:jc w:val="left"/>
          <w:tblInd w:w="0" w:type="dxa"/>
          <w:tblLayout w:type="fixed"/>
          <w:tblCellMar>
            <w:top w:w="0" w:type="dxa"/>
            <w:left w:w="108" w:type="dxa"/>
            <w:bottom w:w="0" w:type="dxa"/>
            <w:right w:w="108" w:type="dxa"/>
          </w:tblCellMar>
        </w:tblPrEx>
        <w:trPr>
          <w:trHeight w:val="306"/>
          <w:jc w:val="left"/>
        </w:trPr>
        <w:tc>
          <w:tcPr>
            <w:tcW w:w="6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110"/>
              <w:rPr>
                <w:rFonts w:ascii="Times New Roman" w:hAnsi="Times New Roman" w:cs="宋体"/>
                <w:spacing w:val="0"/>
                <w:kern w:val="2"/>
                <w:sz w:val="20"/>
                <w:szCs w:val="20"/>
              </w:rPr>
            </w:pPr>
            <w:r>
              <w:rPr>
                <w:rFonts w:ascii="Times New Roman" w:hAnsi="Times New Roman" w:cs="宋体"/>
                <w:spacing w:val="0"/>
                <w:kern w:val="2"/>
                <w:sz w:val="20"/>
                <w:szCs w:val="20"/>
              </w:rPr>
              <w:t>800</w:t>
            </w:r>
          </w:p>
        </w:tc>
        <w:tc>
          <w:tcPr>
            <w:tcW w:w="1720" w:type="dxa"/>
            <w:tcBorders>
              <w:top w:val="single" w:sz="6" w:space="0" w:color="auto"/>
              <w:left w:val="nil"/>
              <w:bottom w:val="single" w:sz="6" w:space="0" w:color="auto"/>
              <w:right w:val="single" w:sz="6" w:space="0" w:color="auto"/>
              <w:tl2br w:val="nil"/>
              <w:tr2bl w:val="nil"/>
            </w:tcBorders>
            <w:noWrap/>
            <w:vAlign w:val="center"/>
          </w:tcPr>
          <w:p>
            <w:pPr>
              <w:pStyle w:val="38110"/>
              <w:rPr>
                <w:rFonts w:ascii="Times New Roman" w:eastAsia="宋体" w:hAnsi="Times New Roman"/>
                <w:color w:val="auto"/>
                <w:spacing w:val="0"/>
                <w:kern w:val="2"/>
                <w:sz w:val="20"/>
                <w:szCs w:val="20"/>
              </w:rPr>
            </w:pPr>
            <w:r>
              <w:rPr>
                <w:rFonts w:ascii="Times New Roman" w:eastAsia="宋体" w:hAnsi="Times New Roman"/>
                <w:color w:val="auto"/>
                <w:spacing w:val="0"/>
                <w:kern w:val="2"/>
                <w:sz w:val="20"/>
                <w:szCs w:val="20"/>
              </w:rPr>
              <w:t>UL 2272-2016</w:t>
            </w:r>
          </w:p>
        </w:tc>
        <w:tc>
          <w:tcPr>
            <w:tcW w:w="5160"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方正仿宋_GBK" w:eastAsia="方正仿宋_GBK" w:cs="Times New Roman" w:hint="eastAsia"/>
                <w:color w:val="auto"/>
                <w:spacing w:val="0"/>
                <w:kern w:val="2"/>
                <w:sz w:val="20"/>
                <w:szCs w:val="20"/>
              </w:rPr>
            </w:pPr>
            <w:r>
              <w:rPr>
                <w:rFonts w:ascii="方正仿宋_GBK" w:eastAsia="方正仿宋_GBK" w:cs="Times New Roman" w:hint="eastAsia"/>
                <w:color w:val="auto"/>
                <w:spacing w:val="0"/>
                <w:kern w:val="2"/>
                <w:sz w:val="20"/>
                <w:szCs w:val="20"/>
              </w:rPr>
              <w:t>个人移动设备电气系统标准</w:t>
            </w:r>
          </w:p>
        </w:tc>
        <w:tc>
          <w:tcPr>
            <w:tcW w:w="599" w:type="dxa"/>
            <w:tcBorders>
              <w:top w:val="single" w:sz="6" w:space="0" w:color="auto"/>
              <w:left w:val="nil"/>
              <w:bottom w:val="single" w:sz="6" w:space="0" w:color="auto"/>
              <w:right w:val="single" w:sz="6" w:space="0" w:color="auto"/>
              <w:tl2br w:val="nil"/>
              <w:tr2bl w:val="nil"/>
            </w:tcBorders>
            <w:shd w:val="clear" w:color="auto" w:fill="FFFFFF"/>
            <w:noWrap/>
            <w:vAlign w:val="center"/>
          </w:tcPr>
          <w:p>
            <w:pPr>
              <w:pStyle w:val="38110"/>
              <w:rPr>
                <w:rFonts w:ascii="Times New Roman" w:eastAsia="宋体" w:hAnsi="Times New Roman"/>
                <w:color w:val="auto"/>
                <w:spacing w:val="0"/>
                <w:kern w:val="2"/>
                <w:sz w:val="20"/>
                <w:szCs w:val="20"/>
              </w:rPr>
            </w:pPr>
            <w:r>
              <w:rPr>
                <w:rFonts w:ascii="Times New Roman" w:eastAsia="宋体" w:hAnsi="Times New Roman"/>
                <w:color w:val="auto"/>
                <w:spacing w:val="0"/>
                <w:kern w:val="2"/>
                <w:sz w:val="20"/>
                <w:szCs w:val="20"/>
              </w:rPr>
              <w:t>UL</w:t>
            </w:r>
          </w:p>
        </w:tc>
      </w:tr>
    </w:tbl>
    <w:p>
      <w:pPr>
        <w:pStyle w:val="TOC3"/>
        <w:pBdr>
          <w:top w:val="none" w:sz="0" w:space="0" w:color="auto"/>
          <w:left w:val="none" w:sz="0" w:space="0" w:color="auto"/>
          <w:bottom w:val="none" w:sz="0" w:space="0" w:color="auto"/>
          <w:right w:val="none" w:sz="0" w:space="0" w:color="auto"/>
        </w:pBdr>
        <w:ind w:left="567"/>
        <w:rPr>
          <w:rFonts w:ascii="Times New Roman" w:eastAsia="宋体" w:hAnsi="Times New Roman"/>
          <w:vanish w:val="0"/>
          <w:spacing w:val="0"/>
          <w:kern w:val="2"/>
          <w:sz w:val="21"/>
          <w:szCs w:val="21"/>
        </w:rPr>
      </w:pPr>
    </w:p>
    <w:p>
      <w:pPr>
        <w:pStyle w:val="38110"/>
        <w:rPr>
          <w:rFonts w:ascii="Times New Roman" w:eastAsia="宋体" w:hAnsi="Times New Roman"/>
          <w:spacing w:val="0"/>
          <w:kern w:val="2"/>
          <w:sz w:val="21"/>
          <w:szCs w:val="21"/>
        </w:rPr>
      </w:pPr>
    </w:p>
    <w:p>
      <w:pPr>
        <w:pStyle w:val="38110"/>
      </w:pPr>
    </w:p>
    <w:p>
      <w:pPr>
        <w:pStyle w:val="Heading1"/>
        <w:jc w:val="center"/>
        <w:rPr>
          <w:rFonts w:ascii="宋体" w:hint="eastAsia"/>
          <w:bCs/>
          <w:color w:val="000000"/>
          <w:kern w:val="0"/>
          <w:sz w:val="30"/>
          <w:szCs w:val="30"/>
        </w:rPr>
      </w:pPr>
      <w:r>
        <w:rPr>
          <w:rFonts w:ascii="宋体" w:hint="eastAsia"/>
          <w:b w:val="0"/>
          <w:color w:val="000000"/>
          <w:kern w:val="0"/>
          <w:sz w:val="30"/>
          <w:szCs w:val="30"/>
        </w:rPr>
        <w:br w:type="page"/>
      </w:r>
      <w:bookmarkStart w:id="43" w:name="_Toc31833531"/>
      <w:r>
        <w:rPr>
          <w:rFonts w:ascii="宋体" w:hint="eastAsia"/>
          <w:bCs/>
          <w:color w:val="000000"/>
          <w:kern w:val="0"/>
          <w:sz w:val="30"/>
          <w:szCs w:val="30"/>
        </w:rPr>
        <w:t>第四部分 评</w:t>
      </w:r>
      <w:r>
        <w:rPr>
          <w:rFonts w:ascii="宋体" w:hint="eastAsia"/>
          <w:bCs/>
          <w:color w:val="000000"/>
          <w:kern w:val="0"/>
          <w:sz w:val="30"/>
          <w:szCs w:val="30"/>
          <w:lang w:eastAsia="zh-CN"/>
        </w:rPr>
        <w:t>审</w:t>
      </w:r>
      <w:r>
        <w:rPr>
          <w:rFonts w:ascii="宋体" w:hint="eastAsia"/>
          <w:bCs/>
          <w:color w:val="000000"/>
          <w:kern w:val="0"/>
          <w:sz w:val="30"/>
          <w:szCs w:val="30"/>
        </w:rPr>
        <w:t>标准</w:t>
      </w:r>
      <w:bookmarkEnd w:id="43"/>
    </w:p>
    <w:p>
      <w:pPr>
        <w:pStyle w:val="3213"/>
        <w:rPr>
          <w:rFonts w:ascii="宋体" w:hint="eastAsia"/>
          <w:color w:val="000000"/>
          <w:sz w:val="24"/>
          <w:szCs w:val="24"/>
        </w:rPr>
      </w:pPr>
    </w:p>
    <w:p>
      <w:bookmarkStart w:id="44"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83"/>
        <w:gridCol w:w="7818"/>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06" w:type="dxa"/>
          </w:tcPr>
          <w:p>
            <w:r>
              <w:t>评审分类</w:t>
            </w:r>
          </w:p>
        </w:tc>
        <w:tc>
          <w:tcPr>
            <w:tcW w:w="8426"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706" w:type="dxa"/>
            <w:vMerge w:val="restart"/>
          </w:tcPr>
          <w:p>
            <w:r>
              <w:t>符合性审查指标</w:t>
            </w:r>
          </w:p>
        </w:tc>
        <w:tc>
          <w:tcPr>
            <w:tcW w:w="8426" w:type="dxa"/>
          </w:tcPr>
          <w:p>
            <w:r>
              <w:t>磋商响应函</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响应报价一览表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响应分项报价表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法定代表人授权书（法定代表人作为供应商代表直接响应的，只提供相关身份证明即可）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法定代表人及供应商授权代表有效期内相关身份证明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响应文件按照磋商文件规定进行签署、盖章</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磋商文件中标注的其他“★”号条款”或无效响应情形</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法律、法规、磋商文件规定的其他无效响应情形</w:t>
            </w:r>
          </w:p>
        </w:tc>
      </w:tr>
    </w:tbl>
    <w:p>
      <w:r>
        <w:t>详细评审标准</w:t>
      </w:r>
    </w:p>
    <w:p>
      <w:r>
        <w:t>评审办法:综合评分法</w:t>
      </w:r>
    </w:p>
    <w:tbl>
      <w:tblPr>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608"/>
        <w:gridCol w:w="7388"/>
        <w:gridCol w:w="979"/>
      </w:tblGrid>
      <w:tr>
        <w:tblPrEx>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608" w:type="dxa"/>
          </w:tcPr>
          <w:p>
            <w:r>
              <w:t>评审因素</w:t>
            </w:r>
          </w:p>
        </w:tc>
        <w:tc>
          <w:tcPr>
            <w:tcW w:w="7388" w:type="dxa"/>
          </w:tcPr>
          <w:p>
            <w:r>
              <w:t>评分标准说明</w:t>
            </w:r>
          </w:p>
        </w:tc>
        <w:tc>
          <w:tcPr>
            <w:tcW w:w="979" w:type="dxa"/>
          </w:tcPr>
          <w:p>
            <w:r>
              <w:t>分值范围</w:t>
            </w:r>
          </w:p>
        </w:tc>
      </w:tr>
      <w:tr>
        <w:tblPrEx>
          <w:tblW w:w="4999" w:type="pct"/>
          <w:jc w:val="left"/>
          <w:tblInd w:w="0" w:type="dxa"/>
          <w:tblCellMar>
            <w:top w:w="0" w:type="dxa"/>
            <w:left w:w="108" w:type="dxa"/>
            <w:bottom w:w="0" w:type="dxa"/>
            <w:right w:w="108" w:type="dxa"/>
          </w:tblCellMar>
        </w:tblPrEx>
        <w:trPr>
          <w:jc w:val="left"/>
        </w:trPr>
        <w:tc>
          <w:tcPr>
            <w:tcW w:w="426" w:type="dxa"/>
          </w:tcPr>
          <w:p>
            <w:r>
              <w:t>价格分</w:t>
            </w:r>
          </w:p>
        </w:tc>
        <w:tc>
          <w:tcPr>
            <w:tcW w:w="608" w:type="dxa"/>
          </w:tcPr>
          <w:p>
            <w:r>
              <w:t>报价得分</w:t>
            </w:r>
          </w:p>
        </w:tc>
        <w:tc>
          <w:tcPr>
            <w:tcW w:w="7388" w:type="dxa"/>
          </w:tcPr>
          <w:p>
            <w:r>
              <w:t>综合评分法中的价格分统一采用低价优先法计算，即满足磋商文件要求且最后报价最低的供应商的价格为磋商基准价，其价格分为满分。其他供应商的价格分按照下列公式计算：磋商报价得分=(磋商基准价／最后磋商报价)×10％×100。</w:t>
            </w:r>
          </w:p>
        </w:tc>
        <w:tc>
          <w:tcPr>
            <w:tcW w:w="979" w:type="dxa"/>
          </w:tcPr>
          <w:p>
            <w:r>
              <w:t>区间打分(0-10)</w:t>
            </w:r>
          </w:p>
        </w:tc>
      </w:tr>
      <w:tr>
        <w:tblPrEx>
          <w:tblW w:w="4999" w:type="pct"/>
          <w:jc w:val="left"/>
          <w:tblInd w:w="0" w:type="dxa"/>
          <w:tblCellMar>
            <w:top w:w="0" w:type="dxa"/>
            <w:left w:w="108" w:type="dxa"/>
            <w:bottom w:w="0" w:type="dxa"/>
            <w:right w:w="108" w:type="dxa"/>
          </w:tblCellMar>
        </w:tblPrEx>
        <w:trPr>
          <w:jc w:val="left"/>
        </w:trPr>
        <w:tc>
          <w:tcPr>
            <w:tcW w:w="426" w:type="dxa"/>
          </w:tcPr>
          <w:p>
            <w:r>
              <w:t>商务部分</w:t>
            </w:r>
          </w:p>
        </w:tc>
        <w:tc>
          <w:tcPr>
            <w:tcW w:w="608" w:type="dxa"/>
          </w:tcPr>
          <w:p>
            <w:r>
              <w:t>供应商业绩</w:t>
            </w:r>
          </w:p>
        </w:tc>
        <w:tc>
          <w:tcPr>
            <w:tcW w:w="7388" w:type="dxa"/>
          </w:tcPr>
          <w:p>
            <w:r>
              <w:t xml:space="preserve">供应商提供2022年11月1日起至本项目磋商邀请发布之日止（以合同签订日期为准），与本项目同类服务项目业绩相关材料。每提供一个有效业绩得1 分，最多得5分。        </w:t>
            </w:r>
          </w:p>
          <w:p/>
          <w:p>
            <w:r>
              <w:t>注：1.合同销售方（乙方）必须为供应商自身，需提供合同复印件并加盖公章，其中合同中必须至少包含合同首页、服务内容、双方印章、签字、签订时间、付款条件页，以及合同履行第一笔付款乙方开具的发票复印件等信息内容（以上内容缺少一项，不予承认）； 2.提供的业绩合同材料复印件须字迹清晰，辨识无误；  3.不符合上述要求或未按要求提供有效证明文件的业绩在评审时将不予以承认。</w:t>
            </w:r>
          </w:p>
        </w:tc>
        <w:tc>
          <w:tcPr>
            <w:tcW w:w="979" w:type="dxa"/>
          </w:tcPr>
          <w:p>
            <w:r>
              <w:t>勾选打分(0;1;2;3;4;5)</w:t>
            </w:r>
          </w:p>
        </w:tc>
      </w:tr>
      <w:tr>
        <w:tblPrEx>
          <w:tblW w:w="4999"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608" w:type="dxa"/>
          </w:tcPr>
          <w:p>
            <w:r>
              <w:t>服务需求响应程度</w:t>
            </w:r>
          </w:p>
        </w:tc>
        <w:tc>
          <w:tcPr>
            <w:tcW w:w="7388" w:type="dxa"/>
          </w:tcPr>
          <w:p>
            <w:r>
              <w:t xml:space="preserve">完全满足磋商文件项目需求书相关要求得74.2分，其中，标注▲重要指标项每有一个不满足扣3.8分，一般指标项每有一个不满足扣2.5分。                </w:t>
            </w:r>
          </w:p>
          <w:p/>
          <w:p>
            <w:r>
              <w:t xml:space="preserve">重要指标项共9个，分别为：                 </w:t>
            </w:r>
          </w:p>
          <w:p>
            <w:r>
              <w:t xml:space="preserve">六、货物或服务指标要求3个：第1、2、3项各1个。 </w:t>
            </w:r>
          </w:p>
          <w:p>
            <w:r>
              <w:t xml:space="preserve">七、服务要求6个：第7、12项各1个，第4、8项各2个。  </w:t>
            </w:r>
          </w:p>
          <w:p/>
          <w:p>
            <w:r>
              <w:t xml:space="preserve">一般指标项共16个， 分别为：                 </w:t>
            </w:r>
          </w:p>
          <w:p>
            <w:r>
              <w:t xml:space="preserve">四、项目概述7个：第3、4、6项各1个，第5项4个。 </w:t>
            </w:r>
          </w:p>
          <w:p>
            <w:r>
              <w:t xml:space="preserve">五、集成需求3个：第1项1个，第2项2个。 </w:t>
            </w:r>
          </w:p>
          <w:p>
            <w:r>
              <w:t xml:space="preserve">七、服务要求2个：第3、6项各1个。 </w:t>
            </w:r>
          </w:p>
          <w:p>
            <w:r>
              <w:t>八、实施要求4个：第1、3、6、8项各1个。</w:t>
            </w:r>
          </w:p>
        </w:tc>
        <w:tc>
          <w:tcPr>
            <w:tcW w:w="979" w:type="dxa"/>
          </w:tcPr>
          <w:p>
            <w:r>
              <w:t>区间打分(0-74.2)</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608" w:type="dxa"/>
          </w:tcPr>
          <w:p>
            <w:r>
              <w:t>需求理解分析</w:t>
            </w:r>
          </w:p>
        </w:tc>
        <w:tc>
          <w:tcPr>
            <w:tcW w:w="7388" w:type="dxa"/>
          </w:tcPr>
          <w:p>
            <w:r>
              <w:t xml:space="preserve">供应商阐述对服务项目需求的理解，包括但不限于标准类型，数据来源及获取渠道，提供的数据信息的完整性，文本质量，电子版清晰程度，可读性，以及使用的便利性等。  </w:t>
            </w:r>
          </w:p>
          <w:p/>
          <w:p>
            <w:r>
              <w:t xml:space="preserve">需求理解分析科学周密，内容全面，完全契合项目实际，针对性可行性强，得5.4分。                    </w:t>
            </w:r>
          </w:p>
          <w:p>
            <w:r>
              <w:t xml:space="preserve">需求理解分析内容完整，可以满足项目需要，针对性可行性较强，但需求理解分析内容（两个及以下）中有缺陷（缺陷包括：与事实不符、前后内容不一致、逻辑错误、不符合采购需求、内容有缺失等），得3.6分。                      需求理解分析内容有漏项，未完全包括上述内容要求，或三个及以上内容中存在缺陷，得1.8分。                       </w:t>
            </w:r>
          </w:p>
          <w:p>
            <w:r>
              <w:t>未提供需求理解分析或需求理解分析严重脱离项目实际，得0分。</w:t>
            </w:r>
          </w:p>
        </w:tc>
        <w:tc>
          <w:tcPr>
            <w:tcW w:w="979" w:type="dxa"/>
          </w:tcPr>
          <w:p>
            <w:r>
              <w:t>勾选打分</w:t>
            </w:r>
            <w:r>
              <w:rPr>
                <w:rFonts w:hint="eastAsia"/>
              </w:rPr>
              <w:t>(0;1.8;3.6;5.4)</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608" w:type="dxa"/>
          </w:tcPr>
          <w:p>
            <w:r>
              <w:t>实施管理方案</w:t>
            </w:r>
          </w:p>
        </w:tc>
        <w:tc>
          <w:tcPr>
            <w:tcW w:w="7388" w:type="dxa"/>
          </w:tcPr>
          <w:p>
            <w:r>
              <w:t xml:space="preserve">供应商提供项目实施管理方案，内容包括但不限于项目实施计划、交付日期，交付形式，人员配备等对用户的有利性以及保证项目顺利实施的其他因素、项目进度及保障措施等内容。  </w:t>
            </w:r>
          </w:p>
          <w:p/>
          <w:p>
            <w:r>
              <w:t xml:space="preserve">实施管理方案科学周密，内容全面，完全契合项目实际，针对性可行性强，得5.4分。                    </w:t>
            </w:r>
          </w:p>
          <w:p>
            <w:r>
              <w:t xml:space="preserve">实施管理方案内容完整，可以满足项目需要，针对性可行性较强，但方案内容（两个及以下）中有缺陷（缺陷包括：与事实不符、前后内容不一致、逻辑错误、不符合采购需求、内容有缺失等），得3.6分。                      </w:t>
            </w:r>
          </w:p>
          <w:p>
            <w:r>
              <w:t xml:space="preserve">实施管理方案内容有漏项，未完全包括上述内容要求，或三个及以上内容中存在缺陷，得1.8分。                       </w:t>
            </w:r>
          </w:p>
          <w:p>
            <w:r>
              <w:t>未提供实施管理方案或方案严重脱离项目实际，得0分。</w:t>
            </w:r>
          </w:p>
        </w:tc>
        <w:tc>
          <w:tcPr>
            <w:tcW w:w="979" w:type="dxa"/>
          </w:tcPr>
          <w:p>
            <w:r>
              <w:t>勾选打分</w:t>
            </w:r>
            <w:r>
              <w:rPr>
                <w:rFonts w:hint="eastAsia"/>
              </w:rPr>
              <w:t>(0;1.8;3.6;5.4)</w:t>
            </w:r>
          </w:p>
        </w:tc>
      </w:tr>
    </w:tbl>
    <w:p>
      <w:pPr>
        <w:pStyle w:val="10800"/>
        <w:tabs>
          <w:tab w:val="left" w:pos="588"/>
        </w:tabs>
        <w:spacing w:line="360" w:lineRule="auto"/>
        <w:rPr>
          <w:rFonts w:ascii="宋体" w:eastAsia="宋体" w:hint="eastAsia"/>
          <w:b/>
          <w:bCs/>
          <w:color w:val="0000FF"/>
          <w:kern w:val="0"/>
          <w:sz w:val="28"/>
          <w:szCs w:val="28"/>
          <w:highlight w:val="white"/>
          <w:lang w:val="en-US" w:eastAsia="zh-CN"/>
        </w:rPr>
      </w:pPr>
      <w:bookmarkEnd w:id="44"/>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pStyle w:val="3213"/>
        <w:ind w:firstLine="480" w:firstLineChars="200"/>
        <w:rPr>
          <w:rFonts w:ascii="宋体" w:hint="eastAsia"/>
          <w:color w:val="000000"/>
          <w:kern w:val="0"/>
          <w:sz w:val="24"/>
          <w:szCs w:val="24"/>
        </w:rPr>
      </w:pPr>
      <w:r>
        <w:rPr>
          <w:rFonts w:ascii="宋体" w:hint="eastAsia"/>
          <w:color w:val="000000"/>
          <w:kern w:val="0"/>
          <w:sz w:val="24"/>
          <w:szCs w:val="24"/>
        </w:rPr>
        <w:t>2. 本项目将对提供了有效声明函的小型和微型企业及提供了相应证明文件的监狱企业制造的产品的价格给予本磋商文件规定比例的扣除，用扣除后的价格参与评审打分。</w:t>
      </w:r>
    </w:p>
    <w:p>
      <w:pPr>
        <w:adjustRightInd w:val="0"/>
        <w:spacing w:before="312"/>
        <w:ind w:right="958"/>
        <w:jc w:val="center"/>
        <w:textAlignment w:val="baseline"/>
        <w:outlineLvl w:val="0"/>
        <w:rPr>
          <w:rFonts w:ascii="宋体" w:cs="宋体" w:hint="eastAsia"/>
          <w:b/>
          <w:bCs/>
          <w:color w:val="000000"/>
          <w:kern w:val="0"/>
          <w:sz w:val="32"/>
          <w:szCs w:val="30"/>
          <w:lang w:bidi="ar-SA"/>
        </w:rPr>
      </w:pPr>
      <w:r>
        <w:rPr>
          <w:rFonts w:ascii="宋体" w:cs="宋体" w:hint="eastAsia"/>
          <w:b/>
          <w:bCs/>
          <w:color w:val="000000"/>
          <w:kern w:val="0"/>
          <w:sz w:val="30"/>
          <w:szCs w:val="30"/>
          <w:lang w:bidi="ar-SA"/>
        </w:rPr>
        <w:br w:type="page"/>
      </w:r>
      <w:bookmarkStart w:id="45" w:name="_Toc31833532"/>
      <w:r>
        <w:rPr>
          <w:rFonts w:ascii="宋体" w:cs="宋体" w:hint="eastAsia"/>
          <w:b/>
          <w:bCs/>
          <w:color w:val="000000"/>
          <w:kern w:val="0"/>
          <w:sz w:val="30"/>
          <w:szCs w:val="30"/>
          <w:lang w:bidi="ar-SA"/>
        </w:rPr>
        <w:t>第五部分 合同文本</w:t>
      </w:r>
      <w:bookmarkEnd w:id="45"/>
    </w:p>
    <w:p>
      <w:pPr>
        <w:spacing w:line="600" w:lineRule="exact"/>
        <w:ind w:firstLine="420" w:firstLineChars="200"/>
        <w:rPr>
          <w:rFonts w:ascii="宋体" w:cs="宋体" w:hint="eastAsia"/>
          <w:color w:val="000000"/>
          <w:szCs w:val="21"/>
          <w:lang w:bidi="ar-SA"/>
        </w:rPr>
      </w:pPr>
      <w:r>
        <w:rPr>
          <w:rFonts w:ascii="宋体" w:cs="宋体" w:hint="eastAsia"/>
          <w:color w:val="000000"/>
          <w:szCs w:val="21"/>
          <w:lang w:bidi="ar-SA"/>
        </w:rPr>
        <w:t xml:space="preserve">       </w:t>
      </w:r>
    </w:p>
    <w:p>
      <w:pPr>
        <w:spacing w:line="600" w:lineRule="exact"/>
        <w:ind w:firstLine="480" w:firstLineChars="200"/>
        <w:jc w:val="center"/>
        <w:rPr>
          <w:rFonts w:eastAsia="方正小标宋_GBK"/>
          <w:color w:val="000000"/>
          <w:sz w:val="44"/>
        </w:rPr>
      </w:pPr>
      <w:bookmarkStart w:id="46" w:name="插入_TBWJGS_CONTRACT"/>
      <w:r>
        <w:rPr>
          <w:rFonts w:ascii="方正仿宋_GBK" w:hAnsi="方正仿宋_GBK" w:cs="方正仿宋_GBK" w:hint="eastAsia"/>
          <w:color w:val="000000"/>
          <w:sz w:val="24"/>
          <w:szCs w:val="24"/>
          <w:lang w:bidi="ar-SA"/>
        </w:rPr>
        <w:t xml:space="preserve">                                 合同号：</w:t>
      </w:r>
      <w:r>
        <w:rPr>
          <w:rFonts w:ascii="方正仿宋_GBK" w:hAnsi="方正仿宋_GBK" w:cs="方正仿宋_GBK" w:hint="eastAsia"/>
          <w:color w:val="000000"/>
          <w:sz w:val="30"/>
          <w:szCs w:val="30"/>
          <w:lang w:bidi="ar-SA"/>
        </w:rPr>
        <w:t xml:space="preserve">           </w:t>
      </w:r>
    </w:p>
    <w:p>
      <w:pPr>
        <w:rPr>
          <w:color w:val="000000"/>
        </w:rPr>
      </w:pPr>
    </w:p>
    <w:p>
      <w:pPr>
        <w:rPr>
          <w:rFonts w:ascii="宋体" w:hint="eastAsia"/>
          <w:color w:val="000000"/>
          <w:szCs w:val="21"/>
        </w:rPr>
      </w:pPr>
      <w:r>
        <w:rPr>
          <w:rFonts w:ascii="宋体" w:hint="eastAsia"/>
          <w:color w:val="000000"/>
          <w:szCs w:val="21"/>
        </w:rPr>
        <w:t>甲方（采购人）:</w:t>
      </w:r>
    </w:p>
    <w:p>
      <w:pPr>
        <w:rPr>
          <w:rFonts w:ascii="宋体" w:hint="eastAsia"/>
          <w:color w:val="000000"/>
          <w:szCs w:val="21"/>
        </w:rPr>
      </w:pPr>
      <w:r>
        <w:rPr>
          <w:rFonts w:ascii="宋体" w:hint="eastAsia"/>
          <w:color w:val="000000"/>
          <w:szCs w:val="21"/>
        </w:rPr>
        <w:t xml:space="preserve">乙方（供应商）:                                  </w:t>
      </w:r>
    </w:p>
    <w:p>
      <w:pPr>
        <w:ind w:firstLine="420" w:firstLineChars="200"/>
        <w:rPr>
          <w:rFonts w:ascii="宋体" w:hint="eastAsia"/>
          <w:color w:val="000000"/>
          <w:szCs w:val="21"/>
        </w:rPr>
      </w:pPr>
      <w:r>
        <w:rPr>
          <w:rFonts w:ascii="宋体" w:hint="eastAsia"/>
          <w:color w:val="000000"/>
          <w:szCs w:val="21"/>
        </w:rPr>
        <w:t>经海关总署授权，海关总署物资装备采购中心作为甲方代表,受海关总署（XX司局）委托签订该项目合同。根据</w:t>
      </w:r>
      <w:r>
        <w:rPr>
          <w:rFonts w:ascii="宋体" w:hint="eastAsia"/>
          <w:snapToGrid w:val="0"/>
          <w:color w:val="000000"/>
          <w:kern w:val="0"/>
          <w:szCs w:val="21"/>
          <w:shd w:val="clear" w:color="auto" w:fill="auto"/>
        </w:rPr>
        <w:t>《中华人民共和国民法典（合同编）》、</w:t>
      </w:r>
      <w:r>
        <w:rPr>
          <w:rFonts w:ascii="宋体" w:hint="eastAsia"/>
          <w:color w:val="000000"/>
          <w:szCs w:val="21"/>
        </w:rPr>
        <w:t>《中华人民共和国政府采购法》等相关法律规定，甲方对____________采购项目以_____方式进行采购（采购项目编号：________ ），确定乙方为中标人（成交商），现依照招标文件（谈判文件、询价通知书、磋商文件、单一来源采购文件）、投标文件（响应文件）等相关文件的内容，双方达成如下协议：</w:t>
      </w:r>
    </w:p>
    <w:p>
      <w:pPr>
        <w:ind w:firstLine="420" w:firstLineChars="200"/>
        <w:rPr>
          <w:rFonts w:ascii="宋体" w:hint="eastAsia"/>
          <w:b/>
          <w:bCs/>
          <w:color w:val="000000"/>
          <w:szCs w:val="21"/>
        </w:rPr>
      </w:pPr>
      <w:r>
        <w:rPr>
          <w:rFonts w:ascii="宋体" w:hint="eastAsia"/>
          <w:b/>
          <w:bCs/>
          <w:color w:val="000000"/>
          <w:szCs w:val="21"/>
        </w:rPr>
        <w:t>第一条 采购清单及报价</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43"/>
        <w:gridCol w:w="1011"/>
        <w:gridCol w:w="1307"/>
        <w:gridCol w:w="1413"/>
        <w:gridCol w:w="1198"/>
        <w:gridCol w:w="1770"/>
        <w:gridCol w:w="1219"/>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56"/>
          <w:jc w:val="left"/>
        </w:trPr>
        <w:tc>
          <w:tcPr>
            <w:tcW w:w="1142" w:type="dxa"/>
            <w:vMerge w:val="restart"/>
            <w:tcBorders>
              <w:top w:val="single" w:sz="4" w:space="0" w:color="auto"/>
              <w:left w:val="single" w:sz="4" w:space="0" w:color="auto"/>
              <w:bottom w:val="single" w:sz="4" w:space="0" w:color="auto"/>
              <w:right w:val="single" w:sz="4" w:space="0" w:color="auto"/>
            </w:tcBorders>
            <w:vAlign w:val="center"/>
          </w:tcPr>
          <w:p>
            <w:pPr>
              <w:pStyle w:val="7310"/>
              <w:autoSpaceDN w:val="0"/>
              <w:adjustRightInd w:val="0"/>
              <w:snapToGrid w:val="0"/>
              <w:spacing w:line="360" w:lineRule="auto"/>
              <w:jc w:val="center"/>
              <w:rPr>
                <w:rFonts w:hint="eastAsia"/>
                <w:b/>
                <w:bCs/>
                <w:color w:val="000000"/>
              </w:rPr>
            </w:pPr>
            <w:r>
              <w:rPr>
                <w:rFonts w:hint="eastAsia"/>
                <w:b/>
                <w:bCs/>
                <w:color w:val="000000"/>
              </w:rPr>
              <w:t>项目名称</w:t>
            </w:r>
          </w:p>
        </w:tc>
        <w:tc>
          <w:tcPr>
            <w:tcW w:w="4929" w:type="dxa"/>
            <w:gridSpan w:val="4"/>
            <w:tcBorders>
              <w:top w:val="single" w:sz="4" w:space="0" w:color="auto"/>
              <w:left w:val="single" w:sz="4" w:space="0" w:color="auto"/>
              <w:bottom w:val="single" w:sz="4" w:space="0" w:color="auto"/>
              <w:right w:val="single" w:sz="4" w:space="0" w:color="auto"/>
            </w:tcBorders>
            <w:vAlign w:val="center"/>
          </w:tcPr>
          <w:p>
            <w:pPr>
              <w:pStyle w:val="10110"/>
              <w:autoSpaceDN w:val="0"/>
              <w:adjustRightInd w:val="0"/>
              <w:snapToGrid w:val="0"/>
              <w:spacing w:line="360" w:lineRule="auto"/>
              <w:jc w:val="center"/>
              <w:rPr>
                <w:rFonts w:hint="eastAsia"/>
                <w:b/>
                <w:bCs/>
                <w:color w:val="000000"/>
              </w:rPr>
            </w:pPr>
            <w:r>
              <w:rPr>
                <w:rFonts w:hint="eastAsia"/>
                <w:b/>
                <w:bCs/>
                <w:color w:val="000000"/>
              </w:rPr>
              <w:t>数量（人天数）</w:t>
            </w:r>
          </w:p>
        </w:tc>
        <w:tc>
          <w:tcPr>
            <w:tcW w:w="1770" w:type="dxa"/>
            <w:vMerge w:val="restart"/>
            <w:tcBorders>
              <w:top w:val="single" w:sz="4" w:space="0" w:color="auto"/>
              <w:left w:val="single" w:sz="4" w:space="0" w:color="auto"/>
              <w:bottom w:val="single" w:sz="4" w:space="0" w:color="auto"/>
              <w:right w:val="single" w:sz="4" w:space="0" w:color="auto"/>
            </w:tcBorders>
            <w:vAlign w:val="center"/>
          </w:tcPr>
          <w:p>
            <w:pPr>
              <w:pStyle w:val="7410"/>
              <w:autoSpaceDN w:val="0"/>
              <w:adjustRightInd w:val="0"/>
              <w:snapToGrid w:val="0"/>
              <w:spacing w:line="360" w:lineRule="auto"/>
              <w:jc w:val="center"/>
              <w:rPr>
                <w:rFonts w:hint="eastAsia"/>
                <w:b/>
                <w:bCs/>
                <w:color w:val="000000"/>
              </w:rPr>
            </w:pPr>
            <w:r>
              <w:rPr>
                <w:rFonts w:hint="eastAsia"/>
                <w:b/>
                <w:bCs/>
                <w:color w:val="000000"/>
              </w:rPr>
              <w:t>单价（元）</w:t>
            </w:r>
          </w:p>
        </w:tc>
        <w:tc>
          <w:tcPr>
            <w:tcW w:w="1219" w:type="dxa"/>
            <w:vMerge w:val="restart"/>
            <w:tcBorders>
              <w:top w:val="single" w:sz="4" w:space="0" w:color="auto"/>
              <w:left w:val="single" w:sz="4" w:space="0" w:color="auto"/>
              <w:bottom w:val="single" w:sz="4" w:space="0" w:color="auto"/>
              <w:right w:val="single" w:sz="4" w:space="0" w:color="auto"/>
            </w:tcBorders>
            <w:vAlign w:val="center"/>
          </w:tcPr>
          <w:p>
            <w:pPr>
              <w:pStyle w:val="7510"/>
              <w:autoSpaceDN w:val="0"/>
              <w:adjustRightInd w:val="0"/>
              <w:snapToGrid w:val="0"/>
              <w:spacing w:line="360" w:lineRule="auto"/>
              <w:jc w:val="center"/>
              <w:rPr>
                <w:rFonts w:hint="eastAsia"/>
                <w:b/>
                <w:bCs/>
                <w:color w:val="000000"/>
              </w:rPr>
            </w:pPr>
            <w:r>
              <w:rPr>
                <w:rFonts w:hint="eastAsia"/>
                <w:b/>
                <w:bCs/>
                <w:color w:val="000000"/>
              </w:rPr>
              <w:t>合计（元）</w:t>
            </w:r>
          </w:p>
        </w:tc>
      </w:tr>
      <w:tr>
        <w:tblPrEx>
          <w:tblW w:w="9061" w:type="dxa"/>
          <w:jc w:val="left"/>
          <w:tblInd w:w="0" w:type="dxa"/>
          <w:tblLayout w:type="fixed"/>
          <w:tblCellMar>
            <w:top w:w="0" w:type="dxa"/>
            <w:left w:w="108" w:type="dxa"/>
            <w:bottom w:w="0" w:type="dxa"/>
            <w:right w:w="108" w:type="dxa"/>
          </w:tblCellMar>
        </w:tblPrEx>
        <w:trPr>
          <w:trHeight w:val="456"/>
          <w:jc w:val="left"/>
        </w:trPr>
        <w:tc>
          <w:tcPr>
            <w:tcW w:w="1142" w:type="dxa"/>
            <w:vMerge/>
            <w:tcBorders>
              <w:top w:val="single" w:sz="4" w:space="0" w:color="auto"/>
              <w:left w:val="single" w:sz="4" w:space="0" w:color="auto"/>
              <w:bottom w:val="single" w:sz="4" w:space="0" w:color="auto"/>
              <w:right w:val="single" w:sz="4" w:space="0" w:color="auto"/>
            </w:tcBorders>
            <w:vAlign w:val="center"/>
          </w:tcPr>
          <w:p/>
        </w:tc>
        <w:tc>
          <w:tcPr>
            <w:tcW w:w="1011"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ind w:left="0" w:firstLine="0"/>
              <w:jc w:val="center"/>
              <w:rPr>
                <w:rFonts w:hint="eastAsia"/>
                <w:b/>
                <w:bCs/>
                <w:color w:val="000000"/>
              </w:rPr>
            </w:pPr>
            <w:r>
              <w:rPr>
                <w:rFonts w:hint="eastAsia"/>
                <w:b/>
                <w:bCs/>
                <w:color w:val="000000"/>
              </w:rPr>
              <w:t>需求分析及系统设计</w:t>
            </w:r>
          </w:p>
        </w:tc>
        <w:tc>
          <w:tcPr>
            <w:tcW w:w="1307"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ind w:left="0" w:firstLine="0"/>
              <w:jc w:val="center"/>
              <w:rPr>
                <w:rFonts w:hint="eastAsia"/>
                <w:b/>
                <w:bCs/>
                <w:color w:val="000000"/>
              </w:rPr>
            </w:pPr>
            <w:r>
              <w:rPr>
                <w:rFonts w:hint="eastAsia"/>
                <w:b/>
                <w:bCs/>
                <w:color w:val="000000"/>
              </w:rPr>
              <w:t>程序开发</w:t>
            </w:r>
          </w:p>
        </w:tc>
        <w:tc>
          <w:tcPr>
            <w:tcW w:w="1413"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软件测试</w:t>
            </w:r>
          </w:p>
        </w:tc>
        <w:tc>
          <w:tcPr>
            <w:tcW w:w="1198"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w:t>
            </w:r>
          </w:p>
        </w:tc>
        <w:tc>
          <w:tcPr>
            <w:tcW w:w="1770" w:type="dxa"/>
            <w:vMerge/>
            <w:tcBorders>
              <w:top w:val="single" w:sz="4" w:space="0" w:color="auto"/>
              <w:left w:val="single" w:sz="4" w:space="0" w:color="auto"/>
              <w:bottom w:val="single" w:sz="4" w:space="0" w:color="auto"/>
              <w:right w:val="single" w:sz="4" w:space="0" w:color="auto"/>
            </w:tcBorders>
            <w:vAlign w:val="center"/>
          </w:tcPr>
          <w:p/>
        </w:tc>
        <w:tc>
          <w:tcPr>
            <w:tcW w:w="1219" w:type="dxa"/>
            <w:vMerge/>
            <w:tcBorders>
              <w:top w:val="single" w:sz="4" w:space="0" w:color="auto"/>
              <w:left w:val="single" w:sz="4" w:space="0" w:color="auto"/>
              <w:bottom w:val="single" w:sz="4" w:space="0" w:color="auto"/>
              <w:right w:val="single" w:sz="4" w:space="0" w:color="auto"/>
            </w:tcBorders>
            <w:vAlign w:val="center"/>
          </w:tc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ind w:left="0" w:firstLine="0"/>
              <w:jc w:val="center"/>
              <w:rPr>
                <w:rFonts w:hint="eastAsia"/>
                <w:b/>
                <w:bCs/>
                <w:color w:val="000000"/>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ind w:left="0" w:firstLine="0"/>
              <w:jc w:val="center"/>
              <w:rPr>
                <w:rFonts w:hint="eastAsia"/>
                <w:b/>
                <w:bCs/>
                <w:color w:val="000000"/>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0"/>
              <w:autoSpaceDN w:val="0"/>
              <w:adjustRightInd w:val="0"/>
              <w:snapToGrid w:val="0"/>
              <w:spacing w:line="360" w:lineRule="auto"/>
              <w:jc w:val="center"/>
              <w:rPr>
                <w:rFonts w:hint="eastAsia"/>
                <w:b/>
                <w:bCs/>
                <w:color w:val="000000"/>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ind w:left="0" w:firstLine="0"/>
              <w:jc w:val="center"/>
              <w:rPr>
                <w:rFonts w:hint="eastAsia"/>
                <w:b/>
                <w:bCs/>
                <w:color w:val="000000"/>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ind w:left="0" w:firstLine="0"/>
              <w:jc w:val="center"/>
              <w:rPr>
                <w:rFonts w:hint="eastAsia"/>
                <w:b/>
                <w:bCs/>
                <w:color w:val="000000"/>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0"/>
              <w:autoSpaceDN w:val="0"/>
              <w:adjustRightInd w:val="0"/>
              <w:snapToGrid w:val="0"/>
              <w:spacing w:line="360" w:lineRule="auto"/>
              <w:jc w:val="center"/>
              <w:rPr>
                <w:rFonts w:hint="eastAsia"/>
                <w:b/>
                <w:bCs/>
                <w:color w:val="000000"/>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542"/>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highlight w:val="yellow"/>
              </w:rPr>
            </w:pPr>
            <w:r>
              <w:rPr>
                <w:rFonts w:hint="eastAsia"/>
                <w:b/>
                <w:bCs/>
                <w:color w:val="000000"/>
              </w:rPr>
              <w:t xml:space="preserve">                                                  实施服务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rFonts w:hint="eastAsia"/>
                <w:b/>
                <w:bCs/>
                <w:color w:val="000000"/>
                <w:u w:val="single"/>
              </w:rPr>
            </w:pPr>
            <w:r>
              <w:rPr>
                <w:rFonts w:hint="eastAsia"/>
                <w:b/>
                <w:bCs/>
                <w:color w:val="000000"/>
              </w:rPr>
              <w:t xml:space="preserve">                                     </w:t>
            </w:r>
          </w:p>
          <w:p>
            <w:pPr>
              <w:pStyle w:val="8110"/>
              <w:autoSpaceDN w:val="0"/>
              <w:adjustRightInd w:val="0"/>
              <w:snapToGrid w:val="0"/>
              <w:spacing w:line="360" w:lineRule="auto"/>
              <w:jc w:val="center"/>
              <w:rPr>
                <w:rFonts w:hint="eastAsia"/>
                <w:b/>
                <w:bCs/>
                <w:color w:val="000000"/>
              </w:rPr>
            </w:pPr>
            <w:r>
              <w:rPr>
                <w:rFonts w:hint="eastAsia"/>
                <w:b/>
                <w:bCs/>
                <w:color w:val="000000"/>
              </w:rPr>
              <w:t xml:space="preserve">                                                                  </w:t>
            </w:r>
          </w:p>
          <w:p>
            <w:pPr>
              <w:pStyle w:val="8210"/>
              <w:autoSpaceDN w:val="0"/>
              <w:adjustRightInd w:val="0"/>
              <w:snapToGrid w:val="0"/>
              <w:spacing w:line="360" w:lineRule="auto"/>
              <w:jc w:val="center"/>
              <w:rPr>
                <w:rFonts w:hint="eastAsia"/>
                <w:b/>
                <w:bCs/>
                <w:color w:val="000000"/>
              </w:rPr>
            </w:pPr>
            <w:r>
              <w:rPr>
                <w:rFonts w:hint="eastAsia"/>
                <w:b/>
                <w:bCs/>
                <w:color w:val="000000"/>
              </w:rPr>
              <w:t xml:space="preserve">                                                                                                        </w:t>
            </w:r>
          </w:p>
        </w:tc>
        <w:tc>
          <w:tcPr>
            <w:tcW w:w="1198" w:type="dxa"/>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649"/>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售后服务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其他</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841" w:type="dxa"/>
            <w:gridSpan w:val="6"/>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 xml:space="preserve">                                            合同总价</w:t>
            </w: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bl>
    <w:p>
      <w:pPr>
        <w:ind w:firstLine="420" w:firstLineChars="200"/>
        <w:rPr>
          <w:rFonts w:ascii="宋体" w:hint="eastAsia"/>
          <w:b/>
          <w:bCs/>
          <w:color w:val="000000"/>
          <w:szCs w:val="21"/>
        </w:rPr>
      </w:pPr>
      <w:r>
        <w:rPr>
          <w:rFonts w:ascii="宋体" w:hint="eastAsia"/>
          <w:b/>
          <w:bCs/>
          <w:color w:val="000000"/>
          <w:szCs w:val="21"/>
        </w:rPr>
        <w:t>第二条 合同总价款</w:t>
      </w:r>
    </w:p>
    <w:p>
      <w:pPr>
        <w:pStyle w:val="10311"/>
        <w:ind w:firstLine="420" w:firstLineChars="200"/>
        <w:rPr>
          <w:rFonts w:ascii="宋体" w:eastAsia="宋体" w:hint="eastAsia"/>
          <w:color w:val="000000"/>
          <w:sz w:val="21"/>
          <w:szCs w:val="21"/>
        </w:rPr>
      </w:pPr>
      <w:r>
        <w:rPr>
          <w:rFonts w:ascii="宋体" w:eastAsia="宋体" w:hint="eastAsia"/>
          <w:color w:val="000000"/>
          <w:sz w:val="21"/>
          <w:szCs w:val="21"/>
        </w:rPr>
        <w:t>本合同总价款（人民币大写） __________元（含税）。除上述款项外，乙方不得向甲方（用户）主张其他任何费用，详见附件分项报价表。</w:t>
      </w:r>
    </w:p>
    <w:p>
      <w:pPr>
        <w:ind w:firstLine="420" w:firstLineChars="200"/>
        <w:rPr>
          <w:rFonts w:ascii="宋体" w:hint="eastAsia"/>
          <w:b/>
          <w:bCs/>
          <w:color w:val="000000"/>
          <w:szCs w:val="21"/>
        </w:rPr>
      </w:pPr>
      <w:r>
        <w:rPr>
          <w:rFonts w:ascii="宋体" w:hint="eastAsia"/>
          <w:b/>
          <w:bCs/>
          <w:color w:val="000000"/>
          <w:szCs w:val="21"/>
        </w:rPr>
        <w:t>第三条 付款条件</w:t>
      </w:r>
      <w:r>
        <w:rPr>
          <w:rFonts w:ascii="宋体" w:hint="eastAsia"/>
          <w:color w:val="000000"/>
          <w:szCs w:val="21"/>
        </w:rPr>
        <w:t>（注：项目需求书中另有要求的，以项目需求书中的约定为准）</w:t>
      </w:r>
    </w:p>
    <w:p>
      <w:pPr>
        <w:ind w:firstLine="420" w:firstLineChars="200"/>
        <w:rPr>
          <w:rFonts w:ascii="宋体" w:hint="eastAsia"/>
          <w:color w:val="000000"/>
          <w:szCs w:val="21"/>
        </w:rPr>
      </w:pPr>
      <w:r>
        <w:rPr>
          <w:rFonts w:ascii="宋体" w:hint="eastAsia"/>
          <w:color w:val="000000"/>
          <w:szCs w:val="21"/>
        </w:rPr>
        <w:t>（一）本合同以人民币付款。</w:t>
      </w:r>
    </w:p>
    <w:p>
      <w:pPr>
        <w:ind w:firstLine="420" w:firstLineChars="200"/>
        <w:rPr>
          <w:rFonts w:ascii="宋体" w:hint="eastAsia"/>
          <w:color w:val="000000"/>
          <w:szCs w:val="21"/>
        </w:rPr>
      </w:pPr>
      <w:r>
        <w:rPr>
          <w:rFonts w:ascii="宋体" w:hint="eastAsia"/>
          <w:color w:val="000000"/>
          <w:szCs w:val="21"/>
        </w:rPr>
        <w:t>（二）付款办法：</w:t>
      </w:r>
    </w:p>
    <w:p>
      <w:pPr>
        <w:ind w:firstLine="420" w:firstLineChars="200"/>
        <w:rPr>
          <w:rFonts w:ascii="宋体" w:hint="eastAsia"/>
          <w:color w:val="000000"/>
          <w:szCs w:val="21"/>
        </w:rPr>
      </w:pPr>
      <w:r>
        <w:rPr>
          <w:rFonts w:ascii="宋体" w:hint="eastAsia"/>
          <w:color w:val="000000"/>
          <w:szCs w:val="21"/>
        </w:rPr>
        <w:t>1.乙方向甲方交付履约保证金，并提交下列单据之日起10个工作日内，甲方向乙方支付合同总价____%合同款（人民币大写：_______；人民币小写：_______）。</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乙方提交单据：合同（正文部分复印件）、中标通知书（或成交通知书）、发票（原件）、履约保证金单据。</w:t>
      </w:r>
    </w:p>
    <w:p>
      <w:pPr>
        <w:ind w:firstLine="420" w:firstLineChars="200"/>
        <w:rPr>
          <w:rFonts w:ascii="宋体" w:hint="eastAsia"/>
          <w:color w:val="000000"/>
          <w:szCs w:val="21"/>
        </w:rPr>
      </w:pPr>
      <w:r>
        <w:rPr>
          <w:rFonts w:ascii="宋体" w:hint="eastAsia"/>
          <w:color w:val="000000"/>
          <w:szCs w:val="21"/>
        </w:rPr>
        <w:t>2.乙方完成系统功能开发，具备上线条件，并向甲方提交下列单据之日起10个工作日内，甲方向乙方支付合同总价____%合同款（人民币大写：_______；人民币小写：_______）。</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乙方提交单据：合同（正文部分复印件）、中标通知书（或成交通知书）、发票（原件）、上线证明（原件）。</w:t>
      </w:r>
    </w:p>
    <w:p>
      <w:pPr>
        <w:ind w:firstLine="420" w:firstLineChars="200"/>
        <w:rPr>
          <w:rFonts w:ascii="宋体" w:hint="eastAsia"/>
          <w:color w:val="000000"/>
          <w:szCs w:val="21"/>
        </w:rPr>
      </w:pPr>
      <w:r>
        <w:rPr>
          <w:rFonts w:ascii="宋体" w:hint="eastAsia"/>
          <w:color w:val="000000"/>
          <w:szCs w:val="21"/>
        </w:rPr>
        <w:t>3.乙方完成全部服务内容，经甲方组织的合同验收通过，并向甲方提交下列单据之日起10个工作日内，甲方向乙方支付合同总价____%合同款（人民币大写：_______；人民币小写：_______）。</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乙方提交单据：合同（正文部分复印件）、中标通知书（或成交通知书）、发票（原件）、合同验收合格报告（原件）。</w:t>
      </w:r>
    </w:p>
    <w:p>
      <w:pPr>
        <w:ind w:firstLine="420" w:firstLineChars="200"/>
        <w:rPr>
          <w:rFonts w:ascii="宋体" w:hint="eastAsia"/>
          <w:color w:val="000000"/>
          <w:szCs w:val="21"/>
        </w:rPr>
      </w:pPr>
      <w:r>
        <w:rPr>
          <w:rFonts w:ascii="宋体" w:hint="eastAsia"/>
          <w:color w:val="000000"/>
          <w:szCs w:val="21"/>
        </w:rPr>
        <w:t>4.因财政集中支付延误时间不计算在内，乙方提交付款单据延迟、缺失及账户信息错误的，甲方有权相应顺延付款期限，且甲方不承担延误付款责任。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收款单位全称</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开户银行</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账号</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bl>
    <w:p>
      <w:pPr>
        <w:ind w:firstLine="420" w:firstLineChars="200"/>
        <w:rPr>
          <w:rFonts w:ascii="宋体" w:hint="eastAsia"/>
          <w:b/>
          <w:bCs/>
          <w:color w:val="000000"/>
          <w:szCs w:val="21"/>
        </w:rPr>
      </w:pPr>
      <w:r>
        <w:rPr>
          <w:rFonts w:ascii="宋体" w:hint="eastAsia"/>
          <w:b/>
          <w:bCs/>
          <w:color w:val="000000"/>
          <w:szCs w:val="21"/>
        </w:rPr>
        <w:t>第四条 履约保证金</w:t>
      </w:r>
    </w:p>
    <w:p>
      <w:pPr>
        <w:pStyle w:val="2312"/>
        <w:ind w:firstLine="420" w:firstLineChars="200"/>
        <w:rPr>
          <w:rFonts w:ascii="宋体" w:eastAsia="宋体" w:hint="eastAsia"/>
          <w:color w:val="000000"/>
          <w:sz w:val="21"/>
          <w:szCs w:val="21"/>
          <w:highlight w:val="yellow"/>
        </w:rPr>
      </w:pPr>
      <w:r>
        <w:rPr>
          <w:rFonts w:ascii="宋体" w:eastAsia="宋体" w:hint="eastAsia"/>
          <w:color w:val="000000"/>
          <w:sz w:val="21"/>
          <w:szCs w:val="21"/>
        </w:rPr>
        <w:t>（一）合同签订之日起</w:t>
      </w:r>
      <w:r>
        <w:rPr>
          <w:rFonts w:ascii="宋体" w:eastAsia="宋体" w:hint="eastAsia"/>
          <w:color w:val="000000"/>
          <w:sz w:val="21"/>
          <w:szCs w:val="21"/>
          <w:u w:val="single"/>
        </w:rPr>
        <w:t>10</w:t>
      </w:r>
      <w:r>
        <w:rPr>
          <w:rFonts w:ascii="宋体" w:eastAsia="宋体" w:hint="eastAsia"/>
          <w:color w:val="000000"/>
          <w:sz w:val="21"/>
          <w:szCs w:val="21"/>
        </w:rPr>
        <w:t>个工作日内，乙方须按合同金额的____%（人民币大写：_______；人民币小写：_______）向甲方交纳履约保证金。如果乙方未按照约定时间交付履约保证金的，甲方有权单方面解除合同。</w:t>
      </w:r>
    </w:p>
    <w:p>
      <w:pPr>
        <w:pStyle w:val="505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收款单位全称</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开户银行</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账号</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bl>
    <w:p>
      <w:pPr>
        <w:pStyle w:val="2312"/>
        <w:ind w:left="0" w:firstLine="420" w:firstLineChars="200"/>
        <w:rPr>
          <w:rFonts w:ascii="宋体" w:eastAsia="宋体" w:hint="eastAsia"/>
          <w:color w:val="000000"/>
          <w:sz w:val="21"/>
          <w:szCs w:val="21"/>
        </w:rPr>
      </w:pPr>
      <w:r>
        <w:rPr>
          <w:rFonts w:ascii="宋体" w:eastAsia="宋体" w:hint="eastAsia"/>
          <w:color w:val="000000"/>
          <w:sz w:val="21"/>
          <w:szCs w:val="21"/>
        </w:rPr>
        <w:t>（二）履约保证金以银行保函、银行电汇向甲方提供。</w:t>
      </w:r>
    </w:p>
    <w:p>
      <w:pPr>
        <w:ind w:firstLine="420" w:firstLineChars="200"/>
        <w:rPr>
          <w:rFonts w:ascii="宋体" w:hint="eastAsia"/>
          <w:color w:val="000000"/>
          <w:szCs w:val="21"/>
        </w:rPr>
      </w:pPr>
      <w:r>
        <w:rPr>
          <w:rFonts w:ascii="宋体" w:hint="eastAsia"/>
          <w:color w:val="000000"/>
          <w:szCs w:val="21"/>
        </w:rPr>
        <w:t>（三）如乙方未能履行合同规定的义务，甲方有权按照本合同的约定从履约保证金中进行相应扣除。乙方应在甲方扣除履约保证金之日起10个工作日内，及时补充扣除部分金额。</w:t>
      </w:r>
    </w:p>
    <w:p>
      <w:pPr>
        <w:ind w:firstLine="420" w:firstLineChars="200"/>
        <w:rPr>
          <w:rFonts w:ascii="宋体" w:hint="eastAsia"/>
          <w:color w:val="000000"/>
          <w:szCs w:val="21"/>
        </w:rPr>
      </w:pPr>
      <w:r>
        <w:rPr>
          <w:rFonts w:ascii="宋体" w:hint="eastAsia"/>
          <w:color w:val="000000"/>
          <w:szCs w:val="21"/>
        </w:rPr>
        <w:t>（四）如乙方不履行合同，或履行合同义务不符合约定使得合同目的不能实现，履约保证金不予退还。</w:t>
      </w:r>
    </w:p>
    <w:p>
      <w:pPr>
        <w:ind w:firstLine="420" w:firstLineChars="200"/>
        <w:rPr>
          <w:rFonts w:ascii="宋体" w:hint="eastAsia"/>
          <w:color w:val="000000"/>
          <w:szCs w:val="21"/>
        </w:rPr>
      </w:pPr>
      <w:r>
        <w:rPr>
          <w:rFonts w:ascii="宋体" w:hint="eastAsia"/>
          <w:color w:val="000000"/>
          <w:szCs w:val="21"/>
        </w:rPr>
        <w:t>（五）项目验收合格后30个日历日内（因乙方原因造成延期履约的，履约保证金相应顺延），</w:t>
      </w:r>
      <w:r>
        <w:rPr>
          <w:rFonts w:ascii="宋体" w:hint="eastAsia"/>
          <w:bCs/>
          <w:color w:val="000000"/>
          <w:szCs w:val="21"/>
        </w:rPr>
        <w:t>乙方可以提交履约保证金退款申请。</w:t>
      </w:r>
      <w:r>
        <w:rPr>
          <w:rFonts w:ascii="宋体" w:hint="eastAsia"/>
          <w:color w:val="000000"/>
          <w:szCs w:val="21"/>
        </w:rPr>
        <w:t>甲方在收到乙方提交退款申请后10个工作日内无息退还。</w:t>
      </w:r>
    </w:p>
    <w:p>
      <w:pPr>
        <w:ind w:firstLine="420" w:firstLineChars="200"/>
        <w:rPr>
          <w:rFonts w:ascii="宋体" w:hint="eastAsia"/>
          <w:b/>
          <w:bCs/>
          <w:color w:val="000000"/>
          <w:szCs w:val="21"/>
        </w:rPr>
      </w:pPr>
      <w:r>
        <w:rPr>
          <w:rFonts w:ascii="宋体" w:hint="eastAsia"/>
          <w:b/>
          <w:bCs/>
          <w:color w:val="000000"/>
          <w:szCs w:val="21"/>
        </w:rPr>
        <w:t>第五条  工作进度要求及履行地点</w:t>
      </w:r>
    </w:p>
    <w:p>
      <w:pPr>
        <w:pStyle w:val="5010"/>
        <w:spacing w:line="480" w:lineRule="atLeast"/>
        <w:ind w:firstLine="480"/>
        <w:jc w:val="left"/>
        <w:rPr>
          <w:rFonts w:ascii="宋体" w:hint="eastAsia"/>
          <w:color w:val="000000"/>
          <w:szCs w:val="21"/>
        </w:rPr>
      </w:pPr>
      <w:r>
        <w:rPr>
          <w:rFonts w:ascii="宋体" w:cs="宋体" w:hint="eastAsia"/>
          <w:color w:val="000000"/>
          <w:szCs w:val="21"/>
          <w:lang w:bidi="ar-SA"/>
        </w:rPr>
        <w:t>（一）本技术服务工期</w:t>
      </w:r>
      <w:r>
        <w:rPr>
          <w:rFonts w:ascii="宋体" w:cs="宋体" w:hint="eastAsia"/>
          <w:color w:val="000000"/>
          <w:szCs w:val="21"/>
          <w:u w:val="single"/>
          <w:lang w:bidi="ar-SA"/>
        </w:rPr>
        <w:t xml:space="preserve">   </w:t>
      </w:r>
      <w:r>
        <w:rPr>
          <w:rFonts w:ascii="宋体" w:cs="宋体" w:hint="eastAsia"/>
          <w:color w:val="000000"/>
          <w:szCs w:val="21"/>
          <w:lang w:bidi="ar-SA"/>
        </w:rPr>
        <w:t>个月，要求合同签订之日起</w:t>
      </w:r>
      <w:r>
        <w:rPr>
          <w:rFonts w:ascii="宋体" w:cs="宋体" w:hint="eastAsia"/>
          <w:color w:val="000000"/>
          <w:szCs w:val="21"/>
          <w:u w:val="single"/>
          <w:lang w:bidi="ar-SA"/>
        </w:rPr>
        <w:t xml:space="preserve">    </w:t>
      </w:r>
      <w:r>
        <w:rPr>
          <w:rFonts w:ascii="宋体" w:cs="宋体" w:hint="eastAsia"/>
          <w:color w:val="000000"/>
          <w:szCs w:val="21"/>
          <w:lang w:bidi="ar-SA"/>
        </w:rPr>
        <w:t>个月内完成合同约定的所有服务内容（以乙方满足招标文件/谈判文件/询价通知书/磋商文件/单一来源采购文件要求及投标文件/响应文件应答的基础上的承诺为准）。如本合同或甲方（用户）对开始提供服务的时间或各部分、各阶段服务进度有要求的，乙方应遵守其要求。</w:t>
      </w:r>
    </w:p>
    <w:p>
      <w:pPr>
        <w:pStyle w:val="5010"/>
        <w:spacing w:line="480" w:lineRule="atLeast"/>
        <w:ind w:firstLine="480"/>
        <w:rPr>
          <w:rFonts w:ascii="宋体" w:cs="宋体" w:hint="eastAsia"/>
          <w:color w:val="000000"/>
          <w:szCs w:val="21"/>
        </w:rPr>
      </w:pPr>
      <w:r>
        <w:rPr>
          <w:rFonts w:ascii="宋体" w:cs="宋体" w:hint="eastAsia"/>
          <w:color w:val="000000"/>
          <w:szCs w:val="21"/>
          <w:lang w:bidi="ar-SA"/>
        </w:rPr>
        <w:t>（二）因甲方（用户）原因造成乙方不能按期完成工作的，经甲方（用户）书面确认后，乙方工期可以顺延，顺延的日期与甲方（用户）造成乙方不能正常工作的日期相等。</w:t>
      </w:r>
    </w:p>
    <w:p>
      <w:pPr>
        <w:pStyle w:val="5010"/>
        <w:spacing w:line="480" w:lineRule="atLeast"/>
        <w:ind w:firstLine="480"/>
        <w:rPr>
          <w:rFonts w:ascii="宋体" w:hint="eastAsia"/>
          <w:color w:val="000000"/>
          <w:szCs w:val="21"/>
        </w:rPr>
      </w:pPr>
      <w:r>
        <w:rPr>
          <w:rFonts w:ascii="宋体" w:cs="宋体" w:hint="eastAsia"/>
          <w:color w:val="000000"/>
          <w:szCs w:val="21"/>
          <w:lang w:bidi="ar-SA"/>
        </w:rPr>
        <w:t>（三）履行地点：甲方指定地点。</w:t>
      </w:r>
    </w:p>
    <w:p>
      <w:pPr>
        <w:pStyle w:val="3"/>
        <w:ind w:firstLine="420" w:firstLineChars="200"/>
        <w:rPr>
          <w:rFonts w:ascii="宋体" w:cs="宋体" w:hint="eastAsia"/>
          <w:b/>
          <w:bCs/>
          <w:color w:val="000000"/>
          <w:szCs w:val="21"/>
        </w:rPr>
      </w:pPr>
      <w:r>
        <w:rPr>
          <w:rFonts w:ascii="宋体" w:cs="宋体" w:hint="eastAsia"/>
          <w:b/>
          <w:bCs/>
          <w:color w:val="000000"/>
          <w:szCs w:val="21"/>
          <w:lang w:bidi="ar-SA"/>
        </w:rPr>
        <w:t>第六条 验收</w:t>
      </w:r>
    </w:p>
    <w:p>
      <w:pPr>
        <w:pStyle w:val="5210"/>
        <w:spacing w:line="480" w:lineRule="atLeast"/>
        <w:ind w:firstLine="422" w:firstLineChars="201"/>
        <w:rPr>
          <w:rFonts w:ascii="宋体" w:eastAsia="宋体" w:cs="宋体" w:hint="eastAsia"/>
          <w:color w:val="000000"/>
        </w:rPr>
      </w:pPr>
      <w:r>
        <w:rPr>
          <w:rFonts w:ascii="宋体" w:eastAsia="宋体" w:cs="宋体" w:hint="eastAsia"/>
          <w:color w:val="000000"/>
          <w:lang w:bidi="ar-SA"/>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
        <w:ind w:firstLine="420" w:firstLineChars="200"/>
        <w:rPr>
          <w:rFonts w:ascii="宋体" w:hint="eastAsia"/>
          <w:color w:val="000000"/>
          <w:szCs w:val="21"/>
        </w:rPr>
      </w:pPr>
      <w:r>
        <w:rPr>
          <w:rFonts w:ascii="宋体" w:hint="eastAsia"/>
          <w:b/>
          <w:bCs/>
          <w:color w:val="000000"/>
          <w:szCs w:val="21"/>
        </w:rPr>
        <w:t>第七条 质量保证</w:t>
      </w:r>
    </w:p>
    <w:p>
      <w:pPr>
        <w:ind w:firstLine="420" w:firstLineChars="200"/>
        <w:rPr>
          <w:rFonts w:ascii="宋体" w:hint="eastAsia"/>
          <w:color w:val="000000"/>
          <w:szCs w:val="21"/>
        </w:rPr>
      </w:pPr>
      <w:r>
        <w:rPr>
          <w:rFonts w:ascii="宋体" w:hint="eastAsia"/>
          <w:color w:val="000000"/>
          <w:szCs w:val="21"/>
        </w:rPr>
        <w:t>（一）乙方应保证所开发的产品与投标文件/响应文件承诺一致，并完全符合或高于合同要求的质量、规格和技术性能标准。</w:t>
      </w:r>
    </w:p>
    <w:p>
      <w:pPr>
        <w:ind w:firstLine="420" w:firstLineChars="200"/>
        <w:rPr>
          <w:rFonts w:ascii="宋体" w:hint="eastAsia"/>
          <w:color w:val="000000"/>
          <w:szCs w:val="21"/>
        </w:rPr>
      </w:pPr>
      <w:r>
        <w:rPr>
          <w:rFonts w:ascii="宋体" w:hint="eastAsia"/>
          <w:color w:val="000000"/>
          <w:szCs w:val="21"/>
        </w:rPr>
        <w:t>（二）本合同项下服务质量保证期为：自验收合格之日起计算</w:t>
      </w:r>
      <w:r>
        <w:rPr>
          <w:rFonts w:ascii="宋体" w:hint="eastAsia"/>
          <w:color w:val="000000"/>
          <w:szCs w:val="21"/>
          <w:u w:val="single"/>
        </w:rPr>
        <w:t xml:space="preserve">    </w:t>
      </w:r>
      <w:r>
        <w:rPr>
          <w:rFonts w:ascii="宋体" w:hint="eastAsia"/>
          <w:color w:val="000000"/>
          <w:szCs w:val="21"/>
        </w:rPr>
        <w:t>年。</w:t>
      </w:r>
    </w:p>
    <w:p>
      <w:pPr>
        <w:ind w:firstLine="420" w:firstLineChars="200"/>
        <w:rPr>
          <w:rFonts w:ascii="宋体" w:hint="eastAsia"/>
          <w:color w:val="000000"/>
          <w:szCs w:val="21"/>
        </w:rPr>
      </w:pPr>
      <w:r>
        <w:rPr>
          <w:rFonts w:ascii="宋体" w:hint="eastAsia"/>
          <w:color w:val="000000"/>
          <w:szCs w:val="21"/>
        </w:rPr>
        <w:t>（三）在质量保证期内，甲方发现乙方产品不符合（一）款规定标准的，有权要求乙方限期采取免费修复、重做、替换等措施。</w:t>
      </w:r>
    </w:p>
    <w:p>
      <w:pPr>
        <w:ind w:firstLine="420" w:firstLineChars="200"/>
        <w:rPr>
          <w:rFonts w:ascii="宋体" w:hint="eastAsia"/>
          <w:b/>
          <w:bCs/>
          <w:color w:val="000000"/>
          <w:szCs w:val="21"/>
        </w:rPr>
      </w:pPr>
      <w:r>
        <w:rPr>
          <w:rFonts w:ascii="宋体" w:hint="eastAsia"/>
          <w:b/>
          <w:bCs/>
          <w:color w:val="000000"/>
          <w:szCs w:val="21"/>
        </w:rPr>
        <w:t>第八条 培训</w:t>
      </w:r>
    </w:p>
    <w:p>
      <w:pPr>
        <w:ind w:firstLine="420" w:firstLineChars="200"/>
        <w:rPr>
          <w:rFonts w:ascii="宋体" w:hint="eastAsia"/>
          <w:b/>
          <w:bCs/>
          <w:color w:val="000000"/>
          <w:szCs w:val="21"/>
        </w:rPr>
      </w:pPr>
      <w:r>
        <w:rPr>
          <w:rFonts w:ascii="宋体" w:hint="eastAsia"/>
          <w:bCs/>
          <w:color w:val="000000"/>
          <w:szCs w:val="21"/>
        </w:rPr>
        <w:t>本合同包括培训，具体培训方案详见附件。</w:t>
      </w:r>
    </w:p>
    <w:p>
      <w:pPr>
        <w:ind w:firstLine="420" w:firstLineChars="200"/>
        <w:rPr>
          <w:rFonts w:ascii="宋体" w:hint="eastAsia"/>
          <w:b/>
          <w:bCs/>
          <w:color w:val="000000"/>
          <w:szCs w:val="21"/>
        </w:rPr>
      </w:pPr>
      <w:r>
        <w:rPr>
          <w:rFonts w:ascii="宋体" w:hint="eastAsia"/>
          <w:b/>
          <w:bCs/>
          <w:color w:val="000000"/>
          <w:szCs w:val="21"/>
        </w:rPr>
        <w:t>第九条 售后服务</w:t>
      </w:r>
    </w:p>
    <w:p>
      <w:pPr>
        <w:ind w:firstLine="420" w:firstLineChars="200"/>
        <w:rPr>
          <w:rFonts w:ascii="宋体" w:hint="eastAsia"/>
          <w:color w:val="000000"/>
          <w:szCs w:val="21"/>
        </w:rPr>
      </w:pPr>
      <w:r>
        <w:rPr>
          <w:rFonts w:ascii="宋体" w:hint="eastAsia"/>
          <w:color w:val="000000"/>
          <w:szCs w:val="21"/>
        </w:rPr>
        <w:t>（一）乙方在售后服务期内免费提供</w:t>
      </w:r>
      <w:r>
        <w:rPr>
          <w:rFonts w:ascii="宋体" w:hint="eastAsia"/>
          <w:color w:val="000000"/>
          <w:szCs w:val="21"/>
          <w:u w:val="single"/>
        </w:rPr>
        <w:t>7（5）天</w:t>
      </w:r>
      <w:r>
        <w:rPr>
          <w:rFonts w:ascii="宋体" w:hint="eastAsia"/>
          <w:color w:val="000000"/>
          <w:szCs w:val="21"/>
        </w:rPr>
        <w:t>*</w:t>
      </w:r>
      <w:r>
        <w:rPr>
          <w:rFonts w:ascii="宋体" w:hint="eastAsia"/>
          <w:color w:val="000000"/>
          <w:szCs w:val="21"/>
          <w:u w:val="single"/>
        </w:rPr>
        <w:t>24（8）</w:t>
      </w:r>
      <w:r>
        <w:rPr>
          <w:rFonts w:ascii="宋体" w:hint="eastAsia"/>
          <w:color w:val="000000"/>
          <w:szCs w:val="21"/>
        </w:rPr>
        <w:t>小时的技术支持与售后服务，提供专线电话支持服务，__小时内响应，保证___小时内到达现场并解决故障。</w:t>
      </w:r>
    </w:p>
    <w:p>
      <w:pPr>
        <w:ind w:firstLine="420" w:firstLineChars="200"/>
        <w:rPr>
          <w:rFonts w:ascii="宋体" w:hint="eastAsia"/>
          <w:color w:val="000000"/>
          <w:szCs w:val="21"/>
        </w:rPr>
      </w:pPr>
      <w:r>
        <w:rPr>
          <w:rFonts w:ascii="宋体" w:hint="eastAsia"/>
          <w:color w:val="000000"/>
          <w:szCs w:val="21"/>
        </w:rPr>
        <w:t>（二）具体技术支持及售后服务方案详见附件。</w:t>
      </w:r>
    </w:p>
    <w:p>
      <w:pPr>
        <w:pStyle w:val="2191"/>
        <w:ind w:firstLine="420" w:firstLineChars="200"/>
        <w:rPr>
          <w:rFonts w:ascii="宋体" w:eastAsia="宋体" w:hint="eastAsia"/>
          <w:b/>
          <w:bCs/>
          <w:color w:val="000000"/>
          <w:sz w:val="21"/>
          <w:szCs w:val="21"/>
        </w:rPr>
      </w:pPr>
      <w:r>
        <w:rPr>
          <w:rFonts w:ascii="宋体" w:eastAsia="宋体" w:hint="eastAsia"/>
          <w:b/>
          <w:bCs/>
          <w:color w:val="000000"/>
          <w:sz w:val="21"/>
          <w:szCs w:val="21"/>
        </w:rPr>
        <w:t>第十条 双方的权利和义务</w:t>
      </w:r>
    </w:p>
    <w:p>
      <w:pPr>
        <w:pStyle w:val="4910"/>
        <w:spacing w:line="480" w:lineRule="atLeast"/>
        <w:ind w:firstLine="480"/>
        <w:rPr>
          <w:rFonts w:ascii="宋体" w:eastAsia="宋体" w:hint="eastAsia"/>
          <w:bCs/>
          <w:color w:val="000000"/>
        </w:rPr>
      </w:pPr>
      <w:r>
        <w:rPr>
          <w:rFonts w:ascii="宋体" w:eastAsia="宋体" w:cs="宋体" w:hint="eastAsia"/>
          <w:color w:val="000000"/>
          <w:lang w:bidi="ar-SA"/>
        </w:rPr>
        <w:t>一、甲方（用户）的权利与义务</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（一）甲方（用户）有权了解整个委托技术服务的执行进程，监督服务执行，并对技术服务的进度及质量进行要求和检查。</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（二）甲方（用户）有权要求乙方按照本合同约定及时提供服务，并对乙方的服务成果进行评估和确定，提出修改意见。</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（三）甲方（用户）对服务成果拥有所有权以及全部、完整的知识产权（包括但不限于著作权、专利权、商标权以及知识产权申请权等）。甲方（用户）可安排技术人员参与核心工作，以便后续维护。</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（四）甲方（用户）有权在海关范围内对技术服务涉及的所有成果进行推广应用。</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（六）甲方（用户）应在实施过程中向乙方提供下列工作条件和协作事项：</w:t>
      </w:r>
    </w:p>
    <w:p>
      <w:pPr>
        <w:pStyle w:val="4910"/>
        <w:spacing w:line="480" w:lineRule="atLeast"/>
        <w:ind w:left="638"/>
        <w:rPr>
          <w:rFonts w:ascii="宋体" w:eastAsia="宋体" w:hint="eastAsia"/>
          <w:color w:val="000000"/>
        </w:rPr>
      </w:pPr>
      <w:r>
        <w:rPr>
          <w:rFonts w:ascii="宋体" w:eastAsia="宋体" w:cs="宋体" w:hint="eastAsia"/>
          <w:color w:val="000000"/>
          <w:lang w:bidi="ar-SA"/>
        </w:rPr>
        <w:t>1.提供完成技术服务所需的全部文档及相关资料；</w:t>
      </w:r>
    </w:p>
    <w:p>
      <w:pPr>
        <w:pStyle w:val="4910"/>
        <w:spacing w:line="480" w:lineRule="atLeast"/>
        <w:ind w:left="638"/>
        <w:rPr>
          <w:rFonts w:ascii="宋体" w:eastAsia="宋体" w:hint="eastAsia"/>
          <w:color w:val="000000"/>
        </w:rPr>
      </w:pPr>
      <w:r>
        <w:rPr>
          <w:rFonts w:ascii="宋体" w:eastAsia="宋体" w:cs="宋体" w:hint="eastAsia"/>
          <w:color w:val="000000"/>
          <w:lang w:bidi="ar-SA"/>
        </w:rPr>
        <w:t>2.解答或协调解答技术服务实施过程中的需求问题。</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（七）在乙方完成相应阶段工作并满足付款条件时，甲方应按照本合同的约定及时支付合同价款。</w:t>
      </w:r>
    </w:p>
    <w:p>
      <w:pPr>
        <w:pStyle w:val="4910"/>
        <w:spacing w:line="480" w:lineRule="atLeast"/>
        <w:ind w:firstLine="480"/>
        <w:rPr>
          <w:rFonts w:ascii="宋体" w:eastAsia="宋体" w:hint="eastAsia"/>
          <w:bCs/>
          <w:color w:val="000000"/>
        </w:rPr>
      </w:pPr>
      <w:r>
        <w:rPr>
          <w:rFonts w:ascii="宋体" w:eastAsia="宋体" w:cs="宋体" w:hint="eastAsia"/>
          <w:color w:val="000000"/>
          <w:lang w:bidi="ar-SA"/>
        </w:rPr>
        <w:t>二、乙方的权利与义务</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（一）乙方保证在甲方规定的工期进度内按照合同以及合同附件的要求完成应交付的完整、合格服务，并符合服务质量要求。</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（三）乙方应派专人负责技术服务执行，以保证技术服务顺利进行，加强风险分析与控制，对风险要有详细的分析，有可靠的控制手段和措施，并及时向甲方（用户）汇报。</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（四）乙方应在服务期内及时修复安全漏洞。</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（五）乙方所派人员应熟练掌握所需技术，所派人员对技术服务内容进行严格保密，不得泄露相关信息。</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（六）乙方在履行合同义务的情形下有权要求甲方按本合同的约定及时支付合同价款。</w:t>
      </w:r>
    </w:p>
    <w:p>
      <w:pPr>
        <w:pStyle w:val="4910"/>
        <w:spacing w:line="480" w:lineRule="atLeast"/>
        <w:ind w:firstLine="480"/>
        <w:rPr>
          <w:rFonts w:ascii="宋体" w:eastAsia="宋体" w:hint="eastAsia"/>
          <w:color w:val="000000"/>
        </w:rPr>
      </w:pPr>
      <w:r>
        <w:rPr>
          <w:rFonts w:ascii="宋体" w:eastAsia="宋体" w:cs="宋体" w:hint="eastAsia"/>
          <w:color w:val="000000"/>
          <w:lang w:bidi="ar-SA"/>
        </w:rPr>
        <w:t>（七）乙方应按甲方（用户）要求保质保量地完成相关代码实现以及配套文档的编制工作，并及时、完整向甲方（用户）交付相关材料。</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（八）乙方应无条件配合完成技术服务的业务测试工作。</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（十）乙方须遵守甲方（用户）提出的各项安全管理要求。</w:t>
      </w:r>
    </w:p>
    <w:p>
      <w:pPr>
        <w:pStyle w:val="4910"/>
        <w:spacing w:line="480" w:lineRule="atLeast"/>
        <w:ind w:firstLine="480"/>
        <w:rPr>
          <w:rFonts w:ascii="宋体" w:eastAsia="宋体" w:cs="宋体" w:hint="eastAsia"/>
          <w:color w:val="000000"/>
        </w:rPr>
      </w:pPr>
      <w:r>
        <w:rPr>
          <w:rFonts w:ascii="宋体" w:eastAsia="宋体" w:cs="宋体" w:hint="eastAsia"/>
          <w:color w:val="000000"/>
          <w:lang w:bidi="ar-SA"/>
        </w:rPr>
        <w:t>（十一）乙方须按照国家关于通过政府采购渠道参与政务信息化建设的有关要求，签订《政务数据安全管理承诺书》，具体详见附件。</w:t>
      </w:r>
    </w:p>
    <w:p>
      <w:pPr>
        <w:ind w:firstLine="420" w:firstLineChars="200"/>
        <w:rPr>
          <w:rFonts w:ascii="宋体" w:hint="eastAsia"/>
          <w:b/>
          <w:bCs/>
          <w:color w:val="000000"/>
          <w:szCs w:val="21"/>
        </w:rPr>
      </w:pPr>
      <w:r>
        <w:rPr>
          <w:rFonts w:ascii="宋体" w:hint="eastAsia"/>
          <w:b/>
          <w:bCs/>
          <w:color w:val="000000"/>
          <w:szCs w:val="21"/>
        </w:rPr>
        <w:t>第十一条 违约责任</w:t>
      </w:r>
    </w:p>
    <w:p>
      <w:pPr>
        <w:ind w:firstLine="420" w:firstLineChars="200"/>
        <w:rPr>
          <w:rFonts w:ascii="宋体" w:hint="eastAsia"/>
          <w:color w:val="000000"/>
          <w:szCs w:val="21"/>
        </w:rPr>
      </w:pPr>
      <w:r>
        <w:rPr>
          <w:rFonts w:ascii="宋体" w:hint="eastAsia"/>
          <w:color w:val="000000"/>
          <w:szCs w:val="21"/>
        </w:rPr>
        <w:t>（一）乙方未按照本合同或甲方（用户）对开始提供服务的时间或进度要求提供服务的违约责任。</w:t>
      </w:r>
    </w:p>
    <w:p>
      <w:pPr>
        <w:pStyle w:val="10111"/>
        <w:ind w:firstLine="420" w:firstLineChars="200"/>
        <w:rPr>
          <w:rFonts w:ascii="宋体" w:eastAsia="宋体" w:hint="eastAsia"/>
          <w:color w:val="000000"/>
          <w:sz w:val="21"/>
          <w:szCs w:val="21"/>
        </w:rPr>
      </w:pPr>
      <w:r>
        <w:rPr>
          <w:rFonts w:ascii="宋体" w:eastAsia="宋体" w:hint="eastAsia"/>
          <w:color w:val="000000"/>
          <w:sz w:val="21"/>
          <w:szCs w:val="21"/>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pStyle w:val="10111"/>
        <w:ind w:firstLine="420" w:firstLineChars="200"/>
        <w:rPr>
          <w:rFonts w:ascii="宋体" w:eastAsia="宋体" w:hint="eastAsia"/>
          <w:color w:val="000000"/>
          <w:sz w:val="21"/>
          <w:szCs w:val="21"/>
        </w:rPr>
      </w:pPr>
      <w:r>
        <w:rPr>
          <w:rFonts w:ascii="宋体" w:eastAsia="宋体" w:hint="eastAsia"/>
          <w:color w:val="000000"/>
          <w:sz w:val="21"/>
          <w:szCs w:val="21"/>
        </w:rPr>
        <w:t>2.除甲乙双方另有约定外，如果乙方没有按照本合同或甲方（用户）对开始提供服务的时间或进度要求提供服务，视为乙方违约，甲方有权在不影响合同项下其他补救措施的情况下，要求乙方支付误期赔偿费，或从合同款、履约保证金中扣除误期赔偿费，每周按合同总价款的百分之零点五（0.5%）计收，最高不超过合同总价款的百分之十（10%）。一周按七（7）天计算，不足七（7）天按一周计算。</w:t>
      </w:r>
    </w:p>
    <w:p>
      <w:pPr>
        <w:pStyle w:val="10111"/>
        <w:ind w:firstLine="420" w:firstLineChars="200"/>
        <w:rPr>
          <w:rFonts w:ascii="宋体" w:eastAsia="宋体" w:hint="eastAsia"/>
          <w:color w:val="000000"/>
          <w:sz w:val="21"/>
          <w:szCs w:val="21"/>
        </w:rPr>
      </w:pPr>
      <w:r>
        <w:rPr>
          <w:rFonts w:ascii="宋体" w:eastAsia="宋体" w:hint="eastAsia"/>
          <w:color w:val="000000"/>
          <w:sz w:val="21"/>
          <w:szCs w:val="21"/>
        </w:rPr>
        <w:t>3.出现上述没有按照时间和进度提供服务的情形时，甲方也可以选择解除合同，要求乙方退回甲方已支付款项、扣除履约保证金并追究乙方相应违约责任、赔偿甲方（用户）的全部损失。</w:t>
      </w:r>
    </w:p>
    <w:p>
      <w:pPr>
        <w:pStyle w:val="10111"/>
        <w:ind w:firstLine="420" w:firstLineChars="200"/>
        <w:rPr>
          <w:rFonts w:ascii="宋体" w:eastAsia="宋体" w:hint="eastAsia"/>
          <w:color w:val="000000"/>
          <w:sz w:val="21"/>
          <w:szCs w:val="21"/>
        </w:rPr>
      </w:pPr>
      <w:r>
        <w:rPr>
          <w:rFonts w:ascii="宋体" w:eastAsia="宋体" w:hint="eastAsia"/>
          <w:color w:val="000000"/>
          <w:sz w:val="21"/>
          <w:szCs w:val="21"/>
        </w:rPr>
        <w:t>（二）乙方未按照本合同规定的售后服务响应要求提供服务的违约责任。</w:t>
      </w:r>
    </w:p>
    <w:p>
      <w:pPr>
        <w:pStyle w:val="10111"/>
        <w:ind w:firstLine="420" w:firstLineChars="200"/>
        <w:rPr>
          <w:rFonts w:ascii="宋体" w:eastAsia="宋体" w:hint="eastAsia"/>
          <w:color w:val="000000"/>
          <w:sz w:val="21"/>
          <w:szCs w:val="21"/>
        </w:rPr>
      </w:pPr>
      <w:r>
        <w:rPr>
          <w:rFonts w:ascii="宋体" w:eastAsia="宋体" w:hint="eastAsia"/>
          <w:color w:val="000000"/>
          <w:sz w:val="21"/>
          <w:szCs w:val="21"/>
        </w:rPr>
        <w:t>在合同履行过程中，乙方未能按照本合同规定的售后服务响应要求提供服务的，除该情形为甲方原因导致或甲方同意的以外，视为乙方违约。甲方有权在不影响合同项下其他补救措施的情况下，要求乙方支付违约金，或从合同款、履约保证金中扣除违约金。违约金每次按合同总价款的百分之零点五（0.5%）计收，最高不超过合同总价款的百分之十（10%）。因乙方违约给甲方造成损失的，乙方另行赔偿全部损失。</w:t>
      </w:r>
    </w:p>
    <w:p>
      <w:pPr>
        <w:pStyle w:val="10111"/>
        <w:ind w:firstLine="420" w:firstLineChars="200"/>
        <w:rPr>
          <w:rFonts w:ascii="宋体" w:eastAsia="宋体" w:hint="eastAsia"/>
          <w:color w:val="000000"/>
          <w:sz w:val="21"/>
          <w:szCs w:val="21"/>
        </w:rPr>
      </w:pPr>
      <w:r>
        <w:rPr>
          <w:rFonts w:ascii="宋体" w:eastAsia="宋体" w:hint="eastAsia"/>
          <w:color w:val="000000"/>
          <w:sz w:val="21"/>
          <w:szCs w:val="21"/>
        </w:rPr>
        <w:t>（三）因乙方或乙方工作人员或乙方相关方的作为或不作为行为致使甲方</w:t>
      </w:r>
      <w:r>
        <w:rPr>
          <w:rFonts w:ascii="宋体" w:eastAsia="宋体" w:cs="宋体" w:hint="eastAsia"/>
          <w:color w:val="000000"/>
          <w:sz w:val="21"/>
          <w:szCs w:val="21"/>
          <w:lang w:bidi="ar-SA"/>
        </w:rPr>
        <w:t>（用户）</w:t>
      </w:r>
      <w:r>
        <w:rPr>
          <w:rFonts w:ascii="宋体" w:eastAsia="宋体" w:hint="eastAsia"/>
          <w:color w:val="000000"/>
          <w:sz w:val="21"/>
          <w:szCs w:val="21"/>
        </w:rPr>
        <w:t>或第三方遭受人员人身伤害或财产损失的，乙方应承担全部赔偿责任，赔偿全部损失，且甲方有权以全部履约保证金作为违约金，解除本合同。</w:t>
      </w:r>
    </w:p>
    <w:p>
      <w:pPr>
        <w:pStyle w:val="2171"/>
        <w:ind w:firstLine="420" w:firstLineChars="200"/>
        <w:rPr>
          <w:rFonts w:ascii="宋体" w:eastAsia="宋体" w:hint="eastAsia"/>
          <w:color w:val="000000"/>
          <w:sz w:val="21"/>
          <w:szCs w:val="21"/>
        </w:rPr>
      </w:pPr>
      <w:r>
        <w:rPr>
          <w:rFonts w:ascii="宋体" w:eastAsia="宋体" w:hint="eastAsia"/>
          <w:color w:val="000000"/>
          <w:sz w:val="21"/>
          <w:szCs w:val="21"/>
        </w:rPr>
        <w:t>（四）在本合同履行过程中，如果有证据证明乙方根本无法履行合同的，甲方可以行使不安抗辩权，有权解除合同，并扣除履约保证金，如因乙方不能履行给甲方</w:t>
      </w:r>
      <w:r>
        <w:rPr>
          <w:rFonts w:ascii="宋体" w:eastAsia="宋体" w:cs="宋体" w:hint="eastAsia"/>
          <w:color w:val="000000"/>
          <w:sz w:val="21"/>
          <w:szCs w:val="21"/>
          <w:lang w:bidi="ar-SA"/>
        </w:rPr>
        <w:t>（用户）</w:t>
      </w:r>
      <w:r>
        <w:rPr>
          <w:rFonts w:ascii="宋体" w:eastAsia="宋体" w:hint="eastAsia"/>
          <w:color w:val="000000"/>
          <w:sz w:val="21"/>
          <w:szCs w:val="21"/>
        </w:rPr>
        <w:t>造成其他损失的，乙方应继续承担赔偿责任。</w:t>
      </w:r>
    </w:p>
    <w:p>
      <w:pPr>
        <w:pStyle w:val="6013"/>
        <w:ind w:firstLine="420" w:firstLineChars="200"/>
        <w:rPr>
          <w:rFonts w:ascii="宋体" w:eastAsia="宋体" w:hint="eastAsia"/>
          <w:b/>
          <w:bCs/>
          <w:color w:val="000000"/>
          <w:sz w:val="21"/>
          <w:szCs w:val="21"/>
        </w:rPr>
      </w:pPr>
      <w:r>
        <w:rPr>
          <w:rFonts w:ascii="宋体" w:eastAsia="宋体" w:hint="eastAsia"/>
          <w:b/>
          <w:bCs/>
          <w:color w:val="000000"/>
          <w:sz w:val="21"/>
          <w:szCs w:val="21"/>
        </w:rPr>
        <w:t>第十二条 使用合同文件和资料</w:t>
      </w:r>
    </w:p>
    <w:p>
      <w:pPr>
        <w:pStyle w:val="6013"/>
        <w:ind w:firstLine="420" w:firstLineChars="200"/>
        <w:rPr>
          <w:rFonts w:ascii="宋体" w:eastAsia="宋体" w:hint="eastAsia"/>
          <w:color w:val="000000"/>
          <w:sz w:val="21"/>
          <w:szCs w:val="21"/>
        </w:rPr>
      </w:pPr>
      <w:r>
        <w:rPr>
          <w:rFonts w:ascii="宋体" w:eastAsia="宋体" w:hint="eastAsia"/>
          <w:color w:val="000000"/>
          <w:sz w:val="21"/>
          <w:szCs w:val="21"/>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3"/>
        <w:ind w:firstLine="420" w:firstLineChars="200"/>
        <w:rPr>
          <w:rFonts w:ascii="宋体" w:eastAsia="宋体" w:hint="eastAsia"/>
          <w:color w:val="000000"/>
          <w:sz w:val="21"/>
          <w:szCs w:val="21"/>
        </w:rPr>
      </w:pPr>
      <w:r>
        <w:rPr>
          <w:rFonts w:ascii="宋体" w:eastAsia="宋体" w:hint="eastAsia"/>
          <w:color w:val="000000"/>
          <w:sz w:val="21"/>
          <w:szCs w:val="21"/>
        </w:rPr>
        <w:t>（二）没有甲方（用户）事先书面同意，除了履行本合同之外，乙方不应使用、传播与本合同相关的任何文件、资料。</w:t>
      </w:r>
    </w:p>
    <w:p>
      <w:pPr>
        <w:ind w:firstLine="420" w:firstLineChars="200"/>
        <w:rPr>
          <w:rFonts w:ascii="宋体" w:hint="eastAsia"/>
          <w:b/>
          <w:bCs/>
          <w:color w:val="000000"/>
          <w:szCs w:val="21"/>
        </w:rPr>
      </w:pPr>
      <w:r>
        <w:rPr>
          <w:rFonts w:ascii="宋体" w:hint="eastAsia"/>
          <w:b/>
          <w:bCs/>
          <w:color w:val="000000"/>
          <w:szCs w:val="21"/>
        </w:rPr>
        <w:t>第十三条 知识产权</w:t>
      </w:r>
    </w:p>
    <w:p>
      <w:pPr>
        <w:ind w:firstLine="420" w:firstLineChars="200"/>
        <w:rPr>
          <w:rFonts w:ascii="宋体" w:hint="eastAsia"/>
          <w:color w:val="000000"/>
          <w:szCs w:val="21"/>
        </w:rPr>
      </w:pPr>
      <w:r>
        <w:rPr>
          <w:rFonts w:ascii="宋体" w:hint="eastAsia"/>
          <w:color w:val="000000"/>
          <w:szCs w:val="21"/>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20" w:firstLineChars="200"/>
        <w:rPr>
          <w:rFonts w:ascii="宋体" w:hint="eastAsia"/>
          <w:color w:val="000000"/>
          <w:szCs w:val="21"/>
        </w:rPr>
      </w:pPr>
      <w:r>
        <w:rPr>
          <w:rFonts w:ascii="宋体" w:hint="eastAsia"/>
          <w:color w:val="000000"/>
          <w:szCs w:val="21"/>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ascii="宋体" w:hint="eastAsia"/>
          <w:color w:val="000000"/>
          <w:szCs w:val="21"/>
        </w:rPr>
      </w:pPr>
      <w:r>
        <w:rPr>
          <w:rFonts w:ascii="宋体" w:hint="eastAsia"/>
          <w:color w:val="000000"/>
          <w:szCs w:val="21"/>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20" w:firstLineChars="200"/>
        <w:rPr>
          <w:rFonts w:ascii="宋体" w:hint="eastAsia"/>
          <w:b/>
          <w:bCs/>
          <w:color w:val="000000"/>
          <w:szCs w:val="21"/>
        </w:rPr>
      </w:pPr>
      <w:r>
        <w:rPr>
          <w:rFonts w:ascii="宋体" w:hint="eastAsia"/>
          <w:b/>
          <w:bCs/>
          <w:color w:val="000000"/>
          <w:szCs w:val="21"/>
        </w:rPr>
        <w:t>第十四条 不可抗力及其免责</w:t>
      </w:r>
    </w:p>
    <w:p>
      <w:pPr>
        <w:ind w:firstLine="420" w:firstLineChars="200"/>
        <w:rPr>
          <w:rFonts w:ascii="宋体" w:hint="eastAsia"/>
          <w:color w:val="000000"/>
          <w:szCs w:val="21"/>
        </w:rPr>
      </w:pPr>
      <w:r>
        <w:rPr>
          <w:rFonts w:ascii="宋体" w:hint="eastAsia"/>
          <w:color w:val="000000"/>
          <w:szCs w:val="21"/>
        </w:rPr>
        <w:t>（一）如果乙方因不可抗力而导致合同实施延误或不能履行合同义务时，在不可抗力影响的范围内不应该被没收履约保证金，也不应该承担误期赔偿或终止合同的责任。</w:t>
      </w:r>
    </w:p>
    <w:p>
      <w:pPr>
        <w:ind w:firstLine="420" w:firstLineChars="200"/>
        <w:rPr>
          <w:rFonts w:ascii="宋体" w:hint="eastAsia"/>
          <w:color w:val="000000"/>
          <w:szCs w:val="21"/>
        </w:rPr>
      </w:pPr>
      <w:r>
        <w:rPr>
          <w:rFonts w:ascii="宋体" w:hint="eastAsia"/>
          <w:color w:val="000000"/>
          <w:szCs w:val="21"/>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rFonts w:ascii="宋体" w:hint="eastAsia"/>
          <w:color w:val="000000"/>
          <w:szCs w:val="21"/>
        </w:rPr>
      </w:pPr>
      <w:r>
        <w:rPr>
          <w:rFonts w:ascii="宋体" w:hint="eastAsia"/>
          <w:color w:val="000000"/>
          <w:szCs w:val="21"/>
        </w:rPr>
        <w:t>（三）乙方在延迟履行合同期间由于不可抗力而不能履行合同的，不能被免除责任。</w:t>
      </w:r>
    </w:p>
    <w:p>
      <w:pPr>
        <w:ind w:firstLine="420" w:firstLineChars="200"/>
        <w:rPr>
          <w:rFonts w:ascii="宋体" w:hint="eastAsia"/>
          <w:color w:val="000000"/>
          <w:szCs w:val="21"/>
        </w:rPr>
      </w:pPr>
      <w:r>
        <w:rPr>
          <w:rFonts w:ascii="宋体" w:hint="eastAsia"/>
          <w:color w:val="000000"/>
          <w:szCs w:val="21"/>
        </w:rPr>
        <w:t>（四）甲方（用户）如遇不可抗力，应尽快以书面形式通知乙方，并尽实际可能履行不受不可抗力影响的其他事项。甲方（用户）不承担因不可抗力不能履行合同所造成的损失。</w:t>
      </w:r>
    </w:p>
    <w:p>
      <w:pPr>
        <w:ind w:firstLine="420" w:firstLineChars="200"/>
        <w:rPr>
          <w:rFonts w:ascii="宋体" w:hint="eastAsia"/>
          <w:color w:val="000000"/>
          <w:szCs w:val="21"/>
        </w:rPr>
      </w:pPr>
      <w:r>
        <w:rPr>
          <w:rFonts w:ascii="宋体" w:hint="eastAsia"/>
          <w:color w:val="000000"/>
          <w:szCs w:val="21"/>
        </w:rPr>
        <w:t>（五）本条所述的“不可抗力”指那些不能预见、不能避免并不能克服的客观情况，包括但不限于战争、动乱、严重火灾、洪水、台风、地震等及其他双方同意的情况，但不包括违约或疏忽。</w:t>
      </w:r>
    </w:p>
    <w:p>
      <w:pPr>
        <w:ind w:firstLine="420" w:firstLineChars="200"/>
        <w:rPr>
          <w:rFonts w:ascii="宋体" w:hint="eastAsia"/>
          <w:b/>
          <w:bCs/>
          <w:color w:val="000000"/>
          <w:szCs w:val="21"/>
        </w:rPr>
      </w:pPr>
      <w:r>
        <w:rPr>
          <w:rFonts w:ascii="宋体" w:hint="eastAsia"/>
          <w:b/>
          <w:bCs/>
          <w:color w:val="000000"/>
          <w:szCs w:val="21"/>
        </w:rPr>
        <w:t>第十五条 争议的解决</w:t>
      </w:r>
    </w:p>
    <w:p>
      <w:pPr>
        <w:ind w:firstLine="420" w:firstLineChars="200"/>
        <w:rPr>
          <w:rFonts w:ascii="宋体" w:hint="eastAsia"/>
          <w:color w:val="000000"/>
          <w:szCs w:val="21"/>
        </w:rPr>
      </w:pPr>
      <w:r>
        <w:rPr>
          <w:rFonts w:ascii="宋体" w:hint="eastAsia"/>
          <w:color w:val="000000"/>
          <w:szCs w:val="21"/>
        </w:rPr>
        <w:t>（一）合同实施或与合同有关的一切争议应通过双方友好协商解决。如果友好协商开始</w:t>
      </w:r>
      <w:r>
        <w:rPr>
          <w:rFonts w:ascii="宋体" w:hint="eastAsia"/>
          <w:color w:val="000000"/>
          <w:szCs w:val="21"/>
          <w:u w:val="words"/>
        </w:rPr>
        <w:t>六十天</w:t>
      </w:r>
      <w:r>
        <w:rPr>
          <w:rFonts w:ascii="宋体" w:hint="eastAsia"/>
          <w:color w:val="000000"/>
          <w:szCs w:val="21"/>
        </w:rPr>
        <w:t>内还不能解决，争议应提交仲裁。</w:t>
      </w:r>
    </w:p>
    <w:p>
      <w:pPr>
        <w:ind w:firstLine="420" w:firstLineChars="200"/>
        <w:rPr>
          <w:rFonts w:ascii="宋体" w:hint="eastAsia"/>
          <w:color w:val="000000"/>
          <w:szCs w:val="21"/>
        </w:rPr>
      </w:pPr>
      <w:r>
        <w:rPr>
          <w:rFonts w:ascii="宋体" w:hint="eastAsia"/>
          <w:color w:val="000000"/>
          <w:szCs w:val="21"/>
        </w:rPr>
        <w:t>（二）仲裁应提交</w:t>
      </w:r>
      <w:r>
        <w:rPr>
          <w:rFonts w:ascii="宋体" w:hint="eastAsia"/>
          <w:color w:val="000000"/>
          <w:szCs w:val="21"/>
          <w:u w:val="words"/>
        </w:rPr>
        <w:t>北京仲裁委员会</w:t>
      </w:r>
      <w:r>
        <w:rPr>
          <w:rFonts w:ascii="宋体" w:hint="eastAsia"/>
          <w:color w:val="000000"/>
          <w:szCs w:val="21"/>
        </w:rPr>
        <w:t>进行，其仲裁裁决为最终裁决，对双方均有约束力。</w:t>
      </w:r>
    </w:p>
    <w:p>
      <w:pPr>
        <w:ind w:firstLine="420" w:firstLineChars="200"/>
        <w:rPr>
          <w:rFonts w:ascii="宋体" w:hint="eastAsia"/>
          <w:color w:val="000000"/>
          <w:szCs w:val="21"/>
        </w:rPr>
      </w:pPr>
      <w:r>
        <w:rPr>
          <w:rFonts w:ascii="宋体" w:hint="eastAsia"/>
          <w:color w:val="000000"/>
          <w:szCs w:val="21"/>
        </w:rPr>
        <w:t>（三）仲裁费除仲裁机关另有裁决外均应由败诉方负担。</w:t>
      </w:r>
    </w:p>
    <w:p>
      <w:pPr>
        <w:ind w:firstLine="420" w:firstLineChars="200"/>
        <w:rPr>
          <w:rFonts w:ascii="宋体" w:hint="eastAsia"/>
          <w:color w:val="000000"/>
          <w:szCs w:val="21"/>
        </w:rPr>
      </w:pPr>
      <w:r>
        <w:rPr>
          <w:rFonts w:ascii="宋体" w:hint="eastAsia"/>
          <w:color w:val="000000"/>
          <w:szCs w:val="21"/>
        </w:rPr>
        <w:t>（四）在仲裁期间，除正在进行仲裁的部分外，本合同其他部分应继续履行。</w:t>
      </w:r>
    </w:p>
    <w:p>
      <w:pPr>
        <w:ind w:firstLine="420" w:firstLineChars="200"/>
        <w:rPr>
          <w:rFonts w:ascii="宋体" w:hint="eastAsia"/>
          <w:b/>
          <w:bCs/>
          <w:color w:val="000000"/>
          <w:szCs w:val="21"/>
        </w:rPr>
      </w:pPr>
      <w:r>
        <w:rPr>
          <w:rFonts w:ascii="宋体" w:hint="eastAsia"/>
          <w:b/>
          <w:bCs/>
          <w:color w:val="000000"/>
          <w:szCs w:val="21"/>
        </w:rPr>
        <w:t>第十六条 合同修改或变更</w:t>
      </w:r>
    </w:p>
    <w:p>
      <w:pPr>
        <w:ind w:firstLine="420" w:firstLineChars="200"/>
        <w:rPr>
          <w:rFonts w:ascii="宋体" w:hint="eastAsia"/>
          <w:color w:val="000000"/>
          <w:szCs w:val="21"/>
        </w:rPr>
      </w:pPr>
      <w:r>
        <w:rPr>
          <w:rFonts w:ascii="宋体" w:hint="eastAsia"/>
          <w:color w:val="000000"/>
          <w:szCs w:val="21"/>
        </w:rPr>
        <w:t>（一）如无重大变故，甲乙双方不得擅自变更合同。</w:t>
      </w:r>
    </w:p>
    <w:p>
      <w:pPr>
        <w:ind w:firstLine="420" w:firstLineChars="200"/>
        <w:rPr>
          <w:rFonts w:ascii="宋体" w:hint="eastAsia"/>
          <w:color w:val="000000"/>
          <w:szCs w:val="21"/>
        </w:rPr>
      </w:pPr>
      <w:r>
        <w:rPr>
          <w:rFonts w:ascii="宋体" w:hint="eastAsia"/>
          <w:color w:val="000000"/>
          <w:szCs w:val="21"/>
        </w:rPr>
        <w:t>（二）如确需变更合同，甲乙双方应签署书面变更协议。变更协议为本合同不可分割的一部分。</w:t>
      </w:r>
    </w:p>
    <w:p>
      <w:pPr>
        <w:ind w:firstLine="420" w:firstLineChars="200"/>
        <w:rPr>
          <w:rFonts w:ascii="宋体" w:hint="eastAsia"/>
          <w:color w:val="000000"/>
          <w:szCs w:val="21"/>
        </w:rPr>
      </w:pPr>
      <w:r>
        <w:rPr>
          <w:rFonts w:ascii="宋体" w:hint="eastAsia"/>
          <w:color w:val="000000"/>
          <w:szCs w:val="21"/>
        </w:rPr>
        <w:t>（三）在不改变合同其他条款的前提下，甲方（用户）有权在合同价款10%的范围内追加与合同标的相同的服务，并就此与乙方签订补充合同，乙方不得拒绝。</w:t>
      </w:r>
    </w:p>
    <w:p>
      <w:pPr>
        <w:ind w:firstLine="420" w:firstLineChars="200"/>
        <w:rPr>
          <w:rFonts w:ascii="宋体" w:hint="eastAsia"/>
          <w:b/>
          <w:bCs/>
          <w:color w:val="000000"/>
          <w:szCs w:val="21"/>
        </w:rPr>
      </w:pPr>
      <w:r>
        <w:rPr>
          <w:rFonts w:ascii="宋体" w:hint="eastAsia"/>
          <w:b/>
          <w:bCs/>
          <w:color w:val="000000"/>
          <w:szCs w:val="21"/>
        </w:rPr>
        <w:t>第十七条 合同中止</w:t>
      </w:r>
    </w:p>
    <w:p>
      <w:pPr>
        <w:ind w:firstLine="420" w:firstLineChars="200"/>
        <w:rPr>
          <w:rFonts w:ascii="宋体" w:hint="eastAsia"/>
          <w:color w:val="000000"/>
          <w:szCs w:val="21"/>
        </w:rPr>
      </w:pPr>
      <w:r>
        <w:rPr>
          <w:rFonts w:ascii="宋体" w:hint="eastAsia"/>
          <w:color w:val="000000"/>
          <w:szCs w:val="21"/>
        </w:rPr>
        <w:t>（一）合同在履行过程中，因采购计划调整，甲方（用户）可以要求中止履行，待计划确定后继续履行。</w:t>
      </w:r>
    </w:p>
    <w:p>
      <w:pPr>
        <w:ind w:firstLine="420" w:firstLineChars="200"/>
        <w:rPr>
          <w:rFonts w:ascii="宋体" w:hint="eastAsia"/>
          <w:color w:val="000000"/>
          <w:szCs w:val="21"/>
        </w:rPr>
      </w:pPr>
      <w:r>
        <w:rPr>
          <w:rFonts w:ascii="宋体" w:hint="eastAsia"/>
          <w:color w:val="000000"/>
          <w:szCs w:val="21"/>
        </w:rPr>
        <w:t>（二）合同签订或履行过程中因其他供应商就采购过程或结果提起质疑、投诉、行政复议、行政诉讼的，甲方（用户）认为有必要或财政部责令中止的，应当中止合同的履行。</w:t>
      </w:r>
    </w:p>
    <w:p>
      <w:pPr>
        <w:ind w:firstLine="420" w:firstLineChars="200"/>
        <w:rPr>
          <w:rFonts w:ascii="宋体" w:hint="eastAsia"/>
          <w:b/>
          <w:bCs/>
          <w:color w:val="000000"/>
          <w:szCs w:val="21"/>
        </w:rPr>
      </w:pPr>
      <w:r>
        <w:rPr>
          <w:rFonts w:ascii="宋体" w:hint="eastAsia"/>
          <w:b/>
          <w:bCs/>
          <w:color w:val="000000"/>
          <w:szCs w:val="21"/>
        </w:rPr>
        <w:t>第十八条 合同解除</w:t>
      </w:r>
    </w:p>
    <w:p>
      <w:pPr>
        <w:ind w:firstLine="420" w:firstLineChars="200"/>
        <w:rPr>
          <w:rFonts w:ascii="宋体" w:hint="eastAsia"/>
          <w:color w:val="000000"/>
          <w:szCs w:val="21"/>
        </w:rPr>
      </w:pPr>
      <w:r>
        <w:rPr>
          <w:rFonts w:ascii="宋体" w:hint="eastAsia"/>
          <w:color w:val="000000"/>
          <w:szCs w:val="21"/>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20" w:firstLineChars="200"/>
        <w:rPr>
          <w:rFonts w:ascii="宋体" w:hint="eastAsia"/>
          <w:color w:val="000000"/>
          <w:szCs w:val="21"/>
        </w:rPr>
      </w:pPr>
      <w:r>
        <w:rPr>
          <w:rFonts w:ascii="宋体" w:hint="eastAsia"/>
          <w:color w:val="000000"/>
          <w:szCs w:val="21"/>
        </w:rPr>
        <w:t>（一）因违约解除合同</w:t>
      </w:r>
    </w:p>
    <w:p>
      <w:pPr>
        <w:ind w:firstLine="420" w:firstLineChars="200"/>
        <w:rPr>
          <w:rFonts w:ascii="宋体" w:hint="eastAsia"/>
          <w:color w:val="000000"/>
          <w:szCs w:val="21"/>
        </w:rPr>
      </w:pPr>
      <w:r>
        <w:rPr>
          <w:rFonts w:ascii="宋体" w:hint="eastAsia"/>
          <w:color w:val="000000"/>
          <w:szCs w:val="21"/>
        </w:rPr>
        <w:t>1.在甲方（用户）因乙方违约而采取的任何补救措施不受影响的情况下，甲方（用户）可向乙方发出书面违约通知书，提出解除部分或全部合同：</w:t>
      </w:r>
    </w:p>
    <w:p>
      <w:pPr>
        <w:ind w:firstLine="420" w:firstLineChars="200"/>
        <w:rPr>
          <w:rFonts w:ascii="宋体" w:hint="eastAsia"/>
          <w:color w:val="000000"/>
          <w:szCs w:val="21"/>
        </w:rPr>
      </w:pPr>
      <w:r>
        <w:rPr>
          <w:rFonts w:ascii="宋体" w:hint="eastAsia"/>
          <w:color w:val="000000"/>
          <w:szCs w:val="21"/>
        </w:rPr>
        <w:t>（1）如果乙方未能在合同规定的期限或甲方（用户）根据合同条款的规定同意延长的限期内提供部分或全部的服务，达到合同所规定的要求；</w:t>
      </w:r>
    </w:p>
    <w:p>
      <w:pPr>
        <w:pStyle w:val="6611"/>
        <w:ind w:firstLine="420" w:firstLineChars="200"/>
        <w:rPr>
          <w:rFonts w:ascii="宋体" w:eastAsia="宋体" w:hint="eastAsia"/>
          <w:color w:val="000000"/>
          <w:sz w:val="21"/>
          <w:szCs w:val="21"/>
        </w:rPr>
      </w:pPr>
      <w:r>
        <w:rPr>
          <w:rFonts w:ascii="宋体" w:eastAsia="宋体" w:hint="eastAsia"/>
          <w:color w:val="000000"/>
          <w:sz w:val="21"/>
          <w:szCs w:val="21"/>
        </w:rPr>
        <w:t>（2）如果甲方（用户）发现乙方在本合同的竞争或实施中有欺诈行为。</w:t>
      </w:r>
    </w:p>
    <w:p>
      <w:pPr>
        <w:ind w:firstLine="420" w:firstLineChars="200"/>
        <w:rPr>
          <w:rFonts w:ascii="宋体" w:hint="eastAsia"/>
          <w:color w:val="000000"/>
          <w:szCs w:val="21"/>
        </w:rPr>
      </w:pPr>
      <w:r>
        <w:rPr>
          <w:rFonts w:ascii="宋体" w:hint="eastAsia"/>
          <w:color w:val="000000"/>
          <w:szCs w:val="21"/>
        </w:rPr>
        <w:t>（3）如果乙方未能履行合同规定的其他任何义务。</w:t>
      </w:r>
    </w:p>
    <w:p>
      <w:pPr>
        <w:ind w:firstLine="420" w:firstLineChars="200"/>
        <w:rPr>
          <w:rFonts w:ascii="宋体" w:hint="eastAsia"/>
          <w:color w:val="000000"/>
          <w:szCs w:val="21"/>
        </w:rPr>
      </w:pPr>
      <w:r>
        <w:rPr>
          <w:rFonts w:ascii="宋体" w:hint="eastAsia"/>
          <w:color w:val="000000"/>
          <w:szCs w:val="21"/>
        </w:rPr>
        <w:t>2.如果甲方（用户）根据上述规定与乙方全部或部分解除合同，</w:t>
      </w:r>
      <w:r>
        <w:rPr>
          <w:rFonts w:ascii="宋体" w:hint="eastAsia"/>
          <w:bCs/>
          <w:color w:val="000000"/>
          <w:szCs w:val="21"/>
        </w:rPr>
        <w:t>甲方（用户）可以依其认为适当的条件和方法购买乙方未能提供的服务，乙方应对甲方购买服务所超出的费用负责</w:t>
      </w:r>
      <w:r>
        <w:rPr>
          <w:rFonts w:ascii="宋体" w:hint="eastAsia"/>
          <w:color w:val="000000"/>
          <w:szCs w:val="21"/>
        </w:rPr>
        <w:t>。</w:t>
      </w:r>
      <w:r>
        <w:rPr>
          <w:rFonts w:ascii="宋体" w:hint="eastAsia"/>
          <w:bCs/>
          <w:color w:val="000000"/>
          <w:szCs w:val="21"/>
        </w:rPr>
        <w:t>同时，乙方应继续执行合同中未解除的部分。</w:t>
      </w:r>
    </w:p>
    <w:p>
      <w:pPr>
        <w:ind w:firstLine="420" w:firstLineChars="200"/>
        <w:rPr>
          <w:rFonts w:ascii="宋体" w:hint="eastAsia"/>
          <w:color w:val="000000"/>
          <w:szCs w:val="21"/>
        </w:rPr>
      </w:pPr>
      <w:r>
        <w:rPr>
          <w:rFonts w:ascii="宋体" w:hint="eastAsia"/>
          <w:color w:val="000000"/>
          <w:szCs w:val="21"/>
        </w:rPr>
        <w:t>（二）因破产而解除合同</w:t>
      </w:r>
    </w:p>
    <w:p>
      <w:pPr>
        <w:ind w:firstLine="420" w:firstLineChars="200"/>
        <w:rPr>
          <w:rFonts w:ascii="宋体" w:hint="eastAsia"/>
          <w:color w:val="000000"/>
          <w:szCs w:val="21"/>
        </w:rPr>
      </w:pPr>
      <w:r>
        <w:rPr>
          <w:rFonts w:ascii="宋体" w:hint="eastAsia"/>
          <w:color w:val="000000"/>
          <w:szCs w:val="21"/>
        </w:rPr>
        <w:t>1.如果乙方破产或无清偿能力，甲方（用户）可在任何时候以书面形式通知乙方，提出解除合同而不给乙方补偿，并有权要求乙方退回甲方（用户）已支付的合同款项。</w:t>
      </w:r>
    </w:p>
    <w:p>
      <w:pPr>
        <w:ind w:firstLine="420" w:firstLineChars="200"/>
        <w:rPr>
          <w:rFonts w:ascii="宋体" w:hint="eastAsia"/>
          <w:color w:val="000000"/>
          <w:szCs w:val="21"/>
        </w:rPr>
      </w:pPr>
      <w:r>
        <w:rPr>
          <w:rFonts w:ascii="宋体" w:hint="eastAsia"/>
          <w:color w:val="000000"/>
          <w:szCs w:val="21"/>
        </w:rPr>
        <w:t>2.该解除合同将不损害或影响甲方</w:t>
      </w:r>
      <w:r>
        <w:rPr>
          <w:rFonts w:ascii="宋体" w:cs="宋体" w:hint="eastAsia"/>
          <w:color w:val="000000"/>
          <w:szCs w:val="21"/>
          <w:lang w:bidi="ar-SA"/>
        </w:rPr>
        <w:t>（用户）</w:t>
      </w:r>
      <w:r>
        <w:rPr>
          <w:rFonts w:ascii="宋体" w:hint="eastAsia"/>
          <w:color w:val="000000"/>
          <w:szCs w:val="21"/>
        </w:rPr>
        <w:t>已经采取或将要采取的任何行动或补救措施的权利。</w:t>
      </w:r>
    </w:p>
    <w:p>
      <w:pPr>
        <w:ind w:firstLine="420" w:firstLineChars="200"/>
        <w:rPr>
          <w:rFonts w:ascii="宋体" w:hint="eastAsia"/>
          <w:color w:val="000000"/>
          <w:szCs w:val="21"/>
        </w:rPr>
      </w:pPr>
      <w:r>
        <w:rPr>
          <w:rFonts w:ascii="宋体" w:hint="eastAsia"/>
          <w:color w:val="000000"/>
          <w:szCs w:val="21"/>
        </w:rPr>
        <w:t>（三）其他解除合同情况</w:t>
      </w:r>
    </w:p>
    <w:p>
      <w:pPr>
        <w:ind w:firstLine="420" w:firstLineChars="200"/>
        <w:rPr>
          <w:rFonts w:ascii="宋体" w:hint="eastAsia"/>
          <w:color w:val="000000"/>
          <w:szCs w:val="21"/>
        </w:rPr>
      </w:pPr>
      <w:r>
        <w:rPr>
          <w:rFonts w:ascii="宋体" w:hint="eastAsia"/>
          <w:color w:val="000000"/>
          <w:szCs w:val="21"/>
        </w:rPr>
        <w:t>1.若合同继续履行将给甲方造成重大损失的，甲方（用户）可以解除合同而不给予乙方任何补偿。</w:t>
      </w:r>
    </w:p>
    <w:p>
      <w:pPr>
        <w:ind w:firstLine="420" w:firstLineChars="200"/>
        <w:rPr>
          <w:rFonts w:ascii="宋体" w:hint="eastAsia"/>
          <w:color w:val="000000"/>
          <w:szCs w:val="21"/>
        </w:rPr>
      </w:pPr>
      <w:r>
        <w:rPr>
          <w:rFonts w:ascii="宋体" w:hint="eastAsia"/>
          <w:color w:val="000000"/>
          <w:szCs w:val="21"/>
        </w:rPr>
        <w:t>2.乙方在执行合同的过程中发生重大变故，对履行合同有影响的，甲方（用户）可以解除合同而不给予乙方任何补偿。</w:t>
      </w:r>
    </w:p>
    <w:p>
      <w:pPr>
        <w:ind w:firstLine="420" w:firstLineChars="200"/>
        <w:rPr>
          <w:rFonts w:ascii="宋体" w:hint="eastAsia"/>
          <w:color w:val="000000"/>
          <w:szCs w:val="21"/>
        </w:rPr>
      </w:pPr>
      <w:r>
        <w:rPr>
          <w:rFonts w:ascii="宋体" w:hint="eastAsia"/>
          <w:color w:val="000000"/>
          <w:szCs w:val="21"/>
        </w:rPr>
        <w:t>3.甲方（用户）因重大变故取消或部分取消原来的采购任务，导致合同全部或部分内容无需继续履行的，可以解除合同而不给予乙方任何补偿。</w:t>
      </w:r>
    </w:p>
    <w:p>
      <w:pPr>
        <w:ind w:firstLine="420" w:firstLineChars="200"/>
        <w:rPr>
          <w:rFonts w:ascii="宋体" w:hint="eastAsia"/>
          <w:b/>
          <w:bCs/>
          <w:color w:val="000000"/>
          <w:szCs w:val="21"/>
        </w:rPr>
      </w:pPr>
      <w:r>
        <w:rPr>
          <w:rFonts w:ascii="宋体" w:hint="eastAsia"/>
          <w:b/>
          <w:bCs/>
          <w:color w:val="000000"/>
          <w:szCs w:val="21"/>
        </w:rPr>
        <w:t>第十九条 合同终止</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（一）本合同因下列原因而终止：</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1.本合同正常履行完毕；</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2.合同双方协议终止本合同的履行；</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3.不可抗力事件导致本合同无法履行或履行不必要；</w:t>
      </w:r>
    </w:p>
    <w:p>
      <w:pPr>
        <w:pStyle w:val="30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4.任何一方行使解除权，解除本合同。</w:t>
      </w:r>
    </w:p>
    <w:p>
      <w:pPr>
        <w:pStyle w:val="3010"/>
        <w:autoSpaceDN w:val="0"/>
        <w:spacing w:line="560" w:lineRule="exact"/>
        <w:ind w:firstLine="420" w:firstLineChars="200"/>
        <w:jc w:val="left"/>
        <w:rPr>
          <w:rFonts w:ascii="宋体" w:cs="微软雅黑" w:hint="eastAsia"/>
          <w:snapToGrid w:val="0"/>
          <w:kern w:val="0"/>
          <w:szCs w:val="21"/>
        </w:rPr>
      </w:pPr>
      <w:bookmarkStart w:id="47" w:name="孔子"/>
      <w:bookmarkEnd w:id="47"/>
      <w:r>
        <w:rPr>
          <w:rFonts w:ascii="宋体" w:cs="微软雅黑" w:hint="eastAsia"/>
          <w:snapToGrid w:val="0"/>
          <w:kern w:val="0"/>
          <w:szCs w:val="21"/>
          <w:lang w:bidi="ar-SA"/>
        </w:rPr>
        <w:t>（二）对本合同终止有过错的一方应赔偿另一方因合同终止而受到的损失。</w:t>
      </w:r>
    </w:p>
    <w:p>
      <w:pPr>
        <w:ind w:firstLine="420" w:firstLineChars="200"/>
        <w:rPr>
          <w:rFonts w:ascii="宋体" w:hint="eastAsia"/>
          <w:b/>
          <w:bCs/>
          <w:color w:val="000000"/>
          <w:szCs w:val="21"/>
        </w:rPr>
      </w:pPr>
      <w:r>
        <w:rPr>
          <w:rFonts w:ascii="宋体" w:hint="eastAsia"/>
          <w:b/>
          <w:bCs/>
          <w:color w:val="000000"/>
          <w:szCs w:val="21"/>
        </w:rPr>
        <w:t>第二十条 合同转让和分包</w:t>
      </w:r>
    </w:p>
    <w:p>
      <w:pPr>
        <w:ind w:firstLine="420" w:firstLineChars="200"/>
        <w:rPr>
          <w:rFonts w:ascii="宋体" w:hint="eastAsia"/>
          <w:color w:val="000000"/>
          <w:szCs w:val="21"/>
        </w:rPr>
      </w:pPr>
      <w:r>
        <w:rPr>
          <w:rFonts w:ascii="宋体" w:hint="eastAsia"/>
          <w:color w:val="000000"/>
          <w:szCs w:val="21"/>
        </w:rPr>
        <w:t>（一）乙方不得以任何形式将合同转包，或部分或全部转让其应履行的合同义务。</w:t>
      </w:r>
    </w:p>
    <w:p>
      <w:pPr>
        <w:ind w:firstLine="420" w:firstLineChars="200"/>
        <w:rPr>
          <w:rFonts w:ascii="宋体" w:hint="eastAsia"/>
          <w:color w:val="000000"/>
          <w:szCs w:val="21"/>
        </w:rPr>
      </w:pPr>
      <w:r>
        <w:rPr>
          <w:rFonts w:ascii="宋体" w:hint="eastAsia"/>
          <w:color w:val="000000"/>
          <w:szCs w:val="21"/>
        </w:rPr>
        <w:t>（二）除经甲方（用户）事先书面同意外，乙方不得以任何形式将合同分包。</w:t>
      </w:r>
    </w:p>
    <w:p>
      <w:pPr>
        <w:ind w:firstLine="420" w:firstLineChars="200"/>
        <w:rPr>
          <w:rFonts w:ascii="宋体" w:hint="eastAsia"/>
          <w:color w:val="000000"/>
          <w:szCs w:val="21"/>
        </w:rPr>
      </w:pPr>
      <w:r>
        <w:rPr>
          <w:rFonts w:ascii="宋体" w:hint="eastAsia"/>
          <w:color w:val="000000"/>
          <w:szCs w:val="21"/>
        </w:rPr>
        <w:t>乙方擅自转包或分包的，甲方有权解除本合同，没收履约保证金，并要求乙方退还已支付的全部款项，赔偿甲方（用户）全部损失及支出的合理费用。</w:t>
      </w:r>
    </w:p>
    <w:p>
      <w:pPr>
        <w:ind w:firstLine="420" w:firstLineChars="200"/>
        <w:rPr>
          <w:rFonts w:ascii="宋体" w:hint="eastAsia"/>
          <w:b/>
          <w:bCs/>
          <w:color w:val="000000"/>
          <w:szCs w:val="21"/>
        </w:rPr>
      </w:pPr>
      <w:r>
        <w:rPr>
          <w:rFonts w:ascii="宋体" w:hint="eastAsia"/>
          <w:b/>
          <w:bCs/>
          <w:color w:val="000000"/>
          <w:szCs w:val="21"/>
        </w:rPr>
        <w:t>第二十一条 其他</w:t>
      </w:r>
    </w:p>
    <w:p>
      <w:pPr>
        <w:ind w:firstLine="420" w:firstLineChars="200"/>
        <w:rPr>
          <w:rFonts w:ascii="宋体" w:hint="eastAsia"/>
          <w:color w:val="000000"/>
          <w:szCs w:val="21"/>
        </w:rPr>
      </w:pPr>
      <w:r>
        <w:rPr>
          <w:rFonts w:ascii="宋体" w:hint="eastAsia"/>
          <w:color w:val="000000"/>
          <w:szCs w:val="21"/>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20" w:firstLineChars="200"/>
        <w:rPr>
          <w:rFonts w:ascii="宋体" w:hint="eastAsia"/>
          <w:b/>
          <w:bCs/>
          <w:color w:val="000000"/>
          <w:szCs w:val="21"/>
        </w:rPr>
      </w:pPr>
      <w:r>
        <w:rPr>
          <w:rFonts w:ascii="宋体" w:hint="eastAsia"/>
          <w:b/>
          <w:bCs/>
          <w:color w:val="000000"/>
          <w:szCs w:val="21"/>
        </w:rPr>
        <w:t>第二十二条 合同生效</w:t>
      </w:r>
    </w:p>
    <w:p>
      <w:pPr>
        <w:ind w:firstLine="420" w:firstLineChars="200"/>
        <w:rPr>
          <w:rFonts w:ascii="宋体" w:hint="eastAsia"/>
          <w:color w:val="000000"/>
          <w:szCs w:val="21"/>
        </w:rPr>
      </w:pPr>
      <w:r>
        <w:rPr>
          <w:rFonts w:ascii="宋体" w:hint="eastAsia"/>
          <w:color w:val="000000"/>
          <w:szCs w:val="21"/>
        </w:rPr>
        <w:t>（一）本合同一式___份，甲方执___份，乙方执___份；自甲乙双方签字并盖章之日起生效。对本合同的任何更改及补充，均需双方共同协商，并以书面形式盖章确认。</w:t>
      </w:r>
    </w:p>
    <w:p>
      <w:pPr>
        <w:pStyle w:val="3110"/>
        <w:widowControl/>
        <w:autoSpaceDN w:val="0"/>
        <w:spacing w:line="560" w:lineRule="exact"/>
        <w:ind w:firstLine="420" w:firstLineChars="200"/>
        <w:jc w:val="left"/>
        <w:rPr>
          <w:rFonts w:ascii="宋体" w:cs="宋体" w:hint="eastAsia"/>
          <w:snapToGrid w:val="0"/>
          <w:kern w:val="0"/>
          <w:szCs w:val="21"/>
        </w:rPr>
      </w:pPr>
      <w:r>
        <w:rPr>
          <w:rFonts w:ascii="宋体" w:hint="eastAsia"/>
          <w:color w:val="000000"/>
          <w:szCs w:val="21"/>
        </w:rPr>
        <w:t>（二）</w:t>
      </w:r>
      <w:r>
        <w:rPr>
          <w:rFonts w:ascii="宋体" w:cs="宋体" w:hint="eastAsia"/>
          <w:snapToGrid w:val="0"/>
          <w:kern w:val="0"/>
          <w:szCs w:val="21"/>
          <w:lang w:bidi="ar-SA"/>
        </w:rPr>
        <w:t>本合同签订后，由海关总署</w:t>
      </w:r>
      <w:r>
        <w:rPr>
          <w:rFonts w:ascii="宋体" w:cs="宋体" w:hint="eastAsia"/>
          <w:snapToGrid w:val="0"/>
          <w:kern w:val="0"/>
          <w:szCs w:val="21"/>
          <w:u w:val="single"/>
          <w:lang w:bidi="ar-SA"/>
        </w:rPr>
        <w:t>（内设部门名称）</w:t>
      </w:r>
      <w:r>
        <w:rPr>
          <w:rFonts w:ascii="宋体" w:cs="宋体" w:hint="eastAsia"/>
          <w:snapToGrid w:val="0"/>
          <w:kern w:val="0"/>
          <w:szCs w:val="21"/>
          <w:lang w:bidi="ar-SA"/>
        </w:rPr>
        <w:t>执行资金支付、履约保证金收退、试运行或合同验收等合同履约一切事宜。（适用于采购中心与乙方签订合同的情形）</w:t>
      </w:r>
    </w:p>
    <w:p>
      <w:pPr>
        <w:ind w:firstLine="420" w:firstLineChars="200"/>
        <w:rPr>
          <w:rFonts w:ascii="宋体" w:hint="eastAsia"/>
          <w:color w:val="000000"/>
          <w:szCs w:val="21"/>
        </w:rPr>
      </w:pPr>
    </w:p>
    <w:p>
      <w:pPr>
        <w:pStyle w:val="5610"/>
        <w:spacing w:line="480" w:lineRule="atLeast"/>
        <w:ind w:firstLine="422" w:firstLineChars="201"/>
        <w:rPr>
          <w:rFonts w:ascii="宋体" w:eastAsia="宋体" w:cs="宋体" w:hint="eastAsia"/>
          <w:color w:val="000000"/>
        </w:rPr>
      </w:pPr>
      <w:r>
        <w:rPr>
          <w:rFonts w:ascii="宋体" w:eastAsia="宋体" w:hint="eastAsia"/>
          <w:color w:val="000000"/>
        </w:rPr>
        <w:t>附件一：</w:t>
      </w:r>
      <w:r>
        <w:rPr>
          <w:rFonts w:ascii="宋体" w:eastAsia="宋体" w:cs="宋体" w:hint="eastAsia"/>
          <w:color w:val="000000"/>
          <w:lang w:bidi="ar-SA"/>
        </w:rPr>
        <w:t>项目需求书</w:t>
      </w:r>
    </w:p>
    <w:p>
      <w:pPr>
        <w:ind w:firstLine="420" w:firstLineChars="200"/>
        <w:rPr>
          <w:rFonts w:ascii="宋体" w:hint="eastAsia"/>
          <w:color w:val="000000"/>
          <w:szCs w:val="21"/>
        </w:rPr>
      </w:pPr>
      <w:r>
        <w:rPr>
          <w:rFonts w:ascii="宋体" w:hint="eastAsia"/>
          <w:color w:val="000000"/>
          <w:szCs w:val="21"/>
        </w:rPr>
        <w:t>附件二：分项报价表</w:t>
      </w:r>
    </w:p>
    <w:p>
      <w:pPr>
        <w:ind w:firstLine="420" w:firstLineChars="200"/>
        <w:rPr>
          <w:rFonts w:ascii="宋体" w:hint="eastAsia"/>
          <w:color w:val="000000"/>
          <w:szCs w:val="21"/>
        </w:rPr>
      </w:pPr>
      <w:r>
        <w:rPr>
          <w:rFonts w:ascii="宋体" w:hint="eastAsia"/>
          <w:color w:val="000000"/>
          <w:szCs w:val="21"/>
        </w:rPr>
        <w:t>附件三：</w:t>
      </w:r>
      <w:r>
        <w:rPr>
          <w:rFonts w:ascii="宋体" w:cs="宋体" w:hint="eastAsia"/>
          <w:color w:val="000000"/>
          <w:szCs w:val="21"/>
          <w:lang w:bidi="ar-SA"/>
        </w:rPr>
        <w:t>政务数据安全管理承诺书</w:t>
      </w:r>
    </w:p>
    <w:p>
      <w:pPr>
        <w:ind w:firstLine="420" w:firstLineChars="200"/>
        <w:rPr>
          <w:rFonts w:ascii="宋体" w:hint="eastAsia"/>
          <w:color w:val="000000"/>
          <w:szCs w:val="21"/>
        </w:rPr>
      </w:pPr>
      <w:r>
        <w:rPr>
          <w:rFonts w:ascii="宋体" w:hint="eastAsia"/>
          <w:color w:val="000000"/>
          <w:szCs w:val="21"/>
        </w:rPr>
        <w:t>附件四：相关方案</w:t>
      </w:r>
    </w:p>
    <w:p>
      <w:pPr>
        <w:ind w:firstLine="719"/>
        <w:rPr>
          <w:rFonts w:ascii="宋体" w:hint="eastAsia"/>
          <w:color w:val="000000"/>
          <w:szCs w:val="21"/>
          <w:highlight w:val="yellow"/>
        </w:rPr>
      </w:pPr>
      <w:r>
        <w:rPr>
          <w:rFonts w:ascii="宋体" w:hint="eastAsia"/>
          <w:color w:val="000000"/>
          <w:szCs w:val="21"/>
        </w:rPr>
        <w:t>附件五：海关总署本级政府采购合同代签委托书</w:t>
      </w:r>
    </w:p>
    <w:p>
      <w:pPr>
        <w:rPr>
          <w:rFonts w:ascii="宋体" w:hint="eastAsia"/>
          <w:color w:val="000000"/>
          <w:szCs w:val="21"/>
        </w:rPr>
      </w:pPr>
      <w:r>
        <w:rPr>
          <w:rFonts w:ascii="宋体" w:hint="eastAsia"/>
          <w:color w:val="000000"/>
          <w:szCs w:val="21"/>
        </w:rPr>
        <w:t>（附件二、四内容与投标/响应文件一致。）</w:t>
      </w:r>
    </w:p>
    <w:p>
      <w:pPr>
        <w:rPr>
          <w:rFonts w:ascii="宋体" w:hint="eastAsia"/>
          <w:color w:val="000000"/>
          <w:szCs w:val="21"/>
        </w:rPr>
      </w:pPr>
    </w:p>
    <w:p>
      <w:pPr>
        <w:rPr>
          <w:rFonts w:ascii="宋体" w:hint="eastAsia"/>
          <w:color w:val="000000"/>
          <w:szCs w:val="21"/>
        </w:rPr>
      </w:pPr>
      <w:r>
        <w:rPr>
          <w:rFonts w:ascii="宋体" w:hint="eastAsia"/>
          <w:color w:val="000000"/>
          <w:szCs w:val="21"/>
        </w:rPr>
        <w:t>甲方（公章</w:t>
      </w:r>
      <w:r>
        <w:rPr>
          <w:rFonts w:ascii="宋体" w:hint="eastAsia"/>
          <w:snapToGrid w:val="0"/>
          <w:kern w:val="0"/>
          <w:szCs w:val="21"/>
        </w:rPr>
        <w:t>或合同章</w:t>
      </w:r>
      <w:r>
        <w:rPr>
          <w:rFonts w:ascii="宋体" w:hint="eastAsia"/>
          <w:color w:val="000000"/>
          <w:szCs w:val="21"/>
        </w:rPr>
        <w:t>）：             乙方（公章</w:t>
      </w:r>
      <w:r>
        <w:rPr>
          <w:rFonts w:ascii="宋体" w:hint="eastAsia"/>
          <w:snapToGrid w:val="0"/>
          <w:kern w:val="0"/>
          <w:szCs w:val="21"/>
        </w:rPr>
        <w:t>或合同章</w:t>
      </w:r>
      <w:r>
        <w:rPr>
          <w:rFonts w:ascii="宋体" w:hint="eastAsia"/>
          <w:color w:val="000000"/>
          <w:szCs w:val="21"/>
        </w:rPr>
        <w:t>）：</w:t>
      </w:r>
    </w:p>
    <w:p>
      <w:pPr>
        <w:rPr>
          <w:rFonts w:ascii="宋体" w:hint="eastAsia"/>
          <w:color w:val="000000"/>
          <w:szCs w:val="21"/>
        </w:rPr>
      </w:pPr>
      <w:r>
        <w:rPr>
          <w:rFonts w:ascii="宋体" w:hint="eastAsia"/>
          <w:color w:val="000000"/>
          <w:szCs w:val="21"/>
        </w:rPr>
        <w:t>法定代表人                        法定代表人</w:t>
      </w:r>
    </w:p>
    <w:p>
      <w:pPr>
        <w:rPr>
          <w:rFonts w:ascii="宋体" w:hint="eastAsia"/>
          <w:color w:val="000000"/>
          <w:szCs w:val="21"/>
        </w:rPr>
      </w:pPr>
      <w:r>
        <w:rPr>
          <w:rFonts w:ascii="宋体" w:hint="eastAsia"/>
          <w:color w:val="000000"/>
          <w:szCs w:val="21"/>
        </w:rPr>
        <w:t>或授权签字人（签字）：             或授权签字人（签字）：</w:t>
      </w:r>
    </w:p>
    <w:p>
      <w:pPr>
        <w:rPr>
          <w:rFonts w:ascii="宋体" w:hint="eastAsia"/>
          <w:color w:val="000000"/>
          <w:szCs w:val="21"/>
        </w:rPr>
      </w:pPr>
    </w:p>
    <w:p>
      <w:pPr>
        <w:rPr>
          <w:rFonts w:ascii="宋体" w:hint="eastAsia"/>
          <w:color w:val="000000"/>
          <w:szCs w:val="21"/>
        </w:rPr>
      </w:pPr>
      <w:r>
        <w:rPr>
          <w:rFonts w:ascii="宋体" w:hint="eastAsia"/>
          <w:color w:val="000000"/>
          <w:szCs w:val="21"/>
        </w:rPr>
        <w:t xml:space="preserve">日期： 年  月  日                 日期：   年   月   日    </w:t>
      </w:r>
    </w:p>
    <w:p>
      <w:pPr>
        <w:rPr>
          <w:rFonts w:ascii="宋体" w:hint="eastAsia"/>
          <w:color w:val="000000"/>
          <w:szCs w:val="21"/>
        </w:rPr>
      </w:pPr>
      <w:r>
        <w:rPr>
          <w:rFonts w:ascii="宋体" w:hint="eastAsia"/>
          <w:color w:val="000000"/>
          <w:szCs w:val="21"/>
        </w:rPr>
        <w:t>联系人:                            联系人：</w:t>
      </w:r>
    </w:p>
    <w:p>
      <w:pPr>
        <w:rPr>
          <w:rFonts w:ascii="宋体" w:hint="eastAsia"/>
          <w:color w:val="000000"/>
          <w:szCs w:val="21"/>
        </w:rPr>
      </w:pPr>
      <w:r>
        <w:rPr>
          <w:rFonts w:ascii="宋体" w:hint="eastAsia"/>
          <w:color w:val="000000"/>
          <w:szCs w:val="21"/>
        </w:rPr>
        <w:t>电话:                              电话：</w:t>
      </w:r>
    </w:p>
    <w:p>
      <w:pPr>
        <w:rPr>
          <w:rFonts w:ascii="宋体" w:hint="eastAsia"/>
          <w:color w:val="000000"/>
          <w:szCs w:val="21"/>
        </w:rPr>
      </w:pPr>
      <w:r>
        <w:rPr>
          <w:rFonts w:ascii="宋体" w:hint="eastAsia"/>
          <w:color w:val="000000"/>
          <w:szCs w:val="21"/>
        </w:rPr>
        <w:t>地址：                             地址：</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0"/>
          <w:szCs w:val="30"/>
        </w:rPr>
      </w:pPr>
      <w:r>
        <w:rPr>
          <w:rFonts w:ascii="方正小标宋_GBK" w:eastAsia="方正小标宋_GBK" w:hint="eastAsia"/>
          <w:sz w:val="30"/>
          <w:szCs w:val="30"/>
        </w:rPr>
        <w:t>政务数据安全管理承诺书</w:t>
      </w:r>
    </w:p>
    <w:p>
      <w:pPr>
        <w:pStyle w:val="6710"/>
        <w:spacing w:line="560" w:lineRule="exact"/>
        <w:rPr>
          <w:rFonts w:ascii="方正仿宋_GBK" w:eastAsia="方正仿宋_GBK" w:hint="eastAsia"/>
          <w:sz w:val="32"/>
          <w:szCs w:val="32"/>
        </w:rPr>
      </w:pPr>
      <w:r>
        <w:rPr>
          <w:rFonts w:ascii="宋体" w:hint="eastAsia"/>
          <w:sz w:val="24"/>
          <w:szCs w:val="24"/>
        </w:rPr>
        <w:t xml:space="preserve">  </w:t>
      </w:r>
      <w:r>
        <w:rPr>
          <w:rFonts w:ascii="方正仿宋_GBK" w:eastAsia="方正仿宋_GBK" w:hint="eastAsia"/>
          <w:sz w:val="32"/>
          <w:szCs w:val="32"/>
        </w:rPr>
        <w:t xml:space="preserve">  </w:t>
      </w:r>
    </w:p>
    <w:p>
      <w:pPr>
        <w:pStyle w:val="6710"/>
        <w:spacing w:line="560" w:lineRule="exact"/>
        <w:ind w:firstLine="420" w:firstLineChars="200"/>
        <w:rPr>
          <w:rFonts w:hint="eastAsia"/>
        </w:rPr>
      </w:pPr>
      <w:r>
        <w:rPr>
          <w:rFonts w:hint="eastAsia"/>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rPr>
      </w:pPr>
      <w:r>
        <w:rPr>
          <w:rFonts w:hint="eastAsia"/>
        </w:rPr>
        <w:t xml:space="preserve">    二、乙方承诺不将其承包的项目全部转包，不将中标项目支解后分别向其他企业或者个人转让，不将项目主体和关键部分分包。</w:t>
      </w:r>
    </w:p>
    <w:p>
      <w:pPr>
        <w:pStyle w:val="6710"/>
        <w:spacing w:line="560" w:lineRule="exact"/>
        <w:rPr>
          <w:rFonts w:hint="eastAsia"/>
        </w:rPr>
      </w:pPr>
      <w:r>
        <w:rPr>
          <w:rFonts w:hint="eastAsia"/>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rPr>
      </w:pPr>
      <w:r>
        <w:rPr>
          <w:rFonts w:hint="eastAsia"/>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rPr>
      </w:pPr>
      <w:r>
        <w:rPr>
          <w:rFonts w:hint="eastAsia"/>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rPr>
          <w:rFonts w:hint="eastAsia"/>
        </w:rPr>
      </w:pPr>
    </w:p>
    <w:p>
      <w:pPr>
        <w:pStyle w:val="6710"/>
        <w:spacing w:line="560" w:lineRule="exact"/>
        <w:jc w:val="center"/>
        <w:rPr>
          <w:rFonts w:hint="eastAsia"/>
        </w:rPr>
      </w:pPr>
      <w:r>
        <w:rPr>
          <w:rFonts w:hint="eastAsia"/>
        </w:rPr>
        <w:t>乙方：XX公司</w:t>
      </w:r>
    </w:p>
    <w:p>
      <w:pPr>
        <w:pStyle w:val="6110"/>
        <w:tabs>
          <w:tab w:val="left" w:pos="2760"/>
        </w:tabs>
        <w:spacing w:line="560" w:lineRule="exact"/>
        <w:ind w:firstLine="3465" w:firstLineChars="1650"/>
        <w:jc w:val="left"/>
        <w:rPr>
          <w:rFonts w:ascii="宋体" w:hint="eastAsia"/>
          <w:b/>
          <w:snapToGrid w:val="0"/>
          <w:kern w:val="0"/>
          <w:szCs w:val="21"/>
        </w:rPr>
      </w:pPr>
      <w:r>
        <w:rPr>
          <w:rFonts w:ascii="宋体" w:hint="eastAsia"/>
          <w:szCs w:val="21"/>
        </w:rPr>
        <w:t>乙方法定代表人：（签字）</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附件四：相关方案</w:t>
      </w:r>
    </w:p>
    <w:p>
      <w:pPr>
        <w:pStyle w:val="10210"/>
        <w:tabs>
          <w:tab w:val="left" w:pos="2760"/>
        </w:tabs>
        <w:spacing w:line="560" w:lineRule="exact"/>
        <w:jc w:val="left"/>
        <w:rPr>
          <w:rFonts w:eastAsia="方正仿宋_GBK"/>
          <w:b/>
          <w:snapToGrid w:val="0"/>
          <w:kern w:val="0"/>
          <w:sz w:val="32"/>
          <w:szCs w:val="32"/>
        </w:rPr>
      </w:pPr>
      <w:r>
        <w:rPr>
          <w:color w:val="000000"/>
        </w:rPr>
        <w:br w:type="page"/>
      </w:r>
      <w:r>
        <w:rPr>
          <w:rFonts w:eastAsia="方正仿宋_GBK"/>
          <w:b/>
          <w:snapToGrid w:val="0"/>
          <w:color w:val="auto"/>
          <w:kern w:val="0"/>
          <w:sz w:val="32"/>
          <w:szCs w:val="32"/>
        </w:rPr>
        <w:t>附件五：海关总署本级政府采购合同代签委托书</w:t>
      </w:r>
    </w:p>
    <w:p>
      <w:pPr>
        <w:pStyle w:val="8101"/>
      </w:pPr>
    </w:p>
    <w:p>
      <w:pPr>
        <w:pStyle w:val="1188"/>
        <w:spacing w:after="0" w:line="560" w:lineRule="exact"/>
        <w:jc w:val="center"/>
        <w:rPr>
          <w:rFonts w:ascii="方正小标宋_GBK" w:eastAsia="方正小标宋_GBK" w:cs="Times New Roman" w:hint="eastAsia"/>
          <w:sz w:val="30"/>
          <w:szCs w:val="30"/>
        </w:rPr>
      </w:pPr>
      <w:r>
        <w:rPr>
          <w:rFonts w:ascii="方正小标宋_GBK" w:eastAsia="方正小标宋_GBK" w:cs="Times New Roman" w:hint="eastAsia"/>
          <w:sz w:val="30"/>
          <w:szCs w:val="30"/>
          <w:lang w:bidi="ar-SA"/>
        </w:rPr>
        <w:t>海关总署本级政府采购合同代签委托书</w:t>
      </w:r>
    </w:p>
    <w:p>
      <w:pPr>
        <w:pStyle w:val="1188"/>
        <w:spacing w:after="0" w:line="560" w:lineRule="exact"/>
        <w:jc w:val="center"/>
        <w:rPr>
          <w:rFonts w:ascii="Times New Roman" w:eastAsia="方正仿宋_GBK" w:hAnsi="Times New Roman" w:cs="Times New Roman"/>
          <w:sz w:val="32"/>
          <w:szCs w:val="32"/>
        </w:rPr>
      </w:pPr>
    </w:p>
    <w:p>
      <w:pPr>
        <w:pStyle w:val="1188"/>
        <w:spacing w:after="0" w:line="560" w:lineRule="exact"/>
        <w:rPr>
          <w:rFonts w:ascii="Times New Roman" w:eastAsia="方正仿宋_GBK" w:hAnsi="Times New Roman" w:cs="Times New Roman"/>
          <w:sz w:val="32"/>
          <w:szCs w:val="32"/>
        </w:rPr>
      </w:pPr>
    </w:p>
    <w:p>
      <w:pPr>
        <w:pStyle w:val="1188"/>
        <w:spacing w:after="0" w:line="560" w:lineRule="exact"/>
        <w:ind w:firstLine="480" w:firstLineChars="200"/>
        <w:rPr>
          <w:rFonts w:ascii="Times New Roman" w:eastAsia="方正仿宋_GBK" w:hAnsi="Times New Roman" w:cs="Times New Roman"/>
          <w:sz w:val="24"/>
        </w:rPr>
      </w:pPr>
      <w:r>
        <w:rPr>
          <w:rFonts w:ascii="Times New Roman" w:eastAsia="方正仿宋_GBK" w:hAnsi="Times New Roman" w:cs="Times New Roman"/>
          <w:sz w:val="24"/>
          <w:lang w:bidi="ar-SA"/>
        </w:rPr>
        <w:t>根据《中华人民共和国政府采购法》第四十三条规定</w:t>
      </w:r>
      <w:r>
        <w:rPr>
          <w:rFonts w:ascii="方正仿宋_GBK" w:eastAsia="方正仿宋_GBK" w:cs="Times New Roman" w:hint="eastAsia"/>
          <w:sz w:val="24"/>
          <w:lang w:bidi="ar-SA"/>
        </w:rPr>
        <w:t>“采购人可以委托采购代理机构代表其与供应商签订政府采购合同。由采购代理机构以采购人名义签订合同的，应当提交采购人的授权委托书，作为合同附件”</w:t>
      </w:r>
      <w:r>
        <w:rPr>
          <w:rFonts w:ascii="Times New Roman" w:eastAsia="方正仿宋_GBK" w:hAnsi="Times New Roman" w:cs="Times New Roman"/>
          <w:sz w:val="24"/>
          <w:lang w:bidi="ar-SA"/>
        </w:rPr>
        <w:t>。按照职能分工，兹委托你中心对________________政府</w:t>
      </w:r>
      <w:r>
        <w:rPr>
          <w:rFonts w:ascii="Times New Roman" w:eastAsia="方正仿宋_GBK" w:hAnsi="Times New Roman" w:cs="Times New Roman" w:hint="eastAsia"/>
          <w:sz w:val="24"/>
          <w:lang w:bidi="ar-SA"/>
        </w:rPr>
        <w:t>采购项目</w:t>
      </w:r>
      <w:r>
        <w:rPr>
          <w:rFonts w:ascii="Times New Roman" w:eastAsia="方正仿宋_GBK" w:hAnsi="Times New Roman" w:cs="Times New Roman"/>
          <w:sz w:val="24"/>
          <w:lang w:bidi="ar-SA"/>
        </w:rPr>
        <w:t>根据《中华人民共和国民法典》《中华人民共和国政府采购法》《中华人民共和国政府采购法实施条例》等法律法规代签合同。在代签合同后，由我部门承担资金支付、履约保证金收退、项目或合同验收等合同履约一切事宜。</w:t>
      </w:r>
    </w:p>
    <w:p>
      <w:pPr>
        <w:pStyle w:val="1188"/>
        <w:spacing w:after="0" w:line="560" w:lineRule="exact"/>
        <w:ind w:firstLine="480" w:firstLineChars="200"/>
        <w:rPr>
          <w:rFonts w:ascii="Times New Roman" w:eastAsia="方正仿宋_GBK" w:hAnsi="Times New Roman" w:cs="Times New Roman"/>
          <w:sz w:val="24"/>
        </w:rPr>
      </w:pPr>
      <w:r>
        <w:rPr>
          <w:rFonts w:ascii="Times New Roman" w:eastAsia="方正仿宋_GBK" w:hAnsi="Times New Roman" w:cs="Times New Roman"/>
          <w:sz w:val="24"/>
          <w:lang w:bidi="ar-SA"/>
        </w:rPr>
        <w:t>其他委托事项：</w:t>
      </w:r>
    </w:p>
    <w:p>
      <w:pPr>
        <w:pStyle w:val="1188"/>
        <w:spacing w:after="0" w:line="560" w:lineRule="exact"/>
        <w:ind w:firstLine="480" w:firstLineChars="200"/>
        <w:rPr>
          <w:rFonts w:ascii="Times New Roman" w:eastAsia="方正仿宋_GBK" w:hAnsi="Times New Roman" w:cs="Times New Roman"/>
          <w:sz w:val="24"/>
        </w:rPr>
      </w:pPr>
      <w:r>
        <w:rPr>
          <w:rFonts w:ascii="Times New Roman" w:eastAsia="方正仿宋_GBK" w:hAnsi="Times New Roman" w:cs="Times New Roman" w:hint="eastAsia"/>
          <w:sz w:val="24"/>
          <w:lang w:bidi="ar-SA"/>
        </w:rPr>
        <w:t>□</w:t>
      </w:r>
      <w:r>
        <w:rPr>
          <w:rFonts w:ascii="Times New Roman" w:eastAsia="方正仿宋_GBK" w:hAnsi="Times New Roman" w:cs="Times New Roman"/>
          <w:sz w:val="24"/>
          <w:lang w:bidi="ar-SA"/>
        </w:rPr>
        <w:t>1、在中国政府采购网进行合同公告</w:t>
      </w:r>
    </w:p>
    <w:p>
      <w:pPr>
        <w:pStyle w:val="1188"/>
        <w:spacing w:after="0" w:line="560" w:lineRule="exact"/>
        <w:ind w:firstLine="480" w:firstLineChars="200"/>
        <w:rPr>
          <w:rFonts w:ascii="Times New Roman" w:eastAsia="方正仿宋_GBK" w:hAnsi="Times New Roman" w:cs="Times New Roman"/>
          <w:sz w:val="24"/>
        </w:rPr>
      </w:pPr>
      <w:r>
        <w:rPr>
          <w:rFonts w:ascii="Times New Roman" w:eastAsia="方正仿宋_GBK" w:hAnsi="Times New Roman" w:cs="Times New Roman" w:hint="eastAsia"/>
          <w:sz w:val="24"/>
          <w:lang w:bidi="ar-SA"/>
        </w:rPr>
        <w:t>□</w:t>
      </w:r>
      <w:r>
        <w:rPr>
          <w:rFonts w:ascii="Times New Roman" w:eastAsia="方正仿宋_GBK" w:hAnsi="Times New Roman" w:cs="Times New Roman"/>
          <w:sz w:val="24"/>
          <w:lang w:bidi="ar-SA"/>
        </w:rPr>
        <w:t>2、其他：_____________________</w:t>
      </w:r>
    </w:p>
    <w:p>
      <w:pPr>
        <w:pStyle w:val="1188"/>
        <w:spacing w:after="0" w:line="560" w:lineRule="exact"/>
        <w:ind w:firstLine="480" w:firstLineChars="200"/>
        <w:rPr>
          <w:rFonts w:ascii="Times New Roman" w:eastAsia="方正仿宋_GBK" w:hAnsi="Times New Roman" w:cs="Times New Roman"/>
          <w:sz w:val="24"/>
        </w:rPr>
      </w:pPr>
    </w:p>
    <w:p>
      <w:pPr>
        <w:pStyle w:val="1188"/>
        <w:spacing w:after="0" w:line="560" w:lineRule="exact"/>
        <w:ind w:firstLine="480" w:firstLineChars="200"/>
        <w:rPr>
          <w:rFonts w:ascii="Times New Roman" w:eastAsia="方正仿宋_GBK" w:hAnsi="Times New Roman" w:cs="Times New Roman"/>
          <w:sz w:val="24"/>
        </w:rPr>
      </w:pPr>
    </w:p>
    <w:p>
      <w:pPr>
        <w:pStyle w:val="1188"/>
        <w:spacing w:after="0" w:line="560" w:lineRule="exact"/>
        <w:ind w:left="0"/>
        <w:rPr>
          <w:rFonts w:ascii="Times New Roman" w:eastAsia="方正仿宋_GBK" w:hAnsi="Times New Roman" w:cs="Times New Roman"/>
          <w:sz w:val="24"/>
        </w:rPr>
      </w:pPr>
    </w:p>
    <w:p>
      <w:pPr>
        <w:pStyle w:val="1188"/>
        <w:spacing w:after="0" w:line="560" w:lineRule="exact"/>
        <w:ind w:left="0"/>
        <w:rPr>
          <w:rFonts w:ascii="Times New Roman" w:eastAsia="方正仿宋_GBK" w:hAnsi="Times New Roman" w:cs="Times New Roman"/>
          <w:sz w:val="24"/>
        </w:rPr>
      </w:pPr>
      <w:r>
        <w:rPr>
          <w:rFonts w:ascii="Times New Roman" w:eastAsia="方正仿宋_GBK" w:hAnsi="Times New Roman" w:cs="Times New Roman"/>
          <w:sz w:val="24"/>
          <w:lang w:bidi="ar-SA"/>
        </w:rPr>
        <w:t xml:space="preserve">                           委托方：</w:t>
      </w:r>
    </w:p>
    <w:p>
      <w:pPr>
        <w:pStyle w:val="1188"/>
        <w:spacing w:after="0" w:line="560" w:lineRule="exact"/>
        <w:ind w:left="0"/>
        <w:rPr>
          <w:rFonts w:ascii="Times New Roman" w:eastAsia="方正仿宋_GBK" w:hAnsi="Times New Roman" w:cs="Times New Roman"/>
          <w:sz w:val="24"/>
        </w:rPr>
      </w:pPr>
      <w:r>
        <w:rPr>
          <w:rFonts w:ascii="Times New Roman" w:eastAsia="方正仿宋_GBK" w:hAnsi="Times New Roman" w:cs="Times New Roman"/>
          <w:sz w:val="24"/>
          <w:lang w:bidi="ar-SA"/>
        </w:rPr>
        <w:t xml:space="preserve">                           年    月    日</w:t>
      </w:r>
    </w:p>
    <w:p>
      <w:pPr>
        <w:jc w:val="center"/>
        <w:rPr>
          <w:rFonts w:eastAsia="方正小标宋_GBK"/>
          <w:color w:val="0000FF"/>
          <w:sz w:val="44"/>
        </w:rPr>
      </w:pPr>
      <w:bookmarkEnd w:id="46"/>
    </w:p>
    <w:p>
      <w:pPr>
        <w:pStyle w:val="50710"/>
        <w:tabs>
          <w:tab w:val="left" w:pos="2760"/>
        </w:tabs>
        <w:spacing w:line="560" w:lineRule="exact"/>
        <w:jc w:val="left"/>
        <w:rPr>
          <w:color w:val="000000"/>
        </w:rPr>
      </w:pPr>
    </w:p>
    <w:p>
      <w:pPr>
        <w:wordWrap w:val="0"/>
        <w:spacing w:line="360" w:lineRule="auto"/>
        <w:jc w:val="right"/>
        <w:rPr>
          <w:rFonts w:ascii="宋体" w:hint="eastAsia"/>
          <w:b/>
          <w:color w:val="000000"/>
          <w:kern w:val="0"/>
          <w:sz w:val="30"/>
          <w:szCs w:val="30"/>
        </w:rPr>
      </w:pPr>
      <w:r>
        <w:rPr>
          <w:rFonts w:ascii="宋体" w:cs="宋体" w:hint="eastAsia"/>
          <w:color w:val="000000"/>
          <w:szCs w:val="21"/>
          <w:lang w:bidi="ar-SA"/>
        </w:rPr>
        <w:t xml:space="preserve">                                             </w:t>
      </w: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48" w:name="_Toc31833533"/>
      <w:r>
        <w:rPr>
          <w:rFonts w:ascii="宋体" w:hint="eastAsia"/>
          <w:b/>
          <w:color w:val="000000"/>
          <w:kern w:val="0"/>
          <w:sz w:val="30"/>
          <w:szCs w:val="30"/>
        </w:rPr>
        <w:t>第六部分  响应文件格式</w:t>
      </w:r>
      <w:bookmarkEnd w:id="48"/>
    </w:p>
    <w:p>
      <w:pPr>
        <w:pStyle w:val="10150"/>
        <w:adjustRightInd w:val="0"/>
        <w:spacing w:before="312"/>
        <w:ind w:right="958"/>
        <w:jc w:val="left"/>
        <w:textAlignment w:val="baseline"/>
        <w:outlineLvl w:val="1"/>
        <w:rPr>
          <w:rFonts w:ascii="宋体" w:hint="eastAsia"/>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50"/>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hint="eastAsia"/>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hint="eastAsia"/>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hint="eastAsia"/>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黑体" w:eastAsia="黑体" w:hint="eastAsia"/>
          <w:b/>
          <w:bCs/>
          <w:color w:val="000000"/>
          <w:sz w:val="28"/>
          <w:szCs w:val="28"/>
        </w:rPr>
        <w:br w:type="page"/>
      </w:r>
      <w:bookmarkStart w:id="49"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183310"/>
        <w:spacing w:line="360" w:lineRule="auto"/>
        <w:ind w:firstLine="480" w:firstLineChars="200"/>
        <w:rPr>
          <w:rFonts w:ascii="Times New Roman" w:hAnsi="Times New Roman" w:hint="eastAsia"/>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序号</w:t>
            </w:r>
          </w:p>
        </w:tc>
        <w:tc>
          <w:tcPr>
            <w:tcW w:w="7354" w:type="dxa"/>
            <w:vAlign w:val="center"/>
          </w:tcPr>
          <w:p>
            <w:pPr>
              <w:pStyle w:val="234"/>
              <w:jc w:val="center"/>
              <w:rPr>
                <w:rFonts w:hint="eastAsia"/>
              </w:rPr>
            </w:pPr>
            <w:r>
              <w:t>内容</w:t>
            </w:r>
          </w:p>
        </w:tc>
        <w:tc>
          <w:tcPr>
            <w:tcW w:w="1260" w:type="dxa"/>
            <w:vAlign w:val="center"/>
          </w:tcPr>
          <w:p>
            <w:pPr>
              <w:pStyle w:val="234"/>
              <w:jc w:val="center"/>
              <w:rPr>
                <w:rFonts w:hint="eastAsia"/>
              </w:rPr>
            </w:pPr>
            <w:r>
              <w:t>供应商</w:t>
            </w:r>
            <w:r>
              <w:rPr>
                <w:rFonts w:hint="eastAsia"/>
              </w:rPr>
              <w:t>承诺</w:t>
            </w:r>
            <w: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1</w:t>
            </w:r>
          </w:p>
        </w:tc>
        <w:tc>
          <w:tcPr>
            <w:tcW w:w="7354" w:type="dxa"/>
            <w:vAlign w:val="center"/>
          </w:tcPr>
          <w:p>
            <w:pPr>
              <w:pStyle w:val="234"/>
              <w:rPr>
                <w:rFonts w:hint="eastAsia"/>
              </w:rPr>
            </w:pPr>
            <w:r>
              <w:rPr>
                <w:rFonts w:hint="eastAsia"/>
              </w:rPr>
              <w:t>具有有效的营业执照或事业单位法人或自然人的身份证明</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2</w:t>
            </w:r>
          </w:p>
        </w:tc>
        <w:tc>
          <w:tcPr>
            <w:tcW w:w="7354" w:type="dxa"/>
            <w:vAlign w:val="center"/>
          </w:tcPr>
          <w:p>
            <w:pPr>
              <w:pStyle w:val="234"/>
              <w:rPr>
                <w:rFonts w:hint="eastAsia"/>
              </w:rPr>
            </w:pPr>
            <w:r>
              <w:rPr>
                <w:rFonts w:hint="eastAsia"/>
              </w:rPr>
              <w:t>具有</w:t>
            </w:r>
            <w:r>
              <w:t>良好的商业信誉</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3</w:t>
            </w:r>
          </w:p>
        </w:tc>
        <w:tc>
          <w:tcPr>
            <w:tcW w:w="7354" w:type="dxa"/>
            <w:vAlign w:val="center"/>
          </w:tcPr>
          <w:p>
            <w:pPr>
              <w:pStyle w:val="234"/>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630"/>
          <w:jc w:val="left"/>
        </w:trPr>
        <w:tc>
          <w:tcPr>
            <w:tcW w:w="774" w:type="dxa"/>
            <w:vAlign w:val="center"/>
          </w:tcPr>
          <w:p>
            <w:pPr>
              <w:pStyle w:val="234"/>
              <w:jc w:val="center"/>
            </w:pPr>
            <w:r>
              <w:t>4</w:t>
            </w:r>
          </w:p>
        </w:tc>
        <w:tc>
          <w:tcPr>
            <w:tcW w:w="7354" w:type="dxa"/>
            <w:vAlign w:val="center"/>
          </w:tcPr>
          <w:p>
            <w:pPr>
              <w:pStyle w:val="7311"/>
            </w:pPr>
            <w:r>
              <w:rPr>
                <w:szCs w:val="21"/>
              </w:rPr>
              <w:t>具有健全的财务会计制度</w:t>
            </w:r>
          </w:p>
        </w:tc>
        <w:tc>
          <w:tcPr>
            <w:tcW w:w="1260" w:type="dxa"/>
            <w:tcBorders>
              <w:right w:val="single" w:sz="4" w:space="0" w:color="auto"/>
            </w:tcBorders>
            <w:vAlign w:val="center"/>
          </w:tcPr>
          <w:p>
            <w:pPr>
              <w:pStyle w:val="234"/>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pPr>
            <w:r>
              <w:t>5</w:t>
            </w:r>
          </w:p>
        </w:tc>
        <w:tc>
          <w:tcPr>
            <w:tcW w:w="7354" w:type="dxa"/>
            <w:vAlign w:val="center"/>
          </w:tcPr>
          <w:p>
            <w:pPr>
              <w:pStyle w:val="234"/>
            </w:pPr>
            <w:r>
              <w:rPr>
                <w:rFonts w:hint="eastAsia"/>
                <w:bCs/>
              </w:rPr>
              <w:t>在参加政府采购活动前三年内，在经营活动中没有重大违法记录</w:t>
            </w:r>
          </w:p>
        </w:tc>
        <w:tc>
          <w:tcPr>
            <w:tcW w:w="1260" w:type="dxa"/>
            <w:tcBorders>
              <w:right w:val="single" w:sz="4" w:space="0" w:color="auto"/>
            </w:tcBorders>
            <w:vAlign w:val="center"/>
          </w:tcPr>
          <w:p>
            <w:pPr>
              <w:pStyle w:val="234"/>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t>6</w:t>
            </w:r>
          </w:p>
        </w:tc>
        <w:tc>
          <w:tcPr>
            <w:tcW w:w="7354" w:type="dxa"/>
            <w:vAlign w:val="center"/>
          </w:tcPr>
          <w:p>
            <w:pPr>
              <w:pStyle w:val="234"/>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
              <w:jc w:val="center"/>
              <w:rPr>
                <w:rFonts w:hint="eastAsia"/>
                <w:highlight w:val="yellow"/>
              </w:rPr>
            </w:pPr>
          </w:p>
        </w:tc>
      </w:tr>
    </w:tbl>
    <w:p>
      <w:pPr>
        <w:pStyle w:val="876"/>
        <w:spacing w:line="300" w:lineRule="auto"/>
        <w:ind w:left="1046" w:right="932" w:leftChars="498" w:rightChars="444"/>
        <w:rPr>
          <w:rFonts w:ascii="微软雅黑" w:eastAsia="微软雅黑" w:cs="微软雅黑" w:hint="eastAsia"/>
          <w:sz w:val="21"/>
          <w:szCs w:val="21"/>
        </w:rPr>
      </w:pPr>
    </w:p>
    <w:p>
      <w:pPr>
        <w:pStyle w:val="876"/>
        <w:spacing w:line="300" w:lineRule="auto"/>
        <w:ind w:left="1046" w:right="932"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hAnsi="Times New Roman" w:cs="微软雅黑"/>
          <w:szCs w:val="24"/>
          <w:lang w:bidi="ar-SA"/>
        </w:rPr>
        <w:t>供应商</w:t>
      </w:r>
      <w:r>
        <w:rPr>
          <w:rFonts w:ascii="Times New Roman" w:hAnsi="Times New Roman" w:cs="微软雅黑" w:hint="eastAsia"/>
          <w:szCs w:val="24"/>
          <w:lang w:bidi="ar-SA"/>
        </w:rPr>
        <w:t>名称（</w:t>
      </w:r>
      <w:r>
        <w:rPr>
          <w:rFonts w:ascii="Times New Roman" w:hAnsi="Times New Roman" w:cs="微软雅黑"/>
          <w:szCs w:val="24"/>
          <w:lang w:bidi="ar-SA"/>
        </w:rPr>
        <w:t>电子签章</w:t>
      </w:r>
      <w:r>
        <w:rPr>
          <w:rFonts w:ascii="Times New Roman" w:hAnsi="Times New Roman" w:cs="微软雅黑" w:hint="eastAsia"/>
          <w:szCs w:val="24"/>
          <w:lang w:bidi="ar-SA"/>
        </w:rPr>
        <w:t>）：</w:t>
      </w:r>
    </w:p>
    <w:p>
      <w:pPr>
        <w:pStyle w:val="189010"/>
        <w:autoSpaceDN w:val="0"/>
        <w:spacing w:line="300" w:lineRule="auto"/>
        <w:rPr>
          <w:rFonts w:ascii="宋体" w:eastAsia="宋体" w:hint="eastAsia"/>
          <w:sz w:val="24"/>
          <w:szCs w:val="24"/>
          <w:highlight w:val="white"/>
          <w:lang w:eastAsia="zh-CN"/>
        </w:rPr>
      </w:pPr>
      <w:r>
        <w:rPr>
          <w:rFonts w:eastAsia="宋体" w:cs="微软雅黑"/>
          <w:sz w:val="24"/>
          <w:szCs w:val="24"/>
          <w:lang w:eastAsia="zh-CN" w:bidi="ar-SA"/>
        </w:rPr>
        <w:t xml:space="preserve">                                  </w:t>
      </w:r>
    </w:p>
    <w:p>
      <w:pPr>
        <w:pStyle w:val="876"/>
        <w:spacing w:line="300" w:lineRule="auto"/>
        <w:ind w:right="932" w:firstLine="4800" w:rightChars="444" w:firstLineChars="2000"/>
        <w:rPr>
          <w:rFonts w:ascii="Times New Roman" w:hAnsi="Times New Roman" w:cs="微软雅黑" w:hint="eastAsia"/>
          <w:szCs w:val="24"/>
        </w:rPr>
      </w:pPr>
      <w:r>
        <w:rPr>
          <w:rFonts w:ascii="Times New Roman" w:hAnsi="Times New Roman" w:cs="微软雅黑" w:hint="eastAsia"/>
          <w:szCs w:val="24"/>
          <w:lang w:bidi="ar-SA"/>
        </w:rPr>
        <w:t>日期：   年  月  日</w:t>
      </w:r>
    </w:p>
    <w:p>
      <w:pPr>
        <w:pStyle w:val="876"/>
        <w:spacing w:line="400" w:lineRule="exact"/>
        <w:ind w:left="1046" w:right="932"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6"/>
        <w:ind w:left="1046" w:right="932" w:leftChars="498" w:rightChars="444"/>
      </w:pPr>
      <w:r>
        <w:rPr>
          <w:rFonts w:ascii="Times New Roman" w:hAnsi="Times New Roman" w:cs="微软雅黑" w:hint="eastAsia"/>
          <w:b/>
          <w:szCs w:val="21"/>
          <w:lang w:bidi="ar-SA"/>
        </w:rPr>
        <w:t>二、联合体响应协议书扫描件</w:t>
      </w:r>
      <w:r>
        <w:rPr>
          <w:rFonts w:ascii="微软雅黑" w:eastAsia="微软雅黑" w:cs="微软雅黑" w:hint="eastAsia"/>
          <w:b/>
          <w:sz w:val="21"/>
          <w:szCs w:val="21"/>
          <w:lang w:bidi="ar-SA"/>
        </w:rPr>
        <w:t>（如供应商须知前附表允许联合体响应且供应商是联合体的上传）</w:t>
      </w:r>
    </w:p>
    <w:p>
      <w:pPr>
        <w:jc w:val="center"/>
        <w:outlineLvl w:val="1"/>
        <w:rPr>
          <w:rFonts w:ascii="宋体" w:hint="eastAsia"/>
          <w:b/>
          <w:color w:val="000000"/>
        </w:rPr>
      </w:pPr>
      <w:bookmarkStart w:id="50" w:name="_Toc327979114"/>
      <w:bookmarkStart w:id="51" w:name="_Toc214357458"/>
      <w:bookmarkStart w:id="52" w:name="_Toc327978983"/>
      <w:bookmarkStart w:id="53" w:name="_Toc321813030"/>
      <w:bookmarkStart w:id="54" w:name="_Toc321684678"/>
      <w:bookmarkStart w:id="55" w:name="_Toc321820611"/>
      <w:bookmarkStart w:id="56" w:name="_Toc327978573"/>
      <w:bookmarkStart w:id="57" w:name="_Toc19691490"/>
      <w:bookmarkStart w:id="58" w:name="_Toc321820691"/>
      <w:bookmarkStart w:id="59" w:name="_Toc323036845"/>
      <w:bookmarkStart w:id="60" w:name="_Toc321820520"/>
      <w:bookmarkStart w:id="61" w:name="_Toc249515483"/>
      <w:r>
        <w:rPr>
          <w:rFonts w:ascii="宋体" w:hint="eastAsia"/>
          <w:b/>
          <w:bCs/>
          <w:color w:val="000000"/>
          <w:kern w:val="0"/>
          <w:sz w:val="24"/>
        </w:rPr>
        <w:t>磋商响应函</w:t>
      </w:r>
      <w:bookmarkEnd w:id="50"/>
      <w:bookmarkEnd w:id="51"/>
      <w:bookmarkEnd w:id="52"/>
      <w:bookmarkEnd w:id="53"/>
      <w:bookmarkEnd w:id="54"/>
      <w:bookmarkEnd w:id="55"/>
      <w:bookmarkEnd w:id="56"/>
      <w:bookmarkEnd w:id="57"/>
      <w:bookmarkEnd w:id="58"/>
      <w:bookmarkEnd w:id="59"/>
      <w:bookmarkEnd w:id="60"/>
      <w:bookmarkEnd w:id="61"/>
    </w:p>
    <w:p>
      <w:pPr>
        <w:pStyle w:val="10150"/>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10150"/>
        <w:spacing w:line="360" w:lineRule="auto"/>
        <w:rPr>
          <w:rFonts w:ascii="宋体" w:hint="eastAsia"/>
          <w:color w:val="000000"/>
          <w:spacing w:val="13"/>
          <w:sz w:val="24"/>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供应商代表/法定代表人姓名：</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供应商代表/法定代表人(签字)：</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
      <w:pPr>
        <w:pStyle w:val="2113"/>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01"/>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01"/>
        <w:autoSpaceDN w:val="0"/>
        <w:jc w:val="center"/>
        <w:rPr>
          <w:b/>
          <w:bCs/>
          <w:sz w:val="24"/>
          <w:szCs w:val="24"/>
        </w:rPr>
      </w:pPr>
    </w:p>
    <w:p>
      <w:pPr>
        <w:pStyle w:val="301"/>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a"/>
        <w:spacing w:before="120" w:after="120"/>
        <w:rPr>
          <w:szCs w:val="21"/>
          <w:u w:val="single"/>
        </w:rPr>
      </w:pPr>
      <w:bookmarkStart w:id="62" w:name="_Toc76071526"/>
      <w:r>
        <w:rPr>
          <w:rFonts w:ascii="Times New Roman" w:eastAsia="宋体" w:hAnsi="Times New Roman" w:hint="eastAsia"/>
          <w:b w:val="0"/>
          <w:sz w:val="21"/>
          <w:szCs w:val="21"/>
        </w:rPr>
        <w:t>供应商名称：</w:t>
      </w:r>
      <w:r>
        <w:rPr>
          <w:szCs w:val="21"/>
          <w:u w:val="single"/>
        </w:rPr>
        <w:t xml:space="preserve">               </w:t>
      </w:r>
      <w:bookmarkEnd w:id="62"/>
    </w:p>
    <w:tbl>
      <w:tblPr>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115"/>
        <w:gridCol w:w="3162"/>
        <w:gridCol w:w="1732"/>
        <w:gridCol w:w="1194"/>
        <w:gridCol w:w="943"/>
        <w:gridCol w:w="1115"/>
        <w:gridCol w:w="1115"/>
      </w:tblGrid>
      <w:tr>
        <w:tblPrEx>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cBorders>
            <w:vAlign w:val="center"/>
          </w:tcPr>
          <w:p>
            <w:pPr>
              <w:pStyle w:val="408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cBorders>
            <w:vAlign w:val="center"/>
          </w:tcPr>
          <w:p>
            <w:pPr>
              <w:pStyle w:val="40710"/>
              <w:jc w:val="center"/>
              <w:rPr>
                <w:rFonts w:hint="eastAsia"/>
                <w:sz w:val="24"/>
              </w:rPr>
            </w:pPr>
            <w:r>
              <w:rPr>
                <w:rFonts w:hint="eastAsia"/>
                <w:sz w:val="24"/>
              </w:rPr>
              <w:t>总价</w:t>
            </w:r>
          </w:p>
          <w:p>
            <w:pPr>
              <w:pStyle w:val="407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cBorders>
            <w:vAlign w:val="center"/>
          </w:tcPr>
          <w:p>
            <w:pPr>
              <w:pStyle w:val="406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cBorders>
            <w:vAlign w:val="center"/>
          </w:tcPr>
          <w:p>
            <w:pPr>
              <w:pStyle w:val="405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cBorders>
            <w:vAlign w:val="center"/>
          </w:tcPr>
          <w:p>
            <w:pPr>
              <w:pStyle w:val="404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3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210"/>
              <w:jc w:val="center"/>
              <w:rPr>
                <w:sz w:val="24"/>
              </w:rPr>
            </w:pPr>
            <w:r>
              <w:rPr>
                <w:sz w:val="24"/>
              </w:rPr>
              <w:t>中小企业</w:t>
            </w:r>
          </w:p>
        </w:tc>
      </w:tr>
      <w:tr>
        <w:tblPrEx>
          <w:tblW w:w="10376" w:type="dxa"/>
          <w:jc w:val="center"/>
          <w:tblLayout w:type="fixed"/>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cBorders>
            <w:vAlign w:val="center"/>
          </w:tcPr>
          <w:p>
            <w:pPr>
              <w:pStyle w:val="401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cBorders>
            <w:vAlign w:val="center"/>
          </w:tcPr>
          <w:p>
            <w:pPr>
              <w:pStyle w:val="40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0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cBorders>
            <w:vAlign w:val="center"/>
          </w:tcPr>
          <w:p>
            <w:pPr>
              <w:pStyle w:val="39910"/>
              <w:rPr>
                <w:rFonts w:hint="eastAsia"/>
                <w:sz w:val="24"/>
              </w:rPr>
            </w:pPr>
          </w:p>
        </w:tc>
        <w:tc>
          <w:tcPr>
            <w:tcW w:w="1194" w:type="dxa"/>
            <w:tcBorders>
              <w:top w:val="single" w:sz="6" w:space="0" w:color="auto"/>
              <w:left w:val="single" w:sz="6" w:space="0" w:color="auto"/>
              <w:bottom w:val="single" w:sz="12" w:space="0" w:color="auto"/>
              <w:right w:val="single" w:sz="6" w:space="0" w:color="auto"/>
            </w:tcBorders>
            <w:vAlign w:val="center"/>
          </w:tcPr>
          <w:p>
            <w:pPr>
              <w:pStyle w:val="39810"/>
              <w:rPr>
                <w:sz w:val="24"/>
              </w:rPr>
            </w:pPr>
          </w:p>
        </w:tc>
        <w:tc>
          <w:tcPr>
            <w:tcW w:w="943" w:type="dxa"/>
            <w:tcBorders>
              <w:top w:val="single" w:sz="6" w:space="0" w:color="auto"/>
              <w:left w:val="single" w:sz="6" w:space="0" w:color="auto"/>
              <w:bottom w:val="single" w:sz="12" w:space="0" w:color="auto"/>
              <w:right w:val="single" w:sz="6" w:space="0" w:color="auto"/>
            </w:tcBorders>
            <w:vAlign w:val="center"/>
          </w:tcPr>
          <w:p>
            <w:pPr>
              <w:pStyle w:val="397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6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510"/>
              <w:rPr>
                <w:sz w:val="24"/>
              </w:rPr>
            </w:pPr>
          </w:p>
        </w:tc>
      </w:tr>
      <w:tr>
        <w:tblPrEx>
          <w:tblW w:w="10376" w:type="dxa"/>
          <w:jc w:val="center"/>
          <w:tblLayout w:type="fixed"/>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cBorders>
            <w:vAlign w:val="center"/>
          </w:tcPr>
          <w:p>
            <w:pPr>
              <w:pStyle w:val="39410"/>
              <w:jc w:val="left"/>
              <w:rPr>
                <w:sz w:val="24"/>
              </w:rPr>
            </w:pPr>
            <w:r>
              <w:rPr>
                <w:sz w:val="24"/>
              </w:rPr>
              <w:t>特别说明事项：</w:t>
            </w:r>
          </w:p>
        </w:tc>
      </w:tr>
    </w:tbl>
    <w:p>
      <w:pPr>
        <w:pStyle w:val="301"/>
        <w:autoSpaceDN w:val="0"/>
        <w:spacing w:line="360" w:lineRule="auto"/>
        <w:ind w:firstLine="420"/>
        <w:rPr>
          <w:szCs w:val="21"/>
        </w:rPr>
      </w:pPr>
      <w:r>
        <w:rPr>
          <w:rFonts w:hint="eastAsia"/>
          <w:szCs w:val="21"/>
        </w:rPr>
        <w:t>注：</w:t>
      </w:r>
      <w:r>
        <w:rPr>
          <w:szCs w:val="21"/>
        </w:rPr>
        <w:t>1.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01"/>
        <w:autoSpaceDN w:val="0"/>
        <w:spacing w:line="360" w:lineRule="auto"/>
        <w:ind w:firstLine="420"/>
        <w:rPr>
          <w:b/>
          <w:szCs w:val="24"/>
        </w:rPr>
      </w:pPr>
    </w:p>
    <w:p/>
    <w:p>
      <w:pPr>
        <w:pStyle w:val="301"/>
        <w:autoSpaceDN w:val="0"/>
        <w:spacing w:line="360" w:lineRule="auto"/>
        <w:rPr>
          <w:szCs w:val="20"/>
        </w:rPr>
      </w:pPr>
    </w:p>
    <w:p>
      <w:pPr>
        <w:pStyle w:val="301"/>
        <w:autoSpaceDN w:val="0"/>
        <w:snapToGrid w:val="0"/>
        <w:spacing w:line="360" w:lineRule="auto"/>
        <w:rPr>
          <w:szCs w:val="21"/>
        </w:rPr>
      </w:pPr>
      <w:r>
        <w:rPr>
          <w:szCs w:val="21"/>
        </w:rPr>
        <w:t>供应商名称（电子签章）：</w:t>
      </w:r>
    </w:p>
    <w:p>
      <w:pPr>
        <w:pStyle w:val="301"/>
        <w:autoSpaceDN w:val="0"/>
        <w:snapToGrid w:val="0"/>
        <w:spacing w:line="360" w:lineRule="auto"/>
        <w:rPr>
          <w:szCs w:val="21"/>
        </w:rPr>
      </w:pPr>
      <w:r>
        <w:rPr>
          <w:szCs w:val="21"/>
        </w:rPr>
        <w:t>日期：</w:t>
      </w:r>
    </w:p>
    <w:p/>
    <w:p>
      <w:pPr>
        <w:pStyle w:val="1151"/>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52101"/>
        <w:autoSpaceDN w:val="0"/>
        <w:jc w:val="center"/>
        <w:rPr>
          <w:b/>
          <w:bCs/>
          <w:sz w:val="24"/>
          <w:szCs w:val="24"/>
        </w:rPr>
      </w:pPr>
    </w:p>
    <w:p>
      <w:pPr>
        <w:pStyle w:val="352101"/>
        <w:autoSpaceDN w:val="0"/>
        <w:jc w:val="center"/>
        <w:rPr>
          <w:b/>
          <w:bCs/>
          <w:sz w:val="24"/>
          <w:szCs w:val="24"/>
        </w:rPr>
      </w:pPr>
    </w:p>
    <w:p>
      <w:pPr>
        <w:pStyle w:val="403"/>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07"/>
              <w:jc w:val="center"/>
              <w:rPr>
                <w:rFonts w:ascii="Times New Roman" w:hAnsi="Times New Roman"/>
                <w:sz w:val="24"/>
                <w:szCs w:val="24"/>
              </w:rPr>
            </w:pPr>
          </w:p>
        </w:tc>
      </w:tr>
    </w:tbl>
    <w:p>
      <w:pPr>
        <w:pStyle w:val="3000"/>
        <w:rPr>
          <w:lang w:eastAsia="zh-CN"/>
        </w:rPr>
      </w:pPr>
    </w:p>
    <w:p>
      <w:pPr>
        <w:pStyle w:val="300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00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202"/>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403"/>
        <w:autoSpaceDN w:val="0"/>
        <w:rPr>
          <w:b/>
        </w:rPr>
      </w:pPr>
    </w:p>
    <w:p>
      <w:pPr>
        <w:pStyle w:val="403"/>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03"/>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101"/>
        <w:autoSpaceDN w:val="0"/>
        <w:spacing w:line="360" w:lineRule="auto"/>
        <w:jc w:val="center"/>
        <w:rPr>
          <w:rFonts w:ascii="宋体" w:eastAsia="宋体" w:hint="eastAsia"/>
          <w:b/>
          <w:sz w:val="32"/>
          <w:szCs w:val="30"/>
          <w:lang w:eastAsia="zh-CN"/>
        </w:rPr>
      </w:pPr>
    </w:p>
    <w:p/>
    <w:p>
      <w:pPr>
        <w:rPr>
          <w:rFonts w:ascii="黑体" w:eastAsia="黑体" w:hint="eastAsia"/>
          <w:b/>
          <w:bCs/>
          <w:sz w:val="28"/>
          <w:szCs w:val="28"/>
        </w:rPr>
      </w:pPr>
    </w:p>
    <w:p>
      <w:pPr>
        <w:pStyle w:val="10150"/>
        <w:spacing w:line="360" w:lineRule="auto"/>
        <w:rPr>
          <w:rFonts w:ascii="宋体" w:hint="eastAsia"/>
          <w:color w:val="000000"/>
          <w:sz w:val="24"/>
        </w:rPr>
      </w:pPr>
    </w:p>
    <w:p>
      <w:pPr>
        <w:pStyle w:val="832"/>
        <w:autoSpaceDN w:val="0"/>
        <w:jc w:val="center"/>
        <w:rPr>
          <w:rFonts w:ascii="宋体" w:eastAsia="宋体" w:hint="eastAsia"/>
          <w:b/>
          <w:bCs/>
          <w:sz w:val="32"/>
          <w:szCs w:val="24"/>
          <w:highlight w:val="white"/>
          <w:lang w:eastAsia="zh-CN"/>
        </w:rPr>
      </w:pPr>
      <w:bookmarkStart w:id="63" w:name="_Toc485990846"/>
      <w:bookmarkStart w:id="64" w:name="_Toc499068177"/>
      <w:bookmarkStart w:id="65" w:name="_Toc501718543"/>
      <w:r>
        <w:rPr>
          <w:rFonts w:ascii="宋体" w:eastAsia="宋体" w:hint="eastAsia"/>
          <w:b/>
          <w:bCs/>
          <w:sz w:val="32"/>
          <w:szCs w:val="24"/>
          <w:highlight w:val="white"/>
          <w:lang w:eastAsia="zh-CN"/>
        </w:rPr>
        <w:t>商务偏离表</w:t>
      </w:r>
      <w:bookmarkEnd w:id="63"/>
      <w:bookmarkEnd w:id="64"/>
      <w:bookmarkEnd w:id="65"/>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rPr>
          <w:rFonts w:ascii="宋体" w:eastAsia="宋体" w:hint="eastAsia"/>
          <w:sz w:val="24"/>
          <w:szCs w:val="24"/>
          <w:highlight w:val="white"/>
          <w:lang w:eastAsia="zh-CN"/>
        </w:rPr>
      </w:pP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
      <w:pPr>
        <w:autoSpaceDN w:val="0"/>
        <w:spacing w:line="360" w:lineRule="auto"/>
        <w:jc w:val="left"/>
        <w:outlineLvl w:val="2"/>
        <w:rPr>
          <w:rFonts w:ascii="黑体" w:eastAsia="黑体" w:hint="eastAsia"/>
          <w:b/>
          <w:bCs/>
          <w:sz w:val="28"/>
          <w:szCs w:val="28"/>
          <w:highlight w:val="white"/>
        </w:rPr>
      </w:pPr>
      <w:bookmarkStart w:id="66" w:name="_Toc499068181"/>
    </w:p>
    <w:p>
      <w:pPr>
        <w:pStyle w:val="199610"/>
        <w:widowControl/>
        <w:spacing w:before="100" w:beforeAutospacing="1" w:after="100" w:afterAutospacing="1" w:line="432" w:lineRule="auto"/>
        <w:jc w:val="center"/>
        <w:rPr>
          <w:rFonts w:eastAsia="宋体"/>
          <w:sz w:val="36"/>
          <w:szCs w:val="36"/>
        </w:rPr>
      </w:pPr>
      <w:bookmarkEnd w:id="66"/>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
      <w:pPr>
        <w:autoSpaceDN w:val="0"/>
        <w:spacing w:line="360" w:lineRule="auto"/>
        <w:jc w:val="left"/>
        <w:outlineLvl w:val="2"/>
        <w:rPr>
          <w:rFonts w:ascii="黑体" w:eastAsia="黑体" w:hint="eastAsia"/>
          <w:b/>
          <w:bCs/>
          <w:sz w:val="28"/>
          <w:szCs w:val="28"/>
          <w:highlight w:val="white"/>
        </w:rPr>
      </w:pPr>
      <w:bookmarkStart w:id="67" w:name="_Toc499068183"/>
      <w:bookmarkStart w:id="68" w:name="_Toc501718546"/>
      <w:bookmarkStart w:id="69" w:name="_Toc485990849"/>
    </w:p>
    <w:p>
      <w:pPr>
        <w:pStyle w:val="210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w:t>
      </w:r>
      <w:bookmarkEnd w:id="67"/>
      <w:bookmarkEnd w:id="68"/>
      <w:r>
        <w:rPr>
          <w:rFonts w:ascii="宋体" w:eastAsia="宋体" w:hint="eastAsia"/>
          <w:szCs w:val="32"/>
          <w:lang w:eastAsia="zh-CN"/>
        </w:rPr>
        <w:t>格式</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spacing w:line="360" w:lineRule="auto"/>
        <w:rPr>
          <w:rFonts w:ascii="宋体" w:eastAsia="宋体" w:hint="eastAsia"/>
          <w:sz w:val="24"/>
          <w:szCs w:val="24"/>
          <w:highlight w:val="white"/>
          <w:lang w:eastAsia="zh-CN"/>
        </w:rPr>
      </w:pPr>
    </w:p>
    <w:p>
      <w:bookmarkEnd w:id="69"/>
    </w:p>
    <w:p>
      <w:pPr>
        <w:autoSpaceDN w:val="0"/>
        <w:spacing w:line="360" w:lineRule="auto"/>
        <w:jc w:val="left"/>
        <w:outlineLvl w:val="2"/>
        <w:rPr>
          <w:rFonts w:ascii="黑体" w:eastAsia="黑体" w:hint="eastAsia"/>
          <w:b/>
          <w:bCs/>
          <w:sz w:val="28"/>
          <w:szCs w:val="28"/>
          <w:highlight w:val="white"/>
        </w:rPr>
      </w:pPr>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70" w:name="_Toc499068185"/>
      <w:bookmarkStart w:id="71" w:name="_Toc485990851"/>
      <w:r>
        <w:rPr>
          <w:rFonts w:ascii="宋体" w:eastAsia="宋体" w:hint="eastAsia"/>
          <w:szCs w:val="32"/>
          <w:lang w:eastAsia="zh-CN"/>
        </w:rPr>
        <w:t>服务偏离表</w:t>
      </w:r>
      <w:bookmarkEnd w:id="70"/>
      <w:r>
        <w:rPr>
          <w:rFonts w:ascii="宋体" w:eastAsia="宋体" w:hint="eastAsia"/>
          <w:szCs w:val="32"/>
          <w:lang w:eastAsia="zh-CN"/>
        </w:rPr>
        <w:t>格式</w:t>
      </w:r>
    </w:p>
    <w:p>
      <w:pPr>
        <w:rPr>
          <w:rFonts w:hint="eastAsia"/>
        </w:rPr>
      </w:pPr>
    </w:p>
    <w:tbl>
      <w:tblPr>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p>
    <w:p>
      <w:pPr>
        <w:pStyle w:val="832"/>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bookmarkEnd w:id="71"/>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72" w:name="_Toc499068185_0"/>
      <w:r>
        <w:rPr>
          <w:rFonts w:ascii="宋体" w:eastAsia="宋体" w:hint="eastAsia"/>
          <w:szCs w:val="32"/>
          <w:lang w:eastAsia="zh-CN"/>
        </w:rPr>
        <w:t>技术偏离表</w:t>
      </w:r>
      <w:bookmarkEnd w:id="72"/>
      <w:r>
        <w:rPr>
          <w:rFonts w:ascii="宋体" w:eastAsia="宋体" w:hint="eastAsia"/>
          <w:szCs w:val="32"/>
          <w:lang w:eastAsia="zh-CN"/>
        </w:rPr>
        <w:t>证明材料</w:t>
      </w:r>
    </w:p>
    <w:p>
      <w:pPr>
        <w:rPr>
          <w:rFonts w:hint="eastAsia"/>
        </w:rPr>
      </w:pPr>
    </w:p>
    <w:p>
      <w:pPr>
        <w:autoSpaceDN w:val="0"/>
        <w:spacing w:line="360" w:lineRule="auto"/>
        <w:jc w:val="left"/>
        <w:outlineLvl w:val="2"/>
        <w:rPr>
          <w:rFonts w:ascii="黑体" w:eastAsia="黑体" w:hint="eastAsia"/>
          <w:b/>
          <w:bCs/>
          <w:sz w:val="28"/>
          <w:szCs w:val="28"/>
          <w:highlight w:val="white"/>
        </w:rPr>
      </w:pP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64"/>
        <w:gridCol w:w="864"/>
        <w:gridCol w:w="865"/>
        <w:gridCol w:w="865"/>
        <w:gridCol w:w="865"/>
        <w:gridCol w:w="3355"/>
      </w:tblGrid>
      <w:tr>
        <w:tblPrEx>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864"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864"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865"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355" w:type="dxa"/>
            <w:tcBorders>
              <w:top w:val="single" w:sz="4" w:space="0" w:color="auto"/>
              <w:left w:val="single" w:sz="4" w:space="0" w:color="auto"/>
              <w:bottom w:val="single" w:sz="4" w:space="0" w:color="auto"/>
              <w:right w:val="single" w:sz="6"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w:t>
      </w:r>
      <w:r>
        <w:rPr>
          <w:rFonts w:ascii="宋体" w:eastAsia="宋体" w:cs="Times New Roman" w:hint="eastAsia"/>
          <w:bCs/>
          <w:vanish w:val="0"/>
          <w:spacing w:val="-5"/>
          <w:kern w:val="0"/>
          <w:sz w:val="24"/>
          <w:szCs w:val="24"/>
        </w:rPr>
        <w:t>劳动合同或距磋商之日三个月内任意一个月的社保证明等材料</w:t>
      </w:r>
      <w:r>
        <w:rPr>
          <w:rFonts w:ascii="宋体" w:hint="eastAsia"/>
          <w:color w:val="000000"/>
          <w:sz w:val="22"/>
        </w:rPr>
        <w:t>（未提供的不予认定）</w:t>
      </w:r>
      <w:r>
        <w:rPr>
          <w:rFonts w:ascii="宋体"/>
          <w:color w:val="000000"/>
          <w:sz w:val="22"/>
        </w:rPr>
        <w:t>。</w:t>
      </w:r>
      <w:r>
        <w:rPr>
          <w:rFonts w:ascii="宋体" w:hint="eastAsia"/>
          <w:color w:val="000000"/>
          <w:sz w:val="22"/>
        </w:rPr>
        <w:t xml:space="preserve">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
      <w:pPr>
        <w:pStyle w:val="100"/>
        <w:jc w:val="center"/>
        <w:outlineLvl w:val="1"/>
        <w:rPr>
          <w:rFonts w:ascii="宋体" w:hint="eastAsia"/>
          <w:b/>
          <w:bCs/>
          <w:kern w:val="0"/>
          <w:sz w:val="24"/>
          <w:szCs w:val="24"/>
        </w:rPr>
      </w:pPr>
      <w:r>
        <w:rPr>
          <w:rFonts w:ascii="宋体" w:cs="宋体" w:hint="eastAsia"/>
          <w:b/>
          <w:bCs/>
          <w:kern w:val="0"/>
          <w:sz w:val="24"/>
          <w:szCs w:val="24"/>
          <w:highlight w:val="none"/>
          <w:lang w:bidi="ar-SA"/>
        </w:rPr>
        <w:t>最终报价一览表</w:t>
      </w:r>
      <w:r>
        <w:rPr>
          <w:rFonts w:ascii="宋体" w:cs="宋体" w:hint="eastAsia"/>
          <w:b/>
          <w:bCs/>
          <w:kern w:val="0"/>
          <w:sz w:val="24"/>
          <w:szCs w:val="24"/>
          <w:lang w:bidi="ar-SA"/>
        </w:rPr>
        <w:t>格式</w:t>
      </w:r>
    </w:p>
    <w:p>
      <w:pPr>
        <w:pStyle w:val="11012"/>
        <w:tabs>
          <w:tab w:val="left" w:pos="1800"/>
          <w:tab w:val="left" w:pos="5580"/>
        </w:tabs>
        <w:spacing w:line="360" w:lineRule="auto"/>
        <w:jc w:val="left"/>
        <w:rPr>
          <w:rFonts w:ascii="宋体" w:hint="eastAsia"/>
          <w:sz w:val="24"/>
          <w:szCs w:val="24"/>
        </w:rPr>
      </w:pPr>
    </w:p>
    <w:p>
      <w:pPr>
        <w:pStyle w:val="40910"/>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40910"/>
        <w:autoSpaceDN w:val="0"/>
        <w:jc w:val="center"/>
        <w:rPr>
          <w:b/>
          <w:bCs/>
          <w:sz w:val="24"/>
          <w:szCs w:val="24"/>
        </w:rPr>
      </w:pPr>
    </w:p>
    <w:p>
      <w:pPr>
        <w:pStyle w:val="40910"/>
        <w:autoSpaceDN w:val="0"/>
        <w:jc w:val="center"/>
        <w:rPr>
          <w:sz w:val="24"/>
          <w:szCs w:val="24"/>
        </w:rPr>
      </w:pPr>
    </w:p>
    <w:p>
      <w:pPr>
        <w:pStyle w:val="40910"/>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2104"/>
        <w:spacing w:before="120" w:beforeLines="0" w:after="120" w:afterLines="0"/>
        <w:rPr>
          <w:szCs w:val="21"/>
          <w:u w:val="single"/>
        </w:rPr>
      </w:pPr>
      <w:r>
        <w:rPr>
          <w:rFonts w:ascii="Times New Roman" w:eastAsia="宋体" w:hAnsi="Times New Roman" w:hint="eastAsia"/>
          <w:b w:val="0"/>
          <w:sz w:val="21"/>
          <w:szCs w:val="21"/>
        </w:rPr>
        <w:t>供应商名称：</w:t>
      </w:r>
      <w:r>
        <w:rPr>
          <w:szCs w:val="21"/>
          <w:u w:val="single"/>
        </w:rPr>
        <w:t xml:space="preserve">               </w:t>
      </w:r>
    </w:p>
    <w:tbl>
      <w:tblPr>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1115"/>
        <w:gridCol w:w="3162"/>
        <w:gridCol w:w="1732"/>
        <w:gridCol w:w="1194"/>
        <w:gridCol w:w="943"/>
        <w:gridCol w:w="1115"/>
        <w:gridCol w:w="1115"/>
      </w:tblGrid>
      <w:tr>
        <w:tblPrEx>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l2br w:val="nil"/>
              <w:tr2bl w:val="nil"/>
            </w:tcBorders>
            <w:vAlign w:val="center"/>
          </w:tcPr>
          <w:p>
            <w:pPr>
              <w:pStyle w:val="410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l2br w:val="nil"/>
              <w:tr2bl w:val="nil"/>
            </w:tcBorders>
            <w:vAlign w:val="center"/>
          </w:tcPr>
          <w:p>
            <w:pPr>
              <w:pStyle w:val="41110"/>
              <w:jc w:val="center"/>
              <w:rPr>
                <w:rFonts w:hint="eastAsia"/>
                <w:sz w:val="24"/>
              </w:rPr>
            </w:pPr>
            <w:r>
              <w:rPr>
                <w:rFonts w:hint="eastAsia"/>
                <w:sz w:val="24"/>
              </w:rPr>
              <w:t>总价</w:t>
            </w:r>
          </w:p>
          <w:p>
            <w:pPr>
              <w:pStyle w:val="411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l2br w:val="nil"/>
              <w:tr2bl w:val="nil"/>
            </w:tcBorders>
            <w:vAlign w:val="center"/>
          </w:tcPr>
          <w:p>
            <w:pPr>
              <w:pStyle w:val="412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l2br w:val="nil"/>
              <w:tr2bl w:val="nil"/>
            </w:tcBorders>
            <w:vAlign w:val="center"/>
          </w:tcPr>
          <w:p>
            <w:pPr>
              <w:pStyle w:val="414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l2br w:val="nil"/>
              <w:tr2bl w:val="nil"/>
            </w:tcBorders>
            <w:vAlign w:val="center"/>
          </w:tcPr>
          <w:p>
            <w:pPr>
              <w:pStyle w:val="415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6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710"/>
              <w:jc w:val="center"/>
              <w:rPr>
                <w:sz w:val="24"/>
              </w:rPr>
            </w:pPr>
            <w:r>
              <w:rPr>
                <w:sz w:val="24"/>
              </w:rPr>
              <w:t>中小企业</w:t>
            </w:r>
          </w:p>
        </w:tc>
      </w:tr>
      <w:tr>
        <w:tblPrEx>
          <w:tblW w:w="5614" w:type="pct"/>
          <w:jc w:val="center"/>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l2br w:val="nil"/>
              <w:tr2bl w:val="nil"/>
            </w:tcBorders>
            <w:vAlign w:val="center"/>
          </w:tcPr>
          <w:p>
            <w:pPr>
              <w:pStyle w:val="419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l2br w:val="nil"/>
              <w:tr2bl w:val="nil"/>
            </w:tcBorders>
            <w:vAlign w:val="center"/>
          </w:tcPr>
          <w:p>
            <w:pPr>
              <w:pStyle w:val="42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2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l2br w:val="nil"/>
              <w:tr2bl w:val="nil"/>
            </w:tcBorders>
            <w:vAlign w:val="center"/>
          </w:tcPr>
          <w:p>
            <w:pPr>
              <w:pStyle w:val="42110"/>
              <w:rPr>
                <w:rFonts w:hint="eastAsia"/>
                <w:sz w:val="24"/>
              </w:rPr>
            </w:pPr>
          </w:p>
        </w:tc>
        <w:tc>
          <w:tcPr>
            <w:tcW w:w="1194" w:type="dxa"/>
            <w:tcBorders>
              <w:top w:val="single" w:sz="6" w:space="0" w:color="auto"/>
              <w:left w:val="single" w:sz="6" w:space="0" w:color="auto"/>
              <w:bottom w:val="single" w:sz="12" w:space="0" w:color="auto"/>
              <w:right w:val="single" w:sz="6" w:space="0" w:color="auto"/>
              <w:tl2br w:val="nil"/>
              <w:tr2bl w:val="nil"/>
            </w:tcBorders>
            <w:vAlign w:val="center"/>
          </w:tcPr>
          <w:p>
            <w:pPr>
              <w:pStyle w:val="42210"/>
              <w:rPr>
                <w:sz w:val="24"/>
              </w:rPr>
            </w:pPr>
          </w:p>
        </w:tc>
        <w:tc>
          <w:tcPr>
            <w:tcW w:w="943" w:type="dxa"/>
            <w:tcBorders>
              <w:top w:val="single" w:sz="6" w:space="0" w:color="auto"/>
              <w:left w:val="single" w:sz="6" w:space="0" w:color="auto"/>
              <w:bottom w:val="single" w:sz="12" w:space="0" w:color="auto"/>
              <w:right w:val="single" w:sz="6" w:space="0" w:color="auto"/>
              <w:tl2br w:val="nil"/>
              <w:tr2bl w:val="nil"/>
            </w:tcBorders>
            <w:vAlign w:val="center"/>
          </w:tcPr>
          <w:p>
            <w:pPr>
              <w:pStyle w:val="423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4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510"/>
              <w:rPr>
                <w:sz w:val="24"/>
              </w:rPr>
            </w:pPr>
          </w:p>
        </w:tc>
      </w:tr>
      <w:tr>
        <w:tblPrEx>
          <w:tblW w:w="5614" w:type="pct"/>
          <w:jc w:val="center"/>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l2br w:val="nil"/>
              <w:tr2bl w:val="nil"/>
            </w:tcBorders>
            <w:vAlign w:val="center"/>
          </w:tcPr>
          <w:p>
            <w:pPr>
              <w:pStyle w:val="42610"/>
              <w:jc w:val="left"/>
              <w:rPr>
                <w:sz w:val="24"/>
              </w:rPr>
            </w:pPr>
            <w:r>
              <w:rPr>
                <w:sz w:val="24"/>
              </w:rPr>
              <w:t>特别说明事项：</w:t>
            </w:r>
          </w:p>
        </w:tc>
      </w:tr>
    </w:tbl>
    <w:p>
      <w:pPr>
        <w:pStyle w:val="11012"/>
        <w:rPr>
          <w:rFonts w:ascii="宋体" w:hint="eastAsia"/>
        </w:rPr>
      </w:pPr>
    </w:p>
    <w:p>
      <w:pPr>
        <w:pStyle w:val="11012"/>
        <w:rPr>
          <w:rFonts w:ascii="宋体" w:hint="eastAsia"/>
        </w:rPr>
      </w:pPr>
      <w:r>
        <w:rPr>
          <w:rFonts w:ascii="宋体" w:cs="宋体" w:hint="eastAsia"/>
          <w:lang w:bidi="ar-SA"/>
        </w:rPr>
        <w:t>注：1. 本表中报价货币为人民币。</w:t>
      </w:r>
    </w:p>
    <w:p>
      <w:pPr>
        <w:pStyle w:val="11012"/>
        <w:ind w:firstLine="420"/>
        <w:rPr>
          <w:rFonts w:ascii="宋体" w:hint="eastAsia"/>
        </w:rPr>
      </w:pPr>
      <w:r>
        <w:rPr>
          <w:rFonts w:ascii="宋体" w:cs="宋体" w:hint="eastAsia"/>
          <w:lang w:bidi="ar-SA"/>
        </w:rPr>
        <w:t>2. 本最终报价为根据磋商小组确定并经我单位签字确认的最终项目需求进行的报价。</w:t>
      </w:r>
    </w:p>
    <w:p>
      <w:pPr>
        <w:pStyle w:val="36610"/>
        <w:rPr>
          <w:rFonts w:ascii="宋体" w:hint="eastAsia"/>
          <w:sz w:val="24"/>
          <w:szCs w:val="24"/>
          <w:u w:val="single"/>
        </w:rPr>
      </w:pPr>
      <w:r>
        <w:t xml:space="preserve"> </w:t>
      </w:r>
    </w:p>
    <w:p>
      <w:pPr>
        <w:pStyle w:val="36110"/>
        <w:rPr>
          <w:rFonts w:ascii="宋体" w:hint="eastAsia"/>
          <w:color w:val="000000"/>
          <w:sz w:val="24"/>
          <w:highlight w:val="white"/>
        </w:rPr>
      </w:pPr>
    </w:p>
    <w:p>
      <w:pPr>
        <w:pStyle w:val="36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hint="eastAsia"/>
          <w:sz w:val="24"/>
          <w:szCs w:val="24"/>
        </w:rPr>
      </w:pPr>
      <w:r>
        <w:rPr>
          <w:rFonts w:ascii="宋体" w:cs="宋体" w:hint="eastAsia"/>
          <w:sz w:val="24"/>
          <w:szCs w:val="24"/>
          <w:lang w:bidi="ar-SA"/>
        </w:rPr>
        <w:t>供应商代表（签字）：</w:t>
      </w:r>
      <w:r>
        <w:rPr>
          <w:rFonts w:ascii="宋体" w:cs="宋体" w:hint="eastAsia"/>
          <w:sz w:val="24"/>
          <w:szCs w:val="24"/>
          <w:u w:val="single"/>
          <w:lang w:bidi="ar-SA"/>
        </w:rPr>
        <w:t xml:space="preserve">                            </w:t>
      </w:r>
    </w:p>
    <w:p>
      <w:pPr>
        <w:pStyle w:val="11012"/>
        <w:spacing w:line="360" w:lineRule="auto"/>
        <w:rPr>
          <w:rFonts w:ascii="宋体" w:cs="宋体" w:hint="eastAsia"/>
          <w:sz w:val="24"/>
          <w:szCs w:val="24"/>
        </w:rPr>
      </w:pPr>
      <w:r>
        <w:rPr>
          <w:rFonts w:ascii="宋体" w:cs="宋体" w:hint="eastAsia"/>
          <w:sz w:val="24"/>
          <w:szCs w:val="24"/>
          <w:lang w:bidi="ar-SA"/>
        </w:rPr>
        <w:t>日      期：___</w:t>
      </w:r>
      <w:r>
        <w:rPr>
          <w:rFonts w:ascii="宋体" w:cs="宋体" w:hint="eastAsia"/>
          <w:sz w:val="24"/>
          <w:szCs w:val="24"/>
          <w:u w:val="single"/>
          <w:lang w:bidi="ar-SA"/>
        </w:rPr>
        <w:t>__</w:t>
      </w:r>
      <w:r>
        <w:rPr>
          <w:rFonts w:ascii="宋体" w:cs="宋体" w:hint="eastAsia"/>
          <w:sz w:val="24"/>
          <w:szCs w:val="24"/>
          <w:lang w:bidi="ar-SA"/>
        </w:rPr>
        <w:t>__________</w:t>
      </w:r>
    </w:p>
    <w:p>
      <w:pPr>
        <w:pStyle w:val="11012"/>
        <w:spacing w:line="360" w:lineRule="auto"/>
        <w:rPr>
          <w:rFonts w:ascii="宋体" w:cs="宋体" w:hint="eastAsia"/>
          <w:sz w:val="24"/>
          <w:szCs w:val="24"/>
        </w:rPr>
      </w:pPr>
    </w:p>
    <w:p/>
    <w:p>
      <w:pPr>
        <w:pStyle w:val="11012"/>
        <w:adjustRightInd w:val="0"/>
        <w:spacing w:before="326" w:beforeLines="100"/>
        <w:ind w:right="958"/>
        <w:jc w:val="center"/>
        <w:textAlignment w:val="baseline"/>
        <w:rPr>
          <w:rFonts w:ascii="宋体" w:hint="eastAsia"/>
        </w:rPr>
      </w:pPr>
      <w:r>
        <w:rPr>
          <w:rFonts w:ascii="宋体" w:cs="宋体" w:hint="eastAsia"/>
          <w:kern w:val="0"/>
          <w:sz w:val="28"/>
          <w:szCs w:val="28"/>
          <w:highlight w:val="none"/>
          <w:lang w:bidi="ar-SA"/>
        </w:rPr>
        <w:t>最终分项报价表</w:t>
      </w:r>
      <w:r>
        <w:rPr>
          <w:rFonts w:ascii="宋体" w:cs="宋体" w:hint="eastAsia"/>
          <w:kern w:val="0"/>
          <w:sz w:val="28"/>
          <w:szCs w:val="28"/>
          <w:lang w:bidi="ar-SA"/>
        </w:rPr>
        <w:t>格式</w:t>
      </w:r>
    </w:p>
    <w:p>
      <w:pPr>
        <w:pStyle w:val="427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28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29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30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430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430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32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37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5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5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0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1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6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65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6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7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8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9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1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2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3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7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75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6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7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8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9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0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2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3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84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85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6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7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8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9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90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91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9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9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9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9510"/>
              <w:jc w:val="center"/>
              <w:rPr>
                <w:rFonts w:ascii="Times New Roman" w:hAnsi="Times New Roman"/>
                <w:sz w:val="24"/>
                <w:szCs w:val="24"/>
              </w:rPr>
            </w:pPr>
          </w:p>
        </w:tc>
      </w:tr>
    </w:tbl>
    <w:p>
      <w:pPr>
        <w:pStyle w:val="42"/>
        <w:spacing w:line="240" w:lineRule="auto"/>
        <w:rPr>
          <w:rFonts w:cs="Times New Roman"/>
          <w:sz w:val="21"/>
          <w:szCs w:val="21"/>
        </w:rPr>
      </w:pPr>
    </w:p>
    <w:p>
      <w:pPr>
        <w:pStyle w:val="42"/>
        <w:spacing w:line="240" w:lineRule="auto"/>
        <w:rPr>
          <w:rFonts w:cs="Times New Roman"/>
          <w:sz w:val="21"/>
          <w:szCs w:val="21"/>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42"/>
        <w:spacing w:line="240" w:lineRule="auto"/>
        <w:rPr>
          <w:rFonts w:cs="Times New Roman"/>
          <w:sz w:val="21"/>
          <w:szCs w:val="21"/>
        </w:rPr>
      </w:pPr>
      <w:r>
        <w:rPr>
          <w:sz w:val="21"/>
          <w:szCs w:val="21"/>
        </w:rPr>
        <w:t>2.</w:t>
      </w:r>
      <w:r>
        <w:rPr>
          <w:rFonts w:hint="eastAsia"/>
          <w:sz w:val="21"/>
          <w:szCs w:val="21"/>
        </w:rPr>
        <w:t>如果不提供详细分项报价将视为没有实质性响应竞争性磋商文件。</w:t>
      </w:r>
    </w:p>
    <w:p>
      <w:pPr>
        <w:pStyle w:val="42"/>
        <w:spacing w:line="240" w:lineRule="auto"/>
        <w:rPr>
          <w:rFonts w:cs="Times New Roman"/>
          <w:sz w:val="21"/>
          <w:szCs w:val="21"/>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11012"/>
        <w:spacing w:line="360" w:lineRule="auto"/>
        <w:rPr>
          <w:rFonts w:ascii="宋体" w:hint="eastAsia"/>
        </w:rPr>
      </w:pPr>
    </w:p>
    <w:p>
      <w:pPr>
        <w:pStyle w:val="36810"/>
        <w:rPr>
          <w:rFonts w:ascii="宋体" w:hint="eastAsia"/>
          <w:color w:val="000000"/>
          <w:sz w:val="24"/>
          <w:highlight w:val="white"/>
        </w:rPr>
      </w:pPr>
    </w:p>
    <w:p>
      <w:pPr>
        <w:pStyle w:val="369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cs="宋体" w:hint="eastAsia"/>
        </w:rPr>
      </w:pPr>
      <w:r>
        <w:rPr>
          <w:rFonts w:ascii="宋体" w:cs="宋体" w:hint="eastAsia"/>
          <w:lang w:bidi="ar-SA"/>
        </w:rPr>
        <w:t>供应商代表（签字）：</w:t>
      </w:r>
      <w:r>
        <w:rPr>
          <w:rFonts w:ascii="宋体" w:cs="宋体" w:hint="eastAsia"/>
          <w:u w:val="single"/>
          <w:lang w:bidi="ar-SA"/>
        </w:rPr>
        <w:t xml:space="preserve">                           </w:t>
      </w:r>
      <w:r>
        <w:rPr>
          <w:rFonts w:ascii="宋体" w:cs="宋体" w:hint="eastAsia"/>
          <w:lang w:bidi="ar-SA"/>
        </w:rPr>
        <w:t xml:space="preserve">   </w:t>
      </w:r>
    </w:p>
    <w:p>
      <w:pPr>
        <w:pStyle w:val="11012"/>
        <w:spacing w:line="360" w:lineRule="auto"/>
        <w:jc w:val="left"/>
        <w:rPr>
          <w:rFonts w:ascii="宋体" w:hint="eastAsia"/>
          <w:u w:val="single"/>
        </w:rPr>
        <w:sectPr>
          <w:footerReference w:type="default" r:id="rId5"/>
          <w:pgSz w:w="11907" w:h="16840"/>
          <w:pgMar w:top="1758" w:right="1361" w:bottom="1588" w:left="1361" w:header="851" w:footer="992" w:gutter="0"/>
          <w:cols w:space="720"/>
          <w:docGrid w:type="lines" w:linePitch="326" w:charSpace="0"/>
        </w:sect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11012"/>
        <w:spacing w:before="240"/>
        <w:jc w:val="left"/>
        <w:rPr>
          <w:rFonts w:ascii="黑体" w:eastAsia="黑体" w:cs="宋体" w:hint="eastAsia"/>
          <w:b/>
          <w:bCs/>
          <w:kern w:val="0"/>
          <w:sz w:val="28"/>
          <w:szCs w:val="28"/>
          <w:highlight w:val="yellow"/>
        </w:rPr>
      </w:pPr>
    </w:p>
    <w:p>
      <w:pPr>
        <w:pStyle w:val="11012"/>
        <w:spacing w:before="240"/>
        <w:ind w:left="-120"/>
        <w:jc w:val="center"/>
        <w:rPr>
          <w:rFonts w:ascii="宋体" w:hint="eastAsia"/>
          <w:kern w:val="0"/>
          <w:sz w:val="28"/>
          <w:szCs w:val="28"/>
        </w:rPr>
      </w:pPr>
      <w:r>
        <w:rPr>
          <w:rFonts w:ascii="宋体" w:cs="宋体" w:hint="eastAsia"/>
          <w:kern w:val="0"/>
          <w:sz w:val="28"/>
          <w:szCs w:val="28"/>
          <w:highlight w:val="none"/>
          <w:lang w:bidi="ar-SA"/>
        </w:rPr>
        <w:t>最终承诺</w:t>
      </w:r>
      <w:r>
        <w:rPr>
          <w:rFonts w:ascii="宋体" w:cs="宋体" w:hint="eastAsia"/>
          <w:kern w:val="0"/>
          <w:sz w:val="28"/>
          <w:szCs w:val="28"/>
          <w:lang w:bidi="ar-SA"/>
        </w:rPr>
        <w:t>格式</w:t>
      </w:r>
    </w:p>
    <w:tbl>
      <w:tblPr>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Pr>
          <w:p>
            <w:pPr>
              <w:pStyle w:val="11012"/>
              <w:spacing w:before="240"/>
              <w:ind w:left="-120"/>
              <w:jc w:val="center"/>
              <w:rPr>
                <w:rFonts w:ascii="宋体" w:cs="宋体" w:hint="eastAsia"/>
                <w:sz w:val="24"/>
                <w:szCs w:val="24"/>
              </w:rPr>
            </w:pPr>
            <w:r>
              <w:rPr>
                <w:rFonts w:ascii="宋体" w:cs="宋体" w:hint="eastAsia"/>
                <w:sz w:val="24"/>
                <w:szCs w:val="24"/>
                <w:lang w:bidi="ar-SA"/>
              </w:rPr>
              <w:t>(格式由供应商自拟)</w:t>
            </w:r>
          </w:p>
          <w:p>
            <w:pPr>
              <w:pStyle w:val="11012"/>
              <w:spacing w:before="240"/>
              <w:rPr>
                <w:rFonts w:ascii="宋体" w:hint="eastAsia"/>
              </w:rPr>
            </w:pPr>
            <w:r>
              <w:rPr>
                <w:rFonts w:ascii="宋体" w:hint="eastAsia"/>
                <w:color w:val="000000"/>
                <w:kern w:val="0"/>
                <w:sz w:val="24"/>
              </w:rPr>
              <w:t>1、对磋商小组确定的最终项目需求无异议。</w:t>
            </w:r>
          </w:p>
        </w:tc>
      </w:tr>
    </w:tbl>
    <w:p>
      <w:pPr>
        <w:pStyle w:val="11012"/>
        <w:rPr>
          <w:rFonts w:ascii="宋体" w:hint="eastAsia"/>
        </w:rPr>
      </w:pPr>
      <w:r>
        <w:rPr>
          <w:rFonts w:ascii="宋体" w:cs="宋体" w:hint="eastAsia"/>
          <w:lang w:bidi="ar-SA"/>
        </w:rPr>
        <w:t>注：本最终承诺不得与磋商小组确定的最终项目需求相矛盾，但可以高于磋商小组的要求。</w:t>
      </w:r>
    </w:p>
    <w:p>
      <w:pPr>
        <w:pStyle w:val="37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jc w:val="left"/>
        <w:rPr>
          <w:rFonts w:ascii="宋体" w:cs="宋体" w:hint="eastAsia"/>
        </w:rPr>
      </w:pPr>
      <w:r>
        <w:rPr>
          <w:rFonts w:ascii="宋体" w:cs="宋体" w:hint="eastAsia"/>
          <w:lang w:bidi="ar-SA"/>
        </w:rPr>
        <w:t xml:space="preserve">供应商代表（签字） ：                        </w:t>
      </w:r>
    </w:p>
    <w:p>
      <w:pPr>
        <w:pStyle w:val="11012"/>
        <w:spacing w:line="360" w:lineRule="auto"/>
        <w:jc w:val="left"/>
        <w:rPr>
          <w:rFonts w:ascii="宋体" w:cs="宋体" w:hint="eastAsia"/>
          <w:sz w:val="24"/>
          <w:szCs w:val="24"/>
          <w:u w:val="single"/>
        </w:r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720"/>
        <w:keepNext w:val="0"/>
        <w:keepLines w:val="0"/>
        <w:widowControl w:val="0"/>
        <w:autoSpaceDN w:val="0"/>
        <w:spacing w:before="0" w:after="0" w:line="360" w:lineRule="auto"/>
        <w:jc w:val="left"/>
        <w:outlineLvl w:val="9"/>
        <w:rPr>
          <w:rFonts w:ascii="黑体" w:hint="eastAsia"/>
          <w:sz w:val="28"/>
          <w:szCs w:val="28"/>
          <w:lang w:eastAsia="zh-CN"/>
        </w:rPr>
      </w:pPr>
    </w:p>
    <w:p>
      <w:pPr>
        <w:pStyle w:val="72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项目编号：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0150"/>
        <w:tabs>
          <w:tab w:val="left" w:pos="5580"/>
        </w:tabs>
        <w:spacing w:line="360" w:lineRule="auto"/>
        <w:rPr>
          <w:rFonts w:ascii="黑体" w:eastAsia="黑体" w:hint="eastAsia"/>
          <w:b/>
          <w:bCs/>
          <w:color w:val="000000"/>
          <w:sz w:val="28"/>
          <w:szCs w:val="28"/>
        </w:rPr>
      </w:pPr>
      <w:bookmarkEnd w:id="49"/>
    </w:p>
    <w:sectPr>
      <w:footerReference w:type="default" r:id="rId6"/>
      <w:pgSz w:w="11907" w:h="16840"/>
      <w:pgMar w:top="1758" w:right="1361" w:bottom="1588" w:left="1361"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华文宋体"/>
    <w:panose1 w:val="02010600030101010101"/>
    <w:charset w:val="86"/>
    <w:family w:val="auto"/>
    <w:pitch w:val="variable"/>
    <w:sig w:usb0="00000003" w:usb1="288F0000" w:usb2="00000006" w:usb3="00000000" w:csb0="00040001"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altName w:val="DejaVu Sans"/>
    <w:panose1 w:val="02020603050405020304"/>
    <w:charset w:val="CC"/>
    <w:family w:val="roman"/>
    <w:pitch w:val="variable"/>
    <w:sig w:usb0="E0002AFF" w:usb1="C0007841" w:usb2="00000009" w:usb3="00000000" w:csb0="400001FF" w:csb1="FFFF0000"/>
  </w:font>
  <w:font w:name="-apple-system">
    <w:altName w:val="Times New Roman"/>
    <w:panose1 w:val="00000000000000000000"/>
    <w:charset w:val="00"/>
    <w:family w:val="auto"/>
    <w:pitch w:val="variable"/>
    <w:sig w:usb0="00000000"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1"/>
    <w:family w:val="modern"/>
    <w:pitch w:val="variable"/>
    <w:sig w:usb0="E0002AFF" w:usb1="C0007843" w:usb2="00000009" w:usb3="00000000" w:csb0="400001FF" w:csb1="FFFF0000"/>
  </w:font>
  <w:font w:name="Calibri">
    <w:altName w:val="DejaVu Sans"/>
    <w:panose1 w:val="020F0502020204030204"/>
    <w:charset w:val="00"/>
    <w:family w:val="swiss"/>
    <w:pitch w:val="variable"/>
    <w:sig w:usb0="E00002FF" w:usb1="4000ACFF" w:usb2="00000001" w:usb3="00000000" w:csb0="2000019F" w:csb1="00000000"/>
  </w:font>
  <w:font w:name="方正仿宋_GBK">
    <w:panose1 w:val="03000509000000000000"/>
    <w:charset w:val="86"/>
    <w:family w:val="script"/>
    <w:pitch w:val="variable"/>
    <w:sig w:usb0="00000001" w:usb1="080E0000" w:usb2="00000000" w:usb3="00000000" w:csb0="00040000" w:csb1="00000000"/>
  </w:font>
  <w:font w:name="CESI仿宋-GB13000">
    <w:altName w:val="宋体"/>
    <w:panose1 w:val="00000000000000000000"/>
    <w:charset w:val="00"/>
    <w:family w:val="auto"/>
    <w:pitch w:val="variable"/>
    <w:sig w:usb0="00000000" w:usb1="00000000" w:usb2="00000000" w:usb3="00000000" w:csb0="00000000" w:csb1="00000000"/>
  </w:font>
  <w:font w:name="Arial">
    <w:altName w:val="DejaVu Sans"/>
    <w:panose1 w:val="020B0604020202020204"/>
    <w:charset w:val="01"/>
    <w:family w:val="swiss"/>
    <w:pitch w:val="variable"/>
    <w:sig w:usb0="E0002AFF" w:usb1="C0007843" w:usb2="00000009" w:usb3="00000000" w:csb0="400001FF" w:csb1="FFFF0000"/>
  </w:font>
  <w:font w:name="方正小标宋_GBK">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altName w:val="Calibri"/>
    <w:panose1 w:val="020F0302020204030204"/>
    <w:charset w:val="00"/>
    <w:family w:val="swiss"/>
    <w:pitch w:val="variable"/>
    <w:sig w:usb0="A00002EF" w:usb1="4000207B" w:usb2="00000000" w:usb3="00000000" w:csb0="2000019F"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
    <w:altName w:val="Times New Roman"/>
    <w:panose1 w:val="00000000000000000000"/>
    <w:charset w:val="00"/>
    <w:family w:val="auto"/>
    <w:pitch w:val="variable"/>
    <w:sig w:usb0="00000000" w:usb1="00000000" w:usb2="00000000" w:usb3="00000000" w:csb0="00040001" w:csb1="00000000"/>
  </w:font>
  <w:font w:name="Arial Unicode MS">
    <w:panose1 w:val="020B0604020202020204"/>
    <w:charset w:val="86"/>
    <w:family w:val="swiss"/>
    <w:pitch w:val="variable"/>
    <w:sig w:usb0="FFFFFFFF" w:usb1="E9FFFFFF" w:usb2="0000003F" w:usb3="00000000" w:csb0="603F01FF" w:csb1="FFFF0000"/>
  </w:font>
  <w:font w:name="等线 Light">
    <w:altName w:val="宋体"/>
    <w:panose1 w:val="02010600030101010101"/>
    <w:charset w:val="86"/>
    <w:family w:val="auto"/>
    <w:pitch w:val="variable"/>
    <w:sig w:usb0="00000000" w:usb1="00000000"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方正黑体_GBK">
    <w:panose1 w:val="03000509000000000000"/>
    <w:charset w:val="86"/>
    <w:family w:val="script"/>
    <w:pitch w:val="variable"/>
    <w:sig w:usb0="00000001" w:usb1="080E0000" w:usb2="00000000" w:usb3="00000000" w:csb0="00040000" w:csb1="00000000"/>
  </w:font>
  <w:font w:name="Verdana">
    <w:panose1 w:val="020B0604030504040204"/>
    <w:charset w:val="00"/>
    <w:family w:val="swiss"/>
    <w:pitch w:val="variable"/>
    <w:sig w:usb0="A10006FF" w:usb1="4000205B" w:usb2="00000010" w:usb3="00000000" w:csb0="2000019F" w:csb1="00000000"/>
  </w:font>
  <w:font w:name="等线">
    <w:altName w:val="宋体"/>
    <w:panose1 w:val="02010600030101010101"/>
    <w:charset w:val="86"/>
    <w:family w:val="auto"/>
    <w:pitch w:val="variable"/>
    <w:sig w:usb0="00000000" w:usb1="00000000" w:usb2="00000016" w:usb3="00000000" w:csb0="0004000F" w:csb1="00000000"/>
  </w:font>
  <w:font w:name="Tahoma">
    <w:panose1 w:val="020B0604030504040204"/>
    <w:charset w:val="00"/>
    <w:family w:val="swiss"/>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Wingdings">
    <w:panose1 w:val="05000000000000000000"/>
    <w:charset w:val="02"/>
    <w:family w:val="auto"/>
    <w:pitch w:val="variable"/>
    <w:sig w:usb0="00000000" w:usb1="00000000" w:usb2="00000000" w:usb3="00000000" w:csb0="80000000" w:csb1="00000000"/>
  </w:font>
  <w:font w:name="Lucida Sans">
    <w:altName w:val="DejaVu Sans"/>
    <w:panose1 w:val="020B0602030504020204"/>
    <w:charset w:val="00"/>
    <w:family w:val="auto"/>
    <w:pitch w:val="variable"/>
    <w:sig w:usb0="00000003" w:usb1="00000000" w:usb2="00000000" w:usb3="00000000" w:csb0="2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tabs>
        <w:tab w:val="center" w:pos="4153"/>
        <w:tab w:val="right" w:pos="8306"/>
      </w:tabs>
      <w:ind w:right="360"/>
      <w:jc w:val="center"/>
      <w:rPr>
        <w:rFonts w:ascii="Batang" w:eastAsia="Batang" w:hint="eastAsia"/>
        <w:sz w:val="28"/>
        <w:szCs w:val="28"/>
      </w:rPr>
    </w:pPr>
    <w:r>
      <w:rPr>
        <w:rStyle w:val="c21"/>
        <w:rFonts w:ascii="Batang" w:eastAsia="Batang" w:hint="eastAsia"/>
        <w:sz w:val="28"/>
        <w:szCs w:val="28"/>
      </w:rPr>
      <w:fldChar w:fldCharType="begin"/>
    </w:r>
    <w:r>
      <w:rPr>
        <w:rStyle w:val="c21"/>
        <w:rFonts w:ascii="Batang" w:eastAsia="Batang" w:hint="eastAsia"/>
        <w:sz w:val="28"/>
        <w:szCs w:val="28"/>
      </w:rPr>
      <w:instrText xml:space="preserve"> PAGE </w:instrText>
    </w:r>
    <w:r>
      <w:rPr>
        <w:rFonts w:ascii="Batang" w:eastAsia="Batang" w:hint="eastAsia"/>
        <w:sz w:val="28"/>
        <w:szCs w:val="28"/>
      </w:rPr>
      <w:fldChar w:fldCharType="separate"/>
    </w:r>
    <w:r>
      <w:rPr>
        <w:rStyle w:val="c21"/>
        <w:rFonts w:ascii="Batang" w:eastAsia="Batang" w:hint="eastAsia"/>
        <w:sz w:val="28"/>
        <w:szCs w:val="28"/>
        <w:lang w:val="en-US" w:eastAsia="zh-CN"/>
      </w:rPr>
      <w:t>63</w:t>
    </w:r>
    <w:r>
      <w:rPr>
        <w:rFonts w:ascii="Batang" w:eastAsia="Batang" w:hint="eastAsia"/>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 xml:space="preserve"> PAGE </w:instrText>
    </w:r>
    <w:r>
      <w:rPr>
        <w:rFonts w:ascii="Batang" w:eastAsia="Batang" w:hint="eastAsia"/>
        <w:sz w:val="28"/>
        <w:szCs w:val="28"/>
      </w:rPr>
      <w:fldChar w:fldCharType="separate"/>
    </w:r>
    <w:r>
      <w:rPr>
        <w:rStyle w:val="PageNumber"/>
        <w:rFonts w:ascii="Batang" w:eastAsia="Batang" w:hint="eastAsia"/>
        <w:sz w:val="28"/>
        <w:szCs w:val="28"/>
      </w:rPr>
      <w:t>26</w:t>
    </w:r>
    <w:r>
      <w:rPr>
        <w:rFonts w:ascii="Batang" w:eastAsia="Batang" w:hint="eastAsia"/>
        <w:sz w:val="28"/>
        <w:szCs w:val="28"/>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82B0CC"/>
    <w:multiLevelType w:val="multilevel"/>
    <w:tmpl w:val="A182B0CC"/>
    <w:lvl w:ilvl="0">
      <w:start w:val="1"/>
      <w:numFmt w:val="decimal"/>
      <w:lvlText w:val="%1."/>
      <w:lvlJc w:val="left"/>
      <w:pPr>
        <w:ind w:left="0" w:firstLine="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ABFA19CF"/>
    <w:multiLevelType w:val="multilevel"/>
    <w:tmpl w:val="ABFA19CF"/>
    <w:lvl w:ilvl="0">
      <w:start w:val="1"/>
      <w:numFmt w:val="decimal"/>
      <w:lvlText w:val="%1"/>
      <w:lvlJc w:val="left"/>
      <w:pPr>
        <w:ind w:left="425" w:hanging="425"/>
      </w:pPr>
      <w:rPr>
        <w:rFonts w:cs="Times New Roman" w:hint="eastAsia"/>
      </w:rPr>
    </w:lvl>
    <w:lvl w:ilvl="1">
      <w:start w:val="1"/>
      <w:numFmt w:val="decimal"/>
      <w:lvlText w:val="%1.%2"/>
      <w:lvlJc w:val="left"/>
      <w:pPr>
        <w:ind w:left="425" w:hanging="425"/>
      </w:pPr>
      <w:rPr>
        <w:rFonts w:cs="Times New Roman" w:hint="eastAsia"/>
      </w:rPr>
    </w:lvl>
    <w:lvl w:ilvl="2">
      <w:start w:val="1"/>
      <w:numFmt w:val="decimal"/>
      <w:pStyle w:val="07-E3-"/>
      <w:lvlText w:val="%1.%2.%3"/>
      <w:lvlJc w:val="left"/>
      <w:pPr>
        <w:ind w:left="425" w:hanging="425"/>
      </w:pPr>
      <w:rPr>
        <w:rFonts w:cs="Times New Roman" w:hint="eastAsia"/>
      </w:rPr>
    </w:lvl>
    <w:lvl w:ilvl="3">
      <w:start w:val="1"/>
      <w:numFmt w:val="decimal"/>
      <w:lvlText w:val="%1.%2.%3.%4"/>
      <w:lvlJc w:val="left"/>
      <w:pPr>
        <w:ind w:left="425" w:hanging="425"/>
      </w:pPr>
      <w:rPr>
        <w:rFonts w:cs="Times New Roman" w:hint="eastAsia"/>
      </w:rPr>
    </w:lvl>
    <w:lvl w:ilvl="4">
      <w:start w:val="1"/>
      <w:numFmt w:val="decimal"/>
      <w:lvlText w:val="%1.%2.%3.%4.%5"/>
      <w:lvlJc w:val="left"/>
      <w:pPr>
        <w:ind w:left="425" w:hanging="425"/>
      </w:pPr>
      <w:rPr>
        <w:rFonts w:cs="Times New Roman" w:hint="eastAsia"/>
      </w:rPr>
    </w:lvl>
    <w:lvl w:ilvl="5">
      <w:start w:val="1"/>
      <w:numFmt w:val="decimal"/>
      <w:lvlText w:val="%1.%2.%3.%4.%5.%6"/>
      <w:lvlJc w:val="left"/>
      <w:pPr>
        <w:ind w:left="425" w:hanging="425"/>
      </w:pPr>
      <w:rPr>
        <w:rFonts w:cs="Times New Roman" w:hint="eastAsia"/>
      </w:rPr>
    </w:lvl>
    <w:lvl w:ilvl="6">
      <w:start w:val="1"/>
      <w:numFmt w:val="decimal"/>
      <w:lvlText w:val="%1.%2.%3.%4.%5.%6.%7"/>
      <w:lvlJc w:val="left"/>
      <w:pPr>
        <w:ind w:left="425" w:hanging="425"/>
      </w:pPr>
      <w:rPr>
        <w:rFonts w:cs="Times New Roman" w:hint="eastAsia"/>
      </w:rPr>
    </w:lvl>
    <w:lvl w:ilvl="7">
      <w:start w:val="1"/>
      <w:numFmt w:val="decimal"/>
      <w:lvlText w:val="%1.%2.%3.%4.%5.%6.%7.%8"/>
      <w:lvlJc w:val="left"/>
      <w:pPr>
        <w:ind w:left="425" w:hanging="425"/>
      </w:pPr>
      <w:rPr>
        <w:rFonts w:cs="Times New Roman" w:hint="eastAsia"/>
      </w:rPr>
    </w:lvl>
    <w:lvl w:ilvl="8">
      <w:start w:val="1"/>
      <w:numFmt w:val="decimal"/>
      <w:lvlText w:val="%1.%2.%3.%4.%5.%6.%7.%8.%9"/>
      <w:lvlJc w:val="left"/>
      <w:pPr>
        <w:ind w:left="425" w:hanging="425"/>
      </w:pPr>
      <w:rPr>
        <w:rFonts w:cs="Times New Roman" w:hint="eastAsia"/>
      </w:rPr>
    </w:lvl>
  </w:abstractNum>
  <w:abstractNum w:abstractNumId="2">
    <w:nsid w:val="C58DFCF0"/>
    <w:multiLevelType w:val="multilevel"/>
    <w:tmpl w:val="C58DFCF0"/>
    <w:lvl w:ilvl="0">
      <w:start w:val="1"/>
      <w:numFmt w:val="decimal"/>
      <w:lvlText w:val="%1."/>
      <w:lvlJc w:val="left"/>
      <w:pPr>
        <w:ind w:left="425" w:hanging="425"/>
      </w:pPr>
      <w:rPr>
        <w:rFonts w:ascii="Times New Roman" w:hAnsi="Times New Roman" w:hint="default"/>
      </w:rPr>
    </w:lvl>
    <w:lvl w:ilvl="1">
      <w:start w:val="1"/>
      <w:numFmt w:val="decimal"/>
      <w:lvlText w:val="%1."/>
      <w:lvlJc w:val="left"/>
      <w:pPr>
        <w:ind w:left="425" w:hanging="425"/>
      </w:pPr>
      <w:rPr>
        <w:rFonts w:ascii="Times New Roman" w:hAnsi="Times New Roman" w:hint="default"/>
      </w:rPr>
    </w:lvl>
    <w:lvl w:ilvl="2">
      <w:start w:val="1"/>
      <w:numFmt w:val="decimal"/>
      <w:lvlText w:val="%1."/>
      <w:lvlJc w:val="left"/>
      <w:pPr>
        <w:ind w:left="425" w:hanging="425"/>
      </w:pPr>
      <w:rPr>
        <w:rFonts w:ascii="Times New Roman" w:hAnsi="Times New Roman" w:hint="default"/>
      </w:rPr>
    </w:lvl>
    <w:lvl w:ilvl="3">
      <w:start w:val="1"/>
      <w:numFmt w:val="decimal"/>
      <w:lvlText w:val="%1."/>
      <w:lvlJc w:val="left"/>
      <w:pPr>
        <w:ind w:left="425" w:hanging="425"/>
      </w:pPr>
      <w:rPr>
        <w:rFonts w:ascii="Times New Roman" w:hAnsi="Times New Roman" w:hint="default"/>
      </w:rPr>
    </w:lvl>
    <w:lvl w:ilvl="4">
      <w:start w:val="1"/>
      <w:numFmt w:val="decimal"/>
      <w:lvlText w:val="%1."/>
      <w:lvlJc w:val="left"/>
      <w:pPr>
        <w:ind w:left="425" w:hanging="425"/>
      </w:pPr>
      <w:rPr>
        <w:rFonts w:ascii="Times New Roman" w:hAnsi="Times New Roman" w:hint="default"/>
      </w:rPr>
    </w:lvl>
    <w:lvl w:ilvl="5">
      <w:start w:val="1"/>
      <w:numFmt w:val="decimal"/>
      <w:lvlText w:val="%1."/>
      <w:lvlJc w:val="left"/>
      <w:pPr>
        <w:ind w:left="425" w:hanging="425"/>
      </w:pPr>
      <w:rPr>
        <w:rFonts w:ascii="Times New Roman" w:hAnsi="Times New Roman" w:hint="default"/>
      </w:rPr>
    </w:lvl>
    <w:lvl w:ilvl="6">
      <w:start w:val="1"/>
      <w:numFmt w:val="decimal"/>
      <w:lvlText w:val="%1."/>
      <w:lvlJc w:val="left"/>
      <w:pPr>
        <w:ind w:left="425" w:hanging="425"/>
      </w:pPr>
      <w:rPr>
        <w:rFonts w:ascii="Times New Roman" w:hAnsi="Times New Roman" w:hint="default"/>
      </w:rPr>
    </w:lvl>
    <w:lvl w:ilvl="7">
      <w:start w:val="1"/>
      <w:numFmt w:val="decimal"/>
      <w:lvlText w:val="%1."/>
      <w:lvlJc w:val="left"/>
      <w:pPr>
        <w:ind w:left="425" w:hanging="425"/>
      </w:pPr>
      <w:rPr>
        <w:rFonts w:ascii="Times New Roman" w:hAnsi="Times New Roman" w:hint="default"/>
      </w:rPr>
    </w:lvl>
    <w:lvl w:ilvl="8">
      <w:start w:val="1"/>
      <w:numFmt w:val="decimal"/>
      <w:lvlText w:val="%1."/>
      <w:lvlJc w:val="left"/>
      <w:pPr>
        <w:ind w:left="425" w:hanging="425"/>
      </w:pPr>
      <w:rPr>
        <w:rFonts w:ascii="Times New Roman" w:hAnsi="Times New Roman" w:hint="default"/>
      </w:rPr>
    </w:lvl>
  </w:abstractNum>
  <w:abstractNum w:abstractNumId="3">
    <w:nsid w:val="C8522770"/>
    <w:multiLevelType w:val="multilevel"/>
    <w:tmpl w:val="C8522770"/>
    <w:lvl w:ilvl="0">
      <w:start w:val="0"/>
      <w:numFmt w:val="decimal"/>
      <w:pStyle w:val="1913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4">
    <w:nsid w:val="DAF6D134"/>
    <w:multiLevelType w:val="multilevel"/>
    <w:tmpl w:val="DAF6D134"/>
    <w:lvl w:ilvl="0">
      <w:start w:val="0"/>
      <w:numFmt w:val="decimal"/>
      <w:pStyle w:val="111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5">
    <w:nsid w:val="E627004B"/>
    <w:multiLevelType w:val="multilevel"/>
    <w:tmpl w:val="E627004B"/>
    <w:lvl w:ilvl="0">
      <w:start w:val="0"/>
      <w:numFmt w:val="decimal"/>
      <w:pStyle w:val="346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6">
    <w:nsid w:val="00000006"/>
    <w:multiLevelType w:val="multilevel"/>
    <w:tmpl w:val="00000006"/>
    <w:lvl w:ilvl="0">
      <w:start w:val="0"/>
      <w:numFmt w:val="decimal"/>
      <w:pStyle w:val="317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7">
    <w:nsid w:val="1459A003"/>
    <w:multiLevelType w:val="multilevel"/>
    <w:tmpl w:val="1459A003"/>
    <w:lvl w:ilvl="0">
      <w:start w:val="0"/>
      <w:numFmt w:val="decimal"/>
      <w:pStyle w:val="2015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8">
    <w:nsid w:val="1674CA19"/>
    <w:multiLevelType w:val="multilevel"/>
    <w:tmpl w:val="1674CA19"/>
    <w:lvl w:ilvl="0">
      <w:start w:val="19"/>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nsid w:val="21F4456E"/>
    <w:multiLevelType w:val="multilevel"/>
    <w:tmpl w:val="21F4456E"/>
    <w:lvl w:ilvl="0">
      <w:start w:val="1"/>
      <w:numFmt w:val="chineseCountingThousand"/>
      <w:lvlText w:val="%1、"/>
      <w:lvlJc w:val="left"/>
      <w:pPr>
        <w:ind w:left="600" w:hanging="600"/>
      </w:pPr>
      <w:rPr>
        <w:rFonts w:cs="Times New Roman" w:hint="default"/>
      </w:rPr>
    </w:lvl>
    <w:lvl w:ilvl="1">
      <w:start w:val="1"/>
      <w:numFmt w:val="decimal"/>
      <w:lvlText w:val="（%2）"/>
      <w:lvlJc w:val="left"/>
      <w:pPr>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20" w:hanging="360"/>
      </w:pPr>
      <w:rPr>
        <w:rFonts w:cs="Times New Roman" w:hint="default"/>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0">
    <w:nsid w:val="287F3E2F"/>
    <w:multiLevelType w:val="multilevel"/>
    <w:tmpl w:val="287F3E2F"/>
    <w:lvl w:ilvl="0">
      <w:start w:val="1"/>
      <w:numFmt w:val="decimal"/>
      <w:lvlText w:val="%1."/>
      <w:lvlJc w:val="left"/>
      <w:pPr>
        <w:ind w:left="0" w:firstLine="0"/>
      </w:pPr>
      <w:rPr>
        <w:rFonts w:cs="Times New Roman" w:hint="eastAsia"/>
      </w:rPr>
    </w:lvl>
    <w:lvl w:ilvl="1">
      <w:start w:val="1"/>
      <w:numFmt w:val="decimal"/>
      <w:lvlText w:val="%1.%2"/>
      <w:lvlJc w:val="left"/>
      <w:pPr>
        <w:ind w:left="284" w:firstLine="0"/>
      </w:pPr>
      <w:rPr>
        <w:rFonts w:cs="Times New Roman" w:hint="eastAsia"/>
        <w:b w:val="0"/>
      </w:rPr>
    </w:lvl>
    <w:lvl w:ilvl="2">
      <w:start w:val="1"/>
      <w:numFmt w:val="decimal"/>
      <w:lvlText w:val="%1.%2.%3"/>
      <w:lvlJc w:val="left"/>
      <w:pPr>
        <w:ind w:left="0" w:firstLine="0"/>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11">
    <w:nsid w:val="30D823AA"/>
    <w:multiLevelType w:val="multilevel"/>
    <w:tmpl w:val="B22136E3"/>
    <w:lvl w:ilvl="0">
      <w:start w:val="0"/>
      <w:numFmt w:val="decimal"/>
      <w:pStyle w:val="1844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12">
    <w:nsid w:val="45854E40"/>
    <w:multiLevelType w:val="multilevel"/>
    <w:tmpl w:val="45854E40"/>
    <w:lvl w:ilvl="0">
      <w:start w:val="0"/>
      <w:numFmt w:val="decimal"/>
      <w:pStyle w:val="652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13">
    <w:nsid w:val="4B0161DD"/>
    <w:multiLevelType w:val="singleLevel"/>
    <w:tmpl w:val="4B0161DD"/>
    <w:lvl w:ilvl="0">
      <w:start w:val="1"/>
      <w:numFmt w:val="bullet"/>
      <w:pStyle w:val="ListBullet"/>
      <w:lvlText w:val=""/>
      <w:lvlJc w:val="left"/>
      <w:pPr>
        <w:ind w:left="340" w:hanging="340"/>
      </w:pPr>
      <w:rPr>
        <w:rFonts w:ascii="Wingdings" w:hAnsi="Wingdings" w:hint="default"/>
        <w:b w:val="0"/>
        <w:i w:val="0"/>
        <w:spacing w:val="0"/>
        <w:w w:val="100"/>
        <w:kern w:val="24"/>
        <w:position w:val="0"/>
        <w:sz w:val="24"/>
      </w:rPr>
    </w:lvl>
  </w:abstractNum>
  <w:abstractNum w:abstractNumId="14">
    <w:nsid w:val="5DBA7426"/>
    <w:multiLevelType w:val="singleLevel"/>
    <w:tmpl w:val="5DBA7426"/>
    <w:lvl w:ilvl="0">
      <w:start w:val="1"/>
      <w:numFmt w:val="chineseCounting"/>
      <w:suff w:val="nothing"/>
      <w:lvlText w:val="（%1）"/>
      <w:lvlJc w:val="left"/>
      <w:pPr>
        <w:ind w:left="683" w:firstLine="0"/>
      </w:pPr>
      <w:rPr>
        <w:rFonts w:hint="eastAsia"/>
      </w:rPr>
    </w:lvl>
  </w:abstractNum>
  <w:abstractNum w:abstractNumId="15">
    <w:nsid w:val="5E44AADA"/>
    <w:multiLevelType w:val="multilevel"/>
    <w:tmpl w:val="5E44AADA"/>
    <w:lvl w:ilvl="0">
      <w:start w:val="18"/>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nsid w:val="76933334"/>
    <w:multiLevelType w:val="multilevel"/>
    <w:tmpl w:val="76933334"/>
    <w:lvl w:ilvl="0">
      <w:start w:val="1"/>
      <w:numFmt w:val="none"/>
      <w:pStyle w:val="a12"/>
      <w:lvlText w:val="%1——"/>
      <w:lvlJc w:val="left"/>
      <w:pPr>
        <w:ind w:left="3780" w:hanging="420"/>
      </w:pPr>
      <w:rPr>
        <w:rFonts w:cs="Times New Roman" w:hint="eastAsia"/>
      </w:rPr>
    </w:lvl>
    <w:lvl w:ilvl="1">
      <w:start w:val="1"/>
      <w:numFmt w:val="lowerLetter"/>
      <w:lvlText w:val="%2)"/>
      <w:lvlJc w:val="left"/>
      <w:pPr>
        <w:ind w:left="3780" w:hanging="420"/>
      </w:pPr>
      <w:rPr>
        <w:rFonts w:cs="Times New Roman"/>
      </w:rPr>
    </w:lvl>
    <w:lvl w:ilvl="2">
      <w:start w:val="1"/>
      <w:numFmt w:val="lowerRoman"/>
      <w:lvlText w:val="%3."/>
      <w:lvlJc w:val="right"/>
      <w:pPr>
        <w:ind w:left="4200" w:hanging="420"/>
      </w:pPr>
      <w:rPr>
        <w:rFonts w:cs="Times New Roman"/>
      </w:rPr>
    </w:lvl>
    <w:lvl w:ilvl="3">
      <w:start w:val="1"/>
      <w:numFmt w:val="decimal"/>
      <w:lvlText w:val="%4."/>
      <w:lvlJc w:val="left"/>
      <w:pPr>
        <w:ind w:left="4620" w:hanging="420"/>
      </w:pPr>
      <w:rPr>
        <w:rFonts w:cs="Times New Roman"/>
      </w:rPr>
    </w:lvl>
    <w:lvl w:ilvl="4">
      <w:start w:val="1"/>
      <w:numFmt w:val="lowerLetter"/>
      <w:lvlText w:val="%5)"/>
      <w:lvlJc w:val="left"/>
      <w:pPr>
        <w:ind w:left="5040" w:hanging="420"/>
      </w:pPr>
      <w:rPr>
        <w:rFonts w:cs="Times New Roman"/>
      </w:rPr>
    </w:lvl>
    <w:lvl w:ilvl="5">
      <w:start w:val="1"/>
      <w:numFmt w:val="lowerRoman"/>
      <w:lvlText w:val="%6."/>
      <w:lvlJc w:val="right"/>
      <w:pPr>
        <w:ind w:left="5460" w:hanging="420"/>
      </w:pPr>
      <w:rPr>
        <w:rFonts w:cs="Times New Roman"/>
      </w:rPr>
    </w:lvl>
    <w:lvl w:ilvl="6">
      <w:start w:val="1"/>
      <w:numFmt w:val="decimal"/>
      <w:lvlText w:val="%7."/>
      <w:lvlJc w:val="left"/>
      <w:pPr>
        <w:ind w:left="5880" w:hanging="420"/>
      </w:pPr>
      <w:rPr>
        <w:rFonts w:cs="Times New Roman"/>
      </w:rPr>
    </w:lvl>
    <w:lvl w:ilvl="7">
      <w:start w:val="1"/>
      <w:numFmt w:val="lowerLetter"/>
      <w:lvlText w:val="%8)"/>
      <w:lvlJc w:val="left"/>
      <w:pPr>
        <w:ind w:left="6300" w:hanging="420"/>
      </w:pPr>
      <w:rPr>
        <w:rFonts w:cs="Times New Roman"/>
      </w:rPr>
    </w:lvl>
    <w:lvl w:ilvl="8">
      <w:start w:val="1"/>
      <w:numFmt w:val="lowerRoman"/>
      <w:lvlText w:val="%9."/>
      <w:lvlJc w:val="right"/>
      <w:pPr>
        <w:ind w:left="6720" w:hanging="420"/>
      </w:pPr>
      <w:rPr>
        <w:rFonts w:cs="Times New Roman"/>
      </w:rPr>
    </w:lvl>
  </w:abstractNum>
  <w:num w:numId="1">
    <w:abstractNumId w:val="9"/>
  </w:num>
  <w:num w:numId="2">
    <w:abstractNumId w:val="14"/>
  </w:num>
  <w:num w:numId="3">
    <w:abstractNumId w:val="0"/>
  </w:num>
  <w:num w:numId="4">
    <w:abstractNumId w:val="10"/>
  </w:num>
  <w:num w:numId="5">
    <w:abstractNumId w:val="15"/>
  </w:num>
  <w:num w:numId="6">
    <w:abstractNumId w:val="8"/>
  </w:num>
  <w:num w:numId="7">
    <w:abstractNumId w:val="2"/>
  </w:num>
  <w:num w:numId="8">
    <w:abstractNumId w:val="13"/>
  </w:num>
  <w:num w:numId="9">
    <w:abstractNumId w:val="3"/>
  </w:num>
  <w:num w:numId="10">
    <w:abstractNumId w:val="11"/>
  </w:num>
  <w:num w:numId="11">
    <w:abstractNumId w:val="6"/>
  </w:num>
  <w:num w:numId="12">
    <w:abstractNumId w:val="5"/>
  </w:num>
  <w:num w:numId="13">
    <w:abstractNumId w:val="16"/>
  </w:num>
  <w:num w:numId="14">
    <w:abstractNumId w:val="7"/>
  </w:num>
  <w:num w:numId="15">
    <w:abstractNumId w:val="4"/>
  </w:num>
  <w:num w:numId="16">
    <w:abstractNumId w:val="1"/>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87"/>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4MjliNWY2MjIyNGU0MjViOTE0MzQ4Njg3MWY4NjY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after="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50" w:after="5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8"/>
      </w:numPr>
      <w:tabs>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57" w:afterAutospacing="0" w:line="240" w:lineRule="auto"/>
      <w:ind w:left="567"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character" w:styleId="Strong">
    <w:name w:val="Strong"/>
    <w:rPr>
      <w:b/>
    </w:rPr>
  </w:style>
  <w:style w:type="character" w:styleId="EndnoteReference">
    <w:name w:val="endnote reference"/>
    <w:basedOn w:val="DefaultParagraphFont"/>
    <w:rPr>
      <w:vertAlign w:val="superscript"/>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
    <w:name w:val="正文文本缩进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
    <w:name w:val="纯文本 Char1"/>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
    <w:name w:val="标题 4 Char1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0">
    <w:name w:val="页码 Char"/>
    <w:basedOn w:val="DefaultParagraphFont"/>
    <w:rPr>
      <w:rFonts w:ascii="Times New Roman" w:eastAsia="微软雅黑" w:hAnsi="Times New Roman" w:cs="Times New Roman"/>
      <w:sz w:val="20"/>
      <w:lang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9"/>
      </w:numPr>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0"/>
      </w:numPr>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0"/>
      </w:numPr>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0"/>
      </w:numPr>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ind w:firstLine="0"/>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1"/>
      </w:numPr>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numPr>
        <w:ilvl w:val="0"/>
        <w:numId w:val="10"/>
      </w:numPr>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0"/>
      </w:numPr>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0"/>
      </w:numPr>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212"/>
    <w:pPr>
      <w:widowControl w:val="0"/>
      <w:jc w:val="both"/>
    </w:pPr>
    <w:rPr>
      <w:rFonts w:ascii="Calibri" w:eastAsia="宋体" w:hAnsi="Calibri" w:cs="Times New Roman"/>
      <w:kern w:val="2"/>
      <w:sz w:val="21"/>
      <w:szCs w:val="22"/>
      <w:lang w:val="en-US" w:eastAsia="zh-CN" w:bidi="ar-SA"/>
    </w:rPr>
  </w:style>
  <w:style w:type="paragraph" w:customStyle="1" w:styleId="212">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1410"/>
    <w:pPr>
      <w:widowControl w:val="0"/>
      <w:jc w:val="both"/>
    </w:pPr>
    <w:rPr>
      <w:rFonts w:ascii="宋体" w:eastAsia="宋体" w:cs="Times New Roman"/>
      <w:kern w:val="2"/>
      <w:sz w:val="21"/>
      <w:szCs w:val="21"/>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109"/>
    <w:pPr>
      <w:widowControl w:val="0"/>
      <w:jc w:val="both"/>
    </w:pPr>
    <w:rPr>
      <w:rFonts w:ascii="Times New Roman" w:eastAsia="宋体" w:hAnsi="Times New Roman" w:cs="Times New Roman"/>
      <w:kern w:val="2"/>
      <w:sz w:val="21"/>
      <w:szCs w:val="22"/>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lang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100"/>
    <w:pPr>
      <w:widowControl w:val="0"/>
      <w:jc w:val="both"/>
    </w:pPr>
    <w:rPr>
      <w:rFonts w:ascii="宋体" w:eastAsia="宋体" w:cs="Times New Roman"/>
      <w:kern w:val="2"/>
      <w:sz w:val="21"/>
      <w:szCs w:val="21"/>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spacing w:line="240" w:lineRule="auto"/>
      <w:jc w:val="left"/>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spacing w:line="240" w:lineRule="auto"/>
      <w:jc w:val="left"/>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44810">
    <w:name w:val="样式 448 10 磅"/>
    <w:next w:val="649"/>
    <w:pPr>
      <w:widowControl w:val="0"/>
      <w:numPr>
        <w:ilvl w:val="0"/>
        <w:numId w:val="10"/>
      </w:numPr>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numPr>
        <w:ilvl w:val="0"/>
        <w:numId w:val="9"/>
      </w:numPr>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lang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numPr>
        <w:ilvl w:val="0"/>
        <w:numId w:val="10"/>
      </w:numPr>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2"/>
      </w:numPr>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numPr>
        <w:ilvl w:val="0"/>
        <w:numId w:val="10"/>
      </w:numPr>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lang w:bidi="ar-SA"/>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0"/>
      </w:numPr>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numPr>
        <w:ilvl w:val="0"/>
        <w:numId w:val="10"/>
      </w:numPr>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numPr>
        <w:ilvl w:val="0"/>
        <w:numId w:val="10"/>
      </w:numPr>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3"/>
      </w:numPr>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numPr>
        <w:ilvl w:val="0"/>
        <w:numId w:val="10"/>
      </w:numPr>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0"/>
      </w:numPr>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Char10">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lang w:bidi="ar-SA"/>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lang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lang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numPr>
        <w:ilvl w:val="0"/>
        <w:numId w:val="10"/>
      </w:numPr>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lang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numPr>
        <w:ilvl w:val="0"/>
        <w:numId w:val="10"/>
      </w:numPr>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3"/>
    <w:pPr>
      <w:widowControl w:val="0"/>
      <w:jc w:val="both"/>
    </w:pPr>
    <w:rPr>
      <w:rFonts w:ascii="Times New Roman" w:eastAsia="宋体" w:hAnsi="Times New Roman" w:cs="Times New Roman"/>
      <w:kern w:val="2"/>
      <w:sz w:val="21"/>
      <w:szCs w:val="22"/>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a15">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6">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462"/>
    <w:pPr>
      <w:widowControl w:val="0"/>
      <w:jc w:val="both"/>
    </w:pPr>
    <w:rPr>
      <w:rFonts w:ascii="Calibri" w:eastAsia="宋体" w:hAnsi="Calibri" w:cs="Times New Roman"/>
      <w:kern w:val="2"/>
      <w:sz w:val="21"/>
      <w:szCs w:val="22"/>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15"/>
      </w:numPr>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lang w:bidi="ar-SA"/>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711"/>
    <w:pPr>
      <w:widowControl w:val="0"/>
      <w:jc w:val="both"/>
    </w:pPr>
    <w:rPr>
      <w:rFonts w:ascii="宋体" w:eastAsia="宋体" w:cs="Times New Roman"/>
      <w:kern w:val="2"/>
      <w:sz w:val="21"/>
      <w:szCs w:val="21"/>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33"/>
    <w:pPr>
      <w:widowControl w:val="0"/>
      <w:jc w:val="both"/>
    </w:pPr>
    <w:rPr>
      <w:rFonts w:ascii="宋体" w:eastAsia="宋体" w:cs="Times New Roman"/>
      <w:kern w:val="2"/>
      <w:sz w:val="21"/>
      <w:szCs w:val="21"/>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lang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125">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lang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before="240" w:after="240"/>
    </w:pPr>
    <w:rPr>
      <w:rFonts w:ascii="Arial" w:hAnsi="Arial"/>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2102">
    <w:name w:val="样式 2 10 磅"/>
    <w:next w:val="z-1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lang w:bidi="ar-SA"/>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a19">
    <w:name w:val="正文 + 宋体"/>
    <w:basedOn w:val="Normal"/>
    <w:pPr>
      <w:widowControl/>
      <w:ind w:left="360" w:hanging="360"/>
      <w:jc w:val="left"/>
    </w:pPr>
    <w:rPr>
      <w:rFonts w:ascii="宋体" w:cs="宋体"/>
      <w:b/>
      <w:bCs/>
      <w:color w:val="000000"/>
      <w:kern w:val="0"/>
      <w:sz w:val="18"/>
      <w:szCs w:val="18"/>
      <w:lang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lang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numPr>
        <w:ilvl w:val="0"/>
        <w:numId w:val="11"/>
      </w:numPr>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20">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150"/>
    <w:pPr>
      <w:widowControl w:val="0"/>
      <w:jc w:val="both"/>
    </w:pPr>
    <w:rPr>
      <w:rFonts w:ascii="Times New Roman" w:eastAsia="宋体" w:hAnsi="Times New Roman" w:cs="Times New Roman"/>
      <w:kern w:val="2"/>
      <w:sz w:val="21"/>
      <w:szCs w:val="22"/>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1">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151"/>
    <w:pPr>
      <w:widowControl w:val="0"/>
      <w:jc w:val="both"/>
    </w:pPr>
    <w:rPr>
      <w:rFonts w:ascii="Times New Roman" w:eastAsia="宋体" w:hAnsi="Times New Roman" w:cs="Times New Roman"/>
      <w:kern w:val="2"/>
      <w:sz w:val="21"/>
      <w:szCs w:val="22"/>
      <w:lang w:val="en-US" w:eastAsia="zh-CN" w:bidi="ar-SA"/>
    </w:rPr>
  </w:style>
  <w:style w:type="paragraph" w:customStyle="1" w:styleId="151">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2"/>
    <w:pPr>
      <w:widowControl w:val="0"/>
      <w:jc w:val="both"/>
    </w:pPr>
    <w:rPr>
      <w:rFonts w:ascii="Times New Roman" w:eastAsia="宋体" w:hAnsi="Times New Roman" w:cs="Times New Roman"/>
      <w:kern w:val="2"/>
      <w:sz w:val="21"/>
      <w:szCs w:val="21"/>
      <w:lang w:val="en-US" w:eastAsia="zh-CN" w:bidi="ar-SA"/>
    </w:rPr>
  </w:style>
  <w:style w:type="paragraph" w:customStyle="1" w:styleId="152">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1210"/>
    <w:pPr>
      <w:widowControl w:val="0"/>
      <w:jc w:val="both"/>
    </w:pPr>
    <w:rPr>
      <w:rFonts w:ascii="宋体" w:eastAsia="宋体" w:cs="Times New Roman"/>
      <w:kern w:val="2"/>
      <w:sz w:val="21"/>
      <w:szCs w:val="21"/>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4111"/>
    <w:pPr>
      <w:widowControl w:val="0"/>
      <w:jc w:val="both"/>
    </w:pPr>
    <w:rPr>
      <w:rFonts w:ascii="Calibri" w:eastAsia="宋体" w:hAnsi="Calibri" w:cs="Times New Roman"/>
      <w:kern w:val="2"/>
      <w:sz w:val="21"/>
      <w:szCs w:val="22"/>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1"/>
    <w:next w:val="07-E3-"/>
    <w:pPr>
      <w:widowControl w:val="0"/>
      <w:numPr>
        <w:ilvl w:val="0"/>
        <w:numId w:val="12"/>
      </w:numPr>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16"/>
      </w:numPr>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0"/>
      </w:numPr>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lang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4">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01"/>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金宏发行正文"/>
    <w:basedOn w:val="Normal"/>
    <w:pPr>
      <w:spacing w:line="500" w:lineRule="exact"/>
      <w:ind w:firstLine="200" w:firstLineChars="200"/>
    </w:pPr>
    <w:rPr>
      <w:rFonts w:eastAsia="Times New Roman" w:cs="宋体"/>
      <w:sz w:val="28"/>
      <w:szCs w:val="20"/>
      <w:lang w:bidi="ar-SA"/>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0"/>
      </w:numPr>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1016">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numPr>
        <w:ilvl w:val="0"/>
        <w:numId w:val="10"/>
      </w:numPr>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numPr>
        <w:ilvl w:val="0"/>
        <w:numId w:val="10"/>
      </w:numPr>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numPr>
        <w:ilvl w:val="0"/>
        <w:numId w:val="9"/>
      </w:numPr>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2">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196">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numPr>
        <w:ilvl w:val="0"/>
        <w:numId w:val="10"/>
      </w:numPr>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9">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17"/>
      </w:numPr>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0"/>
      </w:numPr>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三号"/>
    <w:next w:val="115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51">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45210">
    <w:name w:val="样式 452 10 磅"/>
    <w:next w:val="6530"/>
    <w:pPr>
      <w:widowControl w:val="0"/>
      <w:numPr>
        <w:ilvl w:val="0"/>
        <w:numId w:val="10"/>
      </w:numPr>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2">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0">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1530">
    <w:name w:val="样式 153 小四"/>
    <w:next w:val="373"/>
    <w:pPr>
      <w:keepNext/>
      <w:keepLines/>
      <w:widowControl w:val="0"/>
      <w:spacing w:before="340" w:after="330" w:line="576" w:lineRule="auto"/>
      <w:outlineLvl w:val="0"/>
    </w:pPr>
    <w:rPr>
      <w:rFonts w:ascii="Calibri" w:eastAsia="宋体" w:hAnsi="Calibri" w:cs="Times New Roman"/>
      <w:sz w:val="24"/>
      <w:szCs w:val="24"/>
      <w:lang w:val="en-US" w:eastAsia="zh-CN" w:bidi="ar-SA"/>
    </w:rPr>
  </w:style>
  <w:style w:type="paragraph" w:customStyle="1" w:styleId="10711">
    <w:name w:val="样式 107 小四"/>
    <w:next w:val="2511"/>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0911">
    <w:name w:val="样式 109 小四"/>
    <w:next w:val="40"/>
    <w:pPr>
      <w:keepNext/>
      <w:keepLines/>
      <w:widowControl w:val="0"/>
      <w:spacing w:before="340" w:after="330" w:line="576" w:lineRule="auto"/>
      <w:outlineLvl w:val="0"/>
    </w:pPr>
    <w:rPr>
      <w:rFonts w:ascii="Calibri" w:eastAsia="宋体" w:hAnsi="Calibri" w:cs="Times New Roman"/>
      <w:sz w:val="24"/>
      <w:szCs w:val="24"/>
      <w:lang w:val="en-US" w:eastAsia="zh-CN" w:bidi="ar-SA"/>
    </w:rPr>
  </w:style>
  <w:style w:type="paragraph" w:customStyle="1" w:styleId="11013">
    <w:name w:val="样式 110 小四"/>
    <w:next w:val="205510"/>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112 小四"/>
    <w:next w:val="3801"/>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3801">
    <w:name w:val="样式 38 小四_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311">
    <w:name w:val="样式 113 小四"/>
    <w:next w:val="23"/>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1512">
    <w:name w:val="样式 115 小四"/>
    <w:next w:val="360"/>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1611">
    <w:name w:val="样式 116 小四"/>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201710">
    <w:name w:val="样式 2017 10 磅"/>
    <w:next w:val="1210"/>
    <w:pPr>
      <w:widowControl w:val="0"/>
      <w:jc w:val="both"/>
    </w:pPr>
    <w:rPr>
      <w:rFonts w:ascii="Times New Roman" w:eastAsia="宋体" w:hAnsi="Times New Roman" w:cs="Times New Roman"/>
      <w:kern w:val="2"/>
      <w:sz w:val="21"/>
      <w:szCs w:val="21"/>
      <w:lang w:val="en-US" w:eastAsia="zh-CN" w:bidi="ar-SA"/>
    </w:rPr>
  </w:style>
  <w:style w:type="paragraph" w:customStyle="1" w:styleId="201810">
    <w:name w:val="样式 2018 10 磅"/>
    <w:next w:val="810"/>
    <w:pPr>
      <w:widowControl w:val="0"/>
      <w:jc w:val="both"/>
    </w:pPr>
    <w:rPr>
      <w:rFonts w:ascii="Times New Roman" w:eastAsia="宋体" w:hAnsi="Times New Roman" w:cs="Times New Roman"/>
      <w:kern w:val="2"/>
      <w:sz w:val="21"/>
      <w:szCs w:val="21"/>
      <w:lang w:val="en-US" w:eastAsia="zh-CN" w:bidi="ar-SA"/>
    </w:rPr>
  </w:style>
  <w:style w:type="paragraph" w:customStyle="1" w:styleId="201910">
    <w:name w:val="样式 2019 10 磅"/>
    <w:next w:val="6102"/>
    <w:pPr>
      <w:widowControl w:val="0"/>
      <w:jc w:val="both"/>
    </w:pPr>
    <w:rPr>
      <w:rFonts w:ascii="Times New Roman" w:eastAsia="宋体" w:hAnsi="Times New Roman" w:cs="Times New Roman"/>
      <w:kern w:val="2"/>
      <w:sz w:val="21"/>
      <w:szCs w:val="21"/>
      <w:lang w:val="en-US" w:eastAsia="zh-CN" w:bidi="ar-SA"/>
    </w:rPr>
  </w:style>
  <w:style w:type="paragraph" w:customStyle="1" w:styleId="202010">
    <w:name w:val="样式 2020 10 磅"/>
    <w:next w:val="3100"/>
    <w:pPr>
      <w:widowControl w:val="0"/>
      <w:jc w:val="both"/>
    </w:pPr>
    <w:rPr>
      <w:rFonts w:ascii="Times New Roman" w:eastAsia="宋体" w:hAnsi="Times New Roman" w:cs="Times New Roman"/>
      <w:kern w:val="2"/>
      <w:sz w:val="21"/>
      <w:szCs w:val="21"/>
      <w:lang w:val="en-US" w:eastAsia="zh-CN" w:bidi="ar-SA"/>
    </w:rPr>
  </w:style>
  <w:style w:type="paragraph" w:customStyle="1" w:styleId="202110">
    <w:name w:val="样式 2021 10 磅"/>
    <w:next w:val="205210"/>
    <w:pPr>
      <w:widowControl w:val="0"/>
      <w:jc w:val="both"/>
    </w:pPr>
    <w:rPr>
      <w:rFonts w:ascii="Times New Roman" w:eastAsia="宋体" w:hAnsi="Times New Roman" w:cs="Times New Roman"/>
      <w:kern w:val="2"/>
      <w:sz w:val="21"/>
      <w:szCs w:val="21"/>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2210">
    <w:name w:val="样式 2022 10 磅"/>
    <w:next w:val="11012"/>
    <w:pPr>
      <w:widowControl w:val="0"/>
      <w:jc w:val="both"/>
    </w:pPr>
    <w:rPr>
      <w:rFonts w:ascii="Times New Roman" w:eastAsia="宋体" w:hAnsi="Times New Roman" w:cs="Times New Roman"/>
      <w:kern w:val="2"/>
      <w:sz w:val="21"/>
      <w:szCs w:val="21"/>
      <w:lang w:val="en-US" w:eastAsia="zh-CN" w:bidi="ar-SA"/>
    </w:rPr>
  </w:style>
  <w:style w:type="paragraph" w:customStyle="1" w:styleId="202310">
    <w:name w:val="样式 2023 10 磅"/>
    <w:next w:val="205610"/>
    <w:pPr>
      <w:widowControl w:val="0"/>
      <w:jc w:val="both"/>
    </w:pPr>
    <w:rPr>
      <w:rFonts w:ascii="Times New Roman" w:eastAsia="宋体" w:hAnsi="Times New Roman" w:cs="Times New Roman"/>
      <w:kern w:val="2"/>
      <w:sz w:val="21"/>
      <w:szCs w:val="21"/>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2410">
    <w:name w:val="样式 2024 10 磅"/>
    <w:next w:val="42"/>
    <w:pPr>
      <w:widowControl w:val="0"/>
      <w:jc w:val="both"/>
    </w:pPr>
    <w:rPr>
      <w:rFonts w:ascii="Times New Roman" w:eastAsia="宋体" w:hAnsi="Times New Roman" w:cs="Times New Roman"/>
      <w:kern w:val="2"/>
      <w:sz w:val="21"/>
      <w:szCs w:val="21"/>
      <w:lang w:val="en-US" w:eastAsia="zh-CN" w:bidi="ar-SA"/>
    </w:rPr>
  </w:style>
  <w:style w:type="paragraph" w:customStyle="1" w:styleId="202510">
    <w:name w:val="样式 2025 10 磅"/>
    <w:next w:val="BodyText30"/>
    <w:pPr>
      <w:widowControl w:val="0"/>
      <w:jc w:val="both"/>
    </w:pPr>
    <w:rPr>
      <w:rFonts w:ascii="Times New Roman" w:eastAsia="宋体" w:hAnsi="Times New Roman" w:cs="Times New Roman"/>
      <w:kern w:val="2"/>
      <w:sz w:val="21"/>
      <w:szCs w:val="21"/>
      <w:lang w:val="en-US" w:eastAsia="zh-CN" w:bidi="ar-SA"/>
    </w:rPr>
  </w:style>
  <w:style w:type="paragraph" w:customStyle="1" w:styleId="BodyText30">
    <w:name w:val="Body Text 3_0"/>
    <w:next w:val="BodyText31"/>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BodyText31">
    <w:name w:val="Body Text 3_1"/>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202610">
    <w:name w:val="样式 2026 10 磅"/>
    <w:next w:val="412"/>
    <w:pPr>
      <w:widowControl w:val="0"/>
      <w:jc w:val="both"/>
    </w:pPr>
    <w:rPr>
      <w:rFonts w:ascii="Times New Roman" w:eastAsia="宋体" w:hAnsi="Times New Roman" w:cs="Times New Roman"/>
      <w:kern w:val="2"/>
      <w:sz w:val="21"/>
      <w:szCs w:val="21"/>
      <w:lang w:val="en-US" w:eastAsia="zh-CN" w:bidi="ar-SA"/>
    </w:rPr>
  </w:style>
  <w:style w:type="paragraph" w:customStyle="1" w:styleId="202710">
    <w:name w:val="样式 2027 10 磅"/>
    <w:next w:val="3601"/>
    <w:pPr>
      <w:widowControl w:val="0"/>
      <w:jc w:val="both"/>
    </w:pPr>
    <w:rPr>
      <w:rFonts w:ascii="Times New Roman" w:eastAsia="宋体" w:hAnsi="Times New Roman" w:cs="Times New Roman"/>
      <w:kern w:val="2"/>
      <w:sz w:val="21"/>
      <w:szCs w:val="21"/>
      <w:lang w:val="en-US" w:eastAsia="zh-CN" w:bidi="ar-SA"/>
    </w:rPr>
  </w:style>
  <w:style w:type="paragraph" w:customStyle="1" w:styleId="3601">
    <w:name w:val="样式 36 小四_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2810">
    <w:name w:val="样式 2028 10 磅"/>
    <w:next w:val="313"/>
    <w:pPr>
      <w:widowControl w:val="0"/>
      <w:jc w:val="both"/>
    </w:pPr>
    <w:rPr>
      <w:rFonts w:ascii="Times New Roman" w:eastAsia="宋体" w:hAnsi="Times New Roman" w:cs="Times New Roman"/>
      <w:kern w:val="2"/>
      <w:sz w:val="21"/>
      <w:szCs w:val="21"/>
      <w:lang w:val="en-US" w:eastAsia="zh-CN" w:bidi="ar-SA"/>
    </w:rPr>
  </w:style>
  <w:style w:type="paragraph" w:customStyle="1" w:styleId="202910">
    <w:name w:val="样式 2029 10 磅"/>
    <w:next w:val="290"/>
    <w:pPr>
      <w:widowControl w:val="0"/>
      <w:jc w:val="both"/>
    </w:pPr>
    <w:rPr>
      <w:rFonts w:ascii="Times New Roman" w:eastAsia="宋体" w:hAnsi="Times New Roman" w:cs="Times New Roman"/>
      <w:kern w:val="2"/>
      <w:sz w:val="21"/>
      <w:szCs w:val="21"/>
      <w:lang w:val="en-US" w:eastAsia="zh-CN" w:bidi="ar-SA"/>
    </w:rPr>
  </w:style>
  <w:style w:type="paragraph" w:customStyle="1" w:styleId="203010">
    <w:name w:val="样式 2030 10 磅"/>
    <w:next w:val="2712"/>
    <w:pPr>
      <w:widowControl w:val="0"/>
      <w:jc w:val="both"/>
    </w:pPr>
    <w:rPr>
      <w:rFonts w:ascii="Times New Roman" w:eastAsia="宋体" w:hAnsi="Times New Roman" w:cs="Times New Roman"/>
      <w:kern w:val="2"/>
      <w:sz w:val="21"/>
      <w:szCs w:val="21"/>
      <w:lang w:val="en-US" w:eastAsia="zh-CN" w:bidi="ar-SA"/>
    </w:rPr>
  </w:style>
  <w:style w:type="paragraph" w:customStyle="1" w:styleId="203110">
    <w:name w:val="样式 2031 10 磅"/>
    <w:next w:val="242"/>
    <w:pPr>
      <w:widowControl w:val="0"/>
      <w:jc w:val="both"/>
    </w:pPr>
    <w:rPr>
      <w:rFonts w:ascii="Times New Roman" w:eastAsia="宋体" w:hAnsi="Times New Roman" w:cs="Times New Roman"/>
      <w:kern w:val="2"/>
      <w:sz w:val="21"/>
      <w:szCs w:val="21"/>
      <w:lang w:val="en-US" w:eastAsia="zh-CN" w:bidi="ar-SA"/>
    </w:rPr>
  </w:style>
  <w:style w:type="paragraph" w:customStyle="1" w:styleId="203210">
    <w:name w:val="样式 2032 10 磅"/>
    <w:next w:val="103"/>
    <w:pPr>
      <w:widowControl w:val="0"/>
      <w:jc w:val="both"/>
    </w:pPr>
    <w:rPr>
      <w:rFonts w:ascii="Times New Roman" w:eastAsia="宋体" w:hAnsi="Times New Roman" w:cs="Times New Roman"/>
      <w:kern w:val="2"/>
      <w:sz w:val="21"/>
      <w:szCs w:val="21"/>
      <w:lang w:val="en-US" w:eastAsia="zh-CN" w:bidi="ar-SA"/>
    </w:rPr>
  </w:style>
  <w:style w:type="paragraph" w:customStyle="1" w:styleId="203310">
    <w:name w:val="样式 2033 10 磅"/>
    <w:next w:val="812"/>
    <w:pPr>
      <w:widowControl w:val="0"/>
      <w:jc w:val="both"/>
    </w:pPr>
    <w:rPr>
      <w:rFonts w:ascii="Times New Roman" w:eastAsia="宋体" w:hAnsi="Times New Roman" w:cs="Times New Roman"/>
      <w:kern w:val="2"/>
      <w:sz w:val="21"/>
      <w:szCs w:val="21"/>
      <w:lang w:val="en-US" w:eastAsia="zh-CN" w:bidi="ar-SA"/>
    </w:rPr>
  </w:style>
  <w:style w:type="paragraph" w:customStyle="1" w:styleId="203410">
    <w:name w:val="样式 2034 10 磅"/>
    <w:next w:val="60"/>
    <w:pPr>
      <w:widowControl w:val="0"/>
      <w:jc w:val="both"/>
    </w:pPr>
    <w:rPr>
      <w:rFonts w:ascii="Times New Roman" w:eastAsia="宋体" w:hAnsi="Times New Roman" w:cs="Times New Roman"/>
      <w:kern w:val="2"/>
      <w:sz w:val="21"/>
      <w:szCs w:val="21"/>
      <w:lang w:val="en-US" w:eastAsia="zh-CN" w:bidi="ar-SA"/>
    </w:rPr>
  </w:style>
  <w:style w:type="paragraph" w:customStyle="1" w:styleId="203510">
    <w:name w:val="样式 2035 10 磅"/>
    <w:next w:val="48"/>
    <w:pPr>
      <w:widowControl w:val="0"/>
      <w:jc w:val="both"/>
    </w:pPr>
    <w:rPr>
      <w:rFonts w:ascii="Times New Roman" w:eastAsia="宋体" w:hAnsi="Times New Roman" w:cs="Times New Roman"/>
      <w:kern w:val="2"/>
      <w:sz w:val="21"/>
      <w:szCs w:val="21"/>
      <w:lang w:val="en-US" w:eastAsia="zh-CN" w:bidi="ar-SA"/>
    </w:rPr>
  </w:style>
  <w:style w:type="paragraph" w:customStyle="1" w:styleId="203610">
    <w:name w:val="样式 2036 10 磅"/>
    <w:next w:val="NoSpacing"/>
    <w:pPr>
      <w:widowControl w:val="0"/>
      <w:jc w:val="both"/>
    </w:pPr>
    <w:rPr>
      <w:rFonts w:ascii="Times New Roman" w:eastAsia="宋体" w:hAnsi="Times New Roman" w:cs="Times New Roman"/>
      <w:kern w:val="2"/>
      <w:sz w:val="21"/>
      <w:szCs w:val="21"/>
      <w:lang w:val="en-US" w:eastAsia="zh-CN" w:bidi="ar-SA"/>
    </w:rPr>
  </w:style>
  <w:style w:type="paragraph" w:customStyle="1" w:styleId="NoSpacing">
    <w:name w:val="No Spacing"/>
    <w:rPr>
      <w:rFonts w:ascii="Calibri" w:eastAsia="Calibri" w:hAnsi="Calibri" w:cs="Calibri"/>
      <w:lang w:val="en-US" w:eastAsia="zh-CN" w:bidi="ar-SA"/>
    </w:rPr>
  </w:style>
  <w:style w:type="paragraph" w:customStyle="1" w:styleId="203710">
    <w:name w:val="样式 2037 10 磅"/>
    <w:pPr>
      <w:widowControl w:val="0"/>
      <w:jc w:val="both"/>
    </w:pPr>
    <w:rPr>
      <w:rFonts w:ascii="Times New Roman" w:eastAsia="宋体" w:hAnsi="Times New Roman" w:cs="Times New Roman"/>
      <w:kern w:val="2"/>
      <w:sz w:val="21"/>
      <w:szCs w:val="21"/>
      <w:lang w:val="en-US" w:eastAsia="zh-CN" w:bidi="ar-SA"/>
    </w:rPr>
  </w:style>
  <w:style w:type="character" w:customStyle="1" w:styleId="Heading1Char">
    <w:name w:val="Heading 1 Char"/>
    <w:basedOn w:val="DefaultParagraphFont"/>
    <w:rPr>
      <w:rFonts w:ascii="Arial" w:eastAsia="Arial" w:hAnsi="Arial" w:cs="Arial"/>
      <w:sz w:val="40"/>
      <w:szCs w:val="40"/>
    </w:rPr>
  </w:style>
  <w:style w:type="paragraph" w:customStyle="1" w:styleId="2812">
    <w:name w:val="样式 2 8 磅"/>
    <w:pPr>
      <w:widowControl w:val="0"/>
      <w:spacing w:before="100" w:beforeAutospacing="1" w:after="120" w:line="360" w:lineRule="auto"/>
      <w:ind w:firstLine="480"/>
      <w:jc w:val="both"/>
    </w:pPr>
    <w:rPr>
      <w:rFonts w:ascii="Calibri" w:eastAsia="宋体" w:hAnsi="Calibri" w:cs="Times New Roman"/>
      <w:color w:val="595959"/>
      <w:sz w:val="16"/>
      <w:szCs w:val="16"/>
      <w:lang w:val="en-US" w:eastAsia="zh-CN" w:bidi="ar-SA"/>
    </w:rPr>
  </w:style>
  <w:style w:type="paragraph" w:customStyle="1" w:styleId="1187">
    <w:name w:val="样式 118 小四"/>
    <w:next w:val="TOC2"/>
    <w:pPr>
      <w:widowControl w:val="0"/>
      <w:spacing w:line="360" w:lineRule="auto"/>
      <w:ind w:firstLine="480"/>
    </w:pPr>
    <w:rPr>
      <w:rFonts w:ascii="Calibri" w:eastAsia="宋体" w:hAnsi="Calibri" w:cs="Times New Roman"/>
      <w:sz w:val="24"/>
      <w:szCs w:val="24"/>
      <w:lang w:val="en-US" w:eastAsia="zh-CN" w:bidi="ar-SA"/>
    </w:rPr>
  </w:style>
  <w:style w:type="paragraph" w:customStyle="1" w:styleId="1191">
    <w:name w:val="样式 119 小四"/>
    <w:next w:val="910"/>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202">
    <w:name w:val="样式 120 小四"/>
    <w:next w:val="344"/>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214">
    <w:name w:val="样式 121 小四"/>
    <w:next w:val="205410"/>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9911">
    <w:name w:val="样式 99 小四"/>
    <w:next w:val="Footer"/>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222">
    <w:name w:val="样式 122 小四"/>
    <w:next w:val="2011"/>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4813">
    <w:name w:val="样式 4 8 磅"/>
    <w:next w:val="18"/>
    <w:pPr>
      <w:widowControl w:val="0"/>
      <w:spacing w:before="100" w:beforeAutospacing="1" w:after="120" w:line="360" w:lineRule="auto"/>
      <w:ind w:firstLine="480"/>
      <w:jc w:val="both"/>
    </w:pPr>
    <w:rPr>
      <w:rFonts w:ascii="Calibri" w:eastAsia="宋体" w:hAnsi="Calibri" w:cs="Times New Roman"/>
      <w:color w:val="595959"/>
      <w:sz w:val="16"/>
      <w:szCs w:val="16"/>
      <w:lang w:val="en-US" w:eastAsia="zh-CN" w:bidi="ar-SA"/>
    </w:rPr>
  </w:style>
  <w:style w:type="paragraph" w:customStyle="1" w:styleId="1231">
    <w:name w:val="样式 123 小四"/>
    <w:next w:val="1711"/>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242">
    <w:name w:val="样式 124 小四"/>
    <w:next w:val="TOC7"/>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252">
    <w:name w:val="样式 125 小四"/>
    <w:next w:val="152"/>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360">
    <w:name w:val="样式 136 小四"/>
    <w:next w:val="13"/>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460">
    <w:name w:val="样式 146 小四"/>
    <w:next w:val="BodyText3"/>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470">
    <w:name w:val="样式 147 小四"/>
    <w:next w:val="31"/>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480">
    <w:name w:val="样式 148 小四"/>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490">
    <w:name w:val="样式 149 小四"/>
    <w:next w:val="12"/>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6912">
    <w:name w:val="样式 69 小四"/>
    <w:next w:val="Subtitle"/>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501">
    <w:name w:val="样式 150 小四"/>
    <w:next w:val="a10"/>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1513">
    <w:name w:val="样式 151 小四"/>
    <w:next w:val="CommentText"/>
    <w:pPr>
      <w:widowControl w:val="0"/>
      <w:spacing w:line="360" w:lineRule="auto"/>
      <w:ind w:firstLine="480"/>
      <w:jc w:val="both"/>
    </w:pPr>
    <w:rPr>
      <w:rFonts w:ascii="Calibri" w:eastAsia="宋体" w:hAnsi="Calibri" w:cs="Times New Roman"/>
      <w:sz w:val="24"/>
      <w:szCs w:val="24"/>
      <w:lang w:val="en-US" w:eastAsia="zh-CN" w:bidi="ar-SA"/>
    </w:rPr>
  </w:style>
  <w:style w:type="paragraph" w:customStyle="1" w:styleId="40810">
    <w:name w:val="样式 408 10 磅"/>
    <w:pPr>
      <w:widowControl w:val="0"/>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Times New Roman" w:eastAsia="宋体" w:hAnsi="Times New Roman" w:cs="Times New Roman"/>
      <w:kern w:val="2"/>
      <w:sz w:val="21"/>
      <w:szCs w:val="24"/>
      <w:lang w:val="en-US" w:eastAsia="zh-CN" w:bidi="ar-SA"/>
    </w:rPr>
  </w:style>
  <w:style w:type="paragraph" w:customStyle="1" w:styleId="40110">
    <w:name w:val="样式 401 10 磅"/>
    <w:pPr>
      <w:widowControl w:val="0"/>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jc w:val="both"/>
    </w:pPr>
    <w:rPr>
      <w:rFonts w:ascii="Times New Roman" w:eastAsia="宋体" w:hAnsi="Times New Roman" w:cs="Times New Roman"/>
      <w:kern w:val="2"/>
      <w:sz w:val="21"/>
      <w:szCs w:val="24"/>
      <w:lang w:val="en-US" w:eastAsia="zh-CN" w:bidi="ar-SA"/>
    </w:rPr>
  </w:style>
  <w:style w:type="paragraph" w:customStyle="1" w:styleId="40910">
    <w:name w:val="样式 409 10 磅"/>
    <w:pPr>
      <w:widowControl w:val="0"/>
      <w:jc w:val="both"/>
    </w:pPr>
    <w:rPr>
      <w:rFonts w:ascii="Times New Roman" w:eastAsia="宋体" w:hAnsi="Times New Roman" w:cs="Times New Roman"/>
      <w:kern w:val="2"/>
      <w:sz w:val="21"/>
      <w:szCs w:val="22"/>
      <w:lang w:val="en-US" w:eastAsia="zh-CN" w:bidi="ar-SA"/>
    </w:rPr>
  </w:style>
  <w:style w:type="paragraph" w:customStyle="1" w:styleId="2104">
    <w:name w:val="样式 2 四号"/>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41010">
    <w:name w:val="样式 41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Times New Roman" w:eastAsia="宋体" w:hAnsi="Times New Roman" w:cs="Times New Roman"/>
      <w:kern w:val="2"/>
      <w:sz w:val="21"/>
      <w:szCs w:val="22"/>
      <w:lang w:val="en-US" w:eastAsia="zh-CN" w:bidi="ar-SA"/>
    </w:rPr>
  </w:style>
  <w:style w:type="paragraph" w:customStyle="1" w:styleId="42810">
    <w:name w:val="样式 428 10 磅"/>
    <w:pPr>
      <w:widowControl w:val="0"/>
      <w:spacing w:line="360" w:lineRule="auto"/>
      <w:jc w:val="both"/>
    </w:pPr>
    <w:rPr>
      <w:rFonts w:ascii="宋体" w:eastAsia="宋体" w:cs="Times New Roman"/>
      <w:kern w:val="2"/>
      <w:sz w:val="21"/>
      <w:szCs w:val="21"/>
      <w:lang w:val="en-US" w:eastAsia="zh-CN" w:bidi="ar-SA"/>
    </w:rPr>
  </w:style>
  <w:style w:type="paragraph" w:customStyle="1" w:styleId="42910">
    <w:name w:val="样式 429 10 磅"/>
    <w:pPr>
      <w:widowControl w:val="0"/>
      <w:spacing w:line="360" w:lineRule="auto"/>
      <w:jc w:val="both"/>
    </w:pPr>
    <w:rPr>
      <w:rFonts w:ascii="宋体" w:eastAsia="宋体" w:cs="Times New Roman"/>
      <w:kern w:val="2"/>
      <w:sz w:val="21"/>
      <w:szCs w:val="21"/>
      <w:lang w:val="en-US" w:eastAsia="zh-CN" w:bidi="ar-SA"/>
    </w:rPr>
  </w:style>
  <w:style w:type="paragraph" w:customStyle="1" w:styleId="43010">
    <w:name w:val="样式 430 10 磅"/>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pPr>
      <w:widowControl w:val="0"/>
      <w:spacing w:line="360" w:lineRule="auto"/>
      <w:jc w:val="both"/>
    </w:pPr>
    <w:rPr>
      <w:rFonts w:ascii="宋体" w:eastAsia="宋体" w:cs="Times New Roman"/>
      <w:kern w:val="2"/>
      <w:sz w:val="21"/>
      <w:szCs w:val="21"/>
      <w:lang w:val="en-US" w:eastAsia="zh-CN" w:bidi="ar-SA"/>
    </w:rPr>
  </w:style>
  <w:style w:type="paragraph" w:customStyle="1" w:styleId="43210">
    <w:name w:val="样式 432 10 磅"/>
    <w:pPr>
      <w:widowControl w:val="0"/>
      <w:spacing w:line="360" w:lineRule="auto"/>
      <w:jc w:val="both"/>
    </w:pPr>
    <w:rPr>
      <w:rFonts w:ascii="宋体" w:eastAsia="宋体" w:cs="Times New Roman"/>
      <w:kern w:val="2"/>
      <w:sz w:val="21"/>
      <w:szCs w:val="21"/>
      <w:lang w:val="en-US" w:eastAsia="zh-CN" w:bidi="ar-SA"/>
    </w:rPr>
  </w:style>
  <w:style w:type="paragraph" w:customStyle="1" w:styleId="43310">
    <w:name w:val="样式 433 10 磅"/>
    <w:pPr>
      <w:widowControl w:val="0"/>
      <w:spacing w:line="360" w:lineRule="auto"/>
      <w:jc w:val="both"/>
    </w:pPr>
    <w:rPr>
      <w:rFonts w:ascii="宋体" w:eastAsia="宋体" w:cs="Times New Roman"/>
      <w:kern w:val="2"/>
      <w:sz w:val="21"/>
      <w:szCs w:val="21"/>
      <w:lang w:val="en-US" w:eastAsia="zh-CN" w:bidi="ar-SA"/>
    </w:rPr>
  </w:style>
  <w:style w:type="paragraph" w:customStyle="1" w:styleId="43710">
    <w:name w:val="样式 437 10 磅"/>
    <w:pPr>
      <w:widowControl w:val="0"/>
      <w:spacing w:line="360" w:lineRule="auto"/>
      <w:jc w:val="both"/>
    </w:pPr>
    <w:rPr>
      <w:rFonts w:ascii="宋体" w:eastAsia="宋体" w:cs="Times New Roman"/>
      <w:kern w:val="2"/>
      <w:sz w:val="21"/>
      <w:szCs w:val="21"/>
      <w:lang w:val="en-US" w:eastAsia="zh-CN" w:bidi="ar-SA"/>
    </w:rPr>
  </w:style>
  <w:style w:type="paragraph" w:customStyle="1" w:styleId="44110">
    <w:name w:val="样式 441 10 磅"/>
    <w:pPr>
      <w:widowControl w:val="0"/>
      <w:spacing w:line="360" w:lineRule="auto"/>
      <w:jc w:val="both"/>
    </w:pPr>
    <w:rPr>
      <w:rFonts w:ascii="宋体" w:eastAsia="宋体" w:cs="Times New Roman"/>
      <w:kern w:val="2"/>
      <w:sz w:val="21"/>
      <w:szCs w:val="21"/>
      <w:lang w:val="en-US" w:eastAsia="zh-CN" w:bidi="ar-SA"/>
    </w:rPr>
  </w:style>
  <w:style w:type="paragraph" w:customStyle="1" w:styleId="45410">
    <w:name w:val="样式 454 10 磅"/>
    <w:pPr>
      <w:widowControl w:val="0"/>
      <w:spacing w:line="360" w:lineRule="auto"/>
      <w:jc w:val="both"/>
    </w:pPr>
    <w:rPr>
      <w:rFonts w:ascii="宋体" w:eastAsia="宋体" w:cs="Times New Roman"/>
      <w:kern w:val="2"/>
      <w:sz w:val="21"/>
      <w:szCs w:val="21"/>
      <w:lang w:val="en-US" w:eastAsia="zh-CN" w:bidi="ar-SA"/>
    </w:rPr>
  </w:style>
  <w:style w:type="paragraph" w:customStyle="1" w:styleId="45610">
    <w:name w:val="样式 456 10 磅"/>
    <w:pPr>
      <w:widowControl w:val="0"/>
      <w:spacing w:line="360" w:lineRule="auto"/>
      <w:jc w:val="both"/>
    </w:pPr>
    <w:rPr>
      <w:rFonts w:ascii="宋体" w:eastAsia="宋体" w:cs="Times New Roman"/>
      <w:kern w:val="2"/>
      <w:sz w:val="21"/>
      <w:szCs w:val="21"/>
      <w:lang w:val="en-US" w:eastAsia="zh-CN" w:bidi="ar-SA"/>
    </w:rPr>
  </w:style>
  <w:style w:type="paragraph" w:customStyle="1" w:styleId="45710">
    <w:name w:val="样式 457 10 磅"/>
    <w:pPr>
      <w:widowControl w:val="0"/>
      <w:spacing w:line="360" w:lineRule="auto"/>
      <w:jc w:val="both"/>
    </w:pPr>
    <w:rPr>
      <w:rFonts w:ascii="宋体" w:eastAsia="宋体" w:cs="Times New Roman"/>
      <w:kern w:val="2"/>
      <w:sz w:val="21"/>
      <w:szCs w:val="21"/>
      <w:lang w:val="en-US" w:eastAsia="zh-CN" w:bidi="ar-SA"/>
    </w:rPr>
  </w:style>
  <w:style w:type="paragraph" w:customStyle="1" w:styleId="45810">
    <w:name w:val="样式 458 10 磅"/>
    <w:pPr>
      <w:widowControl w:val="0"/>
      <w:spacing w:line="360" w:lineRule="auto"/>
      <w:jc w:val="both"/>
    </w:pPr>
    <w:rPr>
      <w:rFonts w:ascii="宋体" w:eastAsia="宋体" w:cs="Times New Roman"/>
      <w:kern w:val="2"/>
      <w:sz w:val="21"/>
      <w:szCs w:val="21"/>
      <w:lang w:val="en-US" w:eastAsia="zh-CN" w:bidi="ar-SA"/>
    </w:rPr>
  </w:style>
  <w:style w:type="paragraph" w:customStyle="1" w:styleId="46010">
    <w:name w:val="样式 460 10 磅"/>
    <w:pPr>
      <w:widowControl w:val="0"/>
      <w:spacing w:line="360" w:lineRule="auto"/>
      <w:jc w:val="both"/>
    </w:pPr>
    <w:rPr>
      <w:rFonts w:ascii="宋体" w:eastAsia="宋体" w:cs="Times New Roman"/>
      <w:kern w:val="2"/>
      <w:sz w:val="21"/>
      <w:szCs w:val="21"/>
      <w:lang w:val="en-US" w:eastAsia="zh-CN" w:bidi="ar-SA"/>
    </w:rPr>
  </w:style>
  <w:style w:type="paragraph" w:customStyle="1" w:styleId="46110">
    <w:name w:val="样式 461 10 磅"/>
    <w:pPr>
      <w:widowControl w:val="0"/>
      <w:spacing w:line="360" w:lineRule="auto"/>
      <w:jc w:val="both"/>
    </w:pPr>
    <w:rPr>
      <w:rFonts w:ascii="宋体" w:eastAsia="宋体" w:cs="Times New Roman"/>
      <w:kern w:val="2"/>
      <w:sz w:val="21"/>
      <w:szCs w:val="21"/>
      <w:lang w:val="en-US" w:eastAsia="zh-CN" w:bidi="ar-SA"/>
    </w:rPr>
  </w:style>
  <w:style w:type="paragraph" w:customStyle="1" w:styleId="46210">
    <w:name w:val="样式 462 10 磅"/>
    <w:pPr>
      <w:widowControl w:val="0"/>
      <w:spacing w:line="360" w:lineRule="auto"/>
      <w:jc w:val="both"/>
    </w:pPr>
    <w:rPr>
      <w:rFonts w:ascii="宋体" w:eastAsia="宋体" w:cs="Times New Roman"/>
      <w:kern w:val="2"/>
      <w:sz w:val="21"/>
      <w:szCs w:val="21"/>
      <w:lang w:val="en-US" w:eastAsia="zh-CN" w:bidi="ar-SA"/>
    </w:rPr>
  </w:style>
  <w:style w:type="paragraph" w:customStyle="1" w:styleId="46310">
    <w:name w:val="样式 463 10 磅"/>
    <w:pPr>
      <w:widowControl w:val="0"/>
      <w:spacing w:line="360" w:lineRule="auto"/>
      <w:jc w:val="both"/>
    </w:pPr>
    <w:rPr>
      <w:rFonts w:ascii="宋体" w:eastAsia="宋体" w:cs="Times New Roman"/>
      <w:kern w:val="2"/>
      <w:sz w:val="21"/>
      <w:szCs w:val="21"/>
      <w:lang w:val="en-US" w:eastAsia="zh-CN" w:bidi="ar-SA"/>
    </w:rPr>
  </w:style>
  <w:style w:type="paragraph" w:customStyle="1" w:styleId="46410">
    <w:name w:val="样式 464 10 磅"/>
    <w:pPr>
      <w:widowControl w:val="0"/>
      <w:spacing w:line="360" w:lineRule="auto"/>
      <w:jc w:val="both"/>
    </w:pPr>
    <w:rPr>
      <w:rFonts w:ascii="宋体" w:eastAsia="宋体" w:cs="Times New Roman"/>
      <w:kern w:val="2"/>
      <w:sz w:val="21"/>
      <w:szCs w:val="21"/>
      <w:lang w:val="en-US" w:eastAsia="zh-CN" w:bidi="ar-SA"/>
    </w:rPr>
  </w:style>
  <w:style w:type="paragraph" w:customStyle="1" w:styleId="46510">
    <w:name w:val="样式 465 10 磅"/>
    <w:pPr>
      <w:widowControl w:val="0"/>
      <w:spacing w:line="360" w:lineRule="auto"/>
      <w:jc w:val="both"/>
    </w:pPr>
    <w:rPr>
      <w:rFonts w:ascii="宋体" w:eastAsia="宋体" w:cs="Times New Roman"/>
      <w:kern w:val="2"/>
      <w:sz w:val="21"/>
      <w:szCs w:val="21"/>
      <w:lang w:val="en-US" w:eastAsia="zh-CN" w:bidi="ar-SA"/>
    </w:rPr>
  </w:style>
  <w:style w:type="paragraph" w:customStyle="1" w:styleId="46610">
    <w:name w:val="样式 466 10 磅"/>
    <w:pPr>
      <w:widowControl w:val="0"/>
      <w:spacing w:line="360" w:lineRule="auto"/>
      <w:jc w:val="both"/>
    </w:pPr>
    <w:rPr>
      <w:rFonts w:ascii="宋体" w:eastAsia="宋体" w:cs="Times New Roman"/>
      <w:kern w:val="2"/>
      <w:sz w:val="21"/>
      <w:szCs w:val="21"/>
      <w:lang w:val="en-US" w:eastAsia="zh-CN" w:bidi="ar-SA"/>
    </w:rPr>
  </w:style>
  <w:style w:type="paragraph" w:customStyle="1" w:styleId="46710">
    <w:name w:val="样式 467 10 磅"/>
    <w:pPr>
      <w:widowControl w:val="0"/>
      <w:spacing w:line="360" w:lineRule="auto"/>
      <w:jc w:val="both"/>
    </w:pPr>
    <w:rPr>
      <w:rFonts w:ascii="宋体" w:eastAsia="宋体" w:cs="Times New Roman"/>
      <w:kern w:val="2"/>
      <w:sz w:val="21"/>
      <w:szCs w:val="21"/>
      <w:lang w:val="en-US" w:eastAsia="zh-CN" w:bidi="ar-SA"/>
    </w:rPr>
  </w:style>
  <w:style w:type="paragraph" w:customStyle="1" w:styleId="46810">
    <w:name w:val="样式 468 10 磅"/>
    <w:pPr>
      <w:widowControl w:val="0"/>
      <w:spacing w:line="360" w:lineRule="auto"/>
      <w:jc w:val="both"/>
    </w:pPr>
    <w:rPr>
      <w:rFonts w:ascii="宋体" w:eastAsia="宋体" w:cs="Times New Roman"/>
      <w:kern w:val="2"/>
      <w:sz w:val="21"/>
      <w:szCs w:val="21"/>
      <w:lang w:val="en-US" w:eastAsia="zh-CN" w:bidi="ar-SA"/>
    </w:rPr>
  </w:style>
  <w:style w:type="paragraph" w:customStyle="1" w:styleId="46910">
    <w:name w:val="样式 469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spacing w:line="360" w:lineRule="auto"/>
      <w:jc w:val="both"/>
    </w:pPr>
    <w:rPr>
      <w:rFonts w:ascii="宋体" w:eastAsia="宋体" w:cs="Times New Roman"/>
      <w:kern w:val="2"/>
      <w:sz w:val="21"/>
      <w:szCs w:val="21"/>
      <w:lang w:val="en-US" w:eastAsia="zh-CN" w:bidi="ar-SA"/>
    </w:rPr>
  </w:style>
  <w:style w:type="paragraph" w:customStyle="1" w:styleId="47110">
    <w:name w:val="样式 471 10 磅"/>
    <w:pPr>
      <w:widowControl w:val="0"/>
      <w:spacing w:line="360" w:lineRule="auto"/>
      <w:jc w:val="both"/>
    </w:pPr>
    <w:rPr>
      <w:rFonts w:ascii="宋体" w:eastAsia="宋体" w:cs="Times New Roman"/>
      <w:kern w:val="2"/>
      <w:sz w:val="21"/>
      <w:szCs w:val="21"/>
      <w:lang w:val="en-US" w:eastAsia="zh-CN" w:bidi="ar-SA"/>
    </w:rPr>
  </w:style>
  <w:style w:type="paragraph" w:customStyle="1" w:styleId="47210">
    <w:name w:val="样式 472 10 磅"/>
    <w:pPr>
      <w:widowControl w:val="0"/>
      <w:spacing w:line="360" w:lineRule="auto"/>
      <w:jc w:val="both"/>
    </w:pPr>
    <w:rPr>
      <w:rFonts w:ascii="宋体" w:eastAsia="宋体" w:cs="Times New Roman"/>
      <w:kern w:val="2"/>
      <w:sz w:val="21"/>
      <w:szCs w:val="21"/>
      <w:lang w:val="en-US" w:eastAsia="zh-CN" w:bidi="ar-SA"/>
    </w:rPr>
  </w:style>
  <w:style w:type="paragraph" w:customStyle="1" w:styleId="47310">
    <w:name w:val="样式 473 10 磅"/>
    <w:pPr>
      <w:widowControl w:val="0"/>
      <w:spacing w:line="360" w:lineRule="auto"/>
      <w:jc w:val="both"/>
    </w:pPr>
    <w:rPr>
      <w:rFonts w:ascii="宋体" w:eastAsia="宋体" w:cs="Times New Roman"/>
      <w:kern w:val="2"/>
      <w:sz w:val="21"/>
      <w:szCs w:val="21"/>
      <w:lang w:val="en-US" w:eastAsia="zh-CN" w:bidi="ar-SA"/>
    </w:rPr>
  </w:style>
  <w:style w:type="paragraph" w:customStyle="1" w:styleId="47410">
    <w:name w:val="样式 474 10 磅"/>
    <w:pPr>
      <w:widowControl w:val="0"/>
      <w:spacing w:line="360" w:lineRule="auto"/>
      <w:jc w:val="both"/>
    </w:pPr>
    <w:rPr>
      <w:rFonts w:ascii="宋体" w:eastAsia="宋体" w:cs="Times New Roman"/>
      <w:kern w:val="2"/>
      <w:sz w:val="21"/>
      <w:szCs w:val="21"/>
      <w:lang w:val="en-US" w:eastAsia="zh-CN" w:bidi="ar-SA"/>
    </w:rPr>
  </w:style>
  <w:style w:type="paragraph" w:customStyle="1" w:styleId="47510">
    <w:name w:val="样式 475 10 磅"/>
    <w:pPr>
      <w:widowControl w:val="0"/>
      <w:spacing w:line="360" w:lineRule="auto"/>
      <w:jc w:val="both"/>
    </w:pPr>
    <w:rPr>
      <w:rFonts w:ascii="宋体" w:eastAsia="宋体" w:cs="Times New Roman"/>
      <w:kern w:val="2"/>
      <w:sz w:val="21"/>
      <w:szCs w:val="21"/>
      <w:lang w:val="en-US" w:eastAsia="zh-CN" w:bidi="ar-SA"/>
    </w:rPr>
  </w:style>
  <w:style w:type="paragraph" w:customStyle="1" w:styleId="47610">
    <w:name w:val="样式 476 10 磅"/>
    <w:pPr>
      <w:widowControl w:val="0"/>
      <w:spacing w:line="360" w:lineRule="auto"/>
      <w:jc w:val="both"/>
    </w:pPr>
    <w:rPr>
      <w:rFonts w:ascii="宋体" w:eastAsia="宋体" w:cs="Times New Roman"/>
      <w:kern w:val="2"/>
      <w:sz w:val="21"/>
      <w:szCs w:val="21"/>
      <w:lang w:val="en-US" w:eastAsia="zh-CN" w:bidi="ar-SA"/>
    </w:rPr>
  </w:style>
  <w:style w:type="paragraph" w:customStyle="1" w:styleId="47710">
    <w:name w:val="样式 477 10 磅"/>
    <w:pPr>
      <w:widowControl w:val="0"/>
      <w:spacing w:line="360" w:lineRule="auto"/>
      <w:jc w:val="both"/>
    </w:pPr>
    <w:rPr>
      <w:rFonts w:ascii="宋体" w:eastAsia="宋体" w:cs="Times New Roman"/>
      <w:kern w:val="2"/>
      <w:sz w:val="21"/>
      <w:szCs w:val="21"/>
      <w:lang w:val="en-US" w:eastAsia="zh-CN" w:bidi="ar-SA"/>
    </w:rPr>
  </w:style>
  <w:style w:type="paragraph" w:customStyle="1" w:styleId="47810">
    <w:name w:val="样式 478 10 磅"/>
    <w:pPr>
      <w:widowControl w:val="0"/>
      <w:spacing w:line="360" w:lineRule="auto"/>
      <w:jc w:val="both"/>
    </w:pPr>
    <w:rPr>
      <w:rFonts w:ascii="宋体" w:eastAsia="宋体" w:cs="Times New Roman"/>
      <w:kern w:val="2"/>
      <w:sz w:val="21"/>
      <w:szCs w:val="21"/>
      <w:lang w:val="en-US" w:eastAsia="zh-CN" w:bidi="ar-SA"/>
    </w:rPr>
  </w:style>
  <w:style w:type="paragraph" w:customStyle="1" w:styleId="47910">
    <w:name w:val="样式 47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8010">
    <w:name w:val="样式 480 10 磅"/>
    <w:pPr>
      <w:widowControl w:val="0"/>
      <w:spacing w:line="360" w:lineRule="auto"/>
      <w:jc w:val="both"/>
    </w:pPr>
    <w:rPr>
      <w:rFonts w:ascii="宋体" w:eastAsia="宋体" w:cs="Times New Roman"/>
      <w:kern w:val="2"/>
      <w:sz w:val="21"/>
      <w:szCs w:val="21"/>
      <w:lang w:val="en-US" w:eastAsia="zh-CN" w:bidi="ar-SA"/>
    </w:rPr>
  </w:style>
  <w:style w:type="paragraph" w:customStyle="1" w:styleId="48110">
    <w:name w:val="样式 481 10 磅"/>
    <w:pPr>
      <w:widowControl w:val="0"/>
      <w:spacing w:line="360" w:lineRule="auto"/>
      <w:jc w:val="both"/>
    </w:pPr>
    <w:rPr>
      <w:rFonts w:ascii="宋体" w:eastAsia="宋体" w:cs="Times New Roman"/>
      <w:kern w:val="2"/>
      <w:sz w:val="21"/>
      <w:szCs w:val="21"/>
      <w:lang w:val="en-US" w:eastAsia="zh-CN" w:bidi="ar-SA"/>
    </w:rPr>
  </w:style>
  <w:style w:type="paragraph" w:customStyle="1" w:styleId="48210">
    <w:name w:val="样式 482 10 磅"/>
    <w:pPr>
      <w:widowControl w:val="0"/>
      <w:spacing w:line="360" w:lineRule="auto"/>
      <w:jc w:val="both"/>
    </w:pPr>
    <w:rPr>
      <w:rFonts w:ascii="宋体" w:eastAsia="宋体" w:cs="Times New Roman"/>
      <w:kern w:val="2"/>
      <w:sz w:val="21"/>
      <w:szCs w:val="21"/>
      <w:lang w:val="en-US" w:eastAsia="zh-CN" w:bidi="ar-SA"/>
    </w:rPr>
  </w:style>
  <w:style w:type="paragraph" w:customStyle="1" w:styleId="48310">
    <w:name w:val="样式 483 10 磅"/>
    <w:pPr>
      <w:widowControl w:val="0"/>
      <w:spacing w:line="360" w:lineRule="auto"/>
      <w:jc w:val="both"/>
    </w:pPr>
    <w:rPr>
      <w:rFonts w:ascii="宋体" w:eastAsia="宋体" w:cs="Times New Roman"/>
      <w:kern w:val="2"/>
      <w:sz w:val="21"/>
      <w:szCs w:val="21"/>
      <w:lang w:val="en-US" w:eastAsia="zh-CN" w:bidi="ar-SA"/>
    </w:rPr>
  </w:style>
  <w:style w:type="paragraph" w:customStyle="1" w:styleId="48410">
    <w:name w:val="样式 484 10 磅"/>
    <w:pPr>
      <w:widowControl w:val="0"/>
      <w:spacing w:line="360" w:lineRule="auto"/>
      <w:jc w:val="both"/>
    </w:pPr>
    <w:rPr>
      <w:rFonts w:ascii="宋体" w:eastAsia="宋体" w:cs="Times New Roman"/>
      <w:kern w:val="2"/>
      <w:sz w:val="21"/>
      <w:szCs w:val="21"/>
      <w:lang w:val="en-US" w:eastAsia="zh-CN" w:bidi="ar-SA"/>
    </w:rPr>
  </w:style>
  <w:style w:type="paragraph" w:customStyle="1" w:styleId="48510">
    <w:name w:val="样式 485 10 磅"/>
    <w:pPr>
      <w:widowControl w:val="0"/>
      <w:spacing w:line="360" w:lineRule="auto"/>
      <w:jc w:val="both"/>
    </w:pPr>
    <w:rPr>
      <w:rFonts w:ascii="宋体" w:eastAsia="宋体" w:cs="Times New Roman"/>
      <w:kern w:val="2"/>
      <w:sz w:val="21"/>
      <w:szCs w:val="21"/>
      <w:lang w:val="en-US" w:eastAsia="zh-CN" w:bidi="ar-SA"/>
    </w:rPr>
  </w:style>
  <w:style w:type="paragraph" w:customStyle="1" w:styleId="48610">
    <w:name w:val="样式 486 10 磅"/>
    <w:pPr>
      <w:widowControl w:val="0"/>
      <w:spacing w:line="360" w:lineRule="auto"/>
      <w:jc w:val="both"/>
    </w:pPr>
    <w:rPr>
      <w:rFonts w:ascii="宋体" w:eastAsia="宋体" w:cs="Times New Roman"/>
      <w:kern w:val="2"/>
      <w:sz w:val="21"/>
      <w:szCs w:val="21"/>
      <w:lang w:val="en-US" w:eastAsia="zh-CN" w:bidi="ar-SA"/>
    </w:rPr>
  </w:style>
  <w:style w:type="paragraph" w:customStyle="1" w:styleId="48710">
    <w:name w:val="样式 487 10 磅"/>
    <w:pPr>
      <w:widowControl w:val="0"/>
      <w:spacing w:line="360" w:lineRule="auto"/>
      <w:jc w:val="both"/>
    </w:pPr>
    <w:rPr>
      <w:rFonts w:ascii="宋体" w:eastAsia="宋体" w:cs="Times New Roman"/>
      <w:kern w:val="2"/>
      <w:sz w:val="21"/>
      <w:szCs w:val="21"/>
      <w:lang w:val="en-US" w:eastAsia="zh-CN" w:bidi="ar-SA"/>
    </w:rPr>
  </w:style>
  <w:style w:type="paragraph" w:customStyle="1" w:styleId="48810">
    <w:name w:val="样式 488 10 磅"/>
    <w:pPr>
      <w:widowControl w:val="0"/>
      <w:spacing w:line="360" w:lineRule="auto"/>
      <w:jc w:val="both"/>
    </w:pPr>
    <w:rPr>
      <w:rFonts w:ascii="宋体" w:eastAsia="宋体" w:cs="Times New Roman"/>
      <w:kern w:val="2"/>
      <w:sz w:val="21"/>
      <w:szCs w:val="21"/>
      <w:lang w:val="en-US" w:eastAsia="zh-CN" w:bidi="ar-SA"/>
    </w:rPr>
  </w:style>
  <w:style w:type="paragraph" w:customStyle="1" w:styleId="48910">
    <w:name w:val="样式 489 10 磅"/>
    <w:pPr>
      <w:widowControl w:val="0"/>
      <w:spacing w:line="360" w:lineRule="auto"/>
      <w:jc w:val="both"/>
    </w:pPr>
    <w:rPr>
      <w:rFonts w:ascii="宋体" w:eastAsia="宋体" w:cs="Times New Roman"/>
      <w:kern w:val="2"/>
      <w:sz w:val="21"/>
      <w:szCs w:val="21"/>
      <w:lang w:val="en-US" w:eastAsia="zh-CN" w:bidi="ar-SA"/>
    </w:rPr>
  </w:style>
  <w:style w:type="paragraph" w:customStyle="1" w:styleId="49010">
    <w:name w:val="样式 490 10 磅"/>
    <w:pPr>
      <w:widowControl w:val="0"/>
      <w:spacing w:line="360" w:lineRule="auto"/>
      <w:jc w:val="both"/>
    </w:pPr>
    <w:rPr>
      <w:rFonts w:ascii="宋体" w:eastAsia="宋体" w:cs="Times New Roman"/>
      <w:kern w:val="2"/>
      <w:sz w:val="21"/>
      <w:szCs w:val="21"/>
      <w:lang w:val="en-US" w:eastAsia="zh-CN" w:bidi="ar-SA"/>
    </w:rPr>
  </w:style>
  <w:style w:type="paragraph" w:customStyle="1" w:styleId="49110">
    <w:name w:val="样式 4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9210">
    <w:name w:val="样式 492 10 磅"/>
    <w:pPr>
      <w:widowControl w:val="0"/>
      <w:spacing w:line="360" w:lineRule="auto"/>
      <w:jc w:val="both"/>
    </w:pPr>
    <w:rPr>
      <w:rFonts w:ascii="宋体" w:eastAsia="宋体" w:cs="Times New Roman"/>
      <w:kern w:val="2"/>
      <w:sz w:val="21"/>
      <w:szCs w:val="21"/>
      <w:lang w:val="en-US" w:eastAsia="zh-CN" w:bidi="ar-SA"/>
    </w:rPr>
  </w:style>
  <w:style w:type="paragraph" w:customStyle="1" w:styleId="49310">
    <w:name w:val="样式 493 10 磅"/>
    <w:pPr>
      <w:widowControl w:val="0"/>
      <w:spacing w:line="360" w:lineRule="auto"/>
      <w:jc w:val="both"/>
    </w:pPr>
    <w:rPr>
      <w:rFonts w:ascii="宋体" w:eastAsia="宋体" w:cs="Times New Roman"/>
      <w:kern w:val="2"/>
      <w:sz w:val="21"/>
      <w:szCs w:val="21"/>
      <w:lang w:val="en-US" w:eastAsia="zh-CN" w:bidi="ar-SA"/>
    </w:rPr>
  </w:style>
  <w:style w:type="paragraph" w:customStyle="1" w:styleId="49410">
    <w:name w:val="样式 494 10 磅"/>
    <w:pPr>
      <w:widowControl w:val="0"/>
      <w:spacing w:line="360" w:lineRule="auto"/>
      <w:jc w:val="both"/>
    </w:pPr>
    <w:rPr>
      <w:rFonts w:ascii="宋体" w:eastAsia="宋体" w:cs="Times New Roman"/>
      <w:kern w:val="2"/>
      <w:sz w:val="21"/>
      <w:szCs w:val="21"/>
      <w:lang w:val="en-US" w:eastAsia="zh-CN" w:bidi="ar-SA"/>
    </w:rPr>
  </w:style>
  <w:style w:type="paragraph" w:customStyle="1" w:styleId="49510">
    <w:name w:val="样式 495 10 磅"/>
    <w:pPr>
      <w:widowControl w:val="0"/>
      <w:spacing w:line="360" w:lineRule="auto"/>
      <w:jc w:val="both"/>
    </w:pPr>
    <w:rPr>
      <w:rFonts w:ascii="宋体" w:eastAsia="宋体" w:cs="Times New Roman"/>
      <w:kern w:val="2"/>
      <w:sz w:val="21"/>
      <w:szCs w:val="21"/>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312">
    <w:name w:val="正文_23"/>
    <w:pPr>
      <w:widowControl w:val="0"/>
      <w:jc w:val="both"/>
    </w:pPr>
    <w:rPr>
      <w:rFonts w:ascii="Times New Roman" w:eastAsia="方正仿宋_GBK" w:hAnsi="Times New Roman" w:cs="Times New Roman"/>
      <w:kern w:val="2"/>
      <w:sz w:val="32"/>
      <w:lang w:val="en-US" w:eastAsia="zh-CN" w:bidi="ar-SA"/>
    </w:rPr>
  </w:style>
  <w:style w:type="paragraph" w:customStyle="1" w:styleId="2191">
    <w:name w:val="样式 2 三号_19"/>
    <w:pPr>
      <w:widowControl w:val="0"/>
      <w:jc w:val="both"/>
    </w:pPr>
    <w:rPr>
      <w:rFonts w:ascii="Times New Roman" w:eastAsia="方正仿宋_GBK" w:hAnsi="Times New Roman" w:cs="Times New Roman"/>
      <w:kern w:val="2"/>
      <w:sz w:val="32"/>
      <w:lang w:val="en-US" w:eastAsia="zh-CN" w:bidi="ar-SA"/>
    </w:rPr>
  </w:style>
  <w:style w:type="paragraph" w:customStyle="1" w:styleId="10111">
    <w:name w:val="正文_101"/>
    <w:pPr>
      <w:widowControl w:val="0"/>
      <w:jc w:val="both"/>
    </w:pPr>
    <w:rPr>
      <w:rFonts w:ascii="Times New Roman" w:eastAsia="方正仿宋_GBK" w:hAnsi="Times New Roman" w:cs="Times New Roman"/>
      <w:kern w:val="2"/>
      <w:sz w:val="32"/>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lang w:val="en-US" w:eastAsia="zh-CN" w:bidi="ar-SA"/>
    </w:rPr>
  </w:style>
  <w:style w:type="paragraph" w:customStyle="1" w:styleId="6013">
    <w:name w:val="正文_60"/>
    <w:pPr>
      <w:widowControl w:val="0"/>
      <w:jc w:val="both"/>
    </w:pPr>
    <w:rPr>
      <w:rFonts w:ascii="Times New Roman" w:eastAsia="方正仿宋_GBK" w:hAnsi="Times New Roman" w:cs="Times New Roman"/>
      <w:kern w:val="2"/>
      <w:sz w:val="32"/>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lang w:val="en-US" w:eastAsia="zh-CN" w:bidi="ar-SA"/>
    </w:rPr>
  </w:style>
  <w:style w:type="paragraph" w:customStyle="1" w:styleId="8101">
    <w:name w:val="样式 8 三号"/>
    <w:pPr>
      <w:widowControl w:val="0"/>
      <w:jc w:val="both"/>
    </w:pPr>
    <w:rPr>
      <w:rFonts w:ascii="Times New Roman" w:eastAsia="方正仿宋_GBK" w:hAnsi="Times New Roman" w:cs="Times New Roman"/>
      <w:kern w:val="2"/>
      <w:sz w:val="32"/>
      <w:lang w:val="en-US" w:eastAsia="zh-CN" w:bidi="ar-SA"/>
    </w:rPr>
  </w:style>
  <w:style w:type="paragraph" w:customStyle="1" w:styleId="1188">
    <w:name w:val="样式 11 磅"/>
    <w:pPr>
      <w:widowControl w:val="0"/>
      <w:spacing w:after="160" w:line="278" w:lineRule="auto"/>
    </w:pPr>
    <w:rPr>
      <w:rFonts w:ascii="等线" w:eastAsia="等线" w:cs="Arial"/>
      <w:kern w:val="2"/>
      <w:sz w:val="22"/>
      <w:szCs w:val="24"/>
      <w:lang w:val="en-US" w:eastAsia="zh-CN" w:bidi="ar-SA"/>
    </w:rPr>
  </w:style>
  <w:style w:type="paragraph" w:customStyle="1" w:styleId="4313">
    <w:name w:val="样式 43 小四"/>
    <w:pPr>
      <w:keepNext/>
      <w:keepLines/>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340" w:beforeAutospacing="0" w:after="330" w:afterAutospacing="0" w:line="576" w:lineRule="auto"/>
      <w:ind w:left="0" w:right="0" w:firstLine="0"/>
      <w:contextualSpacing w:val="0"/>
      <w:jc w:val="left"/>
      <w:textAlignment w:val="auto"/>
      <w:outlineLvl w:val="0"/>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a27">
    <w:name w:val="样式 小三"/>
    <w:pPr>
      <w:keepNext/>
      <w:keepLines/>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100" w:beforeAutospacing="1" w:after="100" w:afterAutospacing="1" w:line="360" w:lineRule="auto"/>
      <w:ind w:left="0" w:right="0" w:firstLine="0"/>
      <w:contextualSpacing w:val="0"/>
      <w:jc w:val="center"/>
      <w:textAlignment w:val="auto"/>
      <w:outlineLvl w:val="0"/>
    </w:pPr>
    <w:rPr>
      <w:rFonts w:ascii="Times New Roman" w:eastAsia="宋体" w:hAnsi="Times New Roman" w:cs="Times New Roman"/>
      <w:b/>
      <w:snapToGrid/>
      <w:color w:val="auto"/>
      <w:spacing w:val="0"/>
      <w:w w:val="100"/>
      <w:kern w:val="44"/>
      <w:position w:val="0"/>
      <w:sz w:val="30"/>
      <w:szCs w:val="30"/>
      <w:u w:val="none" w:color="auto"/>
      <w:shd w:val="clear" w:color="auto" w:fill="auto"/>
      <w:vertAlign w:val="baseline"/>
      <w:lang w:val="en-US" w:eastAsia="zh-CN" w:bidi="ar-SA"/>
    </w:rPr>
  </w:style>
  <w:style w:type="paragraph" w:customStyle="1" w:styleId="4413">
    <w:name w:val="样式 44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4512">
    <w:name w:val="样式 45 小四"/>
    <w:pPr>
      <w:keepNext/>
      <w:keepLines/>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340" w:beforeAutospacing="0" w:after="330" w:afterAutospacing="0" w:line="576" w:lineRule="auto"/>
      <w:ind w:left="0" w:right="0" w:firstLine="0"/>
      <w:contextualSpacing w:val="0"/>
      <w:jc w:val="left"/>
      <w:textAlignment w:val="auto"/>
      <w:outlineLvl w:val="0"/>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4611">
    <w:name w:val="样式 46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4711">
    <w:name w:val="样式 47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4814">
    <w:name w:val="样式 48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4912">
    <w:name w:val="样式 49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011">
    <w:name w:val="样式 50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37810">
    <w:name w:val="样式 378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7910">
    <w:name w:val="样式 379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010">
    <w:name w:val="样式 380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110">
    <w:name w:val="样式 381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210">
    <w:name w:val="样式 38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310">
    <w:name w:val="样式 383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410">
    <w:name w:val="样式 384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510">
    <w:name w:val="样式 385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610">
    <w:name w:val="样式 386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710">
    <w:name w:val="样式 387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810">
    <w:name w:val="样式 388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8910">
    <w:name w:val="样式 389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9010">
    <w:name w:val="样式 390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9110">
    <w:name w:val="样式 391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9210">
    <w:name w:val="样式 39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39310">
    <w:name w:val="样式 393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41810">
    <w:name w:val="样式 418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43410">
    <w:name w:val="样式 434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49610">
    <w:name w:val="样式 496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49710">
    <w:name w:val="样式 497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49810">
    <w:name w:val="样式 498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49910">
    <w:name w:val="样式 499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8102">
    <w:name w:val="样式 8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100" w:beforeAutospacing="1" w:after="120" w:afterAutospacing="0" w:line="360" w:lineRule="auto"/>
      <w:ind w:left="0" w:right="0" w:firstLine="480"/>
      <w:contextualSpacing w:val="0"/>
      <w:jc w:val="both"/>
      <w:textAlignment w:val="auto"/>
      <w:outlineLvl w:val="9"/>
    </w:pPr>
    <w:rPr>
      <w:rFonts w:ascii="Calibri" w:eastAsia="宋体" w:hAnsi="Calibri" w:cs="Times New Roman"/>
      <w:snapToGrid/>
      <w:color w:val="595959"/>
      <w:spacing w:val="0"/>
      <w:w w:val="100"/>
      <w:kern w:val="0"/>
      <w:position w:val="0"/>
      <w:sz w:val="16"/>
      <w:szCs w:val="16"/>
      <w:u w:val="none" w:color="auto"/>
      <w:shd w:val="clear" w:color="auto" w:fill="auto"/>
      <w:vertAlign w:val="baseline"/>
      <w:lang w:val="en-US" w:eastAsia="zh-CN" w:bidi="ar-SA"/>
    </w:rPr>
  </w:style>
  <w:style w:type="paragraph" w:customStyle="1" w:styleId="5112">
    <w:name w:val="样式 51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211">
    <w:name w:val="样式 52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left"/>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312">
    <w:name w:val="样式 53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411">
    <w:name w:val="样式 54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511">
    <w:name w:val="样式 55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611">
    <w:name w:val="样式 56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712">
    <w:name w:val="样式 57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811">
    <w:name w:val="样式 58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val="0"/>
      <w:snapToGrid/>
      <w:spacing w:before="0" w:beforeAutospacing="0" w:after="0" w:afterAutospacing="0" w:line="360" w:lineRule="atLeast"/>
      <w:ind w:left="0" w:right="0" w:firstLine="0"/>
      <w:contextualSpacing w:val="0"/>
      <w:jc w:val="left"/>
      <w:textAlignment w:val="auto"/>
      <w:outlineLvl w:val="9"/>
    </w:pPr>
    <w:rPr>
      <w:rFonts w:ascii="Times New Roman" w:eastAsia="宋体" w:hAnsi="Times New Roman"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911">
    <w:name w:val="样式 59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6014">
    <w:name w:val="样式 60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1811">
    <w:name w:val="样式 1 8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100" w:beforeAutospacing="1" w:after="120" w:afterAutospacing="0" w:line="360" w:lineRule="auto"/>
      <w:ind w:left="0" w:right="0" w:firstLine="480"/>
      <w:contextualSpacing w:val="0"/>
      <w:jc w:val="both"/>
      <w:textAlignment w:val="auto"/>
      <w:outlineLvl w:val="9"/>
    </w:pPr>
    <w:rPr>
      <w:rFonts w:ascii="Calibri" w:eastAsia="宋体" w:hAnsi="Calibri" w:cs="Times New Roman"/>
      <w:snapToGrid/>
      <w:color w:val="595959"/>
      <w:spacing w:val="0"/>
      <w:w w:val="100"/>
      <w:kern w:val="0"/>
      <w:position w:val="0"/>
      <w:sz w:val="16"/>
      <w:szCs w:val="16"/>
      <w:u w:val="none" w:color="auto"/>
      <w:shd w:val="clear" w:color="auto" w:fill="auto"/>
      <w:vertAlign w:val="baseline"/>
      <w:lang w:val="en-US" w:eastAsia="zh-CN" w:bidi="ar-SA"/>
    </w:rPr>
  </w:style>
  <w:style w:type="paragraph" w:customStyle="1" w:styleId="50010">
    <w:name w:val="样式 500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6112">
    <w:name w:val="样式 61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6211">
    <w:name w:val="样式 62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6311">
    <w:name w:val="样式 63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6411">
    <w:name w:val="样式 64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6511">
    <w:name w:val="样式 65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6612">
    <w:name w:val="样式 66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6712">
    <w:name w:val="样式 67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6811">
    <w:name w:val="样式 68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7011">
    <w:name w:val="样式 70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7112">
    <w:name w:val="样式 71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0110">
    <w:name w:val="样式 501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50210">
    <w:name w:val="样式 50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hAnsi="Times New Roman"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customStyle="1" w:styleId="7212">
    <w:name w:val="样式 72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360" w:lineRule="auto"/>
      <w:ind w:left="0" w:right="0" w:firstLine="480"/>
      <w:contextualSpacing w:val="0"/>
      <w:jc w:val="both"/>
      <w:textAlignment w:val="auto"/>
      <w:outlineLvl w:val="9"/>
    </w:pPr>
    <w:rPr>
      <w:rFonts w:ascii="Calibri" w:eastAsia="宋体" w:hAnsi="Calibri"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7411">
    <w:name w:val="样式 74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val="0"/>
      <w:snapToGrid/>
      <w:spacing w:before="0" w:beforeAutospacing="0" w:after="0" w:afterAutospacing="0" w:line="360" w:lineRule="atLeast"/>
      <w:ind w:left="0" w:right="0" w:firstLine="0"/>
      <w:contextualSpacing w:val="0"/>
      <w:jc w:val="left"/>
      <w:textAlignment w:val="auto"/>
      <w:outlineLvl w:val="9"/>
    </w:pPr>
    <w:rPr>
      <w:rFonts w:ascii="Times New Roman" w:eastAsia="宋体" w:hAnsi="Times New Roman" w:cs="Times New Roman"/>
      <w:snapToGrid/>
      <w:color w:val="auto"/>
      <w:spacing w:val="0"/>
      <w:w w:val="100"/>
      <w:kern w:val="0"/>
      <w:position w:val="0"/>
      <w:sz w:val="24"/>
      <w:szCs w:val="24"/>
      <w:u w:val="none" w:color="auto"/>
      <w:shd w:val="clear" w:color="auto" w:fill="auto"/>
      <w:vertAlign w:val="baseline"/>
      <w:lang w:val="en-US" w:eastAsia="zh-CN" w:bidi="ar-SA"/>
    </w:rPr>
  </w:style>
  <w:style w:type="paragraph" w:customStyle="1" w:styleId="50310">
    <w:name w:val="样式 50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12</TotalTime>
  <Pages>104</Pages>
  <Words>47858</Words>
  <Characters>84961</Characters>
  <Application>Microsoft Office Word</Application>
  <DocSecurity>0</DocSecurity>
  <Lines>6326</Lines>
  <Paragraphs>3614</Paragraphs>
  <ScaleCrop>false</ScaleCrop>
  <Company>Lenovo (Beijing) Limited</Company>
  <LinksUpToDate>false</LinksUpToDate>
  <CharactersWithSpaces>92678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钟世旭</cp:lastModifiedBy>
  <cp:revision>88</cp:revision>
  <cp:lastPrinted>2018-03-22T05:59:00Z</cp:lastPrinted>
  <dcterms:created xsi:type="dcterms:W3CDTF">2017-08-17T00:59:00Z</dcterms:created>
  <dcterms:modified xsi:type="dcterms:W3CDTF">2025-10-17T04:55:38Z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D6D2B26E188D4993B8143DEF3A0908C0_12</vt:lpwstr>
  </property>
  <property fmtid="{D5CDD505-2E9C-101B-9397-08002B2CF9AE}" pid="3" name="KSOProductBuildVer">
    <vt:lpwstr>2052-12.8.2.18205</vt:lpwstr>
  </property>
</Properties>
</file>