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CG2025-WT-GK-HW-010</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中国电子口岸数据中心2025年分中心节点网络安全设施升级改造（APT设备）采购项目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left="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2025年05月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中国电子口岸数据中心2025年分中心节点网络安全设施升级改造（APT设备）采购项目</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CG2025-WT-GK-HW-010</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中国电子口岸数据中心2025年分中心节点网络安全设施升级改造（APT设备）采购项目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本项目预算金额合计总金额人民币4,588,800.00元，其中包1人民币4,588,800.00元。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分中心节点网络安全设施升级改造（APT设备）</w:t>
            </w:r>
          </w:p>
        </w:tc>
        <w:tc>
          <w:tcPr>
            <w:tcW w:w="652" w:type="dxa"/>
          </w:tcPr>
          <w:p>
            <w:pPr>
              <w:spacing w:after="120" w:line="240" w:lineRule="auto"/>
              <w:rPr>
                <w:rFonts w:ascii="宋体"/>
                <w:b/>
                <w:color w:val="0000FF"/>
                <w:sz w:val="24"/>
                <w:highlight w:val="white"/>
              </w:rPr>
            </w:pPr>
            <w:r>
              <w:t>16</w:t>
            </w:r>
          </w:p>
        </w:tc>
        <w:tc>
          <w:tcPr>
            <w:tcW w:w="1271" w:type="dxa"/>
          </w:tcPr>
          <w:p>
            <w:pPr>
              <w:spacing w:after="120" w:line="240" w:lineRule="auto"/>
              <w:rPr>
                <w:rFonts w:ascii="宋体"/>
                <w:b/>
                <w:color w:val="0000FF"/>
                <w:sz w:val="24"/>
                <w:highlight w:val="white"/>
              </w:rPr>
            </w:pPr>
            <w:r>
              <w:t>286,800.00</w:t>
            </w:r>
          </w:p>
        </w:tc>
        <w:tc>
          <w:tcPr>
            <w:tcW w:w="1271" w:type="dxa"/>
            <w:vAlign w:val="center"/>
          </w:tcPr>
          <w:p>
            <w:pPr>
              <w:spacing w:after="120" w:line="240" w:lineRule="auto"/>
              <w:rPr>
                <w:rFonts w:ascii="宋体"/>
                <w:b/>
                <w:color w:val="0000FF"/>
                <w:sz w:val="24"/>
                <w:highlight w:val="white"/>
              </w:rPr>
            </w:pPr>
            <w:r>
              <w:t>产品合同签订后20个工作日内交货。</w:t>
            </w:r>
          </w:p>
        </w:tc>
        <w:tc>
          <w:tcPr>
            <w:tcW w:w="1073" w:type="dxa"/>
            <w:vAlign w:val="center"/>
          </w:tcPr>
          <w:p>
            <w:pPr>
              <w:spacing w:after="120" w:line="240" w:lineRule="auto"/>
              <w:rPr>
                <w:rFonts w:ascii="宋体"/>
                <w:b/>
                <w:color w:val="0000FF"/>
                <w:sz w:val="24"/>
                <w:highlight w:val="white"/>
              </w:rPr>
            </w:pPr>
            <w:r>
              <w:t>海关指定地点</w:t>
            </w:r>
          </w:p>
        </w:tc>
        <w:tc>
          <w:tcPr>
            <w:tcW w:w="1037" w:type="dxa"/>
            <w:vAlign w:val="center"/>
          </w:tcPr>
          <w:p>
            <w:pPr>
              <w:spacing w:after="120" w:line="240" w:lineRule="auto"/>
              <w:rPr>
                <w:rFonts w:ascii="宋体" w:hint="eastAsia"/>
                <w:b/>
                <w:color w:val="0000FF"/>
                <w:sz w:val="24"/>
                <w:highlight w:val="white"/>
              </w:rPr>
            </w:pPr>
            <w:r>
              <w:t>产品安装调试经用户验收合格当天起，原厂质保期6年。</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2025-05-30 00:00:00</w:t>
      </w:r>
      <w:bookmarkEnd w:id="20"/>
      <w:r>
        <w:rPr>
          <w:rFonts w:ascii="宋体" w:hint="eastAsia"/>
          <w:sz w:val="24"/>
        </w:rPr>
        <w:t>至</w:t>
      </w:r>
      <w:bookmarkStart w:id="21" w:name="公告_signUpLastTime"/>
      <w:r>
        <w:rPr>
          <w:rFonts w:ascii="宋体" w:hint="eastAsia"/>
          <w:sz w:val="24"/>
        </w:rPr>
        <w:t>2025-06-09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2025-06-27 08:45:00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2025-06-27 08:45:00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010-65195831（业务咨询）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于2025-01-26</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中国电子口岸数据中心</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本项目预算金额合计总金额人民币4,588,800.00元，其中包1人民币4,588,800.00元。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4,588,800.00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本项目无核心产品。</w:t>
            </w:r>
            <w:bookmarkEnd w:id="33"/>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jc w:val="center"/>
          <w:tblLayout w:type="fixed"/>
          <w:tblCellMar>
            <w:top w:w="0" w:type="dxa"/>
            <w:left w:w="108" w:type="dxa"/>
            <w:bottom w:w="0" w:type="dxa"/>
            <w:right w:w="108" w:type="dxa"/>
          </w:tblCellMar>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采购需求中所涉及的品目（包括配置）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p>
          <w:p>
            <w:pPr>
              <w:tabs>
                <w:tab w:val="left" w:pos="588"/>
              </w:tabs>
              <w:autoSpaceDN w:val="0"/>
              <w:spacing w:line="360" w:lineRule="auto"/>
              <w:ind w:left="1"/>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r>
              <w:rPr>
                <w:rFonts w:ascii="宋体" w:cs="微软雅黑" w:hint="eastAsia"/>
                <w:bCs/>
                <w:sz w:val="24"/>
                <w:lang w:bidi="ar-SA"/>
              </w:rPr>
              <w:cr/>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36" w:name="采购任务单_purchaserOrgName1"/>
      <w:r>
        <w:rPr>
          <w:rFonts w:ascii="宋体" w:hint="eastAsia"/>
          <w:color w:val="0000FF"/>
          <w:sz w:val="24"/>
        </w:rPr>
        <w:t>中国电子口岸数据中心</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color w:val="0000FF"/>
          <w:sz w:val="24"/>
        </w:rPr>
      </w:pPr>
      <w:r>
        <w:rPr>
          <w:rFonts w:ascii="宋体" w:hint="eastAsia"/>
          <w:color w:val="0000FF"/>
          <w:sz w:val="24"/>
        </w:rPr>
        <w:t>（4）证明投标人满足投标人资格标准的其他必要资格证明文件（如有）（加盖投标人电子签章）。</w:t>
      </w:r>
      <w:bookmarkEnd w:id="37"/>
    </w:p>
    <w:p>
      <w:pPr>
        <w:tabs>
          <w:tab w:val="left" w:pos="588"/>
        </w:tabs>
        <w:autoSpaceDN w:val="0"/>
        <w:spacing w:line="360" w:lineRule="auto"/>
        <w:rPr>
          <w:rFonts w:ascii="宋体" w:hint="eastAsia"/>
          <w:color w:val="0000FF"/>
          <w:sz w:val="24"/>
        </w:rPr>
      </w:pPr>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按招标文件要求提供相关证明材料，其中项目需求书中有明确要求的按要求提供证明材料；没有明确要求的，须提供加盖生产厂家印章和投标人印章的证明材料（包括但不限于产品配置清单、产品彩页、产品技术白皮书等）或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（6）投标人认为应该提供的其他证明材料（如有）（加盖投标人电子签章）。</w:t>
      </w: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（2）所投产品制造商质保期外的售后服务承诺（如有）（上传原件的扫描件，加盖投标人电子签章）。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（2）上述文件中，所有带“★”的由制造商提供的相关材料须在每页及落款处加盖制造商公章，任何一项签章不完整都会导致无效投标。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560" w:lineRule="exact"/>
        <w:ind w:left="361" w:firstLine="551"/>
        <w:rPr>
          <w:rFonts w:eastAsia="方正楷体_GBK"/>
          <w:b/>
          <w:bCs/>
          <w:sz w:val="28"/>
          <w:szCs w:val="28"/>
        </w:rPr>
      </w:pPr>
      <w:bookmarkStart w:id="42" w:name="插入_采购需求书"/>
      <w:r>
        <w:rPr>
          <w:rFonts w:eastAsia="方正楷体_GBK"/>
          <w:b/>
          <w:bCs/>
          <w:sz w:val="28"/>
          <w:szCs w:val="28"/>
        </w:rPr>
        <w:t>重要提示：本项目需求书属内部资料，供应商负有保密义务，未经采购人或采购机构同意，不得向任何与此项目无关的第三方透露。</w:t>
      </w:r>
    </w:p>
    <w:p>
      <w:pPr>
        <w:pStyle w:val="18210"/>
        <w:spacing w:line="560" w:lineRule="exact"/>
        <w:rPr>
          <w:rFonts w:ascii="Times New Roman" w:eastAsia="方正楷体_GBK" w:hAnsi="Times New Roman" w:cs="Times New Roman"/>
          <w:b/>
          <w:bCs/>
          <w:sz w:val="28"/>
          <w:szCs w:val="28"/>
        </w:rPr>
      </w:pPr>
      <w:r>
        <w:rPr>
          <w:rFonts w:ascii="Times New Roman" w:eastAsia="方正楷体_GBK" w:hAnsi="Times New Roman" w:cs="Times New Roman"/>
          <w:b/>
          <w:bCs/>
          <w:sz w:val="28"/>
          <w:szCs w:val="28"/>
          <w:lang w:bidi="ar-SA"/>
        </w:rPr>
        <w:t xml:space="preserve">       带“★”的为必须满足内容，否则作为无效投标处理，不予接受；带“</w:t>
      </w:r>
      <w:r>
        <w:rPr>
          <w:rFonts w:ascii="Times New Roman" w:hAnsi="Times New Roman" w:cs="Times New Roman"/>
          <w:sz w:val="28"/>
          <w:szCs w:val="28"/>
          <w:lang w:bidi="ar-SA"/>
        </w:rPr>
        <w:t>▲</w:t>
      </w:r>
      <w:r>
        <w:rPr>
          <w:rFonts w:ascii="Times New Roman" w:eastAsia="方正楷体_GBK" w:hAnsi="Times New Roman" w:cs="Times New Roman"/>
          <w:b/>
          <w:bCs/>
          <w:sz w:val="28"/>
          <w:szCs w:val="28"/>
          <w:lang w:bidi="ar-SA"/>
        </w:rPr>
        <w:t>”的为重要内容，不满足将严重影响评分；其他技术或服务内容不满足的将影响一般评分。</w:t>
      </w:r>
    </w:p>
    <w:p>
      <w:pPr>
        <w:pStyle w:val="18210"/>
        <w:spacing w:line="560" w:lineRule="exact"/>
        <w:outlineLvl w:val="0"/>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一、项目背景介绍</w:t>
      </w:r>
    </w:p>
    <w:p>
      <w:pPr>
        <w:autoSpaceDN w:val="0"/>
        <w:spacing w:line="560" w:lineRule="exact"/>
        <w:ind w:firstLine="560" w:firstLineChars="200"/>
        <w:rPr>
          <w:rFonts w:ascii="Times New Roman" w:eastAsia="方正仿宋_GBK" w:hAnsi="Times New Roman" w:cs="Times New Roman"/>
          <w:b/>
          <w:bCs/>
          <w:sz w:val="28"/>
          <w:szCs w:val="28"/>
        </w:rPr>
      </w:pPr>
      <w:r>
        <w:rPr>
          <w:rFonts w:ascii="Times New Roman" w:eastAsia="方正仿宋_GBK" w:hAnsi="Times New Roman" w:cs="Times New Roman"/>
          <w:b/>
          <w:bCs/>
          <w:sz w:val="28"/>
          <w:szCs w:val="28"/>
          <w:lang w:bidi="ar-SA"/>
        </w:rPr>
        <w:t>1.项目基本情况</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1.1项目名称和预算金额</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项目名称：中国电子口岸数据中心2025年分中心节点网络安全设施升级改造（APT设备）采购项目。</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预算金额：45</w:t>
      </w:r>
      <w:r>
        <w:rPr>
          <w:rFonts w:ascii="Times New Roman" w:eastAsia="方正仿宋_GBK" w:hAnsi="Times New Roman" w:cs="Times New Roman" w:hint="eastAsia"/>
          <w:sz w:val="28"/>
          <w:szCs w:val="28"/>
          <w:lang w:bidi="ar-SA"/>
        </w:rPr>
        <w:t>8.88</w:t>
      </w:r>
      <w:r>
        <w:rPr>
          <w:rFonts w:ascii="Times New Roman" w:eastAsia="方正仿宋_GBK" w:hAnsi="Times New Roman" w:cs="Times New Roman"/>
          <w:sz w:val="28"/>
          <w:szCs w:val="28"/>
          <w:lang w:bidi="ar-SA"/>
        </w:rPr>
        <w:t>万元</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1.2采购项目的功能和目标</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对受害目标及攻击源头进行精准定位，最终达到对入侵途径及攻击者背景的研判与溯源，用于提升电子口岸专网网络和信息系统安全防护能力。</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1.3采购项目需实现的政府采购政策目标</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1.3.1本项目为非专门面向小微企业的采购。对小微企业制造的货物、承建的工程、承接的服务给予价格评审优惠（监狱企业、残疾人福利性单位、符合中小企业划分标准的个体工商户，视同小微企业；残疾人福利性单位属于小型、微型企业的，不重复享受政策）。</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1.3.2本项目不接受联合体投标。</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1.3.3本项目不接受进口产品投标（进口产品是指通过中国海关报关，验放进入中国境内，且产自关境外的产品）</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1.3.4本项目不允许分包转包。</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1.4预算绩效目标等内容</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无</w:t>
      </w:r>
    </w:p>
    <w:p>
      <w:pPr>
        <w:autoSpaceDN w:val="0"/>
        <w:spacing w:line="560" w:lineRule="exact"/>
        <w:ind w:firstLine="560" w:firstLineChars="200"/>
        <w:rPr>
          <w:rFonts w:ascii="Times New Roman" w:eastAsia="方正仿宋_GBK" w:hAnsi="Times New Roman" w:cs="Times New Roman"/>
          <w:b/>
          <w:bCs/>
          <w:sz w:val="28"/>
          <w:szCs w:val="28"/>
        </w:rPr>
      </w:pPr>
      <w:r>
        <w:rPr>
          <w:rFonts w:ascii="Times New Roman" w:eastAsia="方正仿宋_GBK" w:hAnsi="Times New Roman" w:cs="Times New Roman"/>
          <w:b/>
          <w:bCs/>
          <w:sz w:val="28"/>
          <w:szCs w:val="28"/>
          <w:lang w:bidi="ar-SA"/>
        </w:rPr>
        <w:t>2.需求调查情况</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是否进行需求调查：是</w:t>
      </w:r>
    </w:p>
    <w:p>
      <w:pPr>
        <w:autoSpaceDN w:val="0"/>
        <w:spacing w:line="560" w:lineRule="exact"/>
        <w:ind w:firstLine="560" w:firstLineChars="200"/>
        <w:rPr>
          <w:rFonts w:ascii="Times New Roman" w:eastAsia="方正仿宋_GBK" w:hAnsi="Times New Roman" w:cs="Times New Roman"/>
          <w:b/>
          <w:bCs/>
          <w:sz w:val="28"/>
          <w:szCs w:val="28"/>
        </w:rPr>
      </w:pPr>
      <w:r>
        <w:rPr>
          <w:rFonts w:ascii="Times New Roman" w:eastAsia="方正仿宋_GBK" w:hAnsi="Times New Roman" w:cs="Times New Roman"/>
          <w:b/>
          <w:bCs/>
          <w:sz w:val="28"/>
          <w:szCs w:val="28"/>
          <w:lang w:bidi="ar-SA"/>
        </w:rPr>
        <w:t>3.公开征求意见情况</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是否公开征求意见：否</w:t>
      </w:r>
    </w:p>
    <w:p>
      <w:pPr>
        <w:autoSpaceDN w:val="0"/>
        <w:spacing w:line="560" w:lineRule="exact"/>
        <w:ind w:firstLine="560" w:firstLineChars="200"/>
        <w:rPr>
          <w:rFonts w:ascii="Times New Roman" w:eastAsia="方正仿宋_GBK" w:hAnsi="Times New Roman" w:cs="Times New Roman"/>
          <w:b/>
          <w:bCs/>
          <w:sz w:val="28"/>
          <w:szCs w:val="28"/>
        </w:rPr>
      </w:pPr>
      <w:r>
        <w:rPr>
          <w:rFonts w:ascii="Times New Roman" w:eastAsia="方正仿宋_GBK" w:hAnsi="Times New Roman" w:cs="Times New Roman"/>
          <w:b/>
          <w:bCs/>
          <w:sz w:val="28"/>
          <w:szCs w:val="28"/>
          <w:lang w:bidi="ar-SA"/>
        </w:rPr>
        <w:t>4.需求审查情况</w:t>
      </w:r>
    </w:p>
    <w:p>
      <w:pPr>
        <w:autoSpaceDN w:val="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 xml:space="preserve">是否对采购需求进行审查：是 </w:t>
      </w:r>
    </w:p>
    <w:p>
      <w:pPr>
        <w:spacing w:line="560" w:lineRule="exact"/>
        <w:jc w:val="left"/>
        <w:outlineLvl w:val="0"/>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二、核心产品</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 xml:space="preserve">无。  </w:t>
      </w:r>
    </w:p>
    <w:p>
      <w:pPr>
        <w:spacing w:before="120" w:beforeLines="50" w:after="120" w:afterLines="50" w:line="560" w:lineRule="exact"/>
        <w:jc w:val="left"/>
        <w:outlineLvl w:val="0"/>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三、采购需求</w:t>
      </w:r>
    </w:p>
    <w:p>
      <w:pPr>
        <w:spacing w:before="120" w:beforeLines="50" w:after="120" w:afterLines="50" w:line="560" w:lineRule="exact"/>
        <w:jc w:val="left"/>
        <w:outlineLvl w:val="0"/>
        <w:rPr>
          <w:rFonts w:ascii="Times New Roman" w:eastAsia="方正楷体_GBK" w:hAnsi="Times New Roman" w:cs="Times New Roman"/>
          <w:b/>
          <w:bCs/>
          <w:sz w:val="28"/>
          <w:szCs w:val="28"/>
        </w:rPr>
      </w:pPr>
      <w:r>
        <w:rPr>
          <w:rFonts w:ascii="Times New Roman" w:eastAsia="方正楷体_GBK" w:hAnsi="Times New Roman" w:cs="Times New Roman"/>
          <w:b/>
          <w:bCs/>
          <w:sz w:val="28"/>
          <w:szCs w:val="28"/>
          <w:lang w:bidi="ar-SA"/>
        </w:rPr>
        <w:t>（一）品目1-</w:t>
      </w:r>
      <w:r>
        <w:rPr>
          <w:rFonts w:ascii="Times New Roman" w:eastAsia="方正仿宋_GBK" w:hAnsi="Times New Roman" w:cs="Times New Roman"/>
          <w:sz w:val="28"/>
          <w:szCs w:val="28"/>
          <w:lang w:bidi="ar-SA"/>
        </w:rPr>
        <w:t>APT设备</w:t>
      </w:r>
    </w:p>
    <w:p>
      <w:pPr>
        <w:spacing w:line="560" w:lineRule="exact"/>
        <w:rPr>
          <w:rFonts w:ascii="Times New Roman" w:eastAsia="方正仿宋_GBK" w:hAnsi="Times New Roman" w:cs="Times New Roman"/>
          <w:b/>
          <w:bCs/>
          <w:sz w:val="28"/>
          <w:szCs w:val="28"/>
        </w:rPr>
      </w:pPr>
      <w:r>
        <w:rPr>
          <w:rFonts w:ascii="Times New Roman" w:eastAsia="方正仿宋_GBK" w:hAnsi="Times New Roman" w:cs="Times New Roman"/>
          <w:b/>
          <w:bCs/>
          <w:sz w:val="28"/>
          <w:szCs w:val="28"/>
          <w:lang w:bidi="ar-SA"/>
        </w:rPr>
        <w:t>1.主要用途</w:t>
      </w:r>
    </w:p>
    <w:p>
      <w:pPr>
        <w:spacing w:line="560" w:lineRule="exact"/>
        <w:ind w:firstLine="555"/>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用于电子口岸专网分中心节点的网络安全事件监测分析。</w:t>
      </w:r>
    </w:p>
    <w:p>
      <w:pPr>
        <w:spacing w:line="560" w:lineRule="exact"/>
        <w:rPr>
          <w:rFonts w:ascii="Times New Roman" w:eastAsia="方正仿宋_GBK" w:hAnsi="Times New Roman" w:cs="Times New Roman"/>
          <w:b/>
          <w:bCs/>
          <w:sz w:val="28"/>
          <w:szCs w:val="28"/>
        </w:rPr>
      </w:pPr>
      <w:r>
        <w:rPr>
          <w:rFonts w:ascii="Times New Roman" w:eastAsia="方正楷体_GBK" w:hAnsi="Times New Roman" w:cs="Times New Roman"/>
          <w:b/>
          <w:bCs/>
          <w:sz w:val="28"/>
          <w:szCs w:val="28"/>
          <w:lang w:bidi="ar-SA"/>
        </w:rPr>
        <w:t>★</w:t>
      </w:r>
      <w:r>
        <w:rPr>
          <w:rFonts w:ascii="Times New Roman" w:eastAsia="方正仿宋_GBK" w:hAnsi="Times New Roman" w:cs="Times New Roman"/>
          <w:b/>
          <w:bCs/>
          <w:sz w:val="28"/>
          <w:szCs w:val="28"/>
          <w:lang w:bidi="ar-SA"/>
        </w:rPr>
        <w:t>2.特殊资质要求</w:t>
      </w:r>
    </w:p>
    <w:p>
      <w:pPr>
        <w:spacing w:line="560" w:lineRule="exact"/>
        <w:ind w:firstLine="555"/>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投标人所投产品应具备在有效期内的公安部颁发的《计算机信息系统安全专用产品销售许可证》或由国家认证认可监督管理委员会、工业和信息化部、公安部、国家互联网信息办公室发布的《承担网络关键设备和网络安全专用产品安全认证和安全检测任务机构名录》中的机构开展网络安全专用产品安全认证和安全检测任务出具的安全认证合格或安全检测合格证明，提供有效证件的复印件。</w:t>
      </w:r>
    </w:p>
    <w:p>
      <w:pPr>
        <w:spacing w:line="560" w:lineRule="exact"/>
        <w:outlineLvl w:val="0"/>
        <w:rPr>
          <w:rFonts w:ascii="Times New Roman" w:eastAsia="方正仿宋_GBK" w:hAnsi="Times New Roman" w:cs="Times New Roman"/>
          <w:b/>
          <w:bCs/>
          <w:sz w:val="28"/>
          <w:szCs w:val="28"/>
        </w:rPr>
      </w:pPr>
      <w:r>
        <w:rPr>
          <w:rFonts w:ascii="Times New Roman" w:eastAsia="方正仿宋_GBK" w:hAnsi="Times New Roman" w:cs="Times New Roman"/>
          <w:b/>
          <w:bCs/>
          <w:sz w:val="28"/>
          <w:szCs w:val="28"/>
          <w:lang w:bidi="ar-SA"/>
        </w:rPr>
        <w:t>3.主要技术参数</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bCs/>
          <w:sz w:val="28"/>
          <w:szCs w:val="28"/>
          <w:lang w:bidi="ar-SA"/>
        </w:rPr>
        <w:t>★</w:t>
      </w:r>
      <w:r>
        <w:rPr>
          <w:rFonts w:ascii="Times New Roman" w:eastAsia="方正仿宋_GBK" w:hAnsi="Times New Roman" w:cs="Times New Roman"/>
          <w:sz w:val="28"/>
          <w:szCs w:val="28"/>
          <w:lang w:bidi="ar-SA"/>
        </w:rPr>
        <w:t>3.1</w:t>
      </w:r>
      <w:r>
        <w:rPr>
          <w:rFonts w:ascii="Times New Roman" w:eastAsia="方正仿宋_GBK" w:hAnsi="Times New Roman" w:cs="Times New Roman"/>
          <w:b/>
          <w:sz w:val="28"/>
          <w:szCs w:val="28"/>
          <w:lang w:bidi="ar-SA"/>
        </w:rPr>
        <w:t>功能承诺函：</w:t>
      </w:r>
      <w:r>
        <w:rPr>
          <w:rFonts w:ascii="Times New Roman" w:eastAsia="方正仿宋_GBK" w:hAnsi="Times New Roman" w:cs="Times New Roman"/>
          <w:sz w:val="28"/>
          <w:szCs w:val="28"/>
          <w:lang w:bidi="ar-SA"/>
        </w:rPr>
        <w:t>投标人须承诺所投产品满足本需求中所有</w:t>
      </w:r>
      <w:r>
        <w:rPr>
          <w:rFonts w:ascii="Times New Roman" w:eastAsia="方正仿宋_GBK" w:hAnsi="Times New Roman" w:cs="Times New Roman"/>
          <w:bCs/>
          <w:sz w:val="28"/>
          <w:szCs w:val="28"/>
          <w:lang w:bidi="ar-SA"/>
        </w:rPr>
        <w:t>★指标，且</w:t>
      </w:r>
      <w:r>
        <w:rPr>
          <w:rFonts w:ascii="Times New Roman" w:eastAsia="方正仿宋_GBK" w:hAnsi="Times New Roman" w:cs="Times New Roman"/>
          <w:sz w:val="28"/>
          <w:szCs w:val="28"/>
          <w:lang w:bidi="ar-SA"/>
        </w:rPr>
        <w:t>交付产品的所有功能不应通过单独定制开发实现，设备后续可通过厂商提供的公开渠道进行升级，升级包不应存在单独定制开发情况（须提供承诺函，并加盖投标人公章）。</w:t>
      </w:r>
    </w:p>
    <w:p>
      <w:pPr>
        <w:pStyle w:val="9710"/>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bCs/>
          <w:sz w:val="28"/>
          <w:szCs w:val="28"/>
          <w:lang w:bidi="ar-SA"/>
        </w:rPr>
        <w:t>★3.2</w:t>
      </w:r>
      <w:r>
        <w:rPr>
          <w:rFonts w:ascii="Times New Roman" w:eastAsia="方正仿宋_GBK" w:hAnsi="Times New Roman" w:cs="Times New Roman"/>
          <w:b/>
          <w:sz w:val="28"/>
          <w:szCs w:val="28"/>
          <w:lang w:bidi="ar-SA"/>
        </w:rPr>
        <w:t>国产化：</w:t>
      </w:r>
      <w:r>
        <w:rPr>
          <w:rFonts w:ascii="Times New Roman" w:eastAsia="方正仿宋_GBK" w:hAnsi="Times New Roman" w:cs="Times New Roman"/>
          <w:sz w:val="28"/>
          <w:szCs w:val="28"/>
          <w:lang w:bidi="ar-SA"/>
        </w:rPr>
        <w:t>投标人所投产品基于中国信息安全测评中心发布的在有效期内的《安全可靠测评结果公告》中的国产化硬件平台和国产化操作系统提供承诺函并加盖公司公章；产品若涉及使用密码算法，须采用国密系列算法（须提供承诺函，并加盖投标人公章）。</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bCs/>
          <w:sz w:val="28"/>
          <w:szCs w:val="28"/>
          <w:lang w:bidi="ar-SA"/>
        </w:rPr>
        <w:t>★3.3</w:t>
      </w:r>
      <w:r>
        <w:rPr>
          <w:rFonts w:ascii="Times New Roman" w:eastAsia="方正仿宋_GBK" w:hAnsi="Times New Roman" w:cs="Times New Roman"/>
          <w:b/>
          <w:sz w:val="28"/>
          <w:szCs w:val="28"/>
          <w:lang w:bidi="ar-SA"/>
        </w:rPr>
        <w:t>部署需求：</w:t>
      </w:r>
      <w:r>
        <w:rPr>
          <w:rFonts w:ascii="Times New Roman" w:eastAsia="方正仿宋_GBK" w:hAnsi="Times New Roman" w:cs="Times New Roman"/>
          <w:sz w:val="28"/>
          <w:szCs w:val="28"/>
          <w:lang w:bidi="ar-SA"/>
        </w:rPr>
        <w:t>支持旁路镜像模式部署，可同时接入多个镜像口，每个镜像口相互独立不影响；分析平台支持集群化部署，可横向扩展至多台设备集群；分析平台支持级联部署，支持下级分析平台向上级分析平台发送告警和相关信息，在上级分析平台上进行汇总展示</w:t>
      </w:r>
      <w:r>
        <w:rPr>
          <w:rFonts w:ascii="方正仿宋_GBK" w:eastAsia="方正仿宋_GBK" w:cs="Segoe UI Symbol" w:hint="eastAsia"/>
          <w:bCs/>
          <w:sz w:val="30"/>
          <w:szCs w:val="30"/>
          <w:lang w:bidi="ar-SA"/>
        </w:rPr>
        <w:t>（提供官网技术截图及链接或技术白皮书，并加盖投标人及制造商公章）</w:t>
      </w:r>
      <w:r>
        <w:rPr>
          <w:rFonts w:ascii="Times New Roman" w:eastAsia="方正仿宋_GBK" w:hAnsi="Times New Roman" w:cs="Times New Roman"/>
          <w:sz w:val="28"/>
          <w:szCs w:val="28"/>
          <w:lang w:bidi="ar-SA"/>
        </w:rPr>
        <w:t>。</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bCs/>
          <w:sz w:val="28"/>
          <w:szCs w:val="28"/>
          <w:lang w:bidi="ar-SA"/>
        </w:rPr>
        <w:t>★3.4</w:t>
      </w:r>
      <w:r>
        <w:rPr>
          <w:rFonts w:ascii="Times New Roman" w:eastAsia="方正仿宋_GBK" w:hAnsi="Times New Roman" w:cs="Times New Roman"/>
          <w:b/>
          <w:sz w:val="28"/>
          <w:szCs w:val="28"/>
          <w:lang w:bidi="ar-SA"/>
        </w:rPr>
        <w:t>主要功能和性能需求：</w:t>
      </w:r>
      <w:r>
        <w:rPr>
          <w:rFonts w:ascii="Times New Roman" w:eastAsia="方正仿宋_GBK" w:hAnsi="Times New Roman" w:cs="Times New Roman"/>
          <w:sz w:val="28"/>
          <w:szCs w:val="28"/>
          <w:lang w:bidi="ar-SA"/>
        </w:rPr>
        <w:t>能够对各类网络攻击行为如协议异常、代码执行、网络欺骗、漏洞利用、webshell上传、挖矿行为等进行发现；支持根据威胁情报信息进行告警分析；支持常见web攻击发现，包括但不限于SQL注入、XSS、CSRF攻击、目录遍历、弱口令、权限绕过、信息泄露、文件包含、文件写入攻击等；支持各类webshell连接行为监测；支持自定义威胁情报、白名单、弱口令字典、暴力破解规则、漏洞知识库配置、自定义规则配置，支持用户新建/导入已有的规则信息，自身规则不少于9000条，可检测webshell类型不少于140种；支持基于本地威胁情报库对实时流量进行威胁检测，检测类型包含APT事件、僵尸网络、勒索软件、流氓推广、窃密木马、网络蠕虫、远控木马、黑市工具及其他恶意软件，并可自定义威胁情报；攻击特征库和威胁情报库定期更新，支持特征库及威胁情报库在线和离线升级；针对CNVD国家信息安全漏洞共享平台报出的高危漏洞，应在1天内及时提供紧急规则库更新包；免费提供不少于6年攻击特征库和威胁情报库升级授权；能够针对网络请求的语义进行分析，对告警事件的请求头、响应头、请求体、响应体进行展示，并可提供完整告警上下行流量完成pcap数据包供用户进行进一步分析；能够根据上下行流量判断攻击行为是否成功，并将判断结果直观展示出来；在进行告警展示时，告警列表至少包含时间、事件名称、攻击IP、受害IP、攻击IP归属地、XFF字段、域名、URI、事件级别、攻击结果等信息，并支持以上信息的精准和模糊查找，支持多个字段组合查找，支持同一字段多个匹配关系搜索；支持从外部NTP服务器同步时间。分析平台事件处理性能≥10000 eps，日志处理速度不少于90万条每分钟；单台探针实际可处理流量≥4Gbps</w:t>
      </w:r>
      <w:r>
        <w:rPr>
          <w:rFonts w:ascii="方正仿宋_GBK" w:eastAsia="方正仿宋_GBK" w:cs="Segoe UI Symbol" w:hint="eastAsia"/>
          <w:bCs/>
          <w:sz w:val="30"/>
          <w:szCs w:val="30"/>
          <w:lang w:bidi="ar-SA"/>
        </w:rPr>
        <w:t>（提供官网技术截图及链接或技术白皮书，并加盖投标人及制造商公章）</w:t>
      </w:r>
      <w:r>
        <w:rPr>
          <w:rFonts w:ascii="Times New Roman" w:eastAsia="方正仿宋_GBK" w:hAnsi="Times New Roman" w:cs="Times New Roman"/>
          <w:sz w:val="28"/>
          <w:szCs w:val="28"/>
          <w:lang w:bidi="ar-SA"/>
        </w:rPr>
        <w:t>。</w:t>
      </w:r>
    </w:p>
    <w:p>
      <w:pPr>
        <w:spacing w:line="560" w:lineRule="exact"/>
        <w:ind w:firstLine="562"/>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▲3.5云内流量检测：</w:t>
      </w:r>
      <w:r>
        <w:rPr>
          <w:rFonts w:ascii="Times New Roman" w:eastAsia="方正仿宋_GBK" w:hAnsi="Times New Roman" w:cs="Times New Roman"/>
          <w:sz w:val="28"/>
          <w:szCs w:val="28"/>
          <w:lang w:bidi="ar-SA"/>
        </w:rPr>
        <w:t>支持云环境下多层 VLAN、VXLAN、MPLS、GRE等网络流量的检测，支持GENEVE协议双层隧道封装流量的检测</w:t>
      </w:r>
      <w:r>
        <w:rPr>
          <w:rFonts w:ascii="方正仿宋_GBK" w:eastAsia="方正仿宋_GBK" w:cs="Segoe UI Symbol" w:hint="eastAsia"/>
          <w:bCs/>
          <w:sz w:val="30"/>
          <w:szCs w:val="30"/>
          <w:lang w:bidi="ar-SA"/>
        </w:rPr>
        <w:t>（提供官网技术截图及链接或技术白皮书，并加盖投标人及制造商公章）</w:t>
      </w:r>
      <w:r>
        <w:rPr>
          <w:rFonts w:ascii="Times New Roman" w:eastAsia="方正仿宋_GBK" w:hAnsi="Times New Roman" w:cs="Times New Roman"/>
          <w:sz w:val="28"/>
          <w:szCs w:val="28"/>
          <w:lang w:bidi="ar-SA"/>
        </w:rPr>
        <w:t>。</w:t>
      </w:r>
    </w:p>
    <w:p>
      <w:pPr>
        <w:spacing w:line="560" w:lineRule="exact"/>
        <w:ind w:firstLine="562"/>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 6白名单：</w:t>
      </w:r>
      <w:r>
        <w:rPr>
          <w:rFonts w:ascii="Times New Roman" w:eastAsia="方正仿宋_GBK" w:hAnsi="Times New Roman" w:cs="Times New Roman"/>
          <w:sz w:val="28"/>
          <w:szCs w:val="28"/>
          <w:lang w:bidi="ar-SA"/>
        </w:rPr>
        <w:t>自定义白名单至少支持根据源地址、目的地址、端口、URL、告警名称、XFF字段等添加白名单</w:t>
      </w:r>
      <w:r>
        <w:rPr>
          <w:rFonts w:ascii="方正仿宋_GBK" w:eastAsia="方正仿宋_GBK" w:cs="Segoe UI Symbol" w:hint="eastAsia"/>
          <w:bCs/>
          <w:sz w:val="30"/>
          <w:szCs w:val="30"/>
          <w:lang w:bidi="ar-SA"/>
        </w:rPr>
        <w:t>（提供官网技术截图及链接或技术白皮书，并加盖投标人及制造商公章）</w:t>
      </w:r>
      <w:r>
        <w:rPr>
          <w:rFonts w:ascii="Times New Roman" w:eastAsia="方正仿宋_GBK" w:hAnsi="Times New Roman" w:cs="Times New Roman"/>
          <w:sz w:val="28"/>
          <w:szCs w:val="28"/>
          <w:lang w:bidi="ar-SA"/>
        </w:rPr>
        <w:t>。</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 7规则库调整：</w:t>
      </w:r>
      <w:r>
        <w:rPr>
          <w:rFonts w:ascii="Times New Roman" w:eastAsia="方正仿宋_GBK" w:hAnsi="Times New Roman" w:cs="Times New Roman"/>
          <w:sz w:val="28"/>
          <w:szCs w:val="28"/>
          <w:lang w:bidi="ar-SA"/>
        </w:rPr>
        <w:t>支持用户根据实际需求调整规则库，启用或停用某条策略</w:t>
      </w:r>
      <w:r>
        <w:rPr>
          <w:rFonts w:ascii="方正仿宋_GBK" w:eastAsia="方正仿宋_GBK" w:cs="Segoe UI Symbol" w:hint="eastAsia"/>
          <w:bCs/>
          <w:sz w:val="30"/>
          <w:szCs w:val="30"/>
          <w:lang w:bidi="ar-SA"/>
        </w:rPr>
        <w:t>（提供官网技术截图及链接或技术白皮书，并加盖投标人及制造商公章）</w:t>
      </w:r>
      <w:r>
        <w:rPr>
          <w:rFonts w:ascii="Times New Roman" w:eastAsia="方正仿宋_GBK" w:hAnsi="Times New Roman" w:cs="Times New Roman"/>
          <w:sz w:val="28"/>
          <w:szCs w:val="28"/>
          <w:lang w:bidi="ar-SA"/>
        </w:rPr>
        <w:t>。</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▲3.8告警信息查看：</w:t>
      </w:r>
      <w:r>
        <w:rPr>
          <w:rFonts w:ascii="Times New Roman" w:eastAsia="方正仿宋_GBK" w:hAnsi="Times New Roman" w:cs="Times New Roman"/>
          <w:sz w:val="28"/>
          <w:szCs w:val="28"/>
          <w:lang w:bidi="ar-SA"/>
        </w:rPr>
        <w:t>支持告警详情查看；可查看告警事件流量的请求头、响应头、请求体、响应体等内容，并可提供告警完整PCAP包</w:t>
      </w:r>
      <w:r>
        <w:rPr>
          <w:rFonts w:ascii="方正仿宋_GBK" w:eastAsia="方正仿宋_GBK" w:cs="Segoe UI Symbol" w:hint="eastAsia"/>
          <w:bCs/>
          <w:sz w:val="30"/>
          <w:szCs w:val="30"/>
          <w:lang w:bidi="ar-SA"/>
        </w:rPr>
        <w:t>（提供官网技术截图及链接或技术白皮书，并加盖投标人及制造商公章）</w:t>
      </w:r>
      <w:r>
        <w:rPr>
          <w:rFonts w:ascii="Times New Roman" w:eastAsia="方正仿宋_GBK" w:hAnsi="Times New Roman" w:cs="Times New Roman"/>
          <w:sz w:val="28"/>
          <w:szCs w:val="28"/>
          <w:lang w:bidi="ar-SA"/>
        </w:rPr>
        <w:t>。</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▲3.9 全流量记录：</w:t>
      </w:r>
      <w:r>
        <w:rPr>
          <w:rFonts w:ascii="Times New Roman" w:eastAsia="方正仿宋_GBK" w:hAnsi="Times New Roman" w:cs="Times New Roman"/>
          <w:sz w:val="28"/>
          <w:szCs w:val="28"/>
          <w:lang w:bidi="ar-SA"/>
        </w:rPr>
        <w:t>支持记录全部接入探针网络流量的源地址、目的地址、源端口、目的端口、HTTP头所有信息、URL、响应头等内容</w:t>
      </w:r>
      <w:r>
        <w:rPr>
          <w:rFonts w:ascii="方正仿宋_GBK" w:eastAsia="方正仿宋_GBK" w:cs="Segoe UI Symbol" w:hint="eastAsia"/>
          <w:bCs/>
          <w:sz w:val="30"/>
          <w:szCs w:val="30"/>
          <w:lang w:bidi="ar-SA"/>
        </w:rPr>
        <w:t>（提供官网技术截图及链接或技术白皮书，并加盖投标人及制造商公章）</w:t>
      </w:r>
      <w:r>
        <w:rPr>
          <w:rFonts w:ascii="Times New Roman" w:eastAsia="方正仿宋_GBK" w:hAnsi="Times New Roman" w:cs="Times New Roman"/>
          <w:sz w:val="28"/>
          <w:szCs w:val="28"/>
          <w:lang w:bidi="ar-SA"/>
        </w:rPr>
        <w:t>。</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▲3.10流量检索：</w:t>
      </w:r>
      <w:r>
        <w:rPr>
          <w:rFonts w:ascii="Times New Roman" w:eastAsia="方正仿宋_GBK" w:hAnsi="Times New Roman" w:cs="Times New Roman"/>
          <w:sz w:val="28"/>
          <w:szCs w:val="28"/>
          <w:lang w:bidi="ar-SA"/>
        </w:rPr>
        <w:t>支持根据源地址、目的地址、源端口、目的端口、HTTP头各类字段、URL、响应头等进行流量检索，支持精准查找和模糊查找，支持多个字段组合查找，支持同一字段多个匹配关系检索</w:t>
      </w:r>
      <w:r>
        <w:rPr>
          <w:rFonts w:ascii="方正仿宋_GBK" w:eastAsia="方正仿宋_GBK" w:cs="Segoe UI Symbol" w:hint="eastAsia"/>
          <w:bCs/>
          <w:sz w:val="30"/>
          <w:szCs w:val="30"/>
          <w:lang w:bidi="ar-SA"/>
        </w:rPr>
        <w:t>（提供官网技术截图及链接或技术白皮书，并加盖投标人及制造商公章）</w:t>
      </w:r>
      <w:r>
        <w:rPr>
          <w:rFonts w:ascii="Times New Roman" w:eastAsia="方正仿宋_GBK" w:hAnsi="Times New Roman" w:cs="Times New Roman"/>
          <w:sz w:val="28"/>
          <w:szCs w:val="28"/>
          <w:lang w:bidi="ar-SA"/>
        </w:rPr>
        <w:t>。</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3.11云端联动：</w:t>
      </w:r>
      <w:r>
        <w:rPr>
          <w:rFonts w:ascii="Times New Roman" w:eastAsia="方正仿宋_GBK" w:hAnsi="Times New Roman" w:cs="Times New Roman"/>
          <w:sz w:val="28"/>
          <w:szCs w:val="28"/>
          <w:lang w:bidi="ar-SA"/>
        </w:rPr>
        <w:t>支持与云端威胁情报中心联动，可对攻击IP、C&amp;C域名和恶意样本MD5进行一键搜索，查看包括但不限于基本信息、相关样本、关联URL、可视化分析、域名解析、注册信息、关联域名。</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3.12告警导出：</w:t>
      </w:r>
      <w:r>
        <w:rPr>
          <w:rFonts w:ascii="Times New Roman" w:eastAsia="方正仿宋_GBK" w:hAnsi="Times New Roman" w:cs="Times New Roman"/>
          <w:sz w:val="28"/>
          <w:szCs w:val="28"/>
          <w:lang w:bidi="ar-SA"/>
        </w:rPr>
        <w:t>支持以Excel等形式导出攻击列表，导出内容包括攻击源ip、目的ip、攻击URL、威胁类型、威胁名称、威胁等级、攻击结果、请求头、请求体、响应头、响应体等内容；支持用户对导出列表内容进行自定义。</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3.13 Web访问架构：</w:t>
      </w:r>
      <w:r>
        <w:rPr>
          <w:rFonts w:ascii="Times New Roman" w:eastAsia="方正仿宋_GBK" w:hAnsi="Times New Roman" w:cs="Times New Roman"/>
          <w:sz w:val="28"/>
          <w:szCs w:val="28"/>
          <w:lang w:bidi="ar-SA"/>
        </w:rPr>
        <w:t>用户可使用B/S访问架构，支持国产化Web浏览器访问。</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3.14邮件告警：</w:t>
      </w:r>
      <w:r>
        <w:rPr>
          <w:rFonts w:ascii="Times New Roman" w:eastAsia="方正仿宋_GBK" w:hAnsi="Times New Roman" w:cs="Times New Roman"/>
          <w:sz w:val="28"/>
          <w:szCs w:val="28"/>
          <w:lang w:bidi="ar-SA"/>
        </w:rPr>
        <w:t>支持邮件告警功能，可以定时向指定邮箱发送告警信息。</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3.15资产管理：</w:t>
      </w:r>
      <w:r>
        <w:rPr>
          <w:rFonts w:ascii="Times New Roman" w:eastAsia="方正仿宋_GBK" w:hAnsi="Times New Roman" w:cs="Times New Roman"/>
          <w:sz w:val="28"/>
          <w:szCs w:val="28"/>
          <w:lang w:bidi="ar-SA"/>
        </w:rPr>
        <w:t>支持对资产进行分组管理及对应内网网段的录入。</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3.16</w:t>
      </w:r>
      <w:r>
        <w:rPr>
          <w:rFonts w:ascii="Times New Roman" w:eastAsia="方正仿宋_GBK" w:hAnsi="Times New Roman" w:cs="Times New Roman" w:hint="eastAsia"/>
          <w:b/>
          <w:sz w:val="28"/>
          <w:szCs w:val="28"/>
          <w:lang w:bidi="ar-SA"/>
        </w:rPr>
        <w:t>资产发现：</w:t>
      </w:r>
      <w:r>
        <w:rPr>
          <w:rFonts w:ascii="Times New Roman" w:eastAsia="方正仿宋_GBK" w:hAnsi="Times New Roman" w:cs="Times New Roman"/>
          <w:sz w:val="28"/>
          <w:szCs w:val="28"/>
          <w:lang w:bidi="ar-SA"/>
        </w:rPr>
        <w:t>支持根据网络流量信息</w:t>
      </w:r>
      <w:r>
        <w:rPr>
          <w:rFonts w:ascii="Times New Roman" w:eastAsia="方正仿宋_GBK" w:hAnsi="Times New Roman" w:cs="Times New Roman" w:hint="eastAsia"/>
          <w:sz w:val="28"/>
          <w:szCs w:val="28"/>
          <w:lang w:bidi="ar-SA"/>
        </w:rPr>
        <w:t>和</w:t>
      </w:r>
      <w:r>
        <w:rPr>
          <w:rFonts w:ascii="Times New Roman" w:eastAsia="方正仿宋_GBK" w:hAnsi="Times New Roman" w:cs="Times New Roman"/>
          <w:sz w:val="28"/>
          <w:szCs w:val="28"/>
          <w:lang w:bidi="ar-SA"/>
        </w:rPr>
        <w:t>用户录入的网段发现用户网内资产信息。</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3.17</w:t>
      </w:r>
      <w:r>
        <w:rPr>
          <w:rFonts w:ascii="Times New Roman" w:eastAsia="方正仿宋_GBK" w:hAnsi="Times New Roman" w:cs="Times New Roman" w:hint="eastAsia"/>
          <w:b/>
          <w:sz w:val="28"/>
          <w:szCs w:val="28"/>
          <w:lang w:bidi="ar-SA"/>
        </w:rPr>
        <w:t>资产标记：</w:t>
      </w:r>
      <w:r>
        <w:rPr>
          <w:rFonts w:ascii="Times New Roman" w:eastAsia="方正仿宋_GBK" w:hAnsi="Times New Roman" w:cs="Times New Roman"/>
          <w:sz w:val="28"/>
          <w:szCs w:val="28"/>
          <w:lang w:bidi="ar-SA"/>
        </w:rPr>
        <w:t>支持对资产标记。</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3.18</w:t>
      </w:r>
      <w:r>
        <w:rPr>
          <w:rFonts w:ascii="Times New Roman" w:eastAsia="方正仿宋_GBK" w:hAnsi="Times New Roman" w:cs="Times New Roman" w:hint="eastAsia"/>
          <w:b/>
          <w:sz w:val="28"/>
          <w:szCs w:val="28"/>
          <w:lang w:bidi="ar-SA"/>
        </w:rPr>
        <w:t>资产过滤：</w:t>
      </w:r>
      <w:r>
        <w:rPr>
          <w:rFonts w:ascii="Times New Roman" w:eastAsia="方正仿宋_GBK" w:hAnsi="Times New Roman" w:cs="Times New Roman"/>
          <w:sz w:val="28"/>
          <w:szCs w:val="28"/>
          <w:lang w:bidi="ar-SA"/>
        </w:rPr>
        <w:t>支持根据用户录入的网段过滤资产信息。</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3.19攻击分析：</w:t>
      </w:r>
      <w:r>
        <w:rPr>
          <w:rFonts w:ascii="Times New Roman" w:eastAsia="方正仿宋_GBK" w:hAnsi="Times New Roman" w:cs="Times New Roman"/>
          <w:sz w:val="28"/>
          <w:szCs w:val="28"/>
          <w:lang w:bidi="ar-SA"/>
        </w:rPr>
        <w:t>支持对网络日志、告警日志等进行深入分析，以还原攻击全过程。</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3.20日志：</w:t>
      </w:r>
      <w:r>
        <w:rPr>
          <w:rFonts w:ascii="Times New Roman" w:eastAsia="方正仿宋_GBK" w:hAnsi="Times New Roman" w:cs="Times New Roman"/>
          <w:sz w:val="28"/>
          <w:szCs w:val="28"/>
          <w:lang w:bidi="ar-SA"/>
        </w:rPr>
        <w:t>支持日志导入导出。</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3.21第三方平台对接：</w:t>
      </w:r>
      <w:r>
        <w:rPr>
          <w:rFonts w:ascii="Times New Roman" w:eastAsia="方正仿宋_GBK" w:hAnsi="Times New Roman" w:cs="Times New Roman"/>
          <w:sz w:val="28"/>
          <w:szCs w:val="28"/>
          <w:lang w:bidi="ar-SA"/>
        </w:rPr>
        <w:t>支持系统日志、告警日志、原始告警、行为分析信息发送给syslog服务器和邮件服务器；探针或分析平台至少有一方支持通过syslog将告警日志发送给第三方时可对发送的事件进行自定义过滤。</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3.22威胁分析：</w:t>
      </w:r>
      <w:r>
        <w:rPr>
          <w:rFonts w:ascii="Times New Roman" w:eastAsia="方正仿宋_GBK" w:hAnsi="Times New Roman" w:cs="Times New Roman"/>
          <w:sz w:val="28"/>
          <w:szCs w:val="28"/>
          <w:lang w:bidi="ar-SA"/>
        </w:rPr>
        <w:t>支持以受害资产维度进行分析，分析内容包括失陷状态、受到的攻击类型、威胁级别、处于的攻击阶段、所属的资产分组。</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3.23攻击者画像：</w:t>
      </w:r>
      <w:r>
        <w:rPr>
          <w:rFonts w:ascii="Times New Roman" w:eastAsia="方正仿宋_GBK" w:hAnsi="Times New Roman" w:cs="Times New Roman"/>
          <w:sz w:val="28"/>
          <w:szCs w:val="28"/>
          <w:lang w:bidi="ar-SA"/>
        </w:rPr>
        <w:t>支持以攻击者的维度进行分析，对攻击者进行画像，画像内容包括地理位置信息、国家信息、所属组织、使用的攻击手段、攻击的所有资产。</w:t>
      </w:r>
    </w:p>
    <w:p>
      <w:pPr>
        <w:spacing w:line="560" w:lineRule="exact"/>
        <w:ind w:firstLine="560" w:firstLineChars="200"/>
        <w:rPr>
          <w:rFonts w:ascii="Times New Roman" w:eastAsia="方正仿宋_GBK" w:hAnsi="Times New Roman" w:cs="Times New Roman"/>
          <w:sz w:val="28"/>
          <w:szCs w:val="28"/>
        </w:rPr>
      </w:pPr>
      <w:r>
        <w:rPr>
          <w:rFonts w:ascii="Times New Roman" w:eastAsia="方正仿宋_GBK" w:hAnsi="Times New Roman" w:cs="Times New Roman"/>
          <w:b/>
          <w:sz w:val="28"/>
          <w:szCs w:val="28"/>
          <w:lang w:bidi="ar-SA"/>
        </w:rPr>
        <w:t>3.24攻击带外分析：</w:t>
      </w:r>
      <w:r>
        <w:rPr>
          <w:rFonts w:ascii="Times New Roman" w:eastAsia="方正仿宋_GBK" w:hAnsi="Times New Roman" w:cs="Times New Roman"/>
          <w:sz w:val="28"/>
          <w:szCs w:val="28"/>
          <w:lang w:bidi="ar-SA"/>
        </w:rPr>
        <w:t>支持从威胁情报、应用安全、系统安全和设备安全的业务场景维度对告警进行攻击带外分析。</w:t>
      </w:r>
    </w:p>
    <w:p>
      <w:pPr>
        <w:spacing w:line="560" w:lineRule="exact"/>
        <w:ind w:firstLine="560" w:firstLineChars="200"/>
        <w:rPr>
          <w:rFonts w:ascii="Times New Roman" w:eastAsia="方正仿宋_GBK" w:hAnsi="Times New Roman" w:cs="Times New Roman"/>
          <w:sz w:val="32"/>
          <w:szCs w:val="32"/>
        </w:rPr>
      </w:pPr>
      <w:r>
        <w:rPr>
          <w:rFonts w:ascii="Times New Roman" w:eastAsia="方正仿宋_GBK" w:hAnsi="Times New Roman" w:cs="Times New Roman"/>
          <w:b/>
          <w:sz w:val="28"/>
          <w:szCs w:val="28"/>
          <w:lang w:bidi="ar-SA"/>
        </w:rPr>
        <w:t>3.25账号管理：</w:t>
      </w:r>
      <w:r>
        <w:rPr>
          <w:rFonts w:ascii="Times New Roman" w:eastAsia="方正仿宋_GBK" w:hAnsi="Times New Roman" w:cs="Times New Roman"/>
          <w:sz w:val="28"/>
          <w:szCs w:val="28"/>
          <w:lang w:bidi="ar-SA"/>
        </w:rPr>
        <w:t>系统账号支持三权分立。</w:t>
      </w:r>
    </w:p>
    <w:p>
      <w:pPr>
        <w:spacing w:line="560" w:lineRule="exact"/>
        <w:rPr>
          <w:rFonts w:ascii="Times New Roman" w:eastAsia="方正仿宋_GBK" w:hAnsi="Times New Roman" w:cs="Times New Roman"/>
          <w:b/>
          <w:bCs/>
          <w:sz w:val="28"/>
          <w:szCs w:val="28"/>
        </w:rPr>
      </w:pPr>
      <w:r>
        <w:rPr>
          <w:rFonts w:ascii="Times New Roman" w:eastAsia="方正仿宋_GBK" w:hAnsi="Times New Roman" w:cs="Times New Roman"/>
          <w:b/>
          <w:bCs/>
          <w:sz w:val="28"/>
          <w:szCs w:val="28"/>
          <w:lang w:bidi="ar-SA"/>
        </w:rPr>
        <w:t>4.主要配置</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b/>
          <w:bCs/>
          <w:sz w:val="28"/>
          <w:szCs w:val="28"/>
          <w:lang w:bidi="ar-SA"/>
        </w:rPr>
        <w:t>★</w:t>
      </w:r>
      <w:r>
        <w:rPr>
          <w:rFonts w:ascii="Times New Roman" w:eastAsia="方正仿宋_GBK" w:hAnsi="Times New Roman" w:cs="Times New Roman"/>
          <w:b/>
          <w:sz w:val="28"/>
          <w:szCs w:val="28"/>
          <w:lang w:bidi="ar-SA"/>
        </w:rPr>
        <w:t>4.1配置：</w:t>
      </w:r>
      <w:r>
        <w:rPr>
          <w:rFonts w:ascii="Times New Roman" w:eastAsia="方正仿宋_GBK" w:hAnsi="Times New Roman" w:cs="Times New Roman"/>
          <w:sz w:val="28"/>
          <w:szCs w:val="28"/>
          <w:lang w:bidi="ar-SA"/>
        </w:rPr>
        <w:t>系统采用分析平台+探针的部署模式，每套设备实配1台分析平台和不少于2台探针；每台设备均为高度≤2U的标准机架式设备，实际满配冗余双电源；分析平台CPU≥24核，内存≥128GB，硬盘容量≥960G SSD+32TB 企业级硬盘，在流量达到设备支持最大性能时，告警日志及流量日志留存时间不得少于6个月；单台探针≥2个千兆流量监听电口，≥2个万兆流量监听光口，并满配光模块；分析平台和探针管理口≥2个千兆电口。</w:t>
      </w:r>
    </w:p>
    <w:p>
      <w:pPr>
        <w:spacing w:line="560" w:lineRule="exact"/>
        <w:jc w:val="left"/>
        <w:rPr>
          <w:rFonts w:ascii="Times New Roman" w:eastAsia="方正黑体_GBK" w:hAnsi="Times New Roman" w:cs="Times New Roman"/>
          <w:b/>
          <w:bCs/>
          <w:sz w:val="28"/>
          <w:szCs w:val="28"/>
        </w:rPr>
      </w:pPr>
      <w:r>
        <w:rPr>
          <w:rFonts w:ascii="Times New Roman" w:eastAsia="方正仿宋_GBK" w:hAnsi="Times New Roman" w:cs="Times New Roman"/>
          <w:b/>
          <w:bCs/>
          <w:sz w:val="28"/>
          <w:szCs w:val="28"/>
          <w:lang w:bidi="ar-SA"/>
        </w:rPr>
        <w:t>★</w:t>
      </w:r>
      <w:r>
        <w:rPr>
          <w:rFonts w:ascii="Times New Roman" w:eastAsia="方正黑体_GBK" w:hAnsi="Times New Roman" w:cs="Times New Roman"/>
          <w:b/>
          <w:bCs/>
          <w:sz w:val="28"/>
          <w:szCs w:val="28"/>
          <w:lang w:bidi="ar-SA"/>
        </w:rPr>
        <w:t>四、 交货期</w:t>
      </w:r>
    </w:p>
    <w:p>
      <w:pPr>
        <w:spacing w:line="560" w:lineRule="exact"/>
        <w:ind w:firstLine="560" w:firstLineChars="20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产品合同签订后20个工作日内交货。</w:t>
      </w:r>
    </w:p>
    <w:p>
      <w:pPr>
        <w:pStyle w:val="61100"/>
        <w:spacing w:line="560" w:lineRule="exact"/>
        <w:jc w:val="left"/>
        <w:rPr>
          <w:rFonts w:ascii="Times New Roman" w:eastAsia="方正黑体_GBK" w:hAnsi="Times New Roman" w:cs="Times New Roman"/>
          <w:b/>
          <w:bCs/>
          <w:sz w:val="28"/>
          <w:szCs w:val="28"/>
        </w:rPr>
      </w:pPr>
      <w:r>
        <w:rPr>
          <w:rFonts w:ascii="Times New Roman" w:eastAsia="方正仿宋_GBK" w:hAnsi="Times New Roman" w:cs="Times New Roman"/>
          <w:b/>
          <w:bCs/>
          <w:sz w:val="28"/>
          <w:szCs w:val="28"/>
          <w:lang w:bidi="ar-SA"/>
        </w:rPr>
        <w:t>★</w:t>
      </w:r>
      <w:r>
        <w:rPr>
          <w:rFonts w:ascii="Times New Roman" w:eastAsia="方正黑体_GBK" w:hAnsi="Times New Roman" w:cs="Times New Roman"/>
          <w:b/>
          <w:bCs/>
          <w:sz w:val="28"/>
          <w:szCs w:val="28"/>
          <w:lang w:bidi="ar-SA"/>
        </w:rPr>
        <w:t>五、交货地点</w:t>
      </w:r>
    </w:p>
    <w:p>
      <w:pPr>
        <w:pStyle w:val="6210"/>
        <w:spacing w:line="560" w:lineRule="exact"/>
        <w:ind w:firstLine="553"/>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采购人指定地点。</w:t>
      </w:r>
    </w:p>
    <w:p>
      <w:pPr>
        <w:spacing w:line="560" w:lineRule="exact"/>
        <w:jc w:val="left"/>
        <w:rPr>
          <w:rFonts w:ascii="Times New Roman" w:eastAsia="方正黑体_GBK" w:hAnsi="Times New Roman" w:cs="Times New Roman"/>
          <w:b/>
          <w:bCs/>
          <w:sz w:val="28"/>
          <w:szCs w:val="28"/>
        </w:rPr>
      </w:pPr>
      <w:r>
        <w:rPr>
          <w:rFonts w:ascii="Times New Roman" w:eastAsia="方正仿宋_GBK" w:hAnsi="Times New Roman" w:cs="Times New Roman"/>
          <w:b/>
          <w:bCs/>
          <w:sz w:val="28"/>
          <w:szCs w:val="28"/>
          <w:lang w:bidi="ar-SA"/>
        </w:rPr>
        <w:t>★</w:t>
      </w:r>
      <w:r>
        <w:rPr>
          <w:rFonts w:ascii="Times New Roman" w:eastAsia="方正黑体_GBK" w:hAnsi="Times New Roman" w:cs="Times New Roman"/>
          <w:b/>
          <w:bCs/>
          <w:sz w:val="28"/>
          <w:szCs w:val="28"/>
          <w:lang w:bidi="ar-SA"/>
        </w:rPr>
        <w:t>六、质保期</w:t>
      </w:r>
    </w:p>
    <w:p>
      <w:pPr>
        <w:spacing w:line="560" w:lineRule="exact"/>
        <w:ind w:firstLine="553"/>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产品安装调试经用户验收合格当天起，原厂质保期6年。</w:t>
      </w:r>
    </w:p>
    <w:p>
      <w:pPr>
        <w:widowControl/>
        <w:spacing w:line="560" w:lineRule="exact"/>
        <w:jc w:val="left"/>
        <w:outlineLvl w:val="0"/>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七、售后服务要求</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b/>
          <w:bCs/>
          <w:sz w:val="28"/>
          <w:szCs w:val="28"/>
          <w:lang w:bidi="ar-SA"/>
        </w:rPr>
        <w:t>★</w:t>
      </w:r>
      <w:r>
        <w:rPr>
          <w:rFonts w:ascii="Times New Roman" w:eastAsia="方正仿宋_GBK" w:hAnsi="Times New Roman" w:cs="Times New Roman"/>
          <w:sz w:val="28"/>
          <w:szCs w:val="28"/>
          <w:lang w:bidi="ar-SA"/>
        </w:rPr>
        <w:t>1.提供永久全功能模块使用授权（须提供承诺函，并加盖投标人公章</w:t>
      </w:r>
      <w:bookmarkStart w:id="43" w:name="_GoBack"/>
      <w:bookmarkEnd w:id="43"/>
      <w:r>
        <w:rPr>
          <w:rFonts w:ascii="Times New Roman" w:eastAsia="方正仿宋_GBK" w:hAnsi="Times New Roman" w:cs="Times New Roman"/>
          <w:sz w:val="28"/>
          <w:szCs w:val="28"/>
          <w:lang w:bidi="ar-SA"/>
        </w:rPr>
        <w:t>）。</w:t>
      </w:r>
    </w:p>
    <w:p>
      <w:pPr>
        <w:pStyle w:val="51100"/>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2.到货验收：设备到货时提供交货清单，设备到货后10个工作日内，按照合同标准，对设备的品牌、数量、外观完整度进行验收，全部符合要求，视为验收通过。</w:t>
      </w:r>
    </w:p>
    <w:p>
      <w:pPr>
        <w:pStyle w:val="51100"/>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3.安装调试验收：投标人提交制造商针对本项目开具的制造商售后服务承诺函（加盖投标人及制造商公章），承诺向采购人免费提供现场安装、调试、实施等服务；安装与调试时间：投标人根据</w:t>
      </w:r>
      <w:r>
        <w:rPr>
          <w:rFonts w:ascii="Times New Roman" w:eastAsia="方正仿宋_GBK" w:hAnsi="Times New Roman" w:cs="Times New Roman" w:hint="eastAsia"/>
          <w:sz w:val="28"/>
          <w:szCs w:val="28"/>
          <w:lang w:bidi="ar-SA"/>
        </w:rPr>
        <w:t>采购人</w:t>
      </w:r>
      <w:r>
        <w:rPr>
          <w:rFonts w:ascii="Times New Roman" w:eastAsia="方正仿宋_GBK" w:hAnsi="Times New Roman" w:cs="Times New Roman"/>
          <w:sz w:val="28"/>
          <w:szCs w:val="28"/>
          <w:lang w:bidi="ar-SA"/>
        </w:rPr>
        <w:t>需求在规定的时间进行安装调试，正式通知后5个自然日内完成安装调试。</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4.设备部署实施完成后，投标人应提供项目运维方案相关的咨询服务，并制定项目运维工作方案。</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5售后服务期内，投标人根据采购人工作要求，提供软件免费升级、补丁更新、系统安全加固、特征库升级、技术咨询等服务。</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6.在售后服务期内，若国家、行业、国际上发表了相关新建议或标准，投标人和投标产品制造商应按采购人的要求在一定时间内（具体时间由双方商定）配合采购人免费对产品进行升级，投标人和投标产品制造商须说明升级时间周期，并不得以任何借口拒绝服务。</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7.在售后服务期内，如果投标产品制造商对该投标产品的运行、维护、保障方面进行了技术改进，投标人和投标产品制造商应积极向采购人推广，并免费向采购人提供与这些技术改进有关的详细技术资料。</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8.巡检服务：投标人应每季度提供一次现场巡检服务，在巡检工作实施前对巡检内容项进行梳理，形成可行性文档并获得采购人的认可后，作为巡检工作的依据。投标人每次巡检完毕后，7个工作日内提交巡检报告，在采购人认可的情况下按需进行相关优化及参数调整。</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9.文档服务：投标人须提交产品白皮书、用户使用手册、项目运维手册（含运维制度、流程）等技术资料；提供监控指标、监控预案、常见故障处理预案、应急预案、技术培训文档。</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10.备品备件要求：投标人应具备充足的备品备件，有效保证响应速度与供货质量；如果产品需返厂维修，或故障不能在24小时内恢复，需提供相同型号或各项性能规格不低于原有产品的备用产品供应急使用；对于在剩余售后服务期超过一年的时间更换的备件或新设备产品，均提供截至售后服务期的保修期；对于在剩余售后服务期不足一年的时间更换的备件或新设备产品，均提供一年的保修期。</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11.同一设备或组件在一年内出现2次或以上相同故障情况，投标人须提供免费更换新设备或组件。投标人须免费提供质保期内硬盘（含SSD固态硬盘）免回收服务，如出现硬盘故障判定分歧，以采购人判断为准。</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12.技术支持和故障处理</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投标人和制造商商须提供7×24小时热线电话，并通过即时通讯工具、电子邮件等多种方式进行远程技术支持服务，对于采购人提出的技术支持需求，包括但不限于故障报修和处理、专家技术咨询、专家技术支持服务，投标人应于15分钟内响应。</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当设备出现影响业务正常运行的故障时，投标人或制造商商应根据采购人需求在2小时内到达采购人指定现场，并在到达现场后2小时内解决问题，如到达现场后判断故障发生24小时内无法使设备恢复正常运行，则应在故障发生后24小时内提供能正常使用的备机。故障处理完毕后，投标人须一周内向采购人提供故障分析报告，要求其详细阐述故障原因、处理过程以及建议。</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当设备出现不影响业务正常运行的故障时，投标人或厂商应根据采购人需求在4小时内到达采购人指定现场，并在到达现场后4小时内解决问题，如到达现场后判断故障发生48小时内无法使设备恢复正常运行，则应在故障发生后48小时内提供能正常使用的备机。故障处理完毕后，投标人须一周内向采购人提供故障分析报告，要求其详细阐述故障原因、处理过程以及建议。</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13.应急及重保服务：售后服务期内提供制造商各种突发事件的应急支持服务，并安排专人进行全程跟踪。重保期间按照采购人要求安排专人提供现场技术保障服务。重保值守要求：当遇到法定节假日、重大保障等需要人员进行值守保障时，投标人须做好相关的保障工作，包括人员，备件，二线/三线专家现场或远程技术支持等。</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14.漏洞修复</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当产品被发现存在BUG或出现安全风险时，投标人应按采购人要求在规定时限内完成修复。</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15.团队要求</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本项目配备1名项目经理，项目经理具备5年以上工作经验，具有人力资源和社会保障部门颁发的信息系统项目管理师证书，提供加盖投标人公章的人员简历</w:t>
      </w:r>
      <w:r>
        <w:rPr>
          <w:rFonts w:ascii="Times New Roman" w:eastAsia="方正仿宋_GBK" w:hAnsi="Times New Roman" w:cs="Times New Roman" w:hint="eastAsia"/>
          <w:sz w:val="28"/>
          <w:szCs w:val="28"/>
          <w:lang w:bidi="ar-SA"/>
        </w:rPr>
        <w:t>（含</w:t>
      </w:r>
      <w:r>
        <w:rPr>
          <w:rFonts w:ascii="Times New Roman" w:eastAsia="方正仿宋_GBK" w:hAnsi="Times New Roman" w:cs="Times New Roman"/>
          <w:sz w:val="28"/>
          <w:szCs w:val="28"/>
          <w:lang w:bidi="ar-SA"/>
        </w:rPr>
        <w:t>项目经历说明</w:t>
      </w:r>
      <w:r>
        <w:rPr>
          <w:rFonts w:ascii="Times New Roman" w:eastAsia="方正仿宋_GBK" w:hAnsi="Times New Roman" w:cs="Times New Roman" w:hint="eastAsia"/>
          <w:sz w:val="28"/>
          <w:szCs w:val="28"/>
          <w:lang w:bidi="ar-SA"/>
        </w:rPr>
        <w:t>）</w:t>
      </w:r>
      <w:r>
        <w:rPr>
          <w:rFonts w:ascii="Times New Roman" w:eastAsia="方正仿宋_GBK" w:hAnsi="Times New Roman" w:cs="Times New Roman"/>
          <w:sz w:val="28"/>
          <w:szCs w:val="28"/>
          <w:lang w:bidi="ar-SA"/>
        </w:rPr>
        <w:t>以及</w:t>
      </w:r>
      <w:r>
        <w:rPr>
          <w:rFonts w:ascii="Times New Roman" w:eastAsia="方正仿宋_GBK" w:hAnsi="Times New Roman" w:cs="Times New Roman" w:hint="eastAsia"/>
          <w:sz w:val="28"/>
          <w:szCs w:val="28"/>
          <w:lang w:bidi="ar-SA"/>
        </w:rPr>
        <w:t>资质</w:t>
      </w:r>
      <w:r>
        <w:rPr>
          <w:rFonts w:ascii="Times New Roman" w:eastAsia="方正仿宋_GBK" w:hAnsi="Times New Roman" w:cs="Times New Roman"/>
          <w:sz w:val="28"/>
          <w:szCs w:val="28"/>
          <w:lang w:bidi="ar-SA"/>
        </w:rPr>
        <w:t>证书复印件。项目经理负责售后服务期内的整体规划、组织和执行、协调团队成员的工作、与客户沟通，确保运维工作达到预期目标，未经采购人同意，投标人不得私自进行项目经理人员更换。</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投标人应提供充足的项目实施人员，项目实施人员应具备3年及以上网络安全相关工作经验及相关技能，提供加盖投标人公章的人员简历</w:t>
      </w:r>
      <w:r>
        <w:rPr>
          <w:rFonts w:ascii="Times New Roman" w:eastAsia="方正仿宋_GBK" w:hAnsi="Times New Roman" w:cs="Times New Roman" w:hint="eastAsia"/>
          <w:sz w:val="28"/>
          <w:szCs w:val="28"/>
          <w:lang w:bidi="ar-SA"/>
        </w:rPr>
        <w:t>（含</w:t>
      </w:r>
      <w:r>
        <w:rPr>
          <w:rFonts w:ascii="Times New Roman" w:eastAsia="方正仿宋_GBK" w:hAnsi="Times New Roman" w:cs="Times New Roman"/>
          <w:sz w:val="28"/>
          <w:szCs w:val="28"/>
          <w:lang w:bidi="ar-SA"/>
        </w:rPr>
        <w:t>项目经历说明</w:t>
      </w:r>
      <w:r>
        <w:rPr>
          <w:rFonts w:ascii="Times New Roman" w:eastAsia="方正仿宋_GBK" w:hAnsi="Times New Roman" w:cs="Times New Roman" w:hint="eastAsia"/>
          <w:sz w:val="28"/>
          <w:szCs w:val="28"/>
          <w:lang w:bidi="ar-SA"/>
        </w:rPr>
        <w:t>）</w:t>
      </w:r>
      <w:r>
        <w:rPr>
          <w:rFonts w:ascii="Times New Roman" w:eastAsia="方正仿宋_GBK" w:hAnsi="Times New Roman" w:cs="Times New Roman"/>
          <w:sz w:val="28"/>
          <w:szCs w:val="28"/>
          <w:lang w:bidi="ar-SA"/>
        </w:rPr>
        <w:t>。</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售后服务期内，投标人须提供稳定的运维服务团队，为每个设备运行单位提供指定运维对接人员，对接人员不得随意更换，如确有需要进行更换的，应提前5个工作日告知</w:t>
      </w:r>
      <w:r>
        <w:rPr>
          <w:rFonts w:ascii="Times New Roman" w:eastAsia="方正仿宋_GBK" w:hAnsi="Times New Roman" w:cs="Times New Roman" w:hint="eastAsia"/>
          <w:sz w:val="28"/>
          <w:szCs w:val="28"/>
          <w:lang w:bidi="ar-SA"/>
        </w:rPr>
        <w:t>采购人</w:t>
      </w:r>
      <w:r>
        <w:rPr>
          <w:rFonts w:ascii="Times New Roman" w:eastAsia="方正仿宋_GBK" w:hAnsi="Times New Roman" w:cs="Times New Roman"/>
          <w:sz w:val="28"/>
          <w:szCs w:val="28"/>
          <w:lang w:bidi="ar-SA"/>
        </w:rPr>
        <w:t>。</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投标人必须提供拟在本次项目中投入的</w:t>
      </w:r>
      <w:r>
        <w:rPr>
          <w:rFonts w:ascii="Times New Roman" w:eastAsia="方正仿宋_GBK" w:hAnsi="Times New Roman" w:cs="Times New Roman" w:hint="eastAsia"/>
          <w:sz w:val="28"/>
          <w:szCs w:val="28"/>
          <w:lang w:bidi="ar-SA"/>
        </w:rPr>
        <w:t>项目</w:t>
      </w:r>
      <w:r>
        <w:rPr>
          <w:rFonts w:ascii="Times New Roman" w:eastAsia="方正仿宋_GBK" w:hAnsi="Times New Roman" w:cs="Times New Roman"/>
          <w:sz w:val="28"/>
          <w:szCs w:val="28"/>
          <w:lang w:bidi="ar-SA"/>
        </w:rPr>
        <w:t>经理、实施人员、运维人员的详细情况，按以下格式列表说明：</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04"/>
        <w:gridCol w:w="1704"/>
        <w:gridCol w:w="1704"/>
        <w:gridCol w:w="1705"/>
        <w:gridCol w:w="170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704" w:type="dxa"/>
          </w:tcPr>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序号</w:t>
            </w:r>
          </w:p>
        </w:tc>
        <w:tc>
          <w:tcPr>
            <w:tcW w:w="1704" w:type="dxa"/>
          </w:tcPr>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姓名</w:t>
            </w:r>
          </w:p>
        </w:tc>
        <w:tc>
          <w:tcPr>
            <w:tcW w:w="1704" w:type="dxa"/>
          </w:tcPr>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角色</w:t>
            </w:r>
          </w:p>
        </w:tc>
        <w:tc>
          <w:tcPr>
            <w:tcW w:w="1705" w:type="dxa"/>
          </w:tcPr>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身份证号</w:t>
            </w:r>
          </w:p>
        </w:tc>
        <w:tc>
          <w:tcPr>
            <w:tcW w:w="1705" w:type="dxa"/>
          </w:tcPr>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手机号</w:t>
            </w:r>
          </w:p>
        </w:tc>
      </w:tr>
      <w:tr>
        <w:tblPrEx>
          <w:jc w:val="left"/>
          <w:tblInd w:w="0" w:type="dxa"/>
          <w:tblCellMar>
            <w:top w:w="0" w:type="dxa"/>
            <w:left w:w="108" w:type="dxa"/>
            <w:bottom w:w="0" w:type="dxa"/>
            <w:right w:w="108" w:type="dxa"/>
          </w:tblCellMar>
        </w:tblPrEx>
        <w:trPr>
          <w:jc w:val="left"/>
        </w:trPr>
        <w:tc>
          <w:tcPr>
            <w:tcW w:w="1704" w:type="dxa"/>
          </w:tcPr>
          <w:p>
            <w:pPr>
              <w:spacing w:line="560" w:lineRule="exact"/>
              <w:jc w:val="left"/>
              <w:rPr>
                <w:rFonts w:ascii="Times New Roman" w:eastAsia="方正仿宋_GBK" w:hAnsi="Times New Roman" w:cs="Times New Roman"/>
                <w:sz w:val="28"/>
                <w:szCs w:val="28"/>
              </w:rPr>
            </w:pPr>
          </w:p>
        </w:tc>
        <w:tc>
          <w:tcPr>
            <w:tcW w:w="1704"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p>
        </w:tc>
        <w:tc>
          <w:tcPr>
            <w:tcW w:w="1704"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项目经理</w:t>
            </w:r>
          </w:p>
        </w:tc>
        <w:tc>
          <w:tcPr>
            <w:tcW w:w="1705"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p>
        </w:tc>
        <w:tc>
          <w:tcPr>
            <w:tcW w:w="1705" w:type="dxa"/>
          </w:tcPr>
          <w:p>
            <w:pPr>
              <w:spacing w:line="560" w:lineRule="exact"/>
              <w:jc w:val="left"/>
              <w:rPr>
                <w:rFonts w:ascii="Times New Roman" w:eastAsia="方正仿宋_GBK" w:hAnsi="Times New Roman" w:cs="Times New Roman"/>
                <w:sz w:val="28"/>
                <w:szCs w:val="28"/>
              </w:rPr>
            </w:pPr>
          </w:p>
        </w:tc>
      </w:tr>
      <w:tr>
        <w:tblPrEx>
          <w:jc w:val="left"/>
          <w:tblInd w:w="0" w:type="dxa"/>
          <w:tblCellMar>
            <w:top w:w="0" w:type="dxa"/>
            <w:left w:w="108" w:type="dxa"/>
            <w:bottom w:w="0" w:type="dxa"/>
            <w:right w:w="108" w:type="dxa"/>
          </w:tblCellMar>
        </w:tblPrEx>
        <w:trPr>
          <w:jc w:val="left"/>
        </w:trPr>
        <w:tc>
          <w:tcPr>
            <w:tcW w:w="1704" w:type="dxa"/>
          </w:tcPr>
          <w:p>
            <w:pPr>
              <w:spacing w:line="560" w:lineRule="exact"/>
              <w:jc w:val="left"/>
              <w:rPr>
                <w:rFonts w:ascii="Times New Roman" w:eastAsia="方正仿宋_GBK" w:hAnsi="Times New Roman" w:cs="Times New Roman"/>
                <w:sz w:val="28"/>
                <w:szCs w:val="28"/>
              </w:rPr>
            </w:pPr>
          </w:p>
        </w:tc>
        <w:tc>
          <w:tcPr>
            <w:tcW w:w="1704"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p>
        </w:tc>
        <w:tc>
          <w:tcPr>
            <w:tcW w:w="1704"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项目实施</w:t>
            </w:r>
          </w:p>
        </w:tc>
        <w:tc>
          <w:tcPr>
            <w:tcW w:w="1705"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p>
        </w:tc>
        <w:tc>
          <w:tcPr>
            <w:tcW w:w="1705" w:type="dxa"/>
          </w:tcPr>
          <w:p>
            <w:pPr>
              <w:spacing w:line="560" w:lineRule="exact"/>
              <w:jc w:val="left"/>
              <w:rPr>
                <w:rFonts w:ascii="Times New Roman" w:eastAsia="方正仿宋_GBK" w:hAnsi="Times New Roman" w:cs="Times New Roman"/>
                <w:sz w:val="28"/>
                <w:szCs w:val="28"/>
              </w:rPr>
            </w:pPr>
          </w:p>
        </w:tc>
      </w:tr>
      <w:tr>
        <w:tblPrEx>
          <w:jc w:val="left"/>
          <w:tblInd w:w="0" w:type="dxa"/>
          <w:tblCellMar>
            <w:top w:w="0" w:type="dxa"/>
            <w:left w:w="108" w:type="dxa"/>
            <w:bottom w:w="0" w:type="dxa"/>
            <w:right w:w="108" w:type="dxa"/>
          </w:tblCellMar>
        </w:tblPrEx>
        <w:trPr>
          <w:jc w:val="left"/>
        </w:trPr>
        <w:tc>
          <w:tcPr>
            <w:tcW w:w="1704" w:type="dxa"/>
          </w:tcPr>
          <w:p>
            <w:pPr>
              <w:spacing w:line="560" w:lineRule="exact"/>
              <w:jc w:val="left"/>
              <w:rPr>
                <w:rFonts w:ascii="Times New Roman" w:eastAsia="方正仿宋_GBK" w:hAnsi="Times New Roman" w:cs="Times New Roman"/>
                <w:sz w:val="28"/>
                <w:szCs w:val="28"/>
              </w:rPr>
            </w:pPr>
          </w:p>
        </w:tc>
        <w:tc>
          <w:tcPr>
            <w:tcW w:w="1704"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p>
        </w:tc>
        <w:tc>
          <w:tcPr>
            <w:tcW w:w="1704"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系统运维</w:t>
            </w:r>
          </w:p>
        </w:tc>
        <w:tc>
          <w:tcPr>
            <w:tcW w:w="1705"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p>
        </w:tc>
        <w:tc>
          <w:tcPr>
            <w:tcW w:w="1705" w:type="dxa"/>
          </w:tcPr>
          <w:p>
            <w:pPr>
              <w:spacing w:line="560" w:lineRule="exact"/>
              <w:jc w:val="left"/>
              <w:rPr>
                <w:rFonts w:ascii="Times New Roman" w:eastAsia="方正仿宋_GBK" w:hAnsi="Times New Roman" w:cs="Times New Roman"/>
                <w:sz w:val="28"/>
                <w:szCs w:val="28"/>
              </w:rPr>
            </w:pPr>
          </w:p>
        </w:tc>
      </w:tr>
      <w:tr>
        <w:tblPrEx>
          <w:jc w:val="left"/>
          <w:tblInd w:w="0" w:type="dxa"/>
          <w:tblCellMar>
            <w:top w:w="0" w:type="dxa"/>
            <w:left w:w="108" w:type="dxa"/>
            <w:bottom w:w="0" w:type="dxa"/>
            <w:right w:w="108" w:type="dxa"/>
          </w:tblCellMar>
        </w:tblPrEx>
        <w:trPr>
          <w:jc w:val="left"/>
        </w:trPr>
        <w:tc>
          <w:tcPr>
            <w:tcW w:w="1704" w:type="dxa"/>
          </w:tcPr>
          <w:p>
            <w:pPr>
              <w:spacing w:line="560" w:lineRule="exact"/>
              <w:jc w:val="left"/>
              <w:rPr>
                <w:rFonts w:ascii="Times New Roman" w:eastAsia="方正仿宋_GBK" w:hAnsi="Times New Roman" w:cs="Times New Roman"/>
                <w:sz w:val="28"/>
                <w:szCs w:val="28"/>
              </w:rPr>
            </w:pPr>
          </w:p>
        </w:tc>
        <w:tc>
          <w:tcPr>
            <w:tcW w:w="1704"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p>
        </w:tc>
        <w:tc>
          <w:tcPr>
            <w:tcW w:w="1704"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w:t>
            </w:r>
          </w:p>
        </w:tc>
        <w:tc>
          <w:tcPr>
            <w:tcW w:w="1705" w:type="dxa"/>
            <w:tcBorders>
              <w:top w:val="single" w:sz="4" w:space="0" w:color="auto"/>
              <w:left w:val="single" w:sz="4" w:space="0" w:color="auto"/>
              <w:right w:val="single" w:sz="4" w:space="0" w:color="auto"/>
            </w:tcBorders>
          </w:tcPr>
          <w:p>
            <w:pPr>
              <w:spacing w:line="560" w:lineRule="exact"/>
              <w:jc w:val="left"/>
              <w:rPr>
                <w:rFonts w:ascii="Times New Roman" w:eastAsia="方正仿宋_GBK" w:hAnsi="Times New Roman" w:cs="Times New Roman"/>
                <w:sz w:val="28"/>
                <w:szCs w:val="28"/>
              </w:rPr>
            </w:pPr>
          </w:p>
        </w:tc>
        <w:tc>
          <w:tcPr>
            <w:tcW w:w="1705" w:type="dxa"/>
          </w:tcPr>
          <w:p>
            <w:pPr>
              <w:spacing w:line="560" w:lineRule="exact"/>
              <w:jc w:val="left"/>
              <w:rPr>
                <w:rFonts w:ascii="Times New Roman" w:eastAsia="方正仿宋_GBK" w:hAnsi="Times New Roman" w:cs="Times New Roman"/>
                <w:sz w:val="28"/>
                <w:szCs w:val="28"/>
              </w:rPr>
            </w:pPr>
          </w:p>
        </w:tc>
      </w:tr>
    </w:tbl>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16.投标人提供服务工具要求：</w:t>
      </w:r>
    </w:p>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（1）提供具有合法授权或版权的硬件、操作系统安装等辅助工具和管理软件；</w:t>
      </w:r>
    </w:p>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（2）须提供产品所使用的开源组件清单和版本说明；</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17.在售后服务期满后，投标人应承诺按采购人要求，向其供应与合同标的物相配套并且使其正常运转所需的相关软硬件，价格为参照当时通行的市场价格的优惠后价格。如果投标人或</w:t>
      </w:r>
      <w:r>
        <w:rPr>
          <w:rFonts w:ascii="Times New Roman" w:eastAsia="方正仿宋_GBK" w:hAnsi="Times New Roman" w:cs="Times New Roman" w:hint="eastAsia"/>
          <w:sz w:val="28"/>
          <w:szCs w:val="28"/>
          <w:lang w:bidi="ar-SA"/>
        </w:rPr>
        <w:t>制造商</w:t>
      </w:r>
      <w:r>
        <w:rPr>
          <w:rFonts w:ascii="Times New Roman" w:eastAsia="方正仿宋_GBK" w:hAnsi="Times New Roman" w:cs="Times New Roman"/>
          <w:sz w:val="28"/>
          <w:szCs w:val="28"/>
          <w:lang w:bidi="ar-SA"/>
        </w:rPr>
        <w:t>拟停止生产合同标的物所需相关软硬件，投标人应在停止生产前6个月书面通知采购人，并且采购人有权在收到上述通知后3个月内发出订单订购其所需相关软硬件。</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18.投标人及制造商承诺按照采购人相关需求对接采购人系统平台，提供所需的相关数据信息。</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19.应急预案与应急演练：投标人须根据业务需求和服务质量要求，确定应急恢复计划的范围与目标，设计提供应急恢复方案，以保证相关业务的持续性和可用性。</w:t>
      </w:r>
    </w:p>
    <w:p>
      <w:pPr>
        <w:widowControl/>
        <w:spacing w:line="560" w:lineRule="exact"/>
        <w:jc w:val="left"/>
        <w:outlineLvl w:val="0"/>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八、培训要求</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1.投标人提供技术培训方案，包含不限于培训方式、内容、培训</w:t>
      </w:r>
      <w:r>
        <w:rPr>
          <w:rFonts w:ascii="Times New Roman" w:eastAsia="方正仿宋_GBK" w:hAnsi="Times New Roman" w:cs="Times New Roman" w:hint="eastAsia"/>
          <w:sz w:val="28"/>
          <w:szCs w:val="28"/>
          <w:lang w:bidi="ar-SA"/>
        </w:rPr>
        <w:t>目标</w:t>
      </w:r>
      <w:r>
        <w:rPr>
          <w:rFonts w:ascii="Times New Roman" w:eastAsia="方正仿宋_GBK" w:hAnsi="Times New Roman" w:cs="Times New Roman"/>
          <w:sz w:val="28"/>
          <w:szCs w:val="28"/>
          <w:lang w:bidi="ar-SA"/>
        </w:rPr>
        <w:t>，以及项目实施中的技术交流等有针对性的技术培训方案。</w:t>
      </w:r>
    </w:p>
    <w:p>
      <w:pPr>
        <w:spacing w:line="560" w:lineRule="exact"/>
        <w:ind w:firstLine="420"/>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2.投标人应按采购人需求提供现场培训，培训内容包括但不限于设备的使用、维护。</w:t>
      </w:r>
    </w:p>
    <w:p>
      <w:pPr>
        <w:widowControl/>
        <w:spacing w:line="560" w:lineRule="exact"/>
        <w:jc w:val="left"/>
        <w:outlineLvl w:val="0"/>
        <w:rPr>
          <w:rFonts w:ascii="Times New Roman" w:eastAsia="方正仿宋_GBK" w:hAnsi="Times New Roman" w:cs="Times New Roman"/>
          <w:b/>
          <w:bCs/>
          <w:sz w:val="28"/>
          <w:szCs w:val="28"/>
        </w:rPr>
      </w:pPr>
      <w:r>
        <w:rPr>
          <w:rFonts w:ascii="Times New Roman" w:eastAsia="方正黑体_GBK" w:hAnsi="Times New Roman" w:cs="Times New Roman"/>
          <w:b/>
          <w:bCs/>
          <w:sz w:val="28"/>
          <w:szCs w:val="28"/>
          <w:lang w:bidi="ar-SA"/>
        </w:rPr>
        <w:t>九、分配表</w:t>
      </w:r>
      <w:r>
        <w:rPr>
          <w:rFonts w:ascii="Times New Roman" w:eastAsia="宋体" w:hAnsi="Times New Roman" w:cs="Times New Roman"/>
          <w:b/>
          <w:bCs/>
          <w:sz w:val="28"/>
          <w:szCs w:val="28"/>
          <w:lang w:bidi="ar-SA"/>
        </w:rPr>
        <w:tab/>
        <w:tab/>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177"/>
        <w:gridCol w:w="2749"/>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177" w:type="dxa"/>
            <w:vAlign w:val="center"/>
          </w:tcPr>
          <w:p>
            <w:pPr>
              <w:spacing w:line="560" w:lineRule="exact"/>
              <w:jc w:val="center"/>
              <w:rPr>
                <w:rFonts w:ascii="Times New Roman" w:eastAsia="方正仿宋_GBK" w:hAnsi="Times New Roman" w:cs="Times New Roman"/>
                <w:b/>
                <w:bCs/>
                <w:kern w:val="0"/>
                <w:sz w:val="28"/>
                <w:szCs w:val="28"/>
              </w:rPr>
            </w:pPr>
            <w:r>
              <w:rPr>
                <w:rFonts w:ascii="Times New Roman" w:eastAsia="方正仿宋_GBK" w:hAnsi="Times New Roman" w:cs="Times New Roman"/>
                <w:b/>
                <w:bCs/>
                <w:kern w:val="0"/>
                <w:sz w:val="28"/>
                <w:szCs w:val="28"/>
                <w:lang w:bidi="ar-SA"/>
              </w:rPr>
              <w:t>需求单位</w:t>
            </w:r>
          </w:p>
        </w:tc>
        <w:tc>
          <w:tcPr>
            <w:tcW w:w="2749" w:type="dxa"/>
            <w:vAlign w:val="center"/>
          </w:tcPr>
          <w:p>
            <w:pPr>
              <w:spacing w:line="560" w:lineRule="exact"/>
              <w:jc w:val="center"/>
              <w:rPr>
                <w:rFonts w:ascii="Times New Roman" w:eastAsia="方正仿宋_GBK" w:hAnsi="Times New Roman" w:cs="Times New Roman"/>
                <w:b/>
                <w:bCs/>
                <w:kern w:val="0"/>
                <w:sz w:val="28"/>
                <w:szCs w:val="28"/>
              </w:rPr>
            </w:pPr>
            <w:r>
              <w:rPr>
                <w:rFonts w:ascii="Times New Roman" w:eastAsia="方正仿宋_GBK" w:hAnsi="Times New Roman" w:cs="Times New Roman"/>
                <w:b/>
                <w:bCs/>
                <w:kern w:val="0"/>
                <w:sz w:val="28"/>
                <w:szCs w:val="28"/>
                <w:lang w:bidi="ar-SA"/>
              </w:rPr>
              <w:t>品名/型号</w:t>
            </w:r>
          </w:p>
        </w:tc>
        <w:tc>
          <w:tcPr>
            <w:tcW w:w="1827" w:type="dxa"/>
            <w:vAlign w:val="center"/>
          </w:tcPr>
          <w:p>
            <w:pPr>
              <w:spacing w:line="560" w:lineRule="exact"/>
              <w:jc w:val="center"/>
              <w:rPr>
                <w:rFonts w:ascii="Times New Roman" w:eastAsia="方正仿宋_GBK" w:hAnsi="Times New Roman" w:cs="Times New Roman"/>
                <w:b/>
                <w:bCs/>
                <w:kern w:val="0"/>
                <w:sz w:val="28"/>
                <w:szCs w:val="28"/>
              </w:rPr>
            </w:pPr>
            <w:r>
              <w:rPr>
                <w:rFonts w:ascii="Times New Roman" w:eastAsia="方正仿宋_GBK" w:hAnsi="Times New Roman" w:cs="Times New Roman"/>
                <w:b/>
                <w:bCs/>
                <w:kern w:val="0"/>
                <w:sz w:val="28"/>
                <w:szCs w:val="28"/>
                <w:lang w:bidi="ar-SA"/>
              </w:rPr>
              <w:t>数量</w:t>
            </w:r>
          </w:p>
        </w:tc>
        <w:tc>
          <w:tcPr>
            <w:tcW w:w="1769" w:type="dxa"/>
            <w:vAlign w:val="center"/>
          </w:tcPr>
          <w:p>
            <w:pPr>
              <w:spacing w:line="560" w:lineRule="exact"/>
              <w:jc w:val="center"/>
              <w:rPr>
                <w:rFonts w:ascii="Times New Roman" w:eastAsia="方正仿宋_GBK" w:hAnsi="Times New Roman" w:cs="Times New Roman"/>
                <w:b/>
                <w:bCs/>
                <w:kern w:val="0"/>
                <w:sz w:val="28"/>
                <w:szCs w:val="28"/>
              </w:rPr>
            </w:pPr>
            <w:r>
              <w:rPr>
                <w:rFonts w:ascii="Times New Roman" w:eastAsia="方正仿宋_GBK" w:hAnsi="Times New Roman" w:cs="Times New Roman"/>
                <w:b/>
                <w:bCs/>
                <w:kern w:val="0"/>
                <w:sz w:val="28"/>
                <w:szCs w:val="28"/>
                <w:lang w:bidi="ar-SA"/>
              </w:rPr>
              <w:t>预算金额（万元）</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北京分中心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呼和浩特分中心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沈阳分中心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宁波分中心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福州分中心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2</w:t>
            </w:r>
          </w:p>
        </w:tc>
        <w:tc>
          <w:tcPr>
            <w:tcW w:w="1769" w:type="dxa"/>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hint="eastAsia"/>
                <w:color w:val="000000"/>
                <w:kern w:val="0"/>
                <w:sz w:val="28"/>
                <w:szCs w:val="28"/>
                <w:lang w:bidi="ar-SA"/>
              </w:rPr>
              <w:t>57.36</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郑州分中心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长沙分中心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hAnsi="Times New Roman" w:cs="Times New Roman"/>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hAnsi="Times New Roman" w:cs="Times New Roman"/>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拱北分中心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海口分中心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成都分中心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西安分中心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hAnsi="Times New Roman" w:cs="Times New Roman"/>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2</w:t>
            </w:r>
          </w:p>
        </w:tc>
        <w:tc>
          <w:tcPr>
            <w:tcW w:w="1769" w:type="dxa"/>
          </w:tcPr>
          <w:p>
            <w:pPr>
              <w:spacing w:line="560" w:lineRule="exact"/>
              <w:jc w:val="center"/>
              <w:rPr>
                <w:rFonts w:ascii="Times New Roman" w:hAnsi="Times New Roman" w:cs="Times New Roman" w:hint="eastAsia"/>
              </w:rPr>
            </w:pPr>
            <w:r>
              <w:rPr>
                <w:rFonts w:ascii="Times New Roman" w:eastAsia="方正仿宋_GBK" w:hAnsi="Times New Roman" w:cs="Times New Roman" w:hint="eastAsia"/>
                <w:color w:val="000000"/>
                <w:kern w:val="0"/>
                <w:sz w:val="28"/>
                <w:szCs w:val="28"/>
                <w:lang w:bidi="ar-SA"/>
              </w:rPr>
              <w:t>57.36</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西宁分中心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hAnsi="Times New Roman" w:cs="Times New Roman"/>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hAnsi="Times New Roman" w:cs="Times New Roman"/>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银川分中心</w:t>
            </w:r>
          </w:p>
        </w:tc>
        <w:tc>
          <w:tcPr>
            <w:tcW w:w="2749" w:type="dxa"/>
            <w:tcBorders>
              <w:top w:val="single" w:sz="4" w:space="0" w:color="auto"/>
              <w:left w:val="single" w:sz="4" w:space="0" w:color="auto"/>
              <w:right w:val="single" w:sz="4" w:space="0" w:color="auto"/>
            </w:tcBorders>
          </w:tcPr>
          <w:p>
            <w:pPr>
              <w:spacing w:line="560" w:lineRule="exact"/>
              <w:jc w:val="center"/>
              <w:rPr>
                <w:rFonts w:ascii="Times New Roman" w:hAnsi="Times New Roman" w:cs="Times New Roman"/>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tcPr>
          <w:p>
            <w:pPr>
              <w:spacing w:line="560" w:lineRule="exact"/>
              <w:jc w:val="center"/>
              <w:rPr>
                <w:rFonts w:ascii="Times New Roman" w:hAnsi="Times New Roman" w:cs="Times New Roman"/>
              </w:rPr>
            </w:pPr>
            <w:r>
              <w:rPr>
                <w:rFonts w:ascii="Times New Roman" w:eastAsia="方正仿宋_GBK" w:hAnsi="Times New Roman" w:cs="Times New Roman"/>
                <w:color w:val="000000"/>
                <w:kern w:val="0"/>
                <w:sz w:val="28"/>
                <w:szCs w:val="28"/>
                <w:lang w:bidi="ar-SA"/>
              </w:rPr>
              <w:t>28.68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hint="eastAsia"/>
                <w:color w:val="000000"/>
                <w:kern w:val="0"/>
                <w:sz w:val="28"/>
                <w:szCs w:val="28"/>
                <w:lang w:bidi="ar-SA"/>
              </w:rPr>
              <w:t>乌鲁木齐分中心</w:t>
            </w:r>
          </w:p>
        </w:tc>
        <w:tc>
          <w:tcPr>
            <w:tcW w:w="2749" w:type="dxa"/>
            <w:tcBorders>
              <w:top w:val="single" w:sz="4" w:space="0" w:color="auto"/>
              <w:left w:val="single" w:sz="4" w:space="0" w:color="auto"/>
              <w:right w:val="single" w:sz="4" w:space="0" w:color="auto"/>
            </w:tcBorders>
            <w:vAlign w:val="center"/>
          </w:tcPr>
          <w:p>
            <w:pPr>
              <w:spacing w:line="560" w:lineRule="exact"/>
              <w:jc w:val="center"/>
              <w:rPr>
                <w:rFonts w:ascii="Times New Roman" w:hAnsi="Times New Roman" w:cs="Times New Roman"/>
              </w:rPr>
            </w:pPr>
            <w:r>
              <w:rPr>
                <w:rFonts w:ascii="Times New Roman" w:eastAsia="方正仿宋_GBK" w:hAnsi="Times New Roman" w:cs="Times New Roman"/>
                <w:color w:val="000000"/>
                <w:kern w:val="0"/>
                <w:sz w:val="28"/>
                <w:szCs w:val="28"/>
                <w:lang w:bidi="ar-SA"/>
              </w:rPr>
              <w:t>品目1</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w:t>
            </w:r>
          </w:p>
        </w:tc>
        <w:tc>
          <w:tcPr>
            <w:tcW w:w="1769" w:type="dxa"/>
            <w:vAlign w:val="center"/>
          </w:tcPr>
          <w:p>
            <w:pPr>
              <w:spacing w:line="560" w:lineRule="exact"/>
              <w:jc w:val="center"/>
              <w:rPr>
                <w:rFonts w:ascii="Times New Roman" w:hAnsi="Times New Roman" w:cs="Times New Roman"/>
              </w:rPr>
            </w:pPr>
            <w:r>
              <w:rPr>
                <w:rFonts w:ascii="Times New Roman" w:eastAsia="方正仿宋_GBK" w:hAnsi="Times New Roman" w:cs="Times New Roman"/>
                <w:color w:val="000000"/>
                <w:kern w:val="0"/>
                <w:sz w:val="28"/>
                <w:szCs w:val="28"/>
                <w:lang w:bidi="ar-SA"/>
              </w:rPr>
              <w:t>28.6</w:t>
            </w:r>
            <w:r>
              <w:rPr>
                <w:rFonts w:ascii="Times New Roman" w:eastAsia="方正仿宋_GBK" w:hAnsi="Times New Roman" w:cs="Times New Roman" w:hint="eastAsia"/>
                <w:color w:val="000000"/>
                <w:kern w:val="0"/>
                <w:sz w:val="28"/>
                <w:szCs w:val="28"/>
                <w:lang w:bidi="ar-SA"/>
              </w:rPr>
              <w:t>8</w:t>
            </w:r>
          </w:p>
        </w:tc>
      </w:tr>
      <w:tr>
        <w:tblPrEx>
          <w:jc w:val="center"/>
          <w:tblLayout w:type="fixed"/>
          <w:tblCellMar>
            <w:top w:w="0" w:type="dxa"/>
            <w:left w:w="108" w:type="dxa"/>
            <w:bottom w:w="0" w:type="dxa"/>
            <w:right w:w="108" w:type="dxa"/>
          </w:tblCellMar>
        </w:tblPrEx>
        <w:trPr>
          <w:jc w:val="center"/>
        </w:trPr>
        <w:tc>
          <w:tcPr>
            <w:tcW w:w="2177" w:type="dxa"/>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p>
        </w:tc>
        <w:tc>
          <w:tcPr>
            <w:tcW w:w="2749" w:type="dxa"/>
            <w:tcBorders>
              <w:top w:val="single" w:sz="4" w:space="0" w:color="auto"/>
              <w:left w:val="single" w:sz="4" w:space="0" w:color="auto"/>
              <w:right w:val="single" w:sz="4" w:space="0" w:color="auto"/>
            </w:tcBorders>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合计</w:t>
            </w:r>
          </w:p>
        </w:tc>
        <w:tc>
          <w:tcPr>
            <w:tcW w:w="1827" w:type="dxa"/>
            <w:tcBorders>
              <w:top w:val="single" w:sz="4" w:space="0" w:color="auto"/>
              <w:left w:val="single" w:sz="4" w:space="0" w:color="auto"/>
              <w:right w:val="single" w:sz="4" w:space="0" w:color="auto"/>
            </w:tcBorders>
            <w:vAlign w:val="center"/>
          </w:tcPr>
          <w:p>
            <w:pPr>
              <w:widowControl/>
              <w:spacing w:line="560" w:lineRule="exact"/>
              <w:jc w:val="center"/>
              <w:textAlignment w:val="bottom"/>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16</w:t>
            </w:r>
          </w:p>
        </w:tc>
        <w:tc>
          <w:tcPr>
            <w:tcW w:w="1769" w:type="dxa"/>
            <w:vAlign w:val="center"/>
          </w:tcPr>
          <w:p>
            <w:pPr>
              <w:widowControl/>
              <w:spacing w:line="560" w:lineRule="exact"/>
              <w:jc w:val="center"/>
              <w:textAlignment w:val="bottom"/>
              <w:rPr>
                <w:rFonts w:ascii="Times New Roman" w:eastAsia="方正仿宋_GBK" w:hAnsi="Times New Roman" w:cs="Times New Roman" w:hint="eastAsia"/>
                <w:color w:val="000000"/>
                <w:kern w:val="0"/>
                <w:sz w:val="28"/>
                <w:szCs w:val="28"/>
              </w:rPr>
            </w:pPr>
            <w:r>
              <w:rPr>
                <w:rFonts w:ascii="Times New Roman" w:eastAsia="方正仿宋_GBK" w:hAnsi="Times New Roman" w:cs="Times New Roman"/>
                <w:color w:val="000000"/>
                <w:kern w:val="0"/>
                <w:sz w:val="28"/>
                <w:szCs w:val="28"/>
                <w:lang w:bidi="ar-SA"/>
              </w:rPr>
              <w:t>45</w:t>
            </w:r>
            <w:r>
              <w:rPr>
                <w:rFonts w:ascii="Times New Roman" w:eastAsia="方正仿宋_GBK" w:hAnsi="Times New Roman" w:cs="Times New Roman" w:hint="eastAsia"/>
                <w:color w:val="000000"/>
                <w:kern w:val="0"/>
                <w:sz w:val="28"/>
                <w:szCs w:val="28"/>
                <w:lang w:bidi="ar-SA"/>
              </w:rPr>
              <w:t>8.88</w:t>
            </w:r>
          </w:p>
        </w:tc>
      </w:tr>
    </w:tbl>
    <w:p>
      <w:pPr>
        <w:pStyle w:val="1510"/>
        <w:widowControl/>
        <w:spacing w:line="560" w:lineRule="exact"/>
        <w:jc w:val="left"/>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十、主要技术参数及配置条目数量统计</w:t>
      </w:r>
    </w:p>
    <w:tbl>
      <w:tblPr>
        <w:tblW w:w="857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9"/>
        <w:gridCol w:w="2880"/>
        <w:gridCol w:w="4072"/>
      </w:tblGrid>
      <w:tr>
        <w:tblPrEx>
          <w:tblW w:w="857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19" w:type="dxa"/>
            <w:vAlign w:val="center"/>
          </w:tcPr>
          <w:p>
            <w:pPr>
              <w:pStyle w:val="1510"/>
              <w:widowControl/>
              <w:spacing w:line="560" w:lineRule="exact"/>
              <w:jc w:val="center"/>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包号</w:t>
            </w:r>
          </w:p>
        </w:tc>
        <w:tc>
          <w:tcPr>
            <w:tcW w:w="2880" w:type="dxa"/>
            <w:vAlign w:val="center"/>
          </w:tcPr>
          <w:p>
            <w:pPr>
              <w:pStyle w:val="1510"/>
              <w:widowControl/>
              <w:spacing w:line="560" w:lineRule="exact"/>
              <w:jc w:val="center"/>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指标类型</w:t>
            </w:r>
          </w:p>
        </w:tc>
        <w:tc>
          <w:tcPr>
            <w:tcW w:w="4072" w:type="dxa"/>
            <w:vAlign w:val="center"/>
          </w:tcPr>
          <w:p>
            <w:pPr>
              <w:pStyle w:val="1510"/>
              <w:widowControl/>
              <w:spacing w:line="560" w:lineRule="exact"/>
              <w:jc w:val="center"/>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条目数量（个）</w:t>
            </w:r>
          </w:p>
        </w:tc>
      </w:tr>
      <w:tr>
        <w:tblPrEx>
          <w:tblW w:w="8571" w:type="dxa"/>
          <w:jc w:val="left"/>
          <w:tblInd w:w="0" w:type="dxa"/>
          <w:tblCellMar>
            <w:top w:w="0" w:type="dxa"/>
            <w:left w:w="108" w:type="dxa"/>
            <w:bottom w:w="0" w:type="dxa"/>
            <w:right w:w="108" w:type="dxa"/>
          </w:tblCellMar>
        </w:tblPrEx>
        <w:trPr>
          <w:trHeight w:val="389"/>
          <w:jc w:val="left"/>
        </w:trPr>
        <w:tc>
          <w:tcPr>
            <w:tcW w:w="1619" w:type="dxa"/>
            <w:vMerge w:val="restart"/>
            <w:vAlign w:val="center"/>
          </w:tcPr>
          <w:p>
            <w:pPr>
              <w:widowControl/>
              <w:spacing w:line="560" w:lineRule="exact"/>
              <w:jc w:val="center"/>
              <w:textAlignment w:val="center"/>
              <w:rPr>
                <w:rFonts w:ascii="Times New Roman" w:eastAsia="方正仿宋_GBK" w:hAnsi="Times New Roman" w:cs="Times New Roman"/>
                <w:color w:val="000000"/>
                <w:kern w:val="0"/>
                <w:sz w:val="28"/>
                <w:szCs w:val="28"/>
              </w:rPr>
            </w:pPr>
            <w:r>
              <w:rPr>
                <w:rFonts w:ascii="Times New Roman" w:eastAsia="方正仿宋_GBK" w:hAnsi="Times New Roman" w:cs="Times New Roman"/>
                <w:color w:val="000000"/>
                <w:kern w:val="0"/>
                <w:sz w:val="28"/>
                <w:szCs w:val="28"/>
                <w:lang w:bidi="ar-SA"/>
              </w:rPr>
              <w:t>01包</w:t>
            </w:r>
          </w:p>
        </w:tc>
        <w:tc>
          <w:tcPr>
            <w:tcW w:w="2880" w:type="dxa"/>
            <w:tcBorders>
              <w:top w:val="single" w:sz="4" w:space="0" w:color="auto"/>
              <w:left w:val="single" w:sz="4" w:space="0" w:color="auto"/>
              <w:right w:val="single" w:sz="4" w:space="0" w:color="auto"/>
            </w:tcBorders>
            <w:vAlign w:val="center"/>
          </w:tcPr>
          <w:p>
            <w:pPr>
              <w:pStyle w:val="1510"/>
              <w:widowControl/>
              <w:spacing w:line="560" w:lineRule="exact"/>
              <w:jc w:val="center"/>
              <w:rPr>
                <w:rFonts w:ascii="Times New Roman" w:eastAsia="方正黑体_GBK" w:hAnsi="Times New Roman" w:cs="Times New Roman"/>
                <w:b/>
                <w:bCs/>
                <w:sz w:val="28"/>
                <w:szCs w:val="28"/>
              </w:rPr>
            </w:pPr>
            <w:r>
              <w:rPr>
                <w:rFonts w:ascii="Times New Roman" w:eastAsia="方正仿宋_GBK" w:hAnsi="Times New Roman" w:cs="Times New Roman"/>
                <w:b/>
                <w:bCs/>
                <w:sz w:val="28"/>
                <w:szCs w:val="28"/>
                <w:lang w:bidi="ar-SA"/>
              </w:rPr>
              <w:t>★指标</w:t>
            </w:r>
          </w:p>
        </w:tc>
        <w:tc>
          <w:tcPr>
            <w:tcW w:w="4072" w:type="dxa"/>
            <w:vAlign w:val="center"/>
          </w:tcPr>
          <w:p>
            <w:pPr>
              <w:pStyle w:val="1510"/>
              <w:widowControl/>
              <w:spacing w:line="560" w:lineRule="exact"/>
              <w:jc w:val="center"/>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5</w:t>
            </w:r>
          </w:p>
        </w:tc>
      </w:tr>
      <w:tr>
        <w:tblPrEx>
          <w:tblW w:w="8571" w:type="dxa"/>
          <w:jc w:val="left"/>
          <w:tblInd w:w="0" w:type="dxa"/>
          <w:tblCellMar>
            <w:top w:w="0" w:type="dxa"/>
            <w:left w:w="108" w:type="dxa"/>
            <w:bottom w:w="0" w:type="dxa"/>
            <w:right w:w="108" w:type="dxa"/>
          </w:tblCellMar>
        </w:tblPrEx>
        <w:trPr>
          <w:trHeight w:val="389"/>
          <w:jc w:val="left"/>
        </w:trPr>
        <w:tc>
          <w:tcPr>
            <w:tcW w:w="1619"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560" w:lineRule="exact"/>
              <w:jc w:val="center"/>
              <w:rPr>
                <w:rFonts w:ascii="Times New Roman" w:eastAsia="方正黑体_GBK" w:hAnsi="Times New Roman" w:cs="Times New Roman"/>
                <w:b/>
                <w:bCs/>
                <w:sz w:val="28"/>
                <w:szCs w:val="28"/>
              </w:rPr>
            </w:pPr>
            <w:r>
              <w:rPr>
                <w:rFonts w:ascii="Times New Roman" w:eastAsia="方正仿宋_GBK" w:hAnsi="Times New Roman" w:cs="Times New Roman"/>
                <w:sz w:val="28"/>
                <w:szCs w:val="28"/>
                <w:lang w:bidi="ar-SA"/>
              </w:rPr>
              <w:t>▲指标</w:t>
            </w:r>
          </w:p>
        </w:tc>
        <w:tc>
          <w:tcPr>
            <w:tcW w:w="4072" w:type="dxa"/>
            <w:vAlign w:val="center"/>
          </w:tcPr>
          <w:p>
            <w:pPr>
              <w:pStyle w:val="1510"/>
              <w:widowControl/>
              <w:spacing w:line="560" w:lineRule="exact"/>
              <w:jc w:val="center"/>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6</w:t>
            </w:r>
          </w:p>
        </w:tc>
      </w:tr>
      <w:tr>
        <w:tblPrEx>
          <w:tblW w:w="8571" w:type="dxa"/>
          <w:jc w:val="left"/>
          <w:tblInd w:w="0" w:type="dxa"/>
          <w:tblCellMar>
            <w:top w:w="0" w:type="dxa"/>
            <w:left w:w="108" w:type="dxa"/>
            <w:bottom w:w="0" w:type="dxa"/>
            <w:right w:w="108" w:type="dxa"/>
          </w:tblCellMar>
        </w:tblPrEx>
        <w:trPr>
          <w:trHeight w:val="389"/>
          <w:jc w:val="left"/>
        </w:trPr>
        <w:tc>
          <w:tcPr>
            <w:tcW w:w="1619" w:type="dxa"/>
            <w:vMerge/>
            <w:vAlign w:val="center"/>
          </w:tcPr>
          <w:p/>
        </w:tc>
        <w:tc>
          <w:tcPr>
            <w:tcW w:w="2880" w:type="dxa"/>
            <w:tcBorders>
              <w:top w:val="single" w:sz="4" w:space="0" w:color="auto"/>
              <w:left w:val="single" w:sz="4" w:space="0" w:color="auto"/>
              <w:right w:val="single" w:sz="4" w:space="0" w:color="auto"/>
            </w:tcBorders>
            <w:vAlign w:val="center"/>
          </w:tcPr>
          <w:p>
            <w:pPr>
              <w:pStyle w:val="1510"/>
              <w:widowControl/>
              <w:spacing w:line="560" w:lineRule="exact"/>
              <w:jc w:val="center"/>
              <w:rPr>
                <w:rFonts w:ascii="Times New Roman" w:eastAsia="方正黑体_GBK" w:hAnsi="Times New Roman" w:cs="Times New Roman"/>
                <w:b/>
                <w:bCs/>
                <w:sz w:val="28"/>
                <w:szCs w:val="28"/>
              </w:rPr>
            </w:pPr>
            <w:r>
              <w:rPr>
                <w:rFonts w:ascii="Times New Roman" w:eastAsia="方正仿宋_GBK" w:hAnsi="Times New Roman" w:cs="Times New Roman"/>
                <w:sz w:val="28"/>
                <w:szCs w:val="28"/>
                <w:lang w:bidi="ar-SA"/>
              </w:rPr>
              <w:t>一般指标</w:t>
            </w:r>
          </w:p>
        </w:tc>
        <w:tc>
          <w:tcPr>
            <w:tcW w:w="4072" w:type="dxa"/>
            <w:vAlign w:val="center"/>
          </w:tcPr>
          <w:p>
            <w:pPr>
              <w:pStyle w:val="1510"/>
              <w:widowControl/>
              <w:spacing w:line="560" w:lineRule="exact"/>
              <w:jc w:val="center"/>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15</w:t>
            </w:r>
          </w:p>
        </w:tc>
      </w:tr>
    </w:tbl>
    <w:p>
      <w:pPr>
        <w:widowControl/>
        <w:spacing w:line="560" w:lineRule="exact"/>
        <w:jc w:val="left"/>
        <w:outlineLvl w:val="0"/>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十一、付款办法</w:t>
      </w:r>
    </w:p>
    <w:p>
      <w:pPr>
        <w:widowControl/>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1.乙方（指供应商，下同）向甲方（指采购人，下同）提交下列单据之日起10个工作日内，甲方向乙方支付合同总价__30__%合同款（金额）。</w:t>
      </w:r>
    </w:p>
    <w:p>
      <w:pPr>
        <w:spacing w:line="560" w:lineRule="exact"/>
        <w:jc w:val="left"/>
        <w:rPr>
          <w:rFonts w:ascii="Times New Roman" w:eastAsia="方正仿宋_GBK" w:hAnsi="Times New Roman" w:cs="Times New Roman"/>
          <w:color w:val="FF0000"/>
          <w:sz w:val="28"/>
          <w:szCs w:val="28"/>
        </w:rPr>
      </w:pPr>
      <w:r>
        <w:rPr>
          <w:rFonts w:ascii="Times New Roman" w:eastAsia="方正仿宋_GBK" w:hAnsi="Times New Roman" w:cs="Times New Roman"/>
          <w:sz w:val="28"/>
          <w:szCs w:val="28"/>
          <w:lang w:bidi="ar-SA"/>
        </w:rPr>
        <w:t>乙方提交单据：合同（正文部分复印件）、中标通知书（或成交通知书）、发票（原件）。</w:t>
      </w:r>
    </w:p>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2.设备全部到货并经甲方（用户）签收后，乙方向甲方提交下列单据之日起10个工作日内，甲方向乙方支付合同总价__50__%合同款（金额）。</w:t>
      </w:r>
    </w:p>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乙方提交单据：合同(正文部分复印件）、中标通知书（或成交通知书）、发票（原件）、设备到货验收合格签收单（须装订成册）（复印件）。</w:t>
      </w:r>
    </w:p>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3.设备全部安装调试，并经甲方（用户）验收合格后，乙方向甲方提交下列单据之日起10个工作日内，甲方向乙方支付合同总价_20___%合同款（金额）。</w:t>
      </w:r>
    </w:p>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乙方提交单据：合同（正文部分复印件）、中标通知书（或成交通知书）、发票（原件）、安装调试验收合格报告（须装订成册）（复印件）。</w:t>
      </w:r>
    </w:p>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4.因财政集中支付延误时间不计算在内，乙方提交付款单据延迟、缺失及账户信息错误的，甲方有权相应顺延付款期限，且甲方不承担延误付款责任。</w:t>
      </w:r>
    </w:p>
    <w:p>
      <w:pPr>
        <w:spacing w:line="560" w:lineRule="exact"/>
        <w:jc w:val="left"/>
        <w:rPr>
          <w:rFonts w:ascii="Times New Roman" w:eastAsia="方正仿宋_GBK" w:hAnsi="Times New Roman" w:cs="Times New Roman"/>
          <w:sz w:val="28"/>
          <w:szCs w:val="28"/>
        </w:rPr>
      </w:pPr>
    </w:p>
    <w:p>
      <w:pPr>
        <w:widowControl/>
        <w:spacing w:line="560" w:lineRule="exact"/>
        <w:jc w:val="left"/>
        <w:outlineLvl w:val="0"/>
        <w:rPr>
          <w:rFonts w:ascii="Times New Roman" w:eastAsia="方正黑体_GBK" w:hAnsi="Times New Roman" w:cs="Times New Roman"/>
          <w:b/>
          <w:bCs/>
          <w:sz w:val="28"/>
          <w:szCs w:val="28"/>
        </w:rPr>
      </w:pPr>
      <w:r>
        <w:rPr>
          <w:rFonts w:ascii="Times New Roman" w:eastAsia="方正黑体_GBK" w:hAnsi="Times New Roman" w:cs="Times New Roman"/>
          <w:b/>
          <w:bCs/>
          <w:sz w:val="28"/>
          <w:szCs w:val="28"/>
          <w:lang w:bidi="ar-SA"/>
        </w:rPr>
        <w:t>十二、其他</w:t>
      </w:r>
    </w:p>
    <w:p>
      <w:pPr>
        <w:spacing w:line="560" w:lineRule="exact"/>
        <w:jc w:val="left"/>
        <w:rPr>
          <w:rFonts w:ascii="Times New Roman" w:eastAsia="方正仿宋_GBK" w:hAnsi="Times New Roman" w:cs="Times New Roman"/>
          <w:sz w:val="28"/>
          <w:szCs w:val="28"/>
        </w:rPr>
      </w:pPr>
      <w:r>
        <w:rPr>
          <w:rFonts w:ascii="Times New Roman" w:eastAsia="方正仿宋_GBK" w:hAnsi="Times New Roman" w:cs="Times New Roman"/>
          <w:sz w:val="28"/>
          <w:szCs w:val="28"/>
          <w:lang w:bidi="ar-SA"/>
        </w:rPr>
        <w:t>无。</w:t>
      </w:r>
    </w:p>
    <w:p>
      <w:pPr>
        <w:rPr>
          <w:rFonts w:eastAsia="宋体"/>
          <w:color w:val="0000FF"/>
          <w:sz w:val="28"/>
          <w:szCs w:val="36"/>
          <w:highlight w:val="white"/>
          <w:lang w:val="en-US" w:eastAsia="zh-CN"/>
        </w:rPr>
      </w:pPr>
      <w:bookmarkEnd w:id="42"/>
    </w:p>
    <w:p>
      <w:pPr>
        <w:pStyle w:val="Heading1"/>
      </w:pPr>
      <w:r>
        <w:rPr>
          <w:highlight w:val="white"/>
        </w:rPr>
        <w:br w:type="page"/>
      </w:r>
      <w:bookmarkStart w:id="44"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4"/>
    </w:p>
    <w:p>
      <w:bookmarkStart w:id="45"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4"/>
        <w:gridCol w:w="778"/>
        <w:gridCol w:w="7106"/>
        <w:gridCol w:w="381"/>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64" w:type="dxa"/>
          </w:tcPr>
          <w:p>
            <w:r>
              <w:t>主客观项</w:t>
            </w:r>
          </w:p>
        </w:tc>
        <w:tc>
          <w:tcPr>
            <w:tcW w:w="778" w:type="dxa"/>
          </w:tcPr>
          <w:p>
            <w:r>
              <w:t>评审因素</w:t>
            </w:r>
          </w:p>
        </w:tc>
        <w:tc>
          <w:tcPr>
            <w:tcW w:w="7106" w:type="dxa"/>
          </w:tcPr>
          <w:p>
            <w:r>
              <w:t>评分标准说明</w:t>
            </w:r>
          </w:p>
        </w:tc>
        <w:tc>
          <w:tcPr>
            <w:tcW w:w="381" w:type="dxa"/>
          </w:tcPr>
          <w:p>
            <w:r>
              <w:t>分值范围</w:t>
            </w:r>
          </w:p>
        </w:tc>
      </w:tr>
      <w:tr>
        <w:tblPrEx>
          <w:tblW w:w="5000" w:type="pct"/>
          <w:jc w:val="left"/>
          <w:tblInd w:w="0" w:type="dxa"/>
          <w:tblCellMar>
            <w:top w:w="0" w:type="dxa"/>
            <w:left w:w="108" w:type="dxa"/>
            <w:bottom w:w="0" w:type="dxa"/>
            <w:right w:w="108" w:type="dxa"/>
          </w:tblCellMar>
        </w:tblPrEx>
        <w:trPr>
          <w:jc w:val="left"/>
        </w:trPr>
        <w:tc>
          <w:tcPr>
            <w:tcW w:w="264" w:type="dxa"/>
          </w:tcPr>
          <w:p>
            <w:r>
              <w:t>价格分</w:t>
            </w:r>
          </w:p>
        </w:tc>
        <w:tc>
          <w:tcPr>
            <w:tcW w:w="778" w:type="dxa"/>
            <w:tcBorders>
              <w:top w:val="single" w:sz="4" w:space="0" w:color="auto"/>
              <w:left w:val="single" w:sz="4" w:space="0" w:color="auto"/>
              <w:right w:val="single" w:sz="4" w:space="0" w:color="auto"/>
            </w:tcBorders>
          </w:tcPr>
          <w:p>
            <w:r>
              <w:t>价格评审</w:t>
            </w:r>
          </w:p>
        </w:tc>
        <w:tc>
          <w:tcPr>
            <w:tcW w:w="7106"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采用低价优先法计算，即满足招标文件要求且投标价格最低的投标报价为评标基准价，其价格分为满分。其他投标人的价格分按照下列公式计算：价格得分=(评标基准价／投标报价)×30%×100。</w:t>
            </w:r>
          </w:p>
        </w:tc>
        <w:tc>
          <w:tcPr>
            <w:tcW w:w="381" w:type="dxa"/>
          </w:tcPr>
          <w:p>
            <w:r>
              <w:t>区间打分(0-30)</w:t>
            </w:r>
          </w:p>
        </w:tc>
      </w:tr>
      <w:tr>
        <w:tblPrEx>
          <w:tblW w:w="5000" w:type="pct"/>
          <w:jc w:val="left"/>
          <w:tblInd w:w="0" w:type="dxa"/>
          <w:tblCellMar>
            <w:top w:w="0" w:type="dxa"/>
            <w:left w:w="108" w:type="dxa"/>
            <w:bottom w:w="0" w:type="dxa"/>
            <w:right w:w="108" w:type="dxa"/>
          </w:tblCellMar>
        </w:tblPrEx>
        <w:trPr>
          <w:jc w:val="left"/>
        </w:trPr>
        <w:tc>
          <w:tcPr>
            <w:tcW w:w="264" w:type="dxa"/>
            <w:vMerge w:val="restart"/>
          </w:tcPr>
          <w:p>
            <w:r>
              <w:t>商务部分</w:t>
            </w:r>
          </w:p>
        </w:tc>
        <w:tc>
          <w:tcPr>
            <w:tcW w:w="778" w:type="dxa"/>
            <w:tcBorders>
              <w:top w:val="single" w:sz="4" w:space="0" w:color="auto"/>
              <w:left w:val="single" w:sz="4" w:space="0" w:color="auto"/>
              <w:right w:val="single" w:sz="4" w:space="0" w:color="auto"/>
            </w:tcBorders>
          </w:tcPr>
          <w:p>
            <w:r>
              <w:t>投标人综合实力</w:t>
            </w:r>
          </w:p>
        </w:tc>
        <w:tc>
          <w:tcPr>
            <w:tcW w:w="7106" w:type="dxa"/>
            <w:tcBorders>
              <w:top w:val="single" w:sz="4" w:space="0" w:color="auto"/>
              <w:left w:val="single" w:sz="4" w:space="0" w:color="auto"/>
              <w:right w:val="single" w:sz="4" w:space="0" w:color="auto"/>
            </w:tcBorders>
          </w:tcPr>
          <w:p>
            <w:r>
              <w:t>1.投标人提供质量管理体系认证证书的得1分，否则得0分； 2.投标人提供健康管理体系认证证书的得1分，否则得0分； 3.投标人提供环境管理体系认证证书的得1分，否则得0分。</w:t>
            </w:r>
          </w:p>
        </w:tc>
        <w:tc>
          <w:tcPr>
            <w:tcW w:w="381"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64" w:type="dxa"/>
            <w:vMerge/>
          </w:tcPr>
          <w:p/>
        </w:tc>
        <w:tc>
          <w:tcPr>
            <w:tcW w:w="778" w:type="dxa"/>
            <w:tcBorders>
              <w:top w:val="single" w:sz="4" w:space="0" w:color="auto"/>
              <w:left w:val="single" w:sz="4" w:space="0" w:color="auto"/>
              <w:right w:val="single" w:sz="4" w:space="0" w:color="auto"/>
            </w:tcBorders>
          </w:tcPr>
          <w:p>
            <w:r>
              <w:t>投标产品的销售业绩</w:t>
            </w:r>
          </w:p>
        </w:tc>
        <w:tc>
          <w:tcPr>
            <w:tcW w:w="7106" w:type="dxa"/>
            <w:tcBorders>
              <w:top w:val="single" w:sz="4" w:space="0" w:color="auto"/>
              <w:left w:val="single" w:sz="4" w:space="0" w:color="auto"/>
              <w:right w:val="single" w:sz="4" w:space="0" w:color="auto"/>
            </w:tcBorders>
          </w:tcPr>
          <w:p>
            <w:r>
              <w:t>1.须提供与本项目所投产品同品牌同类型产品的销售业绩，每提供一份有效合同得1分，本项总分最多得5分。 注1.上述销售业绩指与本项目投标货物同品牌同类型产品的销售业绩。 注2.合同签订时间须为2022年5月1日起至本项目招标公告发布之日止。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tcW w:w="381" w:type="dxa"/>
          </w:tcPr>
          <w:p>
            <w:r>
              <w:t>勾选打分(0;1;2;3;4;5)</w:t>
            </w:r>
          </w:p>
        </w:tc>
      </w:tr>
      <w:tr>
        <w:tblPrEx>
          <w:tblW w:w="5000" w:type="pct"/>
          <w:jc w:val="left"/>
          <w:tblInd w:w="0" w:type="dxa"/>
          <w:tblCellMar>
            <w:top w:w="0" w:type="dxa"/>
            <w:left w:w="108" w:type="dxa"/>
            <w:bottom w:w="0" w:type="dxa"/>
            <w:right w:w="108" w:type="dxa"/>
          </w:tblCellMar>
        </w:tblPrEx>
        <w:trPr>
          <w:jc w:val="left"/>
        </w:trPr>
        <w:tc>
          <w:tcPr>
            <w:tcW w:w="264" w:type="dxa"/>
            <w:vMerge/>
          </w:tcPr>
          <w:p/>
        </w:tc>
        <w:tc>
          <w:tcPr>
            <w:tcW w:w="778" w:type="dxa"/>
            <w:tcBorders>
              <w:top w:val="single" w:sz="4" w:space="0" w:color="auto"/>
              <w:left w:val="single" w:sz="4" w:space="0" w:color="auto"/>
              <w:right w:val="single" w:sz="4" w:space="0" w:color="auto"/>
            </w:tcBorders>
          </w:tcPr>
          <w:p>
            <w:r>
              <w:t>质量保证书</w:t>
            </w:r>
          </w:p>
        </w:tc>
        <w:tc>
          <w:tcPr>
            <w:tcW w:w="7106" w:type="dxa"/>
            <w:tcBorders>
              <w:top w:val="single" w:sz="4" w:space="0" w:color="auto"/>
              <w:left w:val="single" w:sz="4" w:space="0" w:color="auto"/>
              <w:right w:val="single" w:sz="4" w:space="0" w:color="auto"/>
            </w:tcBorders>
          </w:tcPr>
          <w:p>
            <w:r>
              <w:t>提供所投产品制造商出具的质量保证书（须保证所提供产品为制造商原产正品并对产品品质做出承诺和保证，加盖投标产品制造商公章）的得1分，否则得0分。</w:t>
            </w:r>
          </w:p>
        </w:tc>
        <w:tc>
          <w:tcPr>
            <w:tcW w:w="381"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64" w:type="dxa"/>
            <w:vMerge/>
          </w:tcPr>
          <w:p/>
        </w:tc>
        <w:tc>
          <w:tcPr>
            <w:tcW w:w="778" w:type="dxa"/>
            <w:tcBorders>
              <w:top w:val="single" w:sz="4" w:space="0" w:color="auto"/>
              <w:left w:val="single" w:sz="4" w:space="0" w:color="auto"/>
              <w:right w:val="single" w:sz="4" w:space="0" w:color="auto"/>
            </w:tcBorders>
          </w:tcPr>
          <w:p>
            <w:r>
              <w:t>投标文件制作质量</w:t>
            </w:r>
          </w:p>
        </w:tc>
        <w:tc>
          <w:tcPr>
            <w:tcW w:w="7106" w:type="dxa"/>
            <w:tcBorders>
              <w:top w:val="single" w:sz="4" w:space="0" w:color="auto"/>
              <w:left w:val="single" w:sz="4" w:space="0" w:color="auto"/>
              <w:right w:val="single" w:sz="4" w:space="0" w:color="auto"/>
            </w:tcBorders>
          </w:tcPr>
          <w:p>
            <w:r>
              <w:t>投标人标书按照招标文件要求编写 1.有目录索引，页码无错乱，标题、编号、正文、表格等排版规范的得0.5分，否则得0分。 2.投标文件内容详实，应答明确，对招标文件响应程度完整的得1分；内容较完整，编写质量一般的得0.5分；否则得0分。</w:t>
            </w:r>
          </w:p>
        </w:tc>
        <w:tc>
          <w:tcPr>
            <w:tcW w:w="381" w:type="dxa"/>
          </w:tcPr>
          <w:p>
            <w:r>
              <w:t>勾选打分(0;0.5;1;1.5)</w:t>
            </w:r>
          </w:p>
        </w:tc>
      </w:tr>
      <w:tr>
        <w:tblPrEx>
          <w:tblW w:w="5000" w:type="pct"/>
          <w:jc w:val="left"/>
          <w:tblInd w:w="0" w:type="dxa"/>
          <w:tblCellMar>
            <w:top w:w="0" w:type="dxa"/>
            <w:left w:w="108" w:type="dxa"/>
            <w:bottom w:w="0" w:type="dxa"/>
            <w:right w:w="108" w:type="dxa"/>
          </w:tblCellMar>
        </w:tblPrEx>
        <w:trPr>
          <w:jc w:val="left"/>
        </w:trPr>
        <w:tc>
          <w:tcPr>
            <w:tcW w:w="264" w:type="dxa"/>
            <w:vMerge w:val="restart"/>
          </w:tcPr>
          <w:p>
            <w:r>
              <w:t>技术部分</w:t>
            </w:r>
          </w:p>
        </w:tc>
        <w:tc>
          <w:tcPr>
            <w:tcW w:w="778" w:type="dxa"/>
            <w:tcBorders>
              <w:top w:val="single" w:sz="4" w:space="0" w:color="auto"/>
              <w:left w:val="single" w:sz="4" w:space="0" w:color="auto"/>
              <w:right w:val="single" w:sz="4" w:space="0" w:color="auto"/>
            </w:tcBorders>
          </w:tcPr>
          <w:p>
            <w:r>
              <w:t>一般技术指标及配置响应情况</w:t>
            </w:r>
          </w:p>
        </w:tc>
        <w:tc>
          <w:tcPr>
            <w:tcW w:w="7106" w:type="dxa"/>
            <w:tcBorders>
              <w:top w:val="single" w:sz="4" w:space="0" w:color="auto"/>
              <w:left w:val="single" w:sz="4" w:space="0" w:color="auto"/>
              <w:right w:val="single" w:sz="4" w:space="0" w:color="auto"/>
            </w:tcBorders>
          </w:tcPr>
          <w:p>
            <w:r>
              <w:t>投标人的一般主要技术指标及配置响应完全满足招标文件技术要求，应答无负偏离的得15分，每有一项不满足的扣1分。 注.一般指标中有要求提供佐证材料的，必须按照要求提供相关证明材料，并在技术偏离表中标明一般“主要技术参数” 对应证明材料在投标文件中的页码。未按要求提供证明材料的，评审委员会将对其响应不予认可。</w:t>
            </w:r>
          </w:p>
        </w:tc>
        <w:tc>
          <w:tcPr>
            <w:tcW w:w="381" w:type="dxa"/>
          </w:tcPr>
          <w:p>
            <w:r>
              <w:t>区间打分(0-15)</w:t>
            </w:r>
          </w:p>
        </w:tc>
      </w:tr>
      <w:tr>
        <w:tblPrEx>
          <w:tblW w:w="5000" w:type="pct"/>
          <w:jc w:val="left"/>
          <w:tblInd w:w="0" w:type="dxa"/>
          <w:tblCellMar>
            <w:top w:w="0" w:type="dxa"/>
            <w:left w:w="108" w:type="dxa"/>
            <w:bottom w:w="0" w:type="dxa"/>
            <w:right w:w="108" w:type="dxa"/>
          </w:tblCellMar>
        </w:tblPrEx>
        <w:trPr>
          <w:jc w:val="left"/>
        </w:trPr>
        <w:tc>
          <w:tcPr>
            <w:tcW w:w="264" w:type="dxa"/>
            <w:vMerge/>
          </w:tcPr>
          <w:p/>
        </w:tc>
        <w:tc>
          <w:tcPr>
            <w:tcW w:w="778" w:type="dxa"/>
            <w:tcBorders>
              <w:top w:val="single" w:sz="4" w:space="0" w:color="auto"/>
              <w:left w:val="single" w:sz="4" w:space="0" w:color="auto"/>
              <w:right w:val="single" w:sz="4" w:space="0" w:color="auto"/>
            </w:tcBorders>
          </w:tcPr>
          <w:p>
            <w:r>
              <w:t>▲技术指标及配置响应情况</w:t>
            </w:r>
          </w:p>
        </w:tc>
        <w:tc>
          <w:tcPr>
            <w:tcW w:w="7106" w:type="dxa"/>
            <w:tcBorders>
              <w:top w:val="single" w:sz="4" w:space="0" w:color="auto"/>
              <w:left w:val="single" w:sz="4" w:space="0" w:color="auto"/>
              <w:right w:val="single" w:sz="4" w:space="0" w:color="auto"/>
            </w:tcBorders>
          </w:tcPr>
          <w:p>
            <w:r>
              <w:t>投标人的▲号“主要技术指标及配置”响应完全满足招标文件技术要求，应答无负偏离的得24分的基础分，每有一项不满足的扣4分基础分。      注：对于投标人响应满足投标文件中规定的▲号“主要技术指标” 的，需求书中有明确要求的按要求提供证明材料，否则不予认可。</w:t>
            </w:r>
          </w:p>
        </w:tc>
        <w:tc>
          <w:tcPr>
            <w:tcW w:w="381" w:type="dxa"/>
          </w:tcPr>
          <w:p>
            <w:r>
              <w:t>区间打分(0-24)</w:t>
            </w:r>
          </w:p>
        </w:tc>
      </w:tr>
      <w:tr>
        <w:tblPrEx>
          <w:tblW w:w="5000" w:type="pct"/>
          <w:jc w:val="left"/>
          <w:tblInd w:w="0" w:type="dxa"/>
          <w:tblCellMar>
            <w:top w:w="0" w:type="dxa"/>
            <w:left w:w="108" w:type="dxa"/>
            <w:bottom w:w="0" w:type="dxa"/>
            <w:right w:w="108" w:type="dxa"/>
          </w:tblCellMar>
        </w:tblPrEx>
        <w:trPr>
          <w:jc w:val="left"/>
        </w:trPr>
        <w:tc>
          <w:tcPr>
            <w:tcW w:w="264" w:type="dxa"/>
            <w:vMerge w:val="restart"/>
          </w:tcPr>
          <w:p>
            <w:r>
              <w:t>服务部分</w:t>
            </w:r>
          </w:p>
        </w:tc>
        <w:tc>
          <w:tcPr>
            <w:tcW w:w="778" w:type="dxa"/>
            <w:tcBorders>
              <w:top w:val="single" w:sz="4" w:space="0" w:color="auto"/>
              <w:left w:val="single" w:sz="4" w:space="0" w:color="auto"/>
              <w:right w:val="single" w:sz="4" w:space="0" w:color="auto"/>
            </w:tcBorders>
          </w:tcPr>
          <w:p>
            <w:r>
              <w:t>项目整体实施方案</w:t>
            </w:r>
          </w:p>
        </w:tc>
        <w:tc>
          <w:tcPr>
            <w:tcW w:w="7106" w:type="dxa"/>
            <w:tcBorders>
              <w:top w:val="single" w:sz="4" w:space="0" w:color="auto"/>
              <w:left w:val="single" w:sz="4" w:space="0" w:color="auto"/>
              <w:right w:val="single" w:sz="4" w:space="0" w:color="auto"/>
            </w:tcBorders>
          </w:tcPr>
          <w:p>
            <w:r>
              <w:t>实施方案包括但不限于：详细的项目计划和进度安排、项目组织和人员配置、风险管理和应对策略、质量保证和质量控制、沟通和协调机制、变更管理和配置管理、技术支持和故障处理、应急及重保服务、漏洞修复、系统安全和保密措施等内容。 实施方案措施具体详细，完善，合理，思路清晰优于采购需求，得6分； 实施方案思路清晰，措施较详细，完善，合理，满足采购需求，得3分； 实施方案思路清晰，措施欠合理，基本满足采购需求，得1分； 未提供或完全不满足采购需求，得0分。</w:t>
            </w:r>
          </w:p>
        </w:tc>
        <w:tc>
          <w:tcPr>
            <w:tcW w:w="381" w:type="dxa"/>
          </w:tcPr>
          <w:p>
            <w:r>
              <w:t>勾选打分(0;1;3;6)</w:t>
            </w:r>
          </w:p>
        </w:tc>
      </w:tr>
      <w:tr>
        <w:tblPrEx>
          <w:tblW w:w="5000" w:type="pct"/>
          <w:jc w:val="left"/>
          <w:tblInd w:w="0" w:type="dxa"/>
          <w:tblCellMar>
            <w:top w:w="0" w:type="dxa"/>
            <w:left w:w="108" w:type="dxa"/>
            <w:bottom w:w="0" w:type="dxa"/>
            <w:right w:w="108" w:type="dxa"/>
          </w:tblCellMar>
        </w:tblPrEx>
        <w:trPr>
          <w:jc w:val="left"/>
        </w:trPr>
        <w:tc>
          <w:tcPr>
            <w:tcW w:w="264" w:type="dxa"/>
            <w:vMerge/>
          </w:tcPr>
          <w:p/>
        </w:tc>
        <w:tc>
          <w:tcPr>
            <w:tcW w:w="778" w:type="dxa"/>
            <w:tcBorders>
              <w:top w:val="single" w:sz="4" w:space="0" w:color="auto"/>
              <w:left w:val="single" w:sz="4" w:space="0" w:color="auto"/>
              <w:right w:val="single" w:sz="4" w:space="0" w:color="auto"/>
            </w:tcBorders>
          </w:tcPr>
          <w:p>
            <w:r>
              <w:t>技术培训方案及培训服务承诺函</w:t>
            </w:r>
          </w:p>
        </w:tc>
        <w:tc>
          <w:tcPr>
            <w:tcW w:w="7106" w:type="dxa"/>
            <w:tcBorders>
              <w:top w:val="single" w:sz="4" w:space="0" w:color="auto"/>
              <w:left w:val="single" w:sz="4" w:space="0" w:color="auto"/>
              <w:right w:val="single" w:sz="4" w:space="0" w:color="auto"/>
            </w:tcBorders>
          </w:tcPr>
          <w:p>
            <w:r>
              <w:t>对于承诺的技术培训服务，应提供相应的技术培训服务承诺函。根据培训方式、内容、培训水平及人数，以及项目实施中的技术交流等制定有针对性的技术培训方案。 培训方案详实合理，内容全面，方式灵活，层次分明，能切实保障培训效率和效果得3分； 方案内容合理性，可操作性一般，培训方式比较单一得2分；其余得1分； 此项缺失得0分。</w:t>
            </w:r>
          </w:p>
        </w:tc>
        <w:tc>
          <w:tcPr>
            <w:tcW w:w="381" w:type="dxa"/>
          </w:tcPr>
          <w:p>
            <w:r>
              <w:t>勾选打分(0;1;2;3)</w:t>
            </w:r>
          </w:p>
        </w:tc>
      </w:tr>
      <w:tr>
        <w:tblPrEx>
          <w:tblW w:w="5000" w:type="pct"/>
          <w:jc w:val="left"/>
          <w:tblInd w:w="0" w:type="dxa"/>
          <w:tblCellMar>
            <w:top w:w="0" w:type="dxa"/>
            <w:left w:w="108" w:type="dxa"/>
            <w:bottom w:w="0" w:type="dxa"/>
            <w:right w:w="108" w:type="dxa"/>
          </w:tblCellMar>
        </w:tblPrEx>
        <w:trPr>
          <w:jc w:val="left"/>
        </w:trPr>
        <w:tc>
          <w:tcPr>
            <w:tcW w:w="264" w:type="dxa"/>
            <w:vMerge/>
          </w:tcPr>
          <w:p/>
        </w:tc>
        <w:tc>
          <w:tcPr>
            <w:tcW w:w="778" w:type="dxa"/>
            <w:tcBorders>
              <w:top w:val="single" w:sz="4" w:space="0" w:color="auto"/>
              <w:left w:val="single" w:sz="4" w:space="0" w:color="auto"/>
              <w:right w:val="single" w:sz="4" w:space="0" w:color="auto"/>
            </w:tcBorders>
          </w:tcPr>
          <w:p>
            <w:r>
              <w:t>售后服务方案</w:t>
            </w:r>
          </w:p>
        </w:tc>
        <w:tc>
          <w:tcPr>
            <w:tcW w:w="7106" w:type="dxa"/>
            <w:tcBorders>
              <w:top w:val="single" w:sz="4" w:space="0" w:color="auto"/>
              <w:left w:val="single" w:sz="4" w:space="0" w:color="auto"/>
              <w:right w:val="single" w:sz="4" w:space="0" w:color="auto"/>
            </w:tcBorders>
          </w:tcPr>
          <w:p>
            <w:r>
              <w:t>根据售后服务体系、安装调试及免费保修服务承诺、应用技术支持，服务人员（运维人员）、以及质保期外备品备件、易损配件及主要消耗品的备件情况等方面制定有针对性的售后服务方案。        1.售后服务方案和承诺优于项目需求，技术支持及售后服务内容全面，运维人员满足招标文件要求（需按要求填写人员信息表），可行性强，针对性强，得4分；其余得2分；运维人员信息不满足招标文件要求的、未按招标文件附表填写运维人员信息的或未按招标未提供方案的得0分。        2.提供质保期外售后服务方案及报价，产品主要零、部、配件及易损件、消耗品价格清单，配件齐全、价格合理、满足招标文件要求得2分；满足招标文件要求，但内容不够完全，价格和合理性一般的得1分；未提供得0分。</w:t>
            </w:r>
          </w:p>
        </w:tc>
        <w:tc>
          <w:tcPr>
            <w:tcW w:w="381" w:type="dxa"/>
          </w:tcPr>
          <w:p>
            <w:r>
              <w:t>区间打分(0-6)</w:t>
            </w:r>
          </w:p>
        </w:tc>
      </w:tr>
      <w:tr>
        <w:tblPrEx>
          <w:tblW w:w="5000" w:type="pct"/>
          <w:jc w:val="left"/>
          <w:tblInd w:w="0" w:type="dxa"/>
          <w:tblCellMar>
            <w:top w:w="0" w:type="dxa"/>
            <w:left w:w="108" w:type="dxa"/>
            <w:bottom w:w="0" w:type="dxa"/>
            <w:right w:w="108" w:type="dxa"/>
          </w:tblCellMar>
        </w:tblPrEx>
        <w:trPr>
          <w:jc w:val="left"/>
        </w:trPr>
        <w:tc>
          <w:tcPr>
            <w:tcW w:w="264" w:type="dxa"/>
            <w:vMerge/>
          </w:tcPr>
          <w:p/>
        </w:tc>
        <w:tc>
          <w:tcPr>
            <w:tcW w:w="778" w:type="dxa"/>
            <w:tcBorders>
              <w:top w:val="single" w:sz="4" w:space="0" w:color="auto"/>
              <w:left w:val="single" w:sz="4" w:space="0" w:color="auto"/>
              <w:right w:val="single" w:sz="4" w:space="0" w:color="auto"/>
            </w:tcBorders>
          </w:tcPr>
          <w:p>
            <w:r>
              <w:t>售后服务承诺函</w:t>
            </w:r>
          </w:p>
        </w:tc>
        <w:tc>
          <w:tcPr>
            <w:tcW w:w="7106" w:type="dxa"/>
            <w:tcBorders>
              <w:top w:val="single" w:sz="4" w:space="0" w:color="auto"/>
              <w:left w:val="single" w:sz="4" w:space="0" w:color="auto"/>
              <w:right w:val="single" w:sz="4" w:space="0" w:color="auto"/>
            </w:tcBorders>
          </w:tcPr>
          <w:p>
            <w:r>
              <w:t>提供所有投标产品制造商针对本项目的售后服务承诺函（函中内容包括但不限于项目名称、项目编号、承诺内容等要素，加盖所有投标产品制造商公章、投标人公章），且承诺完全满足招标文件规定的售后服务要求的，得1分。承诺函要素不全或承诺内容不完全覆盖招标文件要求的，得0分。</w:t>
            </w:r>
          </w:p>
        </w:tc>
        <w:tc>
          <w:tcPr>
            <w:tcW w:w="381"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64" w:type="dxa"/>
            <w:vMerge/>
          </w:tcPr>
          <w:p/>
        </w:tc>
        <w:tc>
          <w:tcPr>
            <w:tcW w:w="778" w:type="dxa"/>
            <w:tcBorders>
              <w:top w:val="single" w:sz="4" w:space="0" w:color="auto"/>
              <w:left w:val="single" w:sz="4" w:space="0" w:color="auto"/>
              <w:right w:val="single" w:sz="4" w:space="0" w:color="auto"/>
            </w:tcBorders>
          </w:tcPr>
          <w:p>
            <w:r>
              <w:t>维修响应承诺函</w:t>
            </w:r>
          </w:p>
        </w:tc>
        <w:tc>
          <w:tcPr>
            <w:tcW w:w="7106" w:type="dxa"/>
            <w:tcBorders>
              <w:top w:val="single" w:sz="4" w:space="0" w:color="auto"/>
              <w:left w:val="single" w:sz="4" w:space="0" w:color="auto"/>
              <w:right w:val="single" w:sz="4" w:space="0" w:color="auto"/>
            </w:tcBorders>
          </w:tcPr>
          <w:p>
            <w:r>
              <w:t>投标人提供针对本项目的维修响应承诺函（函中内容包括但不限于项目名称、项目编号、投标人承诺的响应时间、到达现场时间、完成维修、更换或提供备机等服务时间，加盖投标人公章），且承诺完全满足招标文件维修响应时间要求的，得1分。承诺函要素不全或承诺内容不完全覆盖招标文件要求的，得0分。</w:t>
            </w:r>
          </w:p>
        </w:tc>
        <w:tc>
          <w:tcPr>
            <w:tcW w:w="381" w:type="dxa"/>
          </w:tcPr>
          <w:p>
            <w:r>
              <w:t>勾选打分(0;1)</w:t>
            </w:r>
          </w:p>
        </w:tc>
      </w:tr>
      <w:tr>
        <w:tblPrEx>
          <w:tblW w:w="5000" w:type="pct"/>
          <w:jc w:val="left"/>
          <w:tblInd w:w="0" w:type="dxa"/>
          <w:tblCellMar>
            <w:top w:w="0" w:type="dxa"/>
            <w:left w:w="108" w:type="dxa"/>
            <w:bottom w:w="0" w:type="dxa"/>
            <w:right w:w="108" w:type="dxa"/>
          </w:tblCellMar>
        </w:tblPrEx>
        <w:trPr>
          <w:jc w:val="left"/>
        </w:trPr>
        <w:tc>
          <w:tcPr>
            <w:tcW w:w="264" w:type="dxa"/>
            <w:vMerge/>
          </w:tcPr>
          <w:p/>
        </w:tc>
        <w:tc>
          <w:tcPr>
            <w:tcW w:w="778" w:type="dxa"/>
            <w:tcBorders>
              <w:top w:val="single" w:sz="4" w:space="0" w:color="auto"/>
              <w:left w:val="single" w:sz="4" w:space="0" w:color="auto"/>
              <w:right w:val="single" w:sz="4" w:space="0" w:color="auto"/>
            </w:tcBorders>
          </w:tcPr>
          <w:p>
            <w:r>
              <w:t>实施人员团队</w:t>
            </w:r>
          </w:p>
        </w:tc>
        <w:tc>
          <w:tcPr>
            <w:tcW w:w="7106" w:type="dxa"/>
            <w:tcBorders>
              <w:top w:val="single" w:sz="4" w:space="0" w:color="auto"/>
              <w:left w:val="single" w:sz="4" w:space="0" w:color="auto"/>
              <w:right w:val="single" w:sz="4" w:space="0" w:color="auto"/>
            </w:tcBorders>
          </w:tcPr>
          <w:p>
            <w:r>
              <w:t>1.投标人为本项目配备1名项目经理，项目经理具备5年以上工作经验，具有人力资源和社会保障部门颁发的信息系统项目管理师证书（提供人员简历（含项目经历说明）、资质证书复印件，加盖投标人公章）的得1分，未提供或证明材料不完整的得0分； 2、投标人为本项目提供充足的项目实施人员，项目实施人员应具备3年及以上网络安全相关工作经验及相关技能（提供人员简历（含项目经历说明）加盖投标人公章）的得1.5分，未提供或证明材料不全的得0分。 注:以上人员信息需按招标文件第三部分 项目需求书 七 售后服务要求 15团队要求中的附表填写人员信息，否则上述内容不予得分。</w:t>
            </w:r>
          </w:p>
        </w:tc>
        <w:tc>
          <w:tcPr>
            <w:tcW w:w="381" w:type="dxa"/>
          </w:tcPr>
          <w:p>
            <w:r>
              <w:t>勾选打分(0;1;1.5;2.5)</w:t>
            </w:r>
          </w:p>
        </w:tc>
      </w:tr>
      <w:tr>
        <w:tblPrEx>
          <w:tblW w:w="5000" w:type="pct"/>
          <w:jc w:val="left"/>
          <w:tblInd w:w="0" w:type="dxa"/>
          <w:tblCellMar>
            <w:top w:w="0" w:type="dxa"/>
            <w:left w:w="108" w:type="dxa"/>
            <w:bottom w:w="0" w:type="dxa"/>
            <w:right w:w="108" w:type="dxa"/>
          </w:tblCellMar>
        </w:tblPrEx>
        <w:trPr>
          <w:jc w:val="left"/>
        </w:trPr>
        <w:tc>
          <w:tcPr>
            <w:tcW w:w="264" w:type="dxa"/>
            <w:vMerge/>
          </w:tcPr>
          <w:p/>
        </w:tc>
        <w:tc>
          <w:tcPr>
            <w:tcW w:w="778" w:type="dxa"/>
            <w:tcBorders>
              <w:top w:val="single" w:sz="4" w:space="0" w:color="auto"/>
              <w:left w:val="single" w:sz="4" w:space="0" w:color="auto"/>
              <w:right w:val="single" w:sz="4" w:space="0" w:color="auto"/>
            </w:tcBorders>
          </w:tcPr>
          <w:p>
            <w:r>
              <w:t>项目运维方案承诺函</w:t>
            </w:r>
          </w:p>
        </w:tc>
        <w:tc>
          <w:tcPr>
            <w:tcW w:w="7106" w:type="dxa"/>
            <w:tcBorders>
              <w:top w:val="single" w:sz="4" w:space="0" w:color="auto"/>
              <w:left w:val="single" w:sz="4" w:space="0" w:color="auto"/>
              <w:right w:val="single" w:sz="4" w:space="0" w:color="auto"/>
            </w:tcBorders>
          </w:tcPr>
          <w:p>
            <w:r>
              <w:t>按招标文件“第三部分 项目需求书：七、售后服务要求 4.设备部署实施完成后，投标人应提供项目运维方案相关的咨询服务，并制定项目运维工作方案”要求提供承诺函（加盖投标人公章）的得1分，未提供或内容不满足招标要求的得0分。</w:t>
            </w:r>
          </w:p>
        </w:tc>
        <w:tc>
          <w:tcPr>
            <w:tcW w:w="381" w:type="dxa"/>
          </w:tcPr>
          <w:p>
            <w:r>
              <w:t>勾选打分(0;1)</w:t>
            </w:r>
          </w:p>
        </w:tc>
      </w:tr>
    </w:tbl>
    <w:p>
      <w:pPr>
        <w:pStyle w:val="49100"/>
        <w:rPr>
          <w:rFonts w:ascii="Times New Roman" w:eastAsia="宋体" w:hAnsi="Times New Roman"/>
          <w:color w:val="0000FF"/>
          <w:sz w:val="28"/>
          <w:szCs w:val="32"/>
          <w:lang w:val="en-US" w:eastAsia="zh-CN"/>
        </w:rPr>
      </w:pPr>
      <w:bookmarkEnd w:id="45"/>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rPr>
          <w:highlight w:val="white"/>
        </w:rPr>
      </w:pPr>
      <w:bookmarkStart w:id="46"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6"/>
    </w:p>
    <w:p>
      <w:pPr>
        <w:pStyle w:val="50100"/>
        <w:spacing w:line="360" w:lineRule="auto"/>
        <w:rPr>
          <w:rFonts w:ascii="宋体"/>
          <w:color w:val="000000"/>
          <w:sz w:val="24"/>
        </w:rPr>
      </w:pPr>
      <w:r>
        <w:rPr>
          <w:rFonts w:eastAsia="方正小标宋_GBK"/>
          <w:color w:val="000000"/>
          <w:sz w:val="44"/>
          <w:szCs w:val="20"/>
        </w:rPr>
        <w:t xml:space="preserve">     </w:t>
      </w:r>
      <w:bookmarkStart w:id="47" w:name="插入_TBWJGS_CONTRACT"/>
      <w:bookmarkStart w:id="48" w:name="插入_TBWJGS_CONTRACT_0"/>
      <w:r>
        <w:rPr>
          <w:rFonts w:ascii="方正黑体_GBK" w:eastAsia="方正黑体_GBK" w:cs="方正黑体_GBK" w:hint="eastAsia"/>
          <w:sz w:val="32"/>
          <w:szCs w:val="32"/>
        </w:rPr>
        <w:t>合同文本</w:t>
      </w:r>
    </w:p>
    <w:p>
      <w:pPr>
        <w:pStyle w:val="10102"/>
        <w:wordWrap w:val="0"/>
        <w:autoSpaceDN w:val="0"/>
        <w:spacing w:line="360" w:lineRule="auto"/>
        <w:ind w:firstLine="480"/>
        <w:jc w:val="right"/>
        <w:rPr>
          <w:sz w:val="24"/>
          <w:szCs w:val="24"/>
        </w:rPr>
      </w:pPr>
      <w:r>
        <w:rPr>
          <w:sz w:val="28"/>
        </w:rPr>
        <w:t xml:space="preserve">       </w:t>
      </w:r>
      <w:r>
        <w:rPr>
          <w:rFonts w:hint="eastAsia"/>
          <w:sz w:val="28"/>
        </w:rPr>
        <w:t>合同号：</w:t>
      </w:r>
      <w:r>
        <w:rPr>
          <w:sz w:val="28"/>
        </w:rPr>
        <w:t xml:space="preserve">                 </w:t>
      </w: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jc w:val="center"/>
        <w:rPr>
          <w:rFonts w:ascii="宋体"/>
          <w:b/>
          <w:bCs/>
          <w:sz w:val="52"/>
          <w:szCs w:val="52"/>
        </w:rPr>
      </w:pPr>
      <w:r>
        <w:rPr>
          <w:rFonts w:ascii="宋体" w:hint="eastAsia"/>
          <w:b/>
          <w:bCs/>
          <w:sz w:val="52"/>
          <w:szCs w:val="52"/>
        </w:rPr>
        <w:t>中国电子口岸数据中心</w:t>
      </w:r>
    </w:p>
    <w:p>
      <w:pPr>
        <w:pStyle w:val="10102"/>
        <w:autoSpaceDN w:val="0"/>
        <w:spacing w:line="360" w:lineRule="auto"/>
        <w:jc w:val="center"/>
        <w:rPr>
          <w:rFonts w:ascii="宋体"/>
          <w:b/>
          <w:bCs/>
          <w:sz w:val="48"/>
          <w:szCs w:val="48"/>
        </w:rPr>
      </w:pPr>
      <w:r>
        <w:rPr>
          <w:rFonts w:ascii="宋体"/>
          <w:b/>
          <w:bCs/>
          <w:sz w:val="52"/>
          <w:szCs w:val="52"/>
        </w:rPr>
        <w:t>XXX</w:t>
      </w:r>
      <w:r>
        <w:rPr>
          <w:rFonts w:ascii="宋体" w:hint="eastAsia"/>
          <w:b/>
          <w:bCs/>
          <w:sz w:val="52"/>
          <w:szCs w:val="52"/>
        </w:rPr>
        <w:t>采购合同</w:t>
      </w: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ind w:firstLine="480"/>
        <w:rPr>
          <w:sz w:val="24"/>
          <w:szCs w:val="24"/>
        </w:rPr>
      </w:pPr>
    </w:p>
    <w:p>
      <w:pPr>
        <w:pStyle w:val="10102"/>
        <w:autoSpaceDN w:val="0"/>
        <w:spacing w:line="360" w:lineRule="auto"/>
        <w:jc w:val="center"/>
        <w:rPr>
          <w:rFonts w:ascii="宋体"/>
          <w:sz w:val="30"/>
          <w:szCs w:val="30"/>
        </w:rPr>
      </w:pPr>
      <w:r>
        <w:rPr>
          <w:rFonts w:ascii="宋体" w:hint="eastAsia"/>
          <w:sz w:val="30"/>
          <w:szCs w:val="30"/>
        </w:rPr>
        <w:t>甲方：</w:t>
      </w:r>
    </w:p>
    <w:p>
      <w:pPr>
        <w:pStyle w:val="10102"/>
        <w:jc w:val="center"/>
        <w:rPr>
          <w:rFonts w:ascii="宋体"/>
          <w:sz w:val="30"/>
          <w:szCs w:val="30"/>
        </w:rPr>
      </w:pPr>
      <w:r>
        <w:rPr>
          <w:rFonts w:ascii="宋体" w:hint="eastAsia"/>
          <w:sz w:val="30"/>
          <w:szCs w:val="30"/>
        </w:rPr>
        <w:t>乙方：</w:t>
      </w:r>
    </w:p>
    <w:p>
      <w:pPr>
        <w:pStyle w:val="10102"/>
        <w:jc w:val="center"/>
        <w:rPr>
          <w:rFonts w:ascii="宋体"/>
          <w:sz w:val="30"/>
          <w:szCs w:val="30"/>
        </w:rPr>
      </w:pPr>
    </w:p>
    <w:p>
      <w:pPr>
        <w:pStyle w:val="10102"/>
        <w:jc w:val="center"/>
        <w:rPr>
          <w:rFonts w:ascii="宋体"/>
          <w:sz w:val="30"/>
          <w:szCs w:val="30"/>
        </w:rPr>
      </w:pPr>
    </w:p>
    <w:p>
      <w:pPr>
        <w:pStyle w:val="10102"/>
        <w:jc w:val="center"/>
        <w:rPr>
          <w:rFonts w:ascii="宋体"/>
          <w:sz w:val="30"/>
          <w:szCs w:val="30"/>
        </w:rPr>
      </w:pPr>
    </w:p>
    <w:p>
      <w:pPr>
        <w:pStyle w:val="50100"/>
        <w:spacing w:line="360" w:lineRule="auto"/>
        <w:jc w:val="center"/>
        <w:rPr>
          <w:rFonts w:ascii="宋体"/>
          <w:sz w:val="30"/>
          <w:szCs w:val="30"/>
        </w:rPr>
      </w:pPr>
      <w:r>
        <w:rPr>
          <w:rFonts w:ascii="宋体" w:hint="eastAsia"/>
          <w:sz w:val="30"/>
          <w:szCs w:val="30"/>
        </w:rPr>
        <w:t>日期：年</w:t>
      </w:r>
      <w:r>
        <w:rPr>
          <w:rFonts w:ascii="宋体"/>
          <w:sz w:val="30"/>
          <w:szCs w:val="30"/>
        </w:rPr>
        <w:t xml:space="preserve">  </w:t>
      </w:r>
      <w:r>
        <w:rPr>
          <w:rFonts w:ascii="宋体" w:hint="eastAsia"/>
          <w:sz w:val="30"/>
          <w:szCs w:val="30"/>
        </w:rPr>
        <w:t>月</w:t>
      </w:r>
    </w:p>
    <w:p>
      <w:pPr>
        <w:pStyle w:val="192910"/>
        <w:jc w:val="center"/>
        <w:outlineLvl w:val="0"/>
        <w:rPr>
          <w:b/>
          <w:bCs/>
          <w:sz w:val="32"/>
          <w:szCs w:val="32"/>
        </w:rPr>
      </w:pPr>
      <w:r>
        <w:rPr>
          <w:rFonts w:ascii="宋体"/>
          <w:color w:val="000000"/>
          <w:sz w:val="24"/>
        </w:rPr>
        <w:br w:type="page"/>
      </w:r>
      <w:r>
        <w:rPr>
          <w:b/>
          <w:bCs/>
          <w:sz w:val="32"/>
          <w:szCs w:val="32"/>
        </w:rPr>
        <w:t>XXX</w:t>
      </w:r>
      <w:r>
        <w:rPr>
          <w:rFonts w:hint="eastAsia"/>
          <w:b/>
          <w:bCs/>
          <w:sz w:val="32"/>
          <w:szCs w:val="32"/>
        </w:rPr>
        <w:t>采购合同</w:t>
      </w:r>
    </w:p>
    <w:p>
      <w:pPr>
        <w:pStyle w:val="51100"/>
        <w:spacing w:line="360" w:lineRule="auto"/>
        <w:ind w:firstLine="480"/>
        <w:rPr>
          <w:sz w:val="24"/>
          <w:szCs w:val="24"/>
        </w:rPr>
      </w:pPr>
    </w:p>
    <w:p>
      <w:pPr>
        <w:pStyle w:val="51100"/>
        <w:spacing w:line="360" w:lineRule="auto"/>
        <w:ind w:firstLine="480"/>
        <w:rPr>
          <w:sz w:val="24"/>
          <w:szCs w:val="24"/>
        </w:rPr>
      </w:pPr>
    </w:p>
    <w:p>
      <w:pPr>
        <w:pStyle w:val="51100"/>
        <w:spacing w:line="360" w:lineRule="auto"/>
        <w:ind w:firstLine="480"/>
        <w:rPr>
          <w:sz w:val="24"/>
          <w:szCs w:val="24"/>
        </w:rPr>
      </w:pPr>
    </w:p>
    <w:p>
      <w:pPr>
        <w:pStyle w:val="193010"/>
        <w:spacing w:line="360" w:lineRule="auto"/>
        <w:jc w:val="left"/>
        <w:rPr>
          <w:rFonts w:ascii="宋体"/>
          <w:sz w:val="24"/>
        </w:rPr>
      </w:pPr>
      <w:r>
        <w:rPr>
          <w:rFonts w:ascii="宋体" w:hint="eastAsia"/>
          <w:sz w:val="24"/>
        </w:rPr>
        <w:t>甲方（买方）：</w:t>
      </w:r>
    </w:p>
    <w:p>
      <w:pPr>
        <w:pStyle w:val="193010"/>
        <w:spacing w:line="360" w:lineRule="auto"/>
        <w:jc w:val="left"/>
        <w:rPr>
          <w:rFonts w:ascii="宋体"/>
          <w:sz w:val="24"/>
        </w:rPr>
      </w:pPr>
      <w:r>
        <w:rPr>
          <w:rFonts w:ascii="宋体" w:hint="eastAsia"/>
          <w:sz w:val="24"/>
        </w:rPr>
        <w:t>地址</w:t>
      </w:r>
    </w:p>
    <w:p>
      <w:pPr>
        <w:pStyle w:val="193010"/>
        <w:spacing w:line="360" w:lineRule="auto"/>
        <w:jc w:val="left"/>
        <w:rPr>
          <w:rFonts w:ascii="宋体"/>
          <w:sz w:val="24"/>
        </w:rPr>
      </w:pPr>
      <w:r>
        <w:rPr>
          <w:rFonts w:ascii="宋体" w:hint="eastAsia"/>
          <w:sz w:val="24"/>
        </w:rPr>
        <w:t>法定代表人：</w:t>
      </w:r>
    </w:p>
    <w:p>
      <w:pPr>
        <w:pStyle w:val="193010"/>
        <w:spacing w:line="400" w:lineRule="exact"/>
        <w:rPr>
          <w:rFonts w:ascii="宋体"/>
          <w:sz w:val="24"/>
        </w:rPr>
      </w:pPr>
      <w:r>
        <w:rPr>
          <w:rFonts w:ascii="宋体" w:hint="eastAsia"/>
          <w:sz w:val="24"/>
        </w:rPr>
        <w:t>联系人：</w:t>
      </w:r>
    </w:p>
    <w:p>
      <w:pPr>
        <w:pStyle w:val="193010"/>
        <w:spacing w:line="400" w:lineRule="exact"/>
        <w:rPr>
          <w:rFonts w:ascii="宋体"/>
          <w:sz w:val="24"/>
        </w:rPr>
      </w:pPr>
      <w:r>
        <w:rPr>
          <w:rFonts w:ascii="宋体" w:hint="eastAsia"/>
          <w:sz w:val="24"/>
        </w:rPr>
        <w:t>电</w:t>
      </w:r>
      <w:r>
        <w:rPr>
          <w:rFonts w:ascii="宋体"/>
          <w:sz w:val="24"/>
        </w:rPr>
        <w:t xml:space="preserve">  </w:t>
      </w:r>
      <w:r>
        <w:rPr>
          <w:rFonts w:ascii="宋体" w:hint="eastAsia"/>
          <w:sz w:val="24"/>
        </w:rPr>
        <w:t>话：</w:t>
      </w:r>
    </w:p>
    <w:p>
      <w:pPr>
        <w:pStyle w:val="193010"/>
        <w:spacing w:line="360" w:lineRule="auto"/>
        <w:jc w:val="left"/>
        <w:rPr>
          <w:rFonts w:ascii="宋体"/>
          <w:sz w:val="24"/>
        </w:rPr>
      </w:pPr>
    </w:p>
    <w:p>
      <w:pPr>
        <w:pStyle w:val="19"/>
        <w:ind w:firstLine="0"/>
        <w:jc w:val="left"/>
        <w:rPr>
          <w:rFonts w:ascii="宋体"/>
        </w:rPr>
      </w:pPr>
      <w:r>
        <w:rPr>
          <w:rFonts w:ascii="宋体" w:hint="eastAsia"/>
        </w:rPr>
        <w:t>乙方（卖方）：</w:t>
      </w:r>
      <w:r>
        <w:rPr>
          <w:rFonts w:ascii="宋体"/>
        </w:rPr>
        <w:t xml:space="preserve"> </w:t>
      </w:r>
    </w:p>
    <w:p>
      <w:pPr>
        <w:pStyle w:val="19"/>
        <w:ind w:firstLine="0"/>
        <w:jc w:val="left"/>
        <w:rPr>
          <w:rFonts w:ascii="宋体"/>
        </w:rPr>
      </w:pPr>
      <w:r>
        <w:rPr>
          <w:rFonts w:ascii="宋体" w:hint="eastAsia"/>
        </w:rPr>
        <w:t>地</w:t>
      </w:r>
      <w:r>
        <w:rPr>
          <w:rFonts w:ascii="宋体"/>
        </w:rPr>
        <w:t xml:space="preserve">  </w:t>
      </w:r>
      <w:r>
        <w:rPr>
          <w:rFonts w:ascii="宋体" w:hint="eastAsia"/>
        </w:rPr>
        <w:t>址：</w:t>
      </w:r>
      <w:r>
        <w:rPr>
          <w:rFonts w:ascii="宋体"/>
        </w:rPr>
        <w:t xml:space="preserve"> </w:t>
      </w:r>
    </w:p>
    <w:p>
      <w:pPr>
        <w:pStyle w:val="19"/>
        <w:ind w:firstLine="0"/>
        <w:jc w:val="left"/>
        <w:rPr>
          <w:rFonts w:ascii="宋体"/>
        </w:rPr>
      </w:pPr>
      <w:r>
        <w:rPr>
          <w:rFonts w:ascii="宋体" w:hint="eastAsia"/>
        </w:rPr>
        <w:t>法定代表人：</w:t>
      </w:r>
    </w:p>
    <w:p>
      <w:pPr>
        <w:pStyle w:val="19"/>
        <w:ind w:firstLine="0"/>
        <w:jc w:val="left"/>
        <w:rPr>
          <w:rFonts w:ascii="宋体"/>
        </w:rPr>
      </w:pPr>
      <w:r>
        <w:rPr>
          <w:rFonts w:ascii="宋体" w:hint="eastAsia"/>
        </w:rPr>
        <w:t>联系人：</w:t>
      </w:r>
      <w:r>
        <w:rPr>
          <w:rFonts w:ascii="宋体"/>
        </w:rPr>
        <w:t xml:space="preserve"> </w:t>
      </w:r>
    </w:p>
    <w:p>
      <w:pPr>
        <w:pStyle w:val="50100"/>
        <w:spacing w:line="360" w:lineRule="auto"/>
        <w:rPr>
          <w:rFonts w:ascii="宋体"/>
          <w:color w:val="000000"/>
          <w:sz w:val="24"/>
        </w:rPr>
      </w:pPr>
      <w:r>
        <w:rPr>
          <w:rFonts w:ascii="宋体" w:hint="eastAsia"/>
          <w:sz w:val="24"/>
        </w:rPr>
        <w:t>电</w:t>
      </w:r>
      <w:r>
        <w:rPr>
          <w:rFonts w:ascii="宋体"/>
          <w:sz w:val="24"/>
        </w:rPr>
        <w:t xml:space="preserve">  </w:t>
      </w:r>
      <w:r>
        <w:rPr>
          <w:rFonts w:ascii="宋体" w:hint="eastAsia"/>
          <w:sz w:val="24"/>
        </w:rPr>
        <w:t>话：</w:t>
      </w:r>
      <w:r>
        <w:rPr>
          <w:rFonts w:ascii="宋体"/>
          <w:sz w:val="24"/>
        </w:rPr>
        <w:t xml:space="preserve"> </w:t>
      </w:r>
      <w:r>
        <w:rPr>
          <w:rFonts w:ascii="宋体"/>
          <w:color w:val="000000"/>
          <w:sz w:val="24"/>
        </w:rPr>
        <w:br w:type="page"/>
        <w:t xml:space="preserve">    </w:t>
      </w:r>
      <w:r>
        <w:rPr>
          <w:rFonts w:ascii="宋体" w:hint="eastAsia"/>
          <w:color w:val="000000"/>
          <w:sz w:val="24"/>
        </w:rPr>
        <w:t>根据</w:t>
      </w:r>
      <w:r>
        <w:rPr>
          <w:rFonts w:ascii="宋体" w:hint="eastAsia"/>
          <w:snapToGrid w:val="0"/>
          <w:color w:val="000000"/>
          <w:kern w:val="0"/>
          <w:sz w:val="24"/>
        </w:rPr>
        <w:t>《中华人民共和国民法典》</w:t>
      </w:r>
      <w:r>
        <w:rPr>
          <w:rFonts w:ascii="宋体" w:cs="宋体" w:hint="eastAsia"/>
          <w:sz w:val="24"/>
        </w:rPr>
        <w:t>（中华人民共和国主席令〔</w:t>
      </w:r>
      <w:r>
        <w:rPr>
          <w:rFonts w:ascii="宋体" w:cs="宋体"/>
          <w:sz w:val="24"/>
        </w:rPr>
        <w:t>2020</w:t>
      </w:r>
      <w:r>
        <w:rPr>
          <w:rFonts w:ascii="宋体" w:cs="宋体" w:hint="eastAsia"/>
          <w:sz w:val="24"/>
        </w:rPr>
        <w:t>〕第</w:t>
      </w:r>
      <w:r>
        <w:rPr>
          <w:rFonts w:ascii="宋体" w:cs="宋体"/>
          <w:sz w:val="24"/>
        </w:rPr>
        <w:t>45</w:t>
      </w:r>
      <w:r>
        <w:rPr>
          <w:rFonts w:ascii="宋体" w:cs="宋体" w:hint="eastAsia"/>
          <w:sz w:val="24"/>
        </w:rPr>
        <w:t>号）</w:t>
      </w:r>
      <w:r>
        <w:rPr>
          <w:rFonts w:ascii="宋体" w:hint="eastAsia"/>
          <w:snapToGrid w:val="0"/>
          <w:color w:val="000000"/>
          <w:kern w:val="0"/>
          <w:sz w:val="24"/>
        </w:rPr>
        <w:t>、</w:t>
      </w:r>
      <w:r>
        <w:rPr>
          <w:rFonts w:ascii="宋体" w:hint="eastAsia"/>
          <w:color w:val="000000"/>
          <w:sz w:val="24"/>
        </w:rPr>
        <w:t>《中华人民共和国政府采购法》</w:t>
      </w:r>
      <w:r>
        <w:rPr>
          <w:rFonts w:ascii="宋体" w:cs="宋体" w:hint="eastAsia"/>
          <w:sz w:val="24"/>
        </w:rPr>
        <w:t>（中华人民共和国主席令〔</w:t>
      </w:r>
      <w:r>
        <w:rPr>
          <w:rFonts w:ascii="宋体" w:cs="宋体"/>
          <w:sz w:val="24"/>
        </w:rPr>
        <w:t>2021</w:t>
      </w:r>
      <w:r>
        <w:rPr>
          <w:rFonts w:ascii="宋体" w:cs="宋体" w:hint="eastAsia"/>
          <w:sz w:val="24"/>
        </w:rPr>
        <w:t>〕第</w:t>
      </w:r>
      <w:r>
        <w:rPr>
          <w:rFonts w:ascii="宋体" w:cs="宋体"/>
          <w:sz w:val="24"/>
        </w:rPr>
        <w:t>83</w:t>
      </w:r>
      <w:r>
        <w:rPr>
          <w:rFonts w:ascii="宋体" w:cs="宋体" w:hint="eastAsia"/>
          <w:sz w:val="24"/>
        </w:rPr>
        <w:t>号）</w:t>
      </w:r>
      <w:r>
        <w:rPr>
          <w:rFonts w:ascii="宋体" w:hint="eastAsia"/>
          <w:color w:val="000000"/>
          <w:sz w:val="24"/>
        </w:rPr>
        <w:t>等相关法律规定，甲方对</w:t>
      </w:r>
      <w:r>
        <w:rPr>
          <w:rFonts w:ascii="宋体"/>
          <w:color w:val="000000"/>
          <w:sz w:val="24"/>
          <w:u w:val="single"/>
        </w:rPr>
        <w:t>XXX</w:t>
      </w:r>
      <w:r>
        <w:rPr>
          <w:rFonts w:ascii="宋体" w:hint="eastAsia"/>
          <w:color w:val="000000"/>
          <w:sz w:val="24"/>
        </w:rPr>
        <w:t>采购项目以</w:t>
      </w:r>
      <w:r>
        <w:rPr>
          <w:rFonts w:ascii="宋体"/>
          <w:color w:val="000000"/>
          <w:sz w:val="24"/>
          <w:u w:val="single"/>
        </w:rPr>
        <w:t xml:space="preserve">     </w:t>
      </w:r>
      <w:r>
        <w:rPr>
          <w:rFonts w:ascii="宋体" w:hint="eastAsia"/>
          <w:color w:val="000000"/>
          <w:sz w:val="24"/>
        </w:rPr>
        <w:t>方式进行采购（采购项目编号：</w:t>
      </w:r>
      <w:r>
        <w:rPr>
          <w:rFonts w:ascii="宋体"/>
          <w:color w:val="000000"/>
          <w:sz w:val="24"/>
        </w:rPr>
        <w:t xml:space="preserve"> </w:t>
      </w:r>
      <w:r>
        <w:rPr>
          <w:rFonts w:ascii="宋体"/>
          <w:color w:val="000000"/>
          <w:sz w:val="24"/>
          <w:u w:val="single"/>
        </w:rPr>
        <w:t xml:space="preserve">     </w:t>
      </w:r>
      <w:r>
        <w:rPr>
          <w:rFonts w:ascii="宋体" w:hint="eastAsia"/>
          <w:color w:val="000000"/>
          <w:sz w:val="24"/>
        </w:rPr>
        <w:t>），确定乙方为中标人（</w:t>
      </w:r>
      <w:r>
        <w:rPr>
          <w:rFonts w:ascii="宋体"/>
          <w:color w:val="000000"/>
          <w:sz w:val="24"/>
        </w:rPr>
        <w:t xml:space="preserve">   </w:t>
      </w:r>
      <w:r>
        <w:rPr>
          <w:rFonts w:ascii="宋体" w:hint="eastAsia"/>
          <w:color w:val="000000"/>
          <w:sz w:val="24"/>
        </w:rPr>
        <w:t>），现依照招标文件、投标文件等相关文件的内容，双方达成如下协议：</w:t>
      </w:r>
    </w:p>
    <w:p>
      <w:pPr>
        <w:pStyle w:val="50100"/>
        <w:spacing w:line="360" w:lineRule="auto"/>
        <w:ind w:firstLine="480" w:firstLineChars="200"/>
        <w:rPr>
          <w:rFonts w:ascii="宋体"/>
          <w:b/>
          <w:bCs/>
          <w:color w:val="000000"/>
          <w:sz w:val="24"/>
        </w:rPr>
      </w:pPr>
      <w:r>
        <w:rPr>
          <w:rFonts w:ascii="宋体" w:hint="eastAsia"/>
          <w:b/>
          <w:bCs/>
          <w:color w:val="000000"/>
          <w:sz w:val="24"/>
        </w:rPr>
        <w:t>第一条</w:t>
      </w:r>
      <w:r>
        <w:rPr>
          <w:rFonts w:ascii="宋体"/>
          <w:b/>
          <w:bCs/>
          <w:color w:val="000000"/>
          <w:sz w:val="24"/>
        </w:rPr>
        <w:t xml:space="preserve"> </w:t>
      </w:r>
      <w:r>
        <w:rPr>
          <w:rFonts w:ascii="宋体" w:hint="eastAsia"/>
          <w:b/>
          <w:bCs/>
          <w:color w:val="000000"/>
          <w:sz w:val="24"/>
        </w:rPr>
        <w:t>采购货物清单</w:t>
      </w:r>
    </w:p>
    <w:p>
      <w:pPr>
        <w:pStyle w:val="PlainText"/>
        <w:spacing w:line="360" w:lineRule="auto"/>
        <w:ind w:firstLine="480" w:firstLineChars="200"/>
        <w:rPr>
          <w:rFonts w:cs="Times New Roman"/>
          <w:bCs/>
          <w:color w:val="000000"/>
          <w:kern w:val="0"/>
          <w:sz w:val="24"/>
          <w:szCs w:val="24"/>
        </w:rPr>
      </w:pPr>
      <w:r>
        <w:rPr>
          <w:rFonts w:cs="Times New Roman" w:hint="eastAsia"/>
          <w:bCs/>
          <w:color w:val="000000"/>
          <w:kern w:val="0"/>
          <w:sz w:val="24"/>
          <w:szCs w:val="24"/>
        </w:rPr>
        <w:t>货物清单</w:t>
      </w:r>
    </w:p>
    <w:tbl>
      <w:tblPr>
        <w:tblW w:w="9237"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844"/>
        <w:gridCol w:w="1275"/>
        <w:gridCol w:w="1735"/>
        <w:gridCol w:w="878"/>
        <w:gridCol w:w="878"/>
        <w:gridCol w:w="1290"/>
        <w:gridCol w:w="1337"/>
      </w:tblGrid>
      <w:tr>
        <w:tblPrEx>
          <w:tblW w:w="9237"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5210"/>
              <w:autoSpaceDN w:val="0"/>
              <w:adjustRightInd w:val="0"/>
              <w:snapToGrid w:val="0"/>
              <w:spacing w:line="360" w:lineRule="auto"/>
              <w:jc w:val="center"/>
              <w:rPr>
                <w:b/>
                <w:bCs/>
                <w:color w:val="000000"/>
                <w:sz w:val="24"/>
                <w:szCs w:val="24"/>
              </w:rPr>
            </w:pPr>
            <w:r>
              <w:rPr>
                <w:rFonts w:hint="eastAsia"/>
                <w:b/>
                <w:bCs/>
                <w:color w:val="000000"/>
                <w:sz w:val="24"/>
                <w:szCs w:val="24"/>
              </w:rPr>
              <w:t>货物名称</w:t>
            </w:r>
          </w:p>
        </w:tc>
        <w:tc>
          <w:tcPr>
            <w:tcW w:w="1275"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b/>
                <w:bCs/>
                <w:color w:val="000000"/>
                <w:sz w:val="24"/>
                <w:szCs w:val="24"/>
              </w:rPr>
            </w:pPr>
            <w:r>
              <w:rPr>
                <w:rFonts w:hint="eastAsia"/>
                <w:b/>
                <w:bCs/>
                <w:color w:val="000000"/>
                <w:sz w:val="24"/>
                <w:szCs w:val="24"/>
              </w:rPr>
              <w:t>品牌</w:t>
            </w:r>
          </w:p>
        </w:tc>
        <w:tc>
          <w:tcPr>
            <w:tcW w:w="1735" w:type="dxa"/>
            <w:tcBorders>
              <w:top w:val="single" w:sz="4" w:space="0" w:color="auto"/>
              <w:left w:val="single" w:sz="4" w:space="0" w:color="auto"/>
              <w:bottom w:val="single" w:sz="4" w:space="0" w:color="auto"/>
              <w:right w:val="single" w:sz="4" w:space="0" w:color="auto"/>
            </w:tcBorders>
            <w:vAlign w:val="center"/>
          </w:tcPr>
          <w:p>
            <w:pPr>
              <w:pStyle w:val="53100"/>
              <w:autoSpaceDN w:val="0"/>
              <w:adjustRightInd w:val="0"/>
              <w:snapToGrid w:val="0"/>
              <w:spacing w:line="360" w:lineRule="auto"/>
              <w:jc w:val="center"/>
              <w:rPr>
                <w:rFonts w:ascii="宋体"/>
                <w:b/>
                <w:bCs/>
                <w:color w:val="000000"/>
                <w:sz w:val="24"/>
                <w:szCs w:val="24"/>
              </w:rPr>
            </w:pPr>
            <w:r>
              <w:rPr>
                <w:rFonts w:ascii="宋体" w:hint="eastAsia"/>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54100"/>
              <w:autoSpaceDN w:val="0"/>
              <w:adjustRightInd w:val="0"/>
              <w:snapToGrid w:val="0"/>
              <w:spacing w:line="360" w:lineRule="auto"/>
              <w:jc w:val="center"/>
              <w:rPr>
                <w:b/>
                <w:bCs/>
                <w:color w:val="000000"/>
                <w:sz w:val="24"/>
                <w:szCs w:val="24"/>
              </w:rPr>
            </w:pPr>
            <w:r>
              <w:rPr>
                <w:rFonts w:hint="eastAsia"/>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54100"/>
              <w:autoSpaceDN w:val="0"/>
              <w:adjustRightInd w:val="0"/>
              <w:snapToGrid w:val="0"/>
              <w:spacing w:line="360" w:lineRule="auto"/>
              <w:jc w:val="center"/>
              <w:rPr>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5510"/>
              <w:autoSpaceDN w:val="0"/>
              <w:adjustRightInd w:val="0"/>
              <w:snapToGrid w:val="0"/>
              <w:spacing w:line="360" w:lineRule="auto"/>
              <w:jc w:val="center"/>
              <w:rPr>
                <w:b/>
                <w:bCs/>
                <w:color w:val="000000"/>
                <w:sz w:val="24"/>
                <w:szCs w:val="24"/>
              </w:rPr>
            </w:pPr>
            <w:r>
              <w:rPr>
                <w:rFonts w:hint="eastAsia"/>
                <w:b/>
                <w:bCs/>
                <w:color w:val="000000"/>
                <w:sz w:val="24"/>
                <w:szCs w:val="24"/>
              </w:rPr>
              <w:t>单价（元）</w:t>
            </w:r>
          </w:p>
        </w:tc>
        <w:tc>
          <w:tcPr>
            <w:tcW w:w="1337" w:type="dxa"/>
            <w:tcBorders>
              <w:top w:val="single" w:sz="4" w:space="0" w:color="auto"/>
              <w:left w:val="single" w:sz="4" w:space="0" w:color="auto"/>
              <w:bottom w:val="single" w:sz="4" w:space="0" w:color="auto"/>
              <w:right w:val="single" w:sz="4" w:space="0" w:color="auto"/>
            </w:tcBorders>
            <w:vAlign w:val="center"/>
          </w:tcPr>
          <w:p>
            <w:pPr>
              <w:pStyle w:val="5710"/>
              <w:autoSpaceDN w:val="0"/>
              <w:adjustRightInd w:val="0"/>
              <w:snapToGrid w:val="0"/>
              <w:spacing w:line="360" w:lineRule="auto"/>
              <w:jc w:val="center"/>
              <w:rPr>
                <w:b/>
                <w:bCs/>
                <w:color w:val="000000"/>
                <w:sz w:val="24"/>
                <w:szCs w:val="24"/>
              </w:rPr>
            </w:pPr>
            <w:r>
              <w:rPr>
                <w:rFonts w:hint="eastAsia"/>
                <w:b/>
                <w:bCs/>
                <w:color w:val="000000"/>
                <w:sz w:val="24"/>
                <w:szCs w:val="24"/>
              </w:rPr>
              <w:t>合计（元）</w:t>
            </w:r>
          </w:p>
        </w:tc>
      </w:tr>
      <w:tr>
        <w:tblPrEx>
          <w:tblW w:w="9237" w:type="dxa"/>
          <w:jc w:val="left"/>
          <w:tblInd w:w="0"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50100"/>
              <w:widowControl/>
              <w:jc w:val="center"/>
              <w:rPr>
                <w:rFonts w:ascii="宋体"/>
                <w:color w:val="000000"/>
                <w:kern w:val="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50100"/>
              <w:widowControl/>
              <w:jc w:val="center"/>
              <w:rPr>
                <w:rFonts w:ascii="宋体"/>
                <w:color w:val="000000"/>
                <w:kern w:val="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50100"/>
              <w:widowControl/>
              <w:jc w:val="center"/>
              <w:rPr>
                <w:rFonts w:ascii="宋体"/>
                <w:color w:val="000000"/>
                <w:kern w:val="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r>
      <w:tr>
        <w:tblPrEx>
          <w:tblW w:w="9237" w:type="dxa"/>
          <w:jc w:val="left"/>
          <w:tblInd w:w="0"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r>
      <w:tr>
        <w:tblPrEx>
          <w:tblW w:w="9237" w:type="dxa"/>
          <w:jc w:val="left"/>
          <w:tblInd w:w="0"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r>
      <w:tr>
        <w:tblPrEx>
          <w:tblW w:w="9237" w:type="dxa"/>
          <w:jc w:val="left"/>
          <w:tblInd w:w="0"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r>
      <w:tr>
        <w:tblPrEx>
          <w:tblW w:w="9237" w:type="dxa"/>
          <w:jc w:val="left"/>
          <w:tblInd w:w="0"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r>
      <w:tr>
        <w:tblPrEx>
          <w:tblW w:w="9237" w:type="dxa"/>
          <w:jc w:val="left"/>
          <w:tblInd w:w="0"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r>
      <w:tr>
        <w:tblPrEx>
          <w:tblW w:w="9237" w:type="dxa"/>
          <w:jc w:val="left"/>
          <w:tblInd w:w="0"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r>
      <w:tr>
        <w:tblPrEx>
          <w:tblW w:w="9237" w:type="dxa"/>
          <w:jc w:val="left"/>
          <w:tblInd w:w="0" w:type="dxa"/>
          <w:tblLayout w:type="fixed"/>
          <w:tblCellMar>
            <w:top w:w="0" w:type="dxa"/>
            <w:left w:w="108" w:type="dxa"/>
            <w:bottom w:w="0" w:type="dxa"/>
            <w:right w:w="108" w:type="dxa"/>
          </w:tblCellMar>
        </w:tblPrEx>
        <w:trPr>
          <w:trHeight w:val="397"/>
          <w:jc w:val="left"/>
        </w:trPr>
        <w:tc>
          <w:tcPr>
            <w:tcW w:w="1844"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27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1735"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color w:val="000000"/>
                <w:szCs w:val="21"/>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50100"/>
              <w:jc w:val="center"/>
              <w:rPr>
                <w:rFonts w:ascii="宋体"/>
              </w:rPr>
            </w:pPr>
          </w:p>
        </w:tc>
      </w:tr>
      <w:tr>
        <w:tblPrEx>
          <w:tblW w:w="9237" w:type="dxa"/>
          <w:jc w:val="left"/>
          <w:tblInd w:w="0" w:type="dxa"/>
          <w:tblLayout w:type="fixed"/>
          <w:tblCellMar>
            <w:top w:w="0" w:type="dxa"/>
            <w:left w:w="108" w:type="dxa"/>
            <w:bottom w:w="0" w:type="dxa"/>
            <w:right w:w="108" w:type="dxa"/>
          </w:tblCellMar>
        </w:tblPrEx>
        <w:trPr>
          <w:trHeight w:val="480"/>
          <w:jc w:val="left"/>
        </w:trPr>
        <w:tc>
          <w:tcPr>
            <w:tcW w:w="7900"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rPr>
                <w:b/>
                <w:bCs/>
                <w:color w:val="000000"/>
                <w:sz w:val="24"/>
                <w:szCs w:val="24"/>
              </w:rPr>
            </w:pPr>
            <w:r>
              <w:rPr>
                <w:rFonts w:hint="eastAsia"/>
                <w:b/>
                <w:bCs/>
                <w:color w:val="000000"/>
                <w:sz w:val="24"/>
                <w:szCs w:val="24"/>
              </w:rPr>
              <w:t>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50100"/>
              <w:widowControl/>
              <w:jc w:val="center"/>
              <w:rPr>
                <w:rFonts w:ascii="宋体"/>
                <w:color w:val="000000"/>
                <w:kern w:val="0"/>
                <w:szCs w:val="21"/>
              </w:rPr>
            </w:pPr>
          </w:p>
        </w:tc>
      </w:tr>
      <w:tr>
        <w:tblPrEx>
          <w:tblW w:w="9237" w:type="dxa"/>
          <w:jc w:val="left"/>
          <w:tblInd w:w="0" w:type="dxa"/>
          <w:tblLayout w:type="fixed"/>
          <w:tblCellMar>
            <w:top w:w="0" w:type="dxa"/>
            <w:left w:w="108" w:type="dxa"/>
            <w:bottom w:w="0" w:type="dxa"/>
            <w:right w:w="108" w:type="dxa"/>
          </w:tblCellMar>
        </w:tblPrEx>
        <w:trPr>
          <w:trHeight w:val="480"/>
          <w:jc w:val="left"/>
        </w:trPr>
        <w:tc>
          <w:tcPr>
            <w:tcW w:w="7900"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rPr>
                <w:b/>
                <w:bCs/>
                <w:color w:val="000000"/>
                <w:sz w:val="24"/>
                <w:szCs w:val="24"/>
              </w:rPr>
            </w:pPr>
            <w:r>
              <w:rPr>
                <w:rFonts w:hint="eastAsia"/>
                <w:b/>
                <w:bCs/>
                <w:color w:val="000000"/>
                <w:sz w:val="24"/>
                <w:szCs w:val="24"/>
              </w:rPr>
              <w:t>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Cs/>
                <w:color w:val="000000"/>
                <w:sz w:val="24"/>
                <w:szCs w:val="24"/>
              </w:rPr>
            </w:pPr>
          </w:p>
        </w:tc>
      </w:tr>
      <w:tr>
        <w:tblPrEx>
          <w:tblW w:w="9237" w:type="dxa"/>
          <w:jc w:val="left"/>
          <w:tblInd w:w="0" w:type="dxa"/>
          <w:tblLayout w:type="fixed"/>
          <w:tblCellMar>
            <w:top w:w="0" w:type="dxa"/>
            <w:left w:w="108" w:type="dxa"/>
            <w:bottom w:w="0" w:type="dxa"/>
            <w:right w:w="108" w:type="dxa"/>
          </w:tblCellMar>
        </w:tblPrEx>
        <w:trPr>
          <w:trHeight w:val="480"/>
          <w:jc w:val="left"/>
        </w:trPr>
        <w:tc>
          <w:tcPr>
            <w:tcW w:w="7900"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rPr>
                <w:b/>
                <w:bCs/>
                <w:color w:val="000000"/>
                <w:sz w:val="24"/>
                <w:szCs w:val="24"/>
              </w:rPr>
            </w:pPr>
            <w:r>
              <w:rPr>
                <w:rFonts w:hint="eastAsia"/>
                <w:b/>
                <w:bCs/>
                <w:color w:val="000000"/>
                <w:sz w:val="24"/>
                <w:szCs w:val="24"/>
              </w:rPr>
              <w:t>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Cs/>
                <w:color w:val="000000"/>
                <w:sz w:val="24"/>
                <w:szCs w:val="24"/>
              </w:rPr>
            </w:pPr>
          </w:p>
        </w:tc>
      </w:tr>
      <w:tr>
        <w:tblPrEx>
          <w:tblW w:w="9237" w:type="dxa"/>
          <w:jc w:val="left"/>
          <w:tblInd w:w="0" w:type="dxa"/>
          <w:tblLayout w:type="fixed"/>
          <w:tblCellMar>
            <w:top w:w="0" w:type="dxa"/>
            <w:left w:w="108" w:type="dxa"/>
            <w:bottom w:w="0" w:type="dxa"/>
            <w:right w:w="108" w:type="dxa"/>
          </w:tblCellMar>
        </w:tblPrEx>
        <w:trPr>
          <w:trHeight w:val="480"/>
          <w:jc w:val="left"/>
        </w:trPr>
        <w:tc>
          <w:tcPr>
            <w:tcW w:w="7900"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rPr>
                <w:b/>
                <w:bCs/>
                <w:color w:val="000000"/>
                <w:sz w:val="24"/>
                <w:szCs w:val="24"/>
                <w:highlight w:val="yellow"/>
                <w:u w:val="single"/>
              </w:rPr>
            </w:pPr>
            <w:r>
              <w:rPr>
                <w:rFonts w:hint="eastAsia"/>
                <w:b/>
                <w:bCs/>
                <w:color w:val="000000"/>
                <w:sz w:val="24"/>
                <w:szCs w:val="24"/>
              </w:rPr>
              <w:t>制造商维保服务费（</w:t>
            </w:r>
            <w:r>
              <w:rPr>
                <w:rFonts w:hint="eastAsia"/>
                <w:b/>
                <w:bCs/>
                <w:color w:val="000000"/>
                <w:sz w:val="24"/>
                <w:szCs w:val="24"/>
                <w:u w:val="single"/>
              </w:rPr>
              <w:t>三年）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Cs/>
                <w:color w:val="000000"/>
                <w:sz w:val="24"/>
                <w:szCs w:val="24"/>
              </w:rPr>
            </w:pPr>
          </w:p>
        </w:tc>
      </w:tr>
      <w:tr>
        <w:tblPrEx>
          <w:tblW w:w="9237" w:type="dxa"/>
          <w:jc w:val="left"/>
          <w:tblInd w:w="0" w:type="dxa"/>
          <w:tblLayout w:type="fixed"/>
          <w:tblCellMar>
            <w:top w:w="0" w:type="dxa"/>
            <w:left w:w="108" w:type="dxa"/>
            <w:bottom w:w="0" w:type="dxa"/>
            <w:right w:w="108" w:type="dxa"/>
          </w:tblCellMar>
        </w:tblPrEx>
        <w:trPr>
          <w:cantSplit/>
          <w:trHeight w:val="480"/>
          <w:jc w:val="left"/>
        </w:trPr>
        <w:tc>
          <w:tcPr>
            <w:tcW w:w="7900"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rPr>
                <w:b/>
                <w:bCs/>
                <w:color w:val="000000"/>
                <w:sz w:val="24"/>
                <w:szCs w:val="24"/>
              </w:rPr>
            </w:pPr>
            <w:r>
              <w:rPr>
                <w:rFonts w:hint="eastAsia"/>
                <w:b/>
                <w:bCs/>
                <w:color w:val="000000"/>
                <w:sz w:val="24"/>
                <w:szCs w:val="24"/>
              </w:rPr>
              <w:t>合同总价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Cs/>
                <w:color w:val="000000"/>
                <w:sz w:val="24"/>
                <w:szCs w:val="24"/>
              </w:rPr>
            </w:pPr>
          </w:p>
        </w:tc>
      </w:tr>
    </w:tbl>
    <w:p>
      <w:pPr>
        <w:pStyle w:val="50100"/>
        <w:spacing w:line="360" w:lineRule="auto"/>
        <w:ind w:firstLine="480" w:firstLineChars="200"/>
        <w:rPr>
          <w:rFonts w:ascii="宋体"/>
          <w:b/>
          <w:bCs/>
          <w:color w:val="000000"/>
          <w:sz w:val="24"/>
        </w:rPr>
      </w:pPr>
      <w:r>
        <w:rPr>
          <w:rFonts w:ascii="宋体" w:hint="eastAsia"/>
          <w:b/>
          <w:bCs/>
          <w:color w:val="000000"/>
          <w:sz w:val="24"/>
        </w:rPr>
        <w:t>第二条</w:t>
      </w:r>
      <w:r>
        <w:rPr>
          <w:rFonts w:ascii="宋体"/>
          <w:b/>
          <w:bCs/>
          <w:color w:val="000000"/>
          <w:sz w:val="24"/>
        </w:rPr>
        <w:t xml:space="preserve"> </w:t>
      </w:r>
      <w:r>
        <w:rPr>
          <w:rFonts w:ascii="宋体" w:hint="eastAsia"/>
          <w:b/>
          <w:bCs/>
          <w:color w:val="000000"/>
          <w:sz w:val="24"/>
        </w:rPr>
        <w:t>合同总价款</w:t>
      </w:r>
    </w:p>
    <w:p>
      <w:pPr>
        <w:pStyle w:val="10311"/>
        <w:spacing w:line="360" w:lineRule="auto"/>
        <w:ind w:firstLine="480" w:firstLineChars="200"/>
        <w:rPr>
          <w:rFonts w:ascii="宋体" w:eastAsia="宋体"/>
          <w:b/>
          <w:bCs/>
          <w:color w:val="000000"/>
          <w:sz w:val="24"/>
          <w:szCs w:val="24"/>
        </w:rPr>
      </w:pPr>
      <w:r>
        <w:rPr>
          <w:rFonts w:ascii="宋体" w:eastAsia="宋体" w:hint="eastAsia"/>
          <w:color w:val="000000"/>
          <w:sz w:val="24"/>
          <w:szCs w:val="24"/>
        </w:rPr>
        <w:t>甲方以支付总价款（人民币大写）</w:t>
      </w:r>
      <w:r>
        <w:rPr>
          <w:rFonts w:ascii="宋体" w:eastAsia="宋体"/>
          <w:color w:val="000000"/>
          <w:sz w:val="24"/>
          <w:szCs w:val="24"/>
          <w:u w:val="single"/>
        </w:rPr>
        <w:t xml:space="preserve">      </w:t>
      </w:r>
      <w:r>
        <w:rPr>
          <w:rFonts w:ascii="宋体" w:eastAsia="宋体" w:hint="eastAsia"/>
          <w:color w:val="000000"/>
          <w:sz w:val="24"/>
          <w:szCs w:val="24"/>
        </w:rPr>
        <w:t>元，接受乙方对上述货物的供货和伴随服务。包括乙方提供货物、包装、运输、货物的保险和储存、检测、验收、安装调试、保修服务、培训、资料及提供的伴随服务等所有成本、费用及税费，甲方无需再向乙方支付其他任何费用。详见附件分项报价表、设备配置清单和技术偏离表。</w:t>
      </w:r>
    </w:p>
    <w:p>
      <w:pPr>
        <w:pStyle w:val="10311"/>
        <w:spacing w:line="360" w:lineRule="auto"/>
        <w:ind w:firstLine="480" w:firstLineChars="200"/>
        <w:rPr>
          <w:rFonts w:ascii="宋体" w:eastAsia="宋体"/>
          <w:color w:val="000000"/>
          <w:sz w:val="24"/>
          <w:szCs w:val="24"/>
        </w:rPr>
      </w:pPr>
      <w:r>
        <w:rPr>
          <w:rFonts w:ascii="宋体" w:eastAsia="宋体" w:hint="eastAsia"/>
          <w:b/>
          <w:bCs/>
          <w:color w:val="000000"/>
          <w:sz w:val="24"/>
          <w:szCs w:val="24"/>
        </w:rPr>
        <w:t>第三条</w:t>
      </w:r>
      <w:r>
        <w:rPr>
          <w:rFonts w:ascii="宋体" w:eastAsia="宋体"/>
          <w:b/>
          <w:bCs/>
          <w:color w:val="000000"/>
          <w:sz w:val="24"/>
          <w:szCs w:val="24"/>
        </w:rPr>
        <w:t xml:space="preserve"> </w:t>
      </w:r>
      <w:r>
        <w:rPr>
          <w:rFonts w:ascii="宋体" w:eastAsia="宋体" w:hint="eastAsia"/>
          <w:b/>
          <w:bCs/>
          <w:color w:val="000000"/>
          <w:sz w:val="24"/>
          <w:szCs w:val="24"/>
        </w:rPr>
        <w:t>付款条件</w:t>
      </w:r>
      <w:r>
        <w:rPr>
          <w:rFonts w:hint="eastAsia"/>
          <w:i/>
          <w:sz w:val="24"/>
          <w:szCs w:val="24"/>
        </w:rPr>
        <w:t>（具体付款进度以及是否交纳履约保证金以本项目采购签报、采购需求以及采购文件的要求为准，斜体字内容在编制正式合同时应删除，下同）</w:t>
      </w:r>
    </w:p>
    <w:p>
      <w:pPr>
        <w:pStyle w:val="50100"/>
        <w:spacing w:line="360" w:lineRule="auto"/>
        <w:ind w:firstLine="480" w:firstLineChars="200"/>
        <w:rPr>
          <w:rFonts w:ascii="宋体"/>
          <w:color w:val="000000"/>
          <w:sz w:val="24"/>
        </w:rPr>
      </w:pPr>
      <w:r>
        <w:rPr>
          <w:rFonts w:ascii="宋体" w:hint="eastAsia"/>
          <w:color w:val="000000"/>
          <w:sz w:val="24"/>
        </w:rPr>
        <w:t>（一）本合同以人民币付款。</w:t>
      </w:r>
    </w:p>
    <w:p>
      <w:pPr>
        <w:pStyle w:val="50100"/>
        <w:spacing w:line="360" w:lineRule="auto"/>
        <w:ind w:firstLine="480" w:firstLineChars="200"/>
        <w:rPr>
          <w:rFonts w:ascii="宋体"/>
          <w:color w:val="000000"/>
          <w:sz w:val="24"/>
        </w:rPr>
      </w:pPr>
      <w:r>
        <w:rPr>
          <w:rFonts w:ascii="宋体" w:hint="eastAsia"/>
          <w:color w:val="000000"/>
          <w:sz w:val="24"/>
        </w:rPr>
        <w:t>（二）付款办法：</w:t>
      </w:r>
    </w:p>
    <w:p>
      <w:pPr>
        <w:pStyle w:val="50100"/>
        <w:spacing w:line="360" w:lineRule="auto"/>
        <w:ind w:firstLine="480" w:firstLineChars="200"/>
        <w:rPr>
          <w:rFonts w:ascii="宋体"/>
          <w:color w:val="000000"/>
          <w:sz w:val="24"/>
        </w:rPr>
      </w:pPr>
      <w:r>
        <w:rPr>
          <w:rFonts w:ascii="宋体"/>
          <w:color w:val="000000"/>
          <w:sz w:val="24"/>
        </w:rPr>
        <w:t>1.</w:t>
      </w:r>
      <w:r>
        <w:rPr>
          <w:rFonts w:ascii="宋体" w:hint="eastAsia"/>
          <w:color w:val="000000"/>
          <w:sz w:val="24"/>
        </w:rPr>
        <w:t>乙方向甲方交付履约保证金，并提交下列单据之日起</w:t>
      </w:r>
      <w:r>
        <w:rPr>
          <w:rFonts w:ascii="宋体"/>
          <w:color w:val="000000"/>
          <w:sz w:val="24"/>
        </w:rPr>
        <w:t>10</w:t>
      </w:r>
      <w:r>
        <w:rPr>
          <w:rFonts w:ascii="宋体" w:hint="eastAsia"/>
          <w:color w:val="000000"/>
          <w:sz w:val="24"/>
        </w:rPr>
        <w:t>个工作日内，甲方向乙方支付合同总价</w:t>
      </w:r>
      <w:r>
        <w:rPr>
          <w:rFonts w:ascii="宋体"/>
          <w:color w:val="000000"/>
          <w:sz w:val="24"/>
          <w:u w:val="single"/>
        </w:rPr>
        <w:t xml:space="preserve">   %</w:t>
      </w:r>
      <w:r>
        <w:rPr>
          <w:rFonts w:ascii="宋体" w:hint="eastAsia"/>
          <w:color w:val="000000"/>
          <w:sz w:val="24"/>
        </w:rPr>
        <w:t>合同款（即人民币</w:t>
      </w:r>
      <w:r>
        <w:rPr>
          <w:rFonts w:ascii="宋体"/>
          <w:color w:val="000000"/>
          <w:sz w:val="24"/>
          <w:u w:val="single"/>
        </w:rPr>
        <w:t xml:space="preserve">    </w:t>
      </w:r>
      <w:r>
        <w:rPr>
          <w:rFonts w:ascii="宋体" w:hint="eastAsia"/>
          <w:color w:val="000000"/>
          <w:sz w:val="24"/>
        </w:rPr>
        <w:t>元整）。</w:t>
      </w:r>
    </w:p>
    <w:p>
      <w:pPr>
        <w:pStyle w:val="50100"/>
        <w:spacing w:line="360" w:lineRule="auto"/>
        <w:ind w:firstLine="480" w:firstLineChars="200"/>
        <w:rPr>
          <w:rFonts w:ascii="宋体"/>
          <w:color w:val="000000"/>
          <w:sz w:val="24"/>
        </w:rPr>
      </w:pPr>
      <w:r>
        <w:rPr>
          <w:rFonts w:ascii="宋体" w:hint="eastAsia"/>
          <w:color w:val="000000"/>
          <w:sz w:val="24"/>
        </w:rPr>
        <w:t>乙方提交单据：合同（正文部分复印件）、中标通知书、发票（原件）、履约保证金单据。</w:t>
      </w:r>
    </w:p>
    <w:p>
      <w:pPr>
        <w:pStyle w:val="50100"/>
        <w:spacing w:line="360" w:lineRule="auto"/>
        <w:ind w:firstLine="480" w:firstLineChars="200"/>
        <w:rPr>
          <w:rFonts w:ascii="宋体"/>
          <w:color w:val="000000"/>
          <w:sz w:val="24"/>
        </w:rPr>
      </w:pPr>
      <w:r>
        <w:rPr>
          <w:rFonts w:ascii="宋体"/>
          <w:color w:val="000000"/>
          <w:sz w:val="24"/>
        </w:rPr>
        <w:t>2.</w:t>
      </w:r>
      <w:r>
        <w:rPr>
          <w:rFonts w:ascii="宋体" w:hint="eastAsia"/>
          <w:color w:val="000000"/>
          <w:sz w:val="24"/>
        </w:rPr>
        <w:t>设备全部到货并经甲方签收后，乙方向甲方提交下列单据之日起</w:t>
      </w:r>
      <w:r>
        <w:rPr>
          <w:rFonts w:ascii="宋体"/>
          <w:color w:val="000000"/>
          <w:sz w:val="24"/>
        </w:rPr>
        <w:t>10</w:t>
      </w:r>
      <w:r>
        <w:rPr>
          <w:rFonts w:ascii="宋体" w:hint="eastAsia"/>
          <w:color w:val="000000"/>
          <w:sz w:val="24"/>
        </w:rPr>
        <w:t>个工作日内，甲方向乙方支付合同总价</w:t>
      </w:r>
      <w:r>
        <w:rPr>
          <w:rFonts w:ascii="宋体"/>
          <w:color w:val="000000"/>
          <w:sz w:val="24"/>
          <w:u w:val="single"/>
        </w:rPr>
        <w:t xml:space="preserve">    </w:t>
      </w:r>
      <w:r>
        <w:rPr>
          <w:rFonts w:ascii="宋体"/>
          <w:color w:val="000000"/>
          <w:sz w:val="24"/>
        </w:rPr>
        <w:t>%</w:t>
      </w:r>
      <w:r>
        <w:rPr>
          <w:rFonts w:ascii="宋体" w:hint="eastAsia"/>
          <w:color w:val="000000"/>
          <w:sz w:val="24"/>
        </w:rPr>
        <w:t>合同款（即人民币</w:t>
      </w:r>
      <w:r>
        <w:rPr>
          <w:rFonts w:ascii="宋体"/>
          <w:color w:val="000000"/>
          <w:sz w:val="24"/>
          <w:u w:val="single"/>
        </w:rPr>
        <w:t xml:space="preserve">    </w:t>
      </w:r>
      <w:r>
        <w:rPr>
          <w:rFonts w:ascii="宋体" w:hint="eastAsia"/>
          <w:color w:val="000000"/>
          <w:sz w:val="24"/>
        </w:rPr>
        <w:t>元整）。</w:t>
      </w:r>
    </w:p>
    <w:p>
      <w:pPr>
        <w:pStyle w:val="50100"/>
        <w:spacing w:line="360" w:lineRule="auto"/>
        <w:ind w:firstLine="480" w:firstLineChars="200"/>
        <w:rPr>
          <w:rFonts w:ascii="宋体"/>
          <w:color w:val="000000"/>
          <w:sz w:val="24"/>
        </w:rPr>
      </w:pPr>
      <w:r>
        <w:rPr>
          <w:rFonts w:ascii="宋体" w:hint="eastAsia"/>
          <w:color w:val="000000"/>
          <w:sz w:val="24"/>
        </w:rPr>
        <w:t>乙方提交单据：发票（原件）、设备到货验收合格签收单（复印件）。</w:t>
      </w:r>
    </w:p>
    <w:p>
      <w:pPr>
        <w:pStyle w:val="50100"/>
        <w:spacing w:line="360" w:lineRule="auto"/>
        <w:ind w:firstLine="480" w:firstLineChars="200"/>
        <w:rPr>
          <w:rFonts w:ascii="宋体"/>
          <w:color w:val="000000"/>
          <w:sz w:val="24"/>
        </w:rPr>
      </w:pPr>
      <w:r>
        <w:rPr>
          <w:rFonts w:ascii="宋体"/>
          <w:color w:val="000000"/>
          <w:sz w:val="24"/>
        </w:rPr>
        <w:t>3.</w:t>
      </w:r>
      <w:r>
        <w:rPr>
          <w:rFonts w:ascii="宋体" w:hint="eastAsia"/>
          <w:color w:val="000000"/>
          <w:sz w:val="24"/>
        </w:rPr>
        <w:t>设备全部安装调试，并经甲方验收合格后（</w:t>
      </w:r>
      <w:r>
        <w:rPr>
          <w:rFonts w:eastAsia="方正仿宋_GBK" w:hint="eastAsia"/>
          <w:i/>
          <w:sz w:val="24"/>
        </w:rPr>
        <w:t>或根据项目实际情况调整为：设备经甲方全部验收合格后</w:t>
      </w:r>
      <w:r>
        <w:rPr>
          <w:rFonts w:ascii="宋体" w:hint="eastAsia"/>
          <w:color w:val="000000"/>
          <w:sz w:val="24"/>
        </w:rPr>
        <w:t>），乙方向甲方提交下列单据之日起</w:t>
      </w:r>
      <w:r>
        <w:rPr>
          <w:rFonts w:ascii="宋体"/>
          <w:color w:val="000000"/>
          <w:sz w:val="24"/>
        </w:rPr>
        <w:t>10</w:t>
      </w:r>
      <w:r>
        <w:rPr>
          <w:rFonts w:ascii="宋体" w:hint="eastAsia"/>
          <w:color w:val="000000"/>
          <w:sz w:val="24"/>
        </w:rPr>
        <w:t>个工作日内，甲方向乙方支付合同总价</w:t>
      </w:r>
      <w:r>
        <w:rPr>
          <w:rFonts w:ascii="宋体"/>
          <w:color w:val="000000"/>
          <w:sz w:val="24"/>
          <w:u w:val="single"/>
        </w:rPr>
        <w:t xml:space="preserve">     </w:t>
      </w:r>
      <w:r>
        <w:rPr>
          <w:rFonts w:ascii="宋体"/>
          <w:color w:val="000000"/>
          <w:sz w:val="24"/>
        </w:rPr>
        <w:t>%</w:t>
      </w:r>
      <w:r>
        <w:rPr>
          <w:rFonts w:ascii="宋体" w:hint="eastAsia"/>
          <w:color w:val="000000"/>
          <w:sz w:val="24"/>
        </w:rPr>
        <w:t>合同款（即人民币</w:t>
      </w:r>
      <w:r>
        <w:rPr>
          <w:rFonts w:ascii="宋体"/>
          <w:color w:val="000000"/>
          <w:sz w:val="24"/>
          <w:u w:val="single"/>
        </w:rPr>
        <w:t xml:space="preserve">    </w:t>
      </w:r>
      <w:r>
        <w:rPr>
          <w:rFonts w:ascii="宋体" w:hint="eastAsia"/>
          <w:color w:val="000000"/>
          <w:sz w:val="24"/>
          <w:u w:val="single"/>
        </w:rPr>
        <w:t>元</w:t>
      </w:r>
      <w:r>
        <w:rPr>
          <w:rFonts w:ascii="宋体" w:hint="eastAsia"/>
          <w:color w:val="000000"/>
          <w:sz w:val="24"/>
        </w:rPr>
        <w:t>整）。</w:t>
      </w:r>
    </w:p>
    <w:p>
      <w:pPr>
        <w:pStyle w:val="50100"/>
        <w:spacing w:line="360" w:lineRule="auto"/>
        <w:ind w:firstLine="480" w:firstLineChars="200"/>
        <w:rPr>
          <w:rFonts w:ascii="宋体"/>
          <w:color w:val="000000"/>
          <w:sz w:val="24"/>
        </w:rPr>
      </w:pPr>
      <w:r>
        <w:rPr>
          <w:rFonts w:ascii="宋体" w:hint="eastAsia"/>
          <w:color w:val="000000"/>
          <w:sz w:val="24"/>
        </w:rPr>
        <w:t>乙方提交单据：发票（原件）、安装调试验收合格报告（复印件）。</w:t>
      </w:r>
    </w:p>
    <w:p>
      <w:pPr>
        <w:pStyle w:val="50100"/>
        <w:spacing w:line="360" w:lineRule="auto"/>
        <w:ind w:firstLine="480" w:firstLineChars="200"/>
        <w:rPr>
          <w:rFonts w:ascii="宋体"/>
          <w:color w:val="000000"/>
          <w:sz w:val="24"/>
        </w:rPr>
      </w:pPr>
      <w:r>
        <w:rPr>
          <w:rFonts w:ascii="宋体"/>
          <w:color w:val="000000"/>
          <w:sz w:val="24"/>
        </w:rPr>
        <w:t>4.</w:t>
      </w:r>
      <w:r>
        <w:rPr>
          <w:rFonts w:ascii="宋体" w:hint="eastAsia"/>
          <w:color w:val="000000"/>
          <w:sz w:val="24"/>
        </w:rPr>
        <w:t>因财政集中支付等非甲方原因造成付款延误，甲方不承担任何责任。乙方提交付款单据延迟、缺失及账户信息错误的，甲方有权相应顺延付款期限，且甲方不承担任何责任。</w:t>
      </w:r>
    </w:p>
    <w:p>
      <w:pPr>
        <w:pStyle w:val="5810"/>
        <w:autoSpaceDN w:val="0"/>
        <w:spacing w:line="360" w:lineRule="auto"/>
        <w:ind w:firstLine="480" w:firstLineChars="200"/>
        <w:jc w:val="left"/>
        <w:rPr>
          <w:rFonts w:ascii="宋体" w:cs="微软雅黑"/>
          <w:snapToGrid w:val="0"/>
          <w:kern w:val="0"/>
          <w:sz w:val="24"/>
          <w:szCs w:val="24"/>
        </w:rPr>
      </w:pPr>
      <w:r>
        <w:rPr>
          <w:rFonts w:ascii="宋体" w:cs="微软雅黑" w:hint="eastAsia"/>
          <w:snapToGrid w:val="0"/>
          <w:kern w:val="0"/>
          <w:sz w:val="24"/>
          <w:szCs w:val="24"/>
        </w:rPr>
        <w:t>乙方收取货款账户为：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804"/>
        <w:gridCol w:w="6051"/>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804" w:type="dxa"/>
            <w:tcBorders>
              <w:top w:val="single" w:sz="4" w:space="0" w:color="auto"/>
              <w:left w:val="single" w:sz="4" w:space="0" w:color="auto"/>
              <w:bottom w:val="single" w:sz="4" w:space="0" w:color="auto"/>
              <w:right w:val="single" w:sz="4" w:space="0" w:color="auto"/>
            </w:tcBorders>
            <w:vAlign w:val="center"/>
          </w:tcPr>
          <w:p>
            <w:pPr>
              <w:pStyle w:val="5810"/>
              <w:autoSpaceDN w:val="0"/>
              <w:spacing w:line="360" w:lineRule="auto"/>
              <w:jc w:val="center"/>
              <w:rPr>
                <w:rFonts w:ascii="宋体" w:cs="微软雅黑"/>
                <w:snapToGrid w:val="0"/>
                <w:kern w:val="0"/>
                <w:sz w:val="24"/>
                <w:szCs w:val="24"/>
              </w:rPr>
            </w:pPr>
            <w:r>
              <w:rPr>
                <w:rFonts w:ascii="宋体" w:cs="微软雅黑" w:hint="eastAsia"/>
                <w:snapToGrid w:val="0"/>
                <w:kern w:val="0"/>
                <w:sz w:val="24"/>
                <w:szCs w:val="24"/>
              </w:rPr>
              <w:t>乙方全称</w:t>
            </w:r>
          </w:p>
        </w:tc>
        <w:tc>
          <w:tcPr>
            <w:tcW w:w="6051" w:type="dxa"/>
            <w:tcBorders>
              <w:top w:val="single" w:sz="4" w:space="0" w:color="auto"/>
              <w:left w:val="single" w:sz="4" w:space="0" w:color="auto"/>
              <w:bottom w:val="single" w:sz="4" w:space="0" w:color="auto"/>
              <w:right w:val="single" w:sz="4" w:space="0" w:color="auto"/>
            </w:tcBorders>
            <w:vAlign w:val="center"/>
          </w:tcPr>
          <w:p>
            <w:pPr>
              <w:pStyle w:val="5810"/>
              <w:autoSpaceDN w:val="0"/>
              <w:spacing w:line="360" w:lineRule="auto"/>
              <w:jc w:val="center"/>
              <w:rPr>
                <w:rFonts w:ascii="宋体" w:cs="微软雅黑"/>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1804" w:type="dxa"/>
            <w:tcBorders>
              <w:top w:val="single" w:sz="4" w:space="0" w:color="auto"/>
              <w:left w:val="single" w:sz="4" w:space="0" w:color="auto"/>
              <w:bottom w:val="single" w:sz="4" w:space="0" w:color="auto"/>
              <w:right w:val="single" w:sz="4" w:space="0" w:color="auto"/>
            </w:tcBorders>
            <w:vAlign w:val="center"/>
          </w:tcPr>
          <w:p>
            <w:pPr>
              <w:pStyle w:val="5810"/>
              <w:autoSpaceDN w:val="0"/>
              <w:spacing w:line="360" w:lineRule="auto"/>
              <w:jc w:val="center"/>
              <w:rPr>
                <w:rFonts w:ascii="宋体" w:cs="微软雅黑"/>
                <w:snapToGrid w:val="0"/>
                <w:kern w:val="0"/>
                <w:sz w:val="24"/>
                <w:szCs w:val="24"/>
              </w:rPr>
            </w:pPr>
            <w:r>
              <w:rPr>
                <w:rFonts w:ascii="宋体" w:cs="微软雅黑" w:hint="eastAsia"/>
                <w:snapToGrid w:val="0"/>
                <w:kern w:val="0"/>
                <w:sz w:val="24"/>
                <w:szCs w:val="24"/>
              </w:rPr>
              <w:t>开户银行</w:t>
            </w:r>
          </w:p>
        </w:tc>
        <w:tc>
          <w:tcPr>
            <w:tcW w:w="6051" w:type="dxa"/>
            <w:tcBorders>
              <w:top w:val="single" w:sz="4" w:space="0" w:color="auto"/>
              <w:left w:val="single" w:sz="4" w:space="0" w:color="auto"/>
              <w:bottom w:val="single" w:sz="4" w:space="0" w:color="auto"/>
              <w:right w:val="single" w:sz="4" w:space="0" w:color="auto"/>
            </w:tcBorders>
            <w:vAlign w:val="center"/>
          </w:tcPr>
          <w:p>
            <w:pPr>
              <w:pStyle w:val="5810"/>
              <w:autoSpaceDN w:val="0"/>
              <w:spacing w:line="360" w:lineRule="auto"/>
              <w:jc w:val="center"/>
              <w:rPr>
                <w:rFonts w:ascii="宋体" w:cs="微软雅黑"/>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1804" w:type="dxa"/>
            <w:tcBorders>
              <w:top w:val="single" w:sz="4" w:space="0" w:color="auto"/>
              <w:left w:val="single" w:sz="4" w:space="0" w:color="auto"/>
              <w:bottom w:val="single" w:sz="4" w:space="0" w:color="auto"/>
              <w:right w:val="single" w:sz="4" w:space="0" w:color="auto"/>
            </w:tcBorders>
            <w:vAlign w:val="center"/>
          </w:tcPr>
          <w:p>
            <w:pPr>
              <w:pStyle w:val="5810"/>
              <w:autoSpaceDN w:val="0"/>
              <w:spacing w:line="360" w:lineRule="auto"/>
              <w:jc w:val="center"/>
              <w:rPr>
                <w:rFonts w:ascii="宋体" w:cs="微软雅黑"/>
                <w:snapToGrid w:val="0"/>
                <w:kern w:val="0"/>
                <w:sz w:val="24"/>
                <w:szCs w:val="24"/>
              </w:rPr>
            </w:pPr>
            <w:r>
              <w:rPr>
                <w:rFonts w:ascii="宋体" w:cs="微软雅黑" w:hint="eastAsia"/>
                <w:snapToGrid w:val="0"/>
                <w:kern w:val="0"/>
                <w:sz w:val="24"/>
                <w:szCs w:val="24"/>
              </w:rPr>
              <w:t>账号</w:t>
            </w:r>
          </w:p>
        </w:tc>
        <w:tc>
          <w:tcPr>
            <w:tcW w:w="6051" w:type="dxa"/>
            <w:tcBorders>
              <w:top w:val="single" w:sz="4" w:space="0" w:color="auto"/>
              <w:left w:val="single" w:sz="4" w:space="0" w:color="auto"/>
              <w:bottom w:val="single" w:sz="4" w:space="0" w:color="auto"/>
              <w:right w:val="single" w:sz="4" w:space="0" w:color="auto"/>
            </w:tcBorders>
            <w:vAlign w:val="center"/>
          </w:tcPr>
          <w:p>
            <w:pPr>
              <w:pStyle w:val="5810"/>
              <w:autoSpaceDN w:val="0"/>
              <w:spacing w:line="360" w:lineRule="auto"/>
              <w:jc w:val="center"/>
              <w:rPr>
                <w:rFonts w:ascii="宋体" w:cs="微软雅黑"/>
                <w:snapToGrid w:val="0"/>
                <w:kern w:val="0"/>
                <w:sz w:val="24"/>
                <w:szCs w:val="24"/>
              </w:rPr>
            </w:pPr>
          </w:p>
        </w:tc>
      </w:tr>
    </w:tbl>
    <w:p>
      <w:pPr>
        <w:pStyle w:val="50100"/>
        <w:spacing w:line="360" w:lineRule="auto"/>
        <w:ind w:firstLine="480" w:firstLineChars="200"/>
        <w:rPr>
          <w:rFonts w:ascii="宋体"/>
          <w:b/>
          <w:bCs/>
          <w:color w:val="000000"/>
          <w:sz w:val="24"/>
        </w:rPr>
      </w:pPr>
      <w:r>
        <w:rPr>
          <w:rFonts w:ascii="宋体" w:hint="eastAsia"/>
          <w:b/>
          <w:bCs/>
          <w:color w:val="000000"/>
          <w:sz w:val="24"/>
        </w:rPr>
        <w:t>第四条</w:t>
      </w:r>
      <w:r>
        <w:rPr>
          <w:rFonts w:ascii="宋体"/>
          <w:b/>
          <w:bCs/>
          <w:color w:val="000000"/>
          <w:sz w:val="24"/>
        </w:rPr>
        <w:t xml:space="preserve"> </w:t>
      </w:r>
      <w:r>
        <w:rPr>
          <w:rFonts w:ascii="宋体" w:hint="eastAsia"/>
          <w:b/>
          <w:bCs/>
          <w:color w:val="000000"/>
          <w:sz w:val="24"/>
        </w:rPr>
        <w:t>履约保证金</w:t>
      </w:r>
    </w:p>
    <w:p>
      <w:pPr>
        <w:pStyle w:val="2312"/>
        <w:spacing w:line="360" w:lineRule="auto"/>
        <w:ind w:firstLine="480" w:firstLineChars="200"/>
        <w:rPr>
          <w:rFonts w:ascii="宋体" w:eastAsia="宋体"/>
          <w:color w:val="000000"/>
          <w:sz w:val="24"/>
          <w:szCs w:val="24"/>
          <w:highlight w:val="yellow"/>
        </w:rPr>
      </w:pPr>
      <w:r>
        <w:rPr>
          <w:rFonts w:ascii="宋体" w:eastAsia="宋体" w:hint="eastAsia"/>
          <w:color w:val="000000"/>
          <w:sz w:val="24"/>
          <w:szCs w:val="24"/>
        </w:rPr>
        <w:t>（一）合同签订之日起</w:t>
      </w:r>
      <w:r>
        <w:rPr>
          <w:rFonts w:ascii="宋体" w:eastAsia="宋体"/>
          <w:color w:val="000000"/>
          <w:sz w:val="24"/>
          <w:szCs w:val="24"/>
          <w:u w:val="single"/>
        </w:rPr>
        <w:t>10</w:t>
      </w:r>
      <w:r>
        <w:rPr>
          <w:rFonts w:ascii="宋体" w:eastAsia="宋体" w:hint="eastAsia"/>
          <w:color w:val="000000"/>
          <w:sz w:val="24"/>
          <w:szCs w:val="24"/>
        </w:rPr>
        <w:t>个工作日内，乙方须按合同金额的</w:t>
      </w:r>
      <w:r>
        <w:rPr>
          <w:rFonts w:ascii="宋体" w:eastAsia="宋体"/>
          <w:color w:val="000000"/>
          <w:sz w:val="24"/>
          <w:szCs w:val="24"/>
          <w:u w:val="single"/>
        </w:rPr>
        <w:t>10%</w:t>
      </w:r>
      <w:r>
        <w:rPr>
          <w:rFonts w:ascii="宋体" w:eastAsia="宋体" w:hint="eastAsia"/>
          <w:color w:val="000000"/>
          <w:sz w:val="24"/>
          <w:szCs w:val="24"/>
        </w:rPr>
        <w:t>向甲方交纳履约保证金。如果乙方未按照约定时间交付履约保证金的，甲方有权单方面解除合同。</w:t>
      </w:r>
    </w:p>
    <w:p>
      <w:pPr>
        <w:pStyle w:val="50510"/>
        <w:autoSpaceDN w:val="0"/>
        <w:spacing w:line="360" w:lineRule="auto"/>
        <w:ind w:firstLine="480" w:firstLineChars="200"/>
        <w:jc w:val="left"/>
        <w:rPr>
          <w:rFonts w:ascii="宋体" w:cs="微软雅黑"/>
          <w:snapToGrid w:val="0"/>
          <w:kern w:val="0"/>
          <w:sz w:val="24"/>
          <w:szCs w:val="24"/>
        </w:rPr>
      </w:pPr>
      <w:r>
        <w:rPr>
          <w:rFonts w:ascii="宋体" w:cs="微软雅黑" w:hint="eastAsia"/>
          <w:snapToGrid w:val="0"/>
          <w:kern w:val="0"/>
          <w:sz w:val="24"/>
          <w:szCs w:val="24"/>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tcBorders>
              <w:top w:val="single" w:sz="4" w:space="0" w:color="auto"/>
              <w:left w:val="single" w:sz="4" w:space="0" w:color="auto"/>
              <w:bottom w:val="single" w:sz="4" w:space="0" w:color="auto"/>
              <w:right w:val="single" w:sz="4" w:space="0" w:color="auto"/>
            </w:tcBorders>
            <w:vAlign w:val="center"/>
          </w:tcPr>
          <w:p>
            <w:pPr>
              <w:pStyle w:val="50510"/>
              <w:autoSpaceDN w:val="0"/>
              <w:spacing w:line="360" w:lineRule="auto"/>
              <w:jc w:val="center"/>
              <w:rPr>
                <w:rFonts w:ascii="宋体" w:cs="微软雅黑"/>
                <w:snapToGrid w:val="0"/>
                <w:kern w:val="0"/>
                <w:sz w:val="24"/>
                <w:szCs w:val="24"/>
              </w:rPr>
            </w:pPr>
            <w:r>
              <w:rPr>
                <w:rFonts w:ascii="宋体" w:cs="微软雅黑" w:hint="eastAsia"/>
                <w:snapToGrid w:val="0"/>
                <w:kern w:val="0"/>
                <w:sz w:val="24"/>
                <w:szCs w:val="24"/>
              </w:rPr>
              <w:t>收款单位全称</w:t>
            </w:r>
          </w:p>
        </w:tc>
        <w:tc>
          <w:tcPr>
            <w:tcW w:w="5469" w:type="dxa"/>
            <w:tcBorders>
              <w:top w:val="single" w:sz="4" w:space="0" w:color="auto"/>
              <w:left w:val="single" w:sz="4" w:space="0" w:color="auto"/>
              <w:bottom w:val="single" w:sz="4" w:space="0" w:color="auto"/>
              <w:right w:val="single" w:sz="4" w:space="0" w:color="auto"/>
            </w:tcBorders>
            <w:vAlign w:val="center"/>
          </w:tcPr>
          <w:p>
            <w:pPr>
              <w:pStyle w:val="50510"/>
              <w:autoSpaceDN w:val="0"/>
              <w:spacing w:line="360" w:lineRule="auto"/>
              <w:ind w:firstLine="480" w:firstLineChars="200"/>
              <w:jc w:val="center"/>
              <w:rPr>
                <w:rFonts w:ascii="宋体" w:cs="微软雅黑"/>
                <w:snapToGrid w:val="0"/>
                <w:kern w:val="0"/>
                <w:sz w:val="24"/>
                <w:szCs w:val="24"/>
              </w:rPr>
            </w:pPr>
          </w:p>
        </w:tc>
      </w:tr>
      <w:tr>
        <w:tblPrEx>
          <w:jc w:val="center"/>
          <w:tblLayout w:type="fixed"/>
          <w:tblCellMar>
            <w:top w:w="0" w:type="dxa"/>
            <w:left w:w="108" w:type="dxa"/>
            <w:bottom w:w="0" w:type="dxa"/>
            <w:right w:w="108" w:type="dxa"/>
          </w:tblCellMar>
        </w:tblPrEx>
        <w:trPr>
          <w:trHeight w:val="403"/>
          <w:jc w:val="center"/>
        </w:trPr>
        <w:tc>
          <w:tcPr>
            <w:tcW w:w="2386" w:type="dxa"/>
            <w:tcBorders>
              <w:top w:val="single" w:sz="4" w:space="0" w:color="auto"/>
              <w:left w:val="single" w:sz="4" w:space="0" w:color="auto"/>
              <w:bottom w:val="single" w:sz="4" w:space="0" w:color="auto"/>
              <w:right w:val="single" w:sz="4" w:space="0" w:color="auto"/>
            </w:tcBorders>
            <w:vAlign w:val="center"/>
          </w:tcPr>
          <w:p>
            <w:pPr>
              <w:pStyle w:val="50510"/>
              <w:autoSpaceDN w:val="0"/>
              <w:spacing w:line="360" w:lineRule="auto"/>
              <w:jc w:val="center"/>
              <w:rPr>
                <w:rFonts w:ascii="宋体" w:cs="微软雅黑"/>
                <w:snapToGrid w:val="0"/>
                <w:kern w:val="0"/>
                <w:sz w:val="24"/>
                <w:szCs w:val="24"/>
              </w:rPr>
            </w:pPr>
            <w:r>
              <w:rPr>
                <w:rFonts w:ascii="宋体" w:cs="微软雅黑" w:hint="eastAsia"/>
                <w:snapToGrid w:val="0"/>
                <w:kern w:val="0"/>
                <w:sz w:val="24"/>
                <w:szCs w:val="24"/>
              </w:rPr>
              <w:t>开户银行</w:t>
            </w:r>
          </w:p>
        </w:tc>
        <w:tc>
          <w:tcPr>
            <w:tcW w:w="5469" w:type="dxa"/>
            <w:tcBorders>
              <w:top w:val="single" w:sz="4" w:space="0" w:color="auto"/>
              <w:left w:val="single" w:sz="4" w:space="0" w:color="auto"/>
              <w:bottom w:val="single" w:sz="4" w:space="0" w:color="auto"/>
              <w:right w:val="single" w:sz="4" w:space="0" w:color="auto"/>
            </w:tcBorders>
            <w:vAlign w:val="center"/>
          </w:tcPr>
          <w:p>
            <w:pPr>
              <w:pStyle w:val="50510"/>
              <w:autoSpaceDN w:val="0"/>
              <w:spacing w:line="360" w:lineRule="auto"/>
              <w:ind w:firstLine="480" w:firstLineChars="200"/>
              <w:jc w:val="center"/>
              <w:rPr>
                <w:rFonts w:ascii="宋体" w:cs="微软雅黑"/>
                <w:snapToGrid w:val="0"/>
                <w:kern w:val="0"/>
                <w:sz w:val="24"/>
                <w:szCs w:val="24"/>
              </w:rPr>
            </w:pPr>
          </w:p>
        </w:tc>
      </w:tr>
      <w:tr>
        <w:tblPrEx>
          <w:jc w:val="center"/>
          <w:tblLayout w:type="fixed"/>
          <w:tblCellMar>
            <w:top w:w="0" w:type="dxa"/>
            <w:left w:w="108" w:type="dxa"/>
            <w:bottom w:w="0" w:type="dxa"/>
            <w:right w:w="108" w:type="dxa"/>
          </w:tblCellMar>
        </w:tblPrEx>
        <w:trPr>
          <w:trHeight w:val="242"/>
          <w:jc w:val="center"/>
        </w:trPr>
        <w:tc>
          <w:tcPr>
            <w:tcW w:w="2386" w:type="dxa"/>
            <w:tcBorders>
              <w:top w:val="single" w:sz="4" w:space="0" w:color="auto"/>
              <w:left w:val="single" w:sz="4" w:space="0" w:color="auto"/>
              <w:bottom w:val="single" w:sz="4" w:space="0" w:color="auto"/>
              <w:right w:val="single" w:sz="4" w:space="0" w:color="auto"/>
            </w:tcBorders>
            <w:vAlign w:val="center"/>
          </w:tcPr>
          <w:p>
            <w:pPr>
              <w:pStyle w:val="50510"/>
              <w:autoSpaceDN w:val="0"/>
              <w:spacing w:line="360" w:lineRule="auto"/>
              <w:jc w:val="center"/>
              <w:rPr>
                <w:rFonts w:ascii="宋体" w:cs="微软雅黑"/>
                <w:snapToGrid w:val="0"/>
                <w:kern w:val="0"/>
                <w:sz w:val="24"/>
                <w:szCs w:val="24"/>
              </w:rPr>
            </w:pPr>
            <w:r>
              <w:rPr>
                <w:rFonts w:ascii="宋体" w:cs="微软雅黑" w:hint="eastAsia"/>
                <w:snapToGrid w:val="0"/>
                <w:kern w:val="0"/>
                <w:sz w:val="24"/>
                <w:szCs w:val="24"/>
              </w:rPr>
              <w:t>账号</w:t>
            </w:r>
          </w:p>
        </w:tc>
        <w:tc>
          <w:tcPr>
            <w:tcW w:w="5469" w:type="dxa"/>
            <w:tcBorders>
              <w:top w:val="single" w:sz="4" w:space="0" w:color="auto"/>
              <w:left w:val="single" w:sz="4" w:space="0" w:color="auto"/>
              <w:bottom w:val="single" w:sz="4" w:space="0" w:color="auto"/>
              <w:right w:val="single" w:sz="4" w:space="0" w:color="auto"/>
            </w:tcBorders>
            <w:vAlign w:val="center"/>
          </w:tcPr>
          <w:p>
            <w:pPr>
              <w:pStyle w:val="50510"/>
              <w:autoSpaceDN w:val="0"/>
              <w:spacing w:line="360" w:lineRule="auto"/>
              <w:ind w:firstLine="480" w:firstLineChars="200"/>
              <w:jc w:val="center"/>
              <w:rPr>
                <w:rFonts w:ascii="宋体" w:cs="微软雅黑"/>
                <w:snapToGrid w:val="0"/>
                <w:kern w:val="0"/>
                <w:sz w:val="24"/>
                <w:szCs w:val="24"/>
              </w:rPr>
            </w:pPr>
          </w:p>
        </w:tc>
      </w:tr>
    </w:tbl>
    <w:p>
      <w:pPr>
        <w:pStyle w:val="2312"/>
        <w:spacing w:line="360" w:lineRule="auto"/>
        <w:ind w:firstLine="480" w:firstLineChars="200"/>
        <w:rPr>
          <w:rFonts w:ascii="宋体" w:eastAsia="宋体"/>
          <w:color w:val="000000"/>
          <w:sz w:val="24"/>
          <w:szCs w:val="24"/>
        </w:rPr>
      </w:pPr>
      <w:r>
        <w:rPr>
          <w:rFonts w:ascii="宋体" w:eastAsia="宋体" w:hint="eastAsia"/>
          <w:color w:val="000000"/>
          <w:sz w:val="24"/>
          <w:szCs w:val="24"/>
        </w:rPr>
        <w:t>（二）履约保证金以银行保函、银行电汇向甲方提供。</w:t>
      </w:r>
    </w:p>
    <w:p>
      <w:pPr>
        <w:pStyle w:val="2105"/>
        <w:spacing w:line="360" w:lineRule="auto"/>
        <w:ind w:firstLine="480" w:firstLineChars="200"/>
        <w:rPr>
          <w:rFonts w:ascii="宋体" w:eastAsia="宋体"/>
          <w:color w:val="000000"/>
          <w:sz w:val="24"/>
          <w:szCs w:val="24"/>
        </w:rPr>
      </w:pPr>
      <w:r>
        <w:rPr>
          <w:rFonts w:ascii="宋体" w:eastAsia="宋体" w:hint="eastAsia"/>
          <w:color w:val="000000"/>
          <w:sz w:val="24"/>
          <w:szCs w:val="24"/>
        </w:rPr>
        <w:t>（三）履约保证金有效期：合同签订至安装调试验收合格。</w:t>
      </w:r>
      <w:r>
        <w:rPr>
          <w:rFonts w:hint="eastAsia"/>
          <w:i/>
          <w:sz w:val="24"/>
          <w:szCs w:val="24"/>
        </w:rPr>
        <w:t>（或合同签订至售后服务期截止后</w:t>
      </w:r>
      <w:r>
        <w:rPr>
          <w:i/>
          <w:sz w:val="24"/>
          <w:szCs w:val="24"/>
        </w:rPr>
        <w:t>3</w:t>
      </w:r>
      <w:r>
        <w:rPr>
          <w:rFonts w:hint="eastAsia"/>
          <w:i/>
          <w:sz w:val="24"/>
          <w:szCs w:val="24"/>
        </w:rPr>
        <w:t>个月）</w:t>
      </w:r>
    </w:p>
    <w:p>
      <w:pPr>
        <w:pStyle w:val="50100"/>
        <w:spacing w:line="360" w:lineRule="auto"/>
        <w:ind w:firstLine="480" w:firstLineChars="200"/>
        <w:rPr>
          <w:rFonts w:ascii="宋体"/>
          <w:color w:val="000000"/>
          <w:sz w:val="24"/>
        </w:rPr>
      </w:pPr>
      <w:r>
        <w:rPr>
          <w:rFonts w:ascii="宋体" w:hint="eastAsia"/>
          <w:color w:val="000000"/>
          <w:sz w:val="24"/>
        </w:rPr>
        <w:t>（四）如乙方未能履行合同规定的义务，甲方有权按照本合同的约定从履约保证金中进行相应扣除。乙方应在甲方扣除履约保证金之日起</w:t>
      </w:r>
      <w:r>
        <w:rPr>
          <w:rFonts w:ascii="宋体"/>
          <w:color w:val="000000"/>
          <w:sz w:val="24"/>
        </w:rPr>
        <w:t>10</w:t>
      </w:r>
      <w:r>
        <w:rPr>
          <w:rFonts w:ascii="宋体" w:hint="eastAsia"/>
          <w:color w:val="000000"/>
          <w:sz w:val="24"/>
        </w:rPr>
        <w:t>个工作日内，及时补充扣除部分金额。</w:t>
      </w:r>
    </w:p>
    <w:p>
      <w:pPr>
        <w:pStyle w:val="50100"/>
        <w:spacing w:line="360" w:lineRule="auto"/>
        <w:ind w:firstLine="480" w:firstLineChars="200"/>
        <w:rPr>
          <w:rFonts w:ascii="宋体"/>
          <w:color w:val="000000"/>
          <w:sz w:val="24"/>
        </w:rPr>
      </w:pPr>
      <w:r>
        <w:rPr>
          <w:rFonts w:ascii="宋体" w:hint="eastAsia"/>
          <w:color w:val="000000"/>
          <w:sz w:val="24"/>
        </w:rPr>
        <w:t>（五）如乙方不履行合同，或履行合同义务不符合约定使得合同目的不能实现，履约保证金不予退还。</w:t>
      </w:r>
    </w:p>
    <w:p>
      <w:pPr>
        <w:pStyle w:val="50100"/>
        <w:spacing w:line="360" w:lineRule="auto"/>
        <w:ind w:firstLine="480" w:firstLineChars="200"/>
        <w:rPr>
          <w:rFonts w:ascii="宋体"/>
          <w:color w:val="000000"/>
          <w:sz w:val="24"/>
        </w:rPr>
      </w:pPr>
      <w:r>
        <w:rPr>
          <w:rFonts w:ascii="宋体" w:hint="eastAsia"/>
          <w:color w:val="000000"/>
          <w:sz w:val="24"/>
        </w:rPr>
        <w:t>（六）履约保证金在有效期满后，甲方凭乙方提交退款申请，</w:t>
      </w:r>
      <w:r>
        <w:rPr>
          <w:rFonts w:ascii="宋体"/>
          <w:color w:val="000000"/>
          <w:sz w:val="24"/>
        </w:rPr>
        <w:t>15</w:t>
      </w:r>
      <w:r>
        <w:rPr>
          <w:rFonts w:ascii="宋体" w:hint="eastAsia"/>
          <w:color w:val="000000"/>
          <w:sz w:val="24"/>
        </w:rPr>
        <w:t>个工作日内无息退还。</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第五条</w:t>
      </w:r>
      <w:r>
        <w:rPr>
          <w:rFonts w:ascii="宋体"/>
          <w:b/>
          <w:bCs/>
          <w:color w:val="000000"/>
          <w:sz w:val="24"/>
        </w:rPr>
        <w:t xml:space="preserve"> </w:t>
      </w:r>
      <w:r>
        <w:rPr>
          <w:rFonts w:ascii="宋体" w:hint="eastAsia"/>
          <w:b/>
          <w:bCs/>
          <w:color w:val="000000"/>
          <w:sz w:val="24"/>
        </w:rPr>
        <w:t>包装</w:t>
      </w:r>
    </w:p>
    <w:p>
      <w:pPr>
        <w:pStyle w:val="9012"/>
        <w:spacing w:line="360" w:lineRule="auto"/>
        <w:ind w:firstLine="480" w:firstLineChars="200"/>
        <w:rPr>
          <w:rFonts w:ascii="宋体" w:eastAsia="宋体"/>
          <w:color w:val="000000"/>
          <w:sz w:val="24"/>
          <w:szCs w:val="24"/>
        </w:rPr>
      </w:pPr>
      <w:r>
        <w:rPr>
          <w:rFonts w:ascii="宋体" w:eastAsia="宋体" w:hint="eastAsia"/>
          <w:color w:val="000000"/>
          <w:sz w:val="24"/>
          <w:szCs w:val="24"/>
        </w:rPr>
        <w:t>（一）除合同另有规定外，乙方提供的全部货物均应按标准</w:t>
      </w:r>
      <w:r>
        <w:rPr>
          <w:rFonts w:ascii="宋体" w:eastAsia="宋体" w:hint="eastAsia"/>
          <w:snapToGrid w:val="0"/>
          <w:color w:val="000000"/>
          <w:kern w:val="0"/>
          <w:sz w:val="24"/>
          <w:szCs w:val="24"/>
        </w:rPr>
        <w:t>保护措施进行包装，这类包装应适应于远距离运输、防潮、防震、</w:t>
      </w:r>
      <w:r>
        <w:rPr>
          <w:rFonts w:ascii="宋体" w:eastAsia="宋体" w:hint="eastAsia"/>
          <w:color w:val="000000"/>
          <w:sz w:val="24"/>
          <w:szCs w:val="24"/>
        </w:rPr>
        <w:t>防锈和防野蛮装卸，以确保货物安全无损运抵指定交货地点。</w:t>
      </w:r>
    </w:p>
    <w:p>
      <w:pPr>
        <w:pStyle w:val="9012"/>
        <w:spacing w:line="360" w:lineRule="auto"/>
        <w:ind w:firstLine="480" w:firstLineChars="200"/>
        <w:rPr>
          <w:rFonts w:ascii="宋体" w:eastAsia="宋体"/>
          <w:color w:val="000000"/>
          <w:sz w:val="24"/>
          <w:szCs w:val="24"/>
        </w:rPr>
      </w:pPr>
      <w:r>
        <w:rPr>
          <w:rFonts w:ascii="宋体" w:eastAsia="宋体" w:hint="eastAsia"/>
          <w:color w:val="000000"/>
          <w:sz w:val="24"/>
          <w:szCs w:val="24"/>
        </w:rPr>
        <w:t>（二）乙方应在包装箱外标明合同名称、合同编号、产品名称、型号，包装箱内随附一份详细装箱单和质量证书。</w:t>
      </w:r>
    </w:p>
    <w:p>
      <w:pPr>
        <w:pStyle w:val="50100"/>
        <w:spacing w:line="360" w:lineRule="auto"/>
        <w:ind w:firstLine="480" w:firstLineChars="200"/>
        <w:rPr>
          <w:rFonts w:ascii="宋体"/>
          <w:color w:val="000000"/>
          <w:sz w:val="24"/>
        </w:rPr>
      </w:pPr>
      <w:r>
        <w:rPr>
          <w:rFonts w:ascii="宋体" w:hint="eastAsia"/>
          <w:color w:val="000000"/>
          <w:sz w:val="24"/>
        </w:rPr>
        <w:t>（三）乙方应承担由于其包装或防护措施不当而引起的货物损坏和丢失的任何损失责任和费用。</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第六条</w:t>
      </w:r>
      <w:r>
        <w:rPr>
          <w:rFonts w:ascii="宋体"/>
          <w:b/>
          <w:bCs/>
          <w:color w:val="000000"/>
          <w:sz w:val="24"/>
        </w:rPr>
        <w:t xml:space="preserve"> </w:t>
      </w:r>
      <w:r>
        <w:rPr>
          <w:rFonts w:ascii="宋体" w:hint="eastAsia"/>
          <w:b/>
          <w:bCs/>
          <w:color w:val="000000"/>
          <w:sz w:val="24"/>
        </w:rPr>
        <w:t>交货时间、地点、交货方法（运输方式）</w:t>
      </w:r>
    </w:p>
    <w:p>
      <w:pPr>
        <w:pStyle w:val="9311"/>
        <w:spacing w:line="360" w:lineRule="auto"/>
        <w:ind w:firstLine="480" w:firstLineChars="200"/>
        <w:rPr>
          <w:rFonts w:ascii="宋体" w:eastAsia="宋体"/>
          <w:color w:val="000000"/>
          <w:sz w:val="24"/>
          <w:szCs w:val="24"/>
        </w:rPr>
      </w:pPr>
      <w:r>
        <w:rPr>
          <w:rFonts w:ascii="宋体" w:eastAsia="宋体" w:hint="eastAsia"/>
          <w:color w:val="000000"/>
          <w:sz w:val="24"/>
          <w:szCs w:val="24"/>
        </w:rPr>
        <w:t>（一</w:t>
      </w:r>
      <w:r>
        <w:rPr>
          <w:rFonts w:ascii="宋体" w:eastAsia="宋体" w:hint="eastAsia"/>
          <w:snapToGrid w:val="0"/>
          <w:color w:val="000000"/>
          <w:kern w:val="0"/>
          <w:sz w:val="24"/>
          <w:szCs w:val="24"/>
        </w:rPr>
        <w:t>）交</w:t>
      </w:r>
      <w:r>
        <w:rPr>
          <w:rFonts w:ascii="宋体" w:eastAsia="宋体" w:hint="eastAsia"/>
          <w:color w:val="000000"/>
          <w:sz w:val="24"/>
          <w:szCs w:val="24"/>
        </w:rPr>
        <w:t>货时间：合同签订后</w:t>
      </w:r>
      <w:r>
        <w:rPr>
          <w:rFonts w:ascii="宋体" w:eastAsia="宋体"/>
          <w:color w:val="000000"/>
          <w:sz w:val="24"/>
          <w:szCs w:val="24"/>
        </w:rPr>
        <w:t xml:space="preserve"> </w:t>
      </w:r>
      <w:r>
        <w:rPr>
          <w:rFonts w:ascii="宋体" w:eastAsia="宋体"/>
          <w:color w:val="000000"/>
          <w:sz w:val="24"/>
          <w:szCs w:val="24"/>
          <w:u w:val="single"/>
        </w:rPr>
        <w:t xml:space="preserve">   </w:t>
      </w:r>
      <w:r>
        <w:rPr>
          <w:rFonts w:ascii="宋体" w:eastAsia="宋体"/>
          <w:color w:val="000000"/>
          <w:sz w:val="24"/>
          <w:szCs w:val="24"/>
        </w:rPr>
        <w:t xml:space="preserve"> </w:t>
      </w:r>
      <w:r>
        <w:rPr>
          <w:rFonts w:ascii="宋体" w:eastAsia="宋体" w:hint="eastAsia"/>
          <w:color w:val="000000"/>
          <w:sz w:val="24"/>
          <w:szCs w:val="24"/>
        </w:rPr>
        <w:t>日内完成交货安装。</w:t>
      </w:r>
    </w:p>
    <w:p>
      <w:pPr>
        <w:pStyle w:val="9412"/>
        <w:spacing w:line="360" w:lineRule="auto"/>
        <w:ind w:firstLine="480" w:firstLineChars="200"/>
        <w:rPr>
          <w:rFonts w:ascii="宋体" w:eastAsia="宋体"/>
          <w:color w:val="000000"/>
          <w:sz w:val="24"/>
          <w:szCs w:val="24"/>
        </w:rPr>
      </w:pPr>
      <w:r>
        <w:rPr>
          <w:rFonts w:ascii="宋体" w:eastAsia="宋体" w:hint="eastAsia"/>
          <w:color w:val="000000"/>
          <w:sz w:val="24"/>
          <w:szCs w:val="24"/>
        </w:rPr>
        <w:t>（二）交货地点：分配清单指定地点，详见附件。</w:t>
      </w:r>
    </w:p>
    <w:p>
      <w:pPr>
        <w:pStyle w:val="3211"/>
        <w:spacing w:line="360" w:lineRule="auto"/>
        <w:ind w:firstLine="480" w:firstLineChars="200"/>
        <w:rPr>
          <w:rFonts w:ascii="宋体" w:eastAsia="宋体"/>
          <w:color w:val="000000"/>
          <w:sz w:val="24"/>
          <w:szCs w:val="24"/>
        </w:rPr>
      </w:pPr>
      <w:r>
        <w:rPr>
          <w:rFonts w:ascii="宋体" w:eastAsia="宋体" w:hint="eastAsia"/>
          <w:color w:val="000000"/>
          <w:sz w:val="24"/>
          <w:szCs w:val="24"/>
        </w:rPr>
        <w:t>（三）交货方法：由乙方负责采用适合的交通工具将采购货物及其附件运至交货现场并按甲方要求完成卸货，以双方签署设备到货验收签收单为准，交货时应一并交付货物的有关单证。货物从生产厂运至甲方指定地点的运输、劳务及相关保险的办理由乙方负责并承担相应费用。</w:t>
      </w:r>
    </w:p>
    <w:p>
      <w:pPr>
        <w:pStyle w:val="1813"/>
        <w:spacing w:line="360" w:lineRule="auto"/>
        <w:ind w:firstLine="480" w:firstLineChars="200"/>
        <w:rPr>
          <w:rFonts w:ascii="宋体" w:eastAsia="宋体"/>
          <w:color w:val="000000"/>
          <w:sz w:val="24"/>
          <w:szCs w:val="24"/>
        </w:rPr>
      </w:pPr>
      <w:r>
        <w:rPr>
          <w:rFonts w:ascii="宋体" w:eastAsia="宋体" w:hint="eastAsia"/>
          <w:color w:val="000000"/>
          <w:sz w:val="24"/>
          <w:szCs w:val="24"/>
        </w:rPr>
        <w:t>（四）风险责任承担：货物的风险责任和所有权在双方签署设备到货验收签收单及安装调试验收合格报告后由甲方承担和享有，此前的风险责任由乙方承担。</w:t>
      </w:r>
    </w:p>
    <w:p>
      <w:pPr>
        <w:pStyle w:val="212"/>
        <w:spacing w:line="360" w:lineRule="auto"/>
        <w:ind w:firstLine="480" w:firstLineChars="200"/>
        <w:outlineLvl w:val="0"/>
        <w:rPr>
          <w:rFonts w:ascii="宋体"/>
          <w:color w:val="000000"/>
          <w:sz w:val="24"/>
          <w:szCs w:val="24"/>
        </w:rPr>
      </w:pPr>
      <w:r>
        <w:rPr>
          <w:rFonts w:ascii="宋体" w:hint="eastAsia"/>
          <w:b/>
          <w:bCs/>
          <w:color w:val="000000"/>
          <w:sz w:val="24"/>
          <w:szCs w:val="24"/>
        </w:rPr>
        <w:t>第七条</w:t>
      </w:r>
      <w:r>
        <w:rPr>
          <w:rFonts w:ascii="宋体"/>
          <w:b/>
          <w:bCs/>
          <w:color w:val="000000"/>
          <w:sz w:val="24"/>
          <w:szCs w:val="24"/>
        </w:rPr>
        <w:t xml:space="preserve"> </w:t>
      </w:r>
      <w:r>
        <w:rPr>
          <w:rFonts w:ascii="宋体" w:hint="eastAsia"/>
          <w:b/>
          <w:bCs/>
          <w:color w:val="000000"/>
          <w:sz w:val="24"/>
          <w:szCs w:val="24"/>
        </w:rPr>
        <w:t>货物验收</w:t>
      </w:r>
    </w:p>
    <w:p>
      <w:pPr>
        <w:pStyle w:val="3"/>
        <w:ind w:firstLine="480" w:firstLineChars="200"/>
        <w:rPr>
          <w:rFonts w:ascii="宋体"/>
          <w:color w:val="000000"/>
          <w:sz w:val="24"/>
          <w:szCs w:val="24"/>
          <w:lang w:eastAsia="zh-CN"/>
        </w:rPr>
      </w:pPr>
      <w:r>
        <w:rPr>
          <w:rFonts w:ascii="宋体" w:hint="eastAsia"/>
          <w:color w:val="000000"/>
          <w:sz w:val="24"/>
          <w:szCs w:val="24"/>
          <w:lang w:eastAsia="zh-CN"/>
        </w:rPr>
        <w:t>（一）货物运至甲方指定地点后，由甲乙双方指派人员按照本合同规定对货物进行验收，乙方应提供交货清单等文件供甲方审查，甲方将按合同清单进行规格、数量、外观的检查。</w:t>
      </w:r>
    </w:p>
    <w:p>
      <w:pPr>
        <w:pStyle w:val="11412"/>
        <w:spacing w:line="360" w:lineRule="auto"/>
        <w:ind w:firstLine="480" w:firstLineChars="200"/>
        <w:rPr>
          <w:rFonts w:ascii="宋体" w:eastAsia="宋体"/>
          <w:color w:val="000000"/>
          <w:sz w:val="24"/>
          <w:szCs w:val="24"/>
        </w:rPr>
      </w:pPr>
      <w:r>
        <w:rPr>
          <w:rFonts w:ascii="宋体" w:eastAsia="宋体" w:hint="eastAsia"/>
          <w:color w:val="000000"/>
          <w:sz w:val="24"/>
          <w:szCs w:val="24"/>
        </w:rPr>
        <w:t>（二）收货后</w:t>
      </w:r>
      <w:r>
        <w:rPr>
          <w:rFonts w:ascii="宋体" w:eastAsia="宋体"/>
          <w:color w:val="000000"/>
          <w:sz w:val="24"/>
          <w:szCs w:val="24"/>
          <w:u w:val="single"/>
        </w:rPr>
        <w:t xml:space="preserve">   </w:t>
      </w:r>
      <w:r>
        <w:rPr>
          <w:rFonts w:ascii="宋体" w:eastAsia="宋体" w:hint="eastAsia"/>
          <w:color w:val="000000"/>
          <w:sz w:val="24"/>
          <w:szCs w:val="24"/>
        </w:rPr>
        <w:t>个工作日内甲乙双方进行到货验收工作。如验收合格，甲方应及时履行验收手续，双方签署设备到货验收签收单；如验收不合格，甲方应以书面形式通知乙方原因，乙方收到通知后</w:t>
      </w:r>
      <w:r>
        <w:rPr>
          <w:rFonts w:ascii="宋体" w:eastAsia="宋体"/>
          <w:color w:val="000000"/>
          <w:sz w:val="24"/>
          <w:szCs w:val="24"/>
          <w:u w:val="single"/>
        </w:rPr>
        <w:t xml:space="preserve">   </w:t>
      </w:r>
      <w:r>
        <w:rPr>
          <w:rFonts w:ascii="宋体" w:eastAsia="宋体" w:hint="eastAsia"/>
          <w:color w:val="000000"/>
          <w:sz w:val="24"/>
          <w:szCs w:val="24"/>
        </w:rPr>
        <w:t>个工作日内提供解决方案。</w:t>
      </w:r>
    </w:p>
    <w:p>
      <w:pPr>
        <w:pStyle w:val="3"/>
        <w:ind w:firstLine="480" w:firstLineChars="200"/>
        <w:rPr>
          <w:rFonts w:ascii="宋体"/>
          <w:color w:val="000000"/>
          <w:sz w:val="24"/>
          <w:szCs w:val="24"/>
          <w:lang w:eastAsia="zh-CN"/>
        </w:rPr>
      </w:pPr>
      <w:r>
        <w:rPr>
          <w:rFonts w:ascii="宋体" w:hint="eastAsia"/>
          <w:color w:val="000000"/>
          <w:sz w:val="24"/>
          <w:szCs w:val="24"/>
          <w:lang w:eastAsia="zh-CN"/>
        </w:rPr>
        <w:t>（三）在验收工作中，发现数量不足或有质量、技术等问题，乙方应按照合同要求采取补足、更换或退货等处理措施，并承担由此发生的一切费用和损失。</w:t>
      </w:r>
    </w:p>
    <w:p>
      <w:pPr>
        <w:pStyle w:val="3"/>
        <w:ind w:firstLine="480" w:firstLineChars="200"/>
        <w:rPr>
          <w:rFonts w:ascii="宋体"/>
          <w:color w:val="000000"/>
          <w:sz w:val="24"/>
          <w:szCs w:val="24"/>
          <w:lang w:eastAsia="zh-CN"/>
        </w:rPr>
      </w:pPr>
      <w:r>
        <w:rPr>
          <w:rFonts w:ascii="宋体" w:hint="eastAsia"/>
          <w:color w:val="000000"/>
          <w:sz w:val="24"/>
          <w:szCs w:val="24"/>
          <w:lang w:eastAsia="zh-CN"/>
        </w:rPr>
        <w:t>（四）涉及设备安装调试的，乙方负责在甲方配合下完成所供设备安装调试并保证与用户原有设备互联互通，有关技术问题由乙方和制造商协同解决。安装调试后，双方签署设备安装调试验收报告。有关安装调试服务详见附件实施方案。</w:t>
      </w:r>
    </w:p>
    <w:p>
      <w:pPr>
        <w:pStyle w:val="8102"/>
        <w:spacing w:line="360" w:lineRule="auto"/>
        <w:ind w:firstLine="480" w:firstLineChars="200"/>
        <w:rPr>
          <w:rFonts w:ascii="宋体" w:eastAsia="宋体"/>
          <w:color w:val="000000"/>
          <w:sz w:val="24"/>
          <w:szCs w:val="24"/>
        </w:rPr>
      </w:pPr>
      <w:r>
        <w:rPr>
          <w:rFonts w:ascii="宋体" w:eastAsia="宋体" w:hint="eastAsia"/>
          <w:color w:val="000000"/>
          <w:sz w:val="24"/>
          <w:szCs w:val="24"/>
        </w:rPr>
        <w:t>（五）合同项下货物生产期间，</w:t>
      </w:r>
      <w:r>
        <w:rPr>
          <w:rFonts w:ascii="宋体" w:eastAsia="宋体" w:hint="eastAsia"/>
          <w:color w:val="000000"/>
          <w:sz w:val="24"/>
          <w:szCs w:val="24"/>
          <w:highlight w:val="yellow"/>
        </w:rPr>
        <w:t>甲方有权派工作人员到生产厂进行监造、现场抽样和出厂前验核</w:t>
      </w:r>
      <w:r>
        <w:rPr>
          <w:rFonts w:ascii="宋体" w:eastAsia="宋体" w:hint="eastAsia"/>
          <w:color w:val="000000"/>
          <w:sz w:val="24"/>
          <w:szCs w:val="24"/>
        </w:rPr>
        <w:t>。</w:t>
      </w:r>
      <w:r>
        <w:rPr>
          <w:rFonts w:hint="eastAsia"/>
          <w:i/>
          <w:sz w:val="24"/>
          <w:szCs w:val="24"/>
        </w:rPr>
        <w:t>（如标黄内容无法实现，建议删除此项要求）</w:t>
      </w:r>
      <w:r>
        <w:rPr>
          <w:rFonts w:ascii="宋体" w:eastAsia="宋体" w:hint="eastAsia"/>
          <w:color w:val="000000"/>
          <w:sz w:val="24"/>
          <w:szCs w:val="24"/>
        </w:rPr>
        <w:t>此次验核不代表甲方对货物的最终验收。期间相关费用，包括技术交流和技术材料费等由乙方负担。</w:t>
      </w:r>
    </w:p>
    <w:p>
      <w:pPr>
        <w:pStyle w:val="3"/>
        <w:ind w:firstLine="480" w:firstLineChars="200"/>
        <w:rPr>
          <w:rFonts w:ascii="宋体"/>
          <w:color w:val="000000"/>
          <w:sz w:val="24"/>
          <w:szCs w:val="24"/>
          <w:lang w:eastAsia="zh-CN"/>
        </w:rPr>
      </w:pPr>
      <w:r>
        <w:rPr>
          <w:rFonts w:ascii="宋体" w:hint="eastAsia"/>
          <w:color w:val="000000"/>
          <w:sz w:val="24"/>
          <w:szCs w:val="24"/>
          <w:lang w:eastAsia="zh-CN"/>
        </w:rPr>
        <w:t>（六）为验核货物内在功能是否完备，甲方有权组织对货物进行随机抽样，并委托有关检测单位进行检测，该检测结果将作为货物质量的评判依据，相关送检和检测费用由乙方承担。如检测指标不符合招标文件、投标文件要求的，甲方有权拒收全部此类货物，乙方应按照甲方要求无条件对拒收货物进行更换，并承担由此给甲方造成的工期延误等损失（甲方损失包括但不限于直接损失、间接损失及甲方维权费用，如仲裁费、保全费、保全保险费、律师费、鉴定费、公证费等，下同）。对乙方可能涉嫌提供虚假材料或虚假响应的行为，甲方有权依法向监管部门反映并追究乙方法律责任。</w:t>
      </w:r>
    </w:p>
    <w:p>
      <w:pPr>
        <w:pStyle w:val="10912"/>
        <w:spacing w:line="360" w:lineRule="auto"/>
        <w:ind w:firstLine="480" w:firstLineChars="200"/>
        <w:rPr>
          <w:rFonts w:ascii="宋体" w:eastAsia="宋体"/>
          <w:color w:val="000000"/>
          <w:sz w:val="24"/>
          <w:szCs w:val="24"/>
        </w:rPr>
      </w:pPr>
      <w:r>
        <w:rPr>
          <w:rFonts w:ascii="宋体" w:eastAsia="宋体" w:hint="eastAsia"/>
          <w:color w:val="000000"/>
          <w:sz w:val="24"/>
          <w:szCs w:val="24"/>
        </w:rPr>
        <w:t>（七）甲方认为必要时，对大型或者复杂的货物采购项目，可以邀请国家认可的质量检测机构参加验收工作，相关验收意见作为验收报告的参考资料，相关费用由乙方承担。</w:t>
      </w:r>
    </w:p>
    <w:p>
      <w:pPr>
        <w:pStyle w:val="10912"/>
        <w:spacing w:line="360" w:lineRule="auto"/>
        <w:ind w:firstLine="480" w:firstLineChars="200"/>
        <w:rPr>
          <w:rFonts w:ascii="宋体" w:eastAsia="宋体"/>
          <w:color w:val="000000"/>
          <w:sz w:val="24"/>
          <w:szCs w:val="24"/>
        </w:rPr>
      </w:pPr>
      <w:r>
        <w:rPr>
          <w:rFonts w:ascii="宋体" w:eastAsia="宋体" w:hint="eastAsia"/>
          <w:color w:val="000000"/>
          <w:sz w:val="24"/>
          <w:szCs w:val="24"/>
        </w:rPr>
        <w:t>（八）验收标准以双方达成的对质量和技术标准的约定、乙方承诺的质量和技术标准、国家或行业规定的相关质量和技术标准中最高者为准，且应充分满足甲方使用要求。</w:t>
      </w:r>
    </w:p>
    <w:p>
      <w:pPr>
        <w:pStyle w:val="3"/>
        <w:ind w:firstLine="480" w:firstLineChars="200"/>
        <w:outlineLvl w:val="0"/>
        <w:rPr>
          <w:rFonts w:ascii="宋体"/>
          <w:color w:val="000000"/>
          <w:sz w:val="24"/>
          <w:szCs w:val="24"/>
          <w:lang w:eastAsia="zh-CN"/>
        </w:rPr>
      </w:pPr>
      <w:r>
        <w:rPr>
          <w:rFonts w:ascii="宋体" w:hint="eastAsia"/>
          <w:b/>
          <w:bCs/>
          <w:color w:val="000000"/>
          <w:sz w:val="24"/>
          <w:szCs w:val="24"/>
          <w:lang w:eastAsia="zh-CN"/>
        </w:rPr>
        <w:t>第八条</w:t>
      </w:r>
      <w:r>
        <w:rPr>
          <w:rFonts w:ascii="宋体"/>
          <w:b/>
          <w:bCs/>
          <w:color w:val="000000"/>
          <w:sz w:val="24"/>
          <w:szCs w:val="24"/>
          <w:lang w:eastAsia="zh-CN"/>
        </w:rPr>
        <w:t xml:space="preserve"> </w:t>
      </w:r>
      <w:r>
        <w:rPr>
          <w:rFonts w:ascii="宋体" w:hint="eastAsia"/>
          <w:b/>
          <w:bCs/>
          <w:color w:val="000000"/>
          <w:sz w:val="24"/>
          <w:szCs w:val="24"/>
          <w:lang w:eastAsia="zh-CN"/>
        </w:rPr>
        <w:t>质量保证</w:t>
      </w:r>
    </w:p>
    <w:p>
      <w:pPr>
        <w:pStyle w:val="50100"/>
        <w:spacing w:line="360" w:lineRule="auto"/>
        <w:ind w:firstLine="480" w:firstLineChars="200"/>
        <w:rPr>
          <w:rFonts w:ascii="宋体"/>
          <w:color w:val="000000"/>
          <w:sz w:val="24"/>
        </w:rPr>
      </w:pPr>
      <w:r>
        <w:rPr>
          <w:rFonts w:ascii="宋体" w:hint="eastAsia"/>
          <w:color w:val="000000"/>
          <w:sz w:val="24"/>
        </w:rPr>
        <w:t>（一）乙方应保证所供货物为</w:t>
      </w:r>
      <w:r>
        <w:rPr>
          <w:rFonts w:ascii="宋体"/>
          <w:color w:val="000000"/>
          <w:sz w:val="24"/>
          <w:u w:val="single"/>
        </w:rPr>
        <w:t xml:space="preserve">      </w:t>
      </w:r>
      <w:r>
        <w:rPr>
          <w:rFonts w:ascii="宋体" w:hint="eastAsia"/>
          <w:color w:val="000000"/>
          <w:sz w:val="24"/>
        </w:rPr>
        <w:t>公司制造生产、原包装、全新未使用过的产品，与投标文件承诺一致，并完全符合或高于合同要求的质量、规格和技术性能。</w:t>
      </w:r>
    </w:p>
    <w:p>
      <w:pPr>
        <w:pStyle w:val="50100"/>
        <w:spacing w:line="360" w:lineRule="auto"/>
        <w:ind w:firstLine="480" w:firstLineChars="200"/>
        <w:rPr>
          <w:rFonts w:ascii="宋体"/>
          <w:color w:val="000000"/>
          <w:sz w:val="24"/>
        </w:rPr>
      </w:pPr>
      <w:r>
        <w:rPr>
          <w:rFonts w:ascii="宋体" w:hint="eastAsia"/>
          <w:color w:val="000000"/>
          <w:sz w:val="24"/>
        </w:rPr>
        <w:t>（二）乙方应保证所供货物没有因乙方的行为或疏忽而产生材料或工艺上的缺陷，并保证其货物在正确安装、正常使用和保养条件下，在其使用寿命期内具有满意的性能。在货物最终交付验收后不少于合同规定的质量保证期内，本保证保持有效。</w:t>
      </w:r>
    </w:p>
    <w:p>
      <w:pPr>
        <w:pStyle w:val="50100"/>
        <w:spacing w:line="360" w:lineRule="auto"/>
        <w:ind w:firstLine="480" w:firstLineChars="200"/>
        <w:rPr>
          <w:rFonts w:ascii="宋体"/>
          <w:color w:val="000000"/>
          <w:sz w:val="24"/>
        </w:rPr>
      </w:pPr>
      <w:r>
        <w:rPr>
          <w:rFonts w:ascii="宋体" w:hint="eastAsia"/>
          <w:color w:val="000000"/>
          <w:sz w:val="24"/>
        </w:rPr>
        <w:t>（三）如果乙方所供货物质量与合同不符，或证实所供货物是有缺陷的，包括潜在的缺陷或使用不符合要求的材料等，由此引起的全部损失及费用由乙方承担。若以上原因导致或引起甲方损失及导致或引起第三方受到损害的，全部赔偿责任均应由乙方承担。</w:t>
      </w:r>
    </w:p>
    <w:p>
      <w:pPr>
        <w:pStyle w:val="50100"/>
        <w:spacing w:line="360" w:lineRule="auto"/>
        <w:ind w:firstLine="480" w:firstLineChars="200"/>
        <w:rPr>
          <w:rFonts w:ascii="宋体"/>
          <w:color w:val="000000"/>
          <w:sz w:val="24"/>
        </w:rPr>
      </w:pPr>
      <w:r>
        <w:rPr>
          <w:rFonts w:ascii="宋体" w:hint="eastAsia"/>
          <w:color w:val="000000"/>
          <w:sz w:val="24"/>
        </w:rPr>
        <w:t>（四）在质量保证期内所发现的缺陷，甲方应尽快以书面形式通知乙方。乙方收到通知后应在</w:t>
      </w:r>
      <w:r>
        <w:rPr>
          <w:rFonts w:ascii="宋体"/>
          <w:color w:val="000000"/>
          <w:sz w:val="24"/>
        </w:rPr>
        <w:t>10</w:t>
      </w:r>
      <w:r>
        <w:rPr>
          <w:rFonts w:ascii="宋体" w:hint="eastAsia"/>
          <w:color w:val="000000"/>
          <w:sz w:val="24"/>
        </w:rPr>
        <w:t>日内免费完成维修或更换有缺陷的货物或部件的工作。</w:t>
      </w:r>
    </w:p>
    <w:p>
      <w:pPr>
        <w:pStyle w:val="50100"/>
        <w:spacing w:line="360" w:lineRule="auto"/>
        <w:ind w:firstLine="480" w:firstLineChars="200"/>
        <w:rPr>
          <w:rFonts w:ascii="宋体"/>
          <w:color w:val="000000"/>
          <w:sz w:val="24"/>
        </w:rPr>
      </w:pPr>
      <w:r>
        <w:rPr>
          <w:rFonts w:ascii="宋体" w:hint="eastAsia"/>
          <w:color w:val="000000"/>
          <w:sz w:val="24"/>
        </w:rPr>
        <w:t>（五）乙方在约定的时间内未能弥补缺陷，甲方可采取必要的补救措施，但其风险和费用将由乙方承担，甲方根据合同规定对乙方行使的其他权利不受影响。</w:t>
      </w:r>
    </w:p>
    <w:p>
      <w:pPr>
        <w:pStyle w:val="50100"/>
        <w:spacing w:line="360" w:lineRule="auto"/>
        <w:ind w:firstLine="480" w:firstLineChars="200"/>
        <w:rPr>
          <w:rFonts w:ascii="宋体"/>
          <w:color w:val="000000"/>
          <w:sz w:val="24"/>
        </w:rPr>
      </w:pPr>
      <w:r>
        <w:rPr>
          <w:rFonts w:ascii="宋体" w:hint="eastAsia"/>
          <w:color w:val="000000"/>
          <w:sz w:val="24"/>
        </w:rPr>
        <w:t>（六）本合同项目所有货物质量保证期为：自双方签署设备到货验收签收单及安装调试验收合格报告之日起计算</w:t>
      </w:r>
      <w:r>
        <w:rPr>
          <w:rFonts w:ascii="宋体"/>
          <w:color w:val="000000"/>
          <w:sz w:val="24"/>
          <w:u w:val="single"/>
        </w:rPr>
        <w:t xml:space="preserve">       </w:t>
      </w:r>
      <w:r>
        <w:rPr>
          <w:rFonts w:ascii="宋体" w:hint="eastAsia"/>
          <w:color w:val="000000"/>
          <w:sz w:val="24"/>
        </w:rPr>
        <w:t>年。</w:t>
      </w:r>
    </w:p>
    <w:p>
      <w:pPr>
        <w:pStyle w:val="50100"/>
        <w:spacing w:line="360" w:lineRule="auto"/>
        <w:ind w:firstLine="480" w:firstLineChars="200"/>
        <w:rPr>
          <w:rFonts w:ascii="宋体"/>
          <w:color w:val="000000"/>
          <w:sz w:val="24"/>
        </w:rPr>
      </w:pPr>
      <w:r>
        <w:rPr>
          <w:rFonts w:ascii="宋体" w:hint="eastAsia"/>
          <w:color w:val="000000"/>
          <w:sz w:val="24"/>
        </w:rPr>
        <w:t>（七）乙方保证具备履行本合同的资质和能力，履行本合同不得损害甲方及任意第三方的合法权益，遵守法律法规及监管要求。</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第九条</w:t>
      </w:r>
      <w:r>
        <w:rPr>
          <w:rFonts w:ascii="宋体"/>
          <w:b/>
          <w:bCs/>
          <w:color w:val="000000"/>
          <w:sz w:val="24"/>
        </w:rPr>
        <w:t xml:space="preserve"> </w:t>
      </w:r>
      <w:r>
        <w:rPr>
          <w:rFonts w:ascii="宋体" w:hint="eastAsia"/>
          <w:b/>
          <w:bCs/>
          <w:color w:val="000000"/>
          <w:sz w:val="24"/>
        </w:rPr>
        <w:t>培训</w:t>
      </w:r>
    </w:p>
    <w:p>
      <w:pPr>
        <w:pStyle w:val="50100"/>
        <w:spacing w:line="360" w:lineRule="auto"/>
        <w:ind w:firstLine="480" w:firstLineChars="200"/>
        <w:rPr>
          <w:rFonts w:ascii="宋体"/>
          <w:b/>
          <w:bCs/>
          <w:color w:val="000000"/>
          <w:sz w:val="24"/>
        </w:rPr>
      </w:pPr>
      <w:r>
        <w:rPr>
          <w:rFonts w:ascii="宋体" w:hint="eastAsia"/>
          <w:bCs/>
          <w:color w:val="000000"/>
          <w:sz w:val="24"/>
        </w:rPr>
        <w:t>本合同所包括的培训详见附件培训方案。</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第十条</w:t>
      </w:r>
      <w:r>
        <w:rPr>
          <w:rFonts w:ascii="宋体"/>
          <w:b/>
          <w:bCs/>
          <w:color w:val="000000"/>
          <w:sz w:val="24"/>
        </w:rPr>
        <w:t xml:space="preserve"> </w:t>
      </w:r>
      <w:r>
        <w:rPr>
          <w:rFonts w:ascii="宋体" w:hint="eastAsia"/>
          <w:b/>
          <w:bCs/>
          <w:color w:val="000000"/>
          <w:sz w:val="24"/>
        </w:rPr>
        <w:t>售后服务</w:t>
      </w:r>
    </w:p>
    <w:p>
      <w:pPr>
        <w:pStyle w:val="50100"/>
        <w:spacing w:line="360" w:lineRule="auto"/>
        <w:ind w:firstLine="480" w:firstLineChars="200"/>
        <w:rPr>
          <w:rFonts w:ascii="宋体"/>
          <w:color w:val="000000"/>
          <w:sz w:val="24"/>
        </w:rPr>
      </w:pPr>
      <w:r>
        <w:rPr>
          <w:rFonts w:ascii="宋体" w:hint="eastAsia"/>
          <w:color w:val="000000"/>
          <w:sz w:val="24"/>
        </w:rPr>
        <w:t>（一）供应商（制造商）在质量保证期内免费提供</w:t>
      </w:r>
      <w:r>
        <w:rPr>
          <w:rFonts w:ascii="宋体"/>
          <w:color w:val="000000"/>
          <w:sz w:val="24"/>
          <w:u w:val="single"/>
        </w:rPr>
        <w:t xml:space="preserve">    </w:t>
      </w:r>
      <w:r>
        <w:rPr>
          <w:rFonts w:ascii="宋体"/>
          <w:color w:val="000000"/>
          <w:sz w:val="24"/>
        </w:rPr>
        <w:t>*</w:t>
      </w:r>
      <w:r>
        <w:rPr>
          <w:rFonts w:ascii="宋体"/>
          <w:color w:val="000000"/>
          <w:sz w:val="24"/>
          <w:u w:val="single"/>
        </w:rPr>
        <w:t xml:space="preserve">   </w:t>
      </w:r>
      <w:r>
        <w:rPr>
          <w:rFonts w:ascii="宋体" w:hint="eastAsia"/>
          <w:color w:val="000000"/>
          <w:sz w:val="24"/>
        </w:rPr>
        <w:t>小时的技术支持与售后服务，提供专线电话支持服务，</w:t>
      </w:r>
      <w:r>
        <w:rPr>
          <w:rFonts w:ascii="宋体"/>
          <w:color w:val="000000"/>
          <w:sz w:val="24"/>
          <w:u w:val="single"/>
        </w:rPr>
        <w:t xml:space="preserve">    </w:t>
      </w:r>
      <w:r>
        <w:rPr>
          <w:rFonts w:ascii="宋体" w:hint="eastAsia"/>
          <w:color w:val="000000"/>
          <w:sz w:val="24"/>
        </w:rPr>
        <w:t>小时内响应，保证</w:t>
      </w:r>
      <w:r>
        <w:rPr>
          <w:rFonts w:ascii="宋体"/>
          <w:color w:val="000000"/>
          <w:sz w:val="24"/>
          <w:u w:val="single"/>
        </w:rPr>
        <w:t xml:space="preserve">     </w:t>
      </w:r>
      <w:r>
        <w:rPr>
          <w:rFonts w:ascii="宋体" w:hint="eastAsia"/>
          <w:color w:val="000000"/>
          <w:sz w:val="24"/>
        </w:rPr>
        <w:t>小时内到达现场并解决完毕故障。</w:t>
      </w:r>
    </w:p>
    <w:p>
      <w:pPr>
        <w:pStyle w:val="50100"/>
        <w:spacing w:line="360" w:lineRule="auto"/>
        <w:ind w:firstLine="480" w:firstLineChars="200"/>
        <w:rPr>
          <w:rFonts w:ascii="宋体"/>
          <w:color w:val="000000"/>
          <w:sz w:val="24"/>
        </w:rPr>
      </w:pPr>
      <w:r>
        <w:rPr>
          <w:rFonts w:ascii="宋体" w:hint="eastAsia"/>
          <w:color w:val="000000"/>
          <w:sz w:val="24"/>
        </w:rPr>
        <w:t>（二）本合同所包含的售后服务，包含制造商售后服务和代理商售后服务，具体见附件技术支持及售后服务方案。</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第十一条</w:t>
      </w:r>
      <w:r>
        <w:rPr>
          <w:rFonts w:ascii="宋体"/>
          <w:b/>
          <w:bCs/>
          <w:color w:val="000000"/>
          <w:sz w:val="24"/>
        </w:rPr>
        <w:t xml:space="preserve"> </w:t>
      </w:r>
      <w:r>
        <w:rPr>
          <w:rFonts w:ascii="宋体" w:hint="eastAsia"/>
          <w:b/>
          <w:bCs/>
          <w:color w:val="000000"/>
          <w:sz w:val="24"/>
        </w:rPr>
        <w:t>违约责任</w:t>
      </w:r>
    </w:p>
    <w:p>
      <w:pPr>
        <w:pStyle w:val="50100"/>
        <w:spacing w:line="360" w:lineRule="auto"/>
        <w:ind w:firstLine="480" w:firstLineChars="200"/>
        <w:rPr>
          <w:rFonts w:ascii="宋体"/>
          <w:color w:val="000000"/>
          <w:sz w:val="24"/>
        </w:rPr>
      </w:pPr>
      <w:r>
        <w:rPr>
          <w:rFonts w:ascii="宋体" w:hint="eastAsia"/>
          <w:color w:val="000000"/>
          <w:sz w:val="24"/>
        </w:rPr>
        <w:t>（一）因乙方原因未能按照本合同要求交付合格的货物或提供相关服务的违约责任。</w:t>
      </w:r>
    </w:p>
    <w:p>
      <w:pPr>
        <w:pStyle w:val="50100"/>
        <w:spacing w:line="360" w:lineRule="auto"/>
        <w:ind w:firstLine="480" w:firstLineChars="200"/>
        <w:rPr>
          <w:rFonts w:ascii="宋体"/>
          <w:color w:val="000000"/>
          <w:sz w:val="24"/>
        </w:rPr>
      </w:pPr>
      <w:r>
        <w:rPr>
          <w:rFonts w:ascii="宋体"/>
          <w:color w:val="000000"/>
          <w:sz w:val="24"/>
        </w:rPr>
        <w:t>1.</w:t>
      </w:r>
      <w:r>
        <w:rPr>
          <w:rFonts w:ascii="宋体" w:hint="eastAsia"/>
          <w:color w:val="000000"/>
          <w:sz w:val="24"/>
        </w:rPr>
        <w:t>对于货物被证实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pStyle w:val="50100"/>
        <w:spacing w:line="360" w:lineRule="auto"/>
        <w:ind w:firstLine="480" w:firstLineChars="200"/>
        <w:rPr>
          <w:rFonts w:ascii="宋体"/>
          <w:color w:val="000000"/>
          <w:sz w:val="24"/>
        </w:rPr>
      </w:pPr>
      <w:r>
        <w:rPr>
          <w:rFonts w:ascii="宋体" w:hint="eastAsia"/>
          <w:color w:val="000000"/>
          <w:sz w:val="24"/>
        </w:rPr>
        <w:t>（</w:t>
      </w:r>
      <w:r>
        <w:rPr>
          <w:rFonts w:ascii="宋体"/>
          <w:color w:val="000000"/>
          <w:sz w:val="24"/>
        </w:rPr>
        <w:t>1</w:t>
      </w:r>
      <w:r>
        <w:rPr>
          <w:rFonts w:ascii="宋体" w:hint="eastAsia"/>
          <w:color w:val="000000"/>
          <w:sz w:val="24"/>
        </w:rPr>
        <w:t>）退货：甲方将货物退回乙方，乙方将合同货款退还给甲方，并承担由此发生的一切损失和费用。</w:t>
      </w:r>
    </w:p>
    <w:p>
      <w:pPr>
        <w:pStyle w:val="50100"/>
        <w:spacing w:line="360" w:lineRule="auto"/>
        <w:ind w:firstLine="480" w:firstLineChars="200"/>
        <w:rPr>
          <w:rFonts w:ascii="宋体"/>
          <w:color w:val="000000"/>
          <w:sz w:val="24"/>
        </w:rPr>
      </w:pPr>
      <w:r>
        <w:rPr>
          <w:rFonts w:ascii="宋体" w:hint="eastAsia"/>
          <w:color w:val="000000"/>
          <w:sz w:val="24"/>
        </w:rPr>
        <w:t>（</w:t>
      </w:r>
      <w:r>
        <w:rPr>
          <w:rFonts w:ascii="宋体"/>
          <w:color w:val="000000"/>
          <w:sz w:val="24"/>
        </w:rPr>
        <w:t>2</w:t>
      </w:r>
      <w:r>
        <w:rPr>
          <w:rFonts w:ascii="宋体" w:hint="eastAsia"/>
          <w:color w:val="000000"/>
          <w:sz w:val="24"/>
        </w:rPr>
        <w:t>）退货重新制作：甲方将货物退回乙方，乙方按照技术标准要求重新制作，并承担由此发生的一切损失和费用。</w:t>
      </w:r>
    </w:p>
    <w:p>
      <w:pPr>
        <w:pStyle w:val="50100"/>
        <w:spacing w:line="360" w:lineRule="auto"/>
        <w:ind w:firstLine="480" w:firstLineChars="200"/>
        <w:rPr>
          <w:rFonts w:ascii="宋体"/>
          <w:color w:val="000000"/>
          <w:sz w:val="24"/>
        </w:rPr>
      </w:pPr>
      <w:r>
        <w:rPr>
          <w:rFonts w:ascii="宋体" w:hint="eastAsia"/>
          <w:color w:val="000000"/>
          <w:sz w:val="24"/>
        </w:rPr>
        <w:t>（</w:t>
      </w:r>
      <w:r>
        <w:rPr>
          <w:rFonts w:ascii="宋体"/>
          <w:color w:val="000000"/>
          <w:sz w:val="24"/>
        </w:rPr>
        <w:t>3</w:t>
      </w:r>
      <w:r>
        <w:rPr>
          <w:rFonts w:ascii="宋体" w:hint="eastAsia"/>
          <w:color w:val="000000"/>
          <w:sz w:val="24"/>
        </w:rPr>
        <w:t>）新货替换：乙方用满足技术标准要求的货物替换存在缺陷的产品，承担甲方蒙受的全部损失和费用，并承担由此引发的一切风险，且相应延长所换货物的质量保证期。</w:t>
      </w:r>
    </w:p>
    <w:p>
      <w:pPr>
        <w:pStyle w:val="50100"/>
        <w:spacing w:line="360" w:lineRule="auto"/>
        <w:ind w:firstLine="480" w:firstLineChars="200"/>
        <w:rPr>
          <w:rFonts w:ascii="宋体"/>
          <w:color w:val="000000"/>
          <w:sz w:val="24"/>
        </w:rPr>
      </w:pPr>
      <w:r>
        <w:rPr>
          <w:rFonts w:ascii="宋体"/>
          <w:color w:val="000000"/>
          <w:sz w:val="24"/>
        </w:rPr>
        <w:t>2.</w:t>
      </w:r>
      <w:r>
        <w:rPr>
          <w:rFonts w:ascii="宋体" w:hint="eastAsia"/>
          <w:bCs/>
          <w:color w:val="000000"/>
          <w:sz w:val="24"/>
        </w:rPr>
        <w:t>如果乙方</w:t>
      </w:r>
      <w:r>
        <w:rPr>
          <w:rFonts w:ascii="宋体" w:hint="eastAsia"/>
          <w:color w:val="000000"/>
          <w:sz w:val="24"/>
        </w:rPr>
        <w:t>未在甲方要求的</w:t>
      </w:r>
      <w:r>
        <w:rPr>
          <w:rFonts w:ascii="宋体"/>
          <w:color w:val="000000"/>
          <w:sz w:val="24"/>
        </w:rPr>
        <w:t>10</w:t>
      </w:r>
      <w:r>
        <w:rPr>
          <w:rFonts w:ascii="宋体" w:hint="eastAsia"/>
          <w:color w:val="000000"/>
          <w:sz w:val="24"/>
        </w:rPr>
        <w:t>日内或甲方同意的期限内，按照上述任何一种方式采取补救措施，甲方有权解除合同，扣除全部履约保证金并要求乙方退回甲方已支付的货款，并视损失情况根据《中华人民共和国民法典》有关规定追究其相关责任，赔偿甲方的全部损失。</w:t>
      </w:r>
    </w:p>
    <w:p>
      <w:pPr>
        <w:pStyle w:val="1302"/>
        <w:spacing w:line="360" w:lineRule="auto"/>
        <w:ind w:firstLine="480" w:firstLineChars="200"/>
        <w:rPr>
          <w:rFonts w:ascii="宋体" w:eastAsia="宋体"/>
          <w:color w:val="000000"/>
          <w:sz w:val="24"/>
          <w:szCs w:val="24"/>
        </w:rPr>
      </w:pPr>
      <w:r>
        <w:rPr>
          <w:rFonts w:ascii="宋体" w:eastAsia="宋体"/>
          <w:color w:val="000000"/>
          <w:sz w:val="24"/>
          <w:szCs w:val="24"/>
        </w:rPr>
        <w:t>3.</w:t>
      </w:r>
      <w:r>
        <w:rPr>
          <w:rFonts w:ascii="宋体" w:eastAsia="宋体" w:hint="eastAsia"/>
          <w:color w:val="000000"/>
          <w:sz w:val="24"/>
          <w:szCs w:val="24"/>
        </w:rPr>
        <w:t>对于未能按合同要求提供服务或被证实未提供应当承担的服务的，甲方有权要求限期整改。无合理理由不进行整改的视为根本违约。</w:t>
      </w:r>
    </w:p>
    <w:p>
      <w:pPr>
        <w:pStyle w:val="50100"/>
        <w:spacing w:line="360" w:lineRule="auto"/>
        <w:ind w:firstLine="480" w:firstLineChars="200"/>
        <w:rPr>
          <w:rFonts w:ascii="宋体"/>
          <w:color w:val="000000"/>
          <w:sz w:val="24"/>
        </w:rPr>
      </w:pPr>
      <w:r>
        <w:rPr>
          <w:rFonts w:ascii="宋体" w:hint="eastAsia"/>
          <w:color w:val="000000"/>
          <w:sz w:val="24"/>
        </w:rPr>
        <w:t>（二）乙方未按照本合同规定的时间交货和提供服务的违约责任。</w:t>
      </w:r>
    </w:p>
    <w:p>
      <w:pPr>
        <w:pStyle w:val="10113"/>
        <w:spacing w:line="360" w:lineRule="auto"/>
        <w:ind w:firstLine="480" w:firstLineChars="200"/>
        <w:rPr>
          <w:rFonts w:ascii="宋体" w:eastAsia="宋体"/>
          <w:color w:val="000000"/>
          <w:sz w:val="24"/>
          <w:szCs w:val="24"/>
        </w:rPr>
      </w:pPr>
      <w:r>
        <w:rPr>
          <w:rFonts w:ascii="宋体" w:eastAsia="宋体"/>
          <w:color w:val="000000"/>
          <w:sz w:val="24"/>
          <w:szCs w:val="24"/>
        </w:rPr>
        <w:t>1.</w:t>
      </w:r>
      <w:r>
        <w:rPr>
          <w:rFonts w:ascii="宋体" w:eastAsia="宋体" w:hint="eastAsia"/>
          <w:color w:val="000000"/>
          <w:sz w:val="24"/>
          <w:szCs w:val="24"/>
        </w:rPr>
        <w:t>在履行合同过程中，如果乙方遇到可能妨碍按时交货和提供服务的情形时，应及时以书面形式将延迟的事实、可能延迟的期限和理由通知甲方。甲方在收到乙方通知后，应尽快对情况进行评价，并确定是否同意延迟交货时间或延期提供服务，如甲方不同意延期，乙方仍应当按照约定的时间完成交货义务，如甲方同意延期，必须以双方签订的补充协议为准。</w:t>
      </w:r>
    </w:p>
    <w:p>
      <w:pPr>
        <w:pStyle w:val="10113"/>
        <w:spacing w:line="360" w:lineRule="auto"/>
        <w:ind w:firstLine="480" w:firstLineChars="200"/>
        <w:rPr>
          <w:rFonts w:ascii="宋体" w:eastAsia="宋体"/>
          <w:color w:val="000000"/>
          <w:sz w:val="24"/>
          <w:szCs w:val="24"/>
        </w:rPr>
      </w:pPr>
      <w:r>
        <w:rPr>
          <w:rFonts w:ascii="宋体" w:eastAsia="宋体"/>
          <w:color w:val="000000"/>
          <w:sz w:val="24"/>
          <w:szCs w:val="24"/>
        </w:rPr>
        <w:t>2.</w:t>
      </w:r>
      <w:r>
        <w:rPr>
          <w:rFonts w:ascii="宋体" w:eastAsia="宋体" w:hint="eastAsia"/>
          <w:color w:val="000000"/>
          <w:sz w:val="24"/>
          <w:szCs w:val="24"/>
        </w:rPr>
        <w:t>除甲乙双方另有约定外，如果乙方没有按照合同规定的时间交货和提供服务，甲方有权在不影响合同项下其他补救措施的情况下，要求乙方支付误期赔偿费，或从合同货款、履约保证金中扣除误期赔偿费。赔偿费以迟交货物价格或未提供服务费用为基数，按每周百分之零点五（</w:t>
      </w:r>
      <w:r>
        <w:rPr>
          <w:rFonts w:ascii="宋体" w:eastAsia="宋体"/>
          <w:color w:val="000000"/>
          <w:sz w:val="24"/>
          <w:szCs w:val="24"/>
        </w:rPr>
        <w:t>0.5%</w:t>
      </w:r>
      <w:r>
        <w:rPr>
          <w:rFonts w:ascii="宋体" w:eastAsia="宋体" w:hint="eastAsia"/>
          <w:color w:val="000000"/>
          <w:sz w:val="24"/>
          <w:szCs w:val="24"/>
        </w:rPr>
        <w:t>）的标准计收，直到交货或提供服务为止。一周按七（</w:t>
      </w:r>
      <w:r>
        <w:rPr>
          <w:rFonts w:ascii="宋体" w:eastAsia="宋体"/>
          <w:color w:val="000000"/>
          <w:sz w:val="24"/>
          <w:szCs w:val="24"/>
        </w:rPr>
        <w:t>7</w:t>
      </w:r>
      <w:r>
        <w:rPr>
          <w:rFonts w:ascii="宋体" w:eastAsia="宋体" w:hint="eastAsia"/>
          <w:color w:val="000000"/>
          <w:sz w:val="24"/>
          <w:szCs w:val="24"/>
        </w:rPr>
        <w:t>）天计算，不足七（</w:t>
      </w:r>
      <w:r>
        <w:rPr>
          <w:rFonts w:ascii="宋体" w:eastAsia="宋体"/>
          <w:color w:val="000000"/>
          <w:sz w:val="24"/>
          <w:szCs w:val="24"/>
        </w:rPr>
        <w:t>7</w:t>
      </w:r>
      <w:r>
        <w:rPr>
          <w:rFonts w:ascii="宋体" w:eastAsia="宋体" w:hint="eastAsia"/>
          <w:color w:val="000000"/>
          <w:sz w:val="24"/>
          <w:szCs w:val="24"/>
        </w:rPr>
        <w:t>）天按一周计算。</w:t>
      </w:r>
    </w:p>
    <w:p>
      <w:pPr>
        <w:pStyle w:val="10113"/>
        <w:spacing w:line="360" w:lineRule="auto"/>
        <w:ind w:firstLine="480" w:firstLineChars="200"/>
        <w:rPr>
          <w:rFonts w:ascii="宋体" w:eastAsia="宋体"/>
          <w:color w:val="000000"/>
          <w:sz w:val="24"/>
          <w:szCs w:val="24"/>
        </w:rPr>
      </w:pPr>
      <w:r>
        <w:rPr>
          <w:rFonts w:ascii="宋体" w:eastAsia="宋体"/>
          <w:color w:val="000000"/>
          <w:sz w:val="24"/>
          <w:szCs w:val="24"/>
        </w:rPr>
        <w:t>3.</w:t>
      </w:r>
      <w:r>
        <w:rPr>
          <w:rFonts w:ascii="宋体" w:eastAsia="宋体" w:hint="eastAsia"/>
          <w:color w:val="000000"/>
          <w:sz w:val="24"/>
          <w:szCs w:val="24"/>
        </w:rPr>
        <w:t>出现上述没有按照合同规定的时间交货和提供服务的情形时，甲方也可以选择解除合同，要求乙方退回甲方已支付货款、扣除履约保证金并追究乙方相应违约责任、赔偿甲方的全部损失。</w:t>
      </w:r>
    </w:p>
    <w:p>
      <w:pPr>
        <w:pStyle w:val="10113"/>
        <w:spacing w:line="360" w:lineRule="auto"/>
        <w:ind w:firstLine="480" w:firstLineChars="200"/>
        <w:rPr>
          <w:rFonts w:ascii="宋体" w:eastAsia="宋体"/>
          <w:color w:val="000000"/>
          <w:sz w:val="24"/>
          <w:szCs w:val="24"/>
        </w:rPr>
      </w:pPr>
      <w:r>
        <w:rPr>
          <w:rFonts w:ascii="宋体" w:eastAsia="宋体"/>
          <w:color w:val="000000"/>
          <w:sz w:val="24"/>
          <w:szCs w:val="24"/>
        </w:rPr>
        <w:t>4.</w:t>
      </w:r>
      <w:r>
        <w:rPr>
          <w:rFonts w:ascii="宋体" w:eastAsia="宋体" w:hint="eastAsia"/>
          <w:color w:val="000000"/>
          <w:sz w:val="24"/>
          <w:szCs w:val="24"/>
        </w:rPr>
        <w:t>如合同被全部或部分解除，甲方可依其认为适当的条款和方法购买与未交货类似的货物，乙方应对购买类似货物所超出的那部分费用负责。同时，乙方应继续执行合同中未解除的部分。如乙方违约并经同意延期仍不能履行合同时，甲方有权解除合同，扣除履约保证金，且乙方应赔偿由此给甲方造成的损失。</w:t>
      </w:r>
    </w:p>
    <w:p>
      <w:pPr>
        <w:pStyle w:val="10113"/>
        <w:spacing w:line="360" w:lineRule="auto"/>
        <w:ind w:firstLine="480" w:firstLineChars="200"/>
        <w:rPr>
          <w:rFonts w:ascii="宋体" w:eastAsia="宋体"/>
          <w:color w:val="000000"/>
          <w:sz w:val="24"/>
          <w:szCs w:val="24"/>
        </w:rPr>
      </w:pPr>
      <w:r>
        <w:rPr>
          <w:rFonts w:ascii="宋体" w:eastAsia="宋体" w:hint="eastAsia"/>
          <w:color w:val="000000"/>
          <w:sz w:val="24"/>
          <w:szCs w:val="24"/>
        </w:rPr>
        <w:t>（三）因乙方或乙方工作人员或乙方相关方的作为或不作为行为致使甲方或第三方遭受人员人身伤害或财产损失的，乙方应承担全部赔偿责任，赔偿全部损失，且甲方有权以扣除全部履约保证金，解除本合同。</w:t>
      </w:r>
    </w:p>
    <w:p>
      <w:pPr>
        <w:pStyle w:val="2171"/>
        <w:spacing w:line="360" w:lineRule="auto"/>
        <w:ind w:firstLine="480" w:firstLineChars="200"/>
        <w:rPr>
          <w:rFonts w:ascii="宋体" w:eastAsia="宋体"/>
          <w:color w:val="000000"/>
          <w:sz w:val="24"/>
          <w:szCs w:val="24"/>
        </w:rPr>
      </w:pPr>
      <w:r>
        <w:rPr>
          <w:rFonts w:ascii="宋体" w:eastAsia="宋体" w:hint="eastAsia"/>
          <w:color w:val="000000"/>
          <w:sz w:val="24"/>
          <w:szCs w:val="24"/>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2171"/>
        <w:spacing w:line="360" w:lineRule="auto"/>
        <w:ind w:firstLine="480" w:firstLineChars="200"/>
        <w:rPr>
          <w:rFonts w:ascii="宋体" w:eastAsia="宋体"/>
          <w:color w:val="000000"/>
          <w:sz w:val="24"/>
          <w:szCs w:val="24"/>
        </w:rPr>
      </w:pPr>
      <w:r>
        <w:rPr>
          <w:rFonts w:ascii="宋体" w:eastAsia="宋体" w:hint="eastAsia"/>
          <w:color w:val="000000"/>
          <w:sz w:val="24"/>
          <w:szCs w:val="24"/>
        </w:rPr>
        <w:t>（五）乙方违反本合同约定的其他任意义务的，甲方均有权采取下列措施：立即解除本合同；要求乙方立即支付本合同总金额</w:t>
      </w:r>
      <w:r>
        <w:rPr>
          <w:rFonts w:ascii="宋体" w:eastAsia="宋体"/>
          <w:color w:val="000000"/>
          <w:sz w:val="24"/>
          <w:szCs w:val="24"/>
        </w:rPr>
        <w:t>30%</w:t>
      </w:r>
      <w:r>
        <w:rPr>
          <w:rFonts w:ascii="宋体" w:eastAsia="宋体" w:hint="eastAsia"/>
          <w:color w:val="000000"/>
          <w:sz w:val="24"/>
          <w:szCs w:val="24"/>
        </w:rPr>
        <w:t>的违约金；立即扣除履约保证金；要求乙方立即赔偿甲方损失。</w:t>
      </w:r>
    </w:p>
    <w:p>
      <w:pPr>
        <w:pStyle w:val="6012"/>
        <w:spacing w:line="360" w:lineRule="auto"/>
        <w:ind w:firstLine="480" w:firstLineChars="200"/>
        <w:outlineLvl w:val="0"/>
        <w:rPr>
          <w:rFonts w:ascii="宋体" w:eastAsia="宋体"/>
          <w:b/>
          <w:bCs/>
          <w:color w:val="000000"/>
          <w:sz w:val="24"/>
          <w:szCs w:val="24"/>
        </w:rPr>
      </w:pPr>
      <w:r>
        <w:rPr>
          <w:rFonts w:ascii="宋体" w:eastAsia="宋体" w:hint="eastAsia"/>
          <w:b/>
          <w:bCs/>
          <w:color w:val="000000"/>
          <w:sz w:val="24"/>
          <w:szCs w:val="24"/>
        </w:rPr>
        <w:t>第十二条</w:t>
      </w:r>
      <w:r>
        <w:rPr>
          <w:rFonts w:ascii="宋体" w:eastAsia="宋体"/>
          <w:b/>
          <w:bCs/>
          <w:color w:val="000000"/>
          <w:sz w:val="24"/>
          <w:szCs w:val="24"/>
        </w:rPr>
        <w:t xml:space="preserve"> </w:t>
      </w:r>
      <w:r>
        <w:rPr>
          <w:rFonts w:ascii="宋体" w:eastAsia="宋体" w:hint="eastAsia"/>
          <w:b/>
          <w:bCs/>
          <w:color w:val="000000"/>
          <w:sz w:val="24"/>
          <w:szCs w:val="24"/>
        </w:rPr>
        <w:t>异议的处理</w:t>
      </w:r>
    </w:p>
    <w:p>
      <w:pPr>
        <w:pStyle w:val="6012"/>
        <w:spacing w:line="360" w:lineRule="auto"/>
        <w:ind w:firstLine="480" w:firstLineChars="200"/>
        <w:rPr>
          <w:rFonts w:ascii="宋体" w:eastAsia="宋体"/>
          <w:color w:val="000000"/>
          <w:sz w:val="24"/>
          <w:szCs w:val="24"/>
        </w:rPr>
      </w:pPr>
      <w:r>
        <w:rPr>
          <w:rFonts w:ascii="宋体" w:eastAsia="宋体" w:hint="eastAsia"/>
          <w:color w:val="000000"/>
          <w:sz w:val="24"/>
          <w:szCs w:val="24"/>
        </w:rPr>
        <w:t>乙方接到甲方异议及其处理意见后，应在</w:t>
      </w:r>
      <w:r>
        <w:rPr>
          <w:rFonts w:ascii="宋体" w:eastAsia="宋体"/>
          <w:color w:val="000000"/>
          <w:sz w:val="24"/>
          <w:szCs w:val="24"/>
        </w:rPr>
        <w:t>10</w:t>
      </w:r>
      <w:r>
        <w:rPr>
          <w:rFonts w:ascii="宋体" w:eastAsia="宋体" w:hint="eastAsia"/>
          <w:color w:val="000000"/>
          <w:sz w:val="24"/>
          <w:szCs w:val="24"/>
        </w:rPr>
        <w:t>日内到甲方项目现场处理完毕。</w:t>
      </w:r>
    </w:p>
    <w:p>
      <w:pPr>
        <w:pStyle w:val="6012"/>
        <w:spacing w:line="360" w:lineRule="auto"/>
        <w:ind w:firstLine="480" w:firstLineChars="200"/>
        <w:outlineLvl w:val="0"/>
        <w:rPr>
          <w:rFonts w:ascii="宋体" w:eastAsia="宋体"/>
          <w:b/>
          <w:bCs/>
          <w:color w:val="000000"/>
          <w:sz w:val="24"/>
          <w:szCs w:val="24"/>
        </w:rPr>
      </w:pPr>
      <w:r>
        <w:rPr>
          <w:rFonts w:ascii="宋体" w:eastAsia="宋体" w:hint="eastAsia"/>
          <w:b/>
          <w:bCs/>
          <w:color w:val="000000"/>
          <w:sz w:val="24"/>
          <w:szCs w:val="24"/>
        </w:rPr>
        <w:t>第十三条</w:t>
      </w:r>
      <w:r>
        <w:rPr>
          <w:rFonts w:ascii="宋体" w:eastAsia="宋体"/>
          <w:b/>
          <w:bCs/>
          <w:color w:val="000000"/>
          <w:sz w:val="24"/>
          <w:szCs w:val="24"/>
        </w:rPr>
        <w:t xml:space="preserve"> </w:t>
      </w:r>
      <w:r>
        <w:rPr>
          <w:rFonts w:ascii="宋体" w:eastAsia="宋体" w:hint="eastAsia"/>
          <w:b/>
          <w:bCs/>
          <w:color w:val="000000"/>
          <w:sz w:val="24"/>
          <w:szCs w:val="24"/>
        </w:rPr>
        <w:t>保密</w:t>
      </w:r>
    </w:p>
    <w:p>
      <w:pPr>
        <w:pStyle w:val="6012"/>
        <w:spacing w:line="360" w:lineRule="auto"/>
        <w:ind w:firstLine="480" w:firstLineChars="200"/>
        <w:rPr>
          <w:rFonts w:ascii="宋体" w:eastAsia="宋体"/>
          <w:b/>
          <w:bCs/>
          <w:color w:val="000000"/>
          <w:sz w:val="24"/>
        </w:rPr>
      </w:pPr>
      <w:r>
        <w:rPr>
          <w:rFonts w:ascii="宋体" w:eastAsia="宋体" w:hint="eastAsia"/>
          <w:color w:val="000000"/>
          <w:sz w:val="24"/>
          <w:szCs w:val="24"/>
        </w:rPr>
        <w:t>（一）除非已经为公众知晓，乙方在本合同项下的服务中接触到的甲方的信息，包括但不限于客户资料、统计数据、计算机运行系统的资料等，均构成甲方的商业秘密。除非法律法规要求或取得甲方事先书面同意，乙方不得对外透漏。保密期限为长期。</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第十四条</w:t>
      </w:r>
      <w:r>
        <w:rPr>
          <w:rFonts w:ascii="宋体"/>
          <w:b/>
          <w:bCs/>
          <w:color w:val="000000"/>
          <w:sz w:val="24"/>
        </w:rPr>
        <w:t xml:space="preserve"> </w:t>
      </w:r>
      <w:r>
        <w:rPr>
          <w:rFonts w:ascii="宋体" w:hint="eastAsia"/>
          <w:b/>
          <w:bCs/>
          <w:color w:val="000000"/>
          <w:sz w:val="24"/>
        </w:rPr>
        <w:t>知识产权</w:t>
      </w:r>
    </w:p>
    <w:p>
      <w:pPr>
        <w:pStyle w:val="50100"/>
        <w:spacing w:line="360" w:lineRule="auto"/>
        <w:ind w:firstLine="480" w:firstLineChars="200"/>
        <w:rPr>
          <w:rFonts w:ascii="宋体"/>
          <w:color w:val="000000"/>
          <w:sz w:val="24"/>
        </w:rPr>
      </w:pPr>
      <w:r>
        <w:rPr>
          <w:rFonts w:ascii="宋体" w:hint="eastAsia"/>
          <w:color w:val="000000"/>
          <w:sz w:val="24"/>
        </w:rPr>
        <w:t>（一）乙方应保证所提供的货物及服务不侵犯任何第三方的知识产权</w:t>
      </w:r>
      <w:r>
        <w:rPr>
          <w:rFonts w:ascii="宋体"/>
          <w:color w:val="000000"/>
          <w:sz w:val="24"/>
        </w:rPr>
        <w:t>(</w:t>
      </w:r>
      <w:r>
        <w:rPr>
          <w:rFonts w:ascii="宋体" w:hint="eastAsia"/>
          <w:color w:val="000000"/>
          <w:sz w:val="24"/>
        </w:rPr>
        <w:t>专利权、商标权、版权等</w:t>
      </w:r>
      <w:r>
        <w:rPr>
          <w:rFonts w:ascii="宋体"/>
          <w:color w:val="000000"/>
          <w:sz w:val="24"/>
        </w:rPr>
        <w:t>)</w:t>
      </w:r>
      <w:r>
        <w:rPr>
          <w:rFonts w:ascii="宋体" w:hint="eastAsia"/>
          <w:color w:val="000000"/>
          <w:sz w:val="24"/>
        </w:rPr>
        <w:t>及其他任何合法权益。如果甲方（用户）在使用乙方货物或服务的任何一部分过程中，遭致第三方索赔或主张权利的，乙方应当修正以避免侵权。</w:t>
      </w:r>
    </w:p>
    <w:p>
      <w:pPr>
        <w:pStyle w:val="50100"/>
        <w:spacing w:line="360" w:lineRule="auto"/>
        <w:ind w:firstLine="480" w:firstLineChars="200"/>
        <w:rPr>
          <w:rFonts w:ascii="宋体"/>
          <w:color w:val="000000"/>
          <w:sz w:val="24"/>
        </w:rPr>
      </w:pPr>
      <w:r>
        <w:rPr>
          <w:rFonts w:ascii="宋体" w:hint="eastAsia"/>
          <w:color w:val="000000"/>
          <w:sz w:val="24"/>
        </w:rPr>
        <w:t>（二）如果甲方在使用乙方货物或货物的任何一部分过程中，因侵犯第三方合法权益（包括但不限于知识产权）而遭致第三方索赔或主张权利的，乙方将自费为甲方应诉，并支付法院最终判决的甲方应支付第三方的一切费用、并赔偿甲方由此遭受的全部损失及支出的合理费用。</w:t>
      </w:r>
    </w:p>
    <w:p>
      <w:pPr>
        <w:pStyle w:val="50100"/>
        <w:spacing w:line="360" w:lineRule="auto"/>
        <w:ind w:firstLine="480" w:firstLineChars="200"/>
        <w:rPr>
          <w:rFonts w:ascii="宋体"/>
          <w:color w:val="000000"/>
          <w:sz w:val="24"/>
        </w:rPr>
      </w:pPr>
      <w:r>
        <w:rPr>
          <w:rFonts w:ascii="宋体" w:hint="eastAsia"/>
          <w:color w:val="000000"/>
          <w:sz w:val="24"/>
        </w:rPr>
        <w:t>（三）如乙方提供的货物或服务确实侵犯了第三方合法权益（包括但不限于知识产权）的，甲方有权解除合同，没收履约保证金，要求乙方退回已支付的全部货款，并赔偿甲方的全部损失及支出的合理费用。</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第十五条</w:t>
      </w:r>
      <w:r>
        <w:rPr>
          <w:rFonts w:ascii="宋体"/>
          <w:b/>
          <w:bCs/>
          <w:color w:val="000000"/>
          <w:sz w:val="24"/>
        </w:rPr>
        <w:t xml:space="preserve"> </w:t>
      </w:r>
      <w:r>
        <w:rPr>
          <w:rFonts w:ascii="宋体" w:hint="eastAsia"/>
          <w:b/>
          <w:bCs/>
          <w:color w:val="000000"/>
          <w:sz w:val="24"/>
        </w:rPr>
        <w:t>权利瑕疵担保</w:t>
      </w:r>
    </w:p>
    <w:p>
      <w:pPr>
        <w:pStyle w:val="50100"/>
        <w:spacing w:line="360" w:lineRule="auto"/>
        <w:ind w:firstLine="480" w:firstLineChars="200"/>
        <w:rPr>
          <w:rFonts w:ascii="宋体"/>
          <w:color w:val="000000"/>
          <w:sz w:val="24"/>
        </w:rPr>
      </w:pPr>
      <w:r>
        <w:rPr>
          <w:rFonts w:ascii="宋体" w:hint="eastAsia"/>
          <w:color w:val="000000"/>
          <w:sz w:val="24"/>
        </w:rPr>
        <w:t>（一）乙方保证对其所提供的货物享有完全的所有权等合法权利，不存在任何未曾向甲方透露的担保物权（如抵押权、质押权、留置权等）或其他任何权利负担或争议。</w:t>
      </w:r>
    </w:p>
    <w:p>
      <w:pPr>
        <w:pStyle w:val="5011"/>
        <w:spacing w:line="360" w:lineRule="auto"/>
        <w:ind w:firstLine="480" w:firstLineChars="200"/>
        <w:rPr>
          <w:rFonts w:ascii="宋体" w:eastAsia="宋体"/>
          <w:color w:val="000000"/>
          <w:sz w:val="24"/>
          <w:szCs w:val="24"/>
        </w:rPr>
      </w:pPr>
      <w:r>
        <w:rPr>
          <w:rFonts w:ascii="宋体" w:eastAsia="宋体" w:hint="eastAsia"/>
          <w:color w:val="000000"/>
          <w:sz w:val="24"/>
          <w:szCs w:val="24"/>
        </w:rPr>
        <w:t>（二）乙方应保证所提供的货物免受第三方提出的任何权利主张，如因第三方提出权利主张给甲方造成损失的，乙方应予以赔偿。</w:t>
      </w:r>
    </w:p>
    <w:p>
      <w:pPr>
        <w:pStyle w:val="50100"/>
        <w:spacing w:line="360" w:lineRule="auto"/>
        <w:ind w:firstLine="480" w:firstLineChars="200"/>
        <w:rPr>
          <w:rFonts w:ascii="宋体"/>
          <w:color w:val="000000"/>
          <w:sz w:val="24"/>
        </w:rPr>
      </w:pPr>
      <w:r>
        <w:rPr>
          <w:rFonts w:ascii="宋体" w:hint="eastAsia"/>
          <w:color w:val="000000"/>
          <w:sz w:val="24"/>
        </w:rPr>
        <w:t>（三）如乙方所提供的货物存在前述担保货物或权利负担，甲方有权解除合同、没收履约保证金，并要求乙方退还已支付的全部货款，赔偿甲方的全部损失及支出的合理费用。</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第十六条</w:t>
      </w:r>
      <w:r>
        <w:rPr>
          <w:rFonts w:ascii="宋体"/>
          <w:b/>
          <w:bCs/>
          <w:color w:val="000000"/>
          <w:sz w:val="24"/>
        </w:rPr>
        <w:t xml:space="preserve"> </w:t>
      </w:r>
      <w:r>
        <w:rPr>
          <w:rFonts w:ascii="宋体" w:hint="eastAsia"/>
          <w:b/>
          <w:bCs/>
          <w:color w:val="000000"/>
          <w:sz w:val="24"/>
        </w:rPr>
        <w:t>不可抗力及其免责</w:t>
      </w:r>
    </w:p>
    <w:p>
      <w:pPr>
        <w:pStyle w:val="50100"/>
        <w:spacing w:line="360" w:lineRule="auto"/>
        <w:ind w:firstLine="480" w:firstLineChars="200"/>
        <w:rPr>
          <w:rFonts w:ascii="宋体"/>
          <w:color w:val="000000"/>
          <w:sz w:val="24"/>
        </w:rPr>
      </w:pPr>
      <w:r>
        <w:rPr>
          <w:rFonts w:ascii="宋体" w:hint="eastAsia"/>
          <w:color w:val="000000"/>
          <w:sz w:val="24"/>
        </w:rPr>
        <w:t>（一）如果乙方因不可抗力而导致合同实施延误或不能履行合同义务时，在不可抗力影响的范围内不应该被没收履约保证金，也不应该承担误期赔偿或终止合同的责任。</w:t>
      </w:r>
    </w:p>
    <w:p>
      <w:pPr>
        <w:pStyle w:val="50100"/>
        <w:spacing w:line="360" w:lineRule="auto"/>
        <w:ind w:firstLine="480" w:firstLineChars="200"/>
        <w:rPr>
          <w:rFonts w:ascii="宋体"/>
          <w:color w:val="000000"/>
          <w:sz w:val="24"/>
        </w:rPr>
      </w:pPr>
      <w:r>
        <w:rPr>
          <w:rFonts w:ascii="宋体" w:hint="eastAsia"/>
          <w:color w:val="000000"/>
          <w:sz w:val="24"/>
        </w:rPr>
        <w:t>（二）在不可抗力事件发生后，乙方应尽快以书面形式将不可抗力的情况和原因通知甲方，除甲方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pStyle w:val="50100"/>
        <w:spacing w:line="360" w:lineRule="auto"/>
        <w:ind w:firstLine="480" w:firstLineChars="200"/>
        <w:rPr>
          <w:rFonts w:ascii="宋体"/>
          <w:color w:val="000000"/>
          <w:sz w:val="24"/>
        </w:rPr>
      </w:pPr>
      <w:r>
        <w:rPr>
          <w:rFonts w:ascii="宋体" w:hint="eastAsia"/>
          <w:color w:val="000000"/>
          <w:sz w:val="24"/>
        </w:rPr>
        <w:t>（三）乙方在延迟履行合同期间由于不可抗力而不能履行合同的，不能被免除责任。</w:t>
      </w:r>
    </w:p>
    <w:p>
      <w:pPr>
        <w:pStyle w:val="50100"/>
        <w:spacing w:line="360" w:lineRule="auto"/>
        <w:ind w:firstLine="480" w:firstLineChars="200"/>
        <w:rPr>
          <w:rFonts w:ascii="宋体"/>
          <w:color w:val="000000"/>
          <w:sz w:val="24"/>
        </w:rPr>
      </w:pPr>
      <w:r>
        <w:rPr>
          <w:rFonts w:ascii="宋体" w:hint="eastAsia"/>
          <w:color w:val="000000"/>
          <w:sz w:val="24"/>
        </w:rPr>
        <w:t>（四）甲方如遇不可抗力，应尽快以书面形式通知乙方，并尽实际可能履行不受不可抗力影响的其他事项。甲方不承担因不可抗力不能履行合同所造成的损失。</w:t>
      </w:r>
    </w:p>
    <w:p>
      <w:pPr>
        <w:pStyle w:val="50100"/>
        <w:spacing w:line="360" w:lineRule="auto"/>
        <w:ind w:firstLine="480" w:firstLineChars="200"/>
        <w:rPr>
          <w:rFonts w:ascii="宋体"/>
          <w:color w:val="000000"/>
          <w:sz w:val="24"/>
        </w:rPr>
      </w:pPr>
      <w:r>
        <w:rPr>
          <w:rFonts w:ascii="宋体" w:hint="eastAsia"/>
          <w:color w:val="000000"/>
          <w:sz w:val="24"/>
        </w:rPr>
        <w:t>（五）本条所述的“不可抗力”指那些不能预见、不能避免并不能克服的客观情况，包括但不限于战争、动乱、严重火灾、洪水、台风、地震等及其他双方同意的情况，但不包括违约或疏忽。</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第十七条</w:t>
      </w:r>
      <w:r>
        <w:rPr>
          <w:rFonts w:ascii="宋体"/>
          <w:b/>
          <w:bCs/>
          <w:color w:val="000000"/>
          <w:sz w:val="24"/>
        </w:rPr>
        <w:t xml:space="preserve"> </w:t>
      </w:r>
      <w:r>
        <w:rPr>
          <w:rFonts w:ascii="宋体" w:hint="eastAsia"/>
          <w:b/>
          <w:bCs/>
          <w:color w:val="000000"/>
          <w:sz w:val="24"/>
        </w:rPr>
        <w:t>争议的解决</w:t>
      </w:r>
    </w:p>
    <w:p>
      <w:pPr>
        <w:pStyle w:val="50100"/>
        <w:spacing w:line="360" w:lineRule="auto"/>
        <w:ind w:firstLine="480" w:firstLineChars="200"/>
        <w:rPr>
          <w:rFonts w:ascii="宋体"/>
          <w:color w:val="000000"/>
          <w:sz w:val="24"/>
        </w:rPr>
      </w:pPr>
      <w:r>
        <w:rPr>
          <w:rFonts w:ascii="宋体" w:hint="eastAsia"/>
          <w:color w:val="000000"/>
          <w:sz w:val="24"/>
        </w:rPr>
        <w:t>（一）合同实施或与合同有关的一切争议应通过双方友好协商解决。协商不成，争议应提交仲裁。</w:t>
      </w:r>
    </w:p>
    <w:p>
      <w:pPr>
        <w:pStyle w:val="50100"/>
        <w:spacing w:line="360" w:lineRule="auto"/>
        <w:ind w:firstLine="480" w:firstLineChars="200"/>
        <w:rPr>
          <w:rFonts w:ascii="宋体"/>
          <w:color w:val="000000"/>
          <w:sz w:val="24"/>
        </w:rPr>
      </w:pPr>
      <w:r>
        <w:rPr>
          <w:rFonts w:ascii="宋体" w:hint="eastAsia"/>
          <w:color w:val="000000"/>
          <w:sz w:val="24"/>
        </w:rPr>
        <w:t>（二）仲裁应提交</w:t>
      </w:r>
      <w:r>
        <w:rPr>
          <w:rFonts w:ascii="宋体" w:hint="eastAsia"/>
          <w:color w:val="000000"/>
          <w:sz w:val="24"/>
          <w:u w:val="words"/>
        </w:rPr>
        <w:t>北京仲裁委员会</w:t>
      </w:r>
      <w:r>
        <w:rPr>
          <w:rFonts w:ascii="宋体" w:hint="eastAsia"/>
          <w:color w:val="000000"/>
          <w:sz w:val="24"/>
        </w:rPr>
        <w:t>进行，其仲裁裁决为最终裁决，对双方均有约束力。</w:t>
      </w:r>
    </w:p>
    <w:p>
      <w:pPr>
        <w:pStyle w:val="50100"/>
        <w:spacing w:line="360" w:lineRule="auto"/>
        <w:ind w:firstLine="480" w:firstLineChars="200"/>
        <w:rPr>
          <w:rFonts w:ascii="宋体"/>
          <w:color w:val="000000"/>
          <w:sz w:val="24"/>
        </w:rPr>
      </w:pPr>
      <w:r>
        <w:rPr>
          <w:rFonts w:ascii="宋体" w:hint="eastAsia"/>
          <w:color w:val="000000"/>
          <w:sz w:val="24"/>
        </w:rPr>
        <w:t>（三）仲裁费除仲裁机关另有裁决外均应由败诉方负担。</w:t>
      </w:r>
    </w:p>
    <w:p>
      <w:pPr>
        <w:pStyle w:val="50100"/>
        <w:spacing w:line="360" w:lineRule="auto"/>
        <w:ind w:firstLine="480" w:firstLineChars="200"/>
        <w:rPr>
          <w:rFonts w:ascii="宋体"/>
          <w:color w:val="000000"/>
          <w:sz w:val="24"/>
        </w:rPr>
      </w:pPr>
      <w:r>
        <w:rPr>
          <w:rFonts w:ascii="宋体" w:hint="eastAsia"/>
          <w:color w:val="000000"/>
          <w:sz w:val="24"/>
        </w:rPr>
        <w:t>（四）在仲裁期间，除正在进行仲裁的部分外，本合同其他部分应继续履行。</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第十八条</w:t>
      </w:r>
      <w:r>
        <w:rPr>
          <w:rFonts w:ascii="宋体"/>
          <w:b/>
          <w:bCs/>
          <w:color w:val="000000"/>
          <w:sz w:val="24"/>
        </w:rPr>
        <w:t xml:space="preserve"> </w:t>
      </w:r>
      <w:r>
        <w:rPr>
          <w:rFonts w:ascii="宋体" w:hint="eastAsia"/>
          <w:b/>
          <w:bCs/>
          <w:color w:val="000000"/>
          <w:sz w:val="24"/>
        </w:rPr>
        <w:t>合同修改或变更</w:t>
      </w:r>
    </w:p>
    <w:p>
      <w:pPr>
        <w:pStyle w:val="50100"/>
        <w:spacing w:line="360" w:lineRule="auto"/>
        <w:ind w:firstLine="480" w:firstLineChars="200"/>
        <w:rPr>
          <w:rFonts w:ascii="宋体"/>
          <w:color w:val="000000"/>
          <w:sz w:val="24"/>
        </w:rPr>
      </w:pPr>
      <w:r>
        <w:rPr>
          <w:rFonts w:ascii="宋体" w:hint="eastAsia"/>
          <w:color w:val="000000"/>
          <w:sz w:val="24"/>
        </w:rPr>
        <w:t>（一）如无重大变故，甲乙双方不得擅自变更合同。</w:t>
      </w:r>
    </w:p>
    <w:p>
      <w:pPr>
        <w:pStyle w:val="50100"/>
        <w:spacing w:line="360" w:lineRule="auto"/>
        <w:ind w:firstLine="480" w:firstLineChars="200"/>
        <w:rPr>
          <w:rFonts w:ascii="宋体"/>
          <w:color w:val="000000"/>
          <w:sz w:val="24"/>
        </w:rPr>
      </w:pPr>
      <w:r>
        <w:rPr>
          <w:rFonts w:ascii="宋体" w:hint="eastAsia"/>
          <w:color w:val="000000"/>
          <w:sz w:val="24"/>
        </w:rPr>
        <w:t>（二）如确需变更合同，甲乙双方应签署书面变更协议。变更协议为本合同不可分割的一部分。</w:t>
      </w:r>
    </w:p>
    <w:p>
      <w:pPr>
        <w:pStyle w:val="50100"/>
        <w:spacing w:line="360" w:lineRule="auto"/>
        <w:ind w:firstLine="480" w:firstLineChars="200"/>
        <w:rPr>
          <w:rFonts w:ascii="宋体"/>
          <w:color w:val="000000"/>
          <w:sz w:val="24"/>
        </w:rPr>
      </w:pPr>
      <w:r>
        <w:rPr>
          <w:rFonts w:ascii="宋体" w:hint="eastAsia"/>
          <w:color w:val="000000"/>
          <w:sz w:val="24"/>
        </w:rPr>
        <w:t>（三）在不改变合同其他条款的前提下，甲方有权在合同价款</w:t>
      </w:r>
      <w:r>
        <w:rPr>
          <w:rFonts w:ascii="宋体"/>
          <w:color w:val="000000"/>
          <w:sz w:val="24"/>
        </w:rPr>
        <w:t>10%</w:t>
      </w:r>
      <w:r>
        <w:rPr>
          <w:rFonts w:ascii="宋体" w:hint="eastAsia"/>
          <w:color w:val="000000"/>
          <w:sz w:val="24"/>
        </w:rPr>
        <w:t>的范围内追加与合同标的相同的货物或服务，并就此与乙方签订补充合同，乙方不得拒绝。</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第十九条</w:t>
      </w:r>
      <w:r>
        <w:rPr>
          <w:rFonts w:ascii="宋体"/>
          <w:b/>
          <w:bCs/>
          <w:color w:val="000000"/>
          <w:sz w:val="24"/>
        </w:rPr>
        <w:t xml:space="preserve"> </w:t>
      </w:r>
      <w:r>
        <w:rPr>
          <w:rFonts w:ascii="宋体" w:hint="eastAsia"/>
          <w:b/>
          <w:bCs/>
          <w:color w:val="000000"/>
          <w:sz w:val="24"/>
        </w:rPr>
        <w:t>合同中止</w:t>
      </w:r>
    </w:p>
    <w:p>
      <w:pPr>
        <w:pStyle w:val="50100"/>
        <w:spacing w:line="360" w:lineRule="auto"/>
        <w:ind w:firstLine="480" w:firstLineChars="200"/>
        <w:rPr>
          <w:rFonts w:ascii="宋体"/>
          <w:color w:val="000000"/>
          <w:sz w:val="24"/>
        </w:rPr>
      </w:pPr>
      <w:r>
        <w:rPr>
          <w:rFonts w:ascii="宋体" w:hint="eastAsia"/>
          <w:color w:val="000000"/>
          <w:sz w:val="24"/>
        </w:rPr>
        <w:t>（一）合同在履行过程中，因采购计划调整，甲方可以要求中止履行，待计划确定后继续履行。</w:t>
      </w:r>
    </w:p>
    <w:p>
      <w:pPr>
        <w:pStyle w:val="50100"/>
        <w:spacing w:line="360" w:lineRule="auto"/>
        <w:ind w:firstLine="480" w:firstLineChars="200"/>
        <w:rPr>
          <w:rFonts w:ascii="宋体"/>
          <w:color w:val="000000"/>
          <w:sz w:val="24"/>
        </w:rPr>
      </w:pPr>
      <w:r>
        <w:rPr>
          <w:rFonts w:ascii="宋体" w:hint="eastAsia"/>
          <w:color w:val="000000"/>
          <w:sz w:val="24"/>
        </w:rPr>
        <w:t>（二）合同签订或履行过程中因其他供应商就采购过程或结果提起质疑、投诉、行政复议、行政诉讼的，甲方认为有必要或财政部责令中止的，应当中止合同的履行。</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第二十条</w:t>
      </w:r>
      <w:r>
        <w:rPr>
          <w:rFonts w:ascii="宋体"/>
          <w:b/>
          <w:bCs/>
          <w:color w:val="000000"/>
          <w:sz w:val="24"/>
        </w:rPr>
        <w:t xml:space="preserve"> </w:t>
      </w:r>
      <w:r>
        <w:rPr>
          <w:rFonts w:ascii="宋体" w:hint="eastAsia"/>
          <w:b/>
          <w:bCs/>
          <w:color w:val="000000"/>
          <w:sz w:val="24"/>
        </w:rPr>
        <w:t>合同解除</w:t>
      </w:r>
    </w:p>
    <w:p>
      <w:pPr>
        <w:pStyle w:val="50100"/>
        <w:spacing w:line="360" w:lineRule="auto"/>
        <w:ind w:firstLine="480" w:firstLineChars="200"/>
        <w:rPr>
          <w:rFonts w:ascii="宋体"/>
          <w:color w:val="000000"/>
          <w:sz w:val="24"/>
        </w:rPr>
      </w:pPr>
      <w:r>
        <w:rPr>
          <w:rFonts w:ascii="宋体" w:hint="eastAsia"/>
          <w:color w:val="000000"/>
          <w:sz w:val="24"/>
        </w:rPr>
        <w:t>（一）因违约解除合同</w:t>
      </w:r>
    </w:p>
    <w:p>
      <w:pPr>
        <w:pStyle w:val="50100"/>
        <w:spacing w:line="360" w:lineRule="auto"/>
        <w:ind w:firstLine="480" w:firstLineChars="200"/>
        <w:rPr>
          <w:rFonts w:ascii="宋体"/>
          <w:color w:val="000000"/>
          <w:sz w:val="24"/>
        </w:rPr>
      </w:pPr>
      <w:r>
        <w:rPr>
          <w:rFonts w:ascii="宋体"/>
          <w:color w:val="000000"/>
          <w:sz w:val="24"/>
        </w:rPr>
        <w:t>1.</w:t>
      </w:r>
      <w:r>
        <w:rPr>
          <w:rFonts w:ascii="宋体" w:hint="eastAsia"/>
          <w:color w:val="000000"/>
          <w:sz w:val="24"/>
        </w:rPr>
        <w:t>在甲方对乙方违约而采取的任何补救措施不受影响的情况下，甲方可向乙方发出书面违约通知书，提出解除部分或全部合同：</w:t>
      </w:r>
    </w:p>
    <w:p>
      <w:pPr>
        <w:pStyle w:val="50100"/>
        <w:spacing w:line="360" w:lineRule="auto"/>
        <w:ind w:firstLine="480" w:firstLineChars="200"/>
        <w:rPr>
          <w:rFonts w:ascii="宋体"/>
          <w:color w:val="000000"/>
          <w:sz w:val="24"/>
        </w:rPr>
      </w:pPr>
      <w:r>
        <w:rPr>
          <w:rFonts w:ascii="宋体" w:hint="eastAsia"/>
          <w:color w:val="000000"/>
          <w:sz w:val="24"/>
        </w:rPr>
        <w:t>（</w:t>
      </w:r>
      <w:r>
        <w:rPr>
          <w:rFonts w:ascii="宋体"/>
          <w:color w:val="000000"/>
          <w:sz w:val="24"/>
        </w:rPr>
        <w:t>1</w:t>
      </w:r>
      <w:r>
        <w:rPr>
          <w:rFonts w:ascii="宋体" w:hint="eastAsia"/>
          <w:color w:val="000000"/>
          <w:sz w:val="24"/>
        </w:rPr>
        <w:t>）如果乙方未能在合同规定的期限或甲方根据合同条款的规定同意延长的限期内提供部分或全部的货物或服务，达到合同所规定的要求；</w:t>
      </w:r>
    </w:p>
    <w:p>
      <w:pPr>
        <w:pStyle w:val="6611"/>
        <w:spacing w:line="360" w:lineRule="auto"/>
        <w:ind w:firstLine="480" w:firstLineChars="200"/>
        <w:rPr>
          <w:rFonts w:ascii="宋体" w:eastAsia="宋体"/>
          <w:color w:val="000000"/>
          <w:sz w:val="24"/>
          <w:szCs w:val="24"/>
        </w:rPr>
      </w:pPr>
      <w:r>
        <w:rPr>
          <w:rFonts w:ascii="宋体" w:eastAsia="宋体" w:hint="eastAsia"/>
          <w:color w:val="000000"/>
          <w:sz w:val="24"/>
          <w:szCs w:val="24"/>
        </w:rPr>
        <w:t>（</w:t>
      </w:r>
      <w:r>
        <w:rPr>
          <w:rFonts w:ascii="宋体" w:eastAsia="宋体"/>
          <w:color w:val="000000"/>
          <w:sz w:val="24"/>
          <w:szCs w:val="24"/>
        </w:rPr>
        <w:t>2</w:t>
      </w:r>
      <w:r>
        <w:rPr>
          <w:rFonts w:ascii="宋体" w:eastAsia="宋体" w:hint="eastAsia"/>
          <w:color w:val="000000"/>
          <w:sz w:val="24"/>
          <w:szCs w:val="24"/>
        </w:rPr>
        <w:t>）如果甲方发现乙方在本合同的竞争或实施中有欺诈行为。</w:t>
      </w:r>
    </w:p>
    <w:p>
      <w:pPr>
        <w:pStyle w:val="50100"/>
        <w:spacing w:line="360" w:lineRule="auto"/>
        <w:ind w:firstLine="480" w:firstLineChars="200"/>
        <w:rPr>
          <w:rFonts w:ascii="宋体"/>
          <w:color w:val="000000"/>
          <w:sz w:val="24"/>
        </w:rPr>
      </w:pPr>
      <w:r>
        <w:rPr>
          <w:rFonts w:ascii="宋体" w:hint="eastAsia"/>
          <w:color w:val="000000"/>
          <w:sz w:val="24"/>
        </w:rPr>
        <w:t>（</w:t>
      </w:r>
      <w:r>
        <w:rPr>
          <w:rFonts w:ascii="宋体"/>
          <w:color w:val="000000"/>
          <w:sz w:val="24"/>
        </w:rPr>
        <w:t>3</w:t>
      </w:r>
      <w:r>
        <w:rPr>
          <w:rFonts w:ascii="宋体" w:hint="eastAsia"/>
          <w:color w:val="000000"/>
          <w:sz w:val="24"/>
        </w:rPr>
        <w:t>）如果乙方未能履行合同规定的其他任何义务。</w:t>
      </w:r>
    </w:p>
    <w:p>
      <w:pPr>
        <w:pStyle w:val="50100"/>
        <w:spacing w:line="360" w:lineRule="auto"/>
        <w:ind w:firstLine="480" w:firstLineChars="200"/>
        <w:rPr>
          <w:rFonts w:ascii="宋体"/>
          <w:color w:val="000000"/>
          <w:sz w:val="24"/>
        </w:rPr>
      </w:pPr>
      <w:r>
        <w:rPr>
          <w:rFonts w:ascii="宋体"/>
          <w:color w:val="000000"/>
          <w:sz w:val="24"/>
        </w:rPr>
        <w:t>2.</w:t>
      </w:r>
      <w:r>
        <w:rPr>
          <w:rFonts w:ascii="宋体" w:hint="eastAsia"/>
          <w:color w:val="000000"/>
          <w:sz w:val="24"/>
        </w:rPr>
        <w:t>如果甲方根据上述规定与乙方全部或部分解除合同，</w:t>
      </w:r>
      <w:r>
        <w:rPr>
          <w:rFonts w:ascii="宋体" w:hint="eastAsia"/>
          <w:bCs/>
          <w:color w:val="000000"/>
          <w:sz w:val="24"/>
        </w:rPr>
        <w:t>甲方可以依其认为适当的条件和方法购买乙方未能提供的货物或服务，乙方应对甲方购买类似货物或服务所超出的费用负责</w:t>
      </w:r>
      <w:r>
        <w:rPr>
          <w:rFonts w:ascii="宋体" w:hint="eastAsia"/>
          <w:color w:val="000000"/>
          <w:sz w:val="24"/>
        </w:rPr>
        <w:t>。</w:t>
      </w:r>
      <w:r>
        <w:rPr>
          <w:rFonts w:ascii="宋体" w:hint="eastAsia"/>
          <w:bCs/>
          <w:color w:val="000000"/>
          <w:sz w:val="24"/>
        </w:rPr>
        <w:t>同时，乙方应继续执行合同中未解除的部分。</w:t>
      </w:r>
    </w:p>
    <w:p>
      <w:pPr>
        <w:pStyle w:val="50100"/>
        <w:spacing w:line="360" w:lineRule="auto"/>
        <w:ind w:firstLine="480" w:firstLineChars="200"/>
        <w:rPr>
          <w:rFonts w:ascii="宋体"/>
          <w:color w:val="000000"/>
          <w:sz w:val="24"/>
        </w:rPr>
      </w:pPr>
      <w:r>
        <w:rPr>
          <w:rFonts w:ascii="宋体" w:hint="eastAsia"/>
          <w:color w:val="000000"/>
          <w:sz w:val="24"/>
        </w:rPr>
        <w:t>（二）因破产而解除合同</w:t>
      </w:r>
    </w:p>
    <w:p>
      <w:pPr>
        <w:pStyle w:val="50100"/>
        <w:spacing w:line="360" w:lineRule="auto"/>
        <w:ind w:firstLine="480" w:firstLineChars="200"/>
        <w:rPr>
          <w:rFonts w:ascii="宋体"/>
          <w:color w:val="000000"/>
          <w:sz w:val="24"/>
        </w:rPr>
      </w:pPr>
      <w:r>
        <w:rPr>
          <w:rFonts w:ascii="宋体"/>
          <w:color w:val="000000"/>
          <w:sz w:val="24"/>
        </w:rPr>
        <w:t>1.</w:t>
      </w:r>
      <w:r>
        <w:rPr>
          <w:rFonts w:ascii="宋体" w:hint="eastAsia"/>
          <w:color w:val="000000"/>
          <w:sz w:val="24"/>
        </w:rPr>
        <w:t>如果乙方破产或无清偿能力，甲方可在任何时候以书面形式通知乙方，提出解除合同而不给乙方补偿，并有权要求乙方退回甲方已支付的合同货款。</w:t>
      </w:r>
    </w:p>
    <w:p>
      <w:pPr>
        <w:pStyle w:val="50100"/>
        <w:spacing w:line="360" w:lineRule="auto"/>
        <w:ind w:firstLine="480" w:firstLineChars="200"/>
        <w:rPr>
          <w:rFonts w:ascii="宋体"/>
          <w:color w:val="000000"/>
          <w:sz w:val="24"/>
        </w:rPr>
      </w:pPr>
      <w:r>
        <w:rPr>
          <w:rFonts w:ascii="宋体"/>
          <w:color w:val="000000"/>
          <w:sz w:val="24"/>
        </w:rPr>
        <w:t>2.</w:t>
      </w:r>
      <w:r>
        <w:rPr>
          <w:rFonts w:ascii="宋体" w:hint="eastAsia"/>
          <w:color w:val="000000"/>
          <w:sz w:val="24"/>
        </w:rPr>
        <w:t>该解除合同将不损害或影响甲方已经采取或将要采取的任何行动或补救措施的权利。</w:t>
      </w:r>
    </w:p>
    <w:p>
      <w:pPr>
        <w:pStyle w:val="50100"/>
        <w:spacing w:line="360" w:lineRule="auto"/>
        <w:ind w:firstLine="480" w:firstLineChars="200"/>
        <w:rPr>
          <w:rFonts w:ascii="宋体"/>
          <w:color w:val="000000"/>
          <w:sz w:val="24"/>
        </w:rPr>
      </w:pPr>
      <w:r>
        <w:rPr>
          <w:rFonts w:ascii="宋体" w:hint="eastAsia"/>
          <w:color w:val="000000"/>
          <w:sz w:val="24"/>
        </w:rPr>
        <w:t>（三）其他解除合同情况</w:t>
      </w:r>
    </w:p>
    <w:p>
      <w:pPr>
        <w:pStyle w:val="50100"/>
        <w:spacing w:line="360" w:lineRule="auto"/>
        <w:ind w:firstLine="480" w:firstLineChars="200"/>
        <w:rPr>
          <w:rFonts w:ascii="宋体"/>
          <w:color w:val="000000"/>
          <w:sz w:val="24"/>
        </w:rPr>
      </w:pPr>
      <w:r>
        <w:rPr>
          <w:rFonts w:ascii="宋体"/>
          <w:color w:val="000000"/>
          <w:sz w:val="24"/>
        </w:rPr>
        <w:t>1.</w:t>
      </w:r>
      <w:r>
        <w:rPr>
          <w:rFonts w:ascii="宋体" w:hint="eastAsia"/>
          <w:color w:val="000000"/>
          <w:sz w:val="24"/>
        </w:rPr>
        <w:t>若合同继续履行将给甲方造成重大损失的，甲方可以解除合同而不给予乙方任何补偿。</w:t>
      </w:r>
    </w:p>
    <w:p>
      <w:pPr>
        <w:pStyle w:val="50100"/>
        <w:spacing w:line="360" w:lineRule="auto"/>
        <w:ind w:firstLine="480" w:firstLineChars="200"/>
        <w:rPr>
          <w:rFonts w:ascii="宋体"/>
          <w:color w:val="000000"/>
          <w:sz w:val="24"/>
        </w:rPr>
      </w:pPr>
      <w:r>
        <w:rPr>
          <w:rFonts w:ascii="宋体"/>
          <w:color w:val="000000"/>
          <w:sz w:val="24"/>
        </w:rPr>
        <w:t>2.</w:t>
      </w:r>
      <w:r>
        <w:rPr>
          <w:rFonts w:ascii="宋体" w:hint="eastAsia"/>
          <w:color w:val="000000"/>
          <w:sz w:val="24"/>
        </w:rPr>
        <w:t>乙方在执行合同的过程中发生重大变故，对履行合同有影响的，甲方可以解除合同而不给予乙方任何补偿。</w:t>
      </w:r>
    </w:p>
    <w:p>
      <w:pPr>
        <w:pStyle w:val="50100"/>
        <w:spacing w:line="360" w:lineRule="auto"/>
        <w:ind w:firstLine="480" w:firstLineChars="200"/>
        <w:rPr>
          <w:rFonts w:ascii="宋体"/>
          <w:color w:val="000000"/>
          <w:sz w:val="24"/>
        </w:rPr>
      </w:pPr>
      <w:r>
        <w:rPr>
          <w:rFonts w:ascii="宋体"/>
          <w:color w:val="000000"/>
          <w:sz w:val="24"/>
        </w:rPr>
        <w:t>3.</w:t>
      </w:r>
      <w:r>
        <w:rPr>
          <w:rFonts w:ascii="宋体" w:hint="eastAsia"/>
          <w:color w:val="000000"/>
          <w:sz w:val="24"/>
        </w:rPr>
        <w:t>甲方因重大变故取消或部分取消原来的采购任务，导致合同全部或部分内容无需继续履行的，可以解除合同而不给予乙方任何补偿。</w:t>
      </w:r>
    </w:p>
    <w:p>
      <w:pPr>
        <w:pStyle w:val="50100"/>
        <w:spacing w:line="360" w:lineRule="auto"/>
        <w:ind w:firstLine="480" w:firstLineChars="200"/>
        <w:rPr>
          <w:rFonts w:ascii="宋体"/>
          <w:b/>
          <w:bCs/>
          <w:color w:val="000000"/>
          <w:sz w:val="24"/>
        </w:rPr>
      </w:pPr>
      <w:r>
        <w:rPr>
          <w:rFonts w:ascii="宋体" w:hint="eastAsia"/>
          <w:b/>
          <w:bCs/>
          <w:color w:val="000000"/>
          <w:sz w:val="24"/>
        </w:rPr>
        <w:t>第二十一条</w:t>
      </w:r>
      <w:r>
        <w:rPr>
          <w:rFonts w:ascii="宋体"/>
          <w:b/>
          <w:bCs/>
          <w:color w:val="000000"/>
          <w:sz w:val="24"/>
        </w:rPr>
        <w:t xml:space="preserve"> </w:t>
      </w:r>
      <w:r>
        <w:rPr>
          <w:rFonts w:ascii="宋体" w:hint="eastAsia"/>
          <w:b/>
          <w:bCs/>
          <w:color w:val="000000"/>
          <w:sz w:val="24"/>
        </w:rPr>
        <w:t>合同终止</w:t>
      </w:r>
    </w:p>
    <w:p>
      <w:pPr>
        <w:pStyle w:val="5910"/>
        <w:autoSpaceDN w:val="0"/>
        <w:spacing w:line="360" w:lineRule="auto"/>
        <w:ind w:firstLine="480" w:firstLineChars="200"/>
        <w:jc w:val="left"/>
        <w:rPr>
          <w:rFonts w:ascii="宋体" w:cs="微软雅黑"/>
          <w:snapToGrid w:val="0"/>
          <w:kern w:val="0"/>
          <w:sz w:val="24"/>
          <w:szCs w:val="24"/>
        </w:rPr>
      </w:pPr>
      <w:r>
        <w:rPr>
          <w:rFonts w:ascii="宋体" w:cs="微软雅黑" w:hint="eastAsia"/>
          <w:snapToGrid w:val="0"/>
          <w:kern w:val="0"/>
          <w:sz w:val="24"/>
          <w:szCs w:val="24"/>
        </w:rPr>
        <w:t>（一）本合同因下列原因而终止：</w:t>
      </w:r>
    </w:p>
    <w:p>
      <w:pPr>
        <w:pStyle w:val="5910"/>
        <w:autoSpaceDN w:val="0"/>
        <w:spacing w:line="360" w:lineRule="auto"/>
        <w:ind w:firstLine="480" w:firstLineChars="200"/>
        <w:jc w:val="left"/>
        <w:rPr>
          <w:rFonts w:ascii="宋体" w:cs="微软雅黑"/>
          <w:snapToGrid w:val="0"/>
          <w:kern w:val="0"/>
          <w:sz w:val="24"/>
          <w:szCs w:val="24"/>
        </w:rPr>
      </w:pPr>
      <w:r>
        <w:rPr>
          <w:rFonts w:ascii="宋体" w:cs="微软雅黑"/>
          <w:snapToGrid w:val="0"/>
          <w:kern w:val="0"/>
          <w:sz w:val="24"/>
          <w:szCs w:val="24"/>
        </w:rPr>
        <w:t>1.</w:t>
      </w:r>
      <w:r>
        <w:rPr>
          <w:rFonts w:ascii="宋体" w:cs="微软雅黑" w:hint="eastAsia"/>
          <w:snapToGrid w:val="0"/>
          <w:kern w:val="0"/>
          <w:sz w:val="24"/>
          <w:szCs w:val="24"/>
        </w:rPr>
        <w:t>本合同正常履行完毕；</w:t>
      </w:r>
    </w:p>
    <w:p>
      <w:pPr>
        <w:pStyle w:val="5910"/>
        <w:autoSpaceDN w:val="0"/>
        <w:spacing w:line="360" w:lineRule="auto"/>
        <w:ind w:firstLine="480" w:firstLineChars="200"/>
        <w:jc w:val="left"/>
        <w:rPr>
          <w:rFonts w:ascii="宋体" w:cs="微软雅黑"/>
          <w:snapToGrid w:val="0"/>
          <w:kern w:val="0"/>
          <w:sz w:val="24"/>
          <w:szCs w:val="24"/>
        </w:rPr>
      </w:pPr>
      <w:r>
        <w:rPr>
          <w:rFonts w:ascii="宋体" w:cs="微软雅黑"/>
          <w:snapToGrid w:val="0"/>
          <w:kern w:val="0"/>
          <w:sz w:val="24"/>
          <w:szCs w:val="24"/>
        </w:rPr>
        <w:t>2.</w:t>
      </w:r>
      <w:r>
        <w:rPr>
          <w:rFonts w:ascii="宋体" w:cs="微软雅黑" w:hint="eastAsia"/>
          <w:snapToGrid w:val="0"/>
          <w:kern w:val="0"/>
          <w:sz w:val="24"/>
          <w:szCs w:val="24"/>
        </w:rPr>
        <w:t>合同双方协议终止本合同的履行；</w:t>
      </w:r>
    </w:p>
    <w:p>
      <w:pPr>
        <w:pStyle w:val="5910"/>
        <w:autoSpaceDN w:val="0"/>
        <w:spacing w:line="360" w:lineRule="auto"/>
        <w:ind w:firstLine="480" w:firstLineChars="200"/>
        <w:jc w:val="left"/>
        <w:rPr>
          <w:rFonts w:ascii="宋体" w:cs="微软雅黑"/>
          <w:snapToGrid w:val="0"/>
          <w:kern w:val="0"/>
          <w:sz w:val="24"/>
          <w:szCs w:val="24"/>
        </w:rPr>
      </w:pPr>
      <w:r>
        <w:rPr>
          <w:rFonts w:ascii="宋体" w:cs="微软雅黑"/>
          <w:snapToGrid w:val="0"/>
          <w:kern w:val="0"/>
          <w:sz w:val="24"/>
          <w:szCs w:val="24"/>
        </w:rPr>
        <w:t>3.</w:t>
      </w:r>
      <w:r>
        <w:rPr>
          <w:rFonts w:ascii="宋体" w:cs="微软雅黑" w:hint="eastAsia"/>
          <w:snapToGrid w:val="0"/>
          <w:kern w:val="0"/>
          <w:sz w:val="24"/>
          <w:szCs w:val="24"/>
        </w:rPr>
        <w:t>不可抗力事件导致本合同无法履行或履行不必要；</w:t>
      </w:r>
    </w:p>
    <w:p>
      <w:pPr>
        <w:pStyle w:val="5910"/>
        <w:autoSpaceDN w:val="0"/>
        <w:spacing w:line="360" w:lineRule="auto"/>
        <w:ind w:firstLine="480" w:firstLineChars="200"/>
        <w:jc w:val="left"/>
        <w:outlineLvl w:val="0"/>
        <w:rPr>
          <w:rFonts w:ascii="宋体" w:cs="微软雅黑"/>
          <w:snapToGrid w:val="0"/>
          <w:kern w:val="0"/>
          <w:sz w:val="24"/>
          <w:szCs w:val="24"/>
        </w:rPr>
      </w:pPr>
      <w:r>
        <w:rPr>
          <w:rFonts w:ascii="宋体" w:cs="微软雅黑"/>
          <w:snapToGrid w:val="0"/>
          <w:kern w:val="0"/>
          <w:sz w:val="24"/>
          <w:szCs w:val="24"/>
        </w:rPr>
        <w:t>4.</w:t>
      </w:r>
      <w:r>
        <w:rPr>
          <w:rFonts w:ascii="宋体" w:cs="微软雅黑" w:hint="eastAsia"/>
          <w:snapToGrid w:val="0"/>
          <w:kern w:val="0"/>
          <w:sz w:val="24"/>
          <w:szCs w:val="24"/>
        </w:rPr>
        <w:t>任何一方行使解除权，解除本合同；</w:t>
      </w:r>
    </w:p>
    <w:p>
      <w:pPr>
        <w:pStyle w:val="5910"/>
        <w:autoSpaceDN w:val="0"/>
        <w:spacing w:line="360" w:lineRule="auto"/>
        <w:ind w:firstLine="480" w:firstLineChars="200"/>
        <w:jc w:val="left"/>
        <w:rPr>
          <w:rFonts w:ascii="宋体" w:cs="微软雅黑"/>
          <w:snapToGrid w:val="0"/>
          <w:kern w:val="0"/>
          <w:sz w:val="24"/>
          <w:szCs w:val="24"/>
        </w:rPr>
      </w:pPr>
      <w:bookmarkStart w:id="49" w:name="孔子"/>
      <w:bookmarkEnd w:id="49"/>
      <w:r>
        <w:rPr>
          <w:rFonts w:ascii="宋体" w:cs="微软雅黑" w:hint="eastAsia"/>
          <w:snapToGrid w:val="0"/>
          <w:kern w:val="0"/>
          <w:sz w:val="24"/>
          <w:szCs w:val="24"/>
        </w:rPr>
        <w:t>（二）对本合同终止有过错的一方应赔偿另一方因合同终止而受到的损失。</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第二十二条</w:t>
      </w:r>
      <w:r>
        <w:rPr>
          <w:rFonts w:ascii="宋体"/>
          <w:b/>
          <w:bCs/>
          <w:color w:val="000000"/>
          <w:sz w:val="24"/>
        </w:rPr>
        <w:t xml:space="preserve"> </w:t>
      </w:r>
      <w:r>
        <w:rPr>
          <w:rFonts w:ascii="宋体" w:hint="eastAsia"/>
          <w:b/>
          <w:bCs/>
          <w:color w:val="000000"/>
          <w:sz w:val="24"/>
        </w:rPr>
        <w:t>合同转让和分包</w:t>
      </w:r>
    </w:p>
    <w:p>
      <w:pPr>
        <w:pStyle w:val="50100"/>
        <w:spacing w:line="360" w:lineRule="auto"/>
        <w:ind w:firstLine="480" w:firstLineChars="200"/>
        <w:rPr>
          <w:rFonts w:ascii="宋体"/>
          <w:color w:val="000000"/>
          <w:sz w:val="24"/>
        </w:rPr>
      </w:pPr>
      <w:r>
        <w:rPr>
          <w:rFonts w:ascii="宋体" w:hint="eastAsia"/>
          <w:color w:val="000000"/>
          <w:sz w:val="24"/>
        </w:rPr>
        <w:t>（一）乙方不得以任何形式将合同转包。</w:t>
      </w:r>
    </w:p>
    <w:p>
      <w:pPr>
        <w:pStyle w:val="50100"/>
        <w:spacing w:line="360" w:lineRule="auto"/>
        <w:ind w:firstLine="480" w:firstLineChars="200"/>
        <w:rPr>
          <w:rFonts w:ascii="宋体"/>
          <w:color w:val="000000"/>
          <w:sz w:val="24"/>
        </w:rPr>
      </w:pPr>
      <w:r>
        <w:rPr>
          <w:rFonts w:ascii="宋体" w:hint="eastAsia"/>
          <w:color w:val="000000"/>
          <w:sz w:val="24"/>
        </w:rPr>
        <w:t>（二）除经甲方事先书面同意外，乙方不得以任何形式将合同分包。</w:t>
      </w:r>
    </w:p>
    <w:p>
      <w:pPr>
        <w:pStyle w:val="50100"/>
        <w:spacing w:line="360" w:lineRule="auto"/>
        <w:ind w:firstLine="480" w:firstLineChars="200"/>
        <w:rPr>
          <w:rFonts w:ascii="宋体"/>
          <w:color w:val="000000"/>
          <w:sz w:val="24"/>
        </w:rPr>
      </w:pPr>
      <w:r>
        <w:rPr>
          <w:rFonts w:ascii="宋体" w:hint="eastAsia"/>
          <w:color w:val="000000"/>
          <w:sz w:val="24"/>
        </w:rPr>
        <w:t>乙方擅自转包或分包的，甲方有权解除本合同，没收履约保证金，并要求乙方退还已支付的全部货款，赔偿甲方全部损失及支出的合理费用。</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第二十三条</w:t>
      </w:r>
      <w:r>
        <w:rPr>
          <w:rFonts w:ascii="宋体"/>
          <w:b/>
          <w:bCs/>
          <w:color w:val="000000"/>
          <w:sz w:val="24"/>
        </w:rPr>
        <w:t xml:space="preserve"> </w:t>
      </w:r>
      <w:r>
        <w:rPr>
          <w:rFonts w:ascii="宋体" w:hint="eastAsia"/>
          <w:b/>
          <w:bCs/>
          <w:color w:val="000000"/>
          <w:sz w:val="24"/>
        </w:rPr>
        <w:t>其他</w:t>
      </w:r>
    </w:p>
    <w:p>
      <w:pPr>
        <w:pStyle w:val="50100"/>
        <w:spacing w:line="360" w:lineRule="auto"/>
        <w:ind w:firstLine="480" w:firstLineChars="200"/>
        <w:rPr>
          <w:rFonts w:ascii="宋体"/>
          <w:color w:val="000000"/>
          <w:sz w:val="24"/>
        </w:rPr>
      </w:pPr>
      <w:r>
        <w:rPr>
          <w:rFonts w:ascii="宋体" w:hint="eastAsia"/>
          <w:color w:val="000000"/>
          <w:sz w:val="24"/>
        </w:rPr>
        <w:t>（一）中标通知书、中标人的投标文件、招标文件、合同条款、合同附件是本合同不可分割的部分，与本合同具有同等法律效力。</w:t>
      </w:r>
    </w:p>
    <w:p>
      <w:pPr>
        <w:pStyle w:val="50100"/>
        <w:spacing w:line="360" w:lineRule="auto"/>
        <w:ind w:firstLine="480" w:firstLineChars="200"/>
        <w:rPr>
          <w:rFonts w:ascii="宋体"/>
          <w:color w:val="000000"/>
          <w:sz w:val="24"/>
        </w:rPr>
      </w:pPr>
      <w:r>
        <w:rPr>
          <w:rFonts w:ascii="宋体" w:hint="eastAsia"/>
          <w:color w:val="000000"/>
          <w:sz w:val="24"/>
        </w:rPr>
        <w:t>（二）本合同适用中华人民共和国法律（为本合同目的，不包括香港特别行政区、澳门特别行政区及台湾地区法律）管辖和解释。</w:t>
      </w:r>
    </w:p>
    <w:p>
      <w:pPr>
        <w:pStyle w:val="50100"/>
        <w:spacing w:line="360" w:lineRule="auto"/>
        <w:ind w:firstLine="480" w:firstLineChars="200"/>
        <w:outlineLvl w:val="0"/>
        <w:rPr>
          <w:rFonts w:ascii="宋体"/>
          <w:b/>
          <w:bCs/>
          <w:color w:val="000000"/>
          <w:sz w:val="24"/>
        </w:rPr>
      </w:pPr>
      <w:r>
        <w:rPr>
          <w:rFonts w:ascii="宋体" w:hint="eastAsia"/>
          <w:b/>
          <w:bCs/>
          <w:color w:val="000000"/>
          <w:sz w:val="24"/>
        </w:rPr>
        <w:t>第二十四条</w:t>
      </w:r>
      <w:r>
        <w:rPr>
          <w:rFonts w:ascii="宋体"/>
          <w:b/>
          <w:bCs/>
          <w:color w:val="000000"/>
          <w:sz w:val="24"/>
        </w:rPr>
        <w:t xml:space="preserve"> </w:t>
      </w:r>
      <w:r>
        <w:rPr>
          <w:rFonts w:ascii="宋体" w:hint="eastAsia"/>
          <w:b/>
          <w:bCs/>
          <w:color w:val="000000"/>
          <w:sz w:val="24"/>
        </w:rPr>
        <w:t>合同生效</w:t>
      </w:r>
    </w:p>
    <w:p>
      <w:pPr>
        <w:pStyle w:val="50100"/>
        <w:spacing w:line="360" w:lineRule="auto"/>
        <w:ind w:firstLine="480" w:firstLineChars="200"/>
        <w:rPr>
          <w:rFonts w:ascii="宋体"/>
          <w:color w:val="000000"/>
          <w:sz w:val="24"/>
        </w:rPr>
      </w:pPr>
      <w:r>
        <w:rPr>
          <w:rFonts w:ascii="宋体" w:hint="eastAsia"/>
          <w:color w:val="000000"/>
          <w:sz w:val="24"/>
        </w:rPr>
        <w:t>（一）本合同一式</w:t>
      </w:r>
      <w:r>
        <w:rPr>
          <w:rFonts w:ascii="宋体"/>
          <w:color w:val="000000"/>
          <w:sz w:val="24"/>
        </w:rPr>
        <w:t>4</w:t>
      </w:r>
      <w:r>
        <w:rPr>
          <w:rFonts w:ascii="宋体" w:hint="eastAsia"/>
          <w:color w:val="000000"/>
          <w:sz w:val="24"/>
        </w:rPr>
        <w:t>份，甲方执</w:t>
      </w:r>
      <w:r>
        <w:rPr>
          <w:rFonts w:ascii="宋体"/>
          <w:color w:val="000000"/>
          <w:sz w:val="24"/>
        </w:rPr>
        <w:t>2</w:t>
      </w:r>
      <w:r>
        <w:rPr>
          <w:rFonts w:ascii="宋体" w:hint="eastAsia"/>
          <w:color w:val="000000"/>
          <w:sz w:val="24"/>
        </w:rPr>
        <w:t>份，乙方执</w:t>
      </w:r>
      <w:r>
        <w:rPr>
          <w:rFonts w:ascii="宋体"/>
          <w:color w:val="000000"/>
          <w:sz w:val="24"/>
        </w:rPr>
        <w:t>2</w:t>
      </w:r>
      <w:r>
        <w:rPr>
          <w:rFonts w:ascii="宋体" w:hint="eastAsia"/>
          <w:color w:val="000000"/>
          <w:sz w:val="24"/>
        </w:rPr>
        <w:t>份；自甲乙双方签字盖章之日起生效。对本合同的任何更改及补充，均需双方共同协商，并以书面形式盖章确认。</w:t>
      </w:r>
    </w:p>
    <w:p>
      <w:pPr>
        <w:pStyle w:val="50100"/>
        <w:spacing w:line="360" w:lineRule="auto"/>
        <w:ind w:firstLine="480" w:firstLineChars="200"/>
        <w:rPr>
          <w:rFonts w:ascii="宋体"/>
          <w:color w:val="000000"/>
          <w:sz w:val="24"/>
        </w:rPr>
      </w:pPr>
      <w:r>
        <w:rPr>
          <w:rFonts w:ascii="宋体" w:hint="eastAsia"/>
          <w:color w:val="000000"/>
          <w:sz w:val="24"/>
        </w:rPr>
        <w:t>本合同包含附件</w:t>
      </w:r>
      <w:r>
        <w:rPr>
          <w:rFonts w:ascii="宋体"/>
          <w:color w:val="000000"/>
          <w:sz w:val="24"/>
          <w:u w:val="single"/>
        </w:rPr>
        <w:t xml:space="preserve">     </w:t>
      </w:r>
      <w:r>
        <w:rPr>
          <w:rFonts w:ascii="宋体" w:hint="eastAsia"/>
          <w:color w:val="000000"/>
          <w:sz w:val="24"/>
        </w:rPr>
        <w:t>份</w:t>
      </w:r>
    </w:p>
    <w:p>
      <w:pPr>
        <w:pStyle w:val="50100"/>
        <w:spacing w:line="360" w:lineRule="auto"/>
        <w:ind w:firstLine="480" w:firstLineChars="200"/>
        <w:rPr>
          <w:rFonts w:ascii="宋体"/>
          <w:color w:val="000000"/>
          <w:sz w:val="24"/>
        </w:rPr>
      </w:pPr>
      <w:r>
        <w:rPr>
          <w:rFonts w:ascii="宋体" w:hint="eastAsia"/>
          <w:color w:val="000000"/>
          <w:sz w:val="24"/>
        </w:rPr>
        <w:t>附件一：分项报价表</w:t>
      </w:r>
    </w:p>
    <w:p>
      <w:pPr>
        <w:pStyle w:val="50100"/>
        <w:spacing w:line="360" w:lineRule="auto"/>
        <w:ind w:firstLine="480" w:firstLineChars="200"/>
        <w:rPr>
          <w:rFonts w:ascii="宋体"/>
          <w:color w:val="000000"/>
          <w:sz w:val="24"/>
        </w:rPr>
      </w:pPr>
      <w:r>
        <w:rPr>
          <w:rFonts w:ascii="宋体" w:hint="eastAsia"/>
          <w:color w:val="000000"/>
          <w:sz w:val="24"/>
        </w:rPr>
        <w:t>附件二：设备配置清单</w:t>
      </w:r>
    </w:p>
    <w:p>
      <w:pPr>
        <w:pStyle w:val="50100"/>
        <w:spacing w:line="360" w:lineRule="auto"/>
        <w:ind w:firstLine="480" w:firstLineChars="200"/>
        <w:rPr>
          <w:rFonts w:ascii="宋体"/>
          <w:color w:val="000000"/>
          <w:sz w:val="24"/>
        </w:rPr>
      </w:pPr>
      <w:r>
        <w:rPr>
          <w:rFonts w:ascii="宋体" w:hint="eastAsia"/>
          <w:color w:val="000000"/>
          <w:sz w:val="24"/>
        </w:rPr>
        <w:t>附件三：技术偏离表</w:t>
      </w:r>
    </w:p>
    <w:p>
      <w:pPr>
        <w:pStyle w:val="50100"/>
        <w:spacing w:line="360" w:lineRule="auto"/>
        <w:ind w:firstLine="480" w:firstLineChars="200"/>
        <w:rPr>
          <w:rFonts w:ascii="宋体"/>
          <w:color w:val="000000"/>
          <w:sz w:val="24"/>
        </w:rPr>
      </w:pPr>
      <w:r>
        <w:rPr>
          <w:rFonts w:ascii="宋体" w:hint="eastAsia"/>
          <w:color w:val="000000"/>
          <w:sz w:val="24"/>
        </w:rPr>
        <w:t>附件四：货物分配清单</w:t>
      </w:r>
    </w:p>
    <w:p>
      <w:pPr>
        <w:pStyle w:val="50100"/>
        <w:spacing w:line="360" w:lineRule="auto"/>
        <w:ind w:firstLine="480" w:firstLineChars="200"/>
        <w:rPr>
          <w:rFonts w:ascii="宋体"/>
          <w:color w:val="000000"/>
          <w:sz w:val="24"/>
        </w:rPr>
      </w:pPr>
      <w:r>
        <w:rPr>
          <w:rFonts w:ascii="宋体" w:hint="eastAsia"/>
          <w:color w:val="000000"/>
          <w:sz w:val="24"/>
        </w:rPr>
        <w:t>附件五：项目实施方案</w:t>
      </w:r>
    </w:p>
    <w:p>
      <w:pPr>
        <w:pStyle w:val="50100"/>
        <w:spacing w:line="360" w:lineRule="auto"/>
        <w:ind w:firstLine="480" w:firstLineChars="200"/>
        <w:rPr>
          <w:rFonts w:ascii="宋体"/>
          <w:color w:val="000000"/>
          <w:sz w:val="24"/>
        </w:rPr>
      </w:pPr>
      <w:r>
        <w:rPr>
          <w:rFonts w:ascii="宋体" w:hint="eastAsia"/>
          <w:color w:val="000000"/>
          <w:sz w:val="24"/>
        </w:rPr>
        <w:t>附件六：技术培训方案</w:t>
      </w:r>
    </w:p>
    <w:p>
      <w:pPr>
        <w:pStyle w:val="50100"/>
        <w:spacing w:line="360" w:lineRule="auto"/>
        <w:ind w:firstLine="480" w:firstLineChars="200"/>
        <w:rPr>
          <w:rFonts w:ascii="宋体"/>
          <w:color w:val="000000"/>
          <w:sz w:val="24"/>
        </w:rPr>
      </w:pPr>
      <w:r>
        <w:rPr>
          <w:rFonts w:ascii="宋体" w:hint="eastAsia"/>
          <w:color w:val="000000"/>
          <w:sz w:val="24"/>
        </w:rPr>
        <w:t>附件七：技术支持及售后服务方案</w:t>
      </w:r>
    </w:p>
    <w:p>
      <w:pPr>
        <w:pStyle w:val="50100"/>
        <w:spacing w:line="360" w:lineRule="auto"/>
        <w:ind w:firstLine="480" w:firstLineChars="200"/>
        <w:rPr>
          <w:rFonts w:ascii="宋体" w:hint="eastAsia"/>
          <w:color w:val="000000"/>
          <w:sz w:val="24"/>
        </w:rPr>
      </w:pPr>
      <w:r>
        <w:rPr>
          <w:rFonts w:ascii="宋体" w:hint="eastAsia"/>
          <w:color w:val="000000"/>
          <w:sz w:val="24"/>
        </w:rPr>
        <w:t>附件八：设备到货验收报告</w:t>
      </w:r>
    </w:p>
    <w:p>
      <w:pPr>
        <w:pStyle w:val="50100"/>
        <w:spacing w:line="360" w:lineRule="auto"/>
        <w:ind w:firstLine="480" w:firstLineChars="200"/>
        <w:rPr>
          <w:rFonts w:ascii="宋体"/>
          <w:color w:val="000000"/>
          <w:sz w:val="24"/>
        </w:rPr>
      </w:pPr>
      <w:r>
        <w:rPr>
          <w:rFonts w:ascii="宋体" w:hint="eastAsia"/>
          <w:color w:val="000000"/>
          <w:sz w:val="24"/>
        </w:rPr>
        <w:t>附件九：廉政协议</w:t>
      </w:r>
    </w:p>
    <w:p>
      <w:pPr>
        <w:pStyle w:val="50100"/>
        <w:spacing w:line="360" w:lineRule="auto"/>
        <w:rPr>
          <w:rFonts w:ascii="宋体"/>
          <w:color w:val="000000"/>
          <w:sz w:val="24"/>
        </w:rPr>
      </w:pPr>
    </w:p>
    <w:p>
      <w:pPr>
        <w:pStyle w:val="50100"/>
        <w:spacing w:line="360" w:lineRule="auto"/>
        <w:rPr>
          <w:rFonts w:ascii="宋体"/>
          <w:color w:val="000000"/>
          <w:sz w:val="24"/>
        </w:rPr>
      </w:pPr>
    </w:p>
    <w:p>
      <w:pPr>
        <w:pStyle w:val="50100"/>
        <w:spacing w:line="360" w:lineRule="auto"/>
        <w:rPr>
          <w:rFonts w:ascii="宋体"/>
          <w:color w:val="000000"/>
          <w:sz w:val="24"/>
        </w:rPr>
      </w:pPr>
      <w:r>
        <w:rPr>
          <w:rFonts w:ascii="宋体" w:hint="eastAsia"/>
          <w:color w:val="000000"/>
          <w:sz w:val="24"/>
        </w:rPr>
        <w:t>甲方（公章</w:t>
      </w:r>
      <w:r>
        <w:rPr>
          <w:rFonts w:ascii="宋体" w:hint="eastAsia"/>
          <w:snapToGrid w:val="0"/>
          <w:kern w:val="0"/>
          <w:sz w:val="24"/>
        </w:rPr>
        <w:t>或合同章</w:t>
      </w:r>
      <w:r>
        <w:rPr>
          <w:rFonts w:ascii="宋体" w:hint="eastAsia"/>
          <w:color w:val="000000"/>
          <w:sz w:val="24"/>
        </w:rPr>
        <w:t>）：</w:t>
      </w:r>
      <w:r>
        <w:rPr>
          <w:rFonts w:ascii="宋体"/>
          <w:color w:val="000000"/>
          <w:sz w:val="24"/>
        </w:rPr>
        <w:t xml:space="preserve">             </w:t>
      </w:r>
      <w:r>
        <w:rPr>
          <w:rFonts w:ascii="宋体" w:hint="eastAsia"/>
          <w:color w:val="000000"/>
          <w:sz w:val="24"/>
        </w:rPr>
        <w:t>乙方（公章</w:t>
      </w:r>
      <w:r>
        <w:rPr>
          <w:rFonts w:ascii="宋体" w:hint="eastAsia"/>
          <w:snapToGrid w:val="0"/>
          <w:kern w:val="0"/>
          <w:sz w:val="24"/>
        </w:rPr>
        <w:t>或合同章</w:t>
      </w:r>
      <w:r>
        <w:rPr>
          <w:rFonts w:ascii="宋体" w:hint="eastAsia"/>
          <w:color w:val="000000"/>
          <w:sz w:val="24"/>
        </w:rPr>
        <w:t>）：</w:t>
      </w:r>
    </w:p>
    <w:p>
      <w:pPr>
        <w:pStyle w:val="50100"/>
        <w:spacing w:line="360" w:lineRule="auto"/>
        <w:rPr>
          <w:rFonts w:ascii="宋体"/>
          <w:color w:val="000000"/>
          <w:sz w:val="24"/>
        </w:rPr>
      </w:pPr>
      <w:r>
        <w:rPr>
          <w:rFonts w:ascii="宋体" w:hint="eastAsia"/>
          <w:color w:val="000000"/>
          <w:sz w:val="24"/>
        </w:rPr>
        <w:t>法定代表人</w:t>
      </w:r>
      <w:r>
        <w:rPr>
          <w:rFonts w:ascii="宋体"/>
          <w:color w:val="000000"/>
          <w:sz w:val="24"/>
        </w:rPr>
        <w:t xml:space="preserve">                        </w:t>
      </w:r>
      <w:r>
        <w:rPr>
          <w:rFonts w:ascii="宋体" w:hint="eastAsia"/>
          <w:color w:val="000000"/>
          <w:sz w:val="24"/>
        </w:rPr>
        <w:t>法定代表人</w:t>
      </w:r>
    </w:p>
    <w:p>
      <w:pPr>
        <w:pStyle w:val="50100"/>
        <w:spacing w:line="360" w:lineRule="auto"/>
        <w:rPr>
          <w:rFonts w:ascii="宋体"/>
          <w:color w:val="000000"/>
          <w:sz w:val="24"/>
        </w:rPr>
      </w:pPr>
      <w:r>
        <w:rPr>
          <w:rFonts w:ascii="宋体" w:hint="eastAsia"/>
          <w:color w:val="000000"/>
          <w:sz w:val="24"/>
        </w:rPr>
        <w:t>或授权签字人（签字）：</w:t>
      </w:r>
      <w:r>
        <w:rPr>
          <w:rFonts w:ascii="宋体"/>
          <w:color w:val="000000"/>
          <w:sz w:val="24"/>
        </w:rPr>
        <w:t xml:space="preserve">             </w:t>
      </w:r>
      <w:r>
        <w:rPr>
          <w:rFonts w:ascii="宋体" w:hint="eastAsia"/>
          <w:color w:val="000000"/>
          <w:sz w:val="24"/>
        </w:rPr>
        <w:t>或授权签字人（签字）：</w:t>
      </w:r>
    </w:p>
    <w:p>
      <w:pPr>
        <w:pStyle w:val="50100"/>
        <w:spacing w:line="360" w:lineRule="auto"/>
        <w:rPr>
          <w:rFonts w:ascii="宋体"/>
          <w:color w:val="000000"/>
          <w:sz w:val="24"/>
        </w:rPr>
      </w:pPr>
    </w:p>
    <w:p>
      <w:pPr>
        <w:pStyle w:val="50100"/>
        <w:spacing w:line="360" w:lineRule="auto"/>
      </w:pPr>
      <w:r>
        <w:rPr>
          <w:rFonts w:hint="eastAsia"/>
        </w:rPr>
        <w:t>日期：</w:t>
      </w:r>
      <w:r>
        <w:t xml:space="preserve"> </w:t>
      </w:r>
      <w:r>
        <w:rPr>
          <w:rFonts w:hint="eastAsia"/>
        </w:rPr>
        <w:t>年</w:t>
      </w:r>
      <w:r>
        <w:t xml:space="preserve">  </w:t>
      </w:r>
      <w:r>
        <w:rPr>
          <w:rFonts w:hint="eastAsia"/>
        </w:rPr>
        <w:t>月</w:t>
      </w:r>
      <w:r>
        <w:t xml:space="preserve">  </w:t>
      </w:r>
      <w:r>
        <w:rPr>
          <w:rFonts w:hint="eastAsia"/>
        </w:rPr>
        <w:t>日</w:t>
      </w:r>
      <w:r>
        <w:t xml:space="preserve">                 </w:t>
      </w:r>
      <w:r>
        <w:rPr>
          <w:rFonts w:hint="eastAsia"/>
        </w:rPr>
        <w:t>日期：</w:t>
      </w:r>
      <w:r>
        <w:t xml:space="preserve">   </w:t>
      </w:r>
      <w:r>
        <w:rPr>
          <w:rFonts w:hint="eastAsia"/>
        </w:rPr>
        <w:t>年</w:t>
      </w:r>
      <w:r>
        <w:t xml:space="preserve">   </w:t>
      </w:r>
      <w:r>
        <w:rPr>
          <w:rFonts w:hint="eastAsia"/>
        </w:rPr>
        <w:t>月</w:t>
      </w:r>
      <w:r>
        <w:t xml:space="preserve">   </w:t>
      </w:r>
      <w:r>
        <w:rPr>
          <w:rFonts w:hint="eastAsia"/>
        </w:rPr>
        <w:t>日</w:t>
      </w:r>
      <w:r>
        <w:t xml:space="preserve">   </w:t>
      </w:r>
      <w:bookmarkEnd w:id="48"/>
      <w:r>
        <w:t xml:space="preserve"> </w:t>
      </w:r>
    </w:p>
    <w:p>
      <w:pPr>
        <w:pStyle w:val="2105"/>
        <w:wordWrap w:val="0"/>
        <w:spacing w:line="560" w:lineRule="exact"/>
        <w:ind w:left="-1571" w:firstLine="1350" w:firstLineChars="450"/>
        <w:jc w:val="right"/>
        <w:rPr>
          <w:rFonts w:ascii="方正仿宋_GBK" w:eastAsia="方正仿宋_GBK" w:cs="方正仿宋_GBK" w:hint="eastAsia"/>
          <w:color w:val="000000"/>
          <w:sz w:val="30"/>
          <w:szCs w:val="30"/>
          <w:lang w:bidi="ar-SA"/>
        </w:rPr>
      </w:pPr>
      <w:bookmarkEnd w:id="47"/>
    </w:p>
    <w:p/>
    <w:p/>
    <w:p/>
    <w:p/>
    <w:p/>
    <w:p>
      <w:pPr>
        <w:pStyle w:val="Heading1"/>
        <w:rPr>
          <w:rFonts w:hint="eastAsia"/>
          <w:highlight w:val="white"/>
        </w:rPr>
      </w:pPr>
      <w:r>
        <w:rPr>
          <w:rFonts w:hint="eastAsia"/>
          <w:highlight w:val="white"/>
        </w:rPr>
        <w:br w:type="page"/>
      </w:r>
      <w:bookmarkStart w:id="50" w:name="_Toc47661360"/>
      <w:r>
        <w:rPr>
          <w:rFonts w:hint="eastAsia"/>
          <w:highlight w:val="white"/>
        </w:rPr>
        <w:t>第六部分  投标文件格式</w:t>
      </w:r>
      <w:bookmarkEnd w:id="50"/>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1"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186810"/>
        <w:autoSpaceDN w:val="0"/>
        <w:rPr>
          <w:rFonts w:ascii="宋体" w:eastAsia="宋体" w:hint="eastAsia"/>
          <w:sz w:val="24"/>
          <w:szCs w:val="24"/>
          <w:lang w:eastAsia="zh-CN"/>
        </w:rPr>
      </w:pPr>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3"/>
        <w:gridCol w:w="6681"/>
        <w:gridCol w:w="1145"/>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1</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2</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rFonts w:hint="eastAsia"/>
              </w:rPr>
              <w:t>3</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pPr>
            <w:r>
              <w:t>4</w:t>
            </w:r>
          </w:p>
        </w:tc>
        <w:tc>
          <w:tcPr>
            <w:tcW w:w="6681" w:type="dxa"/>
            <w:tcBorders>
              <w:top w:val="single" w:sz="4" w:space="0" w:color="auto"/>
              <w:left w:val="single" w:sz="4" w:space="0" w:color="auto"/>
              <w:right w:val="single" w:sz="4" w:space="0" w:color="auto"/>
            </w:tcBorders>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highlight w:val="none"/>
              </w:rPr>
            </w:pPr>
            <w:r>
              <w:rPr>
                <w:highlight w:val="none"/>
              </w:rPr>
              <w:t>5</w:t>
            </w:r>
          </w:p>
        </w:tc>
        <w:tc>
          <w:tcPr>
            <w:tcW w:w="6681" w:type="dxa"/>
            <w:tcBorders>
              <w:top w:val="single" w:sz="4" w:space="0" w:color="auto"/>
              <w:left w:val="single" w:sz="4" w:space="0" w:color="auto"/>
              <w:right w:val="single" w:sz="4" w:space="0" w:color="auto"/>
            </w:tcBorders>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03" w:type="dxa"/>
            <w:vAlign w:val="center"/>
          </w:tcPr>
          <w:p>
            <w:pPr>
              <w:pStyle w:val="2341"/>
              <w:jc w:val="center"/>
              <w:rPr>
                <w:rFonts w:hint="eastAsia"/>
              </w:rPr>
            </w:pPr>
            <w:r>
              <w:rPr>
                <w:highlight w:val="none"/>
              </w:rPr>
              <w:t>6</w:t>
            </w:r>
          </w:p>
        </w:tc>
        <w:tc>
          <w:tcPr>
            <w:tcW w:w="6681" w:type="dxa"/>
            <w:tcBorders>
              <w:top w:val="single" w:sz="4" w:space="0" w:color="auto"/>
              <w:left w:val="single" w:sz="4" w:space="0" w:color="auto"/>
              <w:right w:val="single" w:sz="4" w:space="0" w:color="auto"/>
            </w:tcBorders>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8711"/>
        <w:numPr>
          <w:ilvl w:val="0"/>
          <w:numId w:val="2"/>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pPr>
    </w:p>
    <w:p>
      <w:pPr>
        <w:pStyle w:val="116710"/>
      </w:pPr>
    </w:p>
    <w:p>
      <w:pPr>
        <w:pStyle w:val="116710"/>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2" w:name="_Toc499068169"/>
      <w:bookmarkStart w:id="53" w:name="_Toc46196323"/>
      <w:bookmarkStart w:id="54" w:name="_Toc485990833"/>
      <w:r>
        <w:rPr>
          <w:rFonts w:ascii="宋体" w:eastAsia="宋体" w:hint="eastAsia"/>
          <w:szCs w:val="32"/>
          <w:lang w:eastAsia="zh-CN"/>
        </w:rPr>
        <w:t>投标函</w:t>
      </w:r>
      <w:bookmarkEnd w:id="52"/>
      <w:bookmarkEnd w:id="53"/>
      <w:bookmarkEnd w:id="54"/>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jc w:val="left"/>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jc w:val="left"/>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jc w:val="left"/>
          <w:tblInd w:w="0" w:type="dxa"/>
          <w:tblLayout w:type="fixed"/>
          <w:tblCellMar>
            <w:top w:w="0" w:type="dxa"/>
            <w:left w:w="28" w:type="dxa"/>
            <w:bottom w:w="0" w:type="dxa"/>
            <w:right w:w="28" w:type="dxa"/>
          </w:tblCellMar>
        </w:tblPrEx>
        <w:trPr>
          <w:trHeight w:val="454"/>
          <w:jc w:val="left"/>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5" w:name="_Toc499068185"/>
      <w:bookmarkStart w:id="56" w:name="_Toc485990851"/>
      <w:r>
        <w:rPr>
          <w:rFonts w:ascii="宋体" w:eastAsia="宋体" w:hint="eastAsia"/>
          <w:szCs w:val="32"/>
          <w:lang w:eastAsia="zh-CN"/>
        </w:rPr>
        <w:t>技术偏离表</w:t>
      </w:r>
      <w:bookmarkEnd w:id="55"/>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6"/>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_Toc499068185_0"/>
      <w:r>
        <w:rPr>
          <w:rFonts w:ascii="宋体" w:eastAsia="宋体" w:hint="eastAsia"/>
          <w:szCs w:val="32"/>
          <w:lang w:eastAsia="zh-CN"/>
        </w:rPr>
        <w:t>技术偏离表</w:t>
      </w:r>
      <w:bookmarkEnd w:id="57"/>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52"/>
        <w:gridCol w:w="713"/>
        <w:gridCol w:w="3552"/>
        <w:gridCol w:w="713"/>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11"/>
        <w:gridCol w:w="918"/>
        <w:gridCol w:w="543"/>
        <w:gridCol w:w="1855"/>
        <w:gridCol w:w="543"/>
        <w:gridCol w:w="918"/>
        <w:gridCol w:w="69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r>
              <w:rPr>
                <w:rFonts w:ascii="宋体" w:eastAsia="宋体" w:hint="eastAsia"/>
                <w:sz w:val="24"/>
              </w:rPr>
              <w:t>序号</w:t>
            </w:r>
          </w:p>
        </w:tc>
        <w:tc>
          <w:tcPr>
            <w:tcW w:w="2511" w:type="dxa"/>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vAlign w:val="center"/>
          </w:tcPr>
          <w:p>
            <w:pPr>
              <w:pStyle w:val="3100"/>
              <w:jc w:val="center"/>
              <w:rPr>
                <w:rFonts w:ascii="宋体" w:eastAsia="宋体" w:hint="eastAsia"/>
                <w:sz w:val="24"/>
              </w:rPr>
            </w:pPr>
            <w:r>
              <w:rPr>
                <w:rFonts w:ascii="宋体" w:eastAsia="宋体" w:hint="eastAsia"/>
                <w:sz w:val="24"/>
              </w:rPr>
              <w:t>规格型号</w:t>
            </w:r>
          </w:p>
        </w:tc>
        <w:tc>
          <w:tcPr>
            <w:tcW w:w="543" w:type="dxa"/>
            <w:vAlign w:val="center"/>
          </w:tcPr>
          <w:p>
            <w:pPr>
              <w:pStyle w:val="3100"/>
              <w:jc w:val="center"/>
              <w:rPr>
                <w:rFonts w:ascii="宋体" w:eastAsia="宋体" w:hint="eastAsia"/>
                <w:sz w:val="24"/>
              </w:rPr>
            </w:pPr>
            <w:r>
              <w:rPr>
                <w:rFonts w:ascii="宋体" w:eastAsia="宋体" w:hint="eastAsia"/>
                <w:sz w:val="24"/>
              </w:rPr>
              <w:t>品牌</w:t>
            </w:r>
          </w:p>
        </w:tc>
        <w:tc>
          <w:tcPr>
            <w:tcW w:w="1855" w:type="dxa"/>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vAlign w:val="center"/>
          </w:tcPr>
          <w:p>
            <w:pPr>
              <w:pStyle w:val="3100"/>
              <w:jc w:val="center"/>
              <w:rPr>
                <w:rFonts w:ascii="宋体" w:eastAsia="宋体" w:hint="eastAsia"/>
                <w:sz w:val="24"/>
              </w:rPr>
            </w:pPr>
            <w:r>
              <w:rPr>
                <w:rFonts w:ascii="宋体" w:eastAsia="宋体" w:hint="eastAsia"/>
                <w:sz w:val="24"/>
              </w:rPr>
              <w:t>数量</w:t>
            </w:r>
          </w:p>
        </w:tc>
        <w:tc>
          <w:tcPr>
            <w:tcW w:w="918" w:type="dxa"/>
            <w:vAlign w:val="center"/>
          </w:tcPr>
          <w:p>
            <w:pPr>
              <w:pStyle w:val="3100"/>
              <w:jc w:val="center"/>
              <w:rPr>
                <w:rFonts w:ascii="宋体" w:eastAsia="宋体" w:hint="eastAsia"/>
                <w:sz w:val="24"/>
              </w:rPr>
            </w:pPr>
            <w:r>
              <w:rPr>
                <w:rFonts w:ascii="宋体" w:eastAsia="宋体" w:hint="eastAsia"/>
                <w:sz w:val="24"/>
              </w:rPr>
              <w:t>单价(元)</w:t>
            </w:r>
          </w:p>
        </w:tc>
        <w:tc>
          <w:tcPr>
            <w:tcW w:w="696" w:type="dxa"/>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543" w:type="dxa"/>
            <w:vAlign w:val="center"/>
          </w:tcPr>
          <w:p>
            <w:pPr>
              <w:pStyle w:val="3100"/>
              <w:jc w:val="center"/>
              <w:rPr>
                <w:rFonts w:ascii="宋体" w:eastAsia="宋体" w:hint="eastAsia"/>
                <w:sz w:val="24"/>
              </w:rPr>
            </w:pPr>
          </w:p>
        </w:tc>
        <w:tc>
          <w:tcPr>
            <w:tcW w:w="2511"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1855"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543"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918" w:type="dxa"/>
            <w:tcBorders>
              <w:top w:val="single" w:sz="4" w:space="0" w:color="auto"/>
              <w:left w:val="single" w:sz="4" w:space="0" w:color="auto"/>
              <w:right w:val="single" w:sz="4" w:space="0" w:color="auto"/>
            </w:tcBorders>
            <w:vAlign w:val="center"/>
          </w:tcPr>
          <w:p>
            <w:pPr>
              <w:pStyle w:val="3100"/>
              <w:jc w:val="center"/>
              <w:rPr>
                <w:rFonts w:ascii="宋体" w:eastAsia="宋体" w:hint="eastAsia"/>
                <w:sz w:val="24"/>
              </w:rPr>
            </w:pPr>
          </w:p>
        </w:tc>
        <w:tc>
          <w:tcPr>
            <w:tcW w:w="696" w:type="dxa"/>
            <w:vAlign w:val="center"/>
          </w:tcPr>
          <w:p>
            <w:pPr>
              <w:pStyle w:val="3100"/>
              <w:jc w:val="center"/>
              <w:rPr>
                <w:rFonts w:ascii="宋体" w:eastAsia="宋体" w:hint="eastAsia"/>
                <w:sz w:val="24"/>
              </w:rPr>
            </w:pPr>
          </w:p>
        </w:tc>
      </w:tr>
      <w:tr>
        <w:tblPrEx>
          <w:tblW w:w="5000" w:type="pct"/>
          <w:jc w:val="left"/>
          <w:tblInd w:w="0" w:type="dxa"/>
          <w:tblCellMar>
            <w:top w:w="0" w:type="dxa"/>
            <w:left w:w="108" w:type="dxa"/>
            <w:bottom w:w="0" w:type="dxa"/>
            <w:right w:w="108" w:type="dxa"/>
          </w:tblCellMar>
        </w:tblPrEx>
        <w:trPr>
          <w:trHeight w:val="567"/>
          <w:jc w:val="left"/>
        </w:trPr>
        <w:tc>
          <w:tcPr>
            <w:tcW w:w="7831" w:type="dxa"/>
            <w:gridSpan w:val="7"/>
            <w:vAlign w:val="center"/>
          </w:tcPr>
          <w:p>
            <w:pPr>
              <w:pStyle w:val="3100"/>
              <w:jc w:val="center"/>
              <w:rPr>
                <w:rFonts w:ascii="宋体" w:eastAsia="宋体" w:hint="eastAsia"/>
                <w:sz w:val="24"/>
              </w:rPr>
            </w:pPr>
            <w:r>
              <w:rPr>
                <w:rFonts w:ascii="宋体" w:eastAsia="宋体" w:hint="eastAsia"/>
                <w:sz w:val="24"/>
              </w:rPr>
              <w:t>总价（元）</w:t>
            </w:r>
          </w:p>
        </w:tc>
        <w:tc>
          <w:tcPr>
            <w:tcW w:w="696" w:type="dxa"/>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1"/>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DejaVu Sans"/>
    <w:panose1 w:val="020F0502020204030204"/>
    <w:charset w:val="86"/>
    <w:family w:val="swiss"/>
    <w:pitch w:val="variable"/>
    <w:sig w:usb0="E00002FF" w:usb1="4000ACFF" w:usb2="00000001" w:usb3="00000000" w:csb0="2004019F" w:csb1="00000000"/>
  </w:font>
  <w:font w:name="Times New Roman">
    <w:altName w:val="DejaVu Sans"/>
    <w:panose1 w:val="02020603050405020304"/>
    <w:charset w:val="CC"/>
    <w:family w:val="roman"/>
    <w:pitch w:val="variable"/>
    <w:sig w:usb0="E0002AFF" w:usb1="C0007841" w:usb2="00000009" w:usb3="00000000" w:csb0="400001FF" w:csb1="FFFF0000"/>
  </w:font>
  <w:font w:name="等线">
    <w:altName w:val="方正黑体_GBK"/>
    <w:panose1 w:val="02010600030101010101"/>
    <w:charset w:val="86"/>
    <w:family w:val="auto"/>
    <w:pitch w:val="variable"/>
    <w:sig w:usb0="A00002BF" w:usb1="38CF7CFA" w:usb2="00000016" w:usb3="00000000" w:csb0="0004000F" w:csb1="00000000"/>
  </w:font>
  <w:font w:name="微软雅黑">
    <w:altName w:val="华文细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auto"/>
    <w:pitch w:val="variable"/>
    <w:sig w:usb0="800002BF" w:usb1="38CF7CFA" w:usb2="00000016" w:usb3="00000000" w:csb0="00040001" w:csb1="00000000"/>
  </w:font>
  <w:font w:name="方正楷体_GBK">
    <w:panose1 w:val="03000509000000000000"/>
    <w:charset w:val="86"/>
    <w:family w:val="script"/>
    <w:pitch w:val="variable"/>
    <w:sig w:usb0="00000001" w:usb1="080E0000" w:usb2="00000010" w:usb3="00000000" w:csb0="00040000" w:csb1="00000000"/>
  </w:font>
  <w:font w:name="方正黑体_GBK">
    <w:altName w:val="微软雅黑"/>
    <w:panose1 w:val="03000509000000000000"/>
    <w:charset w:val="86"/>
    <w:family w:val="script"/>
    <w:pitch w:val="variable"/>
    <w:sig w:usb0="00000001" w:usb1="080E0000" w:usb2="00000000" w:usb3="00000000" w:csb0="00040000" w:csb1="00000000"/>
  </w:font>
  <w:font w:name="Segoe UI Symbol">
    <w:altName w:val="DejaVu Sans"/>
    <w:panose1 w:val="020B0502040204020203"/>
    <w:charset w:val="00"/>
    <w:family w:val="swiss"/>
    <w:pitch w:val="variable"/>
    <w:sig w:usb0="800001E3" w:usb1="1200FFEF" w:usb2="00040000" w:usb3="00000000" w:csb0="00000001" w:csb1="00000000"/>
  </w:font>
  <w:font w:name="方正小标宋_GBK">
    <w:panose1 w:val="03000509000000000000"/>
    <w:charset w:val="86"/>
    <w:family w:val="script"/>
    <w:pitch w:val="variable"/>
    <w:sig w:usb0="00000001" w:usb1="080E0000" w:usb2="0000000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方正黑体_GBK"/>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DejaVu Sans">
    <w:panose1 w:val="020B0603030804020204"/>
    <w:charset w:val="00"/>
    <w:family w:val="auto"/>
    <w:pitch w:val="variable"/>
    <w:sig w:usb0="E7006EFF" w:usb1="D200FDFF" w:usb2="0A246029" w:usb3="0400200C" w:csb0="600001FF" w:csb1="DFFF0000"/>
  </w:font>
  <w:font w:name="Wingdings">
    <w:altName w:val="DejaVu Sans"/>
    <w:panose1 w:val="05000000000000000000"/>
    <w:charset w:val="02"/>
    <w:family w:val="auto"/>
    <w:pitch w:val="variable"/>
    <w:sig w:usb0="00000000" w:usb1="0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83"/>
      <w:tabs>
        <w:tab w:val="center" w:pos="4153"/>
        <w:tab w:val="right" w:pos="8306"/>
      </w:tabs>
      <w:ind w:right="360"/>
      <w:jc w:val="center"/>
    </w:pPr>
    <w:r>
      <mc:AlternateContent>
        <mc:Choice Requires="wps">
          <w:drawing>
            <wp:anchor distT="0" distB="0" distL="112395" distR="112395" simplePos="0" relativeHeight="251658240" behindDoc="0" locked="0" layoutInCell="1" allowOverlap="1">
              <wp:simplePos x="0" y="0"/>
              <wp:positionH relativeFrom="margin">
                <wp:align>center</wp:align>
              </wp:positionH>
              <wp:positionV relativeFrom="paragraph">
                <wp:posOffset>608965</wp:posOffset>
              </wp:positionV>
              <wp:extent cx="533018" cy="427174"/>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533018" cy="427174"/>
                      </a:xfrm>
                      <a:prstGeom prst="rect">
                        <a:avLst/>
                      </a:prstGeom>
                      <a:noFill/>
                      <a:ln w="9525">
                        <a:noFill/>
                        <a:prstDash val="solid"/>
                        <a:miter lim="0"/>
                      </a:ln>
                    </wps:spPr>
                    <wps:txbx id="2">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wps:txbx>
                    <wps:bodyPr vert="horz" wrap="none" lIns="0" tIns="0" rIns="0" bIns="0" anchor="t" anchorCtr="0" upright="1">
                      <a:spAutoFit/>
                    </wps:bodyPr>
                  </wps:wsp>
                </a:graphicData>
              </a:graphic>
            </wp:anchor>
          </w:drawing>
        </mc:Choice>
        <mc:Fallback>
          <w:pict>
            <v:rect id="矩形 2 3" o:spid="_x0000_s2049" style="width:41.97pt;height:33.64pt;margin-top:47.95pt;margin-left:0;mso-position-horizontal:center;mso-position-horizontal-relative:margin;mso-wrap-distance-left:8.85pt;mso-wrap-distance-right:8.85pt;mso-wrap-style:none;position:absolute;z-index:251659264" filled="f" stroked="f" strokecolor="black">
              <v:textbox style="layout-flow:horizontal;mso-fit-shape-to-text:t" inset="0,0,0,0">
                <w:txbxContent>
                  <w:p>
                    <w:pPr>
                      <w:pStyle w:val="344"/>
                      <w:tabs>
                        <w:tab w:val="center" w:pos="4153"/>
                        <w:tab w:val="right" w:pos="8306"/>
                      </w:tabs>
                    </w:pPr>
                    <w:r>
                      <w:rPr>
                        <w:rFonts w:ascii="宋体" w:cs="宋体" w:hint="eastAsia"/>
                        <w:sz w:val="21"/>
                        <w:szCs w:val="21"/>
                        <w:lang w:bidi="ar-SA"/>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p>
                  <w:p>
                    <w:pPr>
                      <w:pStyle w:val="651"/>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77"/>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8"/>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6"/>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4"/>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2">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5">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6">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9">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0">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2">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FFFFF81"/>
    <w:multiLevelType w:val="singleLevel"/>
    <w:tmpl w:val="00000000"/>
    <w:lvl w:ilvl="0">
      <w:start w:val="1"/>
      <w:numFmt w:val="bullet"/>
      <w:pStyle w:val="ListNumber5"/>
      <w:lvlText w:val="●"/>
      <w:lvlJc w:val="left"/>
      <w:pPr>
        <w:tabs>
          <w:tab w:val="num" w:pos="1620"/>
        </w:tabs>
        <w:ind w:left="1620" w:hanging="360"/>
      </w:pPr>
      <w:rPr>
        <w:rFonts w:ascii="DejaVu Sans" w:hAnsi="DejaVu Sans" w:hint="default"/>
      </w:rPr>
    </w:lvl>
  </w:abstractNum>
  <w:abstractNum w:abstractNumId="14">
    <w:nsid w:val="0FFFFF82"/>
    <w:multiLevelType w:val="singleLevel"/>
    <w:tmpl w:val="00000000"/>
    <w:lvl w:ilvl="0">
      <w:start w:val="1"/>
      <w:numFmt w:val="bullet"/>
      <w:pStyle w:val="Subtitle"/>
      <w:lvlText w:val="●"/>
      <w:lvlJc w:val="left"/>
      <w:pPr>
        <w:tabs>
          <w:tab w:val="num" w:pos="1200"/>
        </w:tabs>
        <w:ind w:left="1200" w:hanging="360"/>
      </w:pPr>
      <w:rPr>
        <w:rFonts w:ascii="DejaVu Sans" w:hAnsi="DejaVu Sans" w:hint="default"/>
      </w:rPr>
    </w:lvl>
  </w:abstractNum>
  <w:abstractNum w:abstractNumId="15">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64814649"/>
    <w:multiLevelType w:val="singleLevel"/>
    <w:tmpl w:val="64814649"/>
    <w:lvl w:ilvl="0">
      <w:start w:val="2"/>
      <w:numFmt w:val="chineseCounting"/>
      <w:suff w:val="nothing"/>
      <w:lvlText w:val="%1、"/>
      <w:lvlJc w:val="left"/>
    </w:lvl>
  </w:abstractNum>
  <w:abstractNum w:abstractNumId="18">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9"/>
    <w:lvlOverride w:ilvl="0">
      <w:startOverride w:val="1"/>
      <w:lvl w:ilvl="0">
        <w:start w:val="1"/>
        <w:numFmt w:val="decimal"/>
        <w:lvlText w:val="%1."/>
        <w:lvlJc w:val="left"/>
        <w:pPr>
          <w:tabs>
            <w:tab w:val="num" w:pos="360"/>
          </w:tabs>
          <w:ind w:left="0" w:firstLine="0"/>
        </w:pPr>
      </w:lvl>
    </w:lvlOverride>
    <w:lvlOverride w:ilvl="1">
      <w:startOverride w:val="1"/>
      <w:lvl w:ilvl="1">
        <w:start w:val="1"/>
        <w:numFmt w:val="decimal"/>
        <w:lvlText w:val="%1.%2"/>
        <w:lvlJc w:val="left"/>
        <w:pPr>
          <w:tabs>
            <w:tab w:val="num" w:pos="360"/>
          </w:tabs>
          <w:ind w:left="0" w:firstLine="0"/>
        </w:pPr>
      </w:lvl>
    </w:lvlOverride>
    <w:lvlOverride w:ilvl="2">
      <w:startOverride w:val="1"/>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startOverride w:val="1"/>
      <w:lvl w:ilvl="4">
        <w:start w:val="1"/>
        <w:numFmt w:val="decimal"/>
        <w:lvlText w:val="%1.%2.%3.%4.%5."/>
        <w:lvlJc w:val="right"/>
        <w:pPr>
          <w:tabs>
            <w:tab w:val="num" w:pos="0"/>
          </w:tabs>
          <w:ind w:left="992" w:hanging="992"/>
        </w:pPr>
      </w:lvl>
    </w:lvlOverride>
    <w:lvlOverride w:ilvl="5">
      <w:startOverride w:val="1"/>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17"/>
  </w:num>
  <w:num w:numId="3">
    <w:abstractNumId w:val="4"/>
    <w:lvlOverride w:ilvl="0">
      <w:lvl w:ilvl="0">
        <w:start w:val="1"/>
        <w:numFmt w:val="decimal"/>
        <w:lvlText w:val="（"/>
        <w:lvlJc w:val="left"/>
        <w:pPr>
          <w:tabs>
            <w:tab w:val="num" w:pos="1395"/>
          </w:tabs>
          <w:ind w:left="0" w:firstLine="0"/>
        </w:pPr>
      </w:lvl>
    </w:lvlOverride>
    <w:lvlOverride w:ilvl="1">
      <w:lvl w:ilvl="1">
        <w:start w:val="1"/>
        <w:numFmt w:val="decimal"/>
        <w:lvlText w:val=")"/>
        <w:lvlJc w:val="left"/>
        <w:pPr>
          <w:tabs>
            <w:tab w:val="num" w:pos="1380"/>
          </w:tabs>
          <w:ind w:left="0" w:firstLine="0"/>
        </w:pPr>
      </w:lvl>
    </w:lvlOverride>
    <w:lvlOverride w:ilvl="2">
      <w:lvl w:ilvl="2">
        <w:start w:val="1"/>
        <w:numFmt w:val="decimal"/>
        <w:lvlText w:val="."/>
        <w:lvlJc w:val="right"/>
        <w:pPr>
          <w:tabs>
            <w:tab w:val="num" w:pos="1800"/>
          </w:tabs>
          <w:ind w:left="0" w:firstLine="0"/>
        </w:pPr>
      </w:lvl>
    </w:lvlOverride>
    <w:lvlOverride w:ilvl="3">
      <w:lvl w:ilvl="3">
        <w:start w:val="1"/>
        <w:numFmt w:val="decimal"/>
        <w:lvlText w:val="."/>
        <w:lvlJc w:val="left"/>
        <w:pPr>
          <w:tabs>
            <w:tab w:val="num" w:pos="2220"/>
          </w:tabs>
          <w:ind w:left="0" w:firstLine="0"/>
        </w:pPr>
      </w:lvl>
    </w:lvlOverride>
    <w:lvlOverride w:ilvl="4">
      <w:lvl w:ilvl="4">
        <w:start w:val="1"/>
        <w:numFmt w:val="decimal"/>
        <w:lvlText w:val=")"/>
        <w:lvlJc w:val="left"/>
        <w:pPr>
          <w:tabs>
            <w:tab w:val="num" w:pos="2640"/>
          </w:tabs>
          <w:ind w:left="0" w:firstLine="0"/>
        </w:pPr>
      </w:lvl>
    </w:lvlOverride>
    <w:lvlOverride w:ilvl="5">
      <w:lvl w:ilvl="5">
        <w:start w:val="1"/>
        <w:numFmt w:val="decimal"/>
        <w:lvlText w:val="."/>
        <w:lvlJc w:val="right"/>
        <w:pPr>
          <w:tabs>
            <w:tab w:val="num" w:pos="3060"/>
          </w:tabs>
          <w:ind w:left="0" w:firstLine="0"/>
        </w:pPr>
      </w:lvl>
    </w:lvlOverride>
    <w:lvlOverride w:ilvl="6">
      <w:lvl w:ilvl="6">
        <w:start w:val="1"/>
        <w:numFmt w:val="decimal"/>
        <w:lvlText w:val="."/>
        <w:lvlJc w:val="left"/>
        <w:pPr>
          <w:tabs>
            <w:tab w:val="num" w:pos="3480"/>
          </w:tabs>
          <w:ind w:left="0" w:firstLine="0"/>
        </w:pPr>
      </w:lvl>
    </w:lvlOverride>
    <w:lvlOverride w:ilvl="7">
      <w:lvl w:ilvl="7">
        <w:start w:val="1"/>
        <w:numFmt w:val="decimal"/>
        <w:lvlText w:val=")"/>
        <w:lvlJc w:val="left"/>
        <w:pPr>
          <w:tabs>
            <w:tab w:val="num" w:pos="3900"/>
          </w:tabs>
          <w:ind w:left="0" w:firstLine="0"/>
        </w:pPr>
      </w:lvl>
    </w:lvlOverride>
    <w:lvlOverride w:ilvl="8">
      <w:lvl w:ilvl="8">
        <w:start w:val="1"/>
        <w:numFmt w:val="decimal"/>
        <w:lvlText w:val="."/>
        <w:lvlJc w:val="right"/>
        <w:pPr>
          <w:tabs>
            <w:tab w:val="num" w:pos="4320"/>
          </w:tabs>
          <w:ind w:left="0" w:firstLine="0"/>
        </w:pPr>
      </w:lvl>
    </w:lvlOverride>
  </w:num>
  <w:num w:numId="4">
    <w:abstractNumId w:val="20"/>
    <w:lvlOverride w:ilvl="0">
      <w:startOverride w:val="1"/>
      <w:lvl w:ilvl="0">
        <w:start w:val="1"/>
        <w:numFmt w:val="decimal"/>
        <w:lvlText w:val="（%1）"/>
        <w:lvlJc w:val="left"/>
        <w:pPr>
          <w:tabs>
            <w:tab w:val="num" w:pos="420"/>
          </w:tabs>
          <w:ind w:left="420" w:hanging="42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5">
    <w:abstractNumId w:val="19"/>
    <w:lvlOverride w:ilvl="0">
      <w:startOverride w:val="1"/>
      <w:lvl w:ilvl="0">
        <w:start w:val="1"/>
        <w:numFmt w:val="decimal"/>
        <w:lvlText w:val="（%1）"/>
        <w:lvlJc w:val="left"/>
        <w:pPr>
          <w:tabs>
            <w:tab w:val="num" w:pos="1200"/>
          </w:tabs>
          <w:ind w:left="1200" w:hanging="720"/>
        </w:pPr>
      </w:lvl>
    </w:lvlOverride>
    <w:lvlOverride w:ilvl="1">
      <w:startOverride w:val="10"/>
      <w:lvl w:ilvl="1">
        <w:start w:val="10"/>
        <w:numFmt w:val="japaneseCounting"/>
        <w:lvlText w:val="%2、"/>
        <w:lvlJc w:val="left"/>
        <w:pPr>
          <w:tabs>
            <w:tab w:val="num" w:pos="855"/>
          </w:tabs>
          <w:ind w:left="855" w:hanging="435"/>
        </w:pPr>
      </w:lvl>
    </w:lvlOverride>
    <w:lvlOverride w:ilvl="2">
      <w:startOverride w:val="3"/>
      <w:lvl w:ilvl="2">
        <w:start w:val="3"/>
        <w:numFmt w:val="japaneseCounting"/>
        <w:lvlText w:val="（%3）"/>
        <w:lvlJc w:val="left"/>
        <w:pPr>
          <w:tabs>
            <w:tab w:val="num" w:pos="1560"/>
          </w:tabs>
          <w:ind w:left="1560" w:hanging="720"/>
        </w:pPr>
      </w:lvl>
    </w:lvlOverride>
    <w:lvlOverride w:ilvl="3">
      <w:startOverride w:val="1"/>
      <w:lvl w:ilvl="3">
        <w:start w:val="1"/>
        <w:numFmt w:val="decimal"/>
        <w:lvlText w:val="%4）"/>
        <w:lvlJc w:val="left"/>
        <w:pPr>
          <w:tabs>
            <w:tab w:val="num" w:pos="1620"/>
          </w:tabs>
          <w:ind w:left="1620" w:hanging="360"/>
        </w:pPr>
      </w:lvl>
    </w:lvlOverride>
    <w:lvlOverride w:ilvl="4">
      <w:startOverride w:val="1"/>
      <w:lvl w:ilvl="4">
        <w:start w:val="1"/>
        <w:numFmt w:val="decimal"/>
        <w:lvlText w:val="%5、"/>
        <w:lvlJc w:val="left"/>
        <w:pPr>
          <w:tabs>
            <w:tab w:val="num" w:pos="2040"/>
          </w:tabs>
          <w:ind w:left="2040" w:hanging="36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6">
    <w:abstractNumId w:val="14"/>
    <w:lvlOverride w:ilvl="0">
      <w:startOverride w:val="1"/>
      <w:lvl w:ilvl="0">
        <w:start w:val="1"/>
        <w:numFmt w:val="bullet"/>
        <w:lvlText w:val="l"/>
        <w:lvlJc w:val="left"/>
        <w:pPr>
          <w:tabs>
            <w:tab w:val="num" w:pos="1200"/>
          </w:tabs>
          <w:ind w:left="1200" w:hanging="360"/>
        </w:pPr>
        <w:rPr>
          <w:rFonts w:ascii="Wingdings" w:hAnsi="Wingdings" w:hint="default"/>
        </w:rPr>
      </w:lvl>
    </w:lvlOverride>
  </w:num>
  <w:num w:numId="7">
    <w:abstractNumId w:val="11"/>
    <w:lvlOverride w:ilvl="0">
      <w:startOverride w:val="1"/>
      <w:lvl w:ilvl="0">
        <w:start w:val="1"/>
        <w:numFmt w:val="decimal"/>
        <w:lvlText w:val="%1."/>
        <w:lvlJc w:val="left"/>
        <w:pPr>
          <w:tabs>
            <w:tab w:val="num" w:pos="1200"/>
          </w:tabs>
          <w:ind w:left="1200" w:hanging="360"/>
        </w:pPr>
      </w:lvl>
    </w:lvlOverride>
  </w:num>
  <w:num w:numId="8">
    <w:abstractNumId w:val="12"/>
    <w:lvlOverride w:ilvl="0">
      <w:startOverride w:val="1"/>
      <w:lvl w:ilvl="0">
        <w:start w:val="1"/>
        <w:numFmt w:val="bullet"/>
        <w:lvlText w:val="l"/>
        <w:lvlJc w:val="left"/>
        <w:pPr>
          <w:tabs>
            <w:tab w:val="num" w:pos="2040"/>
          </w:tabs>
          <w:ind w:left="204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9">
    <w:abstractNumId w:val="2"/>
  </w:num>
  <w:num w:numId="10">
    <w:abstractNumId w:val="6"/>
    <w:lvlOverride w:ilvl="0">
      <w:startOverride w:val="1"/>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1">
    <w:abstractNumId w:val="8"/>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12">
    <w:abstractNumId w:val="15"/>
    <w:lvlOverride w:ilvl="0">
      <w:startOverride w:val="1"/>
      <w:lvl w:ilvl="0">
        <w:start w:val="1"/>
        <w:numFmt w:val="bullet"/>
        <w:lvlText w:val="l"/>
        <w:lvlJc w:val="left"/>
        <w:pPr>
          <w:tabs>
            <w:tab w:val="num" w:pos="360"/>
          </w:tabs>
          <w:ind w:left="360" w:hanging="360"/>
        </w:pPr>
        <w:rPr>
          <w:rFonts w:ascii="Wingdings" w:hAnsi="Wingdings" w:hint="default"/>
        </w:r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13">
    <w:abstractNumId w:val="5"/>
  </w:num>
  <w:num w:numId="14">
    <w:abstractNumId w:val="1"/>
  </w:num>
  <w:num w:numId="15">
    <w:abstractNumId w:val="0"/>
    <w:lvlOverride w:ilvl="0">
      <w:startOverride w:val="1"/>
      <w:lvl w:ilvl="0">
        <w:start w:val="1"/>
        <w:numFmt w:val="decimal"/>
        <w:lvlText w:val="图%1."/>
        <w:lvlJc w:val="left"/>
        <w:pPr>
          <w:tabs>
            <w:tab w:val="num" w:pos="0"/>
          </w:tabs>
          <w:ind w:left="420" w:hanging="420"/>
        </w:pPr>
      </w:lvl>
    </w:lvlOverride>
    <w:lvlOverride w:ilvl="1">
      <w:startOverride w:val="1"/>
      <w:lvl w:ilvl="1">
        <w:start w:val="1"/>
        <w:numFmt w:val="bullet"/>
        <w:lvlText w:val="l"/>
        <w:lvlJc w:val="left"/>
        <w:pPr>
          <w:tabs>
            <w:tab w:val="num" w:pos="840"/>
          </w:tabs>
          <w:ind w:left="840" w:hanging="420"/>
        </w:pPr>
        <w:rPr>
          <w:rFonts w:ascii="Wingdings" w:hAnsi="Wingdings" w:hint="default"/>
        </w:r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6">
    <w:abstractNumId w:val="16"/>
    <w:lvlOverride w:ilvl="0">
      <w:startOverride w:val="1"/>
      <w:lvl w:ilvl="0">
        <w:start w:val="1"/>
        <w:numFmt w:val="decimal"/>
        <w:lvlText w:val="表%1."/>
        <w:lvlJc w:val="left"/>
        <w:pPr>
          <w:tabs>
            <w:tab w:val="num" w:pos="0"/>
          </w:tabs>
          <w:ind w:left="0" w:firstLine="0"/>
        </w:pPr>
      </w:lvl>
    </w:lvlOverride>
    <w:lvlOverride w:ilvl="1">
      <w:startOverride w:val="1"/>
      <w:lvl w:ilvl="1">
        <w:start w:val="1"/>
        <w:numFmt w:val="lowerLetter"/>
        <w:lvlText w:val="%2)"/>
        <w:lvlJc w:val="left"/>
        <w:pPr>
          <w:tabs>
            <w:tab w:val="num" w:pos="840"/>
          </w:tabs>
          <w:ind w:left="840" w:hanging="420"/>
        </w:pPr>
      </w:lvl>
    </w:lvlOverride>
    <w:lvlOverride w:ilvl="2">
      <w:startOverride w:val="1"/>
      <w:lvl w:ilvl="2">
        <w:start w:val="1"/>
        <w:numFmt w:val="lowerRoman"/>
        <w:lvlText w:val="%3."/>
        <w:lvlJc w:val="right"/>
        <w:pPr>
          <w:tabs>
            <w:tab w:val="num" w:pos="1260"/>
          </w:tabs>
          <w:ind w:left="1260" w:hanging="420"/>
        </w:pPr>
      </w:lvl>
    </w:lvlOverride>
    <w:lvlOverride w:ilvl="3">
      <w:startOverride w:val="1"/>
      <w:lvl w:ilvl="3">
        <w:start w:val="1"/>
        <w:numFmt w:val="decimal"/>
        <w:lvlText w:val="%4."/>
        <w:lvlJc w:val="left"/>
        <w:pPr>
          <w:tabs>
            <w:tab w:val="num" w:pos="1680"/>
          </w:tabs>
          <w:ind w:left="1680" w:hanging="420"/>
        </w:pPr>
      </w:lvl>
    </w:lvlOverride>
    <w:lvlOverride w:ilvl="4">
      <w:startOverride w:val="1"/>
      <w:lvl w:ilvl="4">
        <w:start w:val="1"/>
        <w:numFmt w:val="lowerLetter"/>
        <w:lvlText w:val="%5)"/>
        <w:lvlJc w:val="left"/>
        <w:pPr>
          <w:tabs>
            <w:tab w:val="num" w:pos="2100"/>
          </w:tabs>
          <w:ind w:left="2100" w:hanging="420"/>
        </w:pPr>
      </w:lvl>
    </w:lvlOverride>
    <w:lvlOverride w:ilvl="5">
      <w:startOverride w:val="1"/>
      <w:lvl w:ilvl="5">
        <w:start w:val="1"/>
        <w:numFmt w:val="lowerRoman"/>
        <w:lvlText w:val="%6."/>
        <w:lvlJc w:val="right"/>
        <w:pPr>
          <w:tabs>
            <w:tab w:val="num" w:pos="2520"/>
          </w:tabs>
          <w:ind w:left="2520" w:hanging="420"/>
        </w:pPr>
      </w:lvl>
    </w:lvlOverride>
    <w:lvlOverride w:ilvl="6">
      <w:startOverride w:val="1"/>
      <w:lvl w:ilvl="6">
        <w:start w:val="1"/>
        <w:numFmt w:val="decimal"/>
        <w:lvlText w:val="%7."/>
        <w:lvlJc w:val="left"/>
        <w:pPr>
          <w:tabs>
            <w:tab w:val="num" w:pos="2940"/>
          </w:tabs>
          <w:ind w:left="2940" w:hanging="420"/>
        </w:pPr>
      </w:lvl>
    </w:lvlOverride>
    <w:lvlOverride w:ilvl="7">
      <w:startOverride w:val="1"/>
      <w:lvl w:ilvl="7">
        <w:start w:val="1"/>
        <w:numFmt w:val="lowerLetter"/>
        <w:lvlText w:val="%8)"/>
        <w:lvlJc w:val="left"/>
        <w:pPr>
          <w:tabs>
            <w:tab w:val="num" w:pos="3360"/>
          </w:tabs>
          <w:ind w:left="3360" w:hanging="420"/>
        </w:pPr>
      </w:lvl>
    </w:lvlOverride>
    <w:lvlOverride w:ilvl="8">
      <w:startOverride w:val="1"/>
      <w:lvl w:ilvl="8">
        <w:start w:val="1"/>
        <w:numFmt w:val="lowerRoman"/>
        <w:lvlText w:val="%9."/>
        <w:lvlJc w:val="right"/>
        <w:pPr>
          <w:tabs>
            <w:tab w:val="num" w:pos="3780"/>
          </w:tabs>
          <w:ind w:left="3780" w:hanging="420"/>
        </w:pPr>
      </w:lvl>
    </w:lvlOverride>
  </w:num>
  <w:num w:numId="17">
    <w:abstractNumId w:val="21"/>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18">
    <w:abstractNumId w:val="3"/>
  </w:num>
  <w:num w:numId="19">
    <w:abstractNumId w:val="13"/>
    <w:lvlOverride w:ilvl="0">
      <w:startOverride w:val="1"/>
      <w:lvl w:ilvl="0">
        <w:start w:val="1"/>
        <w:numFmt w:val="bullet"/>
        <w:lvlText w:val="l"/>
        <w:lvlJc w:val="left"/>
        <w:pPr>
          <w:tabs>
            <w:tab w:val="num" w:pos="1620"/>
          </w:tabs>
          <w:ind w:left="1620" w:hanging="360"/>
        </w:pPr>
        <w:rPr>
          <w:rFonts w:ascii="Wingdings" w:hAnsi="Wingdings" w:hint="default"/>
        </w:rPr>
      </w:lvl>
    </w:lvlOverride>
  </w:num>
  <w:num w:numId="20">
    <w:abstractNumId w:val="10"/>
    <w:lvlOverride w:ilvl="0">
      <w:startOverride w:val="1"/>
      <w:lvl w:ilvl="0">
        <w:start w:val="1"/>
        <w:numFmt w:val="decimal"/>
        <w:lvlText w:val="%1."/>
        <w:lvlJc w:val="left"/>
        <w:pPr>
          <w:tabs>
            <w:tab w:val="num" w:pos="2040"/>
          </w:tabs>
          <w:ind w:left="2040" w:hanging="360"/>
        </w:pPr>
      </w:lvl>
    </w:lvlOverride>
    <w:lvlOverride w:ilvl="1">
      <w:startOverride w:val="1"/>
      <w:lvl w:ilvl="1">
        <w:start w:val="1"/>
        <w:numFmt w:val="decimal"/>
        <w:lvlText w:val="%2."/>
        <w:lvlJc w:val="left"/>
        <w:pPr>
          <w:tabs>
            <w:tab w:val="num" w:pos="1440"/>
          </w:tabs>
          <w:ind w:left="1440" w:hanging="360"/>
        </w:pPr>
      </w:lvl>
    </w:lvlOverride>
    <w:lvlOverride w:ilvl="2">
      <w:startOverride w:val="1"/>
      <w:lvl w:ilvl="2">
        <w:start w:val="1"/>
        <w:numFmt w:val="decimal"/>
        <w:lvlText w:val="%3."/>
        <w:lvlJc w:val="left"/>
        <w:pPr>
          <w:tabs>
            <w:tab w:val="num" w:pos="2160"/>
          </w:tabs>
          <w:ind w:left="2160" w:hanging="36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decimal"/>
        <w:lvlText w:val="%5."/>
        <w:lvlJc w:val="left"/>
        <w:pPr>
          <w:tabs>
            <w:tab w:val="num" w:pos="3600"/>
          </w:tabs>
          <w:ind w:left="3600" w:hanging="360"/>
        </w:pPr>
      </w:lvl>
    </w:lvlOverride>
    <w:lvlOverride w:ilvl="5">
      <w:startOverride w:val="1"/>
      <w:lvl w:ilvl="5">
        <w:start w:val="1"/>
        <w:numFmt w:val="decimal"/>
        <w:lvlText w:val="%6."/>
        <w:lvlJc w:val="left"/>
        <w:pPr>
          <w:tabs>
            <w:tab w:val="num" w:pos="4320"/>
          </w:tabs>
          <w:ind w:left="4320" w:hanging="36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decimal"/>
        <w:lvlText w:val="%8."/>
        <w:lvlJc w:val="left"/>
        <w:pPr>
          <w:tabs>
            <w:tab w:val="num" w:pos="5760"/>
          </w:tabs>
          <w:ind w:left="5760" w:hanging="360"/>
        </w:pPr>
      </w:lvl>
    </w:lvlOverride>
    <w:lvlOverride w:ilvl="8">
      <w:startOverride w:val="1"/>
      <w:lvl w:ilvl="8">
        <w:start w:val="1"/>
        <w:numFmt w:val="decimal"/>
        <w:lvlText w:val="%9."/>
        <w:lvlJc w:val="left"/>
        <w:pPr>
          <w:tabs>
            <w:tab w:val="num" w:pos="6480"/>
          </w:tabs>
          <w:ind w:left="6480" w:hanging="360"/>
        </w:pPr>
      </w:lvl>
    </w:lvlOverride>
  </w:num>
  <w:num w:numId="21">
    <w:abstractNumId w:val="18"/>
    <w:lvlOverride w:ilvl="0">
      <w:startOverride w:val="1"/>
      <w:lvl w:ilvl="0">
        <w:start w:val="1"/>
        <w:numFmt w:val="none"/>
        <w:isLgl/>
        <w:lvlJc w:val="left"/>
        <w:pPr>
          <w:tabs>
            <w:tab w:val="num" w:pos="425"/>
          </w:tabs>
          <w:ind w:left="425" w:hanging="425"/>
        </w:pPr>
      </w:lvl>
    </w:lvlOverride>
    <w:lvlOverride w:ilvl="1">
      <w:startOverride w:val="1"/>
      <w:lvl w:ilvl="1">
        <w:start w:val="1"/>
        <w:numFmt w:val="decimal"/>
        <w:lvlText w:val="%2、"/>
        <w:lvlJc w:val="left"/>
        <w:pPr>
          <w:tabs>
            <w:tab w:val="num" w:pos="567"/>
          </w:tabs>
          <w:ind w:left="567" w:hanging="567"/>
        </w:pPr>
      </w:lvl>
    </w:lvlOverride>
    <w:lvlOverride w:ilvl="2">
      <w:startOverride w:val="1"/>
      <w:lvl w:ilvl="2">
        <w:start w:val="1"/>
        <w:numFmt w:val="decimal"/>
        <w:isLgl/>
        <w:lvlText w:val="%1.%2.%3."/>
        <w:lvlJc w:val="left"/>
        <w:pPr>
          <w:tabs>
            <w:tab w:val="num" w:pos="709"/>
          </w:tabs>
          <w:ind w:left="709" w:hanging="709"/>
        </w:pPr>
      </w:lvl>
    </w:lvlOverride>
    <w:lvlOverride w:ilvl="3">
      <w:startOverride w:val="1"/>
      <w:lvl w:ilvl="3">
        <w:start w:val="1"/>
        <w:numFmt w:val="decimal"/>
        <w:isLgl/>
        <w:lvlText w:val="%1.%2.%3.%4."/>
        <w:lvlJc w:val="left"/>
        <w:pPr>
          <w:tabs>
            <w:tab w:val="num" w:pos="851"/>
          </w:tabs>
          <w:ind w:left="851" w:hanging="851"/>
        </w:pPr>
      </w:lvl>
    </w:lvlOverride>
    <w:lvlOverride w:ilvl="4">
      <w:startOverride w:val="1"/>
      <w:lvl w:ilvl="4">
        <w:start w:val="1"/>
        <w:numFmt w:val="decimal"/>
        <w:isLgl/>
        <w:lvlText w:val="%1.%2.%3.%4.%5."/>
        <w:lvlJc w:val="left"/>
        <w:pPr>
          <w:tabs>
            <w:tab w:val="num" w:pos="992"/>
          </w:tabs>
          <w:ind w:left="992" w:hanging="992"/>
        </w:pPr>
        <w:rPr>
          <w:color w:val="auto"/>
        </w:rPr>
      </w:lvl>
    </w:lvlOverride>
    <w:lvlOverride w:ilvl="5">
      <w:startOverride w:val="1"/>
      <w:lvl w:ilvl="5">
        <w:start w:val="1"/>
        <w:numFmt w:val="decimal"/>
        <w:isLgl/>
        <w:lvlText w:val="%1%2.%3.%4.%5.%6."/>
        <w:lvlJc w:val="left"/>
        <w:pPr>
          <w:tabs>
            <w:tab w:val="num" w:pos="2754"/>
          </w:tabs>
          <w:ind w:left="2754" w:hanging="1134"/>
        </w:pPr>
        <w:rPr>
          <w:color w:val="auto"/>
        </w:rPr>
      </w:lvl>
    </w:lvlOverride>
    <w:lvlOverride w:ilvl="6">
      <w:startOverride w:val="1"/>
      <w:lvl w:ilvl="6">
        <w:start w:val="1"/>
        <w:numFmt w:val="decimal"/>
        <w:lvlText w:val="%1.%2.%3.%4.%5.%6.%7."/>
        <w:lvlJc w:val="left"/>
        <w:pPr>
          <w:tabs>
            <w:tab w:val="num" w:pos="1276"/>
          </w:tabs>
          <w:ind w:left="1276" w:hanging="1276"/>
        </w:pPr>
      </w:lvl>
    </w:lvlOverride>
    <w:lvlOverride w:ilvl="7">
      <w:startOverride w:val="1"/>
      <w:lvl w:ilvl="7">
        <w:start w:val="1"/>
        <w:numFmt w:val="decimal"/>
        <w:lvlText w:val="%1.%2.%3.%4.%5.%6.%7.%8."/>
        <w:lvlJc w:val="left"/>
        <w:pPr>
          <w:tabs>
            <w:tab w:val="num" w:pos="1418"/>
          </w:tabs>
          <w:ind w:left="1418" w:hanging="1418"/>
        </w:pPr>
      </w:lvl>
    </w:lvlOverride>
    <w:lvlOverride w:ilvl="8">
      <w:startOverride w:val="1"/>
      <w:lvl w:ilvl="8">
        <w:start w:val="1"/>
        <w:numFmt w:val="decimal"/>
        <w:lvlText w:val="%1.%2.%3.%4.%5.%6.%7.%8.%9."/>
        <w:lvlJc w:val="left"/>
        <w:pPr>
          <w:tabs>
            <w:tab w:val="num" w:pos="1559"/>
          </w:tabs>
          <w:ind w:left="1559" w:hanging="1559"/>
        </w:pPr>
      </w:lvl>
    </w:lvlOverride>
  </w:num>
  <w:num w:numId="22">
    <w:abstractNumId w:val="7"/>
    <w:lvlOverride w:ilvl="0">
      <w:startOverride w:val="1"/>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87"/>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3"/>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3"/>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3"/>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3"/>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pPr>
      <w:keepNext/>
      <w:keepLines/>
      <w:widowControl w:val="0"/>
      <w:numPr>
        <w:ilvl w:val="7"/>
        <w:numId w:val="3"/>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pPr>
      <w:keepNext/>
      <w:keepLines/>
      <w:widowControl w:val="0"/>
      <w:numPr>
        <w:ilvl w:val="8"/>
        <w:numId w:val="3"/>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pPr>
      <w:spacing w:line="480" w:lineRule="auto"/>
    </w:pPr>
    <w:rPr>
      <w:rFonts w:ascii="华文中宋" w:eastAsia="华文中宋" w:cs="Times New Roman"/>
      <w:sz w:val="36"/>
      <w:lang w:bidi="ar-SA"/>
    </w:rPr>
  </w:style>
  <w:style w:type="paragraph" w:styleId="ListBullet">
    <w:name w:val="List Bullet"/>
    <w:basedOn w:val="Normal"/>
    <w:pPr>
      <w:numPr>
        <w:ilvl w:val="0"/>
        <w:numId w:val="4"/>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5"/>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6"/>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7"/>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8"/>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rPr>
  </w:style>
  <w:style w:type="paragraph" w:styleId="NormalWeb">
    <w:name w:val="Normal (Web)"/>
    <w:next w:val="10"/>
    <w:pPr>
      <w:widowControl w:val="0"/>
      <w:spacing w:before="100" w:beforeAutospacing="1" w:after="100" w:afterAutospacing="1" w:line="240" w:lineRule="auto"/>
      <w:jc w:val="left"/>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4Char">
    <w:name w:val="正文文本缩进 Char,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26">
    <w:name w:val="纯文本26"/>
    <w:pPr>
      <w:widowControl w:val="0"/>
      <w:jc w:val="both"/>
    </w:pPr>
    <w:rPr>
      <w:rFonts w:ascii="宋体" w:eastAsia="宋体" w:hAnsi="Times New Roman" w:cs="Courier New"/>
      <w:kern w:val="2"/>
      <w:sz w:val="21"/>
      <w:szCs w:val="21"/>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125">
    <w:name w:val="纯文本125"/>
    <w:pPr>
      <w:widowControl w:val="0"/>
      <w:jc w:val="both"/>
    </w:pPr>
    <w:rPr>
      <w:rFonts w:ascii="宋体" w:eastAsia="宋体" w:hAnsi="Times New Roman" w:cs="Courier New"/>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44010">
    <w:name w:val="样式 440 10 磅"/>
    <w:next w:val="1113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hAnsi="Times New Roman" w:cs="Courier New"/>
      <w:kern w:val="2"/>
      <w:sz w:val="21"/>
      <w:szCs w:val="21"/>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zh-CN" w:bidi="ar-SA"/>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hAnsi="Times New Roman" w:cs="Courier New"/>
      <w:kern w:val="2"/>
      <w:sz w:val="21"/>
      <w:szCs w:val="21"/>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750">
    <w:name w:val="正文750"/>
    <w:pPr>
      <w:widowControl w:val="0"/>
      <w:jc w:val="both"/>
    </w:pPr>
    <w:rPr>
      <w:rFonts w:ascii="Calibri" w:eastAsia="宋体" w:hAnsi="Calibri"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601">
    <w:name w:val="正文601"/>
    <w:pPr>
      <w:widowControl w:val="0"/>
      <w:jc w:val="both"/>
    </w:pPr>
    <w:rPr>
      <w:rFonts w:ascii="Calibri" w:eastAsia="宋体" w:hAnsi="Calibri"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22">
    <w:name w:val="正文22"/>
    <w:pPr>
      <w:widowControl w:val="0"/>
      <w:jc w:val="both"/>
    </w:pPr>
    <w:rPr>
      <w:rFonts w:ascii="Calibri" w:eastAsia="宋体" w:hAnsi="Calibri" w:cs="Times New Roman"/>
      <w:kern w:val="2"/>
      <w:sz w:val="21"/>
      <w:szCs w:val="22"/>
      <w:lang w:val="en-US" w:eastAsia="zh-CN" w:bidi="ar-SA"/>
    </w:rPr>
  </w:style>
  <w:style w:type="paragraph" w:customStyle="1" w:styleId="628">
    <w:name w:val="正文628"/>
    <w:pPr>
      <w:widowControl w:val="0"/>
      <w:jc w:val="both"/>
    </w:pPr>
    <w:rPr>
      <w:rFonts w:ascii="Calibri" w:eastAsia="宋体" w:hAnsi="Calibri"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zh-CN"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2">
    <w:name w:val="正文缩进_1"/>
    <w:basedOn w:val="5"/>
    <w:pPr>
      <w:ind w:firstLine="420"/>
    </w:pPr>
    <w:rPr>
      <w:szCs w:val="22"/>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118">
    <w:name w:val="纯文本118"/>
    <w:pPr>
      <w:widowControl w:val="0"/>
      <w:jc w:val="both"/>
    </w:pPr>
    <w:rPr>
      <w:rFonts w:ascii="宋体" w:eastAsia="宋体" w:hAnsi="Times New Roman" w:cs="Courier New"/>
      <w:kern w:val="2"/>
      <w:sz w:val="21"/>
      <w:szCs w:val="21"/>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534">
    <w:name w:val="正文53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552">
    <w:name w:val="正文552"/>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hAnsi="Times New Roman" w:cs="Courier New"/>
      <w:kern w:val="2"/>
      <w:sz w:val="21"/>
      <w:szCs w:val="21"/>
      <w:lang w:val="en-US" w:eastAsia="zh-CN" w:bidi="ar-SA"/>
    </w:rPr>
  </w:style>
  <w:style w:type="paragraph" w:customStyle="1" w:styleId="911">
    <w:name w:val="正文911"/>
    <w:pPr>
      <w:widowControl w:val="0"/>
      <w:jc w:val="both"/>
    </w:pPr>
    <w:rPr>
      <w:rFonts w:ascii="Calibri" w:eastAsia="宋体" w:hAnsi="Calibri" w:cs="Times New Roman"/>
      <w:kern w:val="2"/>
      <w:sz w:val="21"/>
      <w:szCs w:val="24"/>
      <w:lang w:val="en-US" w:eastAsia="zh-CN"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101">
    <w:name w:val="样式1_0"/>
    <w:basedOn w:val="3"/>
    <w:pPr>
      <w:numPr>
        <w:ilvl w:val="0"/>
        <w:numId w:val="10"/>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zh-CN" w:bidi="ar-SA"/>
    </w:rPr>
  </w:style>
  <w:style w:type="paragraph" w:customStyle="1" w:styleId="1023">
    <w:name w:val="正文1023"/>
    <w:pPr>
      <w:widowControl w:val="0"/>
      <w:jc w:val="both"/>
    </w:pPr>
    <w:rPr>
      <w:rFonts w:ascii="Calibri" w:eastAsia="宋体" w:hAnsi="Calibri" w:cs="Times New Roman"/>
      <w:kern w:val="2"/>
      <w:sz w:val="21"/>
      <w:szCs w:val="24"/>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hAnsi="Times New Roman" w:cs="Courier New"/>
      <w:kern w:val="2"/>
      <w:sz w:val="21"/>
      <w:szCs w:val="21"/>
      <w:lang w:val="en-US" w:eastAsia="zh-CN" w:bidi="ar-SA"/>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401">
    <w:name w:val="正文401"/>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21">
    <w:name w:val="标题 2_1"/>
    <w:basedOn w:val="3"/>
    <w:next w:val="3"/>
    <w:pPr>
      <w:keepNext/>
      <w:keepLines/>
      <w:widowControl w:val="0"/>
      <w:spacing w:before="260" w:after="260" w:line="413"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zh-CN" w:bidi="ar-SA"/>
    </w:rPr>
  </w:style>
  <w:style w:type="paragraph" w:customStyle="1" w:styleId="492">
    <w:name w:val="正文492"/>
    <w:pPr>
      <w:widowControl w:val="0"/>
      <w:jc w:val="both"/>
    </w:pPr>
    <w:rPr>
      <w:rFonts w:ascii="Calibri" w:eastAsia="宋体" w:hAnsi="Calibri"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468">
    <w:name w:val="正文468"/>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eastAsia="zh-CN" w:bidi="ar-SA"/>
    </w:rPr>
  </w:style>
  <w:style w:type="paragraph" w:customStyle="1" w:styleId="13">
    <w:name w:val="样式 1 四号"/>
    <w:next w:val="181"/>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7"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43610">
    <w:name w:val="样式 436 10 磅"/>
    <w:next w:val="139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eastAsia="zh-CN"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zh-CN" w:bidi="ar-SA"/>
    </w:rPr>
  </w:style>
  <w:style w:type="paragraph" w:customStyle="1" w:styleId="590">
    <w:name w:val="正文590"/>
    <w:pPr>
      <w:widowControl w:val="0"/>
      <w:jc w:val="both"/>
    </w:pPr>
    <w:rPr>
      <w:rFonts w:ascii="Calibri" w:eastAsia="宋体" w:hAnsi="Calibri" w:cs="Times New Roman"/>
      <w:kern w:val="2"/>
      <w:sz w:val="21"/>
      <w:szCs w:val="24"/>
      <w:lang w:val="en-US" w:eastAsia="zh-CN"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hAnsi="Times New Roman" w:cs="Times New Roman"/>
      <w:kern w:val="2"/>
      <w:sz w:val="21"/>
      <w:szCs w:val="21"/>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24">
    <w:name w:val="修订2"/>
    <w:next w:val="TOC7"/>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zh-CN" w:bidi="ar-SA"/>
    </w:rPr>
  </w:style>
  <w:style w:type="paragraph" w:customStyle="1" w:styleId="a5">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1010">
    <w:name w:val="正文101"/>
    <w:pPr>
      <w:widowControl w:val="0"/>
      <w:jc w:val="both"/>
    </w:pPr>
    <w:rPr>
      <w:rFonts w:ascii="Calibri" w:eastAsia="宋体" w:hAnsi="Calibri"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zh-CN" w:bidi="ar-SA"/>
    </w:rPr>
  </w:style>
  <w:style w:type="paragraph" w:customStyle="1" w:styleId="710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1110">
    <w:name w:val="正文1110"/>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60">
    <w:name w:val="纯文本16"/>
    <w:pPr>
      <w:widowControl w:val="0"/>
      <w:jc w:val="both"/>
    </w:pPr>
    <w:rPr>
      <w:rFonts w:ascii="宋体" w:eastAsia="宋体" w:hAnsi="Times New Roman" w:cs="Courier New"/>
      <w:kern w:val="2"/>
      <w:sz w:val="21"/>
      <w:szCs w:val="21"/>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270">
    <w:name w:val="正文270"/>
    <w:pPr>
      <w:widowControl w:val="0"/>
      <w:jc w:val="both"/>
    </w:pPr>
    <w:rPr>
      <w:rFonts w:ascii="Calibri" w:eastAsia="宋体" w:hAnsi="Calibri" w:cs="Times New Roman"/>
      <w:kern w:val="2"/>
      <w:sz w:val="21"/>
      <w:szCs w:val="24"/>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12">
    <w:name w:val="正文112"/>
    <w:pPr>
      <w:widowControl w:val="0"/>
      <w:jc w:val="both"/>
    </w:pPr>
    <w:rPr>
      <w:rFonts w:ascii="Calibri" w:eastAsia="宋体" w:hAnsi="Calibri" w:cs="Times New Roman"/>
      <w:kern w:val="2"/>
      <w:sz w:val="21"/>
      <w:szCs w:val="24"/>
      <w:lang w:val="en-US" w:eastAsia="zh-CN" w:bidi="ar-SA"/>
    </w:rPr>
  </w:style>
  <w:style w:type="paragraph" w:customStyle="1" w:styleId="606">
    <w:name w:val="正文606"/>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zh-CN" w:bidi="ar-SA"/>
    </w:rPr>
  </w:style>
  <w:style w:type="paragraph" w:customStyle="1" w:styleId="154">
    <w:name w:val="正文154"/>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zh-CN" w:bidi="ar-SA"/>
    </w:rPr>
  </w:style>
  <w:style w:type="paragraph" w:customStyle="1" w:styleId="29">
    <w:name w:val="正文29"/>
    <w:pPr>
      <w:widowControl w:val="0"/>
      <w:jc w:val="both"/>
    </w:pPr>
    <w:rPr>
      <w:rFonts w:ascii="Calibri" w:eastAsia="宋体" w:hAnsi="Calibri" w:cs="Times New Roman"/>
      <w:kern w:val="2"/>
      <w:sz w:val="21"/>
      <w:szCs w:val="22"/>
      <w:lang w:val="en-US" w:eastAsia="zh-CN"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6">
    <w:name w:val="正文6"/>
    <w:pPr>
      <w:widowControl w:val="0"/>
      <w:jc w:val="both"/>
    </w:pPr>
    <w:rPr>
      <w:rFonts w:ascii="Calibri" w:eastAsia="宋体" w:hAnsi="Calibri"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hAnsi="Times New Roman"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25">
    <w:name w:val="正文225"/>
    <w:pPr>
      <w:widowControl w:val="0"/>
      <w:jc w:val="both"/>
    </w:pPr>
    <w:rPr>
      <w:rFonts w:ascii="Calibri" w:eastAsia="宋体" w:hAnsi="Calibri" w:cs="Times New Roman"/>
      <w:kern w:val="2"/>
      <w:sz w:val="21"/>
      <w:szCs w:val="24"/>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521">
    <w:name w:val="正文521"/>
    <w:pPr>
      <w:widowControl w:val="0"/>
      <w:jc w:val="both"/>
    </w:pPr>
    <w:rPr>
      <w:rFonts w:ascii="Calibri" w:eastAsia="宋体" w:hAnsi="Calibri" w:cs="Times New Roman"/>
      <w:kern w:val="2"/>
      <w:sz w:val="21"/>
      <w:szCs w:val="24"/>
      <w:lang w:val="en-US" w:eastAsia="zh-CN"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91710">
    <w:name w:val="样式 1917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
    <w:name w:val="纯文本28"/>
    <w:pPr>
      <w:widowControl w:val="0"/>
      <w:jc w:val="both"/>
    </w:pPr>
    <w:rPr>
      <w:rFonts w:ascii="宋体" w:eastAsia="宋体" w:hAnsi="Times New Roman" w:cs="Courier New"/>
      <w:kern w:val="2"/>
      <w:sz w:val="21"/>
      <w:szCs w:val="21"/>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zh-CN"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517">
    <w:name w:val="正文517"/>
    <w:pPr>
      <w:widowControl w:val="0"/>
      <w:jc w:val="both"/>
    </w:pPr>
    <w:rPr>
      <w:rFonts w:ascii="Calibri" w:eastAsia="宋体" w:hAnsi="Calibri" w:cs="Times New Roman"/>
      <w:kern w:val="2"/>
      <w:sz w:val="21"/>
      <w:szCs w:val="24"/>
      <w:lang w:val="en-US" w:eastAsia="zh-CN" w:bidi="ar-SA"/>
    </w:rPr>
  </w:style>
  <w:style w:type="paragraph" w:customStyle="1" w:styleId="191610">
    <w:name w:val="样式 191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zh-CN" w:bidi="ar-SA"/>
    </w:rPr>
  </w:style>
  <w:style w:type="paragraph" w:customStyle="1" w:styleId="159">
    <w:name w:val="正文159"/>
    <w:pPr>
      <w:widowControl w:val="0"/>
      <w:jc w:val="both"/>
    </w:pPr>
    <w:rPr>
      <w:rFonts w:ascii="Calibri" w:eastAsia="宋体" w:hAnsi="Calibri"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50">
    <w:name w:val="标题5"/>
    <w:basedOn w:val="31"/>
    <w:pPr>
      <w:spacing w:before="260" w:after="260" w:line="413" w:lineRule="auto"/>
    </w:pPr>
    <w:rPr>
      <w:rFonts w:ascii="Arial" w:hAnsi="Arial" w:cs="Arial"/>
      <w:bCs w:val="0"/>
      <w:sz w:val="32"/>
      <w:szCs w:val="20"/>
      <w:lang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014">
    <w:name w:val="正文1014"/>
    <w:rPr>
      <w:rFonts w:ascii="Calibri" w:eastAsia="宋体" w:hAnsi="Calibri" w:cs="Times New Roman"/>
      <w:kern w:val="2"/>
      <w:sz w:val="21"/>
      <w:szCs w:val="21"/>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910">
    <w:name w:val="纯文本91"/>
    <w:pPr>
      <w:widowControl w:val="0"/>
      <w:jc w:val="both"/>
    </w:pPr>
    <w:rPr>
      <w:rFonts w:ascii="宋体" w:eastAsia="宋体" w:hAnsi="Times New Roman" w:cs="Courier New"/>
      <w:kern w:val="2"/>
      <w:sz w:val="21"/>
      <w:szCs w:val="21"/>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zh-CN"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670">
    <w:name w:val="正文670"/>
    <w:pPr>
      <w:widowControl w:val="0"/>
      <w:jc w:val="both"/>
    </w:pPr>
    <w:rPr>
      <w:rFonts w:ascii="Calibri" w:eastAsia="宋体" w:hAnsi="Calibri" w:cs="Times New Roman"/>
      <w:kern w:val="2"/>
      <w:sz w:val="21"/>
      <w:szCs w:val="24"/>
      <w:lang w:val="en-US" w:eastAsia="zh-CN" w:bidi="ar-SA"/>
    </w:rPr>
  </w:style>
  <w:style w:type="paragraph" w:customStyle="1" w:styleId="740">
    <w:name w:val="纯文本74"/>
    <w:pPr>
      <w:widowControl w:val="0"/>
      <w:jc w:val="both"/>
    </w:pPr>
    <w:rPr>
      <w:rFonts w:ascii="宋体" w:eastAsia="宋体" w:hAnsi="Times New Roman" w:cs="Courier New"/>
      <w:kern w:val="2"/>
      <w:sz w:val="21"/>
      <w:szCs w:val="21"/>
      <w:lang w:val="en-US" w:eastAsia="zh-CN"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18">
    <w:name w:val="列表1"/>
    <w:next w:val="3"/>
    <w:pPr>
      <w:widowControl w:val="0"/>
      <w:numPr>
        <w:ilvl w:val="0"/>
        <w:numId w:val="11"/>
      </w:numPr>
      <w:tabs>
        <w:tab w:val="left" w:pos="980"/>
      </w:tabs>
      <w:spacing w:line="180" w:lineRule="atLeast"/>
      <w:jc w:val="both"/>
    </w:pPr>
    <w:rPr>
      <w:rFonts w:ascii="Times New Roman" w:eastAsia="宋体" w:hAnsi="Times New Roman" w:cs="Times New Roman"/>
      <w:kern w:val="2"/>
      <w:sz w:val="28"/>
      <w:szCs w:val="28"/>
      <w:lang w:val="en-US" w:eastAsia="zh-CN"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zh-CN"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57">
    <w:name w:val="纯文本57"/>
    <w:pPr>
      <w:widowControl w:val="0"/>
      <w:jc w:val="both"/>
    </w:pPr>
    <w:rPr>
      <w:rFonts w:ascii="宋体" w:eastAsia="宋体" w:hAnsi="Times New Roman" w:cs="Courier New"/>
      <w:kern w:val="2"/>
      <w:sz w:val="21"/>
      <w:szCs w:val="21"/>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BodyText21">
    <w:name w:val="Body Text 21"/>
    <w:basedOn w:val="Normal"/>
    <w:pPr>
      <w:numPr>
        <w:ilvl w:val="0"/>
        <w:numId w:val="12"/>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hAnsi="Times New Roman"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zh-CN"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hAnsi="Times New Roman" w:cs="Courier New"/>
      <w:kern w:val="2"/>
      <w:sz w:val="21"/>
      <w:szCs w:val="21"/>
      <w:lang w:val="en-US" w:eastAsia="zh-CN"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52">
    <w:name w:val="正文文本5"/>
    <w:pPr>
      <w:widowControl w:val="0"/>
      <w:jc w:val="both"/>
    </w:pPr>
    <w:rPr>
      <w:rFonts w:ascii="Calibri" w:eastAsia="宋体" w:hAnsi="Calibri" w:cs="Times New Roman"/>
      <w:kern w:val="2"/>
      <w:sz w:val="28"/>
      <w:szCs w:val="22"/>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
    <w:name w:val="纯文本106"/>
    <w:pPr>
      <w:widowControl w:val="0"/>
      <w:jc w:val="both"/>
    </w:pPr>
    <w:rPr>
      <w:rFonts w:ascii="宋体" w:eastAsia="宋体" w:hAnsi="Times New Roman" w:cs="Courier New"/>
      <w:kern w:val="2"/>
      <w:sz w:val="21"/>
      <w:szCs w:val="21"/>
      <w:lang w:val="en-US" w:eastAsia="zh-CN" w:bidi="ar-SA"/>
    </w:rPr>
  </w:style>
  <w:style w:type="paragraph" w:customStyle="1" w:styleId="184410">
    <w:name w:val="样式 1844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251">
    <w:name w:val="正文125"/>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850">
    <w:name w:val="正文850"/>
    <w:pPr>
      <w:widowControl w:val="0"/>
      <w:jc w:val="both"/>
    </w:pPr>
    <w:rPr>
      <w:rFonts w:ascii="Calibri" w:eastAsia="宋体" w:hAnsi="Calibri" w:cs="Times New Roman"/>
      <w:kern w:val="2"/>
      <w:sz w:val="21"/>
      <w:szCs w:val="22"/>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lang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730">
    <w:name w:val="正文730"/>
    <w:pPr>
      <w:widowControl w:val="0"/>
      <w:jc w:val="both"/>
    </w:pPr>
    <w:rPr>
      <w:rFonts w:ascii="Calibri" w:eastAsia="宋体" w:hAnsi="Calibri" w:cs="Times New Roman"/>
      <w:kern w:val="2"/>
      <w:sz w:val="21"/>
      <w:szCs w:val="24"/>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hAnsi="Times New Roman" w:cs="Times New Roman"/>
      <w:color w:val="2E74B5"/>
      <w:kern w:val="2"/>
      <w:sz w:val="32"/>
      <w:szCs w:val="32"/>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400">
    <w:name w:val="纯文本40"/>
    <w:pPr>
      <w:widowControl w:val="0"/>
      <w:jc w:val="both"/>
    </w:pPr>
    <w:rPr>
      <w:rFonts w:ascii="宋体" w:eastAsia="宋体" w:hAnsi="Times New Roman" w:cs="Courier New"/>
      <w:kern w:val="2"/>
      <w:sz w:val="21"/>
      <w:szCs w:val="21"/>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53">
    <w:name w:val="批注文字5"/>
    <w:pPr>
      <w:widowControl w:val="0"/>
      <w:jc w:val="both"/>
    </w:pPr>
    <w:rPr>
      <w:rFonts w:ascii="Calibri" w:eastAsia="宋体" w:hAnsi="Calibri" w:cs="Times New Roman"/>
      <w:kern w:val="2"/>
      <w:sz w:val="24"/>
      <w:szCs w:val="28"/>
      <w:lang w:val="en-US" w:eastAsia="zh-CN" w:bidi="ar-SA"/>
    </w:rPr>
  </w:style>
  <w:style w:type="paragraph" w:customStyle="1" w:styleId="625">
    <w:name w:val="正文625"/>
    <w:pPr>
      <w:widowControl w:val="0"/>
      <w:jc w:val="both"/>
    </w:pPr>
    <w:rPr>
      <w:rFonts w:ascii="Calibri" w:eastAsia="宋体" w:hAnsi="Calibri" w:cs="Times New Roman"/>
      <w:kern w:val="2"/>
      <w:sz w:val="21"/>
      <w:szCs w:val="24"/>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eastAsia="zh-CN" w:bidi="ar-SA"/>
    </w:rPr>
  </w:style>
  <w:style w:type="paragraph" w:customStyle="1" w:styleId="43910">
    <w:name w:val="样式 439 10 磅"/>
    <w:next w:val="572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32910">
    <w:name w:val="样式 329 10 磅"/>
    <w:next w:val="1001"/>
    <w:pPr>
      <w:widowControl w:val="0"/>
      <w:jc w:val="both"/>
    </w:pPr>
    <w:rPr>
      <w:rFonts w:ascii="宋体" w:eastAsia="宋体" w:hAnsi="Times New Roman" w:cs="Times New Roman"/>
      <w:kern w:val="2"/>
      <w:sz w:val="21"/>
      <w:szCs w:val="21"/>
      <w:lang w:val="en-US" w:eastAsia="zh-CN" w:bidi="ar-SA"/>
    </w:rPr>
  </w:style>
  <w:style w:type="paragraph" w:customStyle="1" w:styleId="1001">
    <w:name w:val="正文100"/>
    <w:pPr>
      <w:widowControl w:val="0"/>
      <w:jc w:val="both"/>
    </w:pPr>
    <w:rPr>
      <w:rFonts w:ascii="Calibri" w:eastAsia="宋体" w:hAnsi="Calibri"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lang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Calibri" w:eastAsia="宋体" w:hAnsi="Calibri" w:cs="Times New Roman"/>
      <w:kern w:val="2"/>
      <w:sz w:val="21"/>
      <w:szCs w:val="24"/>
      <w:lang w:val="en-US" w:eastAsia="zh-CN" w:bidi="ar-SA"/>
    </w:rPr>
  </w:style>
  <w:style w:type="paragraph" w:customStyle="1" w:styleId="602">
    <w:name w:val="纯文本60"/>
    <w:pPr>
      <w:widowControl w:val="0"/>
      <w:jc w:val="both"/>
    </w:pPr>
    <w:rPr>
      <w:rFonts w:ascii="宋体" w:eastAsia="宋体" w:hAnsi="Times New Roman" w:cs="Courier New"/>
      <w:kern w:val="2"/>
      <w:sz w:val="21"/>
      <w:szCs w:val="21"/>
      <w:lang w:val="en-US" w:eastAsia="zh-CN"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424">
    <w:name w:val="正文424"/>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hAnsi="Times New Roman" w:cs="Courier New"/>
      <w:kern w:val="2"/>
      <w:sz w:val="21"/>
      <w:szCs w:val="21"/>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正文250"/>
    <w:pPr>
      <w:widowControl w:val="0"/>
      <w:jc w:val="both"/>
    </w:pPr>
    <w:rPr>
      <w:rFonts w:ascii="Calibri" w:eastAsia="宋体" w:hAnsi="Calibri"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eastAsia="zh-CN" w:bidi="ar-SA"/>
    </w:rPr>
  </w:style>
  <w:style w:type="paragraph" w:customStyle="1" w:styleId="186">
    <w:name w:val="正文186"/>
    <w:pPr>
      <w:widowControl w:val="0"/>
      <w:jc w:val="both"/>
    </w:pPr>
    <w:rPr>
      <w:rFonts w:ascii="Calibri" w:eastAsia="宋体" w:hAnsi="Calibri" w:cs="Times New Roman"/>
      <w:kern w:val="2"/>
      <w:sz w:val="21"/>
      <w:szCs w:val="24"/>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900">
    <w:name w:val="纯文本90"/>
    <w:pPr>
      <w:widowControl w:val="0"/>
      <w:jc w:val="both"/>
    </w:pPr>
    <w:rPr>
      <w:rFonts w:ascii="宋体" w:eastAsia="宋体" w:hAnsi="Times New Roman" w:cs="Courier New"/>
      <w:kern w:val="2"/>
      <w:sz w:val="21"/>
      <w:szCs w:val="21"/>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231">
    <w:name w:val="正文23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zh-CN" w:bidi="ar-SA"/>
    </w:rPr>
  </w:style>
  <w:style w:type="paragraph" w:customStyle="1" w:styleId="360">
    <w:name w:val="正文360"/>
    <w:pPr>
      <w:widowControl w:val="0"/>
      <w:jc w:val="both"/>
    </w:pPr>
    <w:rPr>
      <w:rFonts w:ascii="Calibri" w:eastAsia="宋体" w:hAnsi="Calibri"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1179">
    <w:name w:val="正文1179"/>
    <w:pPr>
      <w:widowControl w:val="0"/>
      <w:jc w:val="both"/>
    </w:pPr>
    <w:rPr>
      <w:rFonts w:ascii="等线" w:eastAsia="等线" w:hAnsi="Times New Roman"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13"/>
    <w:pPr>
      <w:widowControl w:val="0"/>
      <w:jc w:val="both"/>
    </w:pPr>
    <w:rPr>
      <w:rFonts w:ascii="Times New Roman" w:eastAsia="宋体" w:hAnsi="Times New Roman" w:cs="Times New Roman"/>
      <w:kern w:val="2"/>
      <w:sz w:val="21"/>
      <w:szCs w:val="22"/>
      <w:lang w:val="en-US" w:eastAsia="zh-CN" w:bidi="ar-SA"/>
    </w:rPr>
  </w:style>
  <w:style w:type="paragraph" w:customStyle="1" w:styleId="a8">
    <w:name w:val="章标题"/>
    <w:next w:val="Normal"/>
    <w:pPr>
      <w:spacing w:before="50" w:after="50" w:line="460" w:lineRule="exact"/>
      <w:jc w:val="both"/>
      <w:outlineLvl w:val="0"/>
    </w:pPr>
    <w:rPr>
      <w:rFonts w:ascii="黑体" w:eastAsia="黑体" w:hAnsi="Times New Roman" w:cs="Times New Roman"/>
      <w:b/>
      <w:kern w:val="2"/>
      <w:sz w:val="28"/>
      <w:szCs w:val="28"/>
      <w:lang w:val="en-US" w:eastAsia="zh-CN" w:bidi="ar-SA"/>
    </w:rPr>
  </w:style>
  <w:style w:type="paragraph" w:customStyle="1" w:styleId="a9">
    <w:name w:val="一级条标题"/>
    <w:basedOn w:val="a8"/>
    <w:next w:val="Normal"/>
    <w:pPr>
      <w:tabs>
        <w:tab w:val="left" w:pos="360"/>
        <w:tab w:val="left" w:pos="840"/>
      </w:tabs>
      <w:spacing w:before="50" w:after="50"/>
      <w:ind w:left="0" w:hanging="840"/>
      <w:outlineLvl w:val="1"/>
    </w:pPr>
  </w:style>
  <w:style w:type="paragraph" w:customStyle="1" w:styleId="a10">
    <w:name w:val="二级条标题"/>
    <w:basedOn w:val="a9"/>
    <w:next w:val="Normal"/>
    <w:pPr>
      <w:tabs>
        <w:tab w:val="left" w:pos="360"/>
        <w:tab w:val="left" w:pos="840"/>
      </w:tabs>
      <w:outlineLvl w:val="2"/>
    </w:pPr>
    <w:rPr>
      <w:rFonts w:ascii="宋体" w:eastAsia="宋体"/>
      <w:b w:val="0"/>
    </w:rPr>
  </w:style>
  <w:style w:type="paragraph" w:customStyle="1" w:styleId="a11">
    <w:name w:val="三级条标题"/>
    <w:basedOn w:val="a10"/>
    <w:next w:val="Normal"/>
    <w:pPr>
      <w:tabs>
        <w:tab w:val="left" w:pos="360"/>
        <w:tab w:val="left" w:pos="840"/>
      </w:tabs>
      <w:outlineLvl w:val="3"/>
    </w:pPr>
  </w:style>
  <w:style w:type="paragraph" w:customStyle="1" w:styleId="a12">
    <w:name w:val="四级条标题"/>
    <w:basedOn w:val="a11"/>
    <w:next w:val="Normal"/>
    <w:pPr>
      <w:tabs>
        <w:tab w:val="left" w:pos="360"/>
        <w:tab w:val="left" w:pos="840"/>
      </w:tabs>
      <w:outlineLvl w:val="4"/>
    </w:pPr>
  </w:style>
  <w:style w:type="paragraph" w:customStyle="1" w:styleId="a13">
    <w:name w:val="五级条标题"/>
    <w:basedOn w:val="a12"/>
    <w:next w:val="Normal"/>
    <w:pPr>
      <w:tabs>
        <w:tab w:val="left" w:pos="360"/>
        <w:tab w:val="left" w:pos="840"/>
        <w:tab w:val="left" w:pos="900"/>
      </w:tabs>
      <w:outlineLvl w:val="5"/>
    </w:pPr>
  </w:style>
  <w:style w:type="paragraph" w:customStyle="1" w:styleId="113">
    <w:name w:val="纯文本113"/>
    <w:pPr>
      <w:widowControl w:val="0"/>
      <w:jc w:val="both"/>
    </w:pPr>
    <w:rPr>
      <w:rFonts w:ascii="宋体" w:eastAsia="宋体" w:hAnsi="Times New Roman" w:cs="Courier New"/>
      <w:kern w:val="2"/>
      <w:sz w:val="21"/>
      <w:szCs w:val="21"/>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0"/>
    <w:rPr>
      <w:rFonts w:ascii="Times New Roman" w:eastAsia="宋体" w:hAnsi="Times New Roman" w:cs="Times New Roman"/>
      <w:sz w:val="20"/>
      <w:szCs w:val="20"/>
      <w:lang w:val="en-US" w:eastAsia="zh-CN"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4550">
    <w:name w:val="样式 样式 标题 4 + 段前: 5 磅 段后: 5 磅 行距: 单倍行距 + 五号"/>
    <w:basedOn w:val="455"/>
    <w:pPr>
      <w:tabs>
        <w:tab w:val="left" w:pos="0"/>
        <w:tab w:val="left" w:pos="1680"/>
      </w:tabs>
    </w:pPr>
    <w:rPr>
      <w:sz w:val="21"/>
    </w:rPr>
  </w:style>
  <w:style w:type="paragraph" w:customStyle="1" w:styleId="1300">
    <w:name w:val="正文130"/>
    <w:next w:val="1201"/>
    <w:pPr>
      <w:widowControl w:val="0"/>
      <w:jc w:val="both"/>
    </w:pPr>
    <w:rPr>
      <w:rFonts w:ascii="Calibri" w:eastAsia="宋体" w:hAnsi="Calibri" w:cs="Times New Roman"/>
      <w:kern w:val="2"/>
      <w:sz w:val="21"/>
      <w:szCs w:val="24"/>
      <w:lang w:val="en-US" w:eastAsia="zh-CN" w:bidi="ar-SA"/>
    </w:rPr>
  </w:style>
  <w:style w:type="paragraph" w:customStyle="1" w:styleId="1201">
    <w:name w:val="正文120"/>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hAnsi="Times New Roman" w:cs="宋体"/>
      <w:sz w:val="22"/>
      <w:szCs w:val="22"/>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1311">
    <w:name w:val="样式 13 11 磅"/>
    <w:next w:val="Caption"/>
    <w:rPr>
      <w:rFonts w:ascii="Calibri" w:eastAsia="宋体" w:hAnsi="Calibri" w:cs="Times New Roman"/>
      <w:sz w:val="22"/>
      <w:szCs w:val="22"/>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93">
    <w:name w:val="正文93"/>
    <w:pPr>
      <w:widowControl w:val="0"/>
      <w:jc w:val="both"/>
    </w:pPr>
    <w:rPr>
      <w:rFonts w:ascii="Calibri" w:eastAsia="宋体" w:hAnsi="Calibri" w:cs="Times New Roman"/>
      <w:kern w:val="2"/>
      <w:sz w:val="21"/>
      <w:szCs w:val="24"/>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681">
    <w:name w:val="正文681"/>
    <w:pPr>
      <w:widowControl w:val="0"/>
      <w:jc w:val="both"/>
    </w:pPr>
    <w:rPr>
      <w:rFonts w:ascii="Calibri" w:eastAsia="宋体" w:hAnsi="Calibri"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hAnsi="Times New Roman" w:cs="Courier New"/>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675">
    <w:name w:val="正文675"/>
    <w:pPr>
      <w:widowControl w:val="0"/>
      <w:jc w:val="both"/>
    </w:pPr>
    <w:rPr>
      <w:rFonts w:ascii="Calibri" w:eastAsia="宋体" w:hAnsi="Calibri" w:cs="Times New Roman"/>
      <w:kern w:val="2"/>
      <w:sz w:val="21"/>
      <w:szCs w:val="24"/>
      <w:lang w:val="en-US" w:eastAsia="zh-CN" w:bidi="ar-SA"/>
    </w:rPr>
  </w:style>
  <w:style w:type="paragraph" w:customStyle="1" w:styleId="940">
    <w:name w:val="正文940"/>
    <w:pPr>
      <w:widowControl w:val="0"/>
      <w:jc w:val="both"/>
    </w:pPr>
    <w:rPr>
      <w:rFonts w:ascii="Calibri" w:eastAsia="宋体" w:hAnsi="Calibri" w:cs="Times New Roman"/>
      <w:kern w:val="2"/>
      <w:sz w:val="21"/>
      <w:szCs w:val="24"/>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14"/>
      </w:numPr>
      <w:tabs>
        <w:tab w:val="left" w:pos="0"/>
      </w:tabs>
      <w:adjustRightInd w:val="0"/>
      <w:spacing w:line="360" w:lineRule="atLeast"/>
      <w:jc w:val="both"/>
      <w:textAlignment w:val="baseline"/>
    </w:pPr>
    <w:rPr>
      <w:rFonts w:ascii="宋体" w:eastAsia="宋体" w:hAnsi="Times New Roman"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40910">
    <w:name w:val="样式 409 10 磅"/>
    <w:pPr>
      <w:widowControl w:val="0"/>
      <w:jc w:val="both"/>
    </w:pPr>
    <w:rPr>
      <w:rFonts w:ascii="宋体" w:eastAsia="宋体" w:hAnsi="Times New Roman" w:cs="Times New Roman"/>
      <w:kern w:val="2"/>
      <w:sz w:val="21"/>
      <w:szCs w:val="21"/>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2600">
    <w:name w:val="正文260"/>
    <w:pPr>
      <w:widowControl w:val="0"/>
      <w:jc w:val="both"/>
    </w:pPr>
    <w:rPr>
      <w:rFonts w:ascii="Calibri" w:eastAsia="宋体" w:hAnsi="Calibri" w:cs="Times New Roman"/>
      <w:kern w:val="2"/>
      <w:sz w:val="21"/>
      <w:szCs w:val="24"/>
      <w:lang w:val="en-US" w:eastAsia="zh-CN"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zh-CN"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330">
    <w:name w:val="正文330"/>
    <w:pPr>
      <w:widowControl w:val="0"/>
      <w:jc w:val="both"/>
    </w:pPr>
    <w:rPr>
      <w:rFonts w:ascii="Calibri" w:eastAsia="宋体" w:hAnsi="Calibri" w:cs="Times New Roman"/>
      <w:kern w:val="2"/>
      <w:sz w:val="21"/>
      <w:szCs w:val="24"/>
      <w:lang w:val="en-US" w:eastAsia="zh-CN"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hAnsi="Times New Roman" w:cs="Courier New"/>
      <w:kern w:val="2"/>
      <w:sz w:val="21"/>
      <w:szCs w:val="21"/>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48610">
    <w:name w:val="样式 486 10 磅"/>
    <w:next w:val="486101"/>
    <w:pPr>
      <w:widowControl w:val="0"/>
      <w:jc w:val="both"/>
    </w:pPr>
    <w:rPr>
      <w:rFonts w:ascii="等线" w:eastAsia="等线" w:hAnsi="Times New Roman"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zh-CN" w:bidi="ar-SA"/>
    </w:rPr>
  </w:style>
  <w:style w:type="paragraph" w:customStyle="1" w:styleId="197">
    <w:name w:val="正文19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hAnsi="Times New Roman" w:cs="Courier New"/>
      <w:kern w:val="2"/>
      <w:sz w:val="21"/>
      <w:szCs w:val="21"/>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a17">
    <w:name w:val="图案编号"/>
    <w:basedOn w:val="3"/>
    <w:pPr>
      <w:numPr>
        <w:ilvl w:val="0"/>
        <w:numId w:val="15"/>
      </w:numPr>
      <w:tabs>
        <w:tab w:val="left" w:pos="0"/>
      </w:tabs>
      <w:jc w:val="center"/>
    </w:pPr>
    <w:rPr>
      <w:rFonts w:ascii="Arial" w:hAnsi="Arial" w:cs="Arial"/>
      <w:szCs w:val="24"/>
      <w:lang w:bidi="ar-SA"/>
    </w:rPr>
  </w:style>
  <w:style w:type="paragraph" w:customStyle="1" w:styleId="a18">
    <w:name w:val="表格编号"/>
    <w:basedOn w:val="a17"/>
    <w:next w:val="3"/>
    <w:pPr>
      <w:numPr>
        <w:ilvl w:val="0"/>
        <w:numId w:val="16"/>
      </w:numPr>
      <w:tabs>
        <w:tab w:val="clear" w:pos="0"/>
        <w:tab w:val="left" w:pos="360"/>
      </w:tabs>
      <w:ind w:left="360" w:hanging="360"/>
    </w:p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样式 20 10 磅"/>
    <w:next w:val="81"/>
    <w:pPr>
      <w:widowControl w:val="0"/>
      <w:jc w:val="both"/>
    </w:pPr>
    <w:rPr>
      <w:rFonts w:ascii="宋体" w:eastAsia="宋体" w:hAnsi="Times New Roman"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132">
    <w:name w:val="纯文本132"/>
    <w:pPr>
      <w:widowControl w:val="0"/>
      <w:jc w:val="both"/>
    </w:pPr>
    <w:rPr>
      <w:rFonts w:ascii="宋体" w:eastAsia="宋体" w:hAnsi="Times New Roman" w:cs="Courier New"/>
      <w:kern w:val="2"/>
      <w:sz w:val="21"/>
      <w:szCs w:val="21"/>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501">
    <w:name w:val="标题 5_0"/>
    <w:basedOn w:val="41"/>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zh-CN" w:bidi="ar-SA"/>
    </w:rPr>
  </w:style>
  <w:style w:type="paragraph" w:customStyle="1" w:styleId="166">
    <w:name w:val="正文166"/>
    <w:pPr>
      <w:widowControl w:val="0"/>
      <w:jc w:val="both"/>
    </w:pPr>
    <w:rPr>
      <w:rFonts w:ascii="Calibri" w:eastAsia="宋体" w:hAnsi="Calibri"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hAnsi="Times New Roman" w:cs="Times New Roman"/>
      <w:kern w:val="2"/>
      <w:sz w:val="21"/>
      <w:szCs w:val="21"/>
      <w:lang w:val="en-US" w:eastAsia="zh-CN" w:bidi="ar-SA"/>
    </w:rPr>
  </w:style>
  <w:style w:type="paragraph" w:customStyle="1" w:styleId="1440">
    <w:name w:val="正文144"/>
    <w:pPr>
      <w:widowControl w:val="0"/>
      <w:jc w:val="both"/>
    </w:pPr>
    <w:rPr>
      <w:rFonts w:ascii="Calibri" w:eastAsia="宋体" w:hAnsi="Calibri" w:cs="Times New Roman"/>
      <w:kern w:val="2"/>
      <w:sz w:val="21"/>
      <w:szCs w:val="24"/>
      <w:lang w:val="en-US" w:eastAsia="zh-CN" w:bidi="ar-SA"/>
    </w:rPr>
  </w:style>
  <w:style w:type="paragraph" w:customStyle="1" w:styleId="102">
    <w:name w:val="目录 1_0"/>
    <w:basedOn w:val="3"/>
    <w:next w:val="3"/>
    <w:pPr>
      <w:spacing w:before="360"/>
    </w:pPr>
    <w:rPr>
      <w:rFonts w:ascii="Arial" w:hAnsi="Arial" w:cs="Arial"/>
      <w:b/>
      <w:bCs/>
      <w:caps/>
      <w:smallCaps w:val="0"/>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079">
    <w:name w:val="正文1079"/>
    <w:pPr>
      <w:widowControl w:val="0"/>
      <w:jc w:val="both"/>
    </w:pPr>
    <w:rPr>
      <w:rFonts w:ascii="Calibri" w:eastAsia="宋体" w:hAnsi="Calibri" w:cs="Times New Roman"/>
      <w:kern w:val="2"/>
      <w:sz w:val="21"/>
      <w:szCs w:val="22"/>
      <w:lang w:val="en-US" w:eastAsia="zh-CN" w:bidi="ar-SA"/>
    </w:rPr>
  </w:style>
  <w:style w:type="paragraph" w:customStyle="1" w:styleId="627">
    <w:name w:val="正文627"/>
    <w:pPr>
      <w:widowControl w:val="0"/>
      <w:jc w:val="both"/>
    </w:pPr>
    <w:rPr>
      <w:rFonts w:ascii="Calibri" w:eastAsia="宋体" w:hAnsi="Calibri" w:cs="Times New Roman"/>
      <w:kern w:val="2"/>
      <w:sz w:val="21"/>
      <w:szCs w:val="24"/>
      <w:lang w:val="en-US" w:eastAsia="zh-CN" w:bidi="ar-SA"/>
    </w:rPr>
  </w:style>
  <w:style w:type="paragraph" w:customStyle="1" w:styleId="317">
    <w:name w:val="正文317"/>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07">
    <w:name w:val="纯文本107"/>
    <w:pPr>
      <w:widowControl w:val="0"/>
      <w:jc w:val="both"/>
    </w:pPr>
    <w:rPr>
      <w:rFonts w:ascii="宋体" w:eastAsia="宋体" w:hAnsi="Times New Roman" w:cs="Courier New"/>
      <w:kern w:val="2"/>
      <w:sz w:val="21"/>
      <w:szCs w:val="21"/>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94">
    <w:name w:val="纯文本94"/>
    <w:pPr>
      <w:widowControl w:val="0"/>
      <w:jc w:val="both"/>
    </w:pPr>
    <w:rPr>
      <w:rFonts w:ascii="宋体" w:eastAsia="宋体" w:hAnsi="Times New Roman" w:cs="Courier New"/>
      <w:kern w:val="2"/>
      <w:sz w:val="21"/>
      <w:szCs w:val="21"/>
      <w:lang w:val="en-US" w:eastAsia="zh-CN"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zh-CN" w:bidi="ar-SA"/>
    </w:rPr>
  </w:style>
  <w:style w:type="paragraph" w:customStyle="1" w:styleId="1202">
    <w:name w:val="纯文本120"/>
    <w:pPr>
      <w:widowControl w:val="0"/>
      <w:jc w:val="both"/>
    </w:pPr>
    <w:rPr>
      <w:rFonts w:ascii="宋体" w:eastAsia="宋体" w:hAnsi="Times New Roman" w:cs="Courier New"/>
      <w:kern w:val="2"/>
      <w:sz w:val="21"/>
      <w:szCs w:val="21"/>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hAnsi="Times New Roman"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490">
    <w:name w:val="正文490"/>
    <w:pPr>
      <w:widowControl w:val="0"/>
      <w:jc w:val="both"/>
    </w:pPr>
    <w:rPr>
      <w:rFonts w:ascii="Calibri" w:eastAsia="宋体" w:hAnsi="Calibri" w:cs="Times New Roman"/>
      <w:kern w:val="2"/>
      <w:sz w:val="21"/>
      <w:szCs w:val="24"/>
      <w:lang w:val="en-US" w:eastAsia="zh-CN" w:bidi="ar-SA"/>
    </w:rPr>
  </w:style>
  <w:style w:type="paragraph" w:customStyle="1" w:styleId="36">
    <w:name w:val="纯文本36"/>
    <w:pPr>
      <w:widowControl w:val="0"/>
      <w:jc w:val="both"/>
    </w:pPr>
    <w:rPr>
      <w:rFonts w:ascii="宋体" w:eastAsia="宋体" w:hAnsi="Times New Roman" w:cs="Courier New"/>
      <w:kern w:val="2"/>
      <w:sz w:val="21"/>
      <w:szCs w:val="21"/>
      <w:lang w:val="en-US" w:eastAsia="zh-CN"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hAnsi="Times New Roman" w:cs="Courier New"/>
      <w:kern w:val="2"/>
      <w:sz w:val="21"/>
      <w:szCs w:val="21"/>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zh-CN"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hAnsi="Times New Roman"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eastAsia="zh-CN"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hAnsi="Times New Roman" w:cs="Courier New"/>
      <w:kern w:val="2"/>
      <w:sz w:val="21"/>
      <w:szCs w:val="21"/>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1911">
    <w:name w:val="样式 19 11 磅"/>
    <w:rPr>
      <w:rFonts w:ascii="Calibri" w:eastAsia="宋体" w:hAnsi="Calibri" w:cs="Times New Roman"/>
      <w:sz w:val="22"/>
      <w:szCs w:val="22"/>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95">
    <w:name w:val="纯文本95"/>
    <w:pPr>
      <w:widowControl w:val="0"/>
      <w:jc w:val="both"/>
    </w:pPr>
    <w:rPr>
      <w:rFonts w:ascii="宋体" w:eastAsia="宋体" w:hAnsi="Times New Roman" w:cs="Courier New"/>
      <w:kern w:val="2"/>
      <w:sz w:val="21"/>
      <w:szCs w:val="21"/>
      <w:lang w:val="en-US" w:eastAsia="zh-CN"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520">
    <w:name w:val="正文520"/>
    <w:pPr>
      <w:widowControl w:val="0"/>
      <w:jc w:val="both"/>
    </w:pPr>
    <w:rPr>
      <w:rFonts w:ascii="Calibri" w:eastAsia="宋体" w:hAnsi="Calibri" w:cs="Times New Roman"/>
      <w:kern w:val="2"/>
      <w:sz w:val="21"/>
      <w:szCs w:val="24"/>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zh-CN" w:bidi="ar-SA"/>
    </w:rPr>
  </w:style>
  <w:style w:type="paragraph" w:customStyle="1" w:styleId="511">
    <w:name w:val="样式 5 11 磅"/>
    <w:rPr>
      <w:rFonts w:ascii="Calibri" w:eastAsia="宋体" w:hAnsi="Calibri" w:cs="Times New Roman"/>
      <w:sz w:val="22"/>
      <w:szCs w:val="22"/>
      <w:lang w:val="en-US" w:eastAsia="zh-CN" w:bidi="ar-SA"/>
    </w:rPr>
  </w:style>
  <w:style w:type="paragraph" w:customStyle="1" w:styleId="1034">
    <w:name w:val="正文1034"/>
    <w:rPr>
      <w:rFonts w:ascii="Calibri" w:eastAsia="宋体" w:hAnsi="Calibri" w:cs="Times New Roman"/>
      <w:kern w:val="2"/>
      <w:sz w:val="21"/>
      <w:szCs w:val="21"/>
      <w:lang w:val="en-US" w:eastAsia="zh-CN" w:bidi="ar-SA"/>
    </w:rPr>
  </w:style>
  <w:style w:type="paragraph" w:customStyle="1" w:styleId="119">
    <w:name w:val="纯文本11"/>
    <w:next w:val="Normal"/>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zh-CN" w:bidi="ar-SA"/>
    </w:rPr>
  </w:style>
  <w:style w:type="paragraph" w:customStyle="1" w:styleId="CharChar">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298">
    <w:name w:val="正文298"/>
    <w:pPr>
      <w:widowControl w:val="0"/>
      <w:jc w:val="both"/>
    </w:pPr>
    <w:rPr>
      <w:rFonts w:ascii="Calibri" w:eastAsia="宋体" w:hAnsi="Calibri"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43710">
    <w:name w:val="样式 437 10 磅"/>
    <w:next w:val="1202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020">
    <w:name w:val="正文1202"/>
    <w:pPr>
      <w:widowControl w:val="0"/>
      <w:jc w:val="both"/>
    </w:pPr>
    <w:rPr>
      <w:rFonts w:ascii="等线" w:eastAsia="等线" w:hAnsi="Times New Roman"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zh-CN" w:bidi="ar-SA"/>
    </w:rPr>
  </w:style>
  <w:style w:type="paragraph" w:customStyle="1" w:styleId="820">
    <w:name w:val="正文82"/>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1044">
    <w:name w:val="正文1044"/>
    <w:pPr>
      <w:widowControl w:val="0"/>
      <w:jc w:val="both"/>
    </w:pPr>
    <w:rPr>
      <w:rFonts w:ascii="Calibri" w:eastAsia="宋体" w:hAnsi="Calibri" w:cs="Times New Roman"/>
      <w:kern w:val="2"/>
      <w:sz w:val="21"/>
      <w:szCs w:val="22"/>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hAnsi="Times New Roman" w:cs="Courier New"/>
      <w:kern w:val="2"/>
      <w:sz w:val="21"/>
      <w:szCs w:val="21"/>
      <w:lang w:val="en-US" w:eastAsia="zh-CN"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zh-CN"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zh-CN"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4510">
    <w:name w:val="正文451"/>
    <w:pPr>
      <w:widowControl w:val="0"/>
      <w:jc w:val="both"/>
    </w:pPr>
    <w:rPr>
      <w:rFonts w:ascii="Calibri" w:eastAsia="宋体" w:hAnsi="Calibri"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302">
    <w:name w:val="正文302"/>
    <w:pPr>
      <w:widowControl w:val="0"/>
      <w:jc w:val="both"/>
    </w:pPr>
    <w:rPr>
      <w:rFonts w:ascii="Calibri" w:eastAsia="宋体" w:hAnsi="Calibri" w:cs="Times New Roman"/>
      <w:kern w:val="2"/>
      <w:sz w:val="21"/>
      <w:szCs w:val="24"/>
      <w:lang w:val="en-US" w:eastAsia="zh-CN" w:bidi="ar-SA"/>
    </w:rPr>
  </w:style>
  <w:style w:type="paragraph" w:customStyle="1" w:styleId="97">
    <w:name w:val="纯文本97"/>
    <w:pPr>
      <w:widowControl w:val="0"/>
      <w:jc w:val="both"/>
    </w:pPr>
    <w:rPr>
      <w:rFonts w:ascii="宋体" w:eastAsia="宋体" w:hAnsi="Times New Roman" w:cs="Courier New"/>
      <w:kern w:val="2"/>
      <w:sz w:val="21"/>
      <w:szCs w:val="21"/>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44210">
    <w:name w:val="样式 442 10 磅"/>
    <w:next w:val="a21"/>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zh-CN" w:bidi="ar-SA"/>
    </w:rPr>
  </w:style>
  <w:style w:type="paragraph" w:customStyle="1" w:styleId="320">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44910">
    <w:name w:val="样式 449 10 磅"/>
    <w:next w:val="480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43510">
    <w:name w:val="样式 435 10 磅"/>
    <w:next w:val="1112"/>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12">
    <w:name w:val="样式 11 磅"/>
    <w:pPr>
      <w:widowControl w:val="0"/>
      <w:ind w:left="105"/>
    </w:pPr>
    <w:rPr>
      <w:rFonts w:ascii="宋体" w:eastAsia="宋体" w:hAnsi="Times New Roman" w:cs="宋体"/>
      <w:sz w:val="22"/>
      <w:szCs w:val="22"/>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zh-CN"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lang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11">
    <w:name w:val="样式 12 11 磅"/>
    <w:next w:val="TOC3"/>
    <w:rPr>
      <w:rFonts w:ascii="Calibri" w:eastAsia="宋体" w:hAnsi="Calibri" w:cs="Times New Roman"/>
      <w:sz w:val="22"/>
      <w:szCs w:val="22"/>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eastAsia="zh-CN"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7910">
    <w:name w:val="样式 7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381">
    <w:name w:val="正文38"/>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1280">
    <w:name w:val="纯文本128"/>
    <w:pPr>
      <w:widowControl w:val="0"/>
      <w:jc w:val="both"/>
    </w:pPr>
    <w:rPr>
      <w:rFonts w:ascii="宋体" w:eastAsia="宋体" w:hAnsi="Times New Roman" w:cs="Courier New"/>
      <w:kern w:val="2"/>
      <w:sz w:val="21"/>
      <w:szCs w:val="21"/>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1040">
    <w:name w:val="正文1040"/>
    <w:pPr>
      <w:widowControl w:val="0"/>
      <w:jc w:val="both"/>
    </w:pPr>
    <w:rPr>
      <w:rFonts w:ascii="Calibri" w:eastAsia="宋体" w:hAnsi="Calibri" w:cs="Times New Roman"/>
      <w:kern w:val="2"/>
      <w:sz w:val="21"/>
      <w:szCs w:val="22"/>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zh-CN" w:bidi="ar-SA"/>
    </w:rPr>
  </w:style>
  <w:style w:type="paragraph" w:customStyle="1" w:styleId="77">
    <w:name w:val="样式 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4100">
    <w:name w:val="正文410"/>
    <w:pPr>
      <w:widowControl w:val="0"/>
      <w:jc w:val="both"/>
    </w:pPr>
    <w:rPr>
      <w:rFonts w:ascii="Calibri" w:eastAsia="宋体" w:hAnsi="Calibri" w:cs="Times New Roman"/>
      <w:kern w:val="2"/>
      <w:sz w:val="21"/>
      <w:szCs w:val="24"/>
      <w:lang w:val="en-US" w:eastAsia="zh-CN"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eastAsia="zh-CN"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236">
    <w:name w:val="正文236"/>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eastAsia="zh-CN"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002">
    <w:name w:val="纯文本100"/>
    <w:pPr>
      <w:widowControl w:val="0"/>
      <w:jc w:val="both"/>
    </w:pPr>
    <w:rPr>
      <w:rFonts w:ascii="宋体" w:eastAsia="宋体" w:hAnsi="Times New Roman" w:cs="Courier New"/>
      <w:kern w:val="2"/>
      <w:sz w:val="21"/>
      <w:szCs w:val="21"/>
      <w:lang w:val="en-US" w:eastAsia="zh-CN" w:bidi="ar-SA"/>
    </w:rPr>
  </w:style>
  <w:style w:type="paragraph" w:customStyle="1" w:styleId="481">
    <w:name w:val="正文481"/>
    <w:pPr>
      <w:widowControl w:val="0"/>
      <w:jc w:val="both"/>
    </w:pPr>
    <w:rPr>
      <w:rFonts w:ascii="Calibri" w:eastAsia="宋体" w:hAnsi="Calibri"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243">
    <w:name w:val="正文243"/>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hAnsi="Times New Roman" w:cs="Courier New"/>
      <w:kern w:val="2"/>
      <w:sz w:val="21"/>
      <w:szCs w:val="21"/>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970">
    <w:name w:val="正文97"/>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zh-CN" w:bidi="ar-SA"/>
    </w:rPr>
  </w:style>
  <w:style w:type="paragraph" w:customStyle="1" w:styleId="171">
    <w:name w:val="正文171"/>
    <w:pPr>
      <w:widowControl w:val="0"/>
      <w:jc w:val="both"/>
    </w:pPr>
    <w:rPr>
      <w:rFonts w:ascii="Calibri" w:eastAsia="宋体" w:hAnsi="Calibri"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862">
    <w:name w:val="正文86"/>
    <w:pPr>
      <w:widowControl w:val="0"/>
      <w:jc w:val="both"/>
    </w:pPr>
    <w:rPr>
      <w:rFonts w:ascii="Calibri" w:eastAsia="宋体" w:hAnsi="Calibri"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hAnsi="Times New Roman"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90">
    <w:name w:val="正文290"/>
    <w:pPr>
      <w:widowControl w:val="0"/>
      <w:jc w:val="both"/>
    </w:pPr>
    <w:rPr>
      <w:rFonts w:ascii="Calibri" w:eastAsia="宋体" w:hAnsi="Calibri" w:cs="Times New Roman"/>
      <w:kern w:val="2"/>
      <w:sz w:val="21"/>
      <w:szCs w:val="24"/>
      <w:lang w:val="en-US" w:eastAsia="zh-CN" w:bidi="ar-SA"/>
    </w:rPr>
  </w:style>
  <w:style w:type="paragraph" w:customStyle="1" w:styleId="295">
    <w:name w:val="正文295"/>
    <w:pPr>
      <w:widowControl w:val="0"/>
      <w:jc w:val="both"/>
    </w:pPr>
    <w:rPr>
      <w:rFonts w:ascii="Calibri" w:eastAsia="宋体" w:hAnsi="Calibri" w:cs="Times New Roman"/>
      <w:kern w:val="2"/>
      <w:sz w:val="21"/>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hAnsi="Times New Roman" w:cs="Courier New"/>
      <w:kern w:val="2"/>
      <w:sz w:val="21"/>
      <w:szCs w:val="21"/>
      <w:lang w:val="en-US" w:eastAsia="zh-CN" w:bidi="ar-SA"/>
    </w:rPr>
  </w:style>
  <w:style w:type="paragraph" w:customStyle="1" w:styleId="190">
    <w:name w:val="正文19"/>
    <w:pPr>
      <w:widowControl w:val="0"/>
      <w:jc w:val="both"/>
    </w:pPr>
    <w:rPr>
      <w:rFonts w:ascii="Calibri" w:eastAsia="宋体" w:hAnsi="Calibri" w:cs="Times New Roman"/>
      <w:kern w:val="2"/>
      <w:sz w:val="21"/>
      <w:szCs w:val="22"/>
      <w:lang w:val="en-US" w:eastAsia="zh-CN" w:bidi="ar-SA"/>
    </w:rPr>
  </w:style>
  <w:style w:type="paragraph" w:customStyle="1" w:styleId="1121">
    <w:name w:val="纯文本112"/>
    <w:pPr>
      <w:widowControl w:val="0"/>
      <w:jc w:val="both"/>
    </w:pPr>
    <w:rPr>
      <w:rFonts w:ascii="宋体" w:eastAsia="宋体" w:hAnsi="Times New Roman" w:cs="Courier New"/>
      <w:kern w:val="2"/>
      <w:sz w:val="21"/>
      <w:szCs w:val="21"/>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2011">
    <w:name w:val="正文201"/>
    <w:pPr>
      <w:widowControl w:val="0"/>
      <w:jc w:val="both"/>
    </w:pPr>
    <w:rPr>
      <w:rFonts w:ascii="Calibri" w:eastAsia="宋体" w:hAnsi="Calibri"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a24">
    <w:name w:val="段"/>
    <w:pPr>
      <w:autoSpaceDE w:val="0"/>
      <w:autoSpaceDN w:val="0"/>
      <w:ind w:firstLine="200" w:firstLineChars="200"/>
      <w:jc w:val="both"/>
    </w:pPr>
    <w:rPr>
      <w:rFonts w:ascii="宋体" w:eastAsia="宋体" w:hAnsi="Times New Roman" w:cs="Times New Roman"/>
      <w:kern w:val="2"/>
      <w:sz w:val="21"/>
      <w:szCs w:val="28"/>
      <w:lang w:val="en-US" w:eastAsia="zh-CN"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hAnsi="Times New Roman" w:cs="宋体"/>
      <w:kern w:val="2"/>
      <w:sz w:val="24"/>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hAnsi="Times New Roman" w:cs="Courier New"/>
      <w:kern w:val="2"/>
      <w:sz w:val="21"/>
      <w:szCs w:val="21"/>
      <w:lang w:val="en-US" w:eastAsia="zh-CN" w:bidi="ar-SA"/>
    </w:rPr>
  </w:style>
  <w:style w:type="paragraph" w:customStyle="1" w:styleId="800">
    <w:name w:val="正文80"/>
    <w:pPr>
      <w:widowControl w:val="0"/>
      <w:jc w:val="both"/>
    </w:pPr>
    <w:rPr>
      <w:rFonts w:ascii="Calibri" w:eastAsia="宋体" w:hAnsi="Calibri" w:cs="Times New Roman"/>
      <w:kern w:val="2"/>
      <w:sz w:val="21"/>
      <w:szCs w:val="24"/>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012">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133">
    <w:name w:val="无间隔1"/>
    <w:pPr>
      <w:spacing w:line="360" w:lineRule="auto"/>
    </w:pPr>
    <w:rPr>
      <w:rFonts w:ascii="Calibri" w:eastAsia="宋体" w:hAnsi="Calibri" w:cs="Times New Roman"/>
      <w:kern w:val="2"/>
      <w:sz w:val="22"/>
      <w:szCs w:val="28"/>
      <w:lang w:val="en-US" w:eastAsia="zh-CN"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8710">
    <w:name w:val="样式 87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eastAsia="zh-CN"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lang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Char1CharCharChar">
    <w:name w:val="Char1 Char Char Char"/>
    <w:basedOn w:val="Normal"/>
    <w:pPr>
      <w:numPr>
        <w:ilvl w:val="0"/>
        <w:numId w:val="19"/>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1110">
    <w:name w:val="正文1111"/>
    <w:pPr>
      <w:widowControl w:val="0"/>
      <w:jc w:val="both"/>
    </w:pPr>
    <w:rPr>
      <w:rFonts w:ascii="Calibri" w:eastAsia="宋体" w:hAnsi="Calibri" w:cs="Times New Roman"/>
      <w:kern w:val="2"/>
      <w:sz w:val="21"/>
      <w:szCs w:val="24"/>
      <w:lang w:val="en-US" w:eastAsia="zh-CN"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4551">
    <w:name w:val="正文455"/>
    <w:pPr>
      <w:widowControl w:val="0"/>
      <w:jc w:val="both"/>
    </w:pPr>
    <w:rPr>
      <w:rFonts w:ascii="Calibri" w:eastAsia="宋体" w:hAnsi="Calibri" w:cs="Times New Roman"/>
      <w:kern w:val="2"/>
      <w:sz w:val="21"/>
      <w:szCs w:val="24"/>
      <w:lang w:val="en-US" w:eastAsia="zh-CN"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3">
    <w:name w:val="正文523"/>
    <w:pPr>
      <w:widowControl w:val="0"/>
      <w:jc w:val="both"/>
    </w:pPr>
    <w:rPr>
      <w:rFonts w:ascii="Calibri" w:eastAsia="宋体" w:hAnsi="Calibri"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603">
    <w:name w:val="样式 60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591">
    <w:name w:val="正文59"/>
    <w:pPr>
      <w:widowControl w:val="0"/>
      <w:jc w:val="both"/>
    </w:pPr>
    <w:rPr>
      <w:rFonts w:ascii="Calibri" w:eastAsia="宋体" w:hAnsi="Calibri" w:cs="Times New Roman"/>
      <w:kern w:val="2"/>
      <w:sz w:val="21"/>
      <w:szCs w:val="24"/>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zh-CN" w:bidi="ar-SA"/>
    </w:rPr>
  </w:style>
  <w:style w:type="paragraph" w:customStyle="1" w:styleId="621">
    <w:name w:val="正文621"/>
    <w:pPr>
      <w:widowControl w:val="0"/>
      <w:jc w:val="both"/>
    </w:pPr>
    <w:rPr>
      <w:rFonts w:ascii="Calibri" w:eastAsia="宋体" w:hAnsi="Calibri" w:cs="Times New Roman"/>
      <w:kern w:val="2"/>
      <w:sz w:val="21"/>
      <w:szCs w:val="24"/>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hAnsi="Times New Roman" w:cs="Courier New"/>
      <w:kern w:val="2"/>
      <w:sz w:val="21"/>
      <w:szCs w:val="21"/>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hAnsi="Times New Roman" w:cs="Arial"/>
      <w:kern w:val="2"/>
      <w:sz w:val="21"/>
      <w:szCs w:val="22"/>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5130">
    <w:name w:val="正文513"/>
    <w:pPr>
      <w:widowControl w:val="0"/>
      <w:jc w:val="both"/>
    </w:pPr>
    <w:rPr>
      <w:rFonts w:ascii="Calibri" w:eastAsia="宋体" w:hAnsi="Calibri" w:cs="Times New Roman"/>
      <w:kern w:val="2"/>
      <w:sz w:val="21"/>
      <w:szCs w:val="24"/>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273">
    <w:name w:val="纯文本27"/>
    <w:pPr>
      <w:widowControl w:val="0"/>
      <w:jc w:val="both"/>
    </w:pPr>
    <w:rPr>
      <w:rFonts w:ascii="宋体" w:eastAsia="宋体" w:hAnsi="Times New Roman" w:cs="Courier New"/>
      <w:kern w:val="2"/>
      <w:sz w:val="21"/>
      <w:szCs w:val="21"/>
      <w:lang w:val="en-US" w:eastAsia="zh-CN"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hAnsi="Times New Roman" w:cs="Times New Roman"/>
      <w:kern w:val="2"/>
      <w:sz w:val="21"/>
      <w:szCs w:val="21"/>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514">
    <w:name w:val="纯文本51"/>
    <w:pPr>
      <w:widowControl w:val="0"/>
      <w:jc w:val="both"/>
    </w:pPr>
    <w:rPr>
      <w:rFonts w:ascii="宋体" w:eastAsia="宋体" w:hAnsi="Times New Roman" w:cs="Courier New"/>
      <w:kern w:val="2"/>
      <w:sz w:val="21"/>
      <w:szCs w:val="21"/>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zh-CN"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1062">
    <w:name w:val="正文106"/>
    <w:pPr>
      <w:widowControl w:val="0"/>
      <w:jc w:val="both"/>
    </w:pPr>
    <w:rPr>
      <w:rFonts w:ascii="Calibri" w:eastAsia="宋体" w:hAnsi="Calibri"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zh-CN" w:bidi="ar-SA"/>
    </w:rPr>
  </w:style>
  <w:style w:type="paragraph" w:customStyle="1" w:styleId="325">
    <w:name w:val="纯文本32"/>
    <w:pPr>
      <w:widowControl w:val="0"/>
      <w:jc w:val="both"/>
    </w:pPr>
    <w:rPr>
      <w:rFonts w:ascii="宋体" w:eastAsia="宋体" w:hAnsi="Times New Roman" w:cs="Courier New"/>
      <w:kern w:val="2"/>
      <w:sz w:val="21"/>
      <w:szCs w:val="21"/>
      <w:lang w:val="en-US" w:eastAsia="zh-CN" w:bidi="ar-SA"/>
    </w:rPr>
  </w:style>
  <w:style w:type="paragraph" w:customStyle="1" w:styleId="1183">
    <w:name w:val="正文118"/>
    <w:pPr>
      <w:widowControl w:val="0"/>
      <w:jc w:val="both"/>
    </w:pPr>
    <w:rPr>
      <w:rFonts w:ascii="Calibri" w:eastAsia="宋体" w:hAnsi="Calibri" w:cs="Times New Roman"/>
      <w:kern w:val="2"/>
      <w:sz w:val="21"/>
      <w:szCs w:val="24"/>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hAnsi="Times New Roman" w:cs="Courier New"/>
      <w:kern w:val="2"/>
      <w:sz w:val="21"/>
      <w:szCs w:val="21"/>
      <w:lang w:val="en-US" w:eastAsia="zh-CN" w:bidi="ar-SA"/>
    </w:rPr>
  </w:style>
  <w:style w:type="paragraph" w:customStyle="1" w:styleId="193">
    <w:name w:val="正文193"/>
    <w:pPr>
      <w:widowControl w:val="0"/>
      <w:jc w:val="both"/>
    </w:pPr>
    <w:rPr>
      <w:rFonts w:ascii="Calibri" w:eastAsia="宋体" w:hAnsi="Calibri" w:cs="Times New Roman"/>
      <w:kern w:val="2"/>
      <w:sz w:val="21"/>
      <w:szCs w:val="24"/>
      <w:lang w:val="en-US" w:eastAsia="zh-CN" w:bidi="ar-SA"/>
    </w:rPr>
  </w:style>
  <w:style w:type="paragraph" w:customStyle="1" w:styleId="a25">
    <w:name w:val="公式样式 变量"/>
    <w:rPr>
      <w:rFonts w:ascii="Calibri" w:eastAsia="宋体" w:hAnsi="Calibri" w:cs="Times New Roman"/>
      <w:i/>
      <w:iCs/>
      <w:kern w:val="2"/>
      <w:sz w:val="20"/>
      <w:szCs w:val="28"/>
      <w:lang w:val="en-US" w:eastAsia="zh-CN"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6030">
    <w:name w:val="正文603"/>
    <w:pPr>
      <w:widowControl w:val="0"/>
      <w:jc w:val="both"/>
    </w:pPr>
    <w:rPr>
      <w:rFonts w:ascii="Calibri" w:eastAsia="宋体" w:hAnsi="Calibri"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301">
    <w:name w:val="目录 3_0"/>
    <w:next w:val="3"/>
    <w:pPr>
      <w:widowControl w:val="0"/>
      <w:numPr>
        <w:ilvl w:val="0"/>
        <w:numId w:val="20"/>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zh-CN"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hAnsi="Times New Roman" w:cs="Courier New"/>
      <w:kern w:val="2"/>
      <w:sz w:val="21"/>
      <w:szCs w:val="21"/>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44710">
    <w:name w:val="样式 447 10 磅"/>
    <w:next w:val="604"/>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960">
    <w:name w:val="纯文本96"/>
    <w:pPr>
      <w:widowControl w:val="0"/>
      <w:jc w:val="both"/>
    </w:pPr>
    <w:rPr>
      <w:rFonts w:ascii="宋体" w:eastAsia="宋体" w:hAnsi="Times New Roman" w:cs="Courier New"/>
      <w:kern w:val="2"/>
      <w:sz w:val="21"/>
      <w:szCs w:val="21"/>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241">
    <w:name w:val="正文241"/>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hAnsi="Times New Roman" w:cs="Courier New"/>
      <w:kern w:val="2"/>
      <w:sz w:val="21"/>
      <w:szCs w:val="21"/>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zh-CN"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hAnsi="Times New Roman" w:cs="Courier New"/>
      <w:kern w:val="2"/>
      <w:sz w:val="21"/>
      <w:szCs w:val="21"/>
      <w:lang w:val="en-US" w:eastAsia="zh-CN" w:bidi="ar-SA"/>
    </w:rPr>
  </w:style>
  <w:style w:type="paragraph" w:customStyle="1" w:styleId="1171">
    <w:name w:val="纯文本117"/>
    <w:pPr>
      <w:widowControl w:val="0"/>
      <w:jc w:val="both"/>
    </w:pPr>
    <w:rPr>
      <w:rFonts w:ascii="宋体" w:eastAsia="宋体" w:hAnsi="Times New Roman" w:cs="Courier New"/>
      <w:kern w:val="2"/>
      <w:sz w:val="21"/>
      <w:szCs w:val="21"/>
      <w:lang w:val="en-US" w:eastAsia="zh-CN"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672">
    <w:name w:val="正文67"/>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hAnsi="Times New Roman" w:cs="Courier New"/>
      <w:kern w:val="2"/>
      <w:sz w:val="21"/>
      <w:szCs w:val="21"/>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9"/>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1107">
    <w:name w:val="正文1107"/>
    <w:pPr>
      <w:widowControl w:val="0"/>
      <w:jc w:val="both"/>
    </w:pPr>
    <w:rPr>
      <w:rFonts w:ascii="Calibri" w:eastAsia="宋体" w:hAnsi="Calibri" w:cs="Times New Roman"/>
      <w:kern w:val="2"/>
      <w:sz w:val="21"/>
      <w:szCs w:val="24"/>
      <w:lang w:val="en-US" w:eastAsia="zh-CN" w:bidi="ar-SA"/>
    </w:rPr>
  </w:style>
  <w:style w:type="paragraph" w:customStyle="1" w:styleId="692">
    <w:name w:val="正文692"/>
    <w:pPr>
      <w:widowControl w:val="0"/>
      <w:jc w:val="both"/>
    </w:pPr>
    <w:rPr>
      <w:rFonts w:ascii="Calibri" w:eastAsia="宋体" w:hAnsi="Calibri" w:cs="Times New Roman"/>
      <w:kern w:val="2"/>
      <w:sz w:val="21"/>
      <w:szCs w:val="24"/>
      <w:lang w:val="en-US" w:eastAsia="zh-CN"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477">
    <w:name w:val="正文477"/>
    <w:pPr>
      <w:widowControl w:val="0"/>
      <w:jc w:val="both"/>
    </w:pPr>
    <w:rPr>
      <w:rFonts w:ascii="Calibri" w:eastAsia="宋体" w:hAnsi="Calibri"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2112">
    <w:name w:val="正文文本缩进 21"/>
    <w:pPr>
      <w:widowControl w:val="0"/>
      <w:ind w:firstLine="586"/>
      <w:jc w:val="both"/>
    </w:pPr>
    <w:rPr>
      <w:rFonts w:ascii="宋体" w:eastAsia="宋体" w:hAnsi="Times New Roman" w:cs="Times New Roman"/>
      <w:kern w:val="2"/>
      <w:sz w:val="21"/>
      <w:szCs w:val="21"/>
      <w:lang w:val="en-US" w:eastAsia="zh-CN" w:bidi="ar-SA"/>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114">
    <w:name w:val="纯文本111"/>
    <w:pPr>
      <w:widowControl w:val="0"/>
      <w:jc w:val="both"/>
    </w:pPr>
    <w:rPr>
      <w:rFonts w:ascii="宋体" w:eastAsia="宋体" w:hAnsi="Times New Roman" w:cs="Courier New"/>
      <w:kern w:val="2"/>
      <w:sz w:val="21"/>
      <w:szCs w:val="21"/>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233">
    <w:name w:val="正文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91310">
    <w:name w:val="样式 1913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4400">
    <w:name w:val="正文440"/>
    <w:pPr>
      <w:widowControl w:val="0"/>
      <w:jc w:val="both"/>
    </w:pPr>
    <w:rPr>
      <w:rFonts w:ascii="Calibri" w:eastAsia="宋体" w:hAnsi="Calibri"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505">
    <w:name w:val="纯文本50"/>
    <w:pPr>
      <w:widowControl w:val="0"/>
      <w:jc w:val="both"/>
    </w:pPr>
    <w:rPr>
      <w:rFonts w:ascii="宋体" w:eastAsia="宋体" w:hAnsi="Times New Roman" w:cs="Courier New"/>
      <w:kern w:val="2"/>
      <w:sz w:val="21"/>
      <w:szCs w:val="21"/>
      <w:lang w:val="en-US" w:eastAsia="zh-CN" w:bidi="ar-SA"/>
    </w:rPr>
  </w:style>
  <w:style w:type="paragraph" w:customStyle="1" w:styleId="192">
    <w:name w:val="纯文本19"/>
    <w:pPr>
      <w:widowControl w:val="0"/>
      <w:jc w:val="both"/>
    </w:pPr>
    <w:rPr>
      <w:rFonts w:ascii="宋体" w:eastAsia="宋体" w:hAnsi="Times New Roman" w:cs="Courier New"/>
      <w:kern w:val="2"/>
      <w:sz w:val="21"/>
      <w:szCs w:val="21"/>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416">
    <w:name w:val="正文4"/>
    <w:pPr>
      <w:widowControl w:val="0"/>
      <w:jc w:val="both"/>
    </w:pPr>
    <w:rPr>
      <w:rFonts w:ascii="Calibri" w:eastAsia="宋体" w:hAnsi="Calibri" w:cs="Times New Roman"/>
      <w:kern w:val="2"/>
      <w:sz w:val="21"/>
      <w:szCs w:val="22"/>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zh-CN"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zh-CN"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zh-CN" w:bidi="ar-SA"/>
    </w:rPr>
  </w:style>
  <w:style w:type="paragraph" w:customStyle="1" w:styleId="15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hAnsi="Times New Roman" w:cs="Courier New"/>
      <w:kern w:val="2"/>
      <w:sz w:val="21"/>
      <w:szCs w:val="21"/>
      <w:lang w:val="en-US" w:eastAsia="zh-CN"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43">
    <w:name w:val="正文74"/>
    <w:pPr>
      <w:widowControl w:val="0"/>
      <w:jc w:val="both"/>
    </w:pPr>
    <w:rPr>
      <w:rFonts w:ascii="Calibri" w:eastAsia="宋体" w:hAnsi="Calibri" w:cs="Times New Roman"/>
      <w:kern w:val="2"/>
      <w:sz w:val="21"/>
      <w:szCs w:val="24"/>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
    <w:name w:val="正文141"/>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zh-CN" w:bidi="ar-SA"/>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zh-CN" w:bidi="ar-SA"/>
    </w:rPr>
  </w:style>
  <w:style w:type="paragraph" w:customStyle="1" w:styleId="1140">
    <w:name w:val="纯文本114"/>
    <w:pPr>
      <w:widowControl w:val="0"/>
      <w:jc w:val="both"/>
    </w:pPr>
    <w:rPr>
      <w:rFonts w:ascii="宋体" w:eastAsia="宋体" w:hAnsi="Times New Roman" w:cs="Courier New"/>
      <w:kern w:val="2"/>
      <w:sz w:val="21"/>
      <w:szCs w:val="21"/>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zh-CN"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zh-CN" w:bidi="ar-SA"/>
    </w:rPr>
  </w:style>
  <w:style w:type="paragraph" w:customStyle="1" w:styleId="162">
    <w:name w:val="表格1"/>
    <w:pPr>
      <w:widowControl w:val="0"/>
      <w:jc w:val="center"/>
    </w:pPr>
    <w:rPr>
      <w:rFonts w:ascii="Calibri" w:eastAsia="宋体" w:hAnsi="Calibri" w:cs="Times New Roman"/>
      <w:kern w:val="2"/>
      <w:sz w:val="24"/>
      <w:szCs w:val="28"/>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080">
    <w:name w:val="纯文本108"/>
    <w:pPr>
      <w:widowControl w:val="0"/>
      <w:jc w:val="both"/>
    </w:pPr>
    <w:rPr>
      <w:rFonts w:ascii="宋体" w:eastAsia="宋体" w:hAnsi="Times New Roman" w:cs="Courier New"/>
      <w:kern w:val="2"/>
      <w:sz w:val="21"/>
      <w:szCs w:val="21"/>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174">
    <w:name w:val="正文17"/>
    <w:pPr>
      <w:widowControl w:val="0"/>
      <w:jc w:val="both"/>
    </w:pPr>
    <w:rPr>
      <w:rFonts w:ascii="Calibri" w:eastAsia="宋体" w:hAnsi="Calibri" w:cs="Times New Roman"/>
      <w:kern w:val="2"/>
      <w:sz w:val="21"/>
      <w:szCs w:val="22"/>
      <w:lang w:val="en-US" w:eastAsia="zh-CN" w:bidi="ar-SA"/>
    </w:rPr>
  </w:style>
  <w:style w:type="paragraph" w:customStyle="1" w:styleId="720">
    <w:name w:val="纯文本72"/>
    <w:pPr>
      <w:widowControl w:val="0"/>
      <w:jc w:val="both"/>
    </w:pPr>
    <w:rPr>
      <w:rFonts w:ascii="宋体" w:eastAsia="宋体" w:hAnsi="Times New Roman" w:cs="Courier New"/>
      <w:kern w:val="2"/>
      <w:sz w:val="21"/>
      <w:szCs w:val="21"/>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hAnsi="Times New Roman" w:cs="Courier New"/>
      <w:kern w:val="2"/>
      <w:sz w:val="21"/>
      <w:szCs w:val="21"/>
      <w:lang w:val="en-US" w:eastAsia="zh-CN" w:bidi="ar-SA"/>
    </w:rPr>
  </w:style>
  <w:style w:type="paragraph" w:customStyle="1" w:styleId="242">
    <w:name w:val="正文242"/>
    <w:pPr>
      <w:widowControl w:val="0"/>
      <w:jc w:val="both"/>
    </w:pPr>
    <w:rPr>
      <w:rFonts w:ascii="Calibri" w:eastAsia="宋体" w:hAnsi="Calibri"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hAnsi="Times New Roman" w:cs="Courier New"/>
      <w:kern w:val="2"/>
      <w:sz w:val="21"/>
      <w:szCs w:val="21"/>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657">
    <w:name w:val="正文657"/>
    <w:pPr>
      <w:widowControl w:val="0"/>
      <w:jc w:val="both"/>
    </w:pPr>
    <w:rPr>
      <w:rFonts w:ascii="Calibri" w:eastAsia="宋体" w:hAnsi="Calibri" w:cs="Times New Roman"/>
      <w:kern w:val="2"/>
      <w:sz w:val="21"/>
      <w:szCs w:val="24"/>
      <w:lang w:val="en-US" w:eastAsia="zh-CN"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443">
    <w:name w:val="纯文本44"/>
    <w:pPr>
      <w:widowControl w:val="0"/>
      <w:jc w:val="both"/>
    </w:pPr>
    <w:rPr>
      <w:rFonts w:ascii="宋体" w:eastAsia="宋体" w:hAnsi="Times New Roman" w:cs="Courier New"/>
      <w:kern w:val="2"/>
      <w:sz w:val="21"/>
      <w:szCs w:val="21"/>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hAnsi="Times New Roman" w:cs="Courier New"/>
      <w:kern w:val="2"/>
      <w:sz w:val="21"/>
      <w:szCs w:val="21"/>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zh-CN" w:bidi="ar-SA"/>
    </w:rPr>
  </w:style>
  <w:style w:type="paragraph" w:customStyle="1" w:styleId="220">
    <w:name w:val="纯文本22"/>
    <w:pPr>
      <w:widowControl w:val="0"/>
      <w:jc w:val="both"/>
    </w:pPr>
    <w:rPr>
      <w:rFonts w:ascii="宋体" w:eastAsia="宋体" w:hAnsi="Times New Roman" w:cs="Courier New"/>
      <w:kern w:val="2"/>
      <w:sz w:val="21"/>
      <w:szCs w:val="21"/>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164">
    <w:name w:val="页码1"/>
    <w:rPr>
      <w:rFonts w:ascii="Calibri" w:eastAsia="微软雅黑" w:hAnsi="Calibri" w:cs="Times New Roman"/>
      <w:kern w:val="2"/>
      <w:sz w:val="20"/>
      <w:szCs w:val="28"/>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zh-CN"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a31">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153">
    <w:name w:val="纯文本115"/>
    <w:pPr>
      <w:widowControl w:val="0"/>
      <w:jc w:val="both"/>
    </w:pPr>
    <w:rPr>
      <w:rFonts w:ascii="宋体" w:eastAsia="宋体" w:hAnsi="Times New Roman" w:cs="Courier New"/>
      <w:kern w:val="2"/>
      <w:sz w:val="21"/>
      <w:szCs w:val="21"/>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531">
    <w:name w:val="纯文本5"/>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
    <w:name w:val="纯文本38"/>
    <w:pPr>
      <w:widowControl w:val="0"/>
      <w:jc w:val="both"/>
    </w:pPr>
    <w:rPr>
      <w:rFonts w:ascii="宋体" w:eastAsia="宋体" w:hAnsi="Times New Roman" w:cs="Courier New"/>
      <w:kern w:val="2"/>
      <w:sz w:val="21"/>
      <w:szCs w:val="21"/>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zh-CN"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371">
    <w:name w:val="正文371"/>
    <w:pPr>
      <w:widowControl w:val="0"/>
      <w:jc w:val="both"/>
    </w:pPr>
    <w:rPr>
      <w:rFonts w:ascii="Calibri" w:eastAsia="宋体" w:hAnsi="Calibri" w:cs="Times New Roman"/>
      <w:kern w:val="2"/>
      <w:sz w:val="21"/>
      <w:szCs w:val="24"/>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965">
    <w:name w:val="正文96"/>
    <w:pPr>
      <w:widowControl w:val="0"/>
      <w:jc w:val="both"/>
    </w:pPr>
    <w:rPr>
      <w:rFonts w:ascii="Calibri" w:eastAsia="宋体" w:hAnsi="Calibri" w:cs="Times New Roman"/>
      <w:kern w:val="2"/>
      <w:sz w:val="21"/>
      <w:szCs w:val="24"/>
      <w:lang w:val="en-US" w:eastAsia="zh-CN" w:bidi="ar-SA"/>
    </w:rPr>
  </w:style>
  <w:style w:type="paragraph" w:customStyle="1" w:styleId="673">
    <w:name w:val="纯文本67"/>
    <w:pPr>
      <w:widowControl w:val="0"/>
      <w:jc w:val="both"/>
    </w:pPr>
    <w:rPr>
      <w:rFonts w:ascii="宋体" w:eastAsia="宋体" w:hAnsi="Times New Roman" w:cs="Courier New"/>
      <w:kern w:val="2"/>
      <w:sz w:val="21"/>
      <w:szCs w:val="21"/>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876">
    <w:name w:val="正文876"/>
    <w:pPr>
      <w:widowControl w:val="0"/>
      <w:jc w:val="both"/>
    </w:pPr>
    <w:rPr>
      <w:rFonts w:ascii="Calibri" w:eastAsia="宋体" w:hAnsi="Calibri" w:cs="Times New Roman"/>
      <w:kern w:val="2"/>
      <w:sz w:val="21"/>
      <w:szCs w:val="22"/>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181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zh-CN"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zh-CN" w:bidi="ar-SA"/>
    </w:rPr>
  </w:style>
  <w:style w:type="paragraph" w:customStyle="1" w:styleId="1142">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425">
    <w:name w:val="正文425"/>
    <w:pPr>
      <w:widowControl w:val="0"/>
      <w:jc w:val="both"/>
    </w:pPr>
    <w:rPr>
      <w:rFonts w:ascii="Calibri" w:eastAsia="宋体" w:hAnsi="Calibri" w:cs="Times New Roman"/>
      <w:kern w:val="2"/>
      <w:sz w:val="21"/>
      <w:szCs w:val="24"/>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hAnsi="Times New Roman" w:cs="Courier New"/>
      <w:kern w:val="2"/>
      <w:sz w:val="21"/>
      <w:szCs w:val="21"/>
      <w:lang w:val="en-US" w:eastAsia="zh-CN"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990">
    <w:name w:val="正文990"/>
    <w:pPr>
      <w:widowControl w:val="0"/>
      <w:jc w:val="both"/>
    </w:pPr>
    <w:rPr>
      <w:rFonts w:ascii="Calibri" w:eastAsia="宋体" w:hAnsi="Calibri" w:cs="Times New Roman"/>
      <w:kern w:val="2"/>
      <w:sz w:val="21"/>
      <w:szCs w:val="22"/>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zh-CN"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0"/>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1530">
    <w:name w:val="正文1153"/>
    <w:pPr>
      <w:widowControl w:val="0"/>
      <w:jc w:val="both"/>
    </w:pPr>
    <w:rPr>
      <w:rFonts w:ascii="Calibri" w:eastAsia="宋体" w:hAnsi="Calibri"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1090">
    <w:name w:val="纯文本109"/>
    <w:pPr>
      <w:widowControl w:val="0"/>
      <w:jc w:val="both"/>
    </w:pPr>
    <w:rPr>
      <w:rFonts w:ascii="宋体" w:eastAsia="宋体" w:hAnsi="Times New Roman" w:cs="Courier New"/>
      <w:kern w:val="2"/>
      <w:sz w:val="21"/>
      <w:szCs w:val="21"/>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hAnsi="Times New Roman"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zh-CN" w:bidi="ar-SA"/>
    </w:rPr>
  </w:style>
  <w:style w:type="paragraph" w:customStyle="1" w:styleId="616">
    <w:name w:val="样式 标题 6 + (西文) 宋体"/>
    <w:pPr>
      <w:keepNext/>
      <w:keepLines/>
      <w:widowControl w:val="0"/>
      <w:numPr>
        <w:ilvl w:val="5"/>
        <w:numId w:val="21"/>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zh-CN" w:bidi="ar-SA"/>
    </w:rPr>
  </w:style>
  <w:style w:type="paragraph" w:customStyle="1" w:styleId="221">
    <w:name w:val="正文文本2"/>
    <w:pPr>
      <w:widowControl w:val="0"/>
      <w:jc w:val="both"/>
    </w:pPr>
    <w:rPr>
      <w:rFonts w:ascii="Calibri" w:eastAsia="宋体" w:hAnsi="Calibri" w:cs="Times New Roman"/>
      <w:kern w:val="2"/>
      <w:sz w:val="28"/>
      <w:szCs w:val="22"/>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zh-CN"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396">
    <w:name w:val="正文396"/>
    <w:pPr>
      <w:widowControl w:val="0"/>
      <w:jc w:val="both"/>
    </w:pPr>
    <w:rPr>
      <w:rFonts w:ascii="Calibri" w:eastAsia="宋体" w:hAnsi="Calibri"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zh-CN" w:bidi="ar-SA"/>
    </w:rPr>
  </w:style>
  <w:style w:type="paragraph" w:customStyle="1" w:styleId="4910">
    <w:name w:val="正文491"/>
    <w:pPr>
      <w:widowControl w:val="0"/>
      <w:jc w:val="both"/>
    </w:pPr>
    <w:rPr>
      <w:rFonts w:ascii="Calibri" w:eastAsia="宋体" w:hAnsi="Calibri" w:cs="Times New Roman"/>
      <w:kern w:val="2"/>
      <w:sz w:val="21"/>
      <w:szCs w:val="24"/>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zh-CN"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630">
    <w:name w:val="正文563"/>
    <w:pPr>
      <w:widowControl w:val="0"/>
      <w:jc w:val="both"/>
    </w:pPr>
    <w:rPr>
      <w:rFonts w:ascii="Calibri" w:eastAsia="宋体" w:hAnsi="Calibri" w:cs="Times New Roman"/>
      <w:kern w:val="2"/>
      <w:sz w:val="21"/>
      <w:szCs w:val="24"/>
      <w:lang w:val="en-US" w:eastAsia="zh-CN" w:bidi="ar-SA"/>
    </w:rPr>
  </w:style>
  <w:style w:type="paragraph" w:customStyle="1" w:styleId="14111">
    <w:name w:val="样式 14 11 磅"/>
    <w:next w:val="Char"/>
    <w:rPr>
      <w:rFonts w:ascii="Calibri" w:eastAsia="宋体" w:hAnsi="Calibri" w:cs="Times New Roman"/>
      <w:sz w:val="22"/>
      <w:szCs w:val="22"/>
      <w:lang w:val="en-US" w:eastAsia="zh-CN" w:bidi="ar-SA"/>
    </w:rPr>
  </w:style>
  <w:style w:type="paragraph" w:customStyle="1" w:styleId="Char">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zh-CN" w:bidi="ar-SA"/>
    </w:rPr>
  </w:style>
  <w:style w:type="paragraph" w:customStyle="1" w:styleId="6600">
    <w:name w:val="正文660"/>
    <w:pPr>
      <w:widowControl w:val="0"/>
      <w:jc w:val="both"/>
    </w:pPr>
    <w:rPr>
      <w:rFonts w:ascii="Calibri" w:eastAsia="宋体" w:hAnsi="Calibri" w:cs="Times New Roman"/>
      <w:kern w:val="2"/>
      <w:sz w:val="21"/>
      <w:szCs w:val="24"/>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0300">
    <w:name w:val="正文1030"/>
    <w:rPr>
      <w:rFonts w:ascii="Calibri" w:eastAsia="宋体" w:hAnsi="Calibri" w:cs="Times New Roman"/>
      <w:kern w:val="2"/>
      <w:sz w:val="21"/>
      <w:szCs w:val="21"/>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hAnsi="Times New Roman"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lang w:bidi="ar-SA"/>
    </w:rPr>
  </w:style>
  <w:style w:type="paragraph" w:customStyle="1" w:styleId="315">
    <w:name w:val="样式 3 四号"/>
    <w:next w:val="ListBullet"/>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994">
    <w:name w:val="正文994"/>
    <w:pPr>
      <w:widowControl w:val="0"/>
      <w:jc w:val="both"/>
    </w:pPr>
    <w:rPr>
      <w:rFonts w:ascii="Calibri" w:eastAsia="宋体" w:hAnsi="Calibri" w:cs="Times New Roman"/>
      <w:kern w:val="2"/>
      <w:sz w:val="21"/>
      <w:szCs w:val="24"/>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pPr>
      <w:tabs>
        <w:tab w:val="clear" w:pos="1140"/>
      </w:tabs>
    </w:pPr>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lang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zh-CN"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25">
    <w:name w:val="正文725"/>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zh-CN"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1460">
    <w:name w:val="正文146"/>
    <w:pPr>
      <w:widowControl w:val="0"/>
      <w:jc w:val="both"/>
    </w:pPr>
    <w:rPr>
      <w:rFonts w:ascii="Calibri" w:eastAsia="宋体" w:hAnsi="Calibri" w:cs="Times New Roman"/>
      <w:kern w:val="2"/>
      <w:sz w:val="21"/>
      <w:szCs w:val="24"/>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3340">
    <w:name w:val="正文334"/>
    <w:pPr>
      <w:widowControl w:val="0"/>
      <w:jc w:val="both"/>
    </w:pPr>
    <w:rPr>
      <w:rFonts w:ascii="Calibri" w:eastAsia="宋体" w:hAnsi="Calibri"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874">
    <w:name w:val="正文87"/>
    <w:pPr>
      <w:widowControl w:val="0"/>
      <w:jc w:val="both"/>
    </w:pPr>
    <w:rPr>
      <w:rFonts w:ascii="Calibri" w:eastAsia="宋体" w:hAnsi="Calibri"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zh-CN" w:bidi="ar-SA"/>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Calibri" w:eastAsia="宋体" w:hAnsi="Calibri" w:cs="Times New Roman"/>
      <w:kern w:val="2"/>
      <w:sz w:val="21"/>
      <w:szCs w:val="21"/>
      <w:lang w:val="en-US" w:eastAsia="zh-CN"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zh-CN" w:bidi="ar-SA"/>
    </w:rPr>
  </w:style>
  <w:style w:type="paragraph" w:customStyle="1" w:styleId="294">
    <w:name w:val="纯文本29"/>
    <w:pPr>
      <w:widowControl w:val="0"/>
      <w:jc w:val="both"/>
    </w:pPr>
    <w:rPr>
      <w:rFonts w:ascii="宋体" w:eastAsia="宋体" w:hAnsi="Times New Roman" w:cs="Courier New"/>
      <w:kern w:val="2"/>
      <w:sz w:val="21"/>
      <w:szCs w:val="21"/>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5410">
    <w:name w:val="正文541"/>
    <w:pPr>
      <w:widowControl w:val="0"/>
      <w:jc w:val="both"/>
    </w:pPr>
    <w:rPr>
      <w:rFonts w:ascii="Calibri" w:eastAsia="宋体" w:hAnsi="Calibri"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1024">
    <w:name w:val="纯文本10"/>
    <w:pPr>
      <w:widowControl w:val="0"/>
      <w:jc w:val="both"/>
    </w:pPr>
    <w:rPr>
      <w:rFonts w:ascii="宋体" w:eastAsia="宋体" w:hAnsi="Times New Roman" w:cs="Courier New"/>
      <w:kern w:val="2"/>
      <w:sz w:val="21"/>
      <w:szCs w:val="21"/>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zh-CN" w:bidi="ar-SA"/>
    </w:rPr>
  </w:style>
  <w:style w:type="paragraph" w:customStyle="1" w:styleId="263">
    <w:name w:val="正文263"/>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1210">
    <w:name w:val="正文1121"/>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47010">
    <w:name w:val="样式 470 10 磅"/>
    <w:pPr>
      <w:widowControl w:val="0"/>
      <w:jc w:val="both"/>
    </w:pPr>
    <w:rPr>
      <w:rFonts w:ascii="等线" w:eastAsia="等线" w:hAnsi="Times New Roman" w:cs="Arial"/>
      <w:kern w:val="2"/>
      <w:sz w:val="21"/>
      <w:szCs w:val="22"/>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hAnsi="Times New Roman" w:cs="Courier New"/>
      <w:kern w:val="2"/>
      <w:sz w:val="21"/>
      <w:szCs w:val="21"/>
      <w:lang w:val="en-US" w:eastAsia="zh-CN" w:bidi="ar-SA"/>
    </w:rPr>
  </w:style>
  <w:style w:type="paragraph" w:customStyle="1" w:styleId="1520">
    <w:name w:val="正文152"/>
    <w:pPr>
      <w:widowControl w:val="0"/>
      <w:jc w:val="both"/>
    </w:pPr>
    <w:rPr>
      <w:rFonts w:ascii="Calibri" w:eastAsia="宋体" w:hAnsi="Calibri" w:cs="Times New Roman"/>
      <w:kern w:val="2"/>
      <w:sz w:val="21"/>
      <w:szCs w:val="24"/>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eastAsia="zh-CN"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419">
    <w:name w:val="样式 4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zh-CN"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123">
    <w:name w:val="正文1123"/>
    <w:pPr>
      <w:widowControl w:val="0"/>
      <w:jc w:val="both"/>
    </w:pPr>
    <w:rPr>
      <w:rFonts w:ascii="Calibri" w:eastAsia="宋体" w:hAnsi="Calibri" w:cs="Times New Roman"/>
      <w:kern w:val="2"/>
      <w:sz w:val="21"/>
      <w:szCs w:val="24"/>
      <w:lang w:val="en-US" w:eastAsia="zh-CN" w:bidi="ar-SA"/>
    </w:rPr>
  </w:style>
  <w:style w:type="paragraph" w:customStyle="1" w:styleId="186210">
    <w:name w:val="样式 1862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1370">
    <w:name w:val="正文137"/>
    <w:pPr>
      <w:widowControl w:val="0"/>
      <w:jc w:val="both"/>
    </w:pPr>
    <w:rPr>
      <w:rFonts w:ascii="Calibri" w:eastAsia="宋体" w:hAnsi="Calibri" w:cs="Times New Roman"/>
      <w:kern w:val="2"/>
      <w:sz w:val="21"/>
      <w:szCs w:val="24"/>
      <w:lang w:val="en-US" w:eastAsia="zh-CN" w:bidi="ar-SA"/>
    </w:rPr>
  </w:style>
  <w:style w:type="paragraph" w:customStyle="1" w:styleId="1420">
    <w:name w:val="正文142"/>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10620">
    <w:name w:val="正文1062"/>
    <w:pPr>
      <w:widowControl w:val="0"/>
      <w:jc w:val="both"/>
    </w:pPr>
    <w:rPr>
      <w:rFonts w:ascii="Calibri" w:eastAsia="宋体" w:hAnsi="Calibri" w:cs="Times New Roman"/>
      <w:kern w:val="2"/>
      <w:sz w:val="21"/>
      <w:szCs w:val="22"/>
      <w:lang w:val="en-US" w:eastAsia="zh-CN" w:bidi="ar-SA"/>
    </w:rPr>
  </w:style>
  <w:style w:type="paragraph" w:customStyle="1" w:styleId="779">
    <w:name w:val="纯文本77"/>
    <w:pPr>
      <w:widowControl w:val="0"/>
      <w:jc w:val="both"/>
    </w:pPr>
    <w:rPr>
      <w:rFonts w:ascii="宋体" w:eastAsia="宋体" w:hAnsi="Times New Roman" w:cs="Courier New"/>
      <w:kern w:val="2"/>
      <w:sz w:val="21"/>
      <w:szCs w:val="21"/>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3040">
    <w:name w:val="正文304"/>
    <w:pPr>
      <w:widowControl w:val="0"/>
      <w:jc w:val="both"/>
    </w:pPr>
    <w:rPr>
      <w:rFonts w:ascii="Calibri" w:eastAsia="宋体" w:hAnsi="Calibri" w:cs="Times New Roman"/>
      <w:kern w:val="2"/>
      <w:sz w:val="21"/>
      <w:szCs w:val="24"/>
      <w:lang w:val="en-US" w:eastAsia="zh-CN" w:bidi="ar-SA"/>
    </w:rPr>
  </w:style>
  <w:style w:type="paragraph" w:customStyle="1" w:styleId="923">
    <w:name w:val="纯文本9"/>
    <w:pPr>
      <w:widowControl w:val="0"/>
      <w:jc w:val="both"/>
    </w:pPr>
    <w:rPr>
      <w:rFonts w:ascii="宋体" w:eastAsia="宋体" w:hAnsi="Times New Roman" w:cs="Courier New"/>
      <w:kern w:val="2"/>
      <w:sz w:val="21"/>
      <w:szCs w:val="21"/>
      <w:lang w:val="en-US" w:eastAsia="zh-CN"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zh-CN" w:bidi="ar-SA"/>
    </w:rPr>
  </w:style>
  <w:style w:type="paragraph" w:customStyle="1" w:styleId="4311">
    <w:name w:val="正文431"/>
    <w:pPr>
      <w:widowControl w:val="0"/>
      <w:jc w:val="both"/>
    </w:pPr>
    <w:rPr>
      <w:rFonts w:ascii="Calibri" w:eastAsia="宋体" w:hAnsi="Calibri" w:cs="Times New Roman"/>
      <w:kern w:val="2"/>
      <w:sz w:val="21"/>
      <w:szCs w:val="24"/>
      <w:lang w:val="en-US" w:eastAsia="zh-CN" w:bidi="ar-SA"/>
    </w:rPr>
  </w:style>
  <w:style w:type="paragraph" w:customStyle="1" w:styleId="9600">
    <w:name w:val="正文960"/>
    <w:pPr>
      <w:widowControl w:val="0"/>
      <w:jc w:val="both"/>
    </w:pPr>
    <w:rPr>
      <w:rFonts w:ascii="Calibri" w:eastAsia="宋体" w:hAnsi="Calibri" w:cs="Times New Roman"/>
      <w:kern w:val="2"/>
      <w:sz w:val="21"/>
      <w:szCs w:val="22"/>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11830">
    <w:name w:val="正文1183"/>
    <w:next w:val="535"/>
    <w:pPr>
      <w:widowControl w:val="0"/>
      <w:jc w:val="both"/>
    </w:pPr>
    <w:rPr>
      <w:rFonts w:ascii="等线" w:eastAsia="等线" w:hAnsi="Times New Roman"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zh-CN"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zh-CN" w:bidi="ar-SA"/>
    </w:rPr>
  </w:style>
  <w:style w:type="paragraph" w:customStyle="1" w:styleId="10460">
    <w:name w:val="正文1046"/>
    <w:pPr>
      <w:widowControl w:val="0"/>
      <w:jc w:val="both"/>
    </w:pPr>
    <w:rPr>
      <w:rFonts w:ascii="Calibri" w:eastAsia="宋体" w:hAnsi="Calibri" w:cs="Times New Roman"/>
      <w:kern w:val="2"/>
      <w:sz w:val="21"/>
      <w:szCs w:val="24"/>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495">
    <w:name w:val="正文495"/>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hAnsi="Times New Roman"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9120">
    <w:name w:val="正文912"/>
    <w:pPr>
      <w:widowControl w:val="0"/>
      <w:jc w:val="both"/>
    </w:pPr>
    <w:rPr>
      <w:rFonts w:ascii="Calibri" w:eastAsia="宋体" w:hAnsi="Calibri" w:cs="Times New Roman"/>
      <w:kern w:val="2"/>
      <w:sz w:val="21"/>
      <w:szCs w:val="24"/>
      <w:lang w:val="en-US" w:eastAsia="zh-CN" w:bidi="ar-SA"/>
    </w:rPr>
  </w:style>
  <w:style w:type="paragraph" w:customStyle="1" w:styleId="729">
    <w:name w:val="正文729"/>
    <w:pPr>
      <w:widowControl w:val="0"/>
      <w:jc w:val="both"/>
    </w:pPr>
    <w:rPr>
      <w:rFonts w:ascii="Calibri" w:eastAsia="宋体" w:hAnsi="Calibri"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zh-CN" w:bidi="ar-SA"/>
    </w:rPr>
  </w:style>
  <w:style w:type="paragraph" w:customStyle="1" w:styleId="2030">
    <w:name w:val="正文203"/>
    <w:pPr>
      <w:widowControl w:val="0"/>
      <w:jc w:val="both"/>
    </w:pPr>
    <w:rPr>
      <w:rFonts w:ascii="Calibri" w:eastAsia="宋体" w:hAnsi="Calibri"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852">
    <w:name w:val="纯文本85"/>
    <w:pPr>
      <w:widowControl w:val="0"/>
      <w:jc w:val="both"/>
    </w:pPr>
    <w:rPr>
      <w:rFonts w:ascii="宋体" w:eastAsia="宋体" w:hAnsi="Times New Roman" w:cs="Courier New"/>
      <w:kern w:val="2"/>
      <w:sz w:val="21"/>
      <w:szCs w:val="21"/>
      <w:lang w:val="en-US" w:eastAsia="zh-CN" w:bidi="ar-SA"/>
    </w:rPr>
  </w:style>
  <w:style w:type="paragraph" w:customStyle="1" w:styleId="264">
    <w:name w:val="正文26"/>
    <w:pPr>
      <w:widowControl w:val="0"/>
      <w:jc w:val="both"/>
    </w:pPr>
    <w:rPr>
      <w:rFonts w:ascii="Calibri" w:eastAsia="宋体" w:hAnsi="Calibri" w:cs="Times New Roman"/>
      <w:kern w:val="2"/>
      <w:sz w:val="21"/>
      <w:szCs w:val="22"/>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zh-CN" w:bidi="ar-SA"/>
    </w:rPr>
  </w:style>
  <w:style w:type="paragraph" w:customStyle="1" w:styleId="5350">
    <w:name w:val="正文535"/>
    <w:pPr>
      <w:widowControl w:val="0"/>
      <w:jc w:val="both"/>
    </w:pPr>
    <w:rPr>
      <w:rFonts w:ascii="Calibri" w:eastAsia="宋体" w:hAnsi="Calibri"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zh-CN" w:bidi="ar-SA"/>
    </w:rPr>
  </w:style>
  <w:style w:type="paragraph" w:customStyle="1" w:styleId="2340">
    <w:name w:val="正文234"/>
    <w:pPr>
      <w:widowControl w:val="0"/>
      <w:jc w:val="both"/>
    </w:pPr>
    <w:rPr>
      <w:rFonts w:ascii="Calibri" w:eastAsia="宋体" w:hAnsi="Calibri"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zh-CN" w:bidi="ar-SA"/>
    </w:rPr>
  </w:style>
  <w:style w:type="paragraph" w:customStyle="1" w:styleId="a36">
    <w:name w:val="公式样式 函数"/>
    <w:rPr>
      <w:rFonts w:ascii="Times New Roman" w:eastAsia="宋体" w:hAnsi="Times New Roman" w:cs="Times New Roman"/>
      <w:kern w:val="2"/>
      <w:sz w:val="20"/>
      <w:szCs w:val="28"/>
      <w:lang w:val="en-US" w:eastAsia="zh-CN" w:bidi="ar-SA"/>
    </w:rPr>
  </w:style>
  <w:style w:type="paragraph" w:customStyle="1" w:styleId="2640">
    <w:name w:val="正文264"/>
    <w:pPr>
      <w:widowControl w:val="0"/>
      <w:jc w:val="both"/>
    </w:pPr>
    <w:rPr>
      <w:rFonts w:ascii="Calibri" w:eastAsia="宋体" w:hAnsi="Calibri"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hAnsi="Times New Roman"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zh-CN" w:bidi="ar-SA"/>
    </w:rPr>
  </w:style>
  <w:style w:type="paragraph" w:customStyle="1" w:styleId="368">
    <w:name w:val="正文36"/>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zh-CN" w:bidi="ar-SA"/>
    </w:rPr>
  </w:style>
  <w:style w:type="paragraph" w:customStyle="1" w:styleId="662">
    <w:name w:val="正文662"/>
    <w:pPr>
      <w:widowControl w:val="0"/>
      <w:jc w:val="both"/>
    </w:pPr>
    <w:rPr>
      <w:rFonts w:ascii="Calibri" w:eastAsia="宋体" w:hAnsi="Calibri" w:cs="Times New Roman"/>
      <w:kern w:val="2"/>
      <w:sz w:val="21"/>
      <w:szCs w:val="24"/>
      <w:lang w:val="en-US" w:eastAsia="zh-CN" w:bidi="ar-SA"/>
    </w:rPr>
  </w:style>
  <w:style w:type="paragraph" w:customStyle="1" w:styleId="3950">
    <w:name w:val="正文395"/>
    <w:pPr>
      <w:widowControl w:val="0"/>
      <w:jc w:val="both"/>
    </w:pPr>
    <w:rPr>
      <w:rFonts w:ascii="Calibri" w:eastAsia="宋体" w:hAnsi="Calibri" w:cs="Times New Roman"/>
      <w:kern w:val="2"/>
      <w:sz w:val="21"/>
      <w:szCs w:val="24"/>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hAnsi="Times New Roman" w:cs="Courier New"/>
      <w:kern w:val="2"/>
      <w:sz w:val="21"/>
      <w:szCs w:val="21"/>
      <w:lang w:val="en-US" w:eastAsia="zh-CN"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zh-CN" w:bidi="ar-SA"/>
    </w:rPr>
  </w:style>
  <w:style w:type="paragraph" w:customStyle="1" w:styleId="50810">
    <w:name w:val="样式 508 10 磅"/>
    <w:pPr>
      <w:widowControl w:val="0"/>
      <w:jc w:val="both"/>
    </w:pPr>
    <w:rPr>
      <w:rFonts w:ascii="等线" w:eastAsia="等线" w:hAnsi="Times New Roman" w:cs="Arial"/>
      <w:kern w:val="2"/>
      <w:sz w:val="21"/>
      <w:szCs w:val="22"/>
      <w:lang w:val="en-US" w:eastAsia="zh-CN" w:bidi="ar-SA"/>
    </w:rPr>
  </w:style>
  <w:style w:type="paragraph" w:customStyle="1" w:styleId="45010">
    <w:name w:val="样式 450 10 磅"/>
    <w:next w:val="158"/>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2270">
    <w:name w:val="正文227"/>
    <w:pPr>
      <w:widowControl w:val="0"/>
      <w:jc w:val="both"/>
    </w:pPr>
    <w:rPr>
      <w:rFonts w:ascii="Calibri" w:eastAsia="宋体" w:hAnsi="Calibri" w:cs="Times New Roman"/>
      <w:kern w:val="2"/>
      <w:sz w:val="21"/>
      <w:szCs w:val="24"/>
      <w:lang w:val="en-US" w:eastAsia="zh-CN" w:bidi="ar-SA"/>
    </w:rPr>
  </w:style>
  <w:style w:type="paragraph" w:customStyle="1" w:styleId="11710">
    <w:name w:val="正文1171"/>
    <w:pPr>
      <w:widowControl w:val="0"/>
      <w:jc w:val="both"/>
    </w:pPr>
    <w:rPr>
      <w:rFonts w:ascii="Calibri" w:eastAsia="宋体" w:hAnsi="Calibri" w:cs="Times New Roman"/>
      <w:kern w:val="2"/>
      <w:sz w:val="21"/>
      <w:szCs w:val="24"/>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580">
    <w:name w:val="纯文本58"/>
    <w:pPr>
      <w:widowControl w:val="0"/>
      <w:jc w:val="both"/>
    </w:pPr>
    <w:rPr>
      <w:rFonts w:ascii="宋体" w:eastAsia="宋体" w:hAnsi="Times New Roman" w:cs="Courier New"/>
      <w:kern w:val="2"/>
      <w:sz w:val="21"/>
      <w:szCs w:val="21"/>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15">
    <w:name w:val="正文81"/>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8620">
    <w:name w:val="正文862"/>
    <w:pPr>
      <w:widowControl w:val="0"/>
      <w:jc w:val="both"/>
    </w:pPr>
    <w:rPr>
      <w:rFonts w:ascii="Calibri" w:eastAsia="宋体" w:hAnsi="Calibri" w:cs="Times New Roman"/>
      <w:kern w:val="2"/>
      <w:sz w:val="21"/>
      <w:szCs w:val="22"/>
      <w:lang w:val="en-US" w:eastAsia="zh-CN" w:bidi="ar-SA"/>
    </w:rPr>
  </w:style>
  <w:style w:type="paragraph" w:customStyle="1" w:styleId="538">
    <w:name w:val="样式 5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zh-CN" w:bidi="ar-SA"/>
    </w:rPr>
  </w:style>
  <w:style w:type="paragraph" w:customStyle="1" w:styleId="10011">
    <w:name w:val="正文1001"/>
    <w:pPr>
      <w:widowControl w:val="0"/>
      <w:jc w:val="both"/>
    </w:pPr>
    <w:rPr>
      <w:rFonts w:ascii="Calibri" w:eastAsia="宋体" w:hAnsi="Calibri"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zh-CN" w:bidi="ar-SA"/>
    </w:rPr>
  </w:style>
  <w:style w:type="paragraph" w:customStyle="1" w:styleId="a38">
    <w:name w:val="公式样式 符号"/>
    <w:rPr>
      <w:rFonts w:ascii="Calibri" w:eastAsia="宋体" w:hAnsi="Calibri" w:cs="Times New Roman"/>
      <w:kern w:val="2"/>
      <w:sz w:val="20"/>
      <w:szCs w:val="28"/>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5212">
    <w:name w:val="正文52"/>
    <w:pPr>
      <w:widowControl w:val="0"/>
      <w:jc w:val="both"/>
    </w:pPr>
    <w:rPr>
      <w:rFonts w:ascii="Calibri" w:eastAsia="宋体" w:hAnsi="Calibri" w:cs="Times New Roman"/>
      <w:kern w:val="2"/>
      <w:sz w:val="21"/>
      <w:szCs w:val="22"/>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07">
    <w:name w:val="纯文本70"/>
    <w:pPr>
      <w:widowControl w:val="0"/>
      <w:jc w:val="both"/>
    </w:pPr>
    <w:rPr>
      <w:rFonts w:ascii="宋体" w:eastAsia="宋体" w:hAnsi="Times New Roman"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5270">
    <w:name w:val="正文527"/>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hAnsi="Times New Roman" w:cs="Courier New"/>
      <w:kern w:val="2"/>
      <w:sz w:val="21"/>
      <w:szCs w:val="21"/>
      <w:lang w:val="en-US" w:eastAsia="zh-CN"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120">
    <w:name w:val="正文1112"/>
    <w:pPr>
      <w:widowControl w:val="0"/>
      <w:jc w:val="both"/>
    </w:pPr>
    <w:rPr>
      <w:rFonts w:ascii="Calibri" w:eastAsia="宋体" w:hAnsi="Calibri" w:cs="Times New Roman"/>
      <w:kern w:val="2"/>
      <w:sz w:val="21"/>
      <w:szCs w:val="24"/>
      <w:lang w:val="en-US" w:eastAsia="zh-CN" w:bidi="ar-SA"/>
    </w:rPr>
  </w:style>
  <w:style w:type="paragraph" w:customStyle="1" w:styleId="237">
    <w:name w:val="样式 2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hAnsi="Times New Roman"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1321">
    <w:name w:val="正文132"/>
    <w:pPr>
      <w:widowControl w:val="0"/>
      <w:jc w:val="both"/>
    </w:pPr>
    <w:rPr>
      <w:rFonts w:ascii="Calibri" w:eastAsia="宋体" w:hAnsi="Calibri" w:cs="Times New Roman"/>
      <w:kern w:val="2"/>
      <w:sz w:val="21"/>
      <w:szCs w:val="24"/>
      <w:lang w:val="en-US" w:eastAsia="zh-CN" w:bidi="ar-SA"/>
    </w:rPr>
  </w:style>
  <w:style w:type="paragraph" w:customStyle="1" w:styleId="4113">
    <w:name w:val="正文41"/>
    <w:pPr>
      <w:widowControl w:val="0"/>
      <w:jc w:val="both"/>
    </w:pPr>
    <w:rPr>
      <w:rFonts w:ascii="Calibri" w:eastAsia="宋体" w:hAnsi="Calibri" w:cs="Times New Roman"/>
      <w:kern w:val="2"/>
      <w:sz w:val="21"/>
      <w:szCs w:val="22"/>
      <w:lang w:val="en-US" w:eastAsia="zh-CN"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719">
    <w:name w:val="正文7"/>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zh-CN"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740">
    <w:name w:val="正文174"/>
    <w:pPr>
      <w:widowControl w:val="0"/>
      <w:jc w:val="both"/>
    </w:pPr>
    <w:rPr>
      <w:rFonts w:ascii="Calibri" w:eastAsia="宋体" w:hAnsi="Calibri" w:cs="Times New Roman"/>
      <w:kern w:val="2"/>
      <w:sz w:val="21"/>
      <w:szCs w:val="24"/>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2330">
    <w:name w:val="正文233"/>
    <w:pPr>
      <w:widowControl w:val="0"/>
      <w:jc w:val="both"/>
    </w:pPr>
    <w:rPr>
      <w:rFonts w:ascii="Calibri" w:eastAsia="宋体" w:hAnsi="Calibri" w:cs="Times New Roman"/>
      <w:kern w:val="2"/>
      <w:sz w:val="21"/>
      <w:szCs w:val="24"/>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723">
    <w:name w:val="正文723"/>
    <w:pPr>
      <w:widowControl w:val="0"/>
      <w:jc w:val="both"/>
    </w:pPr>
    <w:rPr>
      <w:rFonts w:ascii="Calibri" w:eastAsia="宋体" w:hAnsi="Calibri" w:cs="Times New Roman"/>
      <w:kern w:val="2"/>
      <w:sz w:val="21"/>
      <w:szCs w:val="24"/>
      <w:lang w:val="en-US" w:eastAsia="zh-CN" w:bidi="ar-SA"/>
    </w:rPr>
  </w:style>
  <w:style w:type="paragraph" w:customStyle="1" w:styleId="188">
    <w:name w:val="正文188"/>
    <w:pPr>
      <w:widowControl w:val="0"/>
      <w:jc w:val="both"/>
    </w:pPr>
    <w:rPr>
      <w:rFonts w:ascii="Calibri" w:eastAsia="宋体" w:hAnsi="Calibri" w:cs="Times New Roman"/>
      <w:kern w:val="2"/>
      <w:sz w:val="21"/>
      <w:szCs w:val="24"/>
      <w:lang w:val="en-US" w:eastAsia="zh-CN" w:bidi="ar-SA"/>
    </w:rPr>
  </w:style>
  <w:style w:type="paragraph" w:customStyle="1" w:styleId="1600">
    <w:name w:val="正文160"/>
    <w:pPr>
      <w:widowControl w:val="0"/>
      <w:jc w:val="both"/>
    </w:pPr>
    <w:rPr>
      <w:rFonts w:ascii="Calibri" w:eastAsia="宋体" w:hAnsi="Calibri" w:cs="Times New Roman"/>
      <w:kern w:val="2"/>
      <w:sz w:val="21"/>
      <w:szCs w:val="24"/>
      <w:lang w:val="en-US" w:eastAsia="zh-CN" w:bidi="ar-SA"/>
    </w:rPr>
  </w:style>
  <w:style w:type="paragraph" w:customStyle="1" w:styleId="7011">
    <w:name w:val="正文70"/>
    <w:pPr>
      <w:widowControl w:val="0"/>
      <w:jc w:val="both"/>
    </w:pPr>
    <w:rPr>
      <w:rFonts w:ascii="Calibri" w:eastAsia="宋体" w:hAnsi="Calibri" w:cs="Times New Roman"/>
      <w:kern w:val="2"/>
      <w:sz w:val="21"/>
      <w:szCs w:val="24"/>
      <w:lang w:val="en-US" w:eastAsia="zh-CN" w:bidi="ar-SA"/>
    </w:rPr>
  </w:style>
  <w:style w:type="paragraph" w:customStyle="1" w:styleId="5070">
    <w:name w:val="正文507"/>
    <w:pPr>
      <w:widowControl w:val="0"/>
      <w:jc w:val="both"/>
    </w:pPr>
    <w:rPr>
      <w:rFonts w:ascii="Calibri" w:eastAsia="宋体" w:hAnsi="Calibri"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0170">
    <w:name w:val="正文1017"/>
    <w:pPr>
      <w:widowControl w:val="0"/>
      <w:jc w:val="both"/>
    </w:pPr>
    <w:rPr>
      <w:rFonts w:ascii="Calibri" w:eastAsia="宋体" w:hAnsi="Calibri"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hAnsi="Times New Roman" w:cs="Courier New"/>
      <w:kern w:val="2"/>
      <w:sz w:val="21"/>
      <w:szCs w:val="21"/>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823">
    <w:name w:val="纯文本8"/>
    <w:next w:val="923"/>
    <w:pPr>
      <w:widowControl w:val="0"/>
      <w:jc w:val="both"/>
    </w:pPr>
    <w:rPr>
      <w:rFonts w:ascii="宋体" w:eastAsia="宋体" w:hAnsi="Times New Roman" w:cs="Courier New"/>
      <w:kern w:val="2"/>
      <w:sz w:val="21"/>
      <w:szCs w:val="21"/>
      <w:lang w:val="en-US" w:eastAsia="zh-CN" w:bidi="ar-SA"/>
    </w:rPr>
  </w:style>
  <w:style w:type="paragraph" w:customStyle="1" w:styleId="385">
    <w:name w:val="正文385"/>
    <w:pPr>
      <w:widowControl w:val="0"/>
      <w:jc w:val="both"/>
    </w:pPr>
    <w:rPr>
      <w:rFonts w:ascii="Calibri" w:eastAsia="宋体" w:hAnsi="Calibri" w:cs="Times New Roman"/>
      <w:kern w:val="2"/>
      <w:sz w:val="21"/>
      <w:szCs w:val="24"/>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a39">
    <w:name w:val="列项——"/>
    <w:pPr>
      <w:widowControl w:val="0"/>
      <w:numPr>
        <w:ilvl w:val="0"/>
        <w:numId w:val="22"/>
      </w:numPr>
      <w:tabs>
        <w:tab w:val="left" w:pos="420"/>
        <w:tab w:val="left" w:pos="4080"/>
      </w:tabs>
      <w:jc w:val="both"/>
    </w:pPr>
    <w:rPr>
      <w:rFonts w:ascii="宋体" w:eastAsia="宋体" w:hAnsi="Times New Roman" w:cs="Times New Roman"/>
      <w:kern w:val="2"/>
      <w:sz w:val="21"/>
      <w:szCs w:val="28"/>
      <w:lang w:val="en-US" w:eastAsia="zh-CN" w:bidi="ar-SA"/>
    </w:rPr>
  </w:style>
  <w:style w:type="paragraph" w:customStyle="1" w:styleId="5400">
    <w:name w:val="正文540"/>
    <w:pPr>
      <w:widowControl w:val="0"/>
      <w:jc w:val="both"/>
    </w:pPr>
    <w:rPr>
      <w:rFonts w:ascii="Calibri" w:eastAsia="宋体" w:hAnsi="Calibri"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lang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4080">
    <w:name w:val="正文408"/>
    <w:pPr>
      <w:widowControl w:val="0"/>
      <w:jc w:val="both"/>
    </w:pPr>
    <w:rPr>
      <w:rFonts w:ascii="Calibri" w:eastAsia="宋体" w:hAnsi="Calibri"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zh-CN" w:bidi="ar-SA"/>
    </w:rPr>
  </w:style>
  <w:style w:type="paragraph" w:customStyle="1" w:styleId="12210">
    <w:name w:val="纯文本122"/>
    <w:pPr>
      <w:widowControl w:val="0"/>
      <w:jc w:val="both"/>
    </w:pPr>
    <w:rPr>
      <w:rFonts w:ascii="宋体" w:eastAsia="宋体" w:hAnsi="Times New Roman" w:cs="Courier New"/>
      <w:kern w:val="2"/>
      <w:sz w:val="21"/>
      <w:szCs w:val="21"/>
      <w:lang w:val="en-US" w:eastAsia="zh-CN"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zh-CN"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7140">
    <w:name w:val="正文714"/>
    <w:pPr>
      <w:widowControl w:val="0"/>
      <w:jc w:val="both"/>
    </w:pPr>
    <w:rPr>
      <w:rFonts w:ascii="Calibri" w:eastAsia="宋体" w:hAnsi="Calibri" w:cs="Times New Roman"/>
      <w:kern w:val="2"/>
      <w:sz w:val="21"/>
      <w:szCs w:val="24"/>
      <w:lang w:val="en-US" w:eastAsia="zh-CN"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hAnsi="Times New Roman" w:cs="Courier New"/>
      <w:kern w:val="2"/>
      <w:sz w:val="21"/>
      <w:szCs w:val="21"/>
      <w:lang w:val="en-US" w:eastAsia="zh-CN"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hAnsi="Times New Roman" w:cs="Courier New"/>
      <w:kern w:val="2"/>
      <w:sz w:val="21"/>
      <w:szCs w:val="21"/>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hAnsi="Times New Roman" w:cs="Courier New"/>
      <w:kern w:val="2"/>
      <w:sz w:val="21"/>
      <w:szCs w:val="21"/>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hAnsi="Times New Roman" w:cs="宋体"/>
      <w:kern w:val="2"/>
      <w:sz w:val="24"/>
      <w:szCs w:val="21"/>
      <w:lang w:val="en-US" w:eastAsia="zh-CN" w:bidi="ar-SA"/>
    </w:rPr>
  </w:style>
  <w:style w:type="paragraph" w:customStyle="1" w:styleId="10060">
    <w:name w:val="正文1006"/>
    <w:pPr>
      <w:widowControl w:val="0"/>
      <w:jc w:val="both"/>
    </w:pPr>
    <w:rPr>
      <w:rFonts w:ascii="Calibri" w:eastAsia="宋体" w:hAnsi="Calibri" w:cs="Times New Roman"/>
      <w:kern w:val="2"/>
      <w:sz w:val="21"/>
      <w:szCs w:val="22"/>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hAnsi="Times New Roman"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3320">
    <w:name w:val="正文332"/>
    <w:pPr>
      <w:widowControl w:val="0"/>
      <w:jc w:val="both"/>
    </w:pPr>
    <w:rPr>
      <w:rFonts w:ascii="Calibri" w:eastAsia="宋体" w:hAnsi="Calibri" w:cs="Times New Roman"/>
      <w:kern w:val="2"/>
      <w:sz w:val="21"/>
      <w:szCs w:val="24"/>
      <w:lang w:val="en-US" w:eastAsia="zh-CN"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zh-CN" w:bidi="ar-SA"/>
    </w:rPr>
  </w:style>
  <w:style w:type="paragraph" w:customStyle="1" w:styleId="7211">
    <w:name w:val="正文72"/>
    <w:pPr>
      <w:widowControl w:val="0"/>
      <w:jc w:val="both"/>
    </w:pPr>
    <w:rPr>
      <w:rFonts w:ascii="Calibri" w:eastAsia="宋体" w:hAnsi="Calibri"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zh-CN" w:bidi="ar-SA"/>
    </w:rPr>
  </w:style>
  <w:style w:type="paragraph" w:customStyle="1" w:styleId="546">
    <w:name w:val="正文5"/>
    <w:pPr>
      <w:widowControl w:val="0"/>
      <w:jc w:val="both"/>
    </w:pPr>
    <w:rPr>
      <w:rFonts w:ascii="Calibri" w:eastAsia="宋体" w:hAnsi="Calibri" w:cs="Times New Roman"/>
      <w:kern w:val="2"/>
      <w:sz w:val="21"/>
      <w:szCs w:val="24"/>
      <w:lang w:val="en-US" w:eastAsia="zh-CN" w:bidi="ar-SA"/>
    </w:rPr>
  </w:style>
  <w:style w:type="paragraph" w:customStyle="1" w:styleId="3611">
    <w:name w:val="正文361"/>
    <w:pPr>
      <w:widowControl w:val="0"/>
      <w:jc w:val="both"/>
    </w:pPr>
    <w:rPr>
      <w:rFonts w:ascii="Calibri" w:eastAsia="宋体" w:hAnsi="Calibri" w:cs="Times New Roman"/>
      <w:kern w:val="2"/>
      <w:sz w:val="21"/>
      <w:szCs w:val="24"/>
      <w:lang w:val="en-US" w:eastAsia="zh-CN" w:bidi="ar-SA"/>
    </w:rPr>
  </w:style>
  <w:style w:type="paragraph" w:customStyle="1" w:styleId="8411">
    <w:name w:val="正文84"/>
    <w:pPr>
      <w:widowControl w:val="0"/>
      <w:jc w:val="both"/>
    </w:pPr>
    <w:rPr>
      <w:rFonts w:ascii="Calibri" w:eastAsia="宋体" w:hAnsi="Calibri" w:cs="Times New Roman"/>
      <w:kern w:val="2"/>
      <w:sz w:val="21"/>
      <w:szCs w:val="24"/>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3050">
    <w:name w:val="正文305"/>
    <w:pPr>
      <w:widowControl w:val="0"/>
      <w:jc w:val="both"/>
    </w:pPr>
    <w:rPr>
      <w:rFonts w:ascii="Calibri" w:eastAsia="宋体" w:hAnsi="Calibri"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hAnsi="Times New Roman" w:cs="Courier New"/>
      <w:kern w:val="2"/>
      <w:sz w:val="21"/>
      <w:szCs w:val="21"/>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hAnsi="Times New Roman" w:cs="Courier New"/>
      <w:kern w:val="2"/>
      <w:sz w:val="21"/>
      <w:szCs w:val="21"/>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2100">
    <w:name w:val="正文1210"/>
    <w:pPr>
      <w:widowControl w:val="0"/>
      <w:jc w:val="both"/>
    </w:pPr>
    <w:rPr>
      <w:rFonts w:ascii="等线" w:eastAsia="等线" w:hAnsi="Times New Roman"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0360">
    <w:name w:val="正文1036"/>
    <w:rPr>
      <w:rFonts w:ascii="Calibri" w:eastAsia="宋体" w:hAnsi="Calibri" w:cs="Times New Roman"/>
      <w:kern w:val="2"/>
      <w:sz w:val="21"/>
      <w:szCs w:val="21"/>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133">
    <w:name w:val="正文1133"/>
    <w:pPr>
      <w:widowControl w:val="0"/>
      <w:jc w:val="both"/>
    </w:pPr>
    <w:rPr>
      <w:rFonts w:ascii="Calibri" w:eastAsia="宋体" w:hAnsi="Calibri" w:cs="Times New Roman"/>
      <w:kern w:val="2"/>
      <w:sz w:val="21"/>
      <w:szCs w:val="24"/>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5760">
    <w:name w:val="正文576"/>
    <w:pPr>
      <w:widowControl w:val="0"/>
      <w:jc w:val="both"/>
    </w:pPr>
    <w:rPr>
      <w:rFonts w:ascii="Calibri" w:eastAsia="宋体" w:hAnsi="Calibri" w:cs="Times New Roman"/>
      <w:kern w:val="2"/>
      <w:sz w:val="21"/>
      <w:szCs w:val="24"/>
      <w:lang w:val="en-US" w:eastAsia="zh-CN"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43810">
    <w:name w:val="样式 438 10 磅"/>
    <w:next w:val="1163"/>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hAnsi="Times New Roman" w:cs="Courier New"/>
      <w:kern w:val="2"/>
      <w:sz w:val="21"/>
      <w:szCs w:val="21"/>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509">
    <w:name w:val="正文509"/>
    <w:pPr>
      <w:widowControl w:val="0"/>
      <w:jc w:val="both"/>
    </w:pPr>
    <w:rPr>
      <w:rFonts w:ascii="Calibri" w:eastAsia="宋体" w:hAnsi="Calibri" w:cs="Times New Roman"/>
      <w:kern w:val="2"/>
      <w:sz w:val="21"/>
      <w:szCs w:val="24"/>
      <w:lang w:val="en-US" w:eastAsia="zh-CN"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zh-CN" w:bidi="ar-SA"/>
    </w:rPr>
  </w:style>
  <w:style w:type="paragraph" w:customStyle="1" w:styleId="995">
    <w:name w:val="正文99"/>
    <w:pPr>
      <w:widowControl w:val="0"/>
      <w:jc w:val="both"/>
    </w:pPr>
    <w:rPr>
      <w:rFonts w:ascii="Calibri" w:eastAsia="宋体" w:hAnsi="Calibri" w:cs="Times New Roman"/>
      <w:kern w:val="2"/>
      <w:sz w:val="21"/>
      <w:szCs w:val="24"/>
      <w:lang w:val="en-US" w:eastAsia="zh-CN"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lang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zh-CN" w:bidi="ar-SA"/>
    </w:rPr>
  </w:style>
  <w:style w:type="paragraph" w:customStyle="1" w:styleId="1712">
    <w:name w:val="纯文本17"/>
    <w:pPr>
      <w:widowControl w:val="0"/>
      <w:jc w:val="both"/>
    </w:pPr>
    <w:rPr>
      <w:rFonts w:ascii="宋体" w:eastAsia="宋体" w:hAnsi="Times New Roman" w:cs="Courier New"/>
      <w:kern w:val="2"/>
      <w:sz w:val="21"/>
      <w:szCs w:val="21"/>
      <w:lang w:val="en-US" w:eastAsia="zh-CN"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zh-CN"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zh-CN" w:bidi="ar-SA"/>
    </w:rPr>
  </w:style>
  <w:style w:type="paragraph" w:customStyle="1" w:styleId="467">
    <w:name w:val="纯文本46"/>
    <w:pPr>
      <w:widowControl w:val="0"/>
      <w:jc w:val="both"/>
    </w:pPr>
    <w:rPr>
      <w:rFonts w:ascii="宋体" w:eastAsia="宋体" w:hAnsi="Times New Roman" w:cs="Courier New"/>
      <w:kern w:val="2"/>
      <w:sz w:val="21"/>
      <w:szCs w:val="21"/>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hAnsi="Times New Roman" w:cs="Courier New"/>
      <w:kern w:val="2"/>
      <w:sz w:val="21"/>
      <w:szCs w:val="21"/>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9650">
    <w:name w:val="正文965"/>
    <w:pPr>
      <w:widowControl w:val="0"/>
      <w:jc w:val="both"/>
    </w:pPr>
    <w:rPr>
      <w:rFonts w:ascii="Calibri" w:eastAsia="宋体" w:hAnsi="Calibri" w:cs="Times New Roman"/>
      <w:kern w:val="2"/>
      <w:sz w:val="21"/>
      <w:szCs w:val="22"/>
      <w:lang w:val="en-US" w:eastAsia="zh-CN" w:bidi="ar-SA"/>
    </w:rPr>
  </w:style>
  <w:style w:type="paragraph" w:customStyle="1" w:styleId="2400">
    <w:name w:val="正文240"/>
    <w:pPr>
      <w:widowControl w:val="0"/>
      <w:jc w:val="both"/>
    </w:pPr>
    <w:rPr>
      <w:rFonts w:ascii="Calibri" w:eastAsia="宋体" w:hAnsi="Calibri" w:cs="Times New Roman"/>
      <w:kern w:val="2"/>
      <w:sz w:val="21"/>
      <w:szCs w:val="24"/>
      <w:lang w:val="en-US" w:eastAsia="zh-CN" w:bidi="ar-SA"/>
    </w:rPr>
  </w:style>
  <w:style w:type="paragraph" w:customStyle="1" w:styleId="9560">
    <w:name w:val="正文956"/>
    <w:pPr>
      <w:widowControl w:val="0"/>
      <w:jc w:val="both"/>
    </w:pPr>
    <w:rPr>
      <w:rFonts w:ascii="Calibri" w:eastAsia="宋体" w:hAnsi="Calibri" w:cs="Times New Roman"/>
      <w:kern w:val="2"/>
      <w:sz w:val="21"/>
      <w:szCs w:val="22"/>
      <w:lang w:val="en-US" w:eastAsia="zh-CN" w:bidi="ar-SA"/>
    </w:rPr>
  </w:style>
  <w:style w:type="paragraph" w:customStyle="1" w:styleId="41210">
    <w:name w:val="样式 412 10 磅"/>
    <w:pPr>
      <w:widowControl w:val="0"/>
      <w:jc w:val="both"/>
    </w:pPr>
    <w:rPr>
      <w:rFonts w:ascii="宋体" w:eastAsia="宋体" w:hAnsi="Times New Roman" w:cs="Times New Roman"/>
      <w:kern w:val="2"/>
      <w:sz w:val="21"/>
      <w:szCs w:val="21"/>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1137">
    <w:name w:val="1"/>
    <w:pPr>
      <w:ind w:firstLine="200"/>
      <w:jc w:val="both"/>
    </w:pPr>
    <w:rPr>
      <w:rFonts w:ascii="宋体" w:eastAsia="宋体" w:hAnsi="Times New Roman" w:cs="Calibri"/>
      <w:kern w:val="2"/>
      <w:sz w:val="28"/>
      <w:szCs w:val="28"/>
      <w:lang w:val="en-US" w:eastAsia="zh-CN" w:bidi="ar-SA"/>
    </w:rPr>
  </w:style>
  <w:style w:type="paragraph" w:customStyle="1" w:styleId="9950">
    <w:name w:val="正文995"/>
    <w:pPr>
      <w:widowControl w:val="0"/>
      <w:jc w:val="both"/>
    </w:pPr>
    <w:rPr>
      <w:rFonts w:ascii="Calibri" w:eastAsia="宋体" w:hAnsi="Calibri" w:cs="Times New Roman"/>
      <w:kern w:val="2"/>
      <w:sz w:val="21"/>
      <w:szCs w:val="24"/>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hAnsi="Times New Roman" w:cs="Courier New"/>
      <w:kern w:val="2"/>
      <w:sz w:val="21"/>
      <w:szCs w:val="21"/>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21"/>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zh-CN" w:bidi="ar-SA"/>
    </w:rPr>
  </w:style>
  <w:style w:type="paragraph" w:customStyle="1" w:styleId="9180">
    <w:name w:val="正文918"/>
    <w:pPr>
      <w:widowControl w:val="0"/>
      <w:jc w:val="both"/>
    </w:pPr>
    <w:rPr>
      <w:rFonts w:ascii="Calibri" w:eastAsia="宋体" w:hAnsi="Calibri" w:cs="Times New Roman"/>
      <w:kern w:val="2"/>
      <w:sz w:val="21"/>
      <w:szCs w:val="24"/>
      <w:lang w:val="en-US" w:eastAsia="zh-CN" w:bidi="ar-SA"/>
    </w:rPr>
  </w:style>
  <w:style w:type="paragraph" w:customStyle="1" w:styleId="348">
    <w:name w:val="正文3"/>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zh-CN" w:bidi="ar-SA"/>
    </w:rPr>
  </w:style>
  <w:style w:type="paragraph" w:customStyle="1" w:styleId="6811">
    <w:name w:val="纯文本68"/>
    <w:pPr>
      <w:widowControl w:val="0"/>
      <w:jc w:val="both"/>
    </w:pPr>
    <w:rPr>
      <w:rFonts w:ascii="宋体" w:eastAsia="宋体" w:hAnsi="Times New Roman" w:cs="Courier New"/>
      <w:kern w:val="2"/>
      <w:sz w:val="21"/>
      <w:szCs w:val="21"/>
      <w:lang w:val="en-US" w:eastAsia="zh-CN" w:bidi="ar-SA"/>
    </w:rPr>
  </w:style>
  <w:style w:type="paragraph" w:customStyle="1" w:styleId="1315">
    <w:name w:val="纯文本13"/>
    <w:pPr>
      <w:widowControl w:val="0"/>
      <w:jc w:val="both"/>
    </w:pPr>
    <w:rPr>
      <w:rFonts w:ascii="宋体" w:eastAsia="宋体" w:hAnsi="Times New Roman" w:cs="Courier New"/>
      <w:kern w:val="2"/>
      <w:sz w:val="21"/>
      <w:szCs w:val="21"/>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zh-CN" w:bidi="ar-SA"/>
    </w:rPr>
  </w:style>
  <w:style w:type="paragraph" w:customStyle="1" w:styleId="997">
    <w:name w:val="纯文本99"/>
    <w:pPr>
      <w:widowControl w:val="0"/>
      <w:jc w:val="both"/>
    </w:pPr>
    <w:rPr>
      <w:rFonts w:ascii="宋体" w:eastAsia="宋体" w:hAnsi="Times New Roman" w:cs="Courier New"/>
      <w:kern w:val="2"/>
      <w:sz w:val="21"/>
      <w:szCs w:val="21"/>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hAnsi="Times New Roman" w:cs="Courier New"/>
      <w:kern w:val="2"/>
      <w:sz w:val="21"/>
      <w:szCs w:val="21"/>
      <w:lang w:val="en-US" w:eastAsia="zh-CN"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zh-CN"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eastAsia="zh-CN"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zh-CN"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eastAsia="zh-CN" w:bidi="ar-SA"/>
    </w:rPr>
  </w:style>
  <w:style w:type="paragraph" w:customStyle="1" w:styleId="1514">
    <w:name w:val="纯文本15"/>
    <w:pPr>
      <w:widowControl w:val="0"/>
      <w:jc w:val="both"/>
    </w:pPr>
    <w:rPr>
      <w:rFonts w:ascii="宋体" w:eastAsia="宋体" w:hAnsi="Times New Roman" w:cs="Courier New"/>
      <w:kern w:val="2"/>
      <w:sz w:val="21"/>
      <w:szCs w:val="21"/>
      <w:lang w:val="en-US" w:eastAsia="zh-CN"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hAnsi="Times New Roman" w:cs="Courier New"/>
      <w:kern w:val="2"/>
      <w:sz w:val="21"/>
      <w:szCs w:val="21"/>
      <w:lang w:val="en-US" w:eastAsia="zh-CN"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9330">
    <w:name w:val="正文933"/>
    <w:pPr>
      <w:widowControl w:val="0"/>
      <w:jc w:val="both"/>
    </w:pPr>
    <w:rPr>
      <w:rFonts w:ascii="Calibri" w:eastAsia="宋体" w:hAnsi="Calibri" w:cs="Times New Roman"/>
      <w:kern w:val="2"/>
      <w:sz w:val="21"/>
      <w:szCs w:val="24"/>
      <w:lang w:val="en-US" w:eastAsia="zh-CN" w:bidi="ar-SA"/>
    </w:rPr>
  </w:style>
  <w:style w:type="paragraph" w:customStyle="1" w:styleId="5311">
    <w:name w:val="纯文本53"/>
    <w:pPr>
      <w:widowControl w:val="0"/>
      <w:jc w:val="both"/>
    </w:pPr>
    <w:rPr>
      <w:rFonts w:ascii="宋体" w:eastAsia="宋体" w:hAnsi="Times New Roman" w:cs="Courier New"/>
      <w:kern w:val="2"/>
      <w:sz w:val="21"/>
      <w:szCs w:val="21"/>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zh-CN" w:bidi="ar-SA"/>
    </w:rPr>
  </w:style>
  <w:style w:type="paragraph" w:customStyle="1" w:styleId="11280">
    <w:name w:val="正文1128"/>
    <w:pPr>
      <w:widowControl w:val="0"/>
      <w:jc w:val="both"/>
    </w:pPr>
    <w:rPr>
      <w:rFonts w:ascii="Calibri" w:eastAsia="宋体" w:hAnsi="Calibri"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9000">
    <w:name w:val="正文900"/>
    <w:pPr>
      <w:widowControl w:val="0"/>
      <w:jc w:val="both"/>
    </w:pPr>
    <w:rPr>
      <w:rFonts w:ascii="Calibri" w:eastAsia="宋体" w:hAnsi="Calibri" w:cs="Times New Roman"/>
      <w:kern w:val="2"/>
      <w:sz w:val="21"/>
      <w:szCs w:val="22"/>
      <w:lang w:val="en-US" w:eastAsia="zh-CN" w:bidi="ar-SA"/>
    </w:rPr>
  </w:style>
  <w:style w:type="paragraph" w:customStyle="1" w:styleId="374">
    <w:name w:val="样式 37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hAnsi="Times New Roman"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eastAsia="zh-CN" w:bidi="ar-SA"/>
    </w:rPr>
  </w:style>
  <w:style w:type="paragraph" w:customStyle="1" w:styleId="1840">
    <w:name w:val="正文184"/>
    <w:pPr>
      <w:widowControl w:val="0"/>
      <w:jc w:val="both"/>
    </w:pPr>
    <w:rPr>
      <w:rFonts w:ascii="Calibri" w:eastAsia="宋体" w:hAnsi="Calibri"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zh-CN" w:bidi="ar-SA"/>
    </w:rPr>
  </w:style>
  <w:style w:type="paragraph" w:customStyle="1" w:styleId="261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zh-CN" w:bidi="ar-SA"/>
    </w:rPr>
  </w:style>
  <w:style w:type="paragraph" w:customStyle="1" w:styleId="9230">
    <w:name w:val="正文923"/>
    <w:pPr>
      <w:widowControl w:val="0"/>
      <w:jc w:val="both"/>
    </w:pPr>
    <w:rPr>
      <w:rFonts w:ascii="Calibri" w:eastAsia="宋体" w:hAnsi="Calibri" w:cs="Times New Roman"/>
      <w:kern w:val="2"/>
      <w:sz w:val="21"/>
      <w:szCs w:val="24"/>
      <w:lang w:val="en-US" w:eastAsia="zh-CN" w:bidi="ar-SA"/>
    </w:rPr>
  </w:style>
  <w:style w:type="paragraph" w:customStyle="1" w:styleId="1185">
    <w:name w:val="正文11"/>
    <w:pPr>
      <w:widowControl w:val="0"/>
      <w:jc w:val="both"/>
    </w:pPr>
    <w:rPr>
      <w:rFonts w:ascii="Calibri" w:eastAsia="宋体" w:hAnsi="Calibri" w:cs="Times New Roman"/>
      <w:kern w:val="2"/>
      <w:sz w:val="21"/>
      <w:szCs w:val="22"/>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zh-CN"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zh-CN" w:bidi="ar-SA"/>
    </w:rPr>
  </w:style>
  <w:style w:type="paragraph" w:customStyle="1" w:styleId="6390">
    <w:name w:val="正文639"/>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hAnsi="Times New Roman"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9101">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zh-CN" w:bidi="ar-SA"/>
    </w:rPr>
  </w:style>
  <w:style w:type="paragraph" w:customStyle="1" w:styleId="5680">
    <w:name w:val="正文568"/>
    <w:pPr>
      <w:widowControl w:val="0"/>
      <w:jc w:val="both"/>
    </w:pPr>
    <w:rPr>
      <w:rFonts w:ascii="Calibri" w:eastAsia="宋体" w:hAnsi="Calibri" w:cs="Times New Roman"/>
      <w:kern w:val="2"/>
      <w:sz w:val="21"/>
      <w:szCs w:val="24"/>
      <w:lang w:val="en-US" w:eastAsia="zh-CN" w:bidi="ar-SA"/>
    </w:rPr>
  </w:style>
  <w:style w:type="paragraph" w:customStyle="1" w:styleId="7070">
    <w:name w:val="正文707"/>
    <w:pPr>
      <w:widowControl w:val="0"/>
      <w:jc w:val="both"/>
    </w:pPr>
    <w:rPr>
      <w:rFonts w:ascii="Calibri" w:eastAsia="宋体" w:hAnsi="Calibri"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zh-CN" w:bidi="ar-SA"/>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3520">
    <w:name w:val="正文352"/>
    <w:pPr>
      <w:widowControl w:val="0"/>
      <w:jc w:val="both"/>
    </w:pPr>
    <w:rPr>
      <w:rFonts w:ascii="Calibri" w:eastAsia="宋体" w:hAnsi="Calibri" w:cs="Times New Roman"/>
      <w:kern w:val="2"/>
      <w:sz w:val="21"/>
      <w:szCs w:val="24"/>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hAnsi="Times New Roman" w:cs="Times New Roman"/>
      <w:kern w:val="2"/>
      <w:sz w:val="21"/>
      <w:szCs w:val="21"/>
      <w:lang w:val="en-US" w:eastAsia="zh-CN" w:bidi="ar-SA"/>
    </w:rPr>
  </w:style>
  <w:style w:type="paragraph" w:customStyle="1" w:styleId="8312">
    <w:name w:val="纯文本83"/>
    <w:pPr>
      <w:widowControl w:val="0"/>
      <w:jc w:val="both"/>
    </w:pPr>
    <w:rPr>
      <w:rFonts w:ascii="宋体" w:eastAsia="宋体" w:hAnsi="Times New Roman" w:cs="Courier New"/>
      <w:kern w:val="2"/>
      <w:sz w:val="21"/>
      <w:szCs w:val="21"/>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2540">
    <w:name w:val="正文254"/>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6630">
    <w:name w:val="正文663"/>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zh-CN" w:bidi="ar-SA"/>
    </w:rPr>
  </w:style>
  <w:style w:type="paragraph" w:customStyle="1" w:styleId="6520">
    <w:name w:val="正文652"/>
    <w:pPr>
      <w:widowControl w:val="0"/>
      <w:jc w:val="both"/>
    </w:pPr>
    <w:rPr>
      <w:rFonts w:ascii="Calibri" w:eastAsia="宋体" w:hAnsi="Calibri" w:cs="Times New Roman"/>
      <w:kern w:val="2"/>
      <w:sz w:val="21"/>
      <w:szCs w:val="24"/>
      <w:lang w:val="en-US" w:eastAsia="zh-CN" w:bidi="ar-SA"/>
    </w:rPr>
  </w:style>
  <w:style w:type="paragraph" w:customStyle="1" w:styleId="10540">
    <w:name w:val="正文1054"/>
    <w:rPr>
      <w:rFonts w:ascii="Calibri" w:eastAsia="宋体" w:hAnsi="Calibri" w:cs="Times New Roman"/>
      <w:kern w:val="2"/>
      <w:sz w:val="21"/>
      <w:szCs w:val="21"/>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0"/>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410">
    <w:name w:val="样式 454 10 磅"/>
    <w:next w:val="169"/>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eastAsia="zh-CN" w:bidi="ar-SA"/>
    </w:rPr>
  </w:style>
  <w:style w:type="paragraph" w:customStyle="1" w:styleId="47110">
    <w:name w:val="样式 471 10 磅"/>
    <w:pPr>
      <w:widowControl w:val="0"/>
      <w:jc w:val="both"/>
    </w:pPr>
    <w:rPr>
      <w:rFonts w:ascii="等线" w:eastAsia="等线" w:hAnsi="Times New Roman" w:cs="Arial"/>
      <w:kern w:val="2"/>
      <w:sz w:val="21"/>
      <w:szCs w:val="22"/>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zh-CN" w:bidi="ar-SA"/>
    </w:rPr>
  </w:style>
  <w:style w:type="paragraph" w:customStyle="1" w:styleId="8870">
    <w:name w:val="正文887"/>
    <w:pPr>
      <w:widowControl w:val="0"/>
      <w:jc w:val="both"/>
    </w:pPr>
    <w:rPr>
      <w:rFonts w:ascii="Calibri" w:eastAsia="宋体" w:hAnsi="Calibri" w:cs="Times New Roman"/>
      <w:kern w:val="2"/>
      <w:sz w:val="21"/>
      <w:szCs w:val="22"/>
      <w:lang w:val="en-US" w:eastAsia="zh-CN"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hAnsi="Times New Roman" w:cs="Courier New"/>
      <w:kern w:val="2"/>
      <w:sz w:val="21"/>
      <w:szCs w:val="21"/>
      <w:lang w:val="en-US" w:eastAsia="zh-CN"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zh-CN" w:bidi="ar-SA"/>
    </w:rPr>
  </w:style>
  <w:style w:type="paragraph" w:customStyle="1" w:styleId="7611">
    <w:name w:val="正文761"/>
    <w:pPr>
      <w:widowControl w:val="0"/>
      <w:jc w:val="both"/>
    </w:pPr>
    <w:rPr>
      <w:rFonts w:ascii="Calibri" w:eastAsia="宋体" w:hAnsi="Calibri" w:cs="Times New Roman"/>
      <w:kern w:val="2"/>
      <w:sz w:val="21"/>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6411">
    <w:name w:val="纯文本64"/>
    <w:pPr>
      <w:widowControl w:val="0"/>
      <w:jc w:val="both"/>
    </w:pPr>
    <w:rPr>
      <w:rFonts w:ascii="宋体" w:eastAsia="宋体" w:hAnsi="Times New Roman" w:cs="Courier New"/>
      <w:kern w:val="2"/>
      <w:sz w:val="21"/>
      <w:szCs w:val="21"/>
      <w:lang w:val="en-US" w:eastAsia="zh-CN" w:bidi="ar-SA"/>
    </w:rPr>
  </w:style>
  <w:style w:type="paragraph" w:customStyle="1" w:styleId="7511">
    <w:name w:val="正文751"/>
    <w:pPr>
      <w:widowControl w:val="0"/>
      <w:jc w:val="both"/>
    </w:pPr>
    <w:rPr>
      <w:rFonts w:ascii="Calibri" w:eastAsia="宋体" w:hAnsi="Calibri" w:cs="Times New Roman"/>
      <w:kern w:val="2"/>
      <w:sz w:val="21"/>
      <w:szCs w:val="24"/>
      <w:lang w:val="en-US" w:eastAsia="zh-CN"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zh-CN" w:bidi="ar-SA"/>
    </w:rPr>
  </w:style>
  <w:style w:type="paragraph" w:customStyle="1" w:styleId="8112">
    <w:name w:val="纯文本81"/>
    <w:pPr>
      <w:widowControl w:val="0"/>
      <w:jc w:val="both"/>
    </w:pPr>
    <w:rPr>
      <w:rFonts w:ascii="宋体" w:eastAsia="宋体" w:hAnsi="Times New Roman" w:cs="Courier New"/>
      <w:kern w:val="2"/>
      <w:sz w:val="21"/>
      <w:szCs w:val="21"/>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eastAsia="zh-CN" w:bidi="ar-SA"/>
    </w:rPr>
  </w:style>
  <w:style w:type="paragraph" w:customStyle="1" w:styleId="8380">
    <w:name w:val="正文838"/>
    <w:pPr>
      <w:widowControl w:val="0"/>
      <w:jc w:val="both"/>
    </w:pPr>
    <w:rPr>
      <w:rFonts w:ascii="Calibri" w:eastAsia="宋体" w:hAnsi="Calibri" w:cs="Times New Roman"/>
      <w:kern w:val="2"/>
      <w:sz w:val="21"/>
      <w:szCs w:val="22"/>
      <w:lang w:val="en-US" w:eastAsia="zh-CN" w:bidi="ar-SA"/>
    </w:rPr>
  </w:style>
  <w:style w:type="paragraph" w:customStyle="1" w:styleId="11320">
    <w:name w:val="正文1132"/>
    <w:pPr>
      <w:widowControl w:val="0"/>
      <w:jc w:val="both"/>
    </w:pPr>
    <w:rPr>
      <w:rFonts w:ascii="Calibri" w:eastAsia="宋体" w:hAnsi="Calibri" w:cs="Times New Roman"/>
      <w:kern w:val="2"/>
      <w:sz w:val="21"/>
      <w:szCs w:val="24"/>
      <w:lang w:val="en-US" w:eastAsia="zh-CN"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zh-CN" w:bidi="ar-SA"/>
    </w:rPr>
  </w:style>
  <w:style w:type="paragraph" w:customStyle="1" w:styleId="6160">
    <w:name w:val="正文616"/>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470">
    <w:name w:val="正文1047"/>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7560">
    <w:name w:val="正文756"/>
    <w:pPr>
      <w:widowControl w:val="0"/>
      <w:jc w:val="both"/>
    </w:pPr>
    <w:rPr>
      <w:rFonts w:ascii="Calibri" w:eastAsia="宋体" w:hAnsi="Calibri" w:cs="Times New Roman"/>
      <w:kern w:val="2"/>
      <w:sz w:val="21"/>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7312">
    <w:name w:val="纯文本73"/>
    <w:pPr>
      <w:widowControl w:val="0"/>
      <w:jc w:val="both"/>
    </w:pPr>
    <w:rPr>
      <w:rFonts w:ascii="宋体" w:eastAsia="宋体" w:hAnsi="Times New Roman" w:cs="Courier New"/>
      <w:kern w:val="2"/>
      <w:sz w:val="21"/>
      <w:szCs w:val="21"/>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hAnsi="Times New Roman" w:cs="Courier New"/>
      <w:kern w:val="2"/>
      <w:sz w:val="21"/>
      <w:szCs w:val="21"/>
      <w:lang w:val="en-US" w:eastAsia="zh-CN" w:bidi="ar-SA"/>
    </w:rPr>
  </w:style>
  <w:style w:type="paragraph" w:customStyle="1" w:styleId="5800">
    <w:name w:val="正文580"/>
    <w:pPr>
      <w:widowControl w:val="0"/>
      <w:jc w:val="both"/>
    </w:pPr>
    <w:rPr>
      <w:rFonts w:ascii="Calibri" w:eastAsia="宋体" w:hAnsi="Calibri"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zh-CN"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zh-CN"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9111">
    <w:name w:val="样式 9 11 磅"/>
    <w:rPr>
      <w:rFonts w:ascii="Calibri" w:eastAsia="宋体" w:hAnsi="Calibri" w:cs="Times New Roman"/>
      <w:sz w:val="22"/>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zh-CN" w:bidi="ar-SA"/>
    </w:rPr>
  </w:style>
  <w:style w:type="paragraph" w:customStyle="1" w:styleId="11100">
    <w:name w:val="样式 11 10 磅"/>
    <w:next w:val="1183"/>
    <w:pPr>
      <w:widowControl w:val="0"/>
      <w:jc w:val="both"/>
    </w:pPr>
    <w:rPr>
      <w:rFonts w:ascii="宋体" w:eastAsia="宋体" w:hAnsi="Times New Roman"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3115">
    <w:name w:val="正文文本 31"/>
    <w:rPr>
      <w:rFonts w:ascii="宋体" w:eastAsia="宋体" w:hAnsi="Times New Roman" w:cs="宋体"/>
      <w:kern w:val="2"/>
      <w:sz w:val="24"/>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hAnsi="Times New Roman" w:cs="Courier New"/>
      <w:kern w:val="2"/>
      <w:sz w:val="21"/>
      <w:szCs w:val="21"/>
      <w:lang w:val="en-US" w:eastAsia="zh-CN" w:bidi="ar-SA"/>
    </w:rPr>
  </w:style>
  <w:style w:type="paragraph" w:customStyle="1" w:styleId="299">
    <w:name w:val="正文299"/>
    <w:pPr>
      <w:widowControl w:val="0"/>
      <w:jc w:val="both"/>
    </w:pPr>
    <w:rPr>
      <w:rFonts w:ascii="Calibri" w:eastAsia="宋体" w:hAnsi="Calibri" w:cs="Times New Roman"/>
      <w:kern w:val="2"/>
      <w:sz w:val="21"/>
      <w:szCs w:val="24"/>
      <w:lang w:val="en-US" w:eastAsia="zh-CN" w:bidi="ar-SA"/>
    </w:rPr>
  </w:style>
  <w:style w:type="paragraph" w:customStyle="1" w:styleId="10911">
    <w:name w:val="正文109"/>
    <w:pPr>
      <w:widowControl w:val="0"/>
      <w:jc w:val="both"/>
    </w:pPr>
    <w:rPr>
      <w:rFonts w:ascii="Calibri" w:eastAsia="宋体" w:hAnsi="Calibri" w:cs="Times New Roman"/>
      <w:kern w:val="2"/>
      <w:sz w:val="21"/>
      <w:szCs w:val="24"/>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hAnsi="Times New Roman" w:cs="Courier New"/>
      <w:kern w:val="2"/>
      <w:sz w:val="21"/>
      <w:szCs w:val="21"/>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8"/>
    <w:pPr>
      <w:widowControl w:val="0"/>
      <w:jc w:val="both"/>
    </w:pPr>
    <w:rPr>
      <w:rFonts w:ascii="Times New Roman" w:eastAsia="宋体" w:hAnsi="Times New Roman" w:cs="Times New Roman"/>
      <w:kern w:val="2"/>
      <w:sz w:val="21"/>
      <w:szCs w:val="22"/>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zh-CN" w:bidi="ar-SA"/>
    </w:rPr>
  </w:style>
  <w:style w:type="paragraph" w:customStyle="1" w:styleId="3330">
    <w:name w:val="正文333"/>
    <w:pPr>
      <w:widowControl w:val="0"/>
      <w:jc w:val="both"/>
    </w:pPr>
    <w:rPr>
      <w:rFonts w:ascii="Calibri" w:eastAsia="宋体" w:hAnsi="Calibri" w:cs="Times New Roman"/>
      <w:kern w:val="2"/>
      <w:sz w:val="21"/>
      <w:szCs w:val="24"/>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zh-CN" w:bidi="ar-SA"/>
    </w:rPr>
  </w:style>
  <w:style w:type="paragraph" w:customStyle="1" w:styleId="1820">
    <w:name w:val="正文182"/>
    <w:pPr>
      <w:widowControl w:val="0"/>
      <w:jc w:val="both"/>
    </w:pPr>
    <w:rPr>
      <w:rFonts w:ascii="Calibri" w:eastAsia="宋体" w:hAnsi="Calibri"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6413">
    <w:name w:val="正文64"/>
    <w:pPr>
      <w:widowControl w:val="0"/>
      <w:jc w:val="both"/>
    </w:pPr>
    <w:rPr>
      <w:rFonts w:ascii="Calibri" w:eastAsia="宋体" w:hAnsi="Calibri" w:cs="Times New Roman"/>
      <w:kern w:val="2"/>
      <w:sz w:val="21"/>
      <w:szCs w:val="24"/>
      <w:lang w:val="en-US" w:eastAsia="zh-CN"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zh-CN" w:bidi="ar-SA"/>
    </w:rPr>
  </w:style>
  <w:style w:type="paragraph" w:customStyle="1" w:styleId="11850">
    <w:name w:val="正文1185"/>
    <w:pPr>
      <w:widowControl w:val="0"/>
      <w:jc w:val="both"/>
    </w:pPr>
    <w:rPr>
      <w:rFonts w:ascii="等线" w:eastAsia="等线" w:hAnsi="Times New Roman"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4114">
    <w:name w:val="正文_4_1"/>
    <w:next w:val="a8"/>
    <w:pPr>
      <w:widowControl w:val="0"/>
      <w:jc w:val="both"/>
    </w:pPr>
    <w:rPr>
      <w:rFonts w:ascii="Calibri" w:eastAsia="宋体" w:hAnsi="Calibri" w:cs="Times New Roman"/>
      <w:kern w:val="2"/>
      <w:sz w:val="21"/>
      <w:szCs w:val="22"/>
      <w:lang w:val="en-US" w:eastAsia="zh-CN" w:bidi="ar-SA"/>
    </w:rPr>
  </w:style>
  <w:style w:type="paragraph" w:customStyle="1" w:styleId="5880">
    <w:name w:val="正文588"/>
    <w:pPr>
      <w:widowControl w:val="0"/>
      <w:jc w:val="both"/>
    </w:pPr>
    <w:rPr>
      <w:rFonts w:ascii="Calibri" w:eastAsia="宋体" w:hAnsi="Calibri" w:cs="Times New Roman"/>
      <w:kern w:val="2"/>
      <w:sz w:val="21"/>
      <w:szCs w:val="24"/>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zh-CN" w:bidi="ar-SA"/>
    </w:rPr>
  </w:style>
  <w:style w:type="paragraph" w:customStyle="1" w:styleId="6330">
    <w:name w:val="正文633"/>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45210">
    <w:name w:val="样式 452 10 磅"/>
    <w:next w:val="1075"/>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91510">
    <w:name w:val="样式 191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zh-CN" w:bidi="ar-SA"/>
    </w:rPr>
  </w:style>
  <w:style w:type="paragraph" w:customStyle="1" w:styleId="4211">
    <w:name w:val="纯文本42"/>
    <w:pPr>
      <w:widowControl w:val="0"/>
      <w:jc w:val="both"/>
    </w:pPr>
    <w:rPr>
      <w:rFonts w:ascii="宋体" w:eastAsia="宋体" w:hAnsi="Times New Roman" w:cs="Courier New"/>
      <w:kern w:val="2"/>
      <w:sz w:val="21"/>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4911">
    <w:name w:val="纯文本49"/>
    <w:pPr>
      <w:widowControl w:val="0"/>
      <w:jc w:val="both"/>
    </w:pPr>
    <w:rPr>
      <w:rFonts w:ascii="宋体" w:eastAsia="宋体" w:hAnsi="Times New Roman" w:cs="Courier New"/>
      <w:kern w:val="2"/>
      <w:sz w:val="21"/>
      <w:szCs w:val="21"/>
      <w:lang w:val="en-US" w:eastAsia="zh-CN" w:bidi="ar-SA"/>
    </w:rPr>
  </w:style>
  <w:style w:type="paragraph" w:customStyle="1" w:styleId="1650">
    <w:name w:val="正文165"/>
    <w:pPr>
      <w:widowControl w:val="0"/>
      <w:jc w:val="both"/>
    </w:pPr>
    <w:rPr>
      <w:rFonts w:ascii="Calibri" w:eastAsia="宋体" w:hAnsi="Calibri" w:cs="Times New Roman"/>
      <w:kern w:val="2"/>
      <w:sz w:val="21"/>
      <w:szCs w:val="24"/>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zh-CN"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317">
    <w:name w:val="纯文本131"/>
    <w:pPr>
      <w:widowControl w:val="0"/>
      <w:jc w:val="both"/>
    </w:pPr>
    <w:rPr>
      <w:rFonts w:ascii="宋体" w:eastAsia="宋体" w:hAnsi="Times New Roman" w:cs="Courier New"/>
      <w:kern w:val="2"/>
      <w:sz w:val="21"/>
      <w:szCs w:val="21"/>
      <w:lang w:val="en-US" w:eastAsia="zh-CN" w:bidi="ar-SA"/>
    </w:rPr>
  </w:style>
  <w:style w:type="paragraph" w:customStyle="1" w:styleId="4260">
    <w:name w:val="正文426"/>
    <w:pPr>
      <w:widowControl w:val="0"/>
      <w:jc w:val="both"/>
    </w:pPr>
    <w:rPr>
      <w:rFonts w:ascii="Calibri" w:eastAsia="宋体" w:hAnsi="Calibri" w:cs="Times New Roman"/>
      <w:kern w:val="2"/>
      <w:sz w:val="21"/>
      <w:szCs w:val="24"/>
      <w:lang w:val="en-US" w:eastAsia="zh-CN" w:bidi="ar-SA"/>
    </w:rPr>
  </w:style>
  <w:style w:type="paragraph" w:customStyle="1" w:styleId="3450">
    <w:name w:val="正文345"/>
    <w:pPr>
      <w:widowControl w:val="0"/>
      <w:jc w:val="both"/>
    </w:pPr>
    <w:rPr>
      <w:rFonts w:ascii="Calibri" w:eastAsia="宋体" w:hAnsi="Calibri" w:cs="Times New Roman"/>
      <w:kern w:val="2"/>
      <w:sz w:val="21"/>
      <w:szCs w:val="24"/>
      <w:lang w:val="en-US" w:eastAsia="zh-CN" w:bidi="ar-SA"/>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8"/>
    <w:pPr>
      <w:widowControl w:val="0"/>
      <w:jc w:val="both"/>
    </w:pPr>
    <w:rPr>
      <w:rFonts w:ascii="Calibri" w:eastAsia="宋体" w:hAnsi="Calibri" w:cs="Times New Roman"/>
      <w:kern w:val="2"/>
      <w:sz w:val="21"/>
      <w:szCs w:val="24"/>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zh-CN" w:bidi="ar-SA"/>
    </w:rPr>
  </w:style>
  <w:style w:type="paragraph" w:customStyle="1" w:styleId="138100">
    <w:name w:val="样式 138 10 磅"/>
    <w:next w:val="a10"/>
    <w:pPr>
      <w:widowControl w:val="0"/>
      <w:jc w:val="both"/>
    </w:pPr>
    <w:rPr>
      <w:rFonts w:ascii="Times New Roman" w:eastAsia="宋体" w:hAnsi="Times New Roman" w:cs="Times New Roman"/>
      <w:kern w:val="2"/>
      <w:sz w:val="21"/>
      <w:szCs w:val="22"/>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3680">
    <w:name w:val="正文368"/>
    <w:pPr>
      <w:widowControl w:val="0"/>
      <w:jc w:val="both"/>
    </w:pPr>
    <w:rPr>
      <w:rFonts w:ascii="Calibri" w:eastAsia="宋体" w:hAnsi="Calibri" w:cs="Times New Roman"/>
      <w:kern w:val="2"/>
      <w:sz w:val="21"/>
      <w:szCs w:val="24"/>
      <w:lang w:val="en-US" w:eastAsia="zh-CN" w:bidi="ar-SA"/>
    </w:rPr>
  </w:style>
  <w:style w:type="paragraph" w:customStyle="1" w:styleId="3740">
    <w:name w:val="正文374"/>
    <w:pPr>
      <w:widowControl w:val="0"/>
      <w:jc w:val="both"/>
    </w:pPr>
    <w:rPr>
      <w:rFonts w:ascii="Calibri" w:eastAsia="宋体" w:hAnsi="Calibri"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9"/>
      </w:numPr>
      <w:tabs>
        <w:tab w:val="left" w:pos="0"/>
      </w:tabs>
      <w:jc w:val="both"/>
    </w:pPr>
    <w:rPr>
      <w:rFonts w:ascii="宋体" w:eastAsia="宋体" w:hAnsi="Times New Roman"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4001">
    <w:name w:val="正文400"/>
    <w:pPr>
      <w:widowControl w:val="0"/>
      <w:jc w:val="both"/>
    </w:pPr>
    <w:rPr>
      <w:rFonts w:ascii="Calibri" w:eastAsia="宋体" w:hAnsi="Calibri"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8080">
    <w:name w:val="正文808"/>
    <w:pPr>
      <w:widowControl w:val="0"/>
      <w:jc w:val="both"/>
    </w:pPr>
    <w:rPr>
      <w:rFonts w:ascii="Calibri" w:eastAsia="宋体" w:hAnsi="Calibri" w:cs="Times New Roman"/>
      <w:kern w:val="2"/>
      <w:sz w:val="21"/>
      <w:szCs w:val="22"/>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eastAsia="zh-CN"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zh-CN" w:bidi="ar-SA"/>
    </w:rPr>
  </w:style>
  <w:style w:type="paragraph" w:customStyle="1" w:styleId="2105">
    <w:name w:val="样式 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2810">
    <w:name w:val="样式 1928 10 磅"/>
    <w:pPr>
      <w:widowControl w:val="0"/>
      <w:jc w:val="both"/>
    </w:pPr>
    <w:rPr>
      <w:rFonts w:ascii="宋体" w:eastAsia="宋体" w:hAnsi="Times New Roman" w:cs="Courier New"/>
      <w:kern w:val="2"/>
      <w:sz w:val="21"/>
      <w:szCs w:val="21"/>
      <w:lang w:val="en-US" w:eastAsia="zh-CN" w:bidi="ar-SA"/>
    </w:rPr>
  </w:style>
  <w:style w:type="paragraph" w:customStyle="1" w:styleId="192910">
    <w:name w:val="样式 1929 10 磅"/>
    <w:pPr>
      <w:widowControl w:val="0"/>
      <w:jc w:val="both"/>
    </w:pPr>
    <w:rPr>
      <w:rFonts w:ascii="宋体" w:eastAsia="宋体" w:hAnsi="Times New Roman" w:cs="Times New Roman"/>
      <w:kern w:val="2"/>
      <w:sz w:val="21"/>
      <w:szCs w:val="21"/>
      <w:lang w:val="en-US" w:eastAsia="zh-CN" w:bidi="ar-SA"/>
    </w:rPr>
  </w:style>
  <w:style w:type="paragraph" w:customStyle="1" w:styleId="193010">
    <w:name w:val="样式 1930 10 磅"/>
    <w:pPr>
      <w:widowControl w:val="0"/>
      <w:jc w:val="both"/>
    </w:pPr>
    <w:rPr>
      <w:rFonts w:ascii="宋体" w:eastAsia="宋体" w:hAnsi="Times New Roman" w:cs="Times New Roman"/>
      <w:kern w:val="2"/>
      <w:sz w:val="21"/>
      <w:szCs w:val="21"/>
      <w:lang w:val="en-US" w:eastAsia="zh-CN" w:bidi="ar-SA"/>
    </w:rPr>
  </w:style>
  <w:style w:type="paragraph" w:customStyle="1" w:styleId="193110">
    <w:name w:val="样式 1931 10 磅"/>
    <w:pPr>
      <w:widowControl w:val="0"/>
      <w:jc w:val="both"/>
    </w:pPr>
    <w:rPr>
      <w:rFonts w:ascii="宋体" w:eastAsia="宋体" w:hAnsi="Times New Roman" w:cs="Times New Roman"/>
      <w:kern w:val="2"/>
      <w:sz w:val="21"/>
      <w:szCs w:val="21"/>
      <w:lang w:val="en-US" w:eastAsia="zh-CN" w:bidi="ar-SA"/>
    </w:rPr>
  </w:style>
  <w:style w:type="paragraph" w:customStyle="1" w:styleId="193210">
    <w:name w:val="样式 1932 10 磅"/>
    <w:pPr>
      <w:widowControl w:val="0"/>
      <w:jc w:val="both"/>
    </w:pPr>
    <w:rPr>
      <w:rFonts w:ascii="宋体" w:eastAsia="宋体" w:hAnsi="Times New Roman" w:cs="Times New Roman"/>
      <w:kern w:val="2"/>
      <w:sz w:val="21"/>
      <w:szCs w:val="21"/>
      <w:lang w:val="en-US" w:eastAsia="zh-CN" w:bidi="ar-SA"/>
    </w:rPr>
  </w:style>
  <w:style w:type="paragraph" w:customStyle="1" w:styleId="193310">
    <w:name w:val="样式 1933 10 磅"/>
    <w:pPr>
      <w:widowControl w:val="0"/>
      <w:jc w:val="both"/>
    </w:pPr>
    <w:rPr>
      <w:rFonts w:ascii="宋体" w:eastAsia="宋体" w:hAnsi="Times New Roman" w:cs="Times New Roman"/>
      <w:kern w:val="2"/>
      <w:sz w:val="21"/>
      <w:szCs w:val="21"/>
      <w:lang w:val="en-US" w:eastAsia="zh-CN" w:bidi="ar-SA"/>
    </w:rPr>
  </w:style>
  <w:style w:type="paragraph" w:customStyle="1" w:styleId="193410">
    <w:name w:val="样式 1934 10 磅"/>
    <w:pPr>
      <w:widowControl w:val="0"/>
      <w:jc w:val="both"/>
    </w:pPr>
    <w:rPr>
      <w:rFonts w:ascii="宋体" w:eastAsia="宋体" w:hAnsi="Times New Roman" w:cs="Times New Roman"/>
      <w:kern w:val="2"/>
      <w:sz w:val="21"/>
      <w:szCs w:val="21"/>
      <w:lang w:val="en-US" w:eastAsia="zh-CN" w:bidi="ar-SA"/>
    </w:rPr>
  </w:style>
  <w:style w:type="paragraph" w:customStyle="1" w:styleId="193510">
    <w:name w:val="样式 1935 10 磅"/>
    <w:pPr>
      <w:widowControl w:val="0"/>
      <w:jc w:val="both"/>
    </w:pPr>
    <w:rPr>
      <w:rFonts w:ascii="宋体" w:eastAsia="宋体" w:hAnsi="Times New Roman" w:cs="Times New Roman"/>
      <w:kern w:val="2"/>
      <w:sz w:val="21"/>
      <w:szCs w:val="21"/>
      <w:lang w:val="en-US" w:eastAsia="zh-CN" w:bidi="ar-SA"/>
    </w:rPr>
  </w:style>
  <w:style w:type="paragraph" w:customStyle="1" w:styleId="193610">
    <w:name w:val="样式 1936 10 磅"/>
    <w:pPr>
      <w:widowControl w:val="0"/>
      <w:jc w:val="both"/>
    </w:pPr>
    <w:rPr>
      <w:rFonts w:ascii="宋体" w:eastAsia="宋体" w:hAnsi="Times New Roman" w:cs="Times New Roman"/>
      <w:kern w:val="2"/>
      <w:sz w:val="21"/>
      <w:szCs w:val="21"/>
      <w:lang w:val="en-US" w:eastAsia="zh-CN" w:bidi="ar-SA"/>
    </w:rPr>
  </w:style>
  <w:style w:type="paragraph" w:customStyle="1" w:styleId="193710">
    <w:name w:val="样式 1937 10 磅"/>
    <w:pPr>
      <w:widowControl w:val="0"/>
      <w:jc w:val="both"/>
    </w:pPr>
    <w:rPr>
      <w:rFonts w:ascii="宋体" w:eastAsia="宋体" w:hAnsi="Times New Roman" w:cs="Times New Roman"/>
      <w:kern w:val="2"/>
      <w:sz w:val="21"/>
      <w:szCs w:val="21"/>
      <w:lang w:val="en-US" w:eastAsia="zh-CN" w:bidi="ar-SA"/>
    </w:rPr>
  </w:style>
  <w:style w:type="paragraph" w:customStyle="1" w:styleId="193810">
    <w:name w:val="样式 1938 10 磅"/>
    <w:pPr>
      <w:widowControl w:val="0"/>
      <w:jc w:val="both"/>
    </w:pPr>
    <w:rPr>
      <w:rFonts w:ascii="宋体" w:eastAsia="宋体" w:hAnsi="Times New Roman" w:cs="Times New Roman"/>
      <w:kern w:val="2"/>
      <w:sz w:val="21"/>
      <w:szCs w:val="21"/>
      <w:lang w:val="en-US" w:eastAsia="zh-CN" w:bidi="ar-SA"/>
    </w:rPr>
  </w:style>
  <w:style w:type="paragraph" w:customStyle="1" w:styleId="193910">
    <w:name w:val="样式 1939 10 磅"/>
    <w:pPr>
      <w:widowControl w:val="0"/>
      <w:jc w:val="both"/>
    </w:pPr>
    <w:rPr>
      <w:rFonts w:ascii="宋体" w:eastAsia="宋体" w:hAnsi="Times New Roman" w:cs="Times New Roman"/>
      <w:kern w:val="2"/>
      <w:sz w:val="21"/>
      <w:szCs w:val="21"/>
      <w:lang w:val="en-US" w:eastAsia="zh-CN" w:bidi="ar-SA"/>
    </w:rPr>
  </w:style>
  <w:style w:type="paragraph" w:customStyle="1" w:styleId="194010">
    <w:name w:val="样式 1940 10 磅"/>
    <w:pPr>
      <w:widowControl w:val="0"/>
      <w:jc w:val="both"/>
    </w:pPr>
    <w:rPr>
      <w:rFonts w:ascii="宋体" w:eastAsia="宋体" w:hAnsi="Times New Roman" w:cs="Times New Roman"/>
      <w:kern w:val="2"/>
      <w:sz w:val="21"/>
      <w:szCs w:val="21"/>
      <w:lang w:val="en-US" w:eastAsia="zh-CN" w:bidi="ar-SA"/>
    </w:rPr>
  </w:style>
  <w:style w:type="paragraph" w:customStyle="1" w:styleId="194110">
    <w:name w:val="样式 1941 10 磅"/>
    <w:pPr>
      <w:widowControl w:val="0"/>
      <w:jc w:val="both"/>
    </w:pPr>
    <w:rPr>
      <w:rFonts w:ascii="宋体" w:eastAsia="宋体" w:hAnsi="Times New Roman" w:cs="Times New Roman"/>
      <w:kern w:val="2"/>
      <w:sz w:val="21"/>
      <w:szCs w:val="21"/>
      <w:lang w:val="en-US" w:eastAsia="zh-CN" w:bidi="ar-SA"/>
    </w:rPr>
  </w:style>
  <w:style w:type="paragraph" w:customStyle="1" w:styleId="194210">
    <w:name w:val="样式 1942 10 磅"/>
    <w:pPr>
      <w:widowControl w:val="0"/>
      <w:jc w:val="both"/>
    </w:pPr>
    <w:rPr>
      <w:rFonts w:ascii="宋体" w:eastAsia="宋体" w:hAnsi="Times New Roman" w:cs="Times New Roman"/>
      <w:kern w:val="2"/>
      <w:sz w:val="21"/>
      <w:szCs w:val="21"/>
      <w:lang w:val="en-US" w:eastAsia="zh-CN" w:bidi="ar-SA"/>
    </w:rPr>
  </w:style>
  <w:style w:type="paragraph" w:customStyle="1" w:styleId="194310">
    <w:name w:val="样式 1943 10 磅"/>
    <w:pPr>
      <w:widowControl w:val="0"/>
      <w:jc w:val="both"/>
    </w:pPr>
    <w:rPr>
      <w:rFonts w:ascii="宋体" w:eastAsia="宋体" w:hAnsi="Times New Roman" w:cs="Times New Roman"/>
      <w:kern w:val="2"/>
      <w:sz w:val="21"/>
      <w:szCs w:val="21"/>
      <w:lang w:val="en-US" w:eastAsia="zh-CN" w:bidi="ar-SA"/>
    </w:rPr>
  </w:style>
  <w:style w:type="paragraph" w:customStyle="1" w:styleId="194410">
    <w:name w:val="样式 1944 10 磅"/>
    <w:pPr>
      <w:widowControl w:val="0"/>
      <w:jc w:val="both"/>
    </w:pPr>
    <w:rPr>
      <w:rFonts w:ascii="宋体"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宋体"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宋体" w:eastAsia="宋体" w:hAnsi="Times New Roman" w:cs="Times New Roman"/>
      <w:kern w:val="2"/>
      <w:sz w:val="21"/>
      <w:szCs w:val="21"/>
      <w:lang w:val="en-US" w:eastAsia="zh-CN" w:bidi="ar-SA"/>
    </w:rPr>
  </w:style>
  <w:style w:type="paragraph" w:customStyle="1" w:styleId="194710">
    <w:name w:val="样式 1947 10 磅"/>
    <w:pPr>
      <w:widowControl w:val="0"/>
      <w:jc w:val="both"/>
    </w:pPr>
    <w:rPr>
      <w:rFonts w:ascii="宋体" w:eastAsia="宋体" w:hAnsi="Times New Roman" w:cs="Times New Roman"/>
      <w:kern w:val="2"/>
      <w:sz w:val="21"/>
      <w:szCs w:val="21"/>
      <w:lang w:val="en-US" w:eastAsia="zh-CN" w:bidi="ar-SA"/>
    </w:rPr>
  </w:style>
  <w:style w:type="paragraph" w:customStyle="1" w:styleId="194810">
    <w:name w:val="样式 1948 10 磅"/>
    <w:pPr>
      <w:widowControl w:val="0"/>
      <w:jc w:val="both"/>
    </w:pPr>
    <w:rPr>
      <w:rFonts w:ascii="宋体" w:eastAsia="宋体" w:hAnsi="Times New Roman" w:cs="Times New Roman"/>
      <w:kern w:val="2"/>
      <w:sz w:val="21"/>
      <w:szCs w:val="21"/>
      <w:lang w:val="en-US" w:eastAsia="zh-CN" w:bidi="ar-SA"/>
    </w:rPr>
  </w:style>
  <w:style w:type="paragraph" w:customStyle="1" w:styleId="8102">
    <w:name w:val="样式 8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9103">
    <w:name w:val="样式 9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4910">
    <w:name w:val="样式 1949 10 磅"/>
    <w:pPr>
      <w:widowControl w:val="0"/>
      <w:jc w:val="both"/>
    </w:pPr>
    <w:rPr>
      <w:rFonts w:ascii="Times New Roman" w:eastAsia="宋体" w:hAnsi="Times New Roman" w:cs="Times New Roman"/>
      <w:kern w:val="2"/>
      <w:sz w:val="21"/>
      <w:szCs w:val="22"/>
      <w:lang w:val="en-US" w:eastAsia="zh-CN" w:bidi="ar-SA"/>
    </w:rPr>
  </w:style>
  <w:style w:type="paragraph" w:customStyle="1" w:styleId="10104">
    <w:name w:val="样式 10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5010">
    <w:name w:val="样式 1950 10 磅"/>
    <w:pPr>
      <w:widowControl w:val="0"/>
      <w:jc w:val="both"/>
    </w:pPr>
    <w:rPr>
      <w:rFonts w:ascii="Times New Roman" w:eastAsia="宋体" w:hAnsi="Times New Roman" w:cs="Times New Roman"/>
      <w:kern w:val="2"/>
      <w:sz w:val="21"/>
      <w:szCs w:val="22"/>
      <w:lang w:val="en-US" w:eastAsia="zh-CN" w:bidi="ar-SA"/>
    </w:rPr>
  </w:style>
  <w:style w:type="paragraph" w:customStyle="1" w:styleId="11102">
    <w:name w:val="样式 11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6">
    <w:name w:val="样式 1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318">
    <w:name w:val="样式 13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414">
    <w:name w:val="样式 14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515">
    <w:name w:val="样式 1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613">
    <w:name w:val="样式 16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713">
    <w:name w:val="样式 17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样式 18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12">
    <w:name w:val="样式 19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013">
    <w:name w:val="样式 20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7">
    <w:name w:val="样式 21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215">
    <w:name w:val="样式 2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样式 23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413">
    <w:name w:val="样式 24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513">
    <w:name w:val="样式 2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5110">
    <w:name w:val="样式 1951 10 磅"/>
    <w:pPr>
      <w:widowControl w:val="0"/>
      <w:jc w:val="both"/>
    </w:pPr>
    <w:rPr>
      <w:rFonts w:ascii="Times New Roman" w:eastAsia="宋体" w:hAnsi="Times New Roman" w:cs="Times New Roman"/>
      <w:kern w:val="2"/>
      <w:sz w:val="21"/>
      <w:szCs w:val="22"/>
      <w:lang w:val="en-US" w:eastAsia="zh-CN" w:bidi="ar-SA"/>
    </w:rPr>
  </w:style>
  <w:style w:type="paragraph" w:customStyle="1" w:styleId="195210">
    <w:name w:val="样式 1952 10 磅"/>
    <w:pPr>
      <w:widowControl w:val="0"/>
      <w:jc w:val="both"/>
    </w:pPr>
    <w:rPr>
      <w:rFonts w:ascii="Times New Roman" w:eastAsia="宋体" w:hAnsi="Times New Roman" w:cs="Times New Roman"/>
      <w:kern w:val="2"/>
      <w:sz w:val="21"/>
      <w:szCs w:val="22"/>
      <w:lang w:val="en-US" w:eastAsia="zh-CN" w:bidi="ar-SA"/>
    </w:rPr>
  </w:style>
  <w:style w:type="paragraph" w:customStyle="1" w:styleId="195310">
    <w:name w:val="样式 1953 10 磅"/>
    <w:pPr>
      <w:widowControl w:val="0"/>
      <w:jc w:val="both"/>
    </w:pPr>
    <w:rPr>
      <w:rFonts w:ascii="Times New Roman" w:eastAsia="宋体" w:hAnsi="Times New Roman" w:cs="Times New Roman"/>
      <w:kern w:val="2"/>
      <w:sz w:val="21"/>
      <w:szCs w:val="20"/>
      <w:lang w:val="en-US" w:eastAsia="zh-CN" w:bidi="ar-SA"/>
    </w:rPr>
  </w:style>
  <w:style w:type="paragraph" w:customStyle="1" w:styleId="195410">
    <w:name w:val="样式 1954 10 磅"/>
    <w:pPr>
      <w:widowControl w:val="0"/>
      <w:jc w:val="both"/>
    </w:pPr>
    <w:rPr>
      <w:rFonts w:ascii="Times New Roman" w:eastAsia="宋体" w:hAnsi="Times New Roman" w:cs="Times New Roman"/>
      <w:kern w:val="2"/>
      <w:sz w:val="21"/>
      <w:szCs w:val="20"/>
      <w:lang w:val="en-US" w:eastAsia="zh-CN" w:bidi="ar-SA"/>
    </w:rPr>
  </w:style>
  <w:style w:type="paragraph" w:customStyle="1" w:styleId="195510">
    <w:name w:val="样式 1955 10 磅"/>
    <w:pPr>
      <w:widowControl w:val="0"/>
      <w:jc w:val="both"/>
    </w:pPr>
    <w:rPr>
      <w:rFonts w:ascii="Times New Roman" w:eastAsia="宋体" w:hAnsi="Times New Roman" w:cs="Times New Roman"/>
      <w:kern w:val="2"/>
      <w:sz w:val="21"/>
      <w:szCs w:val="22"/>
      <w:lang w:val="en-US" w:eastAsia="zh-CN" w:bidi="ar-SA"/>
    </w:rPr>
  </w:style>
  <w:style w:type="paragraph" w:customStyle="1" w:styleId="195610">
    <w:name w:val="样式 1956 10 磅"/>
    <w:pPr>
      <w:widowControl w:val="0"/>
      <w:jc w:val="both"/>
    </w:pPr>
    <w:rPr>
      <w:rFonts w:ascii="Times New Roman" w:eastAsia="宋体" w:hAnsi="Times New Roman" w:cs="Times New Roman"/>
      <w:kern w:val="2"/>
      <w:sz w:val="21"/>
      <w:szCs w:val="20"/>
      <w:lang w:val="en-US" w:eastAsia="zh-CN" w:bidi="ar-SA"/>
    </w:rPr>
  </w:style>
  <w:style w:type="paragraph" w:customStyle="1" w:styleId="195710">
    <w:name w:val="样式 1957 10 磅"/>
    <w:pPr>
      <w:widowControl w:val="0"/>
      <w:jc w:val="both"/>
    </w:pPr>
    <w:rPr>
      <w:rFonts w:ascii="Times New Roman" w:eastAsia="宋体" w:hAnsi="Times New Roman" w:cs="Times New Roman"/>
      <w:kern w:val="2"/>
      <w:sz w:val="21"/>
      <w:szCs w:val="22"/>
      <w:lang w:val="en-US" w:eastAsia="zh-CN" w:bidi="ar-SA"/>
    </w:rPr>
  </w:style>
  <w:style w:type="paragraph" w:customStyle="1" w:styleId="195810">
    <w:name w:val="样式 1958 10 磅"/>
    <w:pPr>
      <w:widowControl w:val="0"/>
      <w:jc w:val="both"/>
    </w:pPr>
    <w:rPr>
      <w:rFonts w:ascii="Times New Roman" w:eastAsia="宋体" w:hAnsi="Times New Roman" w:cs="Times New Roman"/>
      <w:kern w:val="2"/>
      <w:sz w:val="21"/>
      <w:szCs w:val="22"/>
      <w:lang w:val="en-US" w:eastAsia="zh-CN" w:bidi="ar-SA"/>
    </w:rPr>
  </w:style>
  <w:style w:type="paragraph" w:customStyle="1" w:styleId="195910">
    <w:name w:val="样式 1959 10 磅"/>
    <w:pPr>
      <w:widowControl w:val="0"/>
      <w:jc w:val="both"/>
    </w:pPr>
    <w:rPr>
      <w:rFonts w:ascii="Times New Roman" w:eastAsia="宋体" w:hAnsi="Times New Roman" w:cs="Times New Roman"/>
      <w:kern w:val="2"/>
      <w:sz w:val="21"/>
      <w:szCs w:val="22"/>
      <w:lang w:val="en-US" w:eastAsia="zh-CN" w:bidi="ar-SA"/>
    </w:rPr>
  </w:style>
  <w:style w:type="paragraph" w:customStyle="1" w:styleId="196010">
    <w:name w:val="样式 1960 10 磅"/>
    <w:pPr>
      <w:widowControl w:val="0"/>
      <w:jc w:val="both"/>
    </w:pPr>
    <w:rPr>
      <w:rFonts w:ascii="Times New Roman" w:eastAsia="宋体" w:hAnsi="Times New Roman" w:cs="Times New Roman"/>
      <w:kern w:val="2"/>
      <w:sz w:val="21"/>
      <w:szCs w:val="22"/>
      <w:lang w:val="en-US" w:eastAsia="zh-CN" w:bidi="ar-SA"/>
    </w:rPr>
  </w:style>
  <w:style w:type="paragraph" w:customStyle="1" w:styleId="196110">
    <w:name w:val="样式 1961 10 磅"/>
    <w:pPr>
      <w:widowControl w:val="0"/>
      <w:jc w:val="both"/>
    </w:pPr>
    <w:rPr>
      <w:rFonts w:ascii="Times New Roman" w:eastAsia="宋体" w:hAnsi="Times New Roman" w:cs="Times New Roman"/>
      <w:kern w:val="2"/>
      <w:sz w:val="21"/>
      <w:szCs w:val="22"/>
      <w:lang w:val="en-US" w:eastAsia="zh-CN" w:bidi="ar-SA"/>
    </w:rPr>
  </w:style>
  <w:style w:type="paragraph" w:customStyle="1" w:styleId="196210">
    <w:name w:val="样式 1962 10 磅"/>
    <w:pPr>
      <w:widowControl w:val="0"/>
      <w:jc w:val="both"/>
    </w:pPr>
    <w:rPr>
      <w:rFonts w:ascii="Times New Roman" w:eastAsia="宋体" w:hAnsi="Times New Roman" w:cs="Times New Roman"/>
      <w:kern w:val="2"/>
      <w:sz w:val="21"/>
      <w:szCs w:val="22"/>
      <w:lang w:val="en-US" w:eastAsia="zh-CN" w:bidi="ar-SA"/>
    </w:rPr>
  </w:style>
  <w:style w:type="paragraph" w:customStyle="1" w:styleId="196310">
    <w:name w:val="样式 1963 10 磅"/>
    <w:pPr>
      <w:widowControl w:val="0"/>
      <w:jc w:val="both"/>
    </w:pPr>
    <w:rPr>
      <w:rFonts w:ascii="Times New Roman" w:eastAsia="宋体"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宋体" w:hAnsi="Times New Roman" w:cs="Times New Roman"/>
      <w:kern w:val="2"/>
      <w:sz w:val="21"/>
      <w:szCs w:val="22"/>
      <w:lang w:val="en-US" w:eastAsia="zh-CN" w:bidi="ar-SA"/>
    </w:rPr>
  </w:style>
  <w:style w:type="paragraph" w:customStyle="1" w:styleId="196510">
    <w:name w:val="样式 1965 10 磅"/>
    <w:pPr>
      <w:widowControl w:val="0"/>
      <w:jc w:val="both"/>
    </w:pPr>
    <w:rPr>
      <w:rFonts w:ascii="Times New Roman" w:eastAsia="宋体" w:hAnsi="Times New Roman" w:cs="Times New Roman"/>
      <w:kern w:val="2"/>
      <w:sz w:val="21"/>
      <w:szCs w:val="22"/>
      <w:lang w:val="en-US" w:eastAsia="zh-CN" w:bidi="ar-SA"/>
    </w:rPr>
  </w:style>
  <w:style w:type="paragraph" w:customStyle="1" w:styleId="196610">
    <w:name w:val="样式 1966 10 磅"/>
    <w:pPr>
      <w:widowControl w:val="0"/>
      <w:jc w:val="both"/>
    </w:pPr>
    <w:rPr>
      <w:rFonts w:ascii="Times New Roman" w:eastAsia="宋体" w:hAnsi="Times New Roman" w:cs="Times New Roman"/>
      <w:kern w:val="2"/>
      <w:sz w:val="21"/>
      <w:szCs w:val="22"/>
      <w:lang w:val="en-US" w:eastAsia="zh-CN" w:bidi="ar-SA"/>
    </w:rPr>
  </w:style>
  <w:style w:type="paragraph" w:customStyle="1" w:styleId="20111">
    <w:name w:val="样式 20 11 磅"/>
    <w:pPr>
      <w:widowControl w:val="0"/>
      <w:spacing w:after="160" w:line="278" w:lineRule="auto"/>
    </w:pPr>
    <w:rPr>
      <w:rFonts w:ascii="等线" w:eastAsia="等线" w:hAnsi="Times New Roman" w:cs="Arial"/>
      <w:kern w:val="2"/>
      <w:sz w:val="22"/>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2">
    <w:name w:val="正文_23"/>
    <w:pPr>
      <w:widowControl w:val="0"/>
      <w:jc w:val="both"/>
    </w:pPr>
    <w:rPr>
      <w:rFonts w:ascii="Times New Roman" w:eastAsia="方正仿宋_GBK" w:hAnsi="Times New Roman" w:cs="Times New Roman"/>
      <w:kern w:val="2"/>
      <w:sz w:val="32"/>
      <w:szCs w:val="20"/>
      <w:lang w:val="en-US" w:eastAsia="zh-CN" w:bidi="ar-SA"/>
    </w:rPr>
  </w:style>
  <w:style w:type="paragraph" w:customStyle="1" w:styleId="9012">
    <w:name w:val="正文_90"/>
    <w:pPr>
      <w:widowControl w:val="0"/>
      <w:jc w:val="both"/>
    </w:pPr>
    <w:rPr>
      <w:rFonts w:ascii="Times New Roman" w:eastAsia="方正仿宋_GBK" w:hAnsi="Times New Roman" w:cs="Times New Roman"/>
      <w:kern w:val="2"/>
      <w:sz w:val="32"/>
      <w:szCs w:val="20"/>
      <w:lang w:val="en-US" w:eastAsia="zh-CN" w:bidi="ar-SA"/>
    </w:rPr>
  </w:style>
  <w:style w:type="paragraph" w:customStyle="1" w:styleId="9311">
    <w:name w:val="正文_9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12">
    <w:name w:val="正文_94"/>
    <w:pPr>
      <w:widowControl w:val="0"/>
      <w:jc w:val="both"/>
    </w:pPr>
    <w:rPr>
      <w:rFonts w:ascii="Times New Roman" w:eastAsia="方正仿宋_GBK" w:hAnsi="Times New Roman" w:cs="Times New Roman"/>
      <w:kern w:val="2"/>
      <w:sz w:val="32"/>
      <w:szCs w:val="20"/>
      <w:lang w:val="en-US" w:eastAsia="zh-CN" w:bidi="ar-SA"/>
    </w:rPr>
  </w:style>
  <w:style w:type="paragraph" w:customStyle="1" w:styleId="3211">
    <w:name w:val="正文_32"/>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3">
    <w:name w:val="正文_18"/>
    <w:pPr>
      <w:widowControl w:val="0"/>
      <w:jc w:val="both"/>
    </w:pPr>
    <w:rPr>
      <w:rFonts w:ascii="Times New Roman" w:eastAsia="方正仿宋_GBK" w:hAnsi="Times New Roman" w:cs="Times New Roman"/>
      <w:kern w:val="2"/>
      <w:sz w:val="32"/>
      <w:szCs w:val="20"/>
      <w:lang w:val="en-US" w:eastAsia="zh-CN" w:bidi="ar-SA"/>
    </w:rPr>
  </w:style>
  <w:style w:type="paragraph" w:customStyle="1" w:styleId="11412">
    <w:name w:val="正文_114"/>
    <w:pPr>
      <w:widowControl w:val="0"/>
      <w:jc w:val="both"/>
    </w:pPr>
    <w:rPr>
      <w:rFonts w:ascii="Times New Roman" w:eastAsia="方正仿宋_GBK" w:hAnsi="Times New Roman" w:cs="Times New Roman"/>
      <w:kern w:val="2"/>
      <w:sz w:val="32"/>
      <w:szCs w:val="20"/>
      <w:lang w:val="en-US" w:eastAsia="zh-CN" w:bidi="ar-SA"/>
    </w:rPr>
  </w:style>
  <w:style w:type="paragraph" w:customStyle="1" w:styleId="10912">
    <w:name w:val="正文_10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02">
    <w:name w:val="正文_1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13">
    <w:name w:val="正文_101"/>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1">
    <w:name w:val="样式 2 三号_17"/>
    <w:pPr>
      <w:widowControl w:val="0"/>
      <w:jc w:val="both"/>
    </w:pPr>
    <w:rPr>
      <w:rFonts w:ascii="Times New Roman" w:eastAsia="方正仿宋_GBK" w:hAnsi="Times New Roman" w:cs="Times New Roman"/>
      <w:kern w:val="2"/>
      <w:sz w:val="32"/>
      <w:szCs w:val="20"/>
      <w:lang w:val="en-US" w:eastAsia="zh-CN" w:bidi="ar-SA"/>
    </w:rPr>
  </w:style>
  <w:style w:type="paragraph" w:customStyle="1" w:styleId="6012">
    <w:name w:val="正文_60"/>
    <w:pPr>
      <w:widowControl w:val="0"/>
      <w:jc w:val="both"/>
    </w:pPr>
    <w:rPr>
      <w:rFonts w:ascii="Times New Roman" w:eastAsia="方正仿宋_GBK" w:hAnsi="Times New Roman" w:cs="Times New Roman"/>
      <w:kern w:val="2"/>
      <w:sz w:val="32"/>
      <w:szCs w:val="20"/>
      <w:lang w:val="en-US" w:eastAsia="zh-CN" w:bidi="ar-SA"/>
    </w:rPr>
  </w:style>
  <w:style w:type="paragraph" w:customStyle="1" w:styleId="5011">
    <w:name w:val="正文_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611">
    <w:name w:val="正文_66"/>
    <w:pPr>
      <w:widowControl w:val="0"/>
      <w:jc w:val="both"/>
    </w:pPr>
    <w:rPr>
      <w:rFonts w:ascii="Times New Roman" w:eastAsia="方正仿宋_GBK" w:hAnsi="Times New Roman" w:cs="Times New Roman"/>
      <w:kern w:val="2"/>
      <w:sz w:val="32"/>
      <w:szCs w:val="20"/>
      <w:lang w:val="en-US" w:eastAsia="zh-CN" w:bidi="ar-SA"/>
    </w:rPr>
  </w:style>
  <w:style w:type="paragraph" w:customStyle="1" w:styleId="196710">
    <w:name w:val="样式 1967 10 磅"/>
    <w:pPr>
      <w:widowControl w:val="0"/>
      <w:jc w:val="both"/>
    </w:pPr>
    <w:rPr>
      <w:rFonts w:ascii="等线" w:eastAsia="等线" w:hAnsi="Times New Roman" w:cs="等线"/>
      <w:kern w:val="2"/>
      <w:sz w:val="21"/>
      <w:szCs w:val="21"/>
      <w:lang w:val="en-US" w:eastAsia="zh-CN" w:bidi="ar-SA"/>
    </w:rPr>
  </w:style>
  <w:style w:type="paragraph" w:customStyle="1" w:styleId="196810">
    <w:name w:val="样式 1968 10 磅"/>
    <w:pPr>
      <w:widowControl w:val="0"/>
      <w:jc w:val="both"/>
    </w:pPr>
    <w:rPr>
      <w:rFonts w:ascii="等线" w:eastAsia="等线" w:hAnsi="Times New Roman" w:cs="等线"/>
      <w:kern w:val="2"/>
      <w:sz w:val="21"/>
      <w:szCs w:val="21"/>
      <w:lang w:val="en-US" w:eastAsia="zh-CN" w:bidi="ar-SA"/>
    </w:rPr>
  </w:style>
  <w:style w:type="paragraph" w:customStyle="1" w:styleId="196910">
    <w:name w:val="样式 1969 10 磅"/>
    <w:pPr>
      <w:widowControl w:val="0"/>
      <w:jc w:val="both"/>
    </w:pPr>
    <w:rPr>
      <w:rFonts w:ascii="等线" w:eastAsia="等线" w:hAnsi="Times New Roman" w:cs="等线"/>
      <w:kern w:val="2"/>
      <w:sz w:val="21"/>
      <w:szCs w:val="21"/>
      <w:lang w:val="en-US" w:eastAsia="zh-CN" w:bidi="ar-SA"/>
    </w:rPr>
  </w:style>
  <w:style w:type="table" w:styleId="TableGrid">
    <w:name w:val="Table Grid"/>
    <w:basedOn w:val="TableNormal"/>
    <w:qFormat/>
    <w:pPr>
      <w:widowControl w:val="0"/>
      <w:jc w:val="both"/>
    </w:pPr>
    <w:rPr>
      <w:rFonts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9C342279-8B09-4442-A70C-378145D767D3}">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157256167</TotalTime>
  <Pages>74</Pages>
  <Words>0</Words>
  <Characters>29048</Characters>
  <Application>Microsoft Office Word</Application>
  <DocSecurity>0</DocSecurity>
  <Lines>0</Lines>
  <Paragraphs>829</Paragraphs>
  <ScaleCrop>false</ScaleCrop>
  <Company>ms</Company>
  <LinksUpToDate>false</LinksUpToDate>
  <CharactersWithSpaces>38731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任宇</cp:lastModifiedBy>
  <cp:revision>6</cp:revision>
  <cp:lastPrinted>2020-06-24T09:06:00Z</cp:lastPrinted>
  <dcterms:created xsi:type="dcterms:W3CDTF">2021-11-24T16:33:00Z</dcterms:created>
  <dcterms:modified xsi:type="dcterms:W3CDTF">2025-05-30T01:27:38Z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5F29A9649DA740169E7A2B7081BD0CF9</vt:lpwstr>
  </property>
  <property fmtid="{D5CDD505-2E9C-101B-9397-08002B2CF9AE}" pid="3" name="KSOProductBuildVer">
    <vt:lpwstr>2052-11.8.2.12085</vt:lpwstr>
  </property>
  <property fmtid="{D5CDD505-2E9C-101B-9397-08002B2CF9AE}" pid="4" name="_">
    <vt:lpwstr>(3)GD6ZmeRqwa7+W95hfsqdFOYw1NcFIGYMiMyhNT5YIWbNw8ayLAYSVfJVfhQuWY2qi0t5Um4P
ROupOSS1s3HS8YBWXEw4MsjTlD18T6rbPhvRZ5wPZHfLdeEmSfxfaOYrWzMRK4TZ2NXV+H5g
u9ghUF7R7Oj2eigk6RQsTBfUF9TIgAYfMWYWyEIliHJJLg75SQBiySxnc5RM3c/o2JB8cbg6
zzqbx4AQgmrFKtFwyq</vt:lpwstr>
  </property>
</Properties>
</file>