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CG2025-WT-GK-HW-024</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中国电子口岸数据中心2025年海关热线系统升级（产品及专用设备）采购项目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2025年06月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中国电子口岸数据中心2025年海关热线系统升级（产品及专用设备）采购项目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CG2025-WT-GK-HW-024</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中国电子口岸数据中心2025年海关热线系统升级（产品及专用设备）采购项目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本项目预算金额合计总金额人民币18,370,000.00元，其中包1人民币18,370,000.00元。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语音话务系统</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5,170,000.00</w:t>
            </w:r>
          </w:p>
        </w:tc>
        <w:tc>
          <w:tcPr>
            <w:tcW w:w="1271" w:type="dxa"/>
            <w:vMerge w:val="restart"/>
            <w:vAlign w:val="center"/>
          </w:tcPr>
          <w:p>
            <w:pPr>
              <w:spacing w:after="120" w:line="240" w:lineRule="auto"/>
              <w:rPr>
                <w:rFonts w:ascii="宋体"/>
                <w:b/>
                <w:color w:val="0000FF"/>
                <w:sz w:val="24"/>
                <w:highlight w:val="white"/>
              </w:rPr>
            </w:pPr>
            <w:r>
              <w:t>签订合同后30天内</w:t>
            </w:r>
          </w:p>
        </w:tc>
        <w:tc>
          <w:tcPr>
            <w:tcW w:w="1073" w:type="dxa"/>
            <w:vMerge w:val="restart"/>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详见项目需求书</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语音网关</w:t>
            </w:r>
          </w:p>
        </w:tc>
        <w:tc>
          <w:tcPr>
            <w:tcW w:w="652" w:type="dxa"/>
          </w:tcPr>
          <w:p>
            <w:pPr>
              <w:spacing w:after="120" w:line="240" w:lineRule="auto"/>
              <w:rPr>
                <w:rFonts w:ascii="宋体"/>
                <w:b/>
                <w:color w:val="0000FF"/>
                <w:sz w:val="24"/>
                <w:highlight w:val="white"/>
              </w:rPr>
            </w:pPr>
            <w:r>
              <w:t>50</w:t>
            </w:r>
          </w:p>
        </w:tc>
        <w:tc>
          <w:tcPr>
            <w:tcW w:w="1271" w:type="dxa"/>
          </w:tcPr>
          <w:p>
            <w:pPr>
              <w:spacing w:after="120" w:line="240" w:lineRule="auto"/>
              <w:rPr>
                <w:rFonts w:ascii="宋体"/>
                <w:b/>
                <w:color w:val="0000FF"/>
                <w:sz w:val="24"/>
                <w:highlight w:val="white"/>
              </w:rPr>
            </w:pPr>
            <w:r>
              <w:t>40,000.00</w:t>
            </w:r>
          </w:p>
        </w:tc>
        <w:tc>
          <w:tcPr>
            <w:tcW w:w="0" w:type="dxa"/>
            <w:vMerge/>
            <w:vAlign w:val="center"/>
          </w:tcPr>
          <w:p>
            <w:pPr>
              <w:spacing w:after="120" w:line="240" w:lineRule="auto"/>
              <w:rPr>
                <w:rFonts w:ascii="宋体"/>
                <w:b/>
                <w:color w:val="0000FF"/>
                <w:sz w:val="24"/>
                <w:highlight w:val="white"/>
              </w:rPr>
            </w:pPr>
            <w:r>
              <w:t>签订合同后30天内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详见项目需求书</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边界会话控制器（SBC）</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250,000.00</w:t>
            </w:r>
          </w:p>
        </w:tc>
        <w:tc>
          <w:tcPr>
            <w:tcW w:w="0" w:type="dxa"/>
            <w:vMerge/>
            <w:vAlign w:val="center"/>
          </w:tcPr>
          <w:p>
            <w:pPr>
              <w:spacing w:after="120" w:line="240" w:lineRule="auto"/>
              <w:rPr>
                <w:rFonts w:ascii="宋体"/>
                <w:b/>
                <w:color w:val="0000FF"/>
                <w:sz w:val="24"/>
                <w:highlight w:val="white"/>
              </w:rPr>
            </w:pPr>
            <w:r>
              <w:t>签订合同后30天内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详见项目需求书</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耳麦</w:t>
            </w:r>
          </w:p>
        </w:tc>
        <w:tc>
          <w:tcPr>
            <w:tcW w:w="652" w:type="dxa"/>
          </w:tcPr>
          <w:p>
            <w:pPr>
              <w:spacing w:after="120" w:line="240" w:lineRule="auto"/>
              <w:rPr>
                <w:rFonts w:ascii="宋体"/>
                <w:b/>
                <w:color w:val="0000FF"/>
                <w:sz w:val="24"/>
                <w:highlight w:val="white"/>
              </w:rPr>
            </w:pPr>
            <w:r>
              <w:t>1200</w:t>
            </w:r>
          </w:p>
        </w:tc>
        <w:tc>
          <w:tcPr>
            <w:tcW w:w="1271" w:type="dxa"/>
          </w:tcPr>
          <w:p>
            <w:pPr>
              <w:spacing w:after="120" w:line="240" w:lineRule="auto"/>
              <w:rPr>
                <w:rFonts w:ascii="宋体"/>
                <w:b/>
                <w:color w:val="0000FF"/>
                <w:sz w:val="24"/>
                <w:highlight w:val="white"/>
              </w:rPr>
            </w:pPr>
            <w:r>
              <w:t>500.00</w:t>
            </w:r>
          </w:p>
        </w:tc>
        <w:tc>
          <w:tcPr>
            <w:tcW w:w="0" w:type="dxa"/>
            <w:vMerge/>
            <w:vAlign w:val="center"/>
          </w:tcPr>
          <w:p>
            <w:pPr>
              <w:spacing w:after="120" w:line="240" w:lineRule="auto"/>
              <w:rPr>
                <w:rFonts w:ascii="宋体"/>
                <w:b/>
                <w:color w:val="0000FF"/>
                <w:sz w:val="24"/>
                <w:highlight w:val="white"/>
              </w:rPr>
            </w:pPr>
            <w:r>
              <w:t>签订合同后30天内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详见项目需求书</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5</w:t>
            </w:r>
          </w:p>
        </w:tc>
        <w:tc>
          <w:tcPr>
            <w:tcW w:w="1009" w:type="dxa"/>
          </w:tcPr>
          <w:p>
            <w:pPr>
              <w:spacing w:after="120" w:line="240" w:lineRule="auto"/>
              <w:rPr>
                <w:rFonts w:ascii="宋体"/>
                <w:b/>
                <w:color w:val="0000FF"/>
                <w:sz w:val="24"/>
                <w:highlight w:val="white"/>
              </w:rPr>
            </w:pPr>
            <w:r>
              <w:t>多渠道自助服务平台</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800,000.00</w:t>
            </w:r>
          </w:p>
        </w:tc>
        <w:tc>
          <w:tcPr>
            <w:tcW w:w="0" w:type="dxa"/>
            <w:vMerge/>
            <w:vAlign w:val="center"/>
          </w:tcPr>
          <w:p>
            <w:pPr>
              <w:spacing w:after="120" w:line="240" w:lineRule="auto"/>
              <w:rPr>
                <w:rFonts w:ascii="宋体"/>
                <w:b/>
                <w:color w:val="0000FF"/>
                <w:sz w:val="24"/>
                <w:highlight w:val="white"/>
              </w:rPr>
            </w:pPr>
            <w:r>
              <w:t>签订合同后30天内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详见项目需求书</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6</w:t>
            </w:r>
          </w:p>
        </w:tc>
        <w:tc>
          <w:tcPr>
            <w:tcW w:w="1009" w:type="dxa"/>
          </w:tcPr>
          <w:p>
            <w:pPr>
              <w:spacing w:after="120" w:line="240" w:lineRule="auto"/>
              <w:rPr>
                <w:rFonts w:ascii="宋体"/>
                <w:b/>
                <w:color w:val="0000FF"/>
                <w:sz w:val="24"/>
                <w:highlight w:val="white"/>
              </w:rPr>
            </w:pPr>
            <w:r>
              <w:t>智慧化辅助产品升级</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8,000,000.00</w:t>
            </w:r>
          </w:p>
        </w:tc>
        <w:tc>
          <w:tcPr>
            <w:tcW w:w="0" w:type="dxa"/>
            <w:vMerge/>
            <w:vAlign w:val="center"/>
          </w:tcPr>
          <w:p>
            <w:pPr>
              <w:spacing w:after="120" w:line="240" w:lineRule="auto"/>
              <w:rPr>
                <w:rFonts w:ascii="宋体"/>
                <w:b/>
                <w:color w:val="0000FF"/>
                <w:sz w:val="24"/>
                <w:highlight w:val="white"/>
              </w:rPr>
            </w:pPr>
            <w:r>
              <w:t>签订合同后30天内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详见项目需求书</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7</w:t>
            </w:r>
          </w:p>
        </w:tc>
        <w:tc>
          <w:tcPr>
            <w:tcW w:w="1009" w:type="dxa"/>
          </w:tcPr>
          <w:p>
            <w:pPr>
              <w:spacing w:after="120" w:line="240" w:lineRule="auto"/>
              <w:rPr>
                <w:rFonts w:ascii="宋体"/>
                <w:b/>
                <w:color w:val="0000FF"/>
                <w:sz w:val="24"/>
                <w:highlight w:val="white"/>
              </w:rPr>
            </w:pPr>
            <w:r>
              <w:t>热线综合服务平台</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1,300,000.00</w:t>
            </w:r>
          </w:p>
        </w:tc>
        <w:tc>
          <w:tcPr>
            <w:tcW w:w="0" w:type="dxa"/>
            <w:vMerge/>
            <w:vAlign w:val="center"/>
          </w:tcPr>
          <w:p>
            <w:pPr>
              <w:spacing w:after="120" w:line="240" w:lineRule="auto"/>
              <w:rPr>
                <w:rFonts w:ascii="宋体"/>
                <w:b/>
                <w:color w:val="0000FF"/>
                <w:sz w:val="24"/>
                <w:highlight w:val="white"/>
              </w:rPr>
            </w:pPr>
            <w:r>
              <w:t>签订合同后30天内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品目1、3、5、6、7：软件和信息技术服务业；品目2、4：工业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2025-07-23 00:00:00</w:t>
      </w:r>
      <w:bookmarkEnd w:id="20"/>
      <w:r>
        <w:rPr>
          <w:rFonts w:ascii="宋体" w:hint="eastAsia"/>
          <w:sz w:val="24"/>
        </w:rPr>
        <w:t>至</w:t>
      </w:r>
      <w:bookmarkStart w:id="21" w:name="公告_signUpLastTime"/>
      <w:r>
        <w:rPr>
          <w:rFonts w:ascii="宋体" w:hint="eastAsia"/>
          <w:sz w:val="24"/>
        </w:rPr>
        <w:t>2025-07-30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2025-08-14 08:45:00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2025-08-14 08:45:00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010-65195929（业务咨询）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于2025-03-28</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中国电子口岸数据中心</w:t>
            </w:r>
            <w:bookmarkEnd w:id="29"/>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本项目预算金额合计总金额人民币18,370,000.00元，其中包1人民币18,370,000.00元。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18,370,000.00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noWrap/>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本项目（品目1：语音话务系统）产品为核心产品。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noWrap/>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noWrap/>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p>
          <w:p>
            <w:pPr>
              <w:tabs>
                <w:tab w:val="left" w:pos="588"/>
              </w:tabs>
              <w:autoSpaceDN w:val="0"/>
              <w:spacing w:line="360" w:lineRule="auto"/>
              <w:ind w:left="1"/>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r>
              <w:rPr>
                <w:rFonts w:ascii="宋体" w:cs="微软雅黑" w:hint="eastAsia"/>
                <w:bCs/>
                <w:sz w:val="24"/>
                <w:lang w:bidi="ar-SA"/>
              </w:rPr>
              <w:cr/>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w:t>
            </w:r>
            <w:r>
              <w:rPr>
                <w:rFonts w:ascii="宋体" w:cs="微软雅黑"/>
                <w:bCs/>
                <w:sz w:val="24"/>
                <w:lang w:bidi="ar-SA"/>
              </w:rPr>
              <w:t>802</w:t>
            </w:r>
            <w:r>
              <w:rPr>
                <w:rFonts w:ascii="宋体" w:cs="微软雅黑" w:hint="eastAsia"/>
                <w:bCs/>
                <w:sz w:val="24"/>
                <w:lang w:bidi="ar-SA"/>
              </w:rPr>
              <w:t>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中国电子口岸数据中心</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w:t>
      </w: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按招标文件要求提供相关证明材料，其中项目需求书中有明确要求的按要求提供证明材料；没有明确要求的，须提供加盖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w:t>
      </w:r>
      <w:bookmarkEnd w:id="38"/>
    </w:p>
    <w:p>
      <w:pPr>
        <w:tabs>
          <w:tab w:val="left" w:pos="588"/>
        </w:tabs>
        <w:autoSpaceDN w:val="0"/>
        <w:spacing w:line="360" w:lineRule="auto"/>
        <w:rPr>
          <w:rFonts w:ascii="宋体" w:hint="eastAsia"/>
          <w:color w:val="0000FF"/>
          <w:sz w:val="24"/>
        </w:rPr>
      </w:pPr>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w:t>
      </w:r>
    </w:p>
    <w:p>
      <w:pPr>
        <w:tabs>
          <w:tab w:val="left" w:pos="588"/>
        </w:tabs>
        <w:autoSpaceDN w:val="0"/>
        <w:spacing w:line="360" w:lineRule="auto"/>
        <w:rPr>
          <w:rFonts w:ascii="宋体" w:hint="eastAsia"/>
          <w:color w:val="0000FF"/>
          <w:sz w:val="24"/>
        </w:rPr>
      </w:pPr>
      <w:r>
        <w:rPr>
          <w:rFonts w:ascii="宋体" w:hint="eastAsia"/>
          <w:color w:val="0000FF"/>
          <w:sz w:val="24"/>
        </w:rPr>
        <w:t>（2）投标人认为应该提供的其他证明材料（如有）。</w:t>
      </w:r>
      <w:bookmarkEnd w:id="39"/>
    </w:p>
    <w:p>
      <w:pPr>
        <w:tabs>
          <w:tab w:val="left" w:pos="588"/>
        </w:tabs>
        <w:autoSpaceDN w:val="0"/>
        <w:spacing w:line="360" w:lineRule="auto"/>
        <w:rPr>
          <w:rFonts w:ascii="宋体" w:hint="eastAsia"/>
          <w:color w:val="0000FF"/>
          <w:sz w:val="24"/>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Start w:id="42" w:name="插入_采购需求书"/>
      <w:bookmarkStart w:id="43" w:name="_GoBack"/>
      <w:bookmarkEnd w:id="41"/>
      <w:bookmarkEnd w:id="43"/>
    </w:p>
    <w:p>
      <w:pPr>
        <w:rPr>
          <w:highlight w:val="white"/>
        </w:rPr>
      </w:pPr>
    </w:p>
    <w:p>
      <w:pPr>
        <w:rPr>
          <w:highlight w:val="white"/>
        </w:rPr>
      </w:pPr>
    </w:p>
    <w:p>
      <w:pPr>
        <w:pStyle w:val="202"/>
        <w:autoSpaceDN w:val="0"/>
        <w:spacing w:line="400" w:lineRule="exact"/>
        <w:ind w:firstLine="560" w:firstLineChars="200"/>
        <w:rPr>
          <w:rFonts w:eastAsia="方正仿宋_GBK" w:cs="Arial"/>
          <w:b/>
          <w:bCs/>
          <w:sz w:val="28"/>
        </w:rPr>
      </w:pPr>
      <w:bookmarkStart w:id="44" w:name="插入_采购需求书_0"/>
      <w:r>
        <w:rPr>
          <w:rFonts w:eastAsia="方正仿宋_GBK" w:cs="Arial" w:hint="eastAsia"/>
          <w:b/>
          <w:bCs/>
          <w:sz w:val="28"/>
          <w:lang w:bidi="ar-SA"/>
        </w:rPr>
        <w:t>重要提示：本项目需求书属内部资料，供应商负有保密义务，未经采购人或采购机构同意，不得向任何与此项目无关的第三方透露。</w:t>
      </w:r>
    </w:p>
    <w:p>
      <w:pPr>
        <w:pStyle w:val="18210"/>
        <w:spacing w:line="400" w:lineRule="exact"/>
        <w:ind w:firstLine="560" w:firstLineChars="200"/>
        <w:rPr>
          <w:rFonts w:eastAsia="方正仿宋_GBK" w:cs="Arial"/>
          <w:b/>
          <w:bCs/>
          <w:sz w:val="28"/>
          <w:szCs w:val="28"/>
        </w:rPr>
      </w:pPr>
      <w:r>
        <w:rPr>
          <w:rFonts w:ascii="Times New Roman" w:eastAsia="方正仿宋_GBK" w:hAnsi="Times New Roman" w:cs="Arial" w:hint="eastAsia"/>
          <w:b/>
          <w:bCs/>
          <w:sz w:val="28"/>
          <w:szCs w:val="28"/>
          <w:lang w:bidi="ar-SA"/>
        </w:rPr>
        <w:t>带“★”的为必须满足内容，否则作为无效投标处理，不予接受；带“</w:t>
      </w:r>
      <w:r>
        <w:rPr>
          <w:rFonts w:ascii="Times New Roman" w:eastAsia="方正仿宋_GBK" w:hAnsi="Times New Roman" w:cs="宋体" w:hint="eastAsia"/>
          <w:sz w:val="28"/>
          <w:szCs w:val="28"/>
          <w:lang w:bidi="ar-SA"/>
        </w:rPr>
        <w:t>▲</w:t>
      </w:r>
      <w:r>
        <w:rPr>
          <w:rFonts w:ascii="Times New Roman" w:eastAsia="方正仿宋_GBK" w:hAnsi="Times New Roman" w:cs="Arial" w:hint="eastAsia"/>
          <w:b/>
          <w:bCs/>
          <w:sz w:val="28"/>
          <w:szCs w:val="28"/>
          <w:lang w:bidi="ar-SA"/>
        </w:rPr>
        <w:t>”的为重要内容，不满足将严重影响评分；其他技术或服务内容不满足的将影响一般评分。</w:t>
      </w:r>
    </w:p>
    <w:p>
      <w:pPr>
        <w:pStyle w:val="18210"/>
        <w:spacing w:line="400" w:lineRule="exact"/>
        <w:ind w:firstLine="420" w:firstLineChars="200"/>
        <w:rPr>
          <w:color w:val="FF0000"/>
          <w:szCs w:val="21"/>
        </w:rPr>
      </w:pPr>
    </w:p>
    <w:p>
      <w:pPr>
        <w:pStyle w:val="18210"/>
        <w:spacing w:line="400" w:lineRule="exact"/>
        <w:ind w:firstLine="560" w:firstLineChars="200"/>
        <w:rPr>
          <w:rFonts w:eastAsia="方正仿宋_GBK" w:cs="微软雅黑"/>
          <w:sz w:val="28"/>
          <w:szCs w:val="28"/>
        </w:rPr>
      </w:pPr>
    </w:p>
    <w:p>
      <w:pPr>
        <w:spacing w:line="400" w:lineRule="exact"/>
        <w:ind w:firstLine="640" w:firstLineChars="200"/>
        <w:outlineLvl w:val="1"/>
        <w:rPr>
          <w:rFonts w:eastAsia="方正黑体_GBK"/>
          <w:b/>
          <w:bCs/>
          <w:sz w:val="32"/>
          <w:szCs w:val="32"/>
        </w:rPr>
      </w:pPr>
      <w:bookmarkStart w:id="45" w:name="_Toc38253618"/>
      <w:r>
        <w:rPr>
          <w:rFonts w:ascii="Times New Roman" w:eastAsia="方正黑体_GBK" w:hAnsi="Times New Roman" w:cs="微软雅黑"/>
          <w:b/>
          <w:bCs/>
          <w:sz w:val="32"/>
          <w:szCs w:val="32"/>
          <w:lang w:bidi="ar-SA"/>
        </w:rPr>
        <w:t>一、</w:t>
      </w:r>
      <w:r>
        <w:rPr>
          <w:rFonts w:ascii="Times New Roman" w:eastAsia="方正黑体_GBK" w:hAnsi="Times New Roman" w:cs="微软雅黑" w:hint="eastAsia"/>
          <w:b/>
          <w:bCs/>
          <w:sz w:val="32"/>
          <w:szCs w:val="32"/>
          <w:lang w:bidi="ar-SA"/>
        </w:rPr>
        <w:t>项目背景介绍</w:t>
      </w:r>
      <w:bookmarkEnd w:id="45"/>
    </w:p>
    <w:p>
      <w:pPr>
        <w:pStyle w:val="Heading2"/>
        <w:tabs>
          <w:tab w:val="left" w:pos="0"/>
        </w:tabs>
        <w:spacing w:line="400" w:lineRule="exact"/>
        <w:ind w:firstLine="560" w:firstLineChars="200"/>
        <w:rPr>
          <w:rFonts w:ascii="Times New Roman" w:eastAsia="方正仿宋_GBK" w:hAnsi="Times New Roman"/>
          <w:sz w:val="28"/>
          <w:szCs w:val="28"/>
        </w:rPr>
      </w:pPr>
      <w:bookmarkStart w:id="46" w:name="_Toc38253619"/>
      <w:r>
        <w:rPr>
          <w:rFonts w:ascii="Times New Roman" w:eastAsia="方正仿宋_GBK" w:hAnsi="Times New Roman"/>
          <w:sz w:val="28"/>
          <w:szCs w:val="28"/>
        </w:rPr>
        <w:t>1.</w:t>
      </w:r>
      <w:r>
        <w:rPr>
          <w:rFonts w:ascii="Times New Roman" w:eastAsia="方正仿宋_GBK" w:hAnsi="Times New Roman" w:hint="eastAsia"/>
          <w:sz w:val="28"/>
          <w:szCs w:val="28"/>
        </w:rPr>
        <w:t>项目基本情况</w:t>
      </w:r>
      <w:bookmarkEnd w:id="46"/>
    </w:p>
    <w:p>
      <w:pPr>
        <w:pStyle w:val="Heading3"/>
        <w:tabs>
          <w:tab w:val="clear" w:pos="0"/>
        </w:tabs>
        <w:spacing w:before="0" w:after="0" w:line="400" w:lineRule="exact"/>
        <w:ind w:firstLine="560" w:firstLineChars="200"/>
        <w:rPr>
          <w:rFonts w:eastAsia="方正仿宋_GBK"/>
          <w:b w:val="0"/>
          <w:sz w:val="28"/>
          <w:szCs w:val="28"/>
        </w:rPr>
      </w:pPr>
      <w:r>
        <w:rPr>
          <w:rFonts w:ascii="Times New Roman" w:eastAsia="方正仿宋_GBK" w:hAnsi="Times New Roman" w:hint="eastAsia"/>
          <w:b w:val="0"/>
          <w:sz w:val="28"/>
          <w:szCs w:val="28"/>
        </w:rPr>
        <w:t>1</w:t>
      </w:r>
      <w:r>
        <w:rPr>
          <w:rFonts w:ascii="Times New Roman" w:eastAsia="方正仿宋_GBK" w:hAnsi="Times New Roman"/>
          <w:b w:val="0"/>
          <w:sz w:val="28"/>
          <w:szCs w:val="28"/>
        </w:rPr>
        <w:t>.1项目名称和预算金额</w:t>
      </w:r>
    </w:p>
    <w:p>
      <w:pPr>
        <w:spacing w:line="400" w:lineRule="exact"/>
        <w:ind w:firstLine="560" w:firstLineChars="200"/>
        <w:outlineLvl w:val="4"/>
        <w:rPr>
          <w:rFonts w:eastAsia="方正仿宋_GBK" w:cs="微软雅黑"/>
          <w:sz w:val="28"/>
          <w:szCs w:val="28"/>
        </w:rPr>
      </w:pPr>
      <w:r>
        <w:rPr>
          <w:rFonts w:ascii="Times New Roman" w:eastAsia="方正仿宋_GBK" w:hAnsi="Times New Roman" w:cs="微软雅黑"/>
          <w:sz w:val="28"/>
          <w:szCs w:val="28"/>
          <w:lang w:bidi="ar-SA"/>
        </w:rPr>
        <w:t>1.1.1项目名称</w:t>
      </w:r>
    </w:p>
    <w:p>
      <w:pPr>
        <w:spacing w:line="400" w:lineRule="exact"/>
        <w:ind w:firstLine="560" w:firstLineChars="200"/>
        <w:rPr>
          <w:rFonts w:eastAsia="方正仿宋_GBK" w:cs="微软雅黑"/>
          <w:sz w:val="28"/>
          <w:szCs w:val="28"/>
        </w:rPr>
      </w:pPr>
      <w:r>
        <w:rPr>
          <w:rFonts w:ascii="Times New Roman" w:eastAsia="方正仿宋_GBK" w:hAnsi="Times New Roman" w:cs="微软雅黑"/>
          <w:sz w:val="28"/>
          <w:szCs w:val="28"/>
          <w:lang w:bidi="ar-SA"/>
        </w:rPr>
        <w:t>中国电子口岸</w:t>
      </w:r>
      <w:r>
        <w:rPr>
          <w:rFonts w:ascii="Times New Roman" w:eastAsia="方正仿宋_GBK" w:hAnsi="Times New Roman" w:cs="微软雅黑" w:hint="eastAsia"/>
          <w:sz w:val="28"/>
          <w:szCs w:val="28"/>
          <w:lang w:bidi="ar-SA"/>
        </w:rPr>
        <w:t>数据中心2025年海关热线系统升级（产品及专用设备）</w:t>
      </w:r>
      <w:r>
        <w:rPr>
          <w:rFonts w:ascii="Times New Roman" w:eastAsia="方正仿宋_GBK" w:hAnsi="Times New Roman" w:cs="微软雅黑"/>
          <w:sz w:val="28"/>
          <w:szCs w:val="28"/>
          <w:lang w:bidi="ar-SA"/>
        </w:rPr>
        <w:t>采购项目</w:t>
      </w:r>
    </w:p>
    <w:p>
      <w:pPr>
        <w:spacing w:line="400" w:lineRule="exact"/>
        <w:ind w:firstLine="560" w:firstLineChars="200"/>
        <w:outlineLvl w:val="4"/>
        <w:rPr>
          <w:rFonts w:eastAsia="方正仿宋_GBK" w:cs="微软雅黑"/>
          <w:sz w:val="28"/>
          <w:szCs w:val="28"/>
        </w:rPr>
      </w:pPr>
      <w:r>
        <w:rPr>
          <w:rFonts w:ascii="Times New Roman" w:eastAsia="方正仿宋_GBK" w:hAnsi="Times New Roman" w:cs="微软雅黑"/>
          <w:sz w:val="28"/>
          <w:szCs w:val="28"/>
          <w:lang w:bidi="ar-SA"/>
        </w:rPr>
        <w:t>1.1.2预算金额</w:t>
      </w:r>
    </w:p>
    <w:p>
      <w:pPr>
        <w:spacing w:line="400" w:lineRule="exact"/>
        <w:ind w:firstLine="560" w:firstLineChars="200"/>
        <w:rPr>
          <w:rFonts w:eastAsia="方正仿宋_GBK" w:cs="微软雅黑"/>
          <w:sz w:val="28"/>
          <w:szCs w:val="28"/>
        </w:rPr>
      </w:pPr>
      <w:r>
        <w:rPr>
          <w:rFonts w:ascii="Times New Roman" w:eastAsia="方正仿宋_GBK" w:hAnsi="Times New Roman" w:cs="微软雅黑"/>
          <w:sz w:val="28"/>
          <w:szCs w:val="28"/>
          <w:lang w:bidi="ar-SA"/>
        </w:rPr>
        <w:t>本项目预算金额合计总金额人民币</w:t>
      </w:r>
      <w:r>
        <w:rPr>
          <w:rFonts w:ascii="Times New Roman" w:eastAsia="方正仿宋_GBK" w:hAnsi="Times New Roman" w:cs="微软雅黑" w:hint="eastAsia"/>
          <w:sz w:val="28"/>
          <w:szCs w:val="28"/>
          <w:lang w:bidi="ar-SA"/>
        </w:rPr>
        <w:t>1837万元。</w:t>
      </w:r>
    </w:p>
    <w:p>
      <w:pPr>
        <w:pStyle w:val="Heading3"/>
        <w:tabs>
          <w:tab w:val="left" w:pos="0"/>
        </w:tabs>
        <w:spacing w:before="0" w:after="0" w:line="400" w:lineRule="exact"/>
        <w:ind w:firstLine="560" w:firstLineChars="200"/>
        <w:rPr>
          <w:rFonts w:eastAsia="方正仿宋_GBK"/>
          <w:b w:val="0"/>
          <w:sz w:val="28"/>
          <w:szCs w:val="28"/>
        </w:rPr>
      </w:pPr>
      <w:r>
        <w:rPr>
          <w:rFonts w:ascii="Times New Roman" w:eastAsia="方正仿宋_GBK" w:hAnsi="Times New Roman" w:hint="eastAsia"/>
          <w:b w:val="0"/>
          <w:sz w:val="28"/>
          <w:szCs w:val="28"/>
        </w:rPr>
        <w:t>1.2采购项目的功能和目标</w:t>
      </w:r>
    </w:p>
    <w:p>
      <w:pPr>
        <w:pStyle w:val="a26"/>
        <w:spacing w:line="400" w:lineRule="exact"/>
        <w:rPr>
          <w:rFonts w:ascii="Times New Roman" w:eastAsia="方正仿宋_GBK" w:hAnsi="Times New Roman" w:cs="微软雅黑"/>
          <w:color w:val="auto"/>
        </w:rPr>
      </w:pPr>
      <w:r>
        <w:rPr>
          <w:rFonts w:ascii="Times New Roman" w:eastAsia="方正仿宋_GBK" w:hAnsi="Times New Roman" w:cs="微软雅黑" w:hint="eastAsia"/>
          <w:color w:val="auto"/>
          <w:lang w:bidi="ar-SA"/>
        </w:rPr>
        <w:t>围绕话务系统、热线综合服务平台、多渠道自助服务等功能模块，建设具备智能感知、智能交互、智能支撑特征的热线综合服务平台，实现12360热线业务运行体系“知识经验全面数字化、作业管理全面智能化”，进一步拓展服务领域、提升服务层次、延伸服务触角，不断提升人民群众的获得感。</w:t>
      </w:r>
    </w:p>
    <w:p>
      <w:pPr>
        <w:pStyle w:val="Heading3"/>
        <w:tabs>
          <w:tab w:val="clear" w:pos="0"/>
        </w:tabs>
        <w:spacing w:before="0" w:after="0" w:line="400" w:lineRule="exact"/>
        <w:ind w:firstLine="560" w:firstLineChars="200"/>
        <w:rPr>
          <w:rFonts w:eastAsia="方正仿宋_GBK"/>
          <w:b w:val="0"/>
          <w:sz w:val="28"/>
          <w:szCs w:val="28"/>
        </w:rPr>
      </w:pPr>
      <w:r>
        <w:rPr>
          <w:rFonts w:ascii="Times New Roman" w:eastAsia="方正仿宋_GBK" w:hAnsi="Times New Roman" w:hint="eastAsia"/>
          <w:b w:val="0"/>
          <w:sz w:val="28"/>
          <w:szCs w:val="28"/>
        </w:rPr>
        <w:t>1.3采购项目需实现的政府采购政策目标</w:t>
      </w:r>
    </w:p>
    <w:p>
      <w:pPr>
        <w:pStyle w:val="194810"/>
        <w:spacing w:line="400" w:lineRule="exact"/>
        <w:ind w:firstLine="560" w:firstLineChars="200"/>
        <w:rPr>
          <w:rFonts w:eastAsia="方正仿宋_GBK" w:cs="微软雅黑"/>
          <w:bCs/>
          <w:sz w:val="28"/>
          <w:szCs w:val="28"/>
        </w:rPr>
      </w:pPr>
      <w:r>
        <w:rPr>
          <w:rFonts w:eastAsia="方正仿宋_GBK" w:cs="微软雅黑" w:hint="eastAsia"/>
          <w:bCs/>
          <w:sz w:val="28"/>
          <w:szCs w:val="28"/>
          <w:lang w:bidi="ar-SA"/>
        </w:rPr>
        <w:t>一是提升国门安全管控能力。</w:t>
      </w:r>
      <w:r>
        <w:rPr>
          <w:rFonts w:eastAsia="方正仿宋_GBK" w:cs="微软雅黑"/>
          <w:bCs/>
          <w:sz w:val="28"/>
          <w:szCs w:val="28"/>
          <w:lang w:bidi="ar-SA"/>
        </w:rPr>
        <w:t>二是提升监管效能和优化服务水平</w:t>
      </w:r>
      <w:r>
        <w:rPr>
          <w:rFonts w:eastAsia="方正仿宋_GBK" w:cs="微软雅黑" w:hint="eastAsia"/>
          <w:bCs/>
          <w:sz w:val="28"/>
          <w:szCs w:val="28"/>
          <w:lang w:bidi="ar-SA"/>
        </w:rPr>
        <w:t>。三是提升跨境贸易便利化和口岸营商环境。四是提升数字化支撑能力。</w:t>
      </w:r>
    </w:p>
    <w:p>
      <w:pPr>
        <w:pStyle w:val="Heading3"/>
        <w:tabs>
          <w:tab w:val="clear" w:pos="0"/>
        </w:tabs>
        <w:spacing w:before="0" w:after="0" w:line="400" w:lineRule="exact"/>
        <w:ind w:firstLine="560" w:firstLineChars="200"/>
        <w:rPr>
          <w:rFonts w:eastAsia="方正仿宋_GBK"/>
          <w:b w:val="0"/>
          <w:sz w:val="28"/>
          <w:szCs w:val="28"/>
        </w:rPr>
      </w:pPr>
      <w:r>
        <w:rPr>
          <w:rFonts w:ascii="Times New Roman" w:eastAsia="方正仿宋_GBK" w:hAnsi="Times New Roman" w:hint="eastAsia"/>
          <w:b w:val="0"/>
          <w:sz w:val="28"/>
          <w:szCs w:val="28"/>
        </w:rPr>
        <w:t>1.4预算绩效目标</w:t>
      </w:r>
    </w:p>
    <w:p>
      <w:pPr>
        <w:pStyle w:val="NormalWeb"/>
        <w:spacing w:line="400" w:lineRule="exact"/>
        <w:ind w:firstLine="560" w:firstLineChars="200"/>
        <w:rPr>
          <w:rFonts w:ascii="Times New Roman" w:eastAsia="方正仿宋_GBK" w:hAnsi="Times New Roman" w:cs="微软雅黑"/>
          <w:bCs/>
          <w:sz w:val="28"/>
          <w:szCs w:val="28"/>
        </w:rPr>
      </w:pPr>
      <w:r>
        <w:rPr>
          <w:rFonts w:ascii="Times New Roman" w:eastAsia="方正仿宋_GBK" w:hAnsi="Times New Roman" w:cs="微软雅黑" w:hint="eastAsia"/>
          <w:bCs/>
          <w:sz w:val="28"/>
          <w:szCs w:val="28"/>
          <w:lang w:bidi="ar-SA"/>
        </w:rPr>
        <w:t>热线平台稳定运行,受理渠道全面拓宽，服务质效显著提高，决策支撑效能有力提升，进一步提高企业群众满意度和获得感。</w:t>
      </w:r>
    </w:p>
    <w:p>
      <w:pPr>
        <w:pStyle w:val="Heading2"/>
        <w:tabs>
          <w:tab w:val="left" w:pos="0"/>
        </w:tabs>
        <w:spacing w:line="400" w:lineRule="exact"/>
        <w:ind w:firstLine="560" w:firstLineChars="200"/>
        <w:rPr>
          <w:rFonts w:ascii="Times New Roman" w:eastAsia="方正仿宋_GBK" w:hAnsi="Times New Roman"/>
          <w:sz w:val="28"/>
          <w:szCs w:val="28"/>
        </w:rPr>
      </w:pPr>
      <w:bookmarkStart w:id="47" w:name="_Toc38253620"/>
      <w:r>
        <w:rPr>
          <w:rFonts w:ascii="Times New Roman" w:eastAsia="方正仿宋_GBK" w:hAnsi="Times New Roman"/>
          <w:sz w:val="28"/>
          <w:szCs w:val="28"/>
        </w:rPr>
        <w:t>2.</w:t>
      </w:r>
      <w:r>
        <w:rPr>
          <w:rFonts w:ascii="Times New Roman" w:eastAsia="方正仿宋_GBK" w:hAnsi="Times New Roman" w:hint="eastAsia"/>
          <w:sz w:val="28"/>
          <w:szCs w:val="28"/>
        </w:rPr>
        <w:t>需求调查情况</w:t>
      </w:r>
      <w:bookmarkEnd w:id="47"/>
    </w:p>
    <w:p>
      <w:pPr>
        <w:autoSpaceDN w:val="0"/>
        <w:spacing w:line="400" w:lineRule="exact"/>
        <w:ind w:firstLine="560" w:firstLineChars="200"/>
        <w:rPr>
          <w:rFonts w:eastAsia="方正仿宋_GBK" w:cs="微软雅黑"/>
          <w:b/>
          <w:bCs/>
          <w:sz w:val="28"/>
          <w:szCs w:val="28"/>
        </w:rPr>
      </w:pPr>
      <w:r>
        <w:rPr>
          <w:rFonts w:ascii="Times New Roman" w:eastAsia="方正仿宋_GBK" w:hAnsi="Times New Roman" w:cs="微软雅黑" w:hint="eastAsia"/>
          <w:bCs/>
          <w:sz w:val="28"/>
          <w:szCs w:val="28"/>
          <w:lang w:bidi="ar-SA"/>
        </w:rPr>
        <w:t xml:space="preserve">是否进行需求调查：是 </w:t>
      </w:r>
    </w:p>
    <w:p>
      <w:pPr>
        <w:pStyle w:val="Heading2"/>
        <w:tabs>
          <w:tab w:val="left" w:pos="0"/>
        </w:tabs>
        <w:spacing w:line="400" w:lineRule="exact"/>
        <w:ind w:firstLine="560" w:firstLineChars="200"/>
        <w:rPr>
          <w:rFonts w:ascii="Times New Roman" w:eastAsia="方正仿宋_GBK" w:hAnsi="Times New Roman"/>
          <w:sz w:val="28"/>
          <w:szCs w:val="28"/>
        </w:rPr>
      </w:pPr>
      <w:bookmarkStart w:id="48" w:name="_Toc38253621"/>
      <w:r>
        <w:rPr>
          <w:rFonts w:ascii="Times New Roman" w:eastAsia="方正仿宋_GBK" w:hAnsi="Times New Roman" w:hint="eastAsia"/>
          <w:sz w:val="28"/>
          <w:szCs w:val="28"/>
        </w:rPr>
        <w:t>3</w:t>
      </w:r>
      <w:r>
        <w:rPr>
          <w:rFonts w:ascii="Times New Roman" w:eastAsia="方正仿宋_GBK" w:hAnsi="Times New Roman"/>
          <w:sz w:val="28"/>
          <w:szCs w:val="28"/>
        </w:rPr>
        <w:t>.</w:t>
      </w:r>
      <w:r>
        <w:rPr>
          <w:rFonts w:ascii="Times New Roman" w:eastAsia="方正仿宋_GBK" w:hAnsi="Times New Roman" w:hint="eastAsia"/>
          <w:sz w:val="28"/>
          <w:szCs w:val="28"/>
        </w:rPr>
        <w:t>公开征求意见情况</w:t>
      </w:r>
      <w:bookmarkEnd w:id="48"/>
    </w:p>
    <w:p>
      <w:pPr>
        <w:pStyle w:val="194810"/>
        <w:spacing w:line="400" w:lineRule="exact"/>
        <w:ind w:firstLine="560" w:firstLineChars="200"/>
        <w:rPr>
          <w:rFonts w:eastAsia="方正仿宋_GBK" w:cs="微软雅黑"/>
          <w:bCs/>
          <w:sz w:val="28"/>
          <w:szCs w:val="28"/>
        </w:rPr>
      </w:pPr>
      <w:r>
        <w:rPr>
          <w:rFonts w:eastAsia="方正仿宋_GBK" w:cs="微软雅黑" w:hint="eastAsia"/>
          <w:bCs/>
          <w:sz w:val="28"/>
          <w:szCs w:val="28"/>
          <w:lang w:bidi="ar-SA"/>
        </w:rPr>
        <w:t>是否公开征求意见：否</w:t>
      </w:r>
    </w:p>
    <w:p>
      <w:pPr>
        <w:pStyle w:val="Heading2"/>
        <w:tabs>
          <w:tab w:val="left" w:pos="0"/>
        </w:tabs>
        <w:spacing w:line="400" w:lineRule="exact"/>
        <w:ind w:firstLine="560" w:firstLineChars="200"/>
        <w:rPr>
          <w:rFonts w:ascii="Times New Roman" w:eastAsia="方正仿宋_GBK" w:hAnsi="Times New Roman"/>
          <w:sz w:val="28"/>
          <w:szCs w:val="28"/>
        </w:rPr>
      </w:pPr>
      <w:bookmarkStart w:id="49" w:name="_Toc38253622"/>
      <w:r>
        <w:rPr>
          <w:rFonts w:ascii="Times New Roman" w:eastAsia="方正仿宋_GBK" w:hAnsi="Times New Roman" w:hint="eastAsia"/>
          <w:sz w:val="28"/>
          <w:szCs w:val="28"/>
        </w:rPr>
        <w:t>4.需求审查情况</w:t>
      </w:r>
      <w:bookmarkEnd w:id="49"/>
    </w:p>
    <w:p>
      <w:pPr>
        <w:pStyle w:val="194810"/>
        <w:spacing w:line="400" w:lineRule="exact"/>
        <w:ind w:firstLine="560" w:firstLineChars="200"/>
        <w:rPr>
          <w:rFonts w:eastAsia="方正仿宋_GBK" w:cs="微软雅黑"/>
          <w:bCs/>
          <w:sz w:val="28"/>
          <w:szCs w:val="28"/>
        </w:rPr>
      </w:pPr>
      <w:r>
        <w:rPr>
          <w:rFonts w:eastAsia="方正仿宋_GBK" w:cs="微软雅黑" w:hint="eastAsia"/>
          <w:bCs/>
          <w:sz w:val="28"/>
          <w:szCs w:val="28"/>
          <w:lang w:bidi="ar-SA"/>
        </w:rPr>
        <w:t xml:space="preserve">是否对采购需求进行审查：是 </w:t>
      </w:r>
    </w:p>
    <w:p>
      <w:pPr>
        <w:pStyle w:val="194810"/>
        <w:spacing w:line="400" w:lineRule="exact"/>
        <w:ind w:firstLine="560" w:firstLineChars="200"/>
        <w:rPr>
          <w:rFonts w:eastAsia="方正仿宋_GBK" w:cs="微软雅黑"/>
          <w:bCs/>
          <w:sz w:val="28"/>
          <w:szCs w:val="28"/>
        </w:rPr>
      </w:pPr>
    </w:p>
    <w:p>
      <w:pPr>
        <w:spacing w:line="400" w:lineRule="exact"/>
        <w:ind w:firstLine="640" w:firstLineChars="200"/>
        <w:outlineLvl w:val="1"/>
        <w:rPr>
          <w:rFonts w:eastAsia="方正黑体_GBK" w:cs="微软雅黑"/>
          <w:b/>
          <w:bCs/>
          <w:sz w:val="32"/>
          <w:szCs w:val="32"/>
        </w:rPr>
      </w:pPr>
      <w:bookmarkStart w:id="50" w:name="_Toc38253623"/>
      <w:r>
        <w:rPr>
          <w:rFonts w:ascii="Times New Roman" w:eastAsia="方正黑体_GBK" w:hAnsi="Times New Roman" w:cs="微软雅黑" w:hint="eastAsia"/>
          <w:b/>
          <w:bCs/>
          <w:sz w:val="32"/>
          <w:szCs w:val="32"/>
          <w:lang w:bidi="ar-SA"/>
        </w:rPr>
        <w:t>二、核心产品</w:t>
      </w:r>
      <w:bookmarkEnd w:id="50"/>
    </w:p>
    <w:p>
      <w:pPr>
        <w:spacing w:line="400" w:lineRule="exact"/>
        <w:ind w:firstLine="560" w:firstLineChars="200"/>
        <w:jc w:val="left"/>
        <w:rPr>
          <w:rFonts w:eastAsia="方正黑体_GBK" w:cs="微软雅黑"/>
          <w:b/>
          <w:bCs/>
          <w:sz w:val="32"/>
          <w:szCs w:val="32"/>
        </w:rPr>
      </w:pPr>
      <w:r>
        <w:rPr>
          <w:rFonts w:ascii="Times New Roman" w:eastAsia="方正仿宋_GBK" w:hAnsi="Times New Roman" w:cs="微软雅黑"/>
          <w:bCs/>
          <w:snapToGrid w:val="0"/>
          <w:sz w:val="28"/>
          <w:szCs w:val="28"/>
          <w:lang w:bidi="ar-SA"/>
        </w:rPr>
        <mc:AlternateContent>
          <mc:Choice Requires="wps">
            <w:drawing>
              <wp:anchor distT="0" distB="0" distL="85725" distR="85725" simplePos="0" relativeHeight="251658240" behindDoc="0" locked="0" layoutInCell="1" allowOverlap="1">
                <wp:simplePos x="0" y="0"/>
                <wp:positionH relativeFrom="column">
                  <wp:posOffset>1514475</wp:posOffset>
                </wp:positionH>
                <wp:positionV relativeFrom="paragraph">
                  <wp:posOffset>177799</wp:posOffset>
                </wp:positionV>
                <wp:extent cx="9525" cy="952"/>
                <wp:effectExtent l="0" t="0" r="0" b="0"/>
                <wp:wrapNone/>
                <wp:docPr id="4" name="曲线 5" descr="时间:2025.05.22 16:09:19&#10;作者:杨柳&#10;"/>
                <wp:cNvGraphicFramePr>
                  <a:graphicFrameLocks xmlns:a="http://schemas.openxmlformats.org/drawingml/2006/main" noChangeAspect="1"/>
                </wp:cNvGraphicFramePr>
                <a:graphic xmlns:a="http://schemas.openxmlformats.org/drawingml/2006/main">
                  <a:graphicData uri="http://schemas.microsoft.com/office/word/2010/wordprocessingShape">
                    <wps:wsp xmlns:wps="http://schemas.microsoft.com/office/word/2010/wordprocessingShape">
                      <wps:cNvSpPr/>
                      <wps:spPr>
                        <a:xfrm>
                          <a:off x="0" y="0"/>
                          <a:ext cx="9525" cy="952"/>
                        </a:xfrm>
                        <a:custGeom>
                          <a:avLst/>
                          <a:gdLst>
                            <a:gd name="T1" fmla="*/ 0 w 21600"/>
                            <a:gd name="T2" fmla="*/ 0 h 21600"/>
                            <a:gd name="T3" fmla="*/ 21600 w 21600"/>
                            <a:gd name="T4" fmla="*/ 21595 h 21600"/>
                          </a:gdLst>
                          <a:rect l="T1" t="T2" r="T3" b="T4"/>
                          <a:pathLst>
                            <a:path fill="norm" h="21600" w="21600" stroke="1">
                              <a:moveTo>
                                <a:pt x="21599" y="0"/>
                              </a:moveTo>
                              <a:lnTo>
                                <a:pt x="0" y="0"/>
                              </a:lnTo>
                            </a:path>
                          </a:pathLst>
                        </a:custGeom>
                        <a:noFill/>
                        <a:ln w="12700">
                          <a:solidFill>
                            <a:srgbClr val="000000"/>
                          </a:solidFill>
                          <a:prstDash val="solid"/>
                          <a:miter lim="0"/>
                        </a:ln>
                      </wps:spPr>
                      <wps:bodyPr vert="horz" wrap="square" lIns="91440" tIns="45720" rIns="91440" bIns="45720" anchor="t" anchorCtr="0" upright="1"/>
                    </wps:wsp>
                  </a:graphicData>
                </a:graphic>
              </wp:anchor>
            </w:drawing>
          </mc:Choice>
          <mc:Fallback>
            <w:pict>
              <v:shape id="曲线 5 5" o:spid="_x0000_s1025" alt="时间:2025.05.22 16:09:19&#10;作者:杨柳&#10;" style="width:0.75pt;height:0.07pt;margin-top:14pt;margin-left:119.25pt;mso-wrap-distance-left:6.75pt;mso-wrap-distance-right:6.75pt;position:absolute;z-index:251659264" coordsize="15,1" path="m14,l,e" filled="f" stroked="t" strokecolor="black" strokeweight="1pt">
                <o:lock v:ext="edit" aspectratio="t"/>
              </v:shape>
            </w:pict>
          </mc:Fallback>
        </mc:AlternateContent>
      </w:r>
      <w:r>
        <w:rPr>
          <w:rFonts w:ascii="Times New Roman" w:eastAsia="方正仿宋_GBK" w:hAnsi="Times New Roman" w:cs="微软雅黑"/>
          <w:bCs/>
          <w:snapToGrid w:val="0"/>
          <w:sz w:val="28"/>
          <w:szCs w:val="28"/>
          <w:lang w:bidi="ar-SA"/>
        </w:rPr>
        <w:t>品目1语音话务系统</w:t>
      </w:r>
    </w:p>
    <w:p>
      <w:pPr>
        <w:pStyle w:val="Heading1"/>
        <w:tabs>
          <w:tab w:val="left" w:pos="0"/>
        </w:tabs>
        <w:spacing w:line="400" w:lineRule="exact"/>
        <w:ind w:firstLine="640" w:firstLineChars="200"/>
        <w:jc w:val="left"/>
        <w:rPr>
          <w:rFonts w:eastAsia="方正黑体_GBK"/>
        </w:rPr>
      </w:pPr>
      <w:bookmarkStart w:id="51" w:name="_Toc38253624"/>
      <w:r>
        <w:rPr>
          <w:rFonts w:ascii="Times New Roman" w:eastAsia="方正黑体_GBK" w:hAnsi="Times New Roman" w:cs="微软雅黑" w:hint="eastAsia"/>
          <w:sz w:val="32"/>
          <w:szCs w:val="32"/>
          <w:lang w:bidi="ar-SA"/>
        </w:rPr>
        <w:t>三、采购需求</w:t>
      </w:r>
      <w:bookmarkEnd w:id="51"/>
    </w:p>
    <w:p>
      <w:pPr>
        <w:pStyle w:val="28110"/>
        <w:spacing w:line="400" w:lineRule="exact"/>
        <w:ind w:firstLine="420"/>
        <w:jc w:val="left"/>
        <w:rPr>
          <w:rFonts w:eastAsia="方正仿宋_GBK"/>
          <w:sz w:val="28"/>
          <w:szCs w:val="28"/>
        </w:rPr>
      </w:pPr>
      <w:r>
        <w:rPr>
          <w:rFonts w:eastAsia="方正仿宋_GBK"/>
          <w:sz w:val="28"/>
          <w:szCs w:val="28"/>
        </w:rPr>
        <w:t>注：以下主要技术参数及主要配置中，凡是需要投标人提供承诺函的，均须加盖投标人公章；证明材料要求是</w:t>
      </w:r>
      <w:r>
        <w:rPr>
          <w:rFonts w:ascii="方正仿宋_GBK" w:eastAsia="方正仿宋_GBK" w:hint="eastAsia"/>
          <w:sz w:val="28"/>
          <w:szCs w:val="28"/>
        </w:rPr>
        <w:t>“产品文档截图”</w:t>
      </w:r>
      <w:r>
        <w:rPr>
          <w:rFonts w:eastAsia="方正仿宋_GBK"/>
          <w:sz w:val="28"/>
          <w:szCs w:val="28"/>
        </w:rPr>
        <w:t>的，仅限于以下材料之一：1）产品白皮书截图；2）官网截图及链接；3）产品界面截图；4）第三方机构证书或报告；5）合同案例。投标人按要求提供材料并盖章的，视为按要求提供，否则评审委员会将不予认可并不予相应分数。</w:t>
      </w:r>
    </w:p>
    <w:p>
      <w:pPr>
        <w:spacing w:line="400" w:lineRule="exact"/>
        <w:ind w:firstLine="560" w:firstLineChars="200"/>
        <w:rPr>
          <w:rFonts w:eastAsia="方正仿宋_GBK" w:cs="微软雅黑"/>
          <w:bCs/>
          <w:sz w:val="28"/>
          <w:szCs w:val="28"/>
        </w:rPr>
      </w:pPr>
      <w:r>
        <w:rPr>
          <w:rFonts w:ascii="Times New Roman" w:eastAsia="方正仿宋_GBK" w:hAnsi="Times New Roman" w:cs="微软雅黑" w:hint="eastAsia"/>
          <w:bCs/>
          <w:sz w:val="28"/>
          <w:szCs w:val="28"/>
          <w:lang w:bidi="ar-SA"/>
        </w:rPr>
        <w:t>★投标人所提供的产品在单个品目下须为同一品牌，投标人提供承诺函并加盖投标人公章。</w:t>
      </w:r>
    </w:p>
    <w:p>
      <w:pPr>
        <w:spacing w:line="400" w:lineRule="exact"/>
        <w:ind w:firstLine="560" w:firstLineChars="200"/>
        <w:rPr>
          <w:rFonts w:eastAsia="方正仿宋_GBK"/>
          <w:sz w:val="28"/>
          <w:szCs w:val="28"/>
        </w:rPr>
      </w:pPr>
      <w:r>
        <w:rPr>
          <w:rFonts w:ascii="Times New Roman" w:eastAsia="方正仿宋_GBK" w:hAnsi="Times New Roman" w:cs="微软雅黑" w:hint="eastAsia"/>
          <w:bCs/>
          <w:sz w:val="28"/>
          <w:szCs w:val="28"/>
          <w:lang w:bidi="ar-SA"/>
        </w:rPr>
        <w:t>★</w:t>
      </w:r>
      <w:r>
        <w:rPr>
          <w:rFonts w:ascii="Times New Roman" w:eastAsia="方正仿宋_GBK" w:hAnsi="Times New Roman" w:cs="微软雅黑"/>
          <w:bCs/>
          <w:sz w:val="28"/>
          <w:szCs w:val="28"/>
          <w:lang w:bidi="ar-SA"/>
        </w:rPr>
        <w:t>本项目</w:t>
      </w:r>
      <w:r>
        <w:rPr>
          <w:rFonts w:ascii="Times New Roman" w:eastAsia="方正仿宋_GBK" w:hAnsi="Times New Roman" w:cs="Times New Roman"/>
          <w:sz w:val="28"/>
          <w:szCs w:val="28"/>
          <w:lang w:bidi="ar-SA"/>
        </w:rPr>
        <w:t>安装环境：本</w:t>
      </w:r>
      <w:r>
        <w:rPr>
          <w:rFonts w:ascii="Times New Roman" w:eastAsia="方正仿宋_GBK" w:hAnsi="Times New Roman" w:cs="Times New Roman" w:hint="eastAsia"/>
          <w:sz w:val="28"/>
          <w:szCs w:val="28"/>
          <w:lang w:bidi="ar-SA"/>
        </w:rPr>
        <w:t>项目品目1、3、5、6、7</w:t>
      </w:r>
      <w:r>
        <w:rPr>
          <w:rFonts w:ascii="Times New Roman" w:eastAsia="方正仿宋_GBK" w:hAnsi="Times New Roman" w:cs="Times New Roman"/>
          <w:sz w:val="28"/>
          <w:szCs w:val="28"/>
          <w:lang w:bidi="ar-SA"/>
        </w:rPr>
        <w:t>能够完全兼容海关现有环境。</w:t>
      </w:r>
      <w:r>
        <w:rPr>
          <w:rFonts w:ascii="Times New Roman" w:eastAsia="方正仿宋_GBK" w:hAnsi="Times New Roman" w:cs="微软雅黑" w:hint="eastAsia"/>
          <w:bCs/>
          <w:sz w:val="28"/>
          <w:szCs w:val="28"/>
          <w:lang w:bidi="ar-SA"/>
        </w:rPr>
        <w:t>本项目</w:t>
      </w:r>
      <w:r>
        <w:rPr>
          <w:rFonts w:ascii="Times New Roman" w:eastAsia="方正仿宋_GBK" w:hAnsi="Times New Roman" w:cs="微软雅黑"/>
          <w:bCs/>
          <w:sz w:val="28"/>
          <w:szCs w:val="28"/>
          <w:lang w:bidi="ar-SA"/>
        </w:rPr>
        <w:t>需</w:t>
      </w:r>
      <w:r>
        <w:rPr>
          <w:rFonts w:ascii="Times New Roman" w:eastAsia="方正仿宋_GBK" w:hAnsi="Times New Roman" w:cs="微软雅黑" w:hint="eastAsia"/>
          <w:bCs/>
          <w:sz w:val="28"/>
          <w:szCs w:val="28"/>
          <w:lang w:bidi="ar-SA"/>
        </w:rPr>
        <w:t>采用云平台部署</w:t>
      </w:r>
      <w:r>
        <w:rPr>
          <w:rFonts w:ascii="Times New Roman" w:eastAsia="方正仿宋_GBK" w:hAnsi="Times New Roman" w:cs="微软雅黑"/>
          <w:bCs/>
          <w:sz w:val="28"/>
          <w:szCs w:val="28"/>
          <w:lang w:bidi="ar-SA"/>
        </w:rPr>
        <w:t>，</w:t>
      </w:r>
      <w:r>
        <w:rPr>
          <w:rFonts w:ascii="Times New Roman" w:eastAsia="方正仿宋_GBK" w:hAnsi="Times New Roman" w:cs="Times New Roman"/>
          <w:sz w:val="28"/>
          <w:szCs w:val="28"/>
          <w:lang w:bidi="ar-SA"/>
        </w:rPr>
        <w:t>现有环境：</w:t>
      </w:r>
      <w:r>
        <w:rPr>
          <w:rFonts w:ascii="Times New Roman" w:eastAsia="方正仿宋_GBK" w:hAnsi="Times New Roman" w:cs="微软雅黑"/>
          <w:bCs/>
          <w:sz w:val="28"/>
          <w:szCs w:val="28"/>
          <w:lang w:bidi="ar-SA"/>
        </w:rPr>
        <w:t>海关现有</w:t>
      </w:r>
      <w:r>
        <w:rPr>
          <w:rFonts w:ascii="Times New Roman" w:eastAsia="方正仿宋_GBK" w:hAnsi="Times New Roman" w:cs="Times New Roman"/>
          <w:sz w:val="28"/>
          <w:szCs w:val="28"/>
          <w:lang w:bidi="ar-SA"/>
        </w:rPr>
        <w:t>云平台：</w:t>
      </w:r>
      <w:r>
        <w:rPr>
          <w:rFonts w:ascii="Times New Roman" w:eastAsia="方正仿宋_GBK" w:hAnsi="Times New Roman" w:cs="微软雅黑"/>
          <w:bCs/>
          <w:sz w:val="28"/>
          <w:szCs w:val="28"/>
          <w:lang w:bidi="ar-SA"/>
        </w:rPr>
        <w:t>海关</w:t>
      </w:r>
      <w:r>
        <w:rPr>
          <w:rFonts w:ascii="Times New Roman" w:eastAsia="方正仿宋_GBK" w:hAnsi="Times New Roman" w:cs="微软雅黑" w:hint="eastAsia"/>
          <w:bCs/>
          <w:sz w:val="28"/>
          <w:szCs w:val="28"/>
          <w:lang w:bidi="ar-SA"/>
        </w:rPr>
        <w:t>基础设施云平台（HCS）8.1</w:t>
      </w:r>
      <w:r>
        <w:rPr>
          <w:rFonts w:ascii="Times New Roman" w:eastAsia="方正仿宋_GBK" w:hAnsi="Times New Roman" w:cs="微软雅黑"/>
          <w:bCs/>
          <w:sz w:val="28"/>
          <w:szCs w:val="28"/>
          <w:lang w:bidi="ar-SA"/>
        </w:rPr>
        <w:t>；</w:t>
      </w:r>
      <w:r>
        <w:rPr>
          <w:rFonts w:ascii="Times New Roman" w:eastAsia="方正仿宋_GBK" w:hAnsi="Times New Roman" w:cs="Times New Roman"/>
          <w:sz w:val="28"/>
          <w:szCs w:val="28"/>
          <w:lang w:bidi="ar-SA"/>
        </w:rPr>
        <w:t>CPU：ARM架构；操作系统：麒麟v10及以上；数据库：达梦8.0及以上或人大金仓V8R6及以上；浏览器：奇安信；投标人</w:t>
      </w:r>
      <w:r>
        <w:rPr>
          <w:rFonts w:ascii="Times New Roman" w:eastAsia="方正仿宋_GBK" w:hAnsi="Times New Roman" w:cs="微软雅黑" w:hint="eastAsia"/>
          <w:bCs/>
          <w:sz w:val="28"/>
          <w:szCs w:val="28"/>
          <w:lang w:bidi="ar-SA"/>
        </w:rPr>
        <w:t>提供承诺函并加盖投标人公章。</w:t>
      </w:r>
    </w:p>
    <w:p>
      <w:pPr>
        <w:pStyle w:val="183"/>
        <w:spacing w:line="400" w:lineRule="exact"/>
        <w:ind w:firstLine="560" w:firstLineChars="200"/>
        <w:rPr>
          <w:rFonts w:eastAsia="方正仿宋_GBK" w:cs="微软雅黑"/>
          <w:bCs/>
          <w:sz w:val="28"/>
        </w:rPr>
      </w:pPr>
      <w:r>
        <w:rPr>
          <w:rFonts w:ascii="Times New Roman" w:eastAsia="方正仿宋_GBK" w:hAnsi="Times New Roman" w:cs="微软雅黑" w:hint="eastAsia"/>
          <w:bCs/>
          <w:sz w:val="28"/>
          <w:szCs w:val="28"/>
          <w:lang w:bidi="ar-SA"/>
        </w:rPr>
        <w:t>★</w:t>
      </w:r>
      <w:r>
        <w:rPr>
          <w:rFonts w:ascii="Times New Roman" w:eastAsia="方正仿宋_GBK" w:hAnsi="Times New Roman" w:cs="微软雅黑"/>
          <w:bCs/>
          <w:sz w:val="28"/>
          <w:szCs w:val="28"/>
          <w:lang w:bidi="ar-SA"/>
        </w:rPr>
        <w:t>投标人及本项目所投产品</w:t>
      </w:r>
      <w:r>
        <w:rPr>
          <w:rFonts w:ascii="Times New Roman" w:eastAsia="方正仿宋_GBK" w:hAnsi="Times New Roman" w:cs="微软雅黑" w:hint="eastAsia"/>
          <w:bCs/>
          <w:sz w:val="28"/>
          <w:szCs w:val="28"/>
          <w:lang w:bidi="ar-SA"/>
        </w:rPr>
        <w:t>近三年未发生重大网络安全事件，包括但不限于泄漏大量用户信息、造成重大社会影响、核心系统被控制、泄漏重要商业信息等情况。投标人提供承诺函并加盖投标人公章。</w:t>
      </w:r>
    </w:p>
    <w:p>
      <w:pPr>
        <w:pStyle w:val="26510"/>
        <w:spacing w:line="400" w:lineRule="exact"/>
        <w:ind w:firstLine="560" w:firstLineChars="200"/>
        <w:rPr>
          <w:rFonts w:ascii="Times New Roman" w:eastAsia="方正仿宋_GBK" w:hAnsi="Times New Roman" w:cs="微软雅黑"/>
          <w:bCs/>
          <w:sz w:val="28"/>
          <w:szCs w:val="28"/>
        </w:rPr>
      </w:pPr>
      <w:r>
        <w:rPr>
          <w:rFonts w:ascii="Times New Roman" w:eastAsia="方正仿宋_GBK" w:hAnsi="Times New Roman" w:cs="微软雅黑" w:hint="eastAsia"/>
          <w:bCs/>
          <w:sz w:val="28"/>
          <w:szCs w:val="28"/>
          <w:lang w:bidi="ar-SA"/>
        </w:rPr>
        <w:t>★</w:t>
      </w:r>
      <w:r>
        <w:rPr>
          <w:rFonts w:ascii="Times New Roman" w:eastAsia="方正仿宋_GBK" w:hAnsi="Times New Roman" w:cs="微软雅黑"/>
          <w:bCs/>
          <w:sz w:val="28"/>
          <w:szCs w:val="28"/>
          <w:lang w:bidi="ar-SA"/>
        </w:rPr>
        <w:t>本项目所有品目所投产品的证明材料须与所投品牌型号严格对应，不一致的将导致投标无效，</w:t>
      </w:r>
      <w:r>
        <w:rPr>
          <w:rFonts w:ascii="Times New Roman" w:eastAsia="方正仿宋_GBK" w:hAnsi="Times New Roman" w:cs="微软雅黑" w:hint="eastAsia"/>
          <w:bCs/>
          <w:sz w:val="28"/>
          <w:szCs w:val="28"/>
          <w:lang w:bidi="ar-SA"/>
        </w:rPr>
        <w:t>投标人提供承诺函并加盖投标人公章。</w:t>
      </w:r>
    </w:p>
    <w:p>
      <w:pPr>
        <w:pStyle w:val="26510"/>
        <w:spacing w:line="400" w:lineRule="exact"/>
        <w:ind w:firstLine="560" w:firstLineChars="200"/>
        <w:rPr>
          <w:rFonts w:ascii="Times New Roman" w:eastAsia="方正仿宋_GBK" w:hAnsi="Times New Roman" w:cs="微软雅黑"/>
          <w:bCs/>
          <w:sz w:val="28"/>
          <w:szCs w:val="28"/>
        </w:rPr>
      </w:pPr>
      <w:r>
        <w:rPr>
          <w:rFonts w:ascii="Times New Roman" w:eastAsia="方正仿宋_GBK" w:hAnsi="Times New Roman" w:cs="微软雅黑" w:hint="eastAsia"/>
          <w:bCs/>
          <w:sz w:val="28"/>
          <w:szCs w:val="28"/>
          <w:lang w:bidi="ar-SA"/>
        </w:rPr>
        <w:t>★</w:t>
      </w:r>
      <w:r>
        <w:rPr>
          <w:rFonts w:ascii="Times New Roman" w:eastAsia="方正仿宋_GBK" w:hAnsi="Times New Roman" w:cs="微软雅黑"/>
          <w:bCs/>
          <w:sz w:val="28"/>
          <w:szCs w:val="28"/>
          <w:lang w:bidi="ar-SA"/>
        </w:rPr>
        <w:t>本项目品目1、5、6、7所投相关产品的许可类型均为永久，长期使用。投标人提供承诺函并加盖投标人公章。</w:t>
      </w:r>
    </w:p>
    <w:p>
      <w:pPr>
        <w:pStyle w:val="26510"/>
        <w:spacing w:line="400" w:lineRule="exact"/>
        <w:ind w:firstLine="560" w:firstLineChars="200"/>
        <w:rPr>
          <w:rFonts w:eastAsia="方正仿宋_GBK" w:cs="微软雅黑"/>
          <w:bCs/>
          <w:sz w:val="28"/>
          <w:szCs w:val="28"/>
        </w:rPr>
      </w:pPr>
      <w:r>
        <w:rPr>
          <w:rFonts w:ascii="Times New Roman" w:eastAsia="方正仿宋_GBK" w:hAnsi="Times New Roman" w:cs="微软雅黑" w:hint="eastAsia"/>
          <w:bCs/>
          <w:sz w:val="28"/>
          <w:szCs w:val="28"/>
          <w:lang w:bidi="ar-SA"/>
        </w:rPr>
        <w:t>★</w:t>
      </w:r>
      <w:r>
        <w:rPr>
          <w:rFonts w:eastAsia="方正仿宋_GBK"/>
          <w:snapToGrid w:val="0"/>
          <w:sz w:val="28"/>
          <w:szCs w:val="28"/>
        </w:rPr>
        <w:t>投标人提交的投标文件，凡是响应描述为支持的内容等同于提供该内容。投标人须提供承诺函并加盖投标人公章。</w:t>
      </w:r>
    </w:p>
    <w:p>
      <w:pPr>
        <w:pStyle w:val="26510"/>
        <w:spacing w:line="400" w:lineRule="exact"/>
        <w:ind w:firstLine="560" w:firstLineChars="200"/>
        <w:rPr>
          <w:rFonts w:ascii="Times New Roman" w:eastAsia="方正仿宋_GBK" w:hAnsi="Times New Roman" w:cs="微软雅黑"/>
          <w:bCs/>
          <w:sz w:val="28"/>
          <w:szCs w:val="28"/>
        </w:rPr>
      </w:pPr>
      <w:r>
        <w:rPr>
          <w:rFonts w:ascii="Times New Roman" w:eastAsia="方正仿宋_GBK" w:hAnsi="Times New Roman" w:cs="微软雅黑" w:hint="eastAsia"/>
          <w:bCs/>
          <w:sz w:val="28"/>
          <w:szCs w:val="28"/>
          <w:lang w:bidi="ar-SA"/>
        </w:rPr>
        <w:t>★</w:t>
      </w:r>
      <w:r>
        <w:rPr>
          <w:rFonts w:ascii="Times New Roman" w:eastAsia="方正仿宋_GBK" w:hAnsi="Times New Roman" w:cs="微软雅黑"/>
          <w:bCs/>
          <w:sz w:val="28"/>
          <w:szCs w:val="28"/>
          <w:lang w:bidi="ar-SA"/>
        </w:rPr>
        <w:t>投标人须满足本项目集成要求、安全保密要求、知识产权要求和其他要求，详见</w:t>
      </w:r>
      <w:r>
        <w:rPr>
          <w:rFonts w:ascii="Times New Roman" w:eastAsia="方正仿宋_GBK" w:hAnsi="Times New Roman" w:cs="微软雅黑" w:hint="eastAsia"/>
          <w:bCs/>
          <w:sz w:val="28"/>
          <w:szCs w:val="28"/>
          <w:lang w:bidi="ar-SA"/>
        </w:rPr>
        <w:t>“</w:t>
      </w:r>
      <w:r>
        <w:rPr>
          <w:rFonts w:ascii="Times New Roman" w:eastAsia="方正仿宋_GBK" w:hAnsi="Times New Roman" w:cs="微软雅黑"/>
          <w:bCs/>
          <w:sz w:val="28"/>
          <w:szCs w:val="28"/>
          <w:lang w:bidi="ar-SA"/>
        </w:rPr>
        <w:t>十二、其他</w:t>
      </w:r>
      <w:r>
        <w:rPr>
          <w:rFonts w:ascii="Times New Roman" w:eastAsia="方正仿宋_GBK" w:hAnsi="Times New Roman" w:cs="微软雅黑" w:hint="eastAsia"/>
          <w:bCs/>
          <w:sz w:val="28"/>
          <w:szCs w:val="28"/>
          <w:lang w:bidi="ar-SA"/>
        </w:rPr>
        <w:t>”。</w:t>
      </w:r>
    </w:p>
    <w:p>
      <w:pPr>
        <w:spacing w:line="400" w:lineRule="exact"/>
        <w:ind w:firstLine="420" w:firstLineChars="200"/>
        <w:rPr>
          <w:szCs w:val="21"/>
        </w:rPr>
      </w:pPr>
    </w:p>
    <w:p>
      <w:pPr>
        <w:spacing w:line="400" w:lineRule="exact"/>
        <w:ind w:firstLine="560" w:firstLineChars="200"/>
        <w:jc w:val="left"/>
        <w:outlineLvl w:val="3"/>
        <w:rPr>
          <w:rFonts w:eastAsia="方正楷体_GBK" w:cs="微软雅黑"/>
          <w:b/>
          <w:bCs/>
          <w:sz w:val="28"/>
          <w:szCs w:val="28"/>
        </w:rPr>
      </w:pPr>
      <w:r>
        <w:rPr>
          <w:rFonts w:ascii="Times New Roman" w:eastAsia="方正楷体_GBK" w:hAnsi="Times New Roman" w:cs="微软雅黑" w:hint="eastAsia"/>
          <w:b/>
          <w:bCs/>
          <w:sz w:val="28"/>
          <w:szCs w:val="28"/>
          <w:lang w:bidi="ar-SA"/>
        </w:rPr>
        <w:t>（一）品目1（语音话务系统）</w:t>
      </w:r>
    </w:p>
    <w:p>
      <w:pPr>
        <w:spacing w:line="400" w:lineRule="exact"/>
        <w:ind w:firstLine="420" w:firstLineChars="200"/>
        <w:rPr>
          <w:szCs w:val="21"/>
        </w:rPr>
      </w:pP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1.主要用途</w:t>
      </w:r>
    </w:p>
    <w:p>
      <w:pPr>
        <w:pStyle w:val="22610"/>
        <w:tabs>
          <w:tab w:val="left" w:pos="567"/>
        </w:tabs>
        <w:spacing w:line="400" w:lineRule="exact"/>
        <w:ind w:left="567" w:firstLine="560" w:firstLineChars="200"/>
        <w:rPr>
          <w:rFonts w:ascii="Times New Roman" w:eastAsia="方正仿宋_GBK" w:hAnsi="Times New Roman" w:cs="微软雅黑"/>
          <w:bCs/>
          <w:sz w:val="28"/>
          <w:szCs w:val="28"/>
        </w:rPr>
      </w:pPr>
      <w:r>
        <w:rPr>
          <w:rFonts w:ascii="Times New Roman" w:eastAsia="方正仿宋_GBK" w:hAnsi="Times New Roman" w:cs="微软雅黑" w:hint="eastAsia"/>
          <w:bCs/>
          <w:sz w:val="28"/>
          <w:szCs w:val="28"/>
          <w:lang w:bidi="ar-SA"/>
        </w:rPr>
        <w:t>语音话务系统（又称呼叫中心平台）是海关与人民群众之间连接的桥梁，其主要用途体现在以下两个方面：</w:t>
      </w:r>
    </w:p>
    <w:p>
      <w:pPr>
        <w:pStyle w:val="22710"/>
        <w:spacing w:line="400" w:lineRule="exact"/>
        <w:ind w:firstLine="560" w:firstLineChars="200"/>
        <w:rPr>
          <w:rFonts w:ascii="Times New Roman" w:eastAsia="方正仿宋_GBK" w:hAnsi="Times New Roman" w:cs="微软雅黑"/>
          <w:bCs/>
          <w:sz w:val="28"/>
          <w:szCs w:val="28"/>
        </w:rPr>
      </w:pPr>
      <w:r>
        <w:rPr>
          <w:rFonts w:ascii="Times New Roman" w:eastAsia="方正仿宋_GBK" w:hAnsi="Times New Roman" w:cs="微软雅黑" w:hint="eastAsia"/>
          <w:bCs/>
          <w:sz w:val="28"/>
          <w:szCs w:val="28"/>
          <w:lang w:bidi="ar-SA"/>
        </w:rPr>
        <w:t>语音话务系统是为企业群众提供服务的重要组成部分。通过集成电话、互联网和移动通信技术，海关12360热线可以迅速响应企业群众的</w:t>
      </w:r>
      <w:r>
        <w:rPr>
          <w:rFonts w:ascii="Times New Roman" w:eastAsia="方正仿宋_GBK" w:hAnsi="Times New Roman" w:cs="微软雅黑"/>
          <w:bCs/>
          <w:sz w:val="28"/>
          <w:szCs w:val="28"/>
          <w:lang w:bidi="ar-SA"/>
        </w:rPr>
        <w:t>业务</w:t>
      </w:r>
      <w:r>
        <w:rPr>
          <w:rFonts w:ascii="Times New Roman" w:eastAsia="方正仿宋_GBK" w:hAnsi="Times New Roman" w:cs="微软雅黑" w:hint="eastAsia"/>
          <w:bCs/>
          <w:sz w:val="28"/>
          <w:szCs w:val="28"/>
          <w:lang w:bidi="ar-SA"/>
        </w:rPr>
        <w:t>咨询</w:t>
      </w:r>
      <w:r>
        <w:rPr>
          <w:rFonts w:ascii="Times New Roman" w:eastAsia="方正仿宋_GBK" w:hAnsi="Times New Roman" w:cs="微软雅黑"/>
          <w:bCs/>
          <w:sz w:val="28"/>
          <w:szCs w:val="28"/>
          <w:lang w:bidi="ar-SA"/>
        </w:rPr>
        <w:t>、通关求助、投诉举报、信访建议等诉求</w:t>
      </w:r>
      <w:r>
        <w:rPr>
          <w:rFonts w:ascii="Times New Roman" w:eastAsia="方正仿宋_GBK" w:hAnsi="Times New Roman" w:cs="微软雅黑" w:hint="eastAsia"/>
          <w:bCs/>
          <w:sz w:val="28"/>
          <w:szCs w:val="28"/>
          <w:lang w:bidi="ar-SA"/>
        </w:rPr>
        <w:t>，提供即时的帮助和解决方案。</w:t>
      </w:r>
    </w:p>
    <w:p>
      <w:pPr>
        <w:spacing w:line="400" w:lineRule="exact"/>
        <w:ind w:firstLine="560" w:firstLineChars="200"/>
        <w:rPr>
          <w:rFonts w:eastAsia="方正仿宋_GBK" w:cs="微软雅黑"/>
          <w:bCs/>
          <w:sz w:val="28"/>
          <w:szCs w:val="28"/>
        </w:rPr>
      </w:pPr>
      <w:r>
        <w:rPr>
          <w:rFonts w:ascii="Times New Roman" w:eastAsia="方正仿宋_GBK" w:hAnsi="Times New Roman" w:cs="微软雅黑" w:hint="eastAsia"/>
          <w:bCs/>
          <w:sz w:val="28"/>
          <w:szCs w:val="28"/>
          <w:lang w:bidi="ar-SA"/>
        </w:rPr>
        <w:t>语音话务系统也是海关开展信息收集的重要渠道。通过调研和回访等方式，海关可以</w:t>
      </w:r>
      <w:r>
        <w:rPr>
          <w:rFonts w:ascii="Times New Roman" w:eastAsia="方正仿宋_GBK" w:hAnsi="Times New Roman" w:cs="微软雅黑"/>
          <w:bCs/>
          <w:sz w:val="28"/>
          <w:szCs w:val="28"/>
          <w:lang w:bidi="ar-SA"/>
        </w:rPr>
        <w:t>进行满意度回访、处理情况回复、</w:t>
      </w:r>
      <w:r>
        <w:rPr>
          <w:rFonts w:ascii="Times New Roman" w:eastAsia="方正仿宋_GBK" w:hAnsi="Times New Roman" w:cs="微软雅黑" w:hint="eastAsia"/>
          <w:bCs/>
          <w:sz w:val="28"/>
          <w:szCs w:val="28"/>
          <w:lang w:bidi="ar-SA"/>
        </w:rPr>
        <w:t>收集咨询人意见建议</w:t>
      </w:r>
    </w:p>
    <w:p>
      <w:pPr>
        <w:spacing w:line="400" w:lineRule="exact"/>
        <w:ind w:firstLine="560" w:firstLineChars="200"/>
        <w:rPr>
          <w:rFonts w:eastAsia="方正仿宋_GBK" w:cs="微软雅黑"/>
          <w:bCs/>
          <w:sz w:val="28"/>
          <w:szCs w:val="28"/>
        </w:rPr>
      </w:pPr>
    </w:p>
    <w:p>
      <w:pPr>
        <w:spacing w:line="400" w:lineRule="exact"/>
        <w:ind w:firstLine="560" w:firstLineChars="200"/>
        <w:outlineLvl w:val="4"/>
        <w:rPr>
          <w:rFonts w:eastAsia="方正仿宋_GBK"/>
          <w:b/>
          <w:bCs/>
          <w:sz w:val="28"/>
          <w:szCs w:val="28"/>
        </w:rPr>
      </w:pPr>
      <w:r>
        <w:rPr>
          <w:rFonts w:ascii="Times New Roman" w:eastAsia="宋体" w:hAnsi="Times New Roman" w:cs="宋体" w:hint="eastAsia"/>
          <w:sz w:val="28"/>
          <w:szCs w:val="28"/>
          <w:lang w:bidi="ar-SA"/>
        </w:rPr>
        <w:t>★</w:t>
      </w:r>
      <w:r>
        <w:rPr>
          <w:rFonts w:ascii="Times New Roman" w:eastAsia="方正仿宋_GBK" w:hAnsi="Times New Roman" w:cs="Times New Roman"/>
          <w:b/>
          <w:bCs/>
          <w:sz w:val="28"/>
          <w:szCs w:val="28"/>
          <w:lang w:bidi="ar-SA"/>
        </w:rPr>
        <w:t>2.特殊资质要求</w:t>
      </w:r>
    </w:p>
    <w:p>
      <w:pPr>
        <w:pStyle w:val="485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2.1产品入网规范</w:t>
        <w:tab/>
      </w:r>
    </w:p>
    <w:p>
      <w:pPr>
        <w:pStyle w:val="49710"/>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语音话务系统的数字排队机或同功能的软硬件设备需具备工信部电信设备进网许可证，且进网许可证应在有效期内</w:t>
      </w:r>
      <w:r>
        <w:rPr>
          <w:rFonts w:ascii="Times New Roman" w:eastAsia="方正仿宋_GBK" w:hAnsi="Times New Roman" w:cs="Times New Roman" w:hint="eastAsia"/>
          <w:sz w:val="28"/>
          <w:szCs w:val="28"/>
          <w:lang w:bidi="ar-SA"/>
        </w:rPr>
        <w:t>。</w:t>
      </w:r>
    </w:p>
    <w:p>
      <w:pPr>
        <w:pStyle w:val="48510"/>
        <w:spacing w:line="400" w:lineRule="exact"/>
        <w:ind w:firstLine="560" w:firstLineChars="200"/>
        <w:rPr>
          <w:rFonts w:ascii="Times New Roman" w:hAnsi="Times New Roman"/>
          <w:szCs w:val="21"/>
        </w:rPr>
      </w:pPr>
      <w:r>
        <w:rPr>
          <w:rFonts w:ascii="Times New Roman" w:eastAsia="方正仿宋_GBK" w:hAnsi="Times New Roman" w:cs="Times New Roman"/>
          <w:sz w:val="28"/>
          <w:szCs w:val="28"/>
          <w:lang w:bidi="ar-SA"/>
        </w:rPr>
        <w:t>证明材料要求：投标人提供进网许可证复印件并加盖投标人公章。</w:t>
      </w:r>
    </w:p>
    <w:p>
      <w:pPr>
        <w:pStyle w:val="48510"/>
        <w:spacing w:line="400" w:lineRule="exact"/>
        <w:ind w:firstLine="420" w:firstLineChars="200"/>
        <w:rPr>
          <w:rFonts w:ascii="Times New Roman" w:hAnsi="Times New Roman"/>
          <w:szCs w:val="21"/>
        </w:rPr>
      </w:pPr>
    </w:p>
    <w:p>
      <w:pPr>
        <w:spacing w:line="400" w:lineRule="exact"/>
        <w:ind w:firstLine="560" w:firstLineChars="200"/>
        <w:outlineLvl w:val="4"/>
        <w:rPr>
          <w:rFonts w:eastAsia="方正仿宋_GBK"/>
          <w:b/>
          <w:bCs/>
          <w:sz w:val="28"/>
          <w:szCs w:val="28"/>
        </w:rPr>
      </w:pPr>
      <w:r>
        <w:rPr>
          <w:rFonts w:ascii="Times New Roman" w:eastAsia="方正仿宋_GBK" w:hAnsi="Times New Roman" w:cs="Times New Roman"/>
          <w:b/>
          <w:bCs/>
          <w:sz w:val="28"/>
          <w:szCs w:val="28"/>
          <w:lang w:bidi="ar-SA"/>
        </w:rPr>
        <w:t>3. 主要技术参数</w:t>
      </w:r>
    </w:p>
    <w:p>
      <w:pPr>
        <w:pStyle w:val="48710"/>
        <w:spacing w:line="400" w:lineRule="exact"/>
        <w:ind w:firstLine="560" w:firstLineChars="200"/>
        <w:rPr>
          <w:rFonts w:ascii="Times New Roman" w:eastAsia="方正仿宋_GBK" w:hAnsi="Times New Roman"/>
          <w:sz w:val="28"/>
          <w:szCs w:val="28"/>
        </w:rPr>
      </w:pPr>
      <w:r>
        <w:rPr>
          <w:rFonts w:ascii="Times New Roman" w:eastAsia="宋体" w:hAnsi="Times New Roman" w:cs="宋体" w:hint="eastAsia"/>
          <w:sz w:val="28"/>
          <w:szCs w:val="28"/>
          <w:lang w:bidi="ar-SA"/>
        </w:rPr>
        <w:t>★</w:t>
      </w:r>
      <w:r>
        <w:rPr>
          <w:rFonts w:ascii="Times New Roman" w:eastAsia="方正仿宋_GBK" w:hAnsi="Times New Roman" w:cs="Times New Roman"/>
          <w:sz w:val="28"/>
          <w:szCs w:val="28"/>
          <w:lang w:bidi="ar-SA"/>
        </w:rPr>
        <w:t>3.1产品连续性要求</w:t>
        <w:tab/>
      </w:r>
    </w:p>
    <w:p>
      <w:pPr>
        <w:pStyle w:val="487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所投标产品</w:t>
      </w:r>
      <w:r>
        <w:rPr>
          <w:rFonts w:ascii="Times New Roman" w:eastAsia="方正仿宋_GBK" w:hAnsi="Times New Roman" w:cs="Times New Roman" w:hint="eastAsia"/>
          <w:sz w:val="28"/>
          <w:szCs w:val="28"/>
          <w:lang w:bidi="ar-SA"/>
        </w:rPr>
        <w:t>不</w:t>
      </w:r>
      <w:r>
        <w:rPr>
          <w:rFonts w:ascii="Times New Roman" w:eastAsia="方正仿宋_GBK" w:hAnsi="Times New Roman" w:cs="Times New Roman"/>
          <w:sz w:val="28"/>
          <w:szCs w:val="28"/>
          <w:lang w:bidi="ar-SA"/>
        </w:rPr>
        <w:t>使用任何第三方开源交换平台，包括但不限于FreeSwitch，Asterisk，YATE，sipX，OpenPBX, Bayonn等开源架构，开源平台存在不稳定性因素，存在被强制关闭服务的风险。</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证明材料要求：投标人提供承诺函，并加盖投标人公章。</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▲3.2 IVR图形化配置工具</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提供图形化IVR流程配置工具，可以对IVR流程进行可视化配置，简化IVR流程开发过程；支持在流程配置工具中对IVR流程放音、收号、语音识别、呼叫转移、分支判断、接口调用操作进行配置；支持多种放音方式进行配置，包括静态语音文件、动态TTS文本合成音、静态视频文件；支持配置动态TTS文本合成音播放音效为男声音效或者女声音效；支持配置TTS文本合成音播放语速。支持流程轨迹跟踪查看，可以查询通话在IVR流程中的执行轨迹，展示执行过哪些流程节点以及每个执行过的流程节点的详细信息。提供对IVR流程的本地测试工具，当流程配置人员完成流程配置后，可以在本地发起呼叫测试，对流程进行测试验证。</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证明材料要求：投标人提供产品官方网站资料截图</w:t>
      </w:r>
      <w:r>
        <w:rPr>
          <w:rFonts w:ascii="Times New Roman" w:eastAsia="方正仿宋_GBK" w:hAnsi="Times New Roman" w:cs="Times New Roman" w:hint="eastAsia"/>
          <w:sz w:val="28"/>
          <w:szCs w:val="28"/>
          <w:lang w:bidi="ar-SA"/>
        </w:rPr>
        <w:t>及链接</w:t>
      </w:r>
      <w:r>
        <w:rPr>
          <w:rFonts w:ascii="Times New Roman" w:eastAsia="方正仿宋_GBK" w:hAnsi="Times New Roman" w:cs="Times New Roman"/>
          <w:sz w:val="28"/>
          <w:szCs w:val="28"/>
          <w:lang w:bidi="ar-SA"/>
        </w:rPr>
        <w:t>证明并加盖投标人和产品制造商公章。</w:t>
      </w:r>
    </w:p>
    <w:p>
      <w:pPr>
        <w:pStyle w:val="488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▲3.3产品稳定性要求</w:t>
        <w:tab/>
      </w:r>
    </w:p>
    <w:p>
      <w:pPr>
        <w:pStyle w:val="488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所投标产品支持基于CPU使用率的</w:t>
      </w:r>
      <w:r>
        <w:rPr>
          <w:rFonts w:ascii="Times New Roman" w:eastAsia="方正仿宋_GBK" w:hAnsi="Times New Roman" w:cs="Times New Roman" w:hint="eastAsia"/>
          <w:sz w:val="28"/>
          <w:szCs w:val="28"/>
          <w:lang w:bidi="ar-SA"/>
        </w:rPr>
        <w:t>监控</w:t>
      </w:r>
      <w:r>
        <w:rPr>
          <w:rFonts w:ascii="Times New Roman" w:eastAsia="方正仿宋_GBK" w:hAnsi="Times New Roman" w:cs="Times New Roman"/>
          <w:sz w:val="28"/>
          <w:szCs w:val="28"/>
          <w:lang w:bidi="ar-SA"/>
        </w:rPr>
        <w:t>，能够有效监测系统各模块的CPU使用率，降低系统故障风险，保证业务连续性。</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证明材料要求：投标人提供产品官方网站资料截图</w:t>
      </w:r>
      <w:r>
        <w:rPr>
          <w:rFonts w:ascii="Times New Roman" w:eastAsia="方正仿宋_GBK" w:hAnsi="Times New Roman" w:cs="Times New Roman" w:hint="eastAsia"/>
          <w:sz w:val="28"/>
          <w:szCs w:val="28"/>
          <w:lang w:bidi="ar-SA"/>
        </w:rPr>
        <w:t>及链接</w:t>
      </w:r>
      <w:r>
        <w:rPr>
          <w:rFonts w:ascii="Times New Roman" w:eastAsia="方正仿宋_GBK" w:hAnsi="Times New Roman" w:cs="Times New Roman"/>
          <w:sz w:val="28"/>
          <w:szCs w:val="28"/>
          <w:lang w:bidi="ar-SA"/>
        </w:rPr>
        <w:t>证明并加盖投标人和产品制造商公章。</w:t>
      </w:r>
    </w:p>
    <w:p>
      <w:pPr>
        <w:spacing w:line="400" w:lineRule="exact"/>
        <w:ind w:firstLine="560" w:firstLineChars="200"/>
        <w:rPr>
          <w:rFonts w:eastAsia="方正仿宋_GBK"/>
          <w:bCs/>
          <w:sz w:val="28"/>
          <w:szCs w:val="28"/>
        </w:rPr>
      </w:pPr>
      <w:r>
        <w:rPr>
          <w:rFonts w:ascii="Times New Roman" w:eastAsia="方正仿宋_GBK" w:hAnsi="Times New Roman" w:cs="Times New Roman"/>
          <w:bCs/>
          <w:sz w:val="28"/>
          <w:szCs w:val="28"/>
          <w:lang w:bidi="ar-SA"/>
        </w:rPr>
        <w:t>3.4 单电话座席功能</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支持座席仅采用传统电话的方式签入到呼叫中心来充当话务员，不需要座席人员登录座席工作台，呼叫可以由单电话座席为咨询人提供服务。</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证明材料要求：投标人提供产品官方网站资料截图</w:t>
      </w:r>
      <w:r>
        <w:rPr>
          <w:rFonts w:ascii="Times New Roman" w:eastAsia="方正仿宋_GBK" w:hAnsi="Times New Roman" w:cs="Times New Roman" w:hint="eastAsia"/>
          <w:sz w:val="28"/>
          <w:szCs w:val="28"/>
          <w:lang w:bidi="ar-SA"/>
        </w:rPr>
        <w:t>及链接</w:t>
      </w:r>
      <w:r>
        <w:rPr>
          <w:rFonts w:ascii="Times New Roman" w:eastAsia="方正仿宋_GBK" w:hAnsi="Times New Roman" w:cs="Times New Roman"/>
          <w:sz w:val="28"/>
          <w:szCs w:val="28"/>
          <w:lang w:bidi="ar-SA"/>
        </w:rPr>
        <w:t>证明并加盖投标人和产品制造商公章。</w:t>
      </w:r>
      <w:bookmarkStart w:id="52" w:name="_Hlk187047950"/>
    </w:p>
    <w:p>
      <w:pPr>
        <w:spacing w:line="400" w:lineRule="exact"/>
        <w:ind w:firstLine="560" w:firstLineChars="200"/>
        <w:rPr>
          <w:rFonts w:eastAsia="方正仿宋_GBK"/>
          <w:sz w:val="28"/>
          <w:szCs w:val="28"/>
        </w:rPr>
      </w:pPr>
      <w:bookmarkEnd w:id="52"/>
      <w:r>
        <w:rPr>
          <w:rFonts w:ascii="Times New Roman" w:eastAsia="方正仿宋_GBK" w:hAnsi="Times New Roman" w:cs="Times New Roman"/>
          <w:sz w:val="28"/>
          <w:szCs w:val="28"/>
          <w:lang w:bidi="ar-SA"/>
        </w:rPr>
        <w:t>3.5业务迁移要求</w:t>
        <w:tab/>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为支持现网平台业务能够平滑迁移，保证业务连续性，所投标产品</w:t>
      </w:r>
      <w:r>
        <w:rPr>
          <w:rFonts w:ascii="Times New Roman" w:eastAsia="方正仿宋_GBK" w:hAnsi="Times New Roman" w:cs="Times New Roman" w:hint="eastAsia"/>
          <w:sz w:val="28"/>
          <w:szCs w:val="28"/>
          <w:lang w:bidi="ar-SA"/>
        </w:rPr>
        <w:t>支持</w:t>
      </w:r>
      <w:r>
        <w:rPr>
          <w:rFonts w:ascii="Times New Roman" w:eastAsia="方正仿宋_GBK" w:hAnsi="Times New Roman" w:cs="Times New Roman"/>
          <w:sz w:val="28"/>
          <w:szCs w:val="28"/>
          <w:lang w:bidi="ar-SA"/>
        </w:rPr>
        <w:t>现网GSL流程文件转换到新平台或支持GSL流程文件在新平台运行，保证迁移稳定。</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证明材料要求：投标人提供确认函并加盖投标人和产品制造商公章。</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3.6信息安全要求</w:t>
        <w:tab/>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所投标产品支持信令TLS加密、支持媒体SRTP加密，软电话控制接口支持https加密，支持sha256,aes256加密，支持国密算法。</w:t>
        <w:tab/>
        <w:t>证明材料要求：投标人提供产品官方网站资料截图</w:t>
      </w:r>
      <w:r>
        <w:rPr>
          <w:rFonts w:ascii="Times New Roman" w:eastAsia="方正仿宋_GBK" w:hAnsi="Times New Roman" w:cs="Times New Roman" w:hint="eastAsia"/>
          <w:sz w:val="28"/>
          <w:szCs w:val="28"/>
          <w:lang w:bidi="ar-SA"/>
        </w:rPr>
        <w:t>及链接</w:t>
      </w:r>
      <w:r>
        <w:rPr>
          <w:rFonts w:ascii="Times New Roman" w:eastAsia="方正仿宋_GBK" w:hAnsi="Times New Roman" w:cs="Times New Roman"/>
          <w:sz w:val="28"/>
          <w:szCs w:val="28"/>
          <w:lang w:bidi="ar-SA"/>
        </w:rPr>
        <w:t>证明并加盖投标人和产品制造商公章。</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3.7产品可靠性要求</w:t>
        <w:tab/>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所投标产品需能够达到99.999%可靠性要求。</w:t>
        <w:tab/>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证明材料要求：投标人提供产品官方网站资料截图</w:t>
      </w:r>
      <w:r>
        <w:rPr>
          <w:rFonts w:ascii="Times New Roman" w:eastAsia="方正仿宋_GBK" w:hAnsi="Times New Roman" w:cs="Times New Roman" w:hint="eastAsia"/>
          <w:sz w:val="28"/>
          <w:szCs w:val="28"/>
          <w:lang w:bidi="ar-SA"/>
        </w:rPr>
        <w:t>及链接</w:t>
      </w:r>
      <w:r>
        <w:rPr>
          <w:rFonts w:ascii="Times New Roman" w:eastAsia="方正仿宋_GBK" w:hAnsi="Times New Roman" w:cs="Times New Roman"/>
          <w:sz w:val="28"/>
          <w:szCs w:val="28"/>
          <w:lang w:bidi="ar-SA"/>
        </w:rPr>
        <w:t>证明并加盖投标人和产品制造商公章。</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3.8 产品知识产权合法性要求</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所投标产品的制造商持有该产品的《计算机软件著作权登记证书》。</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w:t>
      </w:r>
      <w:r>
        <w:rPr>
          <w:rFonts w:ascii="Times New Roman" w:eastAsia="方正仿宋_GBK" w:hAnsi="Times New Roman" w:cs="Times New Roman" w:hint="eastAsia"/>
          <w:sz w:val="28"/>
          <w:szCs w:val="28"/>
          <w:lang w:bidi="ar-SA"/>
        </w:rPr>
        <w:t>投标人提供所投标相关产品的软件著作权证书</w:t>
      </w:r>
      <w:r>
        <w:rPr>
          <w:rFonts w:ascii="Times New Roman" w:eastAsia="方正仿宋_GBK" w:hAnsi="Times New Roman" w:cs="Times New Roman"/>
          <w:sz w:val="28"/>
          <w:szCs w:val="28"/>
          <w:lang w:bidi="ar-SA"/>
        </w:rPr>
        <w:t>复印件</w:t>
      </w:r>
      <w:r>
        <w:rPr>
          <w:rFonts w:ascii="Times New Roman" w:eastAsia="方正仿宋_GBK" w:hAnsi="Times New Roman" w:cs="Times New Roman" w:hint="eastAsia"/>
          <w:sz w:val="28"/>
          <w:szCs w:val="28"/>
          <w:lang w:bidi="ar-SA"/>
        </w:rPr>
        <w:t>并加盖投标人和产品制造商公章</w:t>
      </w:r>
      <w:r>
        <w:rPr>
          <w:rFonts w:ascii="Times New Roman" w:eastAsia="方正仿宋_GBK" w:hAnsi="Times New Roman" w:cs="Times New Roman"/>
          <w:sz w:val="28"/>
          <w:szCs w:val="28"/>
          <w:lang w:bidi="ar-SA"/>
        </w:rPr>
        <w:t>。</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b/>
          <w:bCs/>
          <w:sz w:val="28"/>
          <w:szCs w:val="28"/>
        </w:rPr>
      </w:pPr>
      <w:r>
        <w:rPr>
          <w:rFonts w:ascii="Times New Roman" w:eastAsia="方正仿宋_GBK" w:hAnsi="Times New Roman" w:cs="Times New Roman"/>
          <w:sz w:val="28"/>
          <w:szCs w:val="28"/>
          <w:lang w:bidi="ar-SA"/>
        </w:rPr>
        <w:t>3.9</w:t>
      </w:r>
      <w:r>
        <w:rPr>
          <w:rFonts w:ascii="Times New Roman" w:eastAsia="方正仿宋_GBK" w:hAnsi="Times New Roman" w:cs="Times New Roman"/>
          <w:b/>
          <w:bCs/>
          <w:sz w:val="28"/>
          <w:szCs w:val="28"/>
          <w:lang w:bidi="ar-SA"/>
        </w:rPr>
        <w:t xml:space="preserve"> </w:t>
      </w:r>
      <w:r>
        <w:rPr>
          <w:rFonts w:ascii="Times New Roman" w:eastAsia="方正仿宋_GBK" w:hAnsi="Times New Roman" w:cs="Times New Roman" w:hint="eastAsia"/>
          <w:b/>
          <w:bCs/>
          <w:sz w:val="28"/>
          <w:szCs w:val="28"/>
          <w:lang w:bidi="ar-SA"/>
        </w:rPr>
        <w:t>功能要求</w:t>
      </w:r>
    </w:p>
    <w:p>
      <w:pPr>
        <w:pStyle w:val="45010"/>
        <w:widowControl w:val="0"/>
        <w:numPr>
          <w:ilvl w:val="0"/>
          <w:numId w:val="3"/>
        </w:numPr>
        <w:tabs>
          <w:tab w:val="left" w:pos="0"/>
        </w:tabs>
        <w:spacing w:line="400" w:lineRule="exact"/>
        <w:ind w:left="0" w:firstLine="0"/>
        <w:jc w:val="both"/>
        <w:rPr>
          <w:rFonts w:ascii="Times New Roman" w:eastAsia="方正仿宋_GBK" w:hAnsi="Times New Roman"/>
          <w:b/>
          <w:bCs/>
          <w:sz w:val="28"/>
          <w:szCs w:val="28"/>
        </w:rPr>
      </w:pPr>
      <w:r>
        <w:rPr>
          <w:rFonts w:ascii="Times New Roman" w:eastAsia="方正仿宋_GBK" w:hAnsi="Times New Roman" w:cs="Times New Roman"/>
          <w:b/>
          <w:bCs/>
          <w:sz w:val="28"/>
          <w:szCs w:val="28"/>
          <w:lang w:bidi="ar-SA"/>
        </w:rPr>
        <w:t>提供多种渠道接入功能</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语音呼叫接入功能需求：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支持运营商电信网络语音通话接入，当咨询人发起语音呼叫请求服务时，呼叫通过运营商网络传送至语音话务系统，由语音话务系统进行统一排队，智能分配路由，</w:t>
      </w:r>
      <w:r>
        <w:rPr>
          <w:rFonts w:ascii="Times New Roman" w:eastAsia="方正仿宋_GBK" w:hAnsi="Times New Roman"/>
          <w:snapToGrid w:val="0"/>
          <w:sz w:val="28"/>
          <w:szCs w:val="28"/>
          <w:lang w:val="zh-CN" w:eastAsia="zh-CN" w:bidi="en-US"/>
        </w:rPr>
        <w:t>最终服务流程均整合至综合服务平台。</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文字交谈请求接入功能需求：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多渠道自助服务平台的互联网网络文字交谈请求接入，当咨询人通过移动APP应用、门户网站、微信等渠道发起文字交谈服务请求时，这些请求会通过多渠道自助服务平台传送至语音话务系统。由语音话务系统进行统一排队，智能分配路由，</w:t>
      </w:r>
      <w:r>
        <w:rPr>
          <w:rFonts w:ascii="Times New Roman" w:eastAsia="方正仿宋_GBK" w:hAnsi="Times New Roman"/>
          <w:snapToGrid w:val="0"/>
          <w:sz w:val="28"/>
          <w:szCs w:val="28"/>
          <w:lang w:val="zh-CN" w:eastAsia="zh-CN" w:bidi="en-US"/>
        </w:rPr>
        <w:t>最终服务流程均整合至综合服务平台</w:t>
      </w:r>
      <w:r>
        <w:rPr>
          <w:rFonts w:ascii="Times New Roman" w:eastAsia="方正仿宋_GBK" w:hAnsi="Times New Roman" w:cs="Times New Roman"/>
          <w:sz w:val="28"/>
          <w:szCs w:val="28"/>
          <w:lang w:bidi="ar-SA"/>
        </w:rPr>
        <w:t>。</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视频呼叫接入功能需求：</w:t>
      </w:r>
    </w:p>
    <w:p>
      <w:pPr>
        <w:pStyle w:val="451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运营商5G网络和多渠道自助服务平台的互联网网络视频通话接入，当咨询人通过视频呼叫拨打海关热线电话或者通过互联网门户入口发起视频呼叫时，视频呼叫通过运营商网络或多渠道自助服务平台传送至语音话务系统，由语音话务系统进行统一排队，智能分配路由，</w:t>
      </w:r>
      <w:r>
        <w:rPr>
          <w:rFonts w:ascii="Times New Roman" w:eastAsia="方正仿宋_GBK" w:hAnsi="Times New Roman"/>
          <w:snapToGrid w:val="0"/>
          <w:sz w:val="28"/>
          <w:szCs w:val="28"/>
          <w:lang w:val="zh-CN" w:eastAsia="zh-CN" w:bidi="en-US"/>
        </w:rPr>
        <w:t>最终服务流程均整合至综合服务平台</w:t>
      </w:r>
      <w:r>
        <w:rPr>
          <w:rFonts w:ascii="Times New Roman" w:eastAsia="方正仿宋_GBK" w:hAnsi="Times New Roman" w:cs="Times New Roman"/>
          <w:sz w:val="28"/>
          <w:szCs w:val="28"/>
          <w:lang w:bidi="ar-SA"/>
        </w:rPr>
        <w:t>。</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邮箱请求接入功能需求：</w:t>
      </w:r>
    </w:p>
    <w:p>
      <w:pPr>
        <w:pStyle w:val="452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支持邮箱请求接入，当咨询人通过邮箱发起邮件服务请求时，这些请求会通过邮箱传送至语音话务系统。由语音话务系统进行统一排队，智能分配路由，</w:t>
      </w:r>
      <w:r>
        <w:rPr>
          <w:rFonts w:ascii="Times New Roman" w:eastAsia="方正仿宋_GBK" w:hAnsi="Times New Roman"/>
          <w:snapToGrid w:val="0"/>
          <w:sz w:val="28"/>
          <w:szCs w:val="28"/>
          <w:lang w:val="zh-CN" w:eastAsia="zh-CN" w:bidi="en-US"/>
        </w:rPr>
        <w:t>最终服务流程均整合至综合服务平台</w:t>
      </w:r>
      <w:r>
        <w:rPr>
          <w:rFonts w:ascii="Times New Roman" w:eastAsia="方正仿宋_GBK" w:hAnsi="Times New Roman" w:cs="Times New Roman"/>
          <w:sz w:val="28"/>
          <w:szCs w:val="28"/>
          <w:lang w:bidi="ar-SA"/>
        </w:rPr>
        <w:t>，转至人工或自动回复。</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p>
    <w:p>
      <w:pPr>
        <w:pStyle w:val="45010"/>
        <w:widowControl w:val="0"/>
        <w:numPr>
          <w:ilvl w:val="0"/>
          <w:numId w:val="5"/>
        </w:numPr>
        <w:tabs>
          <w:tab w:val="left" w:pos="0"/>
        </w:tabs>
        <w:spacing w:line="400" w:lineRule="exact"/>
        <w:ind w:left="0" w:firstLine="0"/>
        <w:jc w:val="both"/>
        <w:rPr>
          <w:rFonts w:ascii="Times New Roman" w:eastAsia="方正仿宋_GBK" w:hAnsi="Times New Roman"/>
          <w:b/>
          <w:bCs/>
          <w:sz w:val="28"/>
          <w:szCs w:val="28"/>
        </w:rPr>
      </w:pPr>
      <w:r>
        <w:rPr>
          <w:rStyle w:val="1Char"/>
          <w:rFonts w:ascii="Times New Roman" w:eastAsia="方正仿宋_GBK" w:hAnsi="Times New Roman" w:cs="Times New Roman"/>
          <w:b/>
          <w:bCs/>
          <w:sz w:val="28"/>
          <w:szCs w:val="28"/>
          <w:lang w:bidi="ar-SA"/>
        </w:rPr>
        <w:t>提供IVR服务</w:t>
      </w:r>
      <w:r>
        <w:rPr>
          <w:rFonts w:ascii="Times New Roman" w:eastAsia="方正仿宋_GBK" w:hAnsi="Times New Roman" w:cs="Times New Roman"/>
          <w:b/>
          <w:bCs/>
          <w:sz w:val="28"/>
          <w:szCs w:val="28"/>
          <w:lang w:bidi="ar-SA"/>
        </w:rPr>
        <w:t>功能</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语音IVR功能需求：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支持语音IVR功能，当咨询人通过语音拨打客服电话的方式接入语音话务系统后，话务系统提供语音IVR流程服务，将呼叫分配给自定义的自动语音服务流程，为咨询人提供相应的自助模式的应答服务。</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视频IVR功能需求：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支持视频IVR功能，当咨询人通过视频拨打客服电话的方式接入语音话务系统后，话务系统提供视频IVR流程服务，将呼叫分配给自定义的自动视频服务流程，为咨询人播放视频画面，提供自助模式的应答服务。</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IVR操作功能需求：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在IVR流程中提供多种操作，包括按键收号、播放静态语音、播报动态TTS文本合成音、语音识别、播放视频、录音、呼叫转移、执行运算。支持对咨询人操作的超时检测，当咨询人在规定时间内未提供输入时，IVR流程可以自动触发超时检测，进入到超时业务处理。支持在播报语音的过程中，通过检测咨询人的操作自动打断播报进入到流程下一个执行节点，包括检测到咨询人提交按键操作后自动打断播报、检测到咨询人讲话后自动打断播报。</w:t>
      </w:r>
    </w:p>
    <w:p>
      <w:pPr>
        <w:pStyle w:val="45010"/>
        <w:widowControl w:val="0"/>
        <w:numPr>
          <w:ilvl w:val="0"/>
          <w:numId w:val="6"/>
        </w:numPr>
        <w:tabs>
          <w:tab w:val="left" w:pos="0"/>
        </w:tabs>
        <w:spacing w:line="400" w:lineRule="exact"/>
        <w:ind w:left="0" w:firstLine="0"/>
        <w:jc w:val="both"/>
        <w:rPr>
          <w:rFonts w:ascii="Times New Roman" w:eastAsia="方正仿宋_GBK" w:hAnsi="Times New Roman"/>
          <w:b/>
          <w:bCs/>
          <w:sz w:val="28"/>
          <w:szCs w:val="28"/>
        </w:rPr>
      </w:pPr>
      <w:r>
        <w:rPr>
          <w:rFonts w:ascii="Times New Roman" w:eastAsia="方正仿宋_GBK" w:hAnsi="Times New Roman" w:cs="Times New Roman"/>
          <w:b/>
          <w:bCs/>
          <w:sz w:val="28"/>
          <w:szCs w:val="28"/>
          <w:lang w:bidi="ar-SA"/>
        </w:rPr>
        <w:t>提供统一路由排队功能</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全渠道统一路由排队功能需求：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支持从</w:t>
      </w:r>
      <w:r>
        <w:rPr>
          <w:rFonts w:ascii="Times New Roman" w:eastAsia="方正仿宋_GBK" w:hAnsi="Times New Roman" w:cs="Times New Roman" w:hint="eastAsia"/>
          <w:sz w:val="28"/>
          <w:szCs w:val="28"/>
          <w:lang w:bidi="ar-SA"/>
        </w:rPr>
        <w:t>全</w:t>
      </w:r>
      <w:r>
        <w:rPr>
          <w:rFonts w:ascii="Times New Roman" w:eastAsia="方正仿宋_GBK" w:hAnsi="Times New Roman" w:cs="Times New Roman"/>
          <w:sz w:val="28"/>
          <w:szCs w:val="28"/>
          <w:lang w:bidi="ar-SA"/>
        </w:rPr>
        <w:t>渠道（多渠道自助服务平台、电话、5G视频等所有渠道）接入的咨询人将通过统一进线语音话务系统进行排队，并根据业务配置的路由排队规则进行分配，路由排队规则包括先到先服务、先闲先受话、按</w:t>
      </w:r>
      <w:r>
        <w:rPr>
          <w:rFonts w:ascii="Times New Roman" w:eastAsia="方正仿宋_GBK" w:hAnsi="Times New Roman" w:cs="Times New Roman" w:hint="eastAsia"/>
          <w:sz w:val="28"/>
          <w:szCs w:val="28"/>
          <w:lang w:bidi="ar-SA"/>
        </w:rPr>
        <w:t>咨询人</w:t>
      </w:r>
      <w:r>
        <w:rPr>
          <w:rFonts w:ascii="Times New Roman" w:eastAsia="方正仿宋_GBK" w:hAnsi="Times New Roman" w:cs="Times New Roman"/>
          <w:sz w:val="28"/>
          <w:szCs w:val="28"/>
          <w:lang w:bidi="ar-SA"/>
        </w:rPr>
        <w:t>优先级服务。支持咨询人排队过程中为咨询人播放排队等待音、播报预估等待时长、支持将咨询人来话进行多队列排队功能，</w:t>
      </w:r>
      <w:r>
        <w:rPr>
          <w:rFonts w:ascii="Times New Roman" w:eastAsia="方正仿宋_GBK" w:hAnsi="Times New Roman" w:cs="Times New Roman" w:hint="eastAsia"/>
          <w:sz w:val="28"/>
          <w:szCs w:val="28"/>
          <w:lang w:bidi="ar-SA"/>
        </w:rPr>
        <w:t>例如咨询人拨打热线服务电话发起呼叫，呼叫被分别排入队列</w:t>
      </w:r>
      <w:r>
        <w:rPr>
          <w:rFonts w:ascii="Times New Roman" w:eastAsia="方正仿宋_GBK" w:hAnsi="Times New Roman" w:cs="Times New Roman"/>
          <w:sz w:val="28"/>
          <w:szCs w:val="28"/>
          <w:lang w:bidi="ar-SA"/>
        </w:rPr>
        <w:t>1</w:t>
      </w:r>
      <w:r>
        <w:rPr>
          <w:rFonts w:ascii="Times New Roman" w:eastAsia="方正仿宋_GBK" w:hAnsi="Times New Roman" w:cs="Times New Roman" w:hint="eastAsia"/>
          <w:sz w:val="28"/>
          <w:szCs w:val="28"/>
          <w:lang w:bidi="ar-SA"/>
        </w:rPr>
        <w:t>、</w:t>
      </w:r>
      <w:r>
        <w:rPr>
          <w:rFonts w:ascii="Times New Roman" w:eastAsia="方正仿宋_GBK" w:hAnsi="Times New Roman" w:cs="Times New Roman"/>
          <w:sz w:val="28"/>
          <w:szCs w:val="28"/>
          <w:lang w:bidi="ar-SA"/>
        </w:rPr>
        <w:t>2</w:t>
      </w:r>
      <w:r>
        <w:rPr>
          <w:rFonts w:ascii="Times New Roman" w:eastAsia="方正仿宋_GBK" w:hAnsi="Times New Roman" w:cs="Times New Roman" w:hint="eastAsia"/>
          <w:sz w:val="28"/>
          <w:szCs w:val="28"/>
          <w:lang w:bidi="ar-SA"/>
        </w:rPr>
        <w:t>和</w:t>
      </w:r>
      <w:r>
        <w:rPr>
          <w:rFonts w:ascii="Times New Roman" w:eastAsia="方正仿宋_GBK" w:hAnsi="Times New Roman" w:cs="Times New Roman"/>
          <w:sz w:val="28"/>
          <w:szCs w:val="28"/>
          <w:lang w:bidi="ar-SA"/>
        </w:rPr>
        <w:t>3</w:t>
      </w:r>
      <w:r>
        <w:rPr>
          <w:rFonts w:ascii="Times New Roman" w:eastAsia="方正仿宋_GBK" w:hAnsi="Times New Roman" w:cs="Times New Roman" w:hint="eastAsia"/>
          <w:sz w:val="28"/>
          <w:szCs w:val="28"/>
          <w:lang w:bidi="ar-SA"/>
        </w:rPr>
        <w:t>同时排队，任一队列中有空闲座席都可以接听当前来话。</w:t>
      </w:r>
    </w:p>
    <w:p>
      <w:pPr>
        <w:pStyle w:val="45010"/>
        <w:widowControl w:val="0"/>
        <w:numPr>
          <w:ilvl w:val="0"/>
          <w:numId w:val="7"/>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排队溢出功能需求：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当咨询人发起呼叫服务请求时，如果遇到话务高峰期，咨询人在排队等待时，语音话务系统支持检测咨询人的排队等待时间，当排队等待时间超过预设时限，支持将呼叫溢出到其他队列或通过IVR流程进行后续处理。</w:t>
      </w:r>
    </w:p>
    <w:p>
      <w:pPr>
        <w:pStyle w:val="45010"/>
        <w:widowControl w:val="0"/>
        <w:numPr>
          <w:ilvl w:val="0"/>
          <w:numId w:val="8"/>
        </w:numPr>
        <w:tabs>
          <w:tab w:val="left" w:pos="0"/>
        </w:tabs>
        <w:spacing w:line="400" w:lineRule="exact"/>
        <w:ind w:left="0" w:firstLine="0"/>
        <w:jc w:val="both"/>
        <w:rPr>
          <w:rFonts w:ascii="Times New Roman" w:eastAsia="方正仿宋_GBK" w:hAnsi="Times New Roman"/>
          <w:b/>
          <w:bCs/>
          <w:sz w:val="28"/>
          <w:szCs w:val="28"/>
        </w:rPr>
      </w:pPr>
      <w:r>
        <w:rPr>
          <w:rFonts w:ascii="Times New Roman" w:eastAsia="方正仿宋_GBK" w:hAnsi="Times New Roman" w:cs="Times New Roman"/>
          <w:b/>
          <w:bCs/>
          <w:sz w:val="28"/>
          <w:szCs w:val="28"/>
          <w:lang w:bidi="ar-SA"/>
        </w:rPr>
        <w:t>录音\录像管理功能</w:t>
      </w:r>
    </w:p>
    <w:p>
      <w:pPr>
        <w:pStyle w:val="45010"/>
        <w:widowControl w:val="0"/>
        <w:numPr>
          <w:ilvl w:val="0"/>
          <w:numId w:val="9"/>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录音功能需求：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支持将咨询人与座席语音通话录制为录音文件，录音文件支持wav</w:t>
      </w:r>
      <w:r>
        <w:rPr>
          <w:rFonts w:ascii="Times New Roman" w:eastAsia="方正仿宋_GBK" w:hAnsi="Times New Roman" w:cs="Times New Roman" w:hint="eastAsia"/>
          <w:sz w:val="28"/>
          <w:szCs w:val="28"/>
          <w:lang w:bidi="ar-SA"/>
        </w:rPr>
        <w:t>或</w:t>
      </w:r>
      <w:r>
        <w:rPr>
          <w:rFonts w:ascii="Times New Roman" w:eastAsia="方正仿宋_GBK" w:hAnsi="Times New Roman" w:cs="Times New Roman"/>
          <w:sz w:val="28"/>
          <w:szCs w:val="28"/>
          <w:lang w:bidi="ar-SA"/>
        </w:rPr>
        <w:t>mp3</w:t>
      </w:r>
      <w:r>
        <w:rPr>
          <w:rFonts w:ascii="Times New Roman" w:eastAsia="方正仿宋_GBK" w:hAnsi="Times New Roman" w:cs="Times New Roman" w:hint="eastAsia"/>
          <w:sz w:val="28"/>
          <w:szCs w:val="28"/>
          <w:lang w:bidi="ar-SA"/>
        </w:rPr>
        <w:t>文件格式；</w:t>
      </w:r>
      <w:r>
        <w:rPr>
          <w:rFonts w:ascii="Times New Roman" w:eastAsia="方正仿宋_GBK" w:hAnsi="Times New Roman" w:cs="Times New Roman"/>
          <w:sz w:val="28"/>
          <w:szCs w:val="28"/>
          <w:lang w:bidi="ar-SA"/>
        </w:rPr>
        <w:t>录音功能支持双轨录音，将座席的声音和咨询人的声音分别录制左右不同声道，便于后续对录音文件进行质检。</w:t>
      </w:r>
    </w:p>
    <w:p>
      <w:pPr>
        <w:pStyle w:val="45010"/>
        <w:widowControl w:val="0"/>
        <w:numPr>
          <w:ilvl w:val="0"/>
          <w:numId w:val="10"/>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录像功能需求：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支持将咨询人与座席的视频通话录制为录像文件，录像文件支持mp4文件格式，使用H.264或H.265视频编码方式，分辨率至少为720P；</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录音\录像回放功能需求：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支持座席或管理员对语音通话录音进行调听回放，对视频通话录像进行下载回看。</w:t>
      </w:r>
    </w:p>
    <w:p>
      <w:pPr>
        <w:pStyle w:val="45010"/>
        <w:widowControl w:val="0"/>
        <w:numPr>
          <w:ilvl w:val="0"/>
          <w:numId w:val="11"/>
        </w:numPr>
        <w:tabs>
          <w:tab w:val="left" w:pos="0"/>
        </w:tabs>
        <w:spacing w:line="400" w:lineRule="exact"/>
        <w:ind w:left="0" w:firstLine="0"/>
        <w:jc w:val="both"/>
        <w:rPr>
          <w:rFonts w:ascii="Times New Roman" w:eastAsia="方正仿宋_GBK" w:hAnsi="Times New Roman"/>
          <w:b/>
          <w:bCs/>
          <w:sz w:val="28"/>
          <w:szCs w:val="28"/>
        </w:rPr>
      </w:pPr>
      <w:r>
        <w:rPr>
          <w:rFonts w:ascii="Times New Roman" w:eastAsia="方正仿宋_GBK" w:hAnsi="Times New Roman" w:cs="Times New Roman"/>
          <w:b/>
          <w:bCs/>
          <w:sz w:val="28"/>
          <w:szCs w:val="28"/>
          <w:lang w:bidi="ar-SA"/>
        </w:rPr>
        <w:t>座席管理功能</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座席状态监控功能需求：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提供座席状态监控功能，支持管理人员可以通过座席状态监控功能查看当前的坐席人员列表以及每个坐席的工作状态；支持为管理人员展示不同状态的座席汇总和统计数据。</w:t>
      </w:r>
    </w:p>
    <w:p>
      <w:pPr>
        <w:pStyle w:val="45010"/>
        <w:widowControl w:val="0"/>
        <w:numPr>
          <w:ilvl w:val="0"/>
          <w:numId w:val="4"/>
        </w:numPr>
        <w:tabs>
          <w:tab w:val="left" w:pos="0"/>
        </w:tabs>
        <w:spacing w:line="400" w:lineRule="exact"/>
        <w:ind w:left="56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座席实时质检功能需求：</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支持管理员对正在通话中的座席进行插入、拦截、耳语、侦听操作；支持座席进行强制示忙、强制示闲、强制签出操作。</w:t>
      </w:r>
    </w:p>
    <w:p>
      <w:pPr>
        <w:pStyle w:val="45010"/>
        <w:widowControl w:val="0"/>
        <w:numPr>
          <w:ilvl w:val="0"/>
          <w:numId w:val="12"/>
        </w:numPr>
        <w:tabs>
          <w:tab w:val="left" w:pos="0"/>
        </w:tabs>
        <w:spacing w:line="400" w:lineRule="exact"/>
        <w:ind w:left="0" w:firstLine="0"/>
        <w:jc w:val="both"/>
        <w:rPr>
          <w:rFonts w:ascii="Times New Roman" w:eastAsia="方正仿宋_GBK" w:hAnsi="Times New Roman"/>
          <w:b/>
          <w:bCs/>
          <w:sz w:val="28"/>
          <w:szCs w:val="28"/>
        </w:rPr>
      </w:pPr>
      <w:r>
        <w:rPr>
          <w:rFonts w:ascii="Times New Roman" w:eastAsia="方正仿宋_GBK" w:hAnsi="Times New Roman" w:cs="Times New Roman"/>
          <w:b/>
          <w:bCs/>
          <w:sz w:val="28"/>
          <w:szCs w:val="28"/>
          <w:lang w:bidi="ar-SA"/>
        </w:rPr>
        <w:t>座席通话操作功能</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支持座席通话相关操作功能，包括座席签入、签出、来电提醒、应答、释放、内部求助、呼叫转移</w:t>
      </w:r>
      <w:r>
        <w:rPr>
          <w:rFonts w:ascii="Times New Roman" w:eastAsia="方正仿宋_GBK" w:hAnsi="Times New Roman" w:cs="Times New Roman" w:hint="eastAsia"/>
          <w:sz w:val="28"/>
          <w:szCs w:val="28"/>
          <w:lang w:bidi="ar-SA"/>
        </w:rPr>
        <w:t>（转队列、转IVR）</w:t>
      </w:r>
      <w:r>
        <w:rPr>
          <w:rFonts w:ascii="Times New Roman" w:eastAsia="方正仿宋_GBK" w:hAnsi="Times New Roman" w:cs="Times New Roman"/>
          <w:sz w:val="28"/>
          <w:szCs w:val="28"/>
          <w:lang w:bidi="ar-SA"/>
        </w:rPr>
        <w:t>、通话保持\取保持、静音\取消静音、三方通话、</w:t>
      </w:r>
      <w:r>
        <w:rPr>
          <w:rFonts w:ascii="Times New Roman" w:eastAsia="方正仿宋_GBK" w:hAnsi="Times New Roman" w:cs="Times New Roman" w:hint="eastAsia"/>
          <w:sz w:val="28"/>
          <w:szCs w:val="28"/>
          <w:lang w:bidi="ar-SA"/>
        </w:rPr>
        <w:t>呼出、</w:t>
      </w:r>
      <w:r>
        <w:rPr>
          <w:rFonts w:ascii="Times New Roman" w:eastAsia="方正仿宋_GBK" w:hAnsi="Times New Roman" w:cs="Times New Roman"/>
          <w:sz w:val="28"/>
          <w:szCs w:val="28"/>
          <w:lang w:bidi="ar-SA"/>
        </w:rPr>
        <w:t>示忙、示闲、座席整理、座席休息操作。</w:t>
      </w:r>
    </w:p>
    <w:p>
      <w:pPr>
        <w:pStyle w:val="45010"/>
        <w:widowControl w:val="0"/>
        <w:numPr>
          <w:ilvl w:val="0"/>
          <w:numId w:val="13"/>
        </w:numPr>
        <w:tabs>
          <w:tab w:val="left" w:pos="0"/>
        </w:tabs>
        <w:spacing w:line="400" w:lineRule="exact"/>
        <w:ind w:left="0" w:firstLine="0"/>
        <w:jc w:val="both"/>
        <w:rPr>
          <w:rFonts w:ascii="Times New Roman" w:eastAsia="方正仿宋_GBK" w:hAnsi="Times New Roman"/>
          <w:b/>
          <w:bCs/>
          <w:sz w:val="28"/>
          <w:szCs w:val="28"/>
        </w:rPr>
      </w:pPr>
      <w:r>
        <w:rPr>
          <w:rFonts w:ascii="Times New Roman" w:eastAsia="方正仿宋_GBK" w:hAnsi="Times New Roman" w:cs="Times New Roman"/>
          <w:b/>
          <w:bCs/>
          <w:sz w:val="28"/>
          <w:szCs w:val="28"/>
          <w:lang w:bidi="ar-SA"/>
        </w:rPr>
        <w:t>话机软件功能</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提供话机软件功能，座席人员可在工作电脑上安装话机软件后接听咨询人来话，话机软件支持密码认证登录功能、提供拨号盘、语音呼叫、视频呼叫、来电提醒、静音、音量调节、通话信号强弱展示功能。</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p>
    <w:p>
      <w:pPr>
        <w:pStyle w:val="45010"/>
        <w:widowControl w:val="0"/>
        <w:numPr>
          <w:ilvl w:val="0"/>
          <w:numId w:val="14"/>
        </w:numPr>
        <w:tabs>
          <w:tab w:val="left" w:pos="0"/>
        </w:tabs>
        <w:spacing w:line="400" w:lineRule="exact"/>
        <w:ind w:left="0" w:firstLine="0"/>
        <w:jc w:val="both"/>
        <w:rPr>
          <w:rFonts w:ascii="Times New Roman" w:eastAsia="方正仿宋_GBK" w:hAnsi="Times New Roman"/>
          <w:b/>
          <w:bCs/>
          <w:sz w:val="28"/>
          <w:szCs w:val="28"/>
        </w:rPr>
      </w:pPr>
      <w:r>
        <w:rPr>
          <w:rFonts w:ascii="Times New Roman" w:eastAsia="方正仿宋_GBK" w:hAnsi="Times New Roman" w:cs="Times New Roman" w:hint="eastAsia"/>
          <w:b/>
          <w:bCs/>
          <w:sz w:val="28"/>
          <w:szCs w:val="28"/>
          <w:lang w:bidi="ar-SA"/>
        </w:rPr>
        <w:t>多租户管理功能</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hint="eastAsia"/>
          <w:sz w:val="28"/>
          <w:szCs w:val="28"/>
        </w:rPr>
        <w:t>支持多租户管理功能，可以在一套环境中创建多个租户，租户之间数据隔离。</w:t>
      </w:r>
    </w:p>
    <w:p>
      <w:pPr>
        <w:pStyle w:val="45010"/>
        <w:widowControl w:val="0"/>
        <w:numPr>
          <w:ilvl w:val="0"/>
          <w:numId w:val="15"/>
        </w:numPr>
        <w:tabs>
          <w:tab w:val="left" w:pos="0"/>
        </w:tabs>
        <w:spacing w:line="400" w:lineRule="exact"/>
        <w:ind w:left="0" w:firstLine="0"/>
        <w:jc w:val="both"/>
        <w:rPr>
          <w:rFonts w:ascii="Times New Roman" w:eastAsia="方正仿宋_GBK" w:hAnsi="Times New Roman"/>
          <w:b/>
          <w:bCs/>
          <w:sz w:val="28"/>
          <w:szCs w:val="28"/>
        </w:rPr>
      </w:pPr>
      <w:r>
        <w:rPr>
          <w:rFonts w:ascii="Times New Roman" w:eastAsia="方正仿宋_GBK" w:hAnsi="Times New Roman" w:cs="Times New Roman" w:hint="eastAsia"/>
          <w:b/>
          <w:bCs/>
          <w:sz w:val="28"/>
          <w:szCs w:val="28"/>
          <w:lang w:bidi="ar-SA"/>
        </w:rPr>
        <w:t>系统运维工具</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hint="eastAsia"/>
          <w:sz w:val="28"/>
          <w:szCs w:val="28"/>
        </w:rPr>
        <w:t>提供系统运维监控工具，对系统运行状态进行实时监控，当发现异常时，通过外呼、邮件、短信方式实时下发告警信息通知运维人员处理。</w:t>
      </w:r>
    </w:p>
    <w:p>
      <w:pPr>
        <w:pStyle w:val="450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证明材料要求：投标人提供确认函，并加盖投标人和产品制造商公章。</w:t>
      </w:r>
    </w:p>
    <w:p>
      <w:pPr>
        <w:spacing w:line="400" w:lineRule="exact"/>
        <w:ind w:firstLine="560" w:firstLineChars="200"/>
        <w:rPr>
          <w:rFonts w:eastAsia="方正仿宋_GBK"/>
          <w:sz w:val="28"/>
          <w:szCs w:val="28"/>
        </w:rPr>
      </w:pPr>
    </w:p>
    <w:p>
      <w:pPr>
        <w:spacing w:line="400" w:lineRule="exact"/>
        <w:ind w:firstLine="560" w:firstLineChars="200"/>
        <w:outlineLvl w:val="4"/>
        <w:rPr>
          <w:rFonts w:eastAsia="方正仿宋_GBK"/>
          <w:b/>
          <w:bCs/>
          <w:snapToGrid w:val="0"/>
          <w:sz w:val="28"/>
          <w:szCs w:val="28"/>
        </w:rPr>
      </w:pPr>
      <w:r>
        <w:rPr>
          <w:rFonts w:ascii="Times New Roman" w:eastAsia="方正仿宋_GBK" w:hAnsi="Times New Roman" w:cs="Times New Roman"/>
          <w:b/>
          <w:bCs/>
          <w:snapToGrid w:val="0"/>
          <w:sz w:val="28"/>
          <w:szCs w:val="28"/>
          <w:lang w:bidi="ar-SA"/>
        </w:rPr>
        <w:t>4.</w:t>
      </w:r>
      <w:r>
        <w:rPr>
          <w:rFonts w:ascii="Times New Roman" w:eastAsia="方正仿宋_GBK" w:hAnsi="Times New Roman" w:cs="Times New Roman"/>
          <w:b/>
          <w:bCs/>
          <w:sz w:val="28"/>
          <w:szCs w:val="28"/>
          <w:lang w:bidi="ar-SA"/>
        </w:rPr>
        <w:t xml:space="preserve"> 主要配置</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★4.1 产品配置</w:t>
      </w:r>
    </w:p>
    <w:p>
      <w:pPr>
        <w:numPr>
          <w:ilvl w:val="0"/>
          <w:numId w:val="16"/>
        </w:numPr>
        <w:spacing w:line="400" w:lineRule="exact"/>
        <w:ind w:left="560" w:firstLine="560" w:firstLineChars="200"/>
        <w:rPr>
          <w:rFonts w:eastAsia="方正仿宋_GBK"/>
          <w:sz w:val="28"/>
          <w:szCs w:val="28"/>
        </w:rPr>
      </w:pPr>
      <w:r>
        <w:rPr>
          <w:rFonts w:ascii="Times New Roman" w:eastAsia="方正仿宋_GBK" w:hAnsi="Times New Roman" w:cs="Times New Roman"/>
          <w:sz w:val="28"/>
          <w:szCs w:val="28"/>
          <w:lang w:bidi="ar-SA"/>
        </w:rPr>
        <w:t>包含语音接入功能包，满足可签入语音坐席：大于等于600席；语音坐席通话并发：大于等于</w:t>
      </w:r>
      <w:r>
        <w:rPr>
          <w:rFonts w:ascii="Times New Roman" w:eastAsia="方正仿宋_GBK" w:hAnsi="Times New Roman" w:cs="Times New Roman" w:hint="eastAsia"/>
          <w:sz w:val="28"/>
          <w:szCs w:val="28"/>
          <w:lang w:bidi="ar-SA"/>
        </w:rPr>
        <w:t>6</w:t>
      </w:r>
      <w:r>
        <w:rPr>
          <w:rFonts w:ascii="Times New Roman" w:eastAsia="方正仿宋_GBK" w:hAnsi="Times New Roman" w:cs="Times New Roman"/>
          <w:sz w:val="28"/>
          <w:szCs w:val="28"/>
          <w:lang w:bidi="ar-SA"/>
        </w:rPr>
        <w:t>00席；</w:t>
      </w:r>
    </w:p>
    <w:p>
      <w:pPr>
        <w:numPr>
          <w:ilvl w:val="0"/>
          <w:numId w:val="16"/>
        </w:numPr>
        <w:spacing w:line="400" w:lineRule="exact"/>
        <w:ind w:left="560" w:firstLine="560" w:firstLineChars="200"/>
        <w:rPr>
          <w:rFonts w:eastAsia="方正仿宋_GBK"/>
          <w:sz w:val="28"/>
          <w:szCs w:val="28"/>
        </w:rPr>
      </w:pPr>
      <w:r>
        <w:rPr>
          <w:rFonts w:ascii="Times New Roman" w:eastAsia="方正仿宋_GBK" w:hAnsi="Times New Roman" w:cs="Times New Roman"/>
          <w:sz w:val="28"/>
          <w:szCs w:val="28"/>
          <w:lang w:bidi="ar-SA"/>
        </w:rPr>
        <w:t>包含视频接入功能包，满足5G视频坐席并发：大于等于15席；</w:t>
      </w:r>
    </w:p>
    <w:p>
      <w:pPr>
        <w:numPr>
          <w:ilvl w:val="0"/>
          <w:numId w:val="16"/>
        </w:numPr>
        <w:spacing w:line="400" w:lineRule="exact"/>
        <w:ind w:left="560" w:firstLine="560" w:firstLineChars="200"/>
        <w:rPr>
          <w:rFonts w:eastAsia="方正仿宋_GBK"/>
          <w:sz w:val="28"/>
          <w:szCs w:val="28"/>
        </w:rPr>
      </w:pPr>
      <w:r>
        <w:rPr>
          <w:rFonts w:ascii="Times New Roman" w:eastAsia="方正仿宋_GBK" w:hAnsi="Times New Roman" w:cs="Times New Roman"/>
          <w:sz w:val="28"/>
          <w:szCs w:val="28"/>
          <w:lang w:bidi="ar-SA"/>
        </w:rPr>
        <w:t>包含IVR服务功能包，满足视频IVR并发：大于等于15路；语音IVR并发：大于等于1200路</w:t>
      </w:r>
    </w:p>
    <w:p>
      <w:pPr>
        <w:numPr>
          <w:ilvl w:val="0"/>
          <w:numId w:val="16"/>
        </w:numPr>
        <w:spacing w:line="400" w:lineRule="exact"/>
        <w:ind w:left="560" w:firstLine="560" w:firstLineChars="200"/>
        <w:rPr>
          <w:rFonts w:eastAsia="方正仿宋_GBK"/>
          <w:sz w:val="28"/>
          <w:szCs w:val="28"/>
        </w:rPr>
      </w:pPr>
      <w:r>
        <w:rPr>
          <w:rFonts w:ascii="Times New Roman" w:eastAsia="方正仿宋_GBK" w:hAnsi="Times New Roman" w:cs="Times New Roman"/>
          <w:sz w:val="28"/>
          <w:szCs w:val="28"/>
          <w:lang w:bidi="ar-SA"/>
        </w:rPr>
        <w:t>包含双声道录音功能，满足大于等于</w:t>
      </w:r>
      <w:r>
        <w:rPr>
          <w:rFonts w:ascii="Times New Roman" w:eastAsia="方正仿宋_GBK" w:hAnsi="Times New Roman" w:cs="Times New Roman" w:hint="eastAsia"/>
          <w:sz w:val="28"/>
          <w:szCs w:val="28"/>
          <w:lang w:bidi="ar-SA"/>
        </w:rPr>
        <w:t>6</w:t>
      </w:r>
      <w:r>
        <w:rPr>
          <w:rFonts w:ascii="Times New Roman" w:eastAsia="方正仿宋_GBK" w:hAnsi="Times New Roman" w:cs="Times New Roman"/>
          <w:sz w:val="28"/>
          <w:szCs w:val="28"/>
          <w:lang w:bidi="ar-SA"/>
        </w:rPr>
        <w:t>00座席通话录音需求；</w:t>
      </w:r>
    </w:p>
    <w:p>
      <w:pPr>
        <w:numPr>
          <w:ilvl w:val="0"/>
          <w:numId w:val="16"/>
        </w:numPr>
        <w:spacing w:line="400" w:lineRule="exact"/>
        <w:ind w:left="560" w:firstLine="560" w:firstLineChars="200"/>
        <w:rPr>
          <w:rFonts w:eastAsia="方正仿宋_GBK"/>
          <w:sz w:val="28"/>
          <w:szCs w:val="28"/>
        </w:rPr>
      </w:pPr>
      <w:r>
        <w:rPr>
          <w:rFonts w:ascii="Times New Roman" w:eastAsia="方正仿宋_GBK" w:hAnsi="Times New Roman" w:cs="Times New Roman"/>
          <w:sz w:val="28"/>
          <w:szCs w:val="28"/>
          <w:lang w:bidi="ar-SA"/>
        </w:rPr>
        <w:t>包含视频录像功能，满足大于等于15视频座席通话录像需求；</w:t>
      </w:r>
    </w:p>
    <w:p>
      <w:pPr>
        <w:numPr>
          <w:ilvl w:val="0"/>
          <w:numId w:val="16"/>
        </w:numPr>
        <w:spacing w:line="400" w:lineRule="exact"/>
        <w:ind w:left="560" w:firstLine="560" w:firstLineChars="200"/>
        <w:rPr>
          <w:rFonts w:eastAsia="方正仿宋_GBK"/>
          <w:sz w:val="28"/>
          <w:szCs w:val="28"/>
        </w:rPr>
      </w:pPr>
      <w:r>
        <w:rPr>
          <w:rFonts w:ascii="Times New Roman" w:eastAsia="方正仿宋_GBK" w:hAnsi="Times New Roman" w:cs="Times New Roman"/>
          <w:sz w:val="28"/>
          <w:szCs w:val="28"/>
          <w:lang w:bidi="ar-SA"/>
        </w:rPr>
        <w:t>包含多租户功能包，产品配置满足至少85个租户使用。</w:t>
      </w:r>
    </w:p>
    <w:p>
      <w:pPr>
        <w:numPr>
          <w:ilvl w:val="0"/>
          <w:numId w:val="16"/>
        </w:numPr>
        <w:spacing w:line="400" w:lineRule="exact"/>
        <w:ind w:left="560" w:firstLine="560" w:firstLineChars="200"/>
        <w:rPr>
          <w:rFonts w:eastAsia="方正仿宋_GBK"/>
          <w:sz w:val="28"/>
          <w:szCs w:val="28"/>
        </w:rPr>
      </w:pPr>
      <w:r>
        <w:rPr>
          <w:rFonts w:ascii="Times New Roman" w:eastAsia="方正仿宋_GBK" w:hAnsi="Times New Roman" w:cs="Times New Roman"/>
          <w:snapToGrid w:val="0"/>
          <w:sz w:val="28"/>
          <w:szCs w:val="28"/>
          <w:lang w:bidi="ar-SA"/>
        </w:rPr>
        <w:t>包含生产环境（双活部署，北京、广东两地）、开发环境、测试环境共四套环境；</w:t>
      </w:r>
    </w:p>
    <w:p>
      <w:pPr>
        <w:spacing w:line="400" w:lineRule="exact"/>
        <w:ind w:left="1120" w:firstLine="0"/>
        <w:rPr>
          <w:rFonts w:eastAsia="方正仿宋_GBK"/>
          <w:sz w:val="28"/>
          <w:szCs w:val="28"/>
        </w:rPr>
      </w:pPr>
      <w:r>
        <w:rPr>
          <w:rFonts w:ascii="Times New Roman" w:eastAsia="方正仿宋_GBK" w:hAnsi="Times New Roman" w:cs="Times New Roman"/>
          <w:sz w:val="28"/>
          <w:szCs w:val="28"/>
          <w:lang w:bidi="ar-SA"/>
        </w:rPr>
        <w:t>证明材料要求：投标人提供承诺函，并加盖投标人公章。</w:t>
      </w:r>
    </w:p>
    <w:p>
      <w:pPr>
        <w:spacing w:line="400" w:lineRule="exact"/>
        <w:ind w:firstLine="560" w:firstLineChars="200"/>
        <w:rPr>
          <w:rFonts w:eastAsia="方正仿宋_GBK" w:cs="宋体"/>
          <w:bCs/>
          <w:snapToGrid w:val="0"/>
          <w:sz w:val="28"/>
          <w:szCs w:val="28"/>
        </w:rPr>
      </w:pPr>
    </w:p>
    <w:p>
      <w:pPr>
        <w:spacing w:before="260" w:after="260" w:line="400" w:lineRule="exact"/>
        <w:ind w:firstLine="560" w:firstLineChars="200"/>
        <w:jc w:val="left"/>
        <w:outlineLvl w:val="3"/>
        <w:rPr>
          <w:rFonts w:eastAsia="方正楷体_GBK" w:cs="微软雅黑"/>
          <w:b/>
          <w:bCs/>
          <w:sz w:val="28"/>
          <w:szCs w:val="28"/>
        </w:rPr>
      </w:pPr>
      <w:r>
        <w:rPr>
          <w:rFonts w:ascii="Times New Roman" w:eastAsia="方正楷体_GBK" w:hAnsi="Times New Roman" w:cs="微软雅黑" w:hint="eastAsia"/>
          <w:b/>
          <w:bCs/>
          <w:sz w:val="28"/>
          <w:szCs w:val="28"/>
          <w:lang w:bidi="ar-SA"/>
        </w:rPr>
        <w:t>（二）品目2（语音网关）</w:t>
      </w:r>
    </w:p>
    <w:p>
      <w:pPr>
        <w:spacing w:line="400" w:lineRule="exact"/>
        <w:ind w:firstLine="560" w:firstLineChars="200"/>
        <w:outlineLvl w:val="4"/>
        <w:rPr>
          <w:rFonts w:eastAsia="方正仿宋_GBK"/>
          <w:b/>
          <w:bCs/>
          <w:sz w:val="28"/>
          <w:szCs w:val="28"/>
        </w:rPr>
      </w:pPr>
      <w:r>
        <w:rPr>
          <w:rFonts w:ascii="Times New Roman" w:eastAsia="方正仿宋_GBK" w:hAnsi="Times New Roman" w:cs="Times New Roman"/>
          <w:b/>
          <w:bCs/>
          <w:sz w:val="28"/>
          <w:szCs w:val="28"/>
          <w:lang w:bidi="ar-SA"/>
        </w:rPr>
        <w:t>1.主要用途</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中继语音网关是一种重要的通信设备，</w:t>
      </w:r>
      <w:r>
        <w:rPr>
          <w:rFonts w:ascii="Times New Roman" w:eastAsia="方正仿宋_GBK" w:hAnsi="Times New Roman" w:cs="Times New Roman" w:hint="eastAsia"/>
          <w:sz w:val="28"/>
          <w:szCs w:val="28"/>
          <w:lang w:bidi="ar-SA"/>
        </w:rPr>
        <w:t>是实现用户与海关12360热线通过电话沟通的重要方式，</w:t>
      </w:r>
      <w:r>
        <w:rPr>
          <w:rFonts w:ascii="Times New Roman" w:eastAsia="方正仿宋_GBK" w:hAnsi="Times New Roman" w:cs="Times New Roman"/>
          <w:sz w:val="28"/>
          <w:szCs w:val="28"/>
          <w:lang w:bidi="ar-SA"/>
        </w:rPr>
        <w:t>其主要用途在于实现不同通信网络之间的语音通信转换和连接。可以将各地海关现有从运营商接入的</w:t>
      </w:r>
      <w:r>
        <w:rPr>
          <w:rFonts w:ascii="Times New Roman" w:eastAsia="方正仿宋_GBK" w:hAnsi="Times New Roman" w:cs="Times New Roman"/>
          <w:color w:val="000000"/>
          <w:sz w:val="28"/>
          <w:szCs w:val="28"/>
          <w:lang w:bidi="ar-SA"/>
        </w:rPr>
        <w:t>数字中继线与本项目搭建的语音话务系统</w:t>
      </w:r>
      <w:r>
        <w:rPr>
          <w:rFonts w:ascii="Times New Roman" w:eastAsia="方正仿宋_GBK" w:hAnsi="Times New Roman" w:cs="Times New Roman"/>
          <w:sz w:val="28"/>
          <w:szCs w:val="28"/>
          <w:lang w:bidi="ar-SA"/>
        </w:rPr>
        <w:t>连接起来，使得各地的企业群众呼入电话请求均可连接至语音话务系统，实现全国服务统一接入并管理。</w:t>
      </w:r>
    </w:p>
    <w:p>
      <w:pPr>
        <w:spacing w:line="400" w:lineRule="exact"/>
        <w:ind w:firstLine="560" w:firstLineChars="200"/>
        <w:outlineLvl w:val="4"/>
        <w:rPr>
          <w:rFonts w:eastAsia="方正仿宋_GBK"/>
          <w:b/>
          <w:bCs/>
          <w:sz w:val="28"/>
          <w:szCs w:val="28"/>
        </w:rPr>
      </w:pPr>
      <w:r>
        <w:rPr>
          <w:rFonts w:ascii="Times New Roman" w:eastAsia="方正仿宋_GBK" w:hAnsi="Times New Roman" w:cs="Times New Roman"/>
          <w:b/>
          <w:bCs/>
          <w:sz w:val="28"/>
          <w:szCs w:val="28"/>
          <w:lang w:bidi="ar-SA"/>
        </w:rPr>
        <w:t>★2.特殊资质要求</w:t>
      </w:r>
    </w:p>
    <w:p>
      <w:pPr>
        <w:pStyle w:val="489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2.1语音网关-资质证书需求</w:t>
        <w:tab/>
      </w:r>
    </w:p>
    <w:p>
      <w:pPr>
        <w:pStyle w:val="489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hint="eastAsia"/>
          <w:sz w:val="28"/>
          <w:szCs w:val="28"/>
          <w:lang w:bidi="ar-SA"/>
        </w:rPr>
        <w:t>所投产品需具备</w:t>
      </w:r>
      <w:r>
        <w:rPr>
          <w:rFonts w:ascii="Times New Roman" w:eastAsia="方正仿宋_GBK" w:hAnsi="Times New Roman" w:cs="Times New Roman"/>
          <w:sz w:val="28"/>
          <w:szCs w:val="28"/>
          <w:lang w:bidi="ar-SA"/>
        </w:rPr>
        <w:t>工信部颁发的电信设备进网许可证，且进网许可证应在有效期内</w:t>
      </w:r>
      <w:r>
        <w:rPr>
          <w:rFonts w:ascii="Times New Roman" w:eastAsia="方正仿宋_GBK" w:hAnsi="Times New Roman" w:cs="Times New Roman" w:hint="eastAsia"/>
          <w:sz w:val="28"/>
          <w:szCs w:val="28"/>
          <w:lang w:bidi="ar-SA"/>
        </w:rPr>
        <w:t>。</w:t>
      </w:r>
    </w:p>
    <w:p>
      <w:pPr>
        <w:pStyle w:val="489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证明材料要求：投标人提供进网许可证复印件并加盖投标人公章</w:t>
      </w:r>
    </w:p>
    <w:p>
      <w:pPr>
        <w:pStyle w:val="49210"/>
        <w:spacing w:line="40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2.2语音网关-资质证书</w:t>
        <w:tab/>
      </w:r>
    </w:p>
    <w:p>
      <w:pPr>
        <w:pStyle w:val="49210"/>
        <w:spacing w:line="40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所投产品具有国家3C认证</w:t>
      </w:r>
      <w:r>
        <w:rPr>
          <w:rFonts w:ascii="Times New Roman" w:eastAsia="方正仿宋_GBK" w:hAnsi="Times New Roman" w:cs="Times New Roman" w:hint="eastAsia"/>
          <w:sz w:val="28"/>
          <w:szCs w:val="28"/>
          <w:lang w:bidi="ar-SA"/>
        </w:rPr>
        <w:t>。</w:t>
      </w:r>
    </w:p>
    <w:p>
      <w:pPr>
        <w:pStyle w:val="49210"/>
        <w:spacing w:line="40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证明材料要求：投标人提供相关证书复印件并加盖投标人公章</w:t>
      </w:r>
      <w:r>
        <w:rPr>
          <w:rFonts w:ascii="Times New Roman" w:eastAsia="方正仿宋_GBK" w:hAnsi="Times New Roman" w:cs="Times New Roman" w:hint="eastAsia"/>
          <w:sz w:val="28"/>
          <w:szCs w:val="28"/>
          <w:lang w:bidi="ar-SA"/>
        </w:rPr>
        <w:t>。</w:t>
      </w:r>
    </w:p>
    <w:p>
      <w:pPr>
        <w:spacing w:line="400" w:lineRule="exact"/>
        <w:ind w:firstLine="560" w:firstLineChars="200"/>
        <w:rPr>
          <w:rFonts w:eastAsia="方正仿宋_GBK"/>
          <w:sz w:val="28"/>
          <w:szCs w:val="28"/>
        </w:rPr>
      </w:pPr>
    </w:p>
    <w:p>
      <w:pPr>
        <w:spacing w:line="400" w:lineRule="exact"/>
        <w:ind w:firstLine="560" w:firstLineChars="200"/>
        <w:outlineLvl w:val="4"/>
        <w:rPr>
          <w:rFonts w:eastAsia="方正仿宋_GBK"/>
          <w:b/>
          <w:bCs/>
          <w:sz w:val="28"/>
          <w:szCs w:val="28"/>
        </w:rPr>
      </w:pPr>
      <w:r>
        <w:rPr>
          <w:rFonts w:ascii="Times New Roman" w:eastAsia="方正仿宋_GBK" w:hAnsi="Times New Roman" w:cs="Times New Roman"/>
          <w:b/>
          <w:bCs/>
          <w:sz w:val="28"/>
          <w:szCs w:val="28"/>
          <w:lang w:bidi="ar-SA"/>
        </w:rPr>
        <w:t>3. 主要技术参数</w:t>
      </w:r>
    </w:p>
    <w:p>
      <w:pPr>
        <w:pStyle w:val="49810"/>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▲3.1</w:t>
        <w:tab/>
        <w:t>语音网关-进网检验报告</w:t>
      </w:r>
    </w:p>
    <w:p>
      <w:pPr>
        <w:pStyle w:val="49910"/>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所投产品需提供</w:t>
      </w:r>
      <w:r>
        <w:rPr>
          <w:rFonts w:eastAsia="方正仿宋_GBK" w:hint="eastAsia"/>
          <w:snapToGrid w:val="0"/>
          <w:sz w:val="28"/>
          <w:szCs w:val="28"/>
        </w:rPr>
        <w:t>具备</w:t>
      </w:r>
      <w:r>
        <w:rPr>
          <w:rFonts w:eastAsia="方正仿宋_GBK"/>
          <w:snapToGrid w:val="0"/>
          <w:sz w:val="28"/>
          <w:szCs w:val="28"/>
        </w:rPr>
        <w:t>CMA资质的</w:t>
      </w:r>
      <w:r>
        <w:rPr>
          <w:rFonts w:ascii="Times New Roman" w:eastAsia="方正仿宋_GBK" w:hAnsi="Times New Roman" w:cs="Times New Roman" w:hint="eastAsia"/>
          <w:sz w:val="28"/>
          <w:szCs w:val="28"/>
          <w:lang w:bidi="ar-SA"/>
        </w:rPr>
        <w:t>第三方机构</w:t>
      </w:r>
      <w:r>
        <w:rPr>
          <w:rFonts w:ascii="Times New Roman" w:eastAsia="方正仿宋_GBK" w:hAnsi="Times New Roman" w:cs="Times New Roman"/>
          <w:sz w:val="28"/>
          <w:szCs w:val="28"/>
          <w:lang w:bidi="ar-SA"/>
        </w:rPr>
        <w:t>出具的进网检验报告并通过认证。</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w:t>
      </w:r>
      <w:r>
        <w:rPr>
          <w:rFonts w:ascii="Times New Roman" w:eastAsia="方正仿宋_GBK" w:hAnsi="Times New Roman" w:cs="Times New Roman"/>
          <w:snapToGrid w:val="0"/>
          <w:sz w:val="28"/>
          <w:szCs w:val="28"/>
          <w:lang w:bidi="ar-SA"/>
        </w:rPr>
        <w:t>投标人须提供所投产品的</w:t>
      </w:r>
      <w:r>
        <w:rPr>
          <w:rFonts w:eastAsia="方正仿宋_GBK" w:hint="eastAsia"/>
          <w:snapToGrid w:val="0"/>
          <w:sz w:val="28"/>
          <w:szCs w:val="28"/>
        </w:rPr>
        <w:t>具备</w:t>
      </w:r>
      <w:r>
        <w:rPr>
          <w:rFonts w:eastAsia="方正仿宋_GBK"/>
          <w:snapToGrid w:val="0"/>
          <w:sz w:val="28"/>
          <w:szCs w:val="28"/>
        </w:rPr>
        <w:t>CMA资质的</w:t>
      </w:r>
      <w:r>
        <w:rPr>
          <w:rFonts w:ascii="Times New Roman" w:eastAsia="方正仿宋_GBK" w:hAnsi="Times New Roman" w:cs="Times New Roman"/>
          <w:snapToGrid w:val="0"/>
          <w:sz w:val="28"/>
          <w:szCs w:val="28"/>
          <w:lang w:bidi="ar-SA"/>
        </w:rPr>
        <w:t>第三方机构测试报告复印件并加盖投标人和产品制造商公章，投标人保留测试报告原件备查。</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3.2</w:t>
        <w:tab/>
        <w:t>语音网关-用户登录认证</w:t>
        <w:tab/>
      </w:r>
    </w:p>
    <w:p>
      <w:pPr>
        <w:spacing w:line="400" w:lineRule="exact"/>
        <w:ind w:firstLine="560" w:firstLineChars="200"/>
        <w:jc w:val="left"/>
        <w:rPr>
          <w:rFonts w:eastAsia="方正仿宋_GBK"/>
          <w:sz w:val="28"/>
          <w:szCs w:val="28"/>
        </w:rPr>
      </w:pPr>
      <w:r>
        <w:rPr>
          <w:rFonts w:ascii="Times New Roman" w:eastAsia="方正仿宋_GBK" w:hAnsi="Times New Roman" w:cs="Times New Roman" w:hint="eastAsia"/>
          <w:sz w:val="28"/>
          <w:szCs w:val="28"/>
          <w:lang w:bidi="ar-SA"/>
        </w:rPr>
        <w:t>所投产品需</w:t>
      </w:r>
      <w:r>
        <w:rPr>
          <w:rFonts w:ascii="Times New Roman" w:eastAsia="方正仿宋_GBK" w:hAnsi="Times New Roman" w:cs="Times New Roman"/>
          <w:sz w:val="28"/>
          <w:szCs w:val="28"/>
          <w:lang w:bidi="ar-SA"/>
        </w:rPr>
        <w:t>支持RADIUS（web可查看配置项）</w:t>
      </w:r>
      <w:r>
        <w:rPr>
          <w:rFonts w:ascii="Times New Roman" w:eastAsia="方正仿宋_GBK" w:hAnsi="Times New Roman" w:cs="Times New Roman" w:hint="eastAsia"/>
          <w:sz w:val="28"/>
          <w:szCs w:val="28"/>
          <w:lang w:bidi="ar-SA"/>
        </w:rPr>
        <w:t>。</w:t>
      </w:r>
      <w:r>
        <w:rPr>
          <w:rFonts w:ascii="Times New Roman" w:eastAsia="方正仿宋_GBK" w:hAnsi="Times New Roman" w:cs="Times New Roman"/>
          <w:sz w:val="28"/>
          <w:szCs w:val="28"/>
          <w:lang w:bidi="ar-SA"/>
        </w:rPr>
        <w:tab/>
      </w:r>
    </w:p>
    <w:p>
      <w:pPr>
        <w:spacing w:line="400" w:lineRule="exact"/>
        <w:ind w:firstLine="560" w:firstLineChars="200"/>
        <w:jc w:val="left"/>
        <w:rPr>
          <w:rFonts w:eastAsia="方正仿宋_GBK"/>
          <w:sz w:val="28"/>
          <w:szCs w:val="28"/>
        </w:rPr>
      </w:pPr>
      <w:r>
        <w:rPr>
          <w:rFonts w:ascii="Times New Roman" w:eastAsia="方正仿宋_GBK" w:hAnsi="Times New Roman" w:cs="Times New Roman"/>
          <w:sz w:val="28"/>
          <w:szCs w:val="28"/>
          <w:lang w:bidi="ar-SA"/>
        </w:rPr>
        <w:t>证明材料要求：投标人提供</w:t>
      </w:r>
      <w:r>
        <w:rPr>
          <w:rFonts w:ascii="Times New Roman" w:eastAsia="方正仿宋_GBK" w:hAnsi="Times New Roman" w:cs="Times New Roman"/>
          <w:snapToGrid w:val="0"/>
          <w:sz w:val="28"/>
          <w:szCs w:val="28"/>
          <w:lang w:bidi="ar-SA"/>
        </w:rPr>
        <w:t>产品官方网站功能</w:t>
      </w:r>
      <w:r>
        <w:rPr>
          <w:rFonts w:ascii="Times New Roman" w:eastAsia="方正仿宋_GBK" w:hAnsi="Times New Roman" w:cs="Times New Roman" w:hint="eastAsia"/>
          <w:snapToGrid w:val="0"/>
          <w:sz w:val="28"/>
          <w:szCs w:val="28"/>
          <w:lang w:bidi="ar-SA"/>
        </w:rPr>
        <w:t>资料截图及链接</w:t>
      </w:r>
      <w:r>
        <w:rPr>
          <w:rFonts w:ascii="Times New Roman" w:eastAsia="方正仿宋_GBK" w:hAnsi="Times New Roman" w:cs="Times New Roman"/>
          <w:sz w:val="28"/>
          <w:szCs w:val="28"/>
          <w:lang w:bidi="ar-SA"/>
        </w:rPr>
        <w:t>并加盖投标人和产品制造商公章。</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3.3</w:t>
        <w:tab/>
        <w:t>语音网关-设备管理员身份认证</w:t>
        <w:tab/>
      </w:r>
    </w:p>
    <w:p>
      <w:pPr>
        <w:spacing w:line="400" w:lineRule="exact"/>
        <w:ind w:firstLine="560" w:firstLineChars="200"/>
        <w:jc w:val="left"/>
        <w:rPr>
          <w:rFonts w:eastAsia="方正仿宋_GBK"/>
          <w:sz w:val="28"/>
          <w:szCs w:val="28"/>
        </w:rPr>
      </w:pPr>
      <w:r>
        <w:rPr>
          <w:rFonts w:ascii="Times New Roman" w:eastAsia="方正仿宋_GBK" w:hAnsi="Times New Roman" w:cs="Times New Roman" w:hint="eastAsia"/>
          <w:sz w:val="28"/>
          <w:szCs w:val="28"/>
          <w:lang w:bidi="ar-SA"/>
        </w:rPr>
        <w:t>所投产品需</w:t>
      </w:r>
      <w:r>
        <w:rPr>
          <w:rFonts w:ascii="Times New Roman" w:eastAsia="方正仿宋_GBK" w:hAnsi="Times New Roman" w:cs="Times New Roman"/>
          <w:sz w:val="28"/>
          <w:szCs w:val="28"/>
          <w:lang w:bidi="ar-SA"/>
        </w:rPr>
        <w:t>支持TACACS+访问认证（web可查看配置项）</w:t>
      </w:r>
      <w:r>
        <w:rPr>
          <w:rFonts w:ascii="Times New Roman" w:eastAsia="方正仿宋_GBK" w:hAnsi="Times New Roman" w:cs="Times New Roman" w:hint="eastAsia"/>
          <w:sz w:val="28"/>
          <w:szCs w:val="28"/>
          <w:lang w:bidi="ar-SA"/>
        </w:rPr>
        <w:t>。</w:t>
      </w:r>
    </w:p>
    <w:p>
      <w:pPr>
        <w:spacing w:line="400" w:lineRule="exact"/>
        <w:ind w:firstLine="560" w:firstLineChars="200"/>
        <w:jc w:val="left"/>
        <w:rPr>
          <w:rFonts w:eastAsia="方正仿宋_GBK"/>
          <w:sz w:val="28"/>
          <w:szCs w:val="28"/>
        </w:rPr>
      </w:pPr>
      <w:r>
        <w:rPr>
          <w:rFonts w:ascii="Times New Roman" w:eastAsia="方正仿宋_GBK" w:hAnsi="Times New Roman" w:cs="Times New Roman"/>
          <w:sz w:val="28"/>
          <w:szCs w:val="28"/>
          <w:lang w:bidi="ar-SA"/>
        </w:rPr>
        <w:t>证明材料要求：投标人提供</w:t>
      </w:r>
      <w:r>
        <w:rPr>
          <w:rFonts w:ascii="Times New Roman" w:eastAsia="方正仿宋_GBK" w:hAnsi="Times New Roman" w:cs="Times New Roman"/>
          <w:snapToGrid w:val="0"/>
          <w:sz w:val="28"/>
          <w:szCs w:val="28"/>
          <w:lang w:bidi="ar-SA"/>
        </w:rPr>
        <w:t>产品官方网站功能</w:t>
      </w:r>
      <w:r>
        <w:rPr>
          <w:rFonts w:ascii="Times New Roman" w:eastAsia="方正仿宋_GBK" w:hAnsi="Times New Roman" w:cs="Times New Roman" w:hint="eastAsia"/>
          <w:snapToGrid w:val="0"/>
          <w:sz w:val="28"/>
          <w:szCs w:val="28"/>
          <w:lang w:bidi="ar-SA"/>
        </w:rPr>
        <w:t>资料截图及链接</w:t>
      </w:r>
      <w:r>
        <w:rPr>
          <w:rFonts w:ascii="Times New Roman" w:eastAsia="方正仿宋_GBK" w:hAnsi="Times New Roman" w:cs="Times New Roman"/>
          <w:sz w:val="28"/>
          <w:szCs w:val="28"/>
          <w:lang w:bidi="ar-SA"/>
        </w:rPr>
        <w:t>并加盖投标人和产品制造商公章。</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3.4语音网关-技术需求</w:t>
        <w:tab/>
      </w:r>
    </w:p>
    <w:p>
      <w:pPr>
        <w:pStyle w:val="43810"/>
        <w:widowControl w:val="0"/>
        <w:numPr>
          <w:ilvl w:val="0"/>
          <w:numId w:val="4"/>
        </w:numPr>
        <w:tabs>
          <w:tab w:val="left" w:pos="0"/>
        </w:tabs>
        <w:spacing w:line="400" w:lineRule="exact"/>
        <w:ind w:left="560" w:firstLine="560" w:firstLineChars="200"/>
        <w:jc w:val="both"/>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语音网关-网络需求：</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2个千兆以太网接口</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支持10/100/1000 Base-T自适应模式（web可查看）</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支持VLAN 802.1P/Q</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-语音/信令/管理vlan（web可查看）</w:t>
      </w:r>
    </w:p>
    <w:p>
      <w:pPr>
        <w:pStyle w:val="43810"/>
        <w:widowControl w:val="0"/>
        <w:numPr>
          <w:ilvl w:val="0"/>
          <w:numId w:val="4"/>
        </w:numPr>
        <w:tabs>
          <w:tab w:val="left" w:pos="0"/>
        </w:tabs>
        <w:spacing w:line="400" w:lineRule="exact"/>
        <w:ind w:left="560" w:firstLine="560" w:firstLineChars="200"/>
        <w:jc w:val="both"/>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语音网关-硬件需求：</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支持至少1个RS232接口，波特率115200(可验证登录)</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电源指示灯（POWER）（状态可查看）</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告警指示灯（Alarm)（状态可查看）</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设备运行指示灯（RUN）（状态可查看）</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网口指示灯（状态可查看）</w:t>
      </w:r>
    </w:p>
    <w:p>
      <w:pPr>
        <w:pStyle w:val="43810"/>
        <w:widowControl w:val="0"/>
        <w:numPr>
          <w:ilvl w:val="0"/>
          <w:numId w:val="4"/>
        </w:numPr>
        <w:tabs>
          <w:tab w:val="left" w:pos="0"/>
        </w:tabs>
        <w:spacing w:line="400" w:lineRule="exact"/>
        <w:ind w:left="560" w:firstLine="560" w:firstLineChars="200"/>
        <w:jc w:val="both"/>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语音网关-信令协议：</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支持至少1个RS232接口，波特率115200(可验证登录)</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电源指示灯（POWER）（状态可查看）</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告警指示灯（Alarm)（状态可查看）</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设备运行指示灯（RUN）（状态可查看）</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网口指示灯（状态可查看）</w:t>
      </w:r>
    </w:p>
    <w:p>
      <w:pPr>
        <w:pStyle w:val="43810"/>
        <w:widowControl w:val="0"/>
        <w:numPr>
          <w:ilvl w:val="0"/>
          <w:numId w:val="4"/>
        </w:numPr>
        <w:tabs>
          <w:tab w:val="left" w:pos="0"/>
        </w:tabs>
        <w:spacing w:line="400" w:lineRule="exact"/>
        <w:ind w:left="560" w:firstLine="560" w:firstLineChars="200"/>
        <w:jc w:val="both"/>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语音网关-Voip协议：</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SIP v2.0 RFC3261、SIP over UDP、SIP over TCP、SIP TLS（web可查看配置）、支持RFC1889，RFC3262，3263，3264，3265，3515， 2976，3311，3372，3204，3398；设备支持RFC 4566 Session Description Protocol (SDP)、支持SIP INFO DTMF可选sscc类型或者dtmf-relay（web可查看配置项）、支持User-to-User字段配置（web可查看配置项）、支持IP 分组设置递增、递减、循环递增、循环递减（web可查看配置项）、支持SIP-T协议"静态/动态NAT、Rport（web可查看配置项）；支持Outbound Proxy和SIP注册功能（可配置验证）、支持刷新注册带认证消息（web可查看配置项）、支持携带对端域名（web可查看配置项）</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支持透传私有SIP头域字段</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设备支持DIVISION功能</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支持TO参数</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支持PPI参数值</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支持PAI参数值</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支持HI 参数值（web可查看配置项）</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支持E1端口智能检测：检测到E1故障后可关闭SIP中继或检测到SIP中继故障后可自动关闭对应绑定的E1（web可查看配置项）</w:t>
      </w:r>
    </w:p>
    <w:p>
      <w:pPr>
        <w:pStyle w:val="43810"/>
        <w:widowControl w:val="0"/>
        <w:numPr>
          <w:ilvl w:val="0"/>
          <w:numId w:val="4"/>
        </w:numPr>
        <w:tabs>
          <w:tab w:val="left" w:pos="0"/>
        </w:tabs>
        <w:spacing w:line="400" w:lineRule="exact"/>
        <w:ind w:left="560" w:firstLine="560" w:firstLineChars="200"/>
        <w:jc w:val="both"/>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语音网关-语音特性：</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支持G.711a/μ ，G.723， G.729A/B，iLBC， AMR语音编解码（web可查看配置项）、支持T.38 和 Pass-through传真（web可查看配置项）、支持传真后回落到语音模式"支持Modem/POS</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 xml:space="preserve"> - 支持V.152</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 xml:space="preserve"> - 支持V.21，V.22，V.29等"</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回声消除 (G.168) ，最大128ms（web可查看配置项）、丢包补偿、静音抑制（web可查看配置项）、自适应动态语音抖动缓冲 (20-200) 可配置、舒适噪声生成、支持DTMF RFC2833/Signal/In-band（web可查看配置项）</w:t>
      </w:r>
    </w:p>
    <w:p>
      <w:pPr>
        <w:pStyle w:val="43810"/>
        <w:widowControl w:val="0"/>
        <w:numPr>
          <w:ilvl w:val="0"/>
          <w:numId w:val="4"/>
        </w:numPr>
        <w:tabs>
          <w:tab w:val="left" w:pos="0"/>
        </w:tabs>
        <w:spacing w:line="400" w:lineRule="exact"/>
        <w:ind w:left="560" w:firstLine="560" w:firstLineChars="200"/>
        <w:jc w:val="both"/>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语音网关-1号信令：</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支持本地时钟，外部时钟（web可查看）、支持30B+D,23B+D，NT或TE可配置、Q.Sig、、支持MTP1, MTP2, MTP3、</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"支持SS7信令共享模式，多台叠加做均衡负载</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支持SS7链路集群"、E1帧格式类型支持DF, CRC4, CRC_ITU（web可查看支持）</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T1帧格式类型支持4-Frame Multi-frame (F4， FT)，2-Frame Multi-frame (F12， D3/4)，Extended Super-frame (F24，ESF)，Remote Switch Mode (F72，SLC96)</w:t>
      </w:r>
    </w:p>
    <w:p>
      <w:pPr>
        <w:pStyle w:val="43810"/>
        <w:widowControl w:val="0"/>
        <w:numPr>
          <w:ilvl w:val="0"/>
          <w:numId w:val="4"/>
        </w:numPr>
        <w:tabs>
          <w:tab w:val="left" w:pos="0"/>
        </w:tabs>
        <w:spacing w:line="400" w:lineRule="exact"/>
        <w:ind w:left="560" w:firstLine="560" w:firstLineChars="200"/>
        <w:jc w:val="both"/>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语音网关-软件功能：</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本地回铃/彩铃透传；支持重叠收号（web可查看配置项）；拨号规则，最大支持2000条（web可查看配置项）；支持按E1端口或时隙进行分组管理，划分不同的中继组进行电路资源分配（web可查看配置项）；支持IP中继分组管理（web可查看配置项）；语音编解码分组，针对不同的中继进行编解码适配（web可查看配置项）；主被叫号码白名单（web可查看配置项）；主被叫号码黑名单（web可查看配置项）；IP 访问列表ACL功能（web可查看配置项）；IP 中继优先级（web可查看配置项）；语音和信令加密功能（web可查看配置项） ；冗余路由备份/选择（web可查看配置项）；按主/被叫号码前缀路由（web可查看配置项）；支持不少于512条不同方向路由设定（web可查看配置项）；主被叫号码变换（web可查看配置项）；支持512条号码变换规则（web可查看配置项）；支持PSTN-PSTN, PSTN-IP,IP-PSTN，ip-ip路由方式（web可查看配置项）；支持冗余路由，路由失败后智能选择二次路由</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振铃补偿功能和预回铃功能（web可查看配置项）</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支持采用注册模式对接IMS, 最大可注册2000个IMS用户（web可查看配置项）</w:t>
      </w:r>
    </w:p>
    <w:p>
      <w:pPr>
        <w:pStyle w:val="43810"/>
        <w:widowControl w:val="0"/>
        <w:numPr>
          <w:ilvl w:val="0"/>
          <w:numId w:val="4"/>
        </w:numPr>
        <w:tabs>
          <w:tab w:val="left" w:pos="0"/>
        </w:tabs>
        <w:spacing w:line="400" w:lineRule="exact"/>
        <w:ind w:left="560" w:firstLine="560" w:firstLineChars="200"/>
        <w:jc w:val="both"/>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语音网关-运维需求：</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支持SNMPV1/2/3（web可查看配置项）；支持数据备份/恢复（web可查看配置项）；</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 xml:space="preserve"> TFTP/FTP/HTTP固件升级；网络抓包功能（web可查看配置项）；系统日志级别：Debug, Info, Error,；Warning, Notice（web可查看配置项）；呼叫话单推送CDR（web可查看配置项）；NTP自动时间同步（web可查看配置项）；支持录音功能（web可查看配置项）；</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通过Telnet进行故障诊断分析-SSH-提供与产品配套的相关故障诊断工具,进行SIP/SS7/PRI和呼叫信令日志收集（</w:t>
      </w:r>
      <w:r>
        <w:rPr>
          <w:rFonts w:ascii="Times New Roman" w:eastAsia="方正仿宋_GBK" w:hAnsi="Times New Roman" w:cs="Times New Roman" w:hint="eastAsia"/>
          <w:sz w:val="28"/>
          <w:szCs w:val="28"/>
          <w:lang w:bidi="ar-SA"/>
        </w:rPr>
        <w:t>可</w:t>
      </w:r>
      <w:r>
        <w:rPr>
          <w:rFonts w:ascii="Times New Roman" w:eastAsia="方正仿宋_GBK" w:hAnsi="Times New Roman" w:cs="Times New Roman"/>
          <w:sz w:val="28"/>
          <w:szCs w:val="28"/>
          <w:lang w:bidi="ar-SA"/>
        </w:rPr>
        <w:t>登录演示）</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PSTN呼叫和释放原因统计（web可查看配置项）；SIP中继呼叫及释放原因统计（web可查看配置项）</w:t>
      </w:r>
    </w:p>
    <w:p>
      <w:pPr>
        <w:pStyle w:val="43810"/>
        <w:widowControl w:val="0"/>
        <w:numPr>
          <w:ilvl w:val="0"/>
          <w:numId w:val="4"/>
        </w:numPr>
        <w:tabs>
          <w:tab w:val="left" w:pos="0"/>
        </w:tabs>
        <w:spacing w:line="400" w:lineRule="exact"/>
        <w:ind w:left="560" w:firstLine="560" w:firstLineChars="200"/>
        <w:jc w:val="both"/>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语音网关-硬件规格：</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设备高度不高于1U；设备支持模块热插拔功能，确保替换、扩容不应影响设备正常运行（可支持验证）；支持120欧姆和75欧姆E1/T1接口设计；设备采用节能设计，电源功耗不超过50W；设备支持双冗余电源</w:t>
      </w:r>
      <w:r>
        <w:rPr>
          <w:rFonts w:ascii="Times New Roman" w:eastAsia="方正仿宋_GBK" w:hAnsi="Times New Roman" w:cs="Times New Roman" w:hint="eastAsia"/>
          <w:sz w:val="28"/>
          <w:szCs w:val="28"/>
          <w:lang w:bidi="ar-SA"/>
        </w:rPr>
        <w:t>。</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外部输入电源支持AC100~240V电压范围, 频率50-60Hz</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硬件采用模块化设计，每个模块支持4E1资源，最大可扩容至16E1</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嵌入式结构，支持双主控热备</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设备支持双网口bond冗余备份（可支持验证）；</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r>
        <w:rPr>
          <w:rFonts w:ascii="Times New Roman" w:eastAsia="方正仿宋_GBK" w:hAnsi="Times New Roman" w:cs="Times New Roman"/>
          <w:sz w:val="28"/>
          <w:szCs w:val="28"/>
          <w:lang w:bidi="ar-SA"/>
        </w:rPr>
        <w:t>E1模块支持热插拔，替换、扩容不应影响设备正常运行（可支持验证）。</w:t>
      </w:r>
    </w:p>
    <w:p>
      <w:pPr>
        <w:pStyle w:val="43810"/>
        <w:widowControl w:val="0"/>
        <w:numPr>
          <w:ilvl w:val="0"/>
          <w:numId w:val="2"/>
        </w:numPr>
        <w:tabs>
          <w:tab w:val="left" w:pos="0"/>
        </w:tabs>
        <w:spacing w:line="400" w:lineRule="exact"/>
        <w:ind w:left="0" w:firstLine="560" w:firstLineChars="200"/>
        <w:jc w:val="both"/>
        <w:rPr>
          <w:rFonts w:ascii="Times New Roman" w:eastAsia="方正仿宋_GBK" w:hAnsi="Times New Roman"/>
          <w:sz w:val="28"/>
          <w:szCs w:val="28"/>
        </w:rPr>
      </w:pP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证明材料要求：投标人提供确认函，并加盖投标人和产品制造商 公章。</w:t>
      </w:r>
    </w:p>
    <w:p>
      <w:pPr>
        <w:spacing w:line="400" w:lineRule="exact"/>
        <w:ind w:firstLine="560" w:firstLineChars="200"/>
        <w:outlineLvl w:val="4"/>
        <w:rPr>
          <w:rFonts w:eastAsia="方正仿宋_GBK"/>
          <w:b/>
          <w:bCs/>
          <w:sz w:val="28"/>
          <w:szCs w:val="28"/>
        </w:rPr>
      </w:pPr>
      <w:r>
        <w:rPr>
          <w:rFonts w:ascii="Times New Roman" w:eastAsia="方正仿宋_GBK" w:hAnsi="Times New Roman" w:cs="Times New Roman"/>
          <w:b/>
          <w:bCs/>
          <w:sz w:val="28"/>
          <w:szCs w:val="28"/>
          <w:lang w:bidi="ar-SA"/>
        </w:rPr>
        <w:t>4.主要配置</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★4.1产品配置</w:t>
        <w:tab/>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语音网关：50台（最小4E1）</w:t>
        <w:tab/>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证明材料要求：投标人提供承诺函，并加盖投标人公章。</w:t>
      </w:r>
    </w:p>
    <w:p>
      <w:pPr>
        <w:spacing w:before="260" w:after="260" w:line="400" w:lineRule="exact"/>
        <w:ind w:firstLine="560" w:firstLineChars="200"/>
        <w:jc w:val="left"/>
        <w:outlineLvl w:val="3"/>
        <w:rPr>
          <w:rFonts w:eastAsia="方正楷体_GBK" w:cs="微软雅黑"/>
          <w:b/>
          <w:bCs/>
          <w:sz w:val="28"/>
          <w:szCs w:val="28"/>
        </w:rPr>
      </w:pPr>
      <w:r>
        <w:rPr>
          <w:rFonts w:ascii="Times New Roman" w:eastAsia="方正楷体_GBK" w:hAnsi="Times New Roman" w:cs="微软雅黑" w:hint="eastAsia"/>
          <w:b/>
          <w:bCs/>
          <w:sz w:val="28"/>
          <w:szCs w:val="28"/>
          <w:lang w:bidi="ar-SA"/>
        </w:rPr>
        <w:t>（三）品目3（边界会话控制器SBC）</w:t>
      </w: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b/>
          <w:bCs/>
          <w:sz w:val="28"/>
          <w:szCs w:val="28"/>
          <w:lang w:bidi="ar-SA"/>
        </w:rPr>
        <w:t>1</w:t>
      </w:r>
      <w:r>
        <w:rPr>
          <w:rFonts w:ascii="Times New Roman" w:eastAsia="方正仿宋_GBK" w:hAnsi="Times New Roman" w:cs="微软雅黑" w:hint="eastAsia"/>
          <w:b/>
          <w:bCs/>
          <w:sz w:val="28"/>
          <w:szCs w:val="28"/>
          <w:lang w:bidi="ar-SA"/>
        </w:rPr>
        <w:t>.主要用途</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边界会话控制器（SBC）实现不同网络域之间的通信，确保语音和数据的安全传输，能够优化网络资源分配，确保语音通信的稳定性和清晰度，实现文本服务、视频IVR及视频服务请求的接入。</w:t>
      </w:r>
    </w:p>
    <w:p>
      <w:pPr>
        <w:spacing w:line="400" w:lineRule="exact"/>
        <w:ind w:firstLine="420" w:firstLineChars="200"/>
        <w:rPr>
          <w:szCs w:val="21"/>
        </w:rPr>
      </w:pP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★2.特殊资质要求</w:t>
      </w:r>
    </w:p>
    <w:p>
      <w:pPr>
        <w:spacing w:line="400" w:lineRule="exact"/>
        <w:ind w:firstLine="560" w:firstLineChars="200"/>
        <w:rPr>
          <w:rFonts w:eastAsia="方正仿宋_GBK"/>
          <w:sz w:val="28"/>
          <w:szCs w:val="28"/>
        </w:rPr>
      </w:pPr>
      <w:r>
        <w:rPr>
          <w:rFonts w:ascii="Times New Roman" w:eastAsia="方正仿宋_GBK" w:hAnsi="Times New Roman" w:cs="Times New Roman" w:hint="eastAsia"/>
          <w:sz w:val="28"/>
          <w:szCs w:val="28"/>
          <w:lang w:bidi="ar-SA"/>
        </w:rPr>
        <w:t>无</w:t>
      </w:r>
    </w:p>
    <w:p>
      <w:pPr>
        <w:spacing w:line="400" w:lineRule="exact"/>
        <w:ind w:firstLine="420" w:firstLineChars="200"/>
        <w:rPr>
          <w:szCs w:val="21"/>
        </w:rPr>
      </w:pP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3.主要技术参数</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3.</w:t>
      </w:r>
      <w:r>
        <w:rPr>
          <w:rFonts w:ascii="Times New Roman" w:eastAsia="方正仿宋_GBK" w:hAnsi="Times New Roman" w:cs="Times New Roman" w:hint="eastAsia"/>
          <w:sz w:val="28"/>
          <w:szCs w:val="28"/>
          <w:lang w:bidi="ar-SA"/>
        </w:rPr>
        <w:t xml:space="preserve">1 </w:t>
      </w:r>
      <w:r>
        <w:rPr>
          <w:rFonts w:ascii="Times New Roman" w:eastAsia="方正仿宋_GBK" w:hAnsi="Times New Roman" w:cs="Times New Roman"/>
          <w:sz w:val="28"/>
          <w:szCs w:val="28"/>
          <w:lang w:bidi="ar-SA"/>
        </w:rPr>
        <w:t>产品知识产权合法性要求</w:t>
      </w:r>
    </w:p>
    <w:p>
      <w:pPr>
        <w:pStyle w:val="17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所投标产品的制造商持有该产品的《计算机软件著作权登记证书》。</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w:t>
      </w:r>
      <w:r>
        <w:rPr>
          <w:rFonts w:ascii="Times New Roman" w:eastAsia="方正仿宋_GBK" w:hAnsi="Times New Roman" w:cs="Times New Roman" w:hint="eastAsia"/>
          <w:sz w:val="28"/>
          <w:szCs w:val="28"/>
          <w:lang w:bidi="ar-SA"/>
        </w:rPr>
        <w:t>投标人提供所投标相关产品的软件著作权证书</w:t>
      </w:r>
      <w:r>
        <w:rPr>
          <w:rFonts w:ascii="Times New Roman" w:eastAsia="方正仿宋_GBK" w:hAnsi="Times New Roman" w:cs="Times New Roman"/>
          <w:sz w:val="28"/>
          <w:szCs w:val="28"/>
          <w:lang w:bidi="ar-SA"/>
        </w:rPr>
        <w:t>复印件</w:t>
      </w:r>
      <w:r>
        <w:rPr>
          <w:rFonts w:ascii="Times New Roman" w:eastAsia="方正仿宋_GBK" w:hAnsi="Times New Roman" w:cs="Times New Roman" w:hint="eastAsia"/>
          <w:sz w:val="28"/>
          <w:szCs w:val="28"/>
          <w:lang w:bidi="ar-SA"/>
        </w:rPr>
        <w:t>并加盖投标人和产品制造商公章</w:t>
      </w:r>
      <w:r>
        <w:rPr>
          <w:rFonts w:ascii="Times New Roman" w:eastAsia="方正仿宋_GBK" w:hAnsi="Times New Roman" w:cs="Times New Roman"/>
          <w:sz w:val="28"/>
          <w:szCs w:val="28"/>
          <w:lang w:bidi="ar-SA"/>
        </w:rPr>
        <w:t>。</w:t>
      </w:r>
    </w:p>
    <w:p>
      <w:pPr>
        <w:pStyle w:val="44110"/>
        <w:spacing w:line="40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3.2</w:t>
      </w:r>
      <w:r>
        <w:rPr>
          <w:rFonts w:ascii="Times New Roman" w:eastAsia="方正仿宋_GBK" w:hAnsi="Times New Roman" w:cs="Times New Roman" w:hint="eastAsia"/>
          <w:sz w:val="28"/>
          <w:szCs w:val="28"/>
          <w:lang w:bidi="ar-SA"/>
        </w:rPr>
        <w:t xml:space="preserve"> SBC-技术及功能</w:t>
      </w:r>
      <w:r>
        <w:rPr>
          <w:rFonts w:ascii="Times New Roman" w:eastAsia="方正仿宋_GBK" w:hAnsi="Times New Roman" w:cs="Times New Roman"/>
          <w:sz w:val="28"/>
          <w:szCs w:val="28"/>
          <w:lang w:bidi="ar-SA"/>
        </w:rPr>
        <w:t>参数</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支持SIPREC录音接口；</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支持WEB登录Radius认证；</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支持WEB登录TACACS认证；</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支持国密算法；</w:t>
        <w:tab/>
        <w:t>　</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SIP over UDP/TCP， RFC3261；</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支持TLS双项加密/SRTP加密（支持TLS1/TLS2/TLS3版本）；</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SDP， RTP/RTCP，NAT， DNS；</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WebRTC/HTTP/HTTPS；</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支持G.711A、G.711U、G.729、G.723、AMR、iLBC-13K、iLBC-15K、OPUS等多种语音编解码；</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支持多VLAN网络接入；</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支持VP8，VP9，H261，H263，H264，H265等视频呼叫转发能力；</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支持RTSP视频流转发；</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支持基于会话外的message/info/notify信令实现视频业务；</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支持VOLTE音视频通信；</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支持T.38和 Pass-through传真；</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支持的DTMF模式：RFC2833/Inband/SIP INFO；</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支持IP 中继工作模式： Peer/Access；</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支持SIP呼叫流控；</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支持SIP注册流控；</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支持SIP注册报文攻击动态扫描检测；</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支持SIP异常呼叫攻击动态扫描检测；</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支持SIP头域透传；</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支持SIP头域变换；</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支持号码黑白名单；</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支持视频通话，视频流透传；</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QoS (DSCP) ；</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支持静态NAT，动态nat；</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多种穿越方式满足企业终端接入；</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支持灵活路由规则；</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冗余路由备份/均衡负载；</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按时段控制呼叫路由</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支持号码前缀匹配路由；</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支持按SIP URL域匹配路由；</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支持主被叫号码变换；</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支持IP中继冗余和均衡负载；</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支持数字正则表达式；</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支持语音断流保护；</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支持多种语音编解码和DTMF信号转换，以适应企业内不同厂商设备的互联需求；端口映射，提供TCP/UDP/HTTP代理以及网络拓扑隐藏功能；</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支持防止暴力破解，保护企业通信网络安全；</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支持注册IMS线路，至少可注册4000个IMS账户；</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支持WebRTC通信；</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支持基于会话外的message/info/notify信令实现视频业务；</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支持远端信令地址锁定；支持远端媒体地址自适应和锁定；</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支持根据SIP方法匹配路由；</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支持号码池，可通过号码池号码替换主叫；</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支持双机热备HA，BFD检测，业务不中断，需做到毫秒级切换；</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防攻击策略：支持SIP报文防攻击（包含检测注册次数时长，检测呼叫次数时长，检测异常呼叫次数时长，包含短呼叫判定时长）， 能够灵活自定义防攻击策略；</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支持畸形报文检测与处理；</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支持TLS&amp;SRTP加密会话，支持双向认证；</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支持主被叫号码黑白名单；</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支持可对注册、呼叫业务涉及的资源使用进行限制，保护企业通信资源得到合理的使用；</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能提供远程综合管理维护系统；</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支持信令跟踪配置并提供信令跟踪工具；</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支持多用户权限管理；</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支持数据备份/恢复；</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支持Web固件升级；</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支持系统日志多种级别；</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支持记录操作日志；</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支持呼叫话单，可保存本地或推送；</w:t>
      </w:r>
    </w:p>
    <w:p>
      <w:pPr>
        <w:pStyle w:val="44110"/>
        <w:numPr>
          <w:ilvl w:val="0"/>
          <w:numId w:val="17"/>
        </w:numPr>
        <w:spacing w:line="400" w:lineRule="exact"/>
        <w:ind w:left="0" w:firstLine="560" w:firstLineChars="20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lang w:bidi="ar-SA"/>
        </w:rPr>
        <w:t>支持NTP自动时间同步；</w:t>
      </w:r>
    </w:p>
    <w:p>
      <w:pPr>
        <w:spacing w:line="400" w:lineRule="exact"/>
        <w:ind w:firstLine="560" w:firstLineChars="200"/>
        <w:rPr>
          <w:rFonts w:eastAsia="方正仿宋_GBK"/>
          <w:sz w:val="28"/>
          <w:szCs w:val="28"/>
        </w:rPr>
      </w:pPr>
      <w:r>
        <w:rPr>
          <w:rFonts w:ascii="Times New Roman" w:eastAsia="方正仿宋_GBK" w:hAnsi="Times New Roman" w:cs="Times New Roman" w:hint="eastAsia"/>
          <w:sz w:val="28"/>
          <w:szCs w:val="28"/>
          <w:lang w:bidi="ar-SA"/>
        </w:rPr>
        <w:t>证明材料要求：</w:t>
      </w:r>
      <w:r>
        <w:rPr>
          <w:rFonts w:ascii="Times New Roman" w:eastAsia="方正仿宋_GBK" w:hAnsi="Times New Roman" w:cs="Times New Roman"/>
          <w:sz w:val="28"/>
          <w:szCs w:val="28"/>
          <w:lang w:bidi="ar-SA"/>
        </w:rPr>
        <w:t>投标人提供确认函，并加盖投标人和产品制造商 公章。</w:t>
      </w:r>
    </w:p>
    <w:p>
      <w:pPr>
        <w:spacing w:line="400" w:lineRule="exact"/>
        <w:ind w:firstLine="560" w:firstLineChars="200"/>
        <w:rPr>
          <w:rFonts w:eastAsia="方正仿宋_GBK"/>
          <w:sz w:val="28"/>
          <w:szCs w:val="28"/>
        </w:rPr>
      </w:pP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4.主要配置</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★4.1</w:t>
        <w:tab/>
        <w:t>产品配置</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软SBC：2套</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证明材料要求：投标人提供承诺函，并加盖投标人公章。</w:t>
      </w:r>
    </w:p>
    <w:p>
      <w:pPr>
        <w:spacing w:before="260" w:after="260" w:line="400" w:lineRule="exact"/>
        <w:ind w:firstLine="560" w:firstLineChars="200"/>
        <w:jc w:val="left"/>
        <w:outlineLvl w:val="3"/>
        <w:rPr>
          <w:rFonts w:eastAsia="方正楷体_GBK" w:cs="微软雅黑"/>
          <w:b/>
          <w:bCs/>
          <w:sz w:val="28"/>
          <w:szCs w:val="28"/>
        </w:rPr>
      </w:pPr>
      <w:r>
        <w:rPr>
          <w:rFonts w:ascii="Times New Roman" w:eastAsia="方正楷体_GBK" w:hAnsi="Times New Roman" w:cs="微软雅黑" w:hint="eastAsia"/>
          <w:b/>
          <w:bCs/>
          <w:sz w:val="28"/>
          <w:szCs w:val="28"/>
          <w:lang w:bidi="ar-SA"/>
        </w:rPr>
        <w:t>（四）品目4（耳麦）</w:t>
      </w: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1.主要用途</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耳麦，也称为耳机麦克风组合，是集成了耳机和麦克风的设备，本项目应用于坐席人员接听电话场景内使用。它不仅提供了高质量的音频体验，还具备多种功能，允许坐席人员在通话时保持双手自由，可以同时进行其他任务的场景，如记录转办工单、查询海关法律法规、检索知识库、查询</w:t>
      </w:r>
      <w:r>
        <w:rPr>
          <w:rFonts w:ascii="Times New Roman" w:eastAsia="方正仿宋_GBK" w:hAnsi="Times New Roman" w:cs="Times New Roman" w:hint="eastAsia"/>
          <w:sz w:val="28"/>
          <w:szCs w:val="28"/>
          <w:lang w:bidi="ar-SA"/>
        </w:rPr>
        <w:t>咨询人</w:t>
      </w:r>
      <w:r>
        <w:rPr>
          <w:rFonts w:ascii="Times New Roman" w:eastAsia="方正仿宋_GBK" w:hAnsi="Times New Roman" w:cs="Times New Roman"/>
          <w:sz w:val="28"/>
          <w:szCs w:val="28"/>
          <w:lang w:bidi="ar-SA"/>
        </w:rPr>
        <w:t>资料等，能够提升坐席人员的沟通效率和舒适度。</w:t>
      </w: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★2.特殊资质要求</w:t>
      </w:r>
    </w:p>
    <w:p>
      <w:pPr>
        <w:spacing w:line="400" w:lineRule="exact"/>
        <w:ind w:firstLine="560" w:firstLineChars="200"/>
        <w:rPr>
          <w:rFonts w:eastAsia="方正仿宋_GBK"/>
          <w:sz w:val="28"/>
          <w:szCs w:val="28"/>
        </w:rPr>
      </w:pPr>
      <w:r>
        <w:rPr>
          <w:rFonts w:ascii="Times New Roman" w:eastAsia="方正仿宋_GBK" w:hAnsi="Times New Roman" w:cs="Times New Roman"/>
          <w:sz w:val="28"/>
          <w:szCs w:val="28"/>
          <w:lang w:bidi="ar-SA"/>
        </w:rPr>
        <w:t>无</w:t>
      </w: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3.主要技术参数</w:t>
      </w:r>
    </w:p>
    <w:p>
      <w:pPr>
        <w:pStyle w:val="45610"/>
        <w:spacing w:line="400" w:lineRule="exact"/>
        <w:ind w:firstLine="560" w:firstLineChars="200"/>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3.1</w:t>
      </w:r>
      <w:r>
        <w:rPr>
          <w:rFonts w:ascii="Times New Roman" w:eastAsia="方正仿宋_GBK" w:hAnsi="Times New Roman" w:cs="Times New Roman" w:hint="eastAsia"/>
          <w:bCs/>
          <w:sz w:val="28"/>
          <w:szCs w:val="28"/>
          <w:lang w:bidi="ar-SA"/>
        </w:rPr>
        <w:t>产品需求</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通过USB接口连接电脑，即可直接使用耳机进行通话；</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被动降噪，独立音腔设计和高信噪比宽频喇叭，结合通话和音乐双曲线双模式设计；</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耳机配备带有LED指示灯的在线呼叫控制器，可以通过控制单元快捷地接听、挂断和静音通话，无需频繁操作电脑或其他设备；</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听筒与调节杆间可180°范围调整，调节杆与头条间调节范围为60mm；</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耳机头卡可自由伸缩调整；</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麦克风信噪比：50以上；</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喇叭频率响应：50Hz-14kHz范围内；</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喇叭失真度：&lt;1%；</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耳机可自动调整音量；</w:t>
      </w:r>
    </w:p>
    <w:p>
      <w:pPr>
        <w:pStyle w:val="45610"/>
        <w:numPr>
          <w:ilvl w:val="0"/>
          <w:numId w:val="17"/>
        </w:numPr>
        <w:spacing w:line="400" w:lineRule="exact"/>
        <w:ind w:left="0" w:firstLine="560" w:firstLineChars="200"/>
        <w:rPr>
          <w:rFonts w:ascii="Times New Roman" w:eastAsia="方正仿宋_GBK" w:hAnsi="Times New Roman"/>
          <w:bCs/>
          <w:sz w:val="28"/>
          <w:szCs w:val="28"/>
        </w:rPr>
      </w:pPr>
      <w:r>
        <w:rPr>
          <w:rFonts w:ascii="Times New Roman" w:eastAsia="方正仿宋_GBK" w:hAnsi="Times New Roman" w:cs="Times New Roman" w:hint="eastAsia"/>
          <w:bCs/>
          <w:sz w:val="28"/>
          <w:szCs w:val="28"/>
          <w:lang w:bidi="ar-SA"/>
        </w:rPr>
        <w:t>采用单耳佩戴。</w:t>
      </w:r>
    </w:p>
    <w:p>
      <w:pPr>
        <w:pStyle w:val="45710"/>
        <w:spacing w:line="400" w:lineRule="exact"/>
        <w:ind w:firstLine="560" w:firstLineChars="200"/>
        <w:rPr>
          <w:rFonts w:ascii="Times New Roman" w:eastAsia="方正仿宋_GBK" w:hAnsi="Times New Roman"/>
          <w:bCs/>
          <w:sz w:val="28"/>
          <w:szCs w:val="28"/>
        </w:rPr>
      </w:pPr>
      <w:r>
        <w:rPr>
          <w:rFonts w:ascii="Times New Roman" w:eastAsia="方正仿宋_GBK" w:hAnsi="Times New Roman" w:cs="Times New Roman"/>
          <w:bCs/>
          <w:sz w:val="28"/>
          <w:szCs w:val="28"/>
          <w:lang w:bidi="ar-SA"/>
        </w:rPr>
        <w:t>证明材料要求：</w:t>
      </w:r>
      <w:r>
        <w:rPr>
          <w:rFonts w:ascii="Times New Roman" w:eastAsia="方正仿宋_GBK" w:hAnsi="Times New Roman" w:cs="Times New Roman"/>
          <w:sz w:val="28"/>
          <w:szCs w:val="28"/>
          <w:lang w:bidi="ar-SA"/>
        </w:rPr>
        <w:t>投标人提供确认函，并加盖投标人和产品制造商 公章。</w:t>
      </w: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4.主要配置</w:t>
      </w:r>
    </w:p>
    <w:p>
      <w:pPr>
        <w:spacing w:line="400" w:lineRule="exact"/>
        <w:ind w:firstLine="560" w:firstLineChars="200"/>
        <w:rPr>
          <w:rFonts w:eastAsia="方正仿宋_GBK"/>
          <w:bCs/>
          <w:sz w:val="28"/>
          <w:szCs w:val="28"/>
        </w:rPr>
      </w:pPr>
      <w:r>
        <w:rPr>
          <w:rFonts w:ascii="Times New Roman" w:eastAsia="方正仿宋_GBK" w:hAnsi="Times New Roman" w:cs="Times New Roman"/>
          <w:bCs/>
          <w:sz w:val="28"/>
          <w:szCs w:val="28"/>
          <w:lang w:bidi="ar-SA"/>
        </w:rPr>
        <w:t>★4.1</w:t>
        <w:tab/>
        <w:t>产品配置</w:t>
      </w:r>
    </w:p>
    <w:p>
      <w:pPr>
        <w:spacing w:line="400" w:lineRule="exact"/>
        <w:ind w:firstLine="560" w:firstLineChars="200"/>
        <w:rPr>
          <w:rFonts w:eastAsia="方正仿宋_GBK"/>
          <w:bCs/>
          <w:sz w:val="28"/>
          <w:szCs w:val="28"/>
        </w:rPr>
      </w:pPr>
      <w:r>
        <w:rPr>
          <w:rFonts w:ascii="Times New Roman" w:eastAsia="方正仿宋_GBK" w:hAnsi="Times New Roman" w:cs="Times New Roman"/>
          <w:bCs/>
          <w:sz w:val="28"/>
          <w:szCs w:val="28"/>
          <w:lang w:bidi="ar-SA"/>
        </w:rPr>
        <w:t>耳麦：1200套</w:t>
      </w:r>
    </w:p>
    <w:p>
      <w:pPr>
        <w:spacing w:line="400" w:lineRule="exact"/>
        <w:ind w:firstLine="560" w:firstLineChars="200"/>
        <w:rPr>
          <w:rFonts w:eastAsia="方正仿宋_GBK"/>
          <w:bCs/>
          <w:sz w:val="28"/>
          <w:szCs w:val="28"/>
        </w:rPr>
      </w:pPr>
      <w:r>
        <w:rPr>
          <w:rFonts w:ascii="Times New Roman" w:eastAsia="方正仿宋_GBK" w:hAnsi="Times New Roman" w:cs="Times New Roman"/>
          <w:bCs/>
          <w:sz w:val="28"/>
          <w:szCs w:val="28"/>
          <w:lang w:bidi="ar-SA"/>
        </w:rPr>
        <w:t>证明材料要求：投标人提供承诺函，并加盖</w:t>
      </w:r>
      <w:r>
        <w:rPr>
          <w:rFonts w:ascii="Times New Roman" w:eastAsia="方正仿宋_GBK" w:hAnsi="Times New Roman" w:cs="Times New Roman"/>
          <w:sz w:val="28"/>
          <w:szCs w:val="28"/>
          <w:lang w:bidi="ar-SA"/>
        </w:rPr>
        <w:t>投标人</w:t>
      </w:r>
      <w:r>
        <w:rPr>
          <w:rFonts w:ascii="Times New Roman" w:eastAsia="方正仿宋_GBK" w:hAnsi="Times New Roman" w:cs="Times New Roman"/>
          <w:bCs/>
          <w:sz w:val="28"/>
          <w:szCs w:val="28"/>
          <w:lang w:bidi="ar-SA"/>
        </w:rPr>
        <w:t>公章。</w:t>
      </w:r>
    </w:p>
    <w:p>
      <w:pPr>
        <w:pStyle w:val="18810"/>
        <w:widowControl/>
        <w:spacing w:line="400" w:lineRule="exact"/>
        <w:ind w:firstLine="420" w:firstLineChars="200"/>
        <w:jc w:val="left"/>
        <w:textAlignment w:val="center"/>
        <w:rPr>
          <w:snapToGrid w:val="0"/>
        </w:rPr>
      </w:pPr>
    </w:p>
    <w:p>
      <w:pPr>
        <w:spacing w:before="260" w:after="260" w:line="400" w:lineRule="exact"/>
        <w:ind w:firstLine="560" w:firstLineChars="200"/>
        <w:jc w:val="left"/>
        <w:outlineLvl w:val="3"/>
        <w:rPr>
          <w:rFonts w:eastAsia="方正楷体_GBK" w:cs="微软雅黑"/>
          <w:b/>
          <w:bCs/>
          <w:snapToGrid w:val="0"/>
          <w:sz w:val="28"/>
          <w:szCs w:val="28"/>
        </w:rPr>
      </w:pPr>
      <w:r>
        <w:rPr>
          <w:rFonts w:ascii="Times New Roman" w:eastAsia="方正楷体_GBK" w:hAnsi="Times New Roman" w:cs="微软雅黑" w:hint="eastAsia"/>
          <w:b/>
          <w:bCs/>
          <w:snapToGrid w:val="0"/>
          <w:sz w:val="28"/>
          <w:szCs w:val="28"/>
          <w:lang w:bidi="ar-SA"/>
        </w:rPr>
        <w:t>（五）品目5（多渠道自助服务平台）</w:t>
      </w:r>
    </w:p>
    <w:p>
      <w:pPr>
        <w:spacing w:line="400" w:lineRule="exact"/>
        <w:ind w:firstLine="560" w:firstLineChars="200"/>
        <w:outlineLvl w:val="4"/>
        <w:rPr>
          <w:rFonts w:eastAsia="方正仿宋_GBK" w:cs="微软雅黑"/>
          <w:b/>
          <w:bCs/>
          <w:snapToGrid w:val="0"/>
          <w:sz w:val="28"/>
          <w:szCs w:val="28"/>
        </w:rPr>
      </w:pPr>
      <w:r>
        <w:rPr>
          <w:rFonts w:ascii="Times New Roman" w:eastAsia="方正仿宋_GBK" w:hAnsi="Times New Roman" w:cs="微软雅黑" w:hint="eastAsia"/>
          <w:b/>
          <w:bCs/>
          <w:snapToGrid w:val="0"/>
          <w:sz w:val="28"/>
          <w:szCs w:val="28"/>
          <w:lang w:bidi="ar-SA"/>
        </w:rPr>
        <w:t>1.主要用途</w:t>
      </w:r>
    </w:p>
    <w:p>
      <w:pPr>
        <w:pStyle w:val="18810"/>
        <w:widowControl/>
        <w:spacing w:line="400" w:lineRule="exact"/>
        <w:ind w:firstLine="560" w:firstLineChars="200"/>
        <w:jc w:val="left"/>
        <w:textAlignment w:val="center"/>
        <w:rPr>
          <w:rFonts w:eastAsia="方正仿宋_GBK" w:cs="微软雅黑"/>
          <w:snapToGrid w:val="0"/>
          <w:sz w:val="28"/>
          <w:szCs w:val="28"/>
        </w:rPr>
      </w:pPr>
      <w:r>
        <w:rPr>
          <w:rFonts w:eastAsia="方正仿宋_GBK" w:cs="微软雅黑" w:hint="eastAsia"/>
          <w:snapToGrid w:val="0"/>
          <w:sz w:val="28"/>
          <w:szCs w:val="28"/>
          <w:lang w:bidi="ar-SA"/>
        </w:rPr>
        <w:t>多渠道自助服务平台（在线客服）包含功能：多渠道自动接入、多渠道关联、概况展示、坐席端界面、咨询人端窗口、辅助功能、管理端功能等。</w:t>
      </w:r>
    </w:p>
    <w:p>
      <w:pPr>
        <w:pStyle w:val="22810"/>
        <w:widowControl/>
        <w:spacing w:line="400" w:lineRule="exact"/>
        <w:ind w:firstLine="560" w:firstLineChars="200"/>
        <w:jc w:val="left"/>
        <w:textAlignment w:val="center"/>
        <w:rPr>
          <w:rFonts w:eastAsia="方正仿宋_GBK"/>
          <w:snapToGrid w:val="0"/>
          <w:sz w:val="28"/>
          <w:szCs w:val="28"/>
        </w:rPr>
      </w:pPr>
      <w:r>
        <w:rPr>
          <w:rFonts w:eastAsia="方正仿宋_GBK" w:cs="微软雅黑" w:hint="eastAsia"/>
          <w:snapToGrid w:val="0"/>
          <w:sz w:val="28"/>
          <w:szCs w:val="28"/>
          <w:lang w:bidi="ar-SA"/>
        </w:rPr>
        <w:t>通过构建一站式工作台，支持移动APP应用、门户网站、微信</w:t>
      </w:r>
      <w:r>
        <w:rPr>
          <w:rFonts w:eastAsia="方正仿宋_GBK" w:cs="微软雅黑"/>
          <w:snapToGrid w:val="0"/>
          <w:sz w:val="28"/>
          <w:szCs w:val="28"/>
          <w:lang w:bidi="ar-SA"/>
        </w:rPr>
        <w:t>、支付宝、小程序</w:t>
      </w:r>
      <w:r>
        <w:rPr>
          <w:rFonts w:eastAsia="方正仿宋_GBK" w:cs="微软雅黑" w:hint="eastAsia"/>
          <w:snapToGrid w:val="0"/>
          <w:sz w:val="28"/>
          <w:szCs w:val="28"/>
          <w:lang w:bidi="ar-SA"/>
        </w:rPr>
        <w:t>等多渠道访问，并对用户诉求进行统一整合、统一接入和统一受理。该业务支持多媒体场景接入</w:t>
      </w:r>
      <w:r>
        <w:rPr>
          <w:rFonts w:eastAsia="方正仿宋_GBK" w:cs="微软雅黑"/>
          <w:snapToGrid w:val="0"/>
          <w:sz w:val="28"/>
          <w:szCs w:val="28"/>
          <w:lang w:bidi="ar-SA"/>
        </w:rPr>
        <w:t>、网页嵌入、统一用户鉴权</w:t>
      </w:r>
      <w:r>
        <w:rPr>
          <w:rFonts w:eastAsia="方正仿宋_GBK" w:cs="微软雅黑" w:hint="eastAsia"/>
          <w:snapToGrid w:val="0"/>
          <w:sz w:val="28"/>
          <w:szCs w:val="28"/>
          <w:lang w:bidi="ar-SA"/>
        </w:rPr>
        <w:t>、流程自定义配置和内容扩展。该平台</w:t>
      </w:r>
      <w:r>
        <w:rPr>
          <w:rFonts w:eastAsia="方正仿宋_GBK" w:cs="微软雅黑"/>
          <w:snapToGrid w:val="0"/>
          <w:sz w:val="28"/>
          <w:szCs w:val="28"/>
          <w:lang w:bidi="ar-SA"/>
        </w:rPr>
        <w:t>坐席交互页面</w:t>
      </w:r>
      <w:r>
        <w:rPr>
          <w:rFonts w:eastAsia="方正仿宋_GBK" w:cs="微软雅黑" w:hint="eastAsia"/>
          <w:snapToGrid w:val="0"/>
          <w:sz w:val="28"/>
          <w:szCs w:val="28"/>
          <w:lang w:bidi="ar-SA"/>
        </w:rPr>
        <w:t>需整合集成到热线综合服务平台。该平台</w:t>
      </w:r>
      <w:r>
        <w:rPr>
          <w:rFonts w:eastAsia="方正仿宋_GBK" w:cs="微软雅黑"/>
          <w:snapToGrid w:val="0"/>
          <w:sz w:val="28"/>
          <w:szCs w:val="28"/>
          <w:lang w:bidi="ar-SA"/>
        </w:rPr>
        <w:t>具有高并发处理能力和低延迟响应能力，文本机器人回复响应小于等于3秒，支持</w:t>
      </w:r>
      <w:r>
        <w:rPr>
          <w:rFonts w:eastAsia="方正仿宋_GBK"/>
          <w:snapToGrid w:val="0"/>
          <w:sz w:val="28"/>
          <w:szCs w:val="28"/>
        </w:rPr>
        <w:t>7*24</w:t>
      </w:r>
      <w:r>
        <w:rPr>
          <w:rFonts w:eastAsia="方正仿宋_GBK" w:cs="微软雅黑" w:hint="eastAsia"/>
          <w:snapToGrid w:val="0"/>
          <w:sz w:val="28"/>
          <w:szCs w:val="28"/>
          <w:lang w:bidi="ar-SA"/>
        </w:rPr>
        <w:t>小时不间断服务</w:t>
      </w:r>
      <w:r>
        <w:rPr>
          <w:rFonts w:eastAsia="方正仿宋_GBK" w:cs="微软雅黑"/>
          <w:snapToGrid w:val="0"/>
          <w:sz w:val="28"/>
          <w:szCs w:val="28"/>
          <w:lang w:bidi="ar-SA"/>
        </w:rPr>
        <w:t>。</w:t>
      </w:r>
    </w:p>
    <w:p>
      <w:pPr>
        <w:pStyle w:val="18810"/>
        <w:widowControl/>
        <w:spacing w:line="400" w:lineRule="exact"/>
        <w:ind w:firstLine="560" w:firstLineChars="200"/>
        <w:jc w:val="left"/>
        <w:textAlignment w:val="center"/>
        <w:rPr>
          <w:rFonts w:eastAsia="方正仿宋_GBK" w:cs="微软雅黑"/>
          <w:snapToGrid w:val="0"/>
          <w:sz w:val="28"/>
          <w:szCs w:val="28"/>
        </w:rPr>
      </w:pPr>
    </w:p>
    <w:p>
      <w:pPr>
        <w:spacing w:line="400" w:lineRule="exact"/>
        <w:ind w:firstLine="560" w:firstLineChars="200"/>
        <w:outlineLvl w:val="4"/>
        <w:rPr>
          <w:rFonts w:eastAsia="方正仿宋_GBK" w:cs="微软雅黑"/>
          <w:b/>
          <w:bCs/>
          <w:snapToGrid w:val="0"/>
          <w:sz w:val="28"/>
          <w:szCs w:val="28"/>
        </w:rPr>
      </w:pPr>
      <w:r>
        <w:rPr>
          <w:rFonts w:ascii="Times New Roman" w:eastAsia="方正仿宋_GBK" w:hAnsi="Times New Roman" w:cs="微软雅黑" w:hint="eastAsia"/>
          <w:b/>
          <w:bCs/>
          <w:snapToGrid w:val="0"/>
          <w:sz w:val="28"/>
          <w:szCs w:val="28"/>
          <w:lang w:bidi="ar-SA"/>
        </w:rPr>
        <w:t>★2.特殊资质要求</w:t>
      </w:r>
    </w:p>
    <w:p>
      <w:pPr>
        <w:pStyle w:val="18810"/>
        <w:widowControl/>
        <w:spacing w:line="400" w:lineRule="exact"/>
        <w:ind w:firstLine="560" w:firstLineChars="200"/>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无</w:t>
      </w:r>
    </w:p>
    <w:p>
      <w:pPr>
        <w:spacing w:line="400" w:lineRule="exact"/>
        <w:ind w:firstLine="560" w:firstLineChars="200"/>
        <w:outlineLvl w:val="4"/>
        <w:rPr>
          <w:rFonts w:eastAsia="方正仿宋_GBK" w:cs="微软雅黑"/>
          <w:b/>
          <w:bCs/>
          <w:snapToGrid w:val="0"/>
          <w:sz w:val="28"/>
          <w:szCs w:val="28"/>
        </w:rPr>
      </w:pPr>
      <w:r>
        <w:rPr>
          <w:rFonts w:ascii="Times New Roman" w:eastAsia="方正仿宋_GBK" w:hAnsi="Times New Roman" w:cs="微软雅黑" w:hint="eastAsia"/>
          <w:b/>
          <w:bCs/>
          <w:snapToGrid w:val="0"/>
          <w:sz w:val="28"/>
          <w:szCs w:val="28"/>
          <w:lang w:bidi="ar-SA"/>
        </w:rPr>
        <w:t>3.主要技术参数</w:t>
      </w:r>
    </w:p>
    <w:p>
      <w:pPr>
        <w:pStyle w:val="1810"/>
        <w:spacing w:line="400" w:lineRule="exact"/>
        <w:ind w:left="0" w:firstLine="420" w:firstLineChars="150"/>
        <w:rPr>
          <w:rFonts w:ascii="Times New Roman" w:eastAsia="方正仿宋_GBK" w:hAnsi="Times New Roman"/>
          <w:sz w:val="28"/>
          <w:szCs w:val="28"/>
        </w:rPr>
      </w:pPr>
      <w:r>
        <w:rPr>
          <w:rFonts w:ascii="Times New Roman" w:eastAsia="方正仿宋_GBK" w:hAnsi="Times New Roman" w:cs="Times New Roman"/>
          <w:sz w:val="28"/>
          <w:szCs w:val="28"/>
          <w:lang w:bidi="ar-SA"/>
        </w:rPr>
        <w:t xml:space="preserve"> 3.1产品知识产权合法性要求</w:t>
      </w:r>
    </w:p>
    <w:p>
      <w:pPr>
        <w:pStyle w:val="18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所投标产品的制造商持有该产品的《计算机软件著作权登记证书》。</w:t>
      </w:r>
    </w:p>
    <w:p>
      <w:pPr>
        <w:pStyle w:val="18810"/>
        <w:widowControl/>
        <w:spacing w:line="400" w:lineRule="exact"/>
        <w:ind w:firstLine="560" w:firstLineChars="200"/>
        <w:jc w:val="left"/>
        <w:textAlignment w:val="center"/>
        <w:rPr>
          <w:rFonts w:eastAsia="方正仿宋_GBK"/>
          <w:sz w:val="28"/>
          <w:szCs w:val="28"/>
        </w:rPr>
      </w:pPr>
      <w:r>
        <w:rPr>
          <w:rFonts w:ascii="Times New Roman" w:eastAsia="方正仿宋_GBK" w:hAnsi="Times New Roman" w:cs="Times New Roman"/>
          <w:sz w:val="28"/>
          <w:szCs w:val="28"/>
          <w:lang w:bidi="ar-SA"/>
        </w:rPr>
        <w:t>证明材料要求：</w:t>
      </w:r>
      <w:r>
        <w:rPr>
          <w:rFonts w:ascii="Times New Roman" w:eastAsia="方正仿宋_GBK" w:hAnsi="Times New Roman" w:cs="Times New Roman" w:hint="eastAsia"/>
          <w:sz w:val="28"/>
          <w:szCs w:val="28"/>
          <w:lang w:bidi="ar-SA"/>
        </w:rPr>
        <w:t>投标人提供所投标相关产品的软件著作权证书</w:t>
      </w:r>
      <w:r>
        <w:rPr>
          <w:rFonts w:ascii="Times New Roman" w:eastAsia="方正仿宋_GBK" w:hAnsi="Times New Roman" w:cs="Times New Roman"/>
          <w:sz w:val="28"/>
          <w:szCs w:val="28"/>
          <w:lang w:bidi="ar-SA"/>
        </w:rPr>
        <w:t>复印件</w:t>
      </w:r>
      <w:r>
        <w:rPr>
          <w:rFonts w:ascii="Times New Roman" w:eastAsia="方正仿宋_GBK" w:hAnsi="Times New Roman" w:cs="Times New Roman" w:hint="eastAsia"/>
          <w:sz w:val="28"/>
          <w:szCs w:val="28"/>
          <w:lang w:bidi="ar-SA"/>
        </w:rPr>
        <w:t>并加盖投标人和产品制造商公章</w:t>
      </w:r>
      <w:r>
        <w:rPr>
          <w:rFonts w:ascii="Times New Roman" w:eastAsia="方正仿宋_GBK" w:hAnsi="Times New Roman" w:cs="Times New Roman"/>
          <w:sz w:val="28"/>
          <w:szCs w:val="28"/>
          <w:lang w:bidi="ar-SA"/>
        </w:rPr>
        <w:t>。</w:t>
      </w:r>
    </w:p>
    <w:p>
      <w:pPr>
        <w:pStyle w:val="45810"/>
        <w:widowControl/>
        <w:spacing w:line="400" w:lineRule="exact"/>
        <w:ind w:firstLine="560" w:firstLineChars="200"/>
        <w:jc w:val="left"/>
        <w:textAlignment w:val="center"/>
        <w:rPr>
          <w:rFonts w:eastAsia="方正仿宋_GBK" w:cs="微软雅黑"/>
          <w:b/>
          <w:snapToGrid w:val="0"/>
          <w:sz w:val="28"/>
          <w:szCs w:val="28"/>
        </w:rPr>
      </w:pPr>
      <w:r>
        <w:rPr>
          <w:rFonts w:eastAsia="方正仿宋_GBK" w:cs="微软雅黑" w:hint="eastAsia"/>
          <w:b/>
          <w:snapToGrid w:val="0"/>
          <w:sz w:val="28"/>
          <w:szCs w:val="28"/>
          <w:lang w:bidi="ar-SA"/>
        </w:rPr>
        <w:t>3.2多渠道自助服务平台需求</w:t>
      </w:r>
      <w:r>
        <w:rPr>
          <w:rFonts w:eastAsia="方正仿宋_GBK" w:cs="微软雅黑"/>
          <w:b/>
          <w:snapToGrid w:val="0"/>
          <w:sz w:val="28"/>
          <w:szCs w:val="28"/>
          <w:lang w:bidi="ar-SA"/>
        </w:rPr>
        <w:tab/>
      </w:r>
    </w:p>
    <w:p>
      <w:pPr>
        <w:pStyle w:val="45810"/>
        <w:widowControl/>
        <w:numPr>
          <w:ilvl w:val="0"/>
          <w:numId w:val="18"/>
        </w:numPr>
        <w:spacing w:line="400" w:lineRule="exact"/>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接入渠道应用功能需求：</w:t>
      </w:r>
    </w:p>
    <w:p>
      <w:pPr>
        <w:pStyle w:val="45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接入渠道类别：</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支持接入</w:t>
      </w:r>
      <w:r>
        <w:rPr>
          <w:rFonts w:eastAsia="方正仿宋_GBK" w:cs="微软雅黑"/>
          <w:bCs/>
          <w:snapToGrid w:val="0"/>
          <w:sz w:val="28"/>
          <w:szCs w:val="28"/>
          <w:lang w:bidi="ar-SA"/>
        </w:rPr>
        <w:t>支付宝小程序、</w:t>
      </w:r>
      <w:r>
        <w:rPr>
          <w:rFonts w:eastAsia="方正仿宋_GBK" w:cs="微软雅黑" w:hint="eastAsia"/>
          <w:bCs/>
          <w:snapToGrid w:val="0"/>
          <w:sz w:val="28"/>
          <w:szCs w:val="28"/>
          <w:lang w:bidi="ar-SA"/>
        </w:rPr>
        <w:t>微信（小程序、公众号）、微博、网站、APP、H5、邮箱、钉钉。</w:t>
      </w:r>
    </w:p>
    <w:p>
      <w:pPr>
        <w:pStyle w:val="45810"/>
        <w:widowControl/>
        <w:numPr>
          <w:ilvl w:val="0"/>
          <w:numId w:val="20"/>
        </w:numPr>
        <w:spacing w:line="400" w:lineRule="exact"/>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多渠道关联应用功能需求：</w:t>
      </w:r>
    </w:p>
    <w:p>
      <w:pPr>
        <w:pStyle w:val="45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记录查询应用功能需求：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各渠道信息</w:t>
      </w:r>
      <w:r>
        <w:rPr>
          <w:rFonts w:eastAsia="方正仿宋_GBK" w:cs="微软雅黑"/>
          <w:bCs/>
          <w:snapToGrid w:val="0"/>
          <w:sz w:val="28"/>
          <w:szCs w:val="28"/>
          <w:lang w:bidi="ar-SA"/>
        </w:rPr>
        <w:t>互</w:t>
      </w:r>
      <w:r>
        <w:rPr>
          <w:rFonts w:eastAsia="方正仿宋_GBK" w:cs="微软雅黑" w:hint="eastAsia"/>
          <w:bCs/>
          <w:snapToGrid w:val="0"/>
          <w:sz w:val="28"/>
          <w:szCs w:val="28"/>
          <w:lang w:bidi="ar-SA"/>
        </w:rPr>
        <w:t>通，通过不同渠道进入均可查到咨询人各渠道触点的历史记录。</w:t>
      </w:r>
    </w:p>
    <w:p>
      <w:pPr>
        <w:pStyle w:val="45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信息绑定应用功能需求：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不同渠道的信息，可通过界面关联捆绑，微信咨询人、网页客服以及手机浏览器咨询人访问，系统可以获取IP地址、微信Open ID、会话ID等，热线综合服务平台可以将多媒体信息与咨询人资料进行绑定，这样电话、微信、网页、手机浏览器的历史信息和咨询人资料就可以</w:t>
      </w:r>
      <w:r>
        <w:rPr>
          <w:rFonts w:eastAsia="方正仿宋_GBK" w:cs="微软雅黑"/>
          <w:bCs/>
          <w:snapToGrid w:val="0"/>
          <w:sz w:val="28"/>
          <w:szCs w:val="28"/>
          <w:lang w:bidi="ar-SA"/>
        </w:rPr>
        <w:t>互</w:t>
      </w:r>
      <w:r>
        <w:rPr>
          <w:rFonts w:eastAsia="方正仿宋_GBK" w:cs="微软雅黑" w:hint="eastAsia"/>
          <w:bCs/>
          <w:snapToGrid w:val="0"/>
          <w:sz w:val="28"/>
          <w:szCs w:val="28"/>
          <w:lang w:bidi="ar-SA"/>
        </w:rPr>
        <w:t>通，实现业务处理以及工单统一。</w:t>
      </w:r>
    </w:p>
    <w:p>
      <w:pPr>
        <w:pStyle w:val="45810"/>
        <w:widowControl/>
        <w:numPr>
          <w:ilvl w:val="0"/>
          <w:numId w:val="21"/>
        </w:numPr>
        <w:spacing w:line="400" w:lineRule="exact"/>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概况展示应用功能需求：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概况展示：</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在坐席的界面，能够直观看出已经处理会话数量，包括处理微信会话、手机浏览器会话、网页会话数量等。</w:t>
      </w:r>
    </w:p>
    <w:p>
      <w:pPr>
        <w:pStyle w:val="45810"/>
        <w:widowControl/>
        <w:numPr>
          <w:ilvl w:val="0"/>
          <w:numId w:val="19"/>
        </w:numPr>
        <w:spacing w:line="400" w:lineRule="exact"/>
        <w:ind w:left="0" w:firstLine="560" w:firstLineChars="200"/>
        <w:jc w:val="left"/>
        <w:textAlignment w:val="center"/>
        <w:rPr>
          <w:rFonts w:eastAsia="方正仿宋_GBK" w:cs="微软雅黑"/>
          <w:b/>
          <w:bCs/>
          <w:snapToGrid w:val="0"/>
          <w:sz w:val="28"/>
          <w:szCs w:val="28"/>
        </w:rPr>
      </w:pPr>
      <w:r>
        <w:rPr>
          <w:rFonts w:eastAsia="方正仿宋_GBK" w:cs="微软雅黑" w:hint="eastAsia"/>
          <w:bCs/>
          <w:snapToGrid w:val="0"/>
          <w:sz w:val="28"/>
          <w:szCs w:val="28"/>
          <w:lang w:bidi="ar-SA"/>
        </w:rPr>
        <w:t>坐席端界面应用功能需求：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文本会话应用功能需求：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咨询人和坐席通过文字进行沟通，会话，在文本会话过程中可以发送表情、发送文件、发送截屏等，在文本会话过程中，可以随时发起语音通话和视频通话。</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支持三方交互功能，在与咨询人交互时，可邀请另一名坐席进入对话协助处理咨询人服务请求。邀请另一名坐席时须填写邀请理由，被邀请者需要做出接受或者不接受。</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坐席端文字的调整功能，调整文字大小、字体、颜色等。</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生成工单功能，可在交互界面填写工单信息，将无法处理的问题生成工单，并进入工单处置流程。</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表情发送应用功能需求：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坐席和咨询人沟通的时候，坐席可以通过发送表情，以达到更好的沟通效果。</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历史会话查询应用功能需求：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咨询人和坐席沟会话的过程中，可以查看历史会话记录，以了解以前的会话情况，更好地帮助坐席实现沟通效果。</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历史会话查询可在交互见面直接展示。</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新消息提醒应用功能需求：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坐席分配新的咨询人会话，或者会话过程中有新的会话，系统会提醒坐席有新的会话请求。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状态显示应用功能需求：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可实时查看访客输入状态。</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消息撤回应用功能需求：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支持对已经发出的消息进行撤回，并可选择对该条消息重新编辑。撤回提示不显示在咨询人端。</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会话小结应用功能需求：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会话结束后，弹出会话小结界面，坐席也可自主选择会话小结。小结类型可自定义。</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问题联想应用功能需求：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在线客服支持问题联想功能，对输入的字关联知识库进行问题模糊匹配，快速查询问题，并选择相应的问题输入。</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未读消息提醒应用功能需求：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在同时服务多个咨询人且有未读消息时，系统将提示坐席并标识出未读消息数量。 在该咨询人标签上以红点和数量的方式进行提示。</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智能速答应用功能需求：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对于咨询人经常问到的问题，系统列出标准答案（可在后台自定义到知识库），坐席只需要点击相应的答案，就可以通过在线客服系统回答咨询人的问题。</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留言查看应用功能需求：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坐席可以查看留言记录，显示留言时间、联系方式以及留言的状态，是已读、未读、已处理、未处理等。</w:t>
      </w:r>
    </w:p>
    <w:p>
      <w:pPr>
        <w:pStyle w:val="45810"/>
        <w:widowControl/>
        <w:spacing w:line="400" w:lineRule="exact"/>
        <w:ind w:firstLine="560" w:firstLineChars="200"/>
        <w:jc w:val="left"/>
        <w:textAlignment w:val="center"/>
        <w:rPr>
          <w:rFonts w:eastAsia="方正仿宋_GBK" w:cs="微软雅黑"/>
          <w:b/>
          <w:bCs/>
          <w:snapToGrid w:val="0"/>
          <w:sz w:val="28"/>
          <w:szCs w:val="28"/>
        </w:rPr>
      </w:pPr>
    </w:p>
    <w:p>
      <w:pPr>
        <w:pStyle w:val="45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咨询人端窗口应用功能需求：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自动报工号应用功能需求：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咨询人访问，系统自动在会话框显示坐席的工号，并自动显示问候语。</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文本会话应用功能需求：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和坐席通过文字、语音进行沟通，会话。咨询人可以与坐席进行文字对话，在文字对话的过程中，支持咨询人发送表情、图片、文件、截屏、电话呼叫、视频呼叫、咨询人满意度调查等、链接等富文本消息。</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支持三方交互功能，在与咨询人交互时，可邀请另一名坐席进入对话协助处理咨询人服务请求。邀请另一名坐席时须填写邀请理由，被邀请者需要做出接受或者不接受。</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坐席端文字的调整功能，调整文字大小、字体、颜色等。</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生成工单功能，可在交互界面填写工单信息，将无法处理的工单生成工单，并进入工单处置流程。</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表情发送应用功能需求：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坐席和咨询人沟通的时候，咨询人可以通过发送表情，以达到更好的沟通效果。</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历史会话查询应用功能需求：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咨询人和坐席沟会话的过程中，可以查看历史会话记录，以了解以前的会话情况，更好地帮助坐席实现沟通效果。</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历史会话查询可在交互见面直接展示。</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发送图片应用功能需求：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咨询人可以发送图片，或者咨询人从文件夹选择图片，或者通过截图发送图片。</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会话结束应用功能需求：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咨询人和坐席的会话过程中，可以点击会话结束，咨询人主动结束会话。</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输入状态提醒应用功能需求：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可实时查看坐席输入状态，系统可控制是否开启。</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消息撤回应用功能需求：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支持对已经发出的消息进行撤回，并可选择对该条消息重新编辑。撤回提示不显示在咨询人端。文本、图片、文档均可撤回。</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问题联想应用功能需求：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对咨询人输入的问题进行模糊匹配，快速查询相关问题，并选择相应的问题输入。</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满意度调查应用功能需求：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支持咨询人在会话中或者结束中参与满意度调查，在客服系统中实现咨询人满意度统计分析，咨询人满意度评价分为非常不满意、不满意、一般、满意、非常满意等。</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超时提醒应用功能需求：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咨询人长时间未回复时提醒：当咨询人长时间未回复时，对咨询人进行提醒，并在超过一定时间后自动断开会话，有效的在保证服务品质的同时，避免对坐席资源的浪费，提高坐席处理会话的效率。</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bCs/>
          <w:snapToGrid w:val="0"/>
          <w:sz w:val="28"/>
          <w:szCs w:val="28"/>
          <w:lang w:bidi="ar-SA"/>
        </w:rPr>
        <w:t>咨询人</w:t>
      </w:r>
      <w:r>
        <w:rPr>
          <w:rFonts w:eastAsia="方正仿宋_GBK" w:cs="微软雅黑" w:hint="eastAsia"/>
          <w:bCs/>
          <w:snapToGrid w:val="0"/>
          <w:sz w:val="28"/>
          <w:szCs w:val="28"/>
          <w:lang w:bidi="ar-SA"/>
        </w:rPr>
        <w:t>自助服务应用功能需求：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咨询人直接在Web界面、微信、手机浏览器咨询界面，查看常见问题，快速了解常见问题，咨询人不需要人工帮助，就可以解决自己的问题，节省坐席人员和坐席时间，提高工作效率，节省人力成本。</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信息留言应用功能需求：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客服不在线，常见问题无法解决的疑问，咨询人可随时在留言板留言（联系方式、处理事项），留言在客服坐席界面上展示出来，方便坐席回电。</w:t>
      </w:r>
    </w:p>
    <w:p>
      <w:pPr>
        <w:pStyle w:val="45810"/>
        <w:widowControl/>
        <w:spacing w:line="400" w:lineRule="exact"/>
        <w:ind w:firstLine="560" w:firstLineChars="200"/>
        <w:jc w:val="left"/>
        <w:textAlignment w:val="center"/>
        <w:rPr>
          <w:rFonts w:eastAsia="方正仿宋_GBK" w:cs="微软雅黑"/>
          <w:bCs/>
          <w:snapToGrid w:val="0"/>
          <w:sz w:val="28"/>
          <w:szCs w:val="28"/>
        </w:rPr>
      </w:pPr>
    </w:p>
    <w:p>
      <w:pPr>
        <w:pStyle w:val="45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管理端应用功能需求：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在线客服实时监控应用功能需求：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管理员可在管理端对在线客服坐席与咨询人的交流过程进行实时监控，可打断话并由管理员接入会话。</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坐席转接应用功能需求：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可实时进行在线客服坐席间的转接，如被转接坐席忙，咨询人可直接进入多渠道自助服务排队队列。</w:t>
      </w:r>
    </w:p>
    <w:p>
      <w:pPr>
        <w:pStyle w:val="45910"/>
        <w:spacing w:line="400" w:lineRule="exact"/>
        <w:ind w:left="420" w:firstLine="420" w:firstLineChars="200"/>
        <w:rPr>
          <w:rFonts w:ascii="Times New Roman" w:hAnsi="Times New Roman"/>
        </w:rPr>
      </w:pPr>
    </w:p>
    <w:p>
      <w:pPr>
        <w:pStyle w:val="45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系统页面应用功能需求：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坐席服务会话应用功能需求：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当前会话、会话列表、对话窗口、信息处理区、访客来源信息、访客基本信息、访客浏览轨迹、历史会话等；支持同时会话，对话窗口、基本信息备注。</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消息发送应用功能需求：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支持表情、文字、图片、截图、文件（office、压缩包、音频等）；支持快捷键发送、消息撤回；可设置企业级统一、个人独立常用语话术设置；每个坐席可以手动邀请咨询人进行评价；坐席可将咨询人的咨询转接到其他坐席或技能组。</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数据统计应用功能需求：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需提供统计数据报表，包括不限于咨询人接待、排队量、留言统计、坐席工作统计等。</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智能排队应用功能需求：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排队时系统提示排队数、排队设置、排队主动邀请；根据坐席的忙闲程度，智能分配对话；支持熟客优先、坐席等级、轮值分配等机制，需要与语音话务系统进行统一排队、分配。</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在线留言应用功能需求：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坐席忙或非工作时间可进入留言，留言分配、信息查看、短信/邮件回复等处理。</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在线客服技能组应用功能需求：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可根据不同的人，设置不同技能组，支持一个人属于多个技能组，并可设置技能组溢出。</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插入会话应用功能需求：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管理员对有问题的会话帮忙回复，形成三方会话。</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视频接入应用功能需求：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支持互联网视频及5G视频接入能力。</w:t>
      </w:r>
    </w:p>
    <w:p>
      <w:pPr>
        <w:pStyle w:val="45910"/>
        <w:spacing w:line="400" w:lineRule="exact"/>
        <w:ind w:left="420" w:firstLine="560" w:firstLineChars="200"/>
        <w:rPr>
          <w:rFonts w:ascii="Times New Roman" w:eastAsia="方正仿宋_GBK" w:hAnsi="Times New Roman" w:cs="微软雅黑"/>
          <w:bCs/>
          <w:snapToGrid w:val="0"/>
          <w:sz w:val="28"/>
          <w:szCs w:val="28"/>
        </w:rPr>
      </w:pPr>
      <w:r>
        <w:rPr>
          <w:rFonts w:ascii="Times New Roman" w:eastAsia="方正仿宋_GBK" w:hAnsi="Times New Roman" w:cs="微软雅黑" w:hint="eastAsia"/>
          <w:bCs/>
          <w:snapToGrid w:val="0"/>
          <w:sz w:val="28"/>
          <w:szCs w:val="28"/>
          <w:lang w:bidi="ar-SA"/>
        </w:rPr>
        <w:t>会话统计应用功能需求：</w:t>
      </w:r>
    </w:p>
    <w:p>
      <w:pPr>
        <w:pStyle w:val="45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坐席每天接待咨询人量、会话数量、会话时长、首次响应时长、评星总数、好评数、差评数等详细数据，支持导出；</w:t>
      </w:r>
    </w:p>
    <w:p>
      <w:pPr>
        <w:pStyle w:val="45910"/>
        <w:spacing w:line="400" w:lineRule="exact"/>
        <w:textAlignment w:val="center"/>
        <w:rPr>
          <w:rFonts w:ascii="Times New Roman" w:hAnsi="Times New Roman"/>
        </w:rPr>
      </w:pPr>
    </w:p>
    <w:p>
      <w:pPr>
        <w:pStyle w:val="List2"/>
        <w:spacing w:line="400" w:lineRule="exact"/>
        <w:ind w:left="560" w:hanging="560" w:leftChars="0" w:hangingChars="200"/>
        <w:textAlignment w:val="center"/>
        <w:rPr>
          <w:bCs/>
          <w:snapToGrid/>
        </w:rPr>
      </w:pPr>
      <w:r>
        <w:rPr>
          <w:rFonts w:eastAsia="方正仿宋_GBK" w:cs="微软雅黑" w:hint="eastAsia"/>
          <w:bCs/>
          <w:snapToGrid w:val="0"/>
          <w:sz w:val="28"/>
          <w:szCs w:val="28"/>
          <w:lang w:bidi="ar-SA"/>
        </w:rPr>
        <w:t>证明材料要求：</w:t>
      </w:r>
      <w:r>
        <w:rPr>
          <w:rFonts w:ascii="Times New Roman" w:eastAsia="方正仿宋_GBK" w:hAnsi="Times New Roman" w:cs="Times New Roman"/>
          <w:sz w:val="28"/>
          <w:szCs w:val="28"/>
          <w:lang w:bidi="ar-SA"/>
        </w:rPr>
        <w:t>投标人提供确认函，并加盖投标人和产品制造商公章</w:t>
      </w:r>
      <w:r>
        <w:rPr>
          <w:rFonts w:eastAsia="方正仿宋_GBK" w:cs="微软雅黑" w:hint="eastAsia"/>
          <w:bCs/>
          <w:snapToGrid w:val="0"/>
          <w:sz w:val="28"/>
          <w:szCs w:val="28"/>
          <w:lang w:bidi="ar-SA"/>
        </w:rPr>
        <w:t>。</w:t>
      </w:r>
    </w:p>
    <w:p>
      <w:pPr>
        <w:spacing w:line="400" w:lineRule="exact"/>
        <w:ind w:firstLine="560" w:firstLineChars="200"/>
        <w:outlineLvl w:val="4"/>
        <w:rPr>
          <w:rFonts w:eastAsia="方正仿宋_GBK" w:cs="微软雅黑"/>
          <w:b/>
          <w:bCs/>
          <w:snapToGrid w:val="0"/>
          <w:sz w:val="28"/>
          <w:szCs w:val="28"/>
        </w:rPr>
      </w:pPr>
      <w:r>
        <w:rPr>
          <w:rFonts w:ascii="Times New Roman" w:eastAsia="方正仿宋_GBK" w:hAnsi="Times New Roman" w:cs="微软雅黑" w:hint="eastAsia"/>
          <w:b/>
          <w:bCs/>
          <w:snapToGrid w:val="0"/>
          <w:sz w:val="28"/>
          <w:szCs w:val="28"/>
          <w:lang w:bidi="ar-SA"/>
        </w:rPr>
        <w:t>4.主要配置</w:t>
      </w:r>
    </w:p>
    <w:p>
      <w:pPr>
        <w:pStyle w:val="18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★4.1</w:t>
        <w:tab/>
        <w:t>产品配置</w:t>
        <w:tab/>
      </w:r>
    </w:p>
    <w:p>
      <w:pPr>
        <w:pStyle w:val="18810"/>
        <w:widowControl/>
        <w:numPr>
          <w:ilvl w:val="0"/>
          <w:numId w:val="22"/>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互联网文本坐席并发：大于等于300席；</w:t>
      </w:r>
    </w:p>
    <w:p>
      <w:pPr>
        <w:pStyle w:val="18810"/>
        <w:widowControl/>
        <w:numPr>
          <w:ilvl w:val="0"/>
          <w:numId w:val="22"/>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互联网文本机器人并发：大于等于300席；</w:t>
      </w:r>
    </w:p>
    <w:p>
      <w:pPr>
        <w:pStyle w:val="18810"/>
        <w:widowControl/>
        <w:numPr>
          <w:ilvl w:val="0"/>
          <w:numId w:val="22"/>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互联网视频通话并发：大于等于100席；</w:t>
      </w:r>
    </w:p>
    <w:p>
      <w:pPr>
        <w:pStyle w:val="18810"/>
        <w:widowControl/>
        <w:numPr>
          <w:ilvl w:val="0"/>
          <w:numId w:val="22"/>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包含生产环境（双活部署，北京、广东两地）、开发环境、测试环境共四套环境；</w:t>
      </w:r>
    </w:p>
    <w:p>
      <w:pPr>
        <w:pStyle w:val="18810"/>
        <w:widowControl/>
        <w:numPr>
          <w:ilvl w:val="0"/>
          <w:numId w:val="22"/>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包含多租户功能，产品配置满足至少85个租户使用。</w:t>
      </w:r>
    </w:p>
    <w:p>
      <w:pPr>
        <w:pStyle w:val="31410"/>
        <w:widowControl/>
        <w:numPr>
          <w:ilvl w:val="0"/>
          <w:numId w:val="22"/>
        </w:numPr>
        <w:spacing w:line="400" w:lineRule="exact"/>
        <w:ind w:left="420" w:firstLine="0"/>
        <w:jc w:val="left"/>
        <w:textAlignment w:val="center"/>
        <w:rPr>
          <w:rFonts w:ascii="等线" w:eastAsia="等线" w:cs="Arial" w:hint="eastAsia"/>
        </w:rPr>
      </w:pPr>
      <w:r>
        <w:rPr>
          <w:rStyle w:val="indexheadingChar"/>
          <w:rFonts w:ascii="Times New Roman" w:eastAsia="方正仿宋_GBK" w:hAnsi="Times New Roman" w:cs="微软雅黑" w:hint="eastAsia"/>
          <w:bCs/>
          <w:snapToGrid w:val="0"/>
          <w:sz w:val="28"/>
          <w:szCs w:val="28"/>
          <w:lang w:bidi="ar-SA"/>
        </w:rPr>
        <w:t>支持可独立部署。</w:t>
      </w:r>
    </w:p>
    <w:p>
      <w:pPr>
        <w:pStyle w:val="188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snapToGrid w:val="0"/>
          <w:sz w:val="28"/>
          <w:szCs w:val="28"/>
          <w:lang w:bidi="ar-SA"/>
        </w:rPr>
        <w:t>证明材料要求：投标人提供承诺函</w:t>
      </w:r>
      <w:r>
        <w:rPr>
          <w:rFonts w:eastAsia="方正仿宋_GBK" w:cs="微软雅黑"/>
          <w:snapToGrid w:val="0"/>
          <w:sz w:val="28"/>
          <w:szCs w:val="28"/>
          <w:lang w:bidi="ar-SA"/>
        </w:rPr>
        <w:t>，</w:t>
      </w:r>
      <w:r>
        <w:rPr>
          <w:rFonts w:eastAsia="方正仿宋_GBK" w:cs="微软雅黑" w:hint="eastAsia"/>
          <w:snapToGrid w:val="0"/>
          <w:sz w:val="28"/>
          <w:szCs w:val="28"/>
          <w:lang w:bidi="ar-SA"/>
        </w:rPr>
        <w:t>并加盖</w:t>
      </w:r>
      <w:r>
        <w:rPr>
          <w:rFonts w:ascii="Times New Roman" w:eastAsia="方正仿宋_GBK" w:hAnsi="Times New Roman" w:cs="Times New Roman"/>
          <w:sz w:val="28"/>
          <w:szCs w:val="28"/>
          <w:lang w:bidi="ar-SA"/>
        </w:rPr>
        <w:t>投标人</w:t>
      </w:r>
      <w:r>
        <w:rPr>
          <w:rFonts w:eastAsia="方正仿宋_GBK" w:cs="微软雅黑" w:hint="eastAsia"/>
          <w:snapToGrid w:val="0"/>
          <w:sz w:val="28"/>
          <w:szCs w:val="28"/>
          <w:lang w:bidi="ar-SA"/>
        </w:rPr>
        <w:t>公章。</w:t>
      </w:r>
    </w:p>
    <w:p>
      <w:pPr>
        <w:pStyle w:val="18810"/>
        <w:widowControl/>
        <w:spacing w:line="400" w:lineRule="exact"/>
        <w:ind w:firstLine="560" w:firstLineChars="200"/>
        <w:jc w:val="left"/>
        <w:textAlignment w:val="center"/>
        <w:rPr>
          <w:rFonts w:eastAsia="方正仿宋_GBK" w:cs="微软雅黑"/>
          <w:b/>
          <w:bCs/>
          <w:snapToGrid w:val="0"/>
          <w:sz w:val="28"/>
          <w:szCs w:val="28"/>
        </w:rPr>
      </w:pPr>
    </w:p>
    <w:p>
      <w:pPr>
        <w:spacing w:before="260" w:after="260" w:line="400" w:lineRule="exact"/>
        <w:ind w:firstLine="560" w:firstLineChars="200"/>
        <w:jc w:val="left"/>
        <w:outlineLvl w:val="3"/>
        <w:rPr>
          <w:rFonts w:eastAsia="方正楷体_GBK" w:cs="微软雅黑"/>
          <w:b/>
          <w:bCs/>
          <w:snapToGrid w:val="0"/>
          <w:sz w:val="28"/>
          <w:szCs w:val="28"/>
        </w:rPr>
      </w:pPr>
      <w:r>
        <w:rPr>
          <w:rFonts w:ascii="Times New Roman" w:eastAsia="方正楷体_GBK" w:hAnsi="Times New Roman" w:cs="微软雅黑" w:hint="eastAsia"/>
          <w:b/>
          <w:bCs/>
          <w:snapToGrid w:val="0"/>
          <w:sz w:val="28"/>
          <w:szCs w:val="28"/>
          <w:lang w:bidi="ar-SA"/>
        </w:rPr>
        <w:t>（六）品目6（</w:t>
      </w:r>
      <w:r>
        <w:rPr>
          <w:rFonts w:ascii="Times New Roman" w:eastAsia="方正楷体_GBK" w:hAnsi="Times New Roman" w:cs="微软雅黑"/>
          <w:b/>
          <w:bCs/>
          <w:snapToGrid w:val="0"/>
          <w:sz w:val="28"/>
          <w:szCs w:val="28"/>
          <w:lang w:bidi="ar-SA"/>
        </w:rPr>
        <w:t>智慧化辅助产品升级</w:t>
      </w:r>
      <w:r>
        <w:rPr>
          <w:rFonts w:ascii="Times New Roman" w:eastAsia="方正楷体_GBK" w:hAnsi="Times New Roman" w:cs="微软雅黑" w:hint="eastAsia"/>
          <w:b/>
          <w:bCs/>
          <w:snapToGrid w:val="0"/>
          <w:sz w:val="28"/>
          <w:szCs w:val="28"/>
          <w:lang w:bidi="ar-SA"/>
        </w:rPr>
        <w:t>）</w:t>
      </w:r>
    </w:p>
    <w:p>
      <w:pPr>
        <w:spacing w:line="400" w:lineRule="exact"/>
        <w:ind w:firstLine="560" w:firstLineChars="200"/>
        <w:outlineLvl w:val="4"/>
        <w:rPr>
          <w:rFonts w:eastAsia="方正仿宋_GBK" w:cs="微软雅黑"/>
          <w:b/>
          <w:bCs/>
          <w:snapToGrid w:val="0"/>
          <w:sz w:val="28"/>
          <w:szCs w:val="28"/>
        </w:rPr>
      </w:pPr>
      <w:r>
        <w:rPr>
          <w:rFonts w:ascii="Times New Roman" w:eastAsia="方正仿宋_GBK" w:hAnsi="Times New Roman" w:cs="微软雅黑" w:hint="eastAsia"/>
          <w:b/>
          <w:bCs/>
          <w:snapToGrid w:val="0"/>
          <w:sz w:val="28"/>
          <w:szCs w:val="28"/>
          <w:lang w:bidi="ar-SA"/>
        </w:rPr>
        <w:t>1.主要用途</w:t>
      </w:r>
    </w:p>
    <w:p>
      <w:pPr>
        <w:pStyle w:val="18810"/>
        <w:widowControl/>
        <w:spacing w:line="400" w:lineRule="exact"/>
        <w:ind w:firstLine="560" w:firstLineChars="200"/>
        <w:jc w:val="left"/>
        <w:textAlignment w:val="center"/>
        <w:rPr>
          <w:rFonts w:eastAsia="方正仿宋_GBK" w:cs="微软雅黑"/>
          <w:bCs/>
          <w:iCs/>
          <w:snapToGrid w:val="0"/>
          <w:sz w:val="28"/>
          <w:szCs w:val="28"/>
          <w:lang w:val="zh-CN" w:bidi="en-US"/>
        </w:rPr>
      </w:pPr>
      <w:r>
        <w:rPr>
          <w:rFonts w:eastAsia="方正仿宋_GBK" w:cs="微软雅黑"/>
          <w:bCs/>
          <w:snapToGrid w:val="0"/>
          <w:sz w:val="28"/>
          <w:szCs w:val="28"/>
          <w:lang w:bidi="ar-SA"/>
        </w:rPr>
        <w:t>智慧化辅助产品升级</w:t>
      </w:r>
      <w:r>
        <w:rPr>
          <w:rFonts w:eastAsia="方正仿宋_GBK" w:cs="微软雅黑" w:hint="eastAsia"/>
          <w:snapToGrid w:val="0"/>
          <w:sz w:val="28"/>
          <w:szCs w:val="28"/>
          <w:lang w:bidi="ar-SA"/>
        </w:rPr>
        <w:t>在整体项目中发挥着核心作用，提供自动语音识别、智能分配、自助服务等功能，提升服务效率与质量，减少人工成本，实现7</w:t>
      </w:r>
      <w:r>
        <w:rPr>
          <w:rFonts w:eastAsia="方正仿宋_GBK" w:cs="微软雅黑"/>
          <w:snapToGrid w:val="0"/>
          <w:sz w:val="28"/>
          <w:szCs w:val="28"/>
          <w:lang w:bidi="ar-SA"/>
        </w:rPr>
        <w:t>*</w:t>
      </w:r>
      <w:r>
        <w:rPr>
          <w:rFonts w:eastAsia="方正仿宋_GBK" w:cs="微软雅黑" w:hint="eastAsia"/>
          <w:snapToGrid w:val="0"/>
          <w:sz w:val="28"/>
          <w:szCs w:val="28"/>
          <w:lang w:bidi="ar-SA"/>
        </w:rPr>
        <w:t>24小时不间断服务。</w:t>
      </w:r>
      <w:r>
        <w:rPr>
          <w:rFonts w:eastAsia="方正仿宋_GBK"/>
          <w:snapToGrid w:val="0"/>
          <w:sz w:val="28"/>
          <w:szCs w:val="28"/>
        </w:rPr>
        <w:t>ASR</w:t>
      </w:r>
      <w:r>
        <w:rPr>
          <w:rFonts w:eastAsia="方正仿宋_GBK" w:cs="微软雅黑" w:hint="eastAsia"/>
          <w:snapToGrid w:val="0"/>
          <w:sz w:val="28"/>
          <w:szCs w:val="28"/>
          <w:lang w:bidi="ar-SA"/>
        </w:rPr>
        <w:t>（自动语音识别）技术使智慧化应用产品能够“听懂”人类的语言。TTS（语音合成）技术让智慧化应用能够“说话”。</w:t>
      </w:r>
      <w:r>
        <w:rPr>
          <w:rFonts w:eastAsia="方正仿宋_GBK" w:cs="微软雅黑" w:hint="eastAsia"/>
          <w:bCs/>
          <w:snapToGrid w:val="0"/>
          <w:sz w:val="28"/>
          <w:szCs w:val="28"/>
          <w:lang w:bidi="ar-SA"/>
        </w:rPr>
        <w:t>智能坐席辅助实现语音电话服务及文本服务过程中实时质检、自动推送咨询人问题答案，语音电话过程中实时转译沟通对话内容。智能质检实现对通话录音、文本交互服务过程的全量质检，实现录音自动评分</w:t>
      </w:r>
      <w:r>
        <w:rPr>
          <w:rFonts w:eastAsia="方正仿宋_GBK" w:cs="微软雅黑" w:hint="eastAsia"/>
          <w:bCs/>
          <w:snapToGrid w:val="0"/>
          <w:sz w:val="28"/>
          <w:szCs w:val="28"/>
          <w:lang w:bidi="en-US"/>
        </w:rPr>
        <w:t>。</w:t>
      </w:r>
      <w:r>
        <w:rPr>
          <w:rFonts w:eastAsia="方正仿宋_GBK" w:cs="微软雅黑" w:hint="eastAsia"/>
          <w:snapToGrid w:val="0"/>
          <w:sz w:val="28"/>
          <w:szCs w:val="28"/>
          <w:lang w:bidi="ar-SA"/>
        </w:rPr>
        <w:t>智慧化配置平台（NLP，自然语言处理），是智慧化应用产品的“大脑”，它使各智慧化应用可以理解人类语言的含义，并给出合理的反馈。智能IVR</w:t>
      </w:r>
      <w:r>
        <w:rPr>
          <w:rFonts w:eastAsia="方正仿宋_GBK" w:cs="微软雅黑"/>
          <w:snapToGrid w:val="0"/>
          <w:sz w:val="28"/>
          <w:szCs w:val="28"/>
          <w:lang w:bidi="ar-SA"/>
        </w:rPr>
        <w:t>通过语音话务系统电话接入，客户选择智能语音IVR菜单，</w:t>
      </w:r>
      <w:r>
        <w:rPr>
          <w:rFonts w:eastAsia="方正仿宋_GBK" w:cs="微软雅黑" w:hint="eastAsia"/>
          <w:snapToGrid w:val="0"/>
          <w:sz w:val="28"/>
          <w:szCs w:val="28"/>
          <w:lang w:bidi="ar-SA"/>
        </w:rPr>
        <w:t>实现客户服务过程中，智能回答客户问题或智能导航到客户所需服务队列</w:t>
      </w:r>
      <w:r>
        <w:rPr>
          <w:rFonts w:eastAsia="方正仿宋_GBK" w:cs="微软雅黑"/>
          <w:snapToGrid w:val="0"/>
          <w:sz w:val="28"/>
          <w:szCs w:val="28"/>
          <w:lang w:bidi="ar-SA"/>
        </w:rPr>
        <w:t>。</w:t>
      </w:r>
      <w:r>
        <w:rPr>
          <w:rFonts w:eastAsia="方正仿宋_GBK" w:cs="微软雅黑" w:hint="eastAsia"/>
          <w:snapToGrid w:val="0"/>
          <w:sz w:val="28"/>
          <w:szCs w:val="28"/>
          <w:lang w:bidi="ar-SA"/>
        </w:rPr>
        <w:t>文本机器人实现多渠道自助服务平台自动回复客户问题，为客户创建工单等多种工作。</w:t>
      </w:r>
      <w:r>
        <w:rPr>
          <w:rFonts w:ascii="Times New Roman" w:eastAsia="方正仿宋_GBK" w:hAnsi="Times New Roman" w:cs="微软雅黑" w:hint="eastAsia"/>
          <w:bCs/>
          <w:iCs/>
          <w:snapToGrid w:val="0"/>
          <w:sz w:val="28"/>
          <w:szCs w:val="28"/>
          <w:lang w:val="zh-CN" w:eastAsia="zh-CN" w:bidi="en-US"/>
        </w:rPr>
        <w:t>语音机器人</w:t>
      </w:r>
      <w:r>
        <w:rPr>
          <w:rFonts w:ascii="Times New Roman" w:eastAsia="方正仿宋_GBK" w:hAnsi="Times New Roman" w:cs="微软雅黑"/>
          <w:bCs/>
          <w:iCs/>
          <w:snapToGrid w:val="0"/>
          <w:sz w:val="28"/>
          <w:szCs w:val="28"/>
          <w:lang w:val="zh-CN" w:eastAsia="zh-CN" w:bidi="en-US"/>
        </w:rPr>
        <w:t>实现</w:t>
      </w:r>
      <w:r>
        <w:rPr>
          <w:rFonts w:ascii="Times New Roman" w:eastAsia="方正仿宋_GBK" w:hAnsi="Times New Roman" w:cs="微软雅黑" w:hint="eastAsia"/>
          <w:bCs/>
          <w:iCs/>
          <w:snapToGrid w:val="0"/>
          <w:sz w:val="28"/>
          <w:szCs w:val="28"/>
          <w:lang w:val="zh-CN" w:eastAsia="zh-CN" w:bidi="en-US"/>
        </w:rPr>
        <w:t>机器人创建、监控、话术管理、场景管理、训练、机器人报表、数据采集、数据推送、意图标签</w:t>
      </w:r>
      <w:r>
        <w:rPr>
          <w:rFonts w:ascii="Times New Roman" w:eastAsia="方正仿宋_GBK" w:hAnsi="Times New Roman" w:cs="微软雅黑"/>
          <w:bCs/>
          <w:iCs/>
          <w:snapToGrid w:val="0"/>
          <w:sz w:val="28"/>
          <w:szCs w:val="28"/>
          <w:lang w:val="zh-CN" w:eastAsia="zh-CN" w:bidi="en-US"/>
        </w:rPr>
        <w:t>等功能，配合智能IVR和智能外呼使用</w:t>
      </w:r>
      <w:r>
        <w:rPr>
          <w:rFonts w:ascii="Times New Roman" w:eastAsia="方正仿宋_GBK" w:hAnsi="Times New Roman" w:cs="微软雅黑" w:hint="eastAsia"/>
          <w:bCs/>
          <w:iCs/>
          <w:snapToGrid w:val="0"/>
          <w:sz w:val="28"/>
          <w:szCs w:val="28"/>
          <w:lang w:val="zh-CN" w:eastAsia="zh-CN" w:bidi="en-US"/>
        </w:rPr>
        <w:t>。</w:t>
      </w:r>
    </w:p>
    <w:p>
      <w:pPr>
        <w:pStyle w:val="31610"/>
        <w:widowControl/>
        <w:spacing w:line="400" w:lineRule="exact"/>
        <w:ind w:firstLine="560" w:firstLineChars="200"/>
        <w:jc w:val="left"/>
        <w:textAlignment w:val="center"/>
        <w:rPr>
          <w:rFonts w:eastAsia="方正仿宋_GBK" w:cs="微软雅黑"/>
          <w:snapToGrid w:val="0"/>
          <w:sz w:val="28"/>
          <w:szCs w:val="28"/>
          <w:lang w:bidi="en-US"/>
        </w:rPr>
      </w:pPr>
    </w:p>
    <w:p>
      <w:pPr>
        <w:spacing w:line="400" w:lineRule="exact"/>
        <w:ind w:firstLine="560" w:firstLineChars="200"/>
        <w:outlineLvl w:val="4"/>
        <w:rPr>
          <w:rFonts w:eastAsia="方正仿宋_GBK" w:cs="微软雅黑"/>
          <w:b/>
          <w:bCs/>
          <w:snapToGrid w:val="0"/>
          <w:sz w:val="28"/>
          <w:szCs w:val="28"/>
        </w:rPr>
      </w:pPr>
      <w:r>
        <w:rPr>
          <w:rFonts w:ascii="Times New Roman" w:eastAsia="方正仿宋_GBK" w:hAnsi="Times New Roman" w:cs="微软雅黑" w:hint="eastAsia"/>
          <w:b/>
          <w:bCs/>
          <w:snapToGrid w:val="0"/>
          <w:sz w:val="28"/>
          <w:szCs w:val="28"/>
          <w:lang w:bidi="ar-SA"/>
        </w:rPr>
        <w:t>★2.特殊资质要求</w:t>
      </w:r>
    </w:p>
    <w:p>
      <w:pPr>
        <w:pStyle w:val="18810"/>
        <w:widowControl/>
        <w:spacing w:line="400" w:lineRule="exact"/>
        <w:ind w:firstLine="560" w:firstLineChars="200"/>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无</w:t>
      </w:r>
    </w:p>
    <w:p>
      <w:pPr>
        <w:spacing w:line="400" w:lineRule="exact"/>
        <w:ind w:firstLine="560" w:firstLineChars="200"/>
        <w:outlineLvl w:val="4"/>
        <w:rPr>
          <w:rFonts w:eastAsia="方正仿宋_GBK" w:cs="微软雅黑"/>
          <w:b/>
          <w:bCs/>
          <w:snapToGrid w:val="0"/>
          <w:sz w:val="28"/>
          <w:szCs w:val="28"/>
        </w:rPr>
      </w:pPr>
      <w:r>
        <w:rPr>
          <w:rFonts w:ascii="Times New Roman" w:eastAsia="方正仿宋_GBK" w:hAnsi="Times New Roman" w:cs="微软雅黑" w:hint="eastAsia"/>
          <w:b/>
          <w:bCs/>
          <w:snapToGrid w:val="0"/>
          <w:sz w:val="28"/>
          <w:szCs w:val="28"/>
          <w:lang w:bidi="ar-SA"/>
        </w:rPr>
        <w:t>3.主要技术参数</w:t>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▲3.1</w:t>
        <w:tab/>
        <w:t>NLP智能对话引擎</w:t>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投标产品须提供具备CMA资质的</w:t>
      </w:r>
      <w:r>
        <w:rPr>
          <w:rFonts w:eastAsia="方正仿宋_GBK" w:hint="eastAsia"/>
          <w:snapToGrid w:val="0"/>
          <w:sz w:val="28"/>
          <w:szCs w:val="28"/>
        </w:rPr>
        <w:t>第三方机构</w:t>
      </w:r>
      <w:r>
        <w:rPr>
          <w:rFonts w:eastAsia="方正仿宋_GBK"/>
          <w:snapToGrid w:val="0"/>
          <w:sz w:val="28"/>
          <w:szCs w:val="28"/>
        </w:rPr>
        <w:t>出具的软件产品功能测试认证报告，其中FAQ 问答语义理解准确率大于 98%，意图语义识别准确率大于98%。</w:t>
        <w:tab/>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证明材料要求：投标人须提供所投产品由具备CMA资质的第三方机构出具的测试报告复印件并加盖投标人和产品制造商公章，投标人保留测试报告原件备查。</w:t>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w:t>
        <w:tab/>
        <w:t>3.2ASR-实时离线一体</w:t>
        <w:tab/>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支持实时音频流或离线音频文件均可通过一个ASR引擎实现。</w:t>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证明材料要求：投标人提供确认函，并加盖投标人和产品制造商 公章。</w:t>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w:t>
        <w:tab/>
        <w:t>3.3ASR-测试及认证</w:t>
        <w:tab/>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投标产品须提供具备CMA资质的</w:t>
      </w:r>
      <w:r>
        <w:rPr>
          <w:rFonts w:eastAsia="方正仿宋_GBK" w:hint="eastAsia"/>
          <w:snapToGrid w:val="0"/>
          <w:sz w:val="28"/>
          <w:szCs w:val="28"/>
        </w:rPr>
        <w:t>第三方机构</w:t>
      </w:r>
      <w:r>
        <w:rPr>
          <w:rFonts w:eastAsia="方正仿宋_GBK"/>
          <w:snapToGrid w:val="0"/>
          <w:sz w:val="28"/>
          <w:szCs w:val="28"/>
        </w:rPr>
        <w:t>出具的软件产品功能测试认证报告，其中语音识别引擎中，中文语音识别字准率大于96%，英文语音识别字准率大于92%。</w:t>
        <w:tab/>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证明材料要求：投标人须提供所投产品由具备CMA资质的第三方机构出具的测试报告复印件并加盖投标人和产品制造商公章，投标人保留测试报告原件备查。</w:t>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hint="eastAsia"/>
          <w:snapToGrid w:val="0"/>
          <w:sz w:val="28"/>
          <w:szCs w:val="28"/>
        </w:rPr>
        <w:t>▲3.4</w:t>
      </w:r>
      <w:r>
        <w:rPr>
          <w:rFonts w:eastAsia="方正仿宋_GBK"/>
          <w:snapToGrid w:val="0"/>
          <w:sz w:val="28"/>
          <w:szCs w:val="28"/>
        </w:rPr>
        <w:tab/>
        <w:t>ASR-</w:t>
      </w:r>
      <w:r>
        <w:rPr>
          <w:rFonts w:eastAsia="方正仿宋_GBK" w:hint="eastAsia"/>
          <w:snapToGrid w:val="0"/>
          <w:sz w:val="28"/>
          <w:szCs w:val="28"/>
        </w:rPr>
        <w:t>测试及认证</w:t>
      </w:r>
      <w:r>
        <w:rPr>
          <w:rFonts w:eastAsia="方正仿宋_GBK"/>
          <w:snapToGrid w:val="0"/>
          <w:sz w:val="28"/>
          <w:szCs w:val="28"/>
        </w:rPr>
        <w:tab/>
      </w:r>
    </w:p>
    <w:p>
      <w:pPr>
        <w:pStyle w:val="18810"/>
        <w:widowControl/>
        <w:spacing w:line="400" w:lineRule="exact"/>
        <w:ind w:firstLine="560" w:firstLineChars="200"/>
        <w:jc w:val="left"/>
        <w:textAlignment w:val="center"/>
        <w:rPr>
          <w:rFonts w:eastAsia="方正仿宋_GBK"/>
          <w:snapToGrid w:val="0"/>
          <w:sz w:val="28"/>
          <w:szCs w:val="28"/>
        </w:rPr>
      </w:pPr>
      <w:bookmarkStart w:id="53" w:name="_Hlk186149475"/>
      <w:r>
        <w:rPr>
          <w:rFonts w:eastAsia="方正仿宋_GBK" w:hint="eastAsia"/>
          <w:snapToGrid w:val="0"/>
          <w:sz w:val="28"/>
          <w:szCs w:val="28"/>
        </w:rPr>
        <w:t>投标产品</w:t>
      </w:r>
      <w:r>
        <w:rPr>
          <w:rFonts w:eastAsia="方正仿宋_GBK"/>
          <w:snapToGrid w:val="0"/>
          <w:sz w:val="28"/>
          <w:szCs w:val="28"/>
        </w:rPr>
        <w:t>须提供</w:t>
      </w:r>
      <w:r>
        <w:rPr>
          <w:rFonts w:eastAsia="方正仿宋_GBK" w:hint="eastAsia"/>
          <w:snapToGrid w:val="0"/>
          <w:sz w:val="28"/>
          <w:szCs w:val="28"/>
        </w:rPr>
        <w:t>具备</w:t>
      </w:r>
      <w:r>
        <w:rPr>
          <w:rFonts w:eastAsia="方正仿宋_GBK"/>
          <w:snapToGrid w:val="0"/>
          <w:sz w:val="28"/>
          <w:szCs w:val="28"/>
        </w:rPr>
        <w:t>CMA资质的</w:t>
      </w:r>
      <w:r>
        <w:rPr>
          <w:rFonts w:eastAsia="方正仿宋_GBK" w:hint="eastAsia"/>
          <w:snapToGrid w:val="0"/>
          <w:sz w:val="28"/>
          <w:szCs w:val="28"/>
        </w:rPr>
        <w:t>第三方机构出具的软件产品功能测试认证报告，</w:t>
      </w:r>
      <w:bookmarkEnd w:id="53"/>
      <w:r>
        <w:rPr>
          <w:rFonts w:eastAsia="方正仿宋_GBK" w:hint="eastAsia"/>
          <w:snapToGrid w:val="0"/>
          <w:sz w:val="28"/>
          <w:szCs w:val="28"/>
        </w:rPr>
        <w:t>报告中需对以下方言中的五种进行语音识别字准率测试：安徽方言、山东方言、四川方言、粤语方言（广东方言）、河南方言。五种方言的语音识别字准率均需大于</w:t>
      </w:r>
      <w:r>
        <w:rPr>
          <w:rFonts w:eastAsia="方正仿宋_GBK"/>
          <w:snapToGrid w:val="0"/>
          <w:sz w:val="28"/>
          <w:szCs w:val="28"/>
        </w:rPr>
        <w:t>90%</w:t>
      </w:r>
      <w:r>
        <w:rPr>
          <w:rFonts w:eastAsia="方正仿宋_GBK" w:hint="eastAsia"/>
          <w:snapToGrid w:val="0"/>
          <w:sz w:val="28"/>
          <w:szCs w:val="28"/>
        </w:rPr>
        <w:t>。</w:t>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证明材料要求：投标人须提供所投产品由具备CMA资质的第三方机构出具的测试报告复印件并加盖投标人和产品制造商公章，投标人保留测试报告原件备查。</w:t>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▲3.5</w:t>
        <w:tab/>
        <w:t>TTS-测试及认证</w:t>
        <w:tab/>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投标产品须提供具备CMA资质的</w:t>
      </w:r>
      <w:r>
        <w:rPr>
          <w:rFonts w:eastAsia="方正仿宋_GBK" w:hint="eastAsia"/>
          <w:snapToGrid w:val="0"/>
          <w:sz w:val="28"/>
          <w:szCs w:val="28"/>
        </w:rPr>
        <w:t>第三方机构</w:t>
      </w:r>
      <w:r>
        <w:rPr>
          <w:rFonts w:eastAsia="方正仿宋_GBK"/>
          <w:snapToGrid w:val="0"/>
          <w:sz w:val="28"/>
          <w:szCs w:val="28"/>
        </w:rPr>
        <w:t>出具的软件产品功能测试认证报告，语音合成（TTS）的MOS（Mean Opinion Score）评分（</w:t>
      </w:r>
      <w:r>
        <w:rPr>
          <w:rFonts w:eastAsia="方正仿宋_GBK" w:hint="eastAsia"/>
          <w:snapToGrid w:val="0"/>
          <w:sz w:val="28"/>
          <w:szCs w:val="28"/>
        </w:rPr>
        <w:t>MOS</w:t>
      </w:r>
      <w:r>
        <w:rPr>
          <w:rFonts w:eastAsia="方正仿宋_GBK"/>
          <w:snapToGrid w:val="0"/>
          <w:sz w:val="28"/>
          <w:szCs w:val="28"/>
        </w:rPr>
        <w:t>是一种用于评估语音或视频质量的主观评价方法。）大于等于4.5分。</w:t>
      </w:r>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cs="微软雅黑" w:hint="eastAsia"/>
          <w:snapToGrid w:val="0"/>
          <w:sz w:val="28"/>
          <w:szCs w:val="28"/>
          <w:lang w:bidi="ar-SA"/>
        </w:rPr>
        <w:t>证明材料要求：</w:t>
      </w:r>
      <w:r>
        <w:rPr>
          <w:rFonts w:eastAsia="方正仿宋_GBK"/>
          <w:snapToGrid w:val="0"/>
          <w:sz w:val="28"/>
          <w:szCs w:val="28"/>
        </w:rPr>
        <w:t>投标人须提供所投产品由具备CMA资质的第三方机构出具的测试报告复印件并加盖投标人和产品制造商公章，投标人保留测试报告原件备查。</w:t>
      </w:r>
    </w:p>
    <w:p>
      <w:pPr>
        <w:pStyle w:val="1910"/>
        <w:spacing w:line="400" w:lineRule="exact"/>
        <w:ind w:firstLine="560" w:firstLineChars="200"/>
        <w:rPr>
          <w:rFonts w:ascii="Times New Roman" w:eastAsia="方正仿宋_GBK" w:hAnsi="Times New Roman"/>
          <w:sz w:val="28"/>
          <w:szCs w:val="28"/>
        </w:rPr>
      </w:pPr>
      <w:r>
        <w:rPr>
          <w:rFonts w:ascii="Times New Roman" w:eastAsia="方正仿宋_GBK" w:hAnsi="Times New Roman"/>
          <w:snapToGrid w:val="0"/>
          <w:sz w:val="28"/>
          <w:szCs w:val="28"/>
        </w:rPr>
        <w:t>3.6</w:t>
      </w:r>
      <w:r>
        <w:rPr>
          <w:rFonts w:ascii="Times New Roman" w:eastAsia="方正仿宋_GBK" w:hAnsi="Times New Roman" w:cs="Times New Roman"/>
          <w:snapToGrid w:val="0"/>
          <w:sz w:val="28"/>
          <w:szCs w:val="28"/>
          <w:lang w:bidi="ar-SA"/>
        </w:rPr>
        <w:t xml:space="preserve"> 产</w:t>
      </w:r>
      <w:r>
        <w:rPr>
          <w:rFonts w:ascii="Times New Roman" w:eastAsia="方正仿宋_GBK" w:hAnsi="Times New Roman" w:cs="Times New Roman"/>
          <w:sz w:val="28"/>
          <w:szCs w:val="28"/>
          <w:lang w:bidi="ar-SA"/>
        </w:rPr>
        <w:t>品知识产权合法性要求</w:t>
      </w:r>
    </w:p>
    <w:p>
      <w:pPr>
        <w:pStyle w:val="19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所投标产品的制造商持有该产品的《计算机软件著作权登记证书》。</w:t>
      </w:r>
    </w:p>
    <w:p>
      <w:pPr>
        <w:pStyle w:val="List2"/>
        <w:spacing w:line="400" w:lineRule="exact"/>
        <w:ind w:left="40" w:firstLine="560" w:leftChars="0" w:firstLineChars="200"/>
        <w:jc w:val="left"/>
        <w:textAlignment w:val="center"/>
        <w:rPr>
          <w:rFonts w:ascii="Times New Roman" w:eastAsia="方正仿宋_GBK" w:hAnsi="Times New Roman"/>
          <w:sz w:val="28"/>
          <w:szCs w:val="28"/>
        </w:rPr>
      </w:pPr>
      <w:r>
        <w:rPr>
          <w:rFonts w:ascii="Times New Roman" w:eastAsia="方正仿宋_GBK" w:hAnsi="Times New Roman" w:cs="Times New Roman"/>
          <w:sz w:val="28"/>
          <w:szCs w:val="28"/>
          <w:lang w:bidi="ar-SA"/>
        </w:rPr>
        <w:t>证明材料要求：</w:t>
      </w:r>
      <w:r>
        <w:rPr>
          <w:rFonts w:ascii="Times New Roman" w:eastAsia="方正仿宋_GBK" w:hAnsi="Times New Roman" w:cs="Times New Roman" w:hint="eastAsia"/>
          <w:sz w:val="28"/>
          <w:szCs w:val="28"/>
          <w:lang w:bidi="ar-SA"/>
        </w:rPr>
        <w:t>投标人提供所投标相关产品的软件著作权证书</w:t>
      </w:r>
      <w:r>
        <w:rPr>
          <w:rFonts w:ascii="Times New Roman" w:eastAsia="方正仿宋_GBK" w:hAnsi="Times New Roman" w:cs="Times New Roman"/>
          <w:sz w:val="28"/>
          <w:szCs w:val="28"/>
          <w:lang w:bidi="ar-SA"/>
        </w:rPr>
        <w:t>复印件</w:t>
      </w:r>
      <w:r>
        <w:rPr>
          <w:rFonts w:ascii="Times New Roman" w:eastAsia="方正仿宋_GBK" w:hAnsi="Times New Roman" w:cs="Times New Roman" w:hint="eastAsia"/>
          <w:sz w:val="28"/>
          <w:szCs w:val="28"/>
          <w:lang w:bidi="ar-SA"/>
        </w:rPr>
        <w:t>并加盖投标人和产品制造商公章</w:t>
      </w:r>
      <w:r>
        <w:rPr>
          <w:rFonts w:ascii="Times New Roman" w:eastAsia="方正仿宋_GBK" w:hAnsi="Times New Roman" w:cs="Times New Roman"/>
          <w:sz w:val="28"/>
          <w:szCs w:val="28"/>
          <w:lang w:bidi="ar-SA"/>
        </w:rPr>
        <w:t>。</w:t>
      </w:r>
    </w:p>
    <w:p>
      <w:pPr>
        <w:pStyle w:val="46310"/>
        <w:widowControl/>
        <w:spacing w:line="400" w:lineRule="exact"/>
        <w:ind w:firstLine="560" w:firstLineChars="200"/>
        <w:jc w:val="left"/>
        <w:textAlignment w:val="center"/>
        <w:rPr>
          <w:rFonts w:eastAsia="方正仿宋_GBK" w:cs="微软雅黑"/>
          <w:b/>
          <w:bCs/>
          <w:snapToGrid w:val="0"/>
          <w:sz w:val="28"/>
          <w:szCs w:val="28"/>
        </w:rPr>
      </w:pPr>
      <w:r>
        <w:rPr>
          <w:rFonts w:ascii="Times New Roman" w:eastAsia="方正仿宋_GBK" w:hAnsi="Times New Roman" w:cs="Times New Roman"/>
          <w:snapToGrid w:val="0"/>
          <w:sz w:val="28"/>
          <w:szCs w:val="28"/>
          <w:lang w:bidi="ar-SA"/>
        </w:rPr>
        <w:t>3.7</w:t>
      </w:r>
      <w:r>
        <w:rPr>
          <w:rFonts w:eastAsia="方正仿宋_GBK" w:cs="微软雅黑" w:hint="eastAsia"/>
          <w:bCs/>
          <w:snapToGrid w:val="0"/>
          <w:sz w:val="28"/>
          <w:szCs w:val="28"/>
          <w:lang w:bidi="ar-SA"/>
        </w:rPr>
        <w:t>智慧化辅助产品升级功能需求</w:t>
        <w:tab/>
      </w:r>
    </w:p>
    <w:p>
      <w:pPr>
        <w:pStyle w:val="46310"/>
        <w:widowControl/>
        <w:numPr>
          <w:ilvl w:val="0"/>
          <w:numId w:val="23"/>
        </w:numPr>
        <w:spacing w:line="400" w:lineRule="exact"/>
        <w:jc w:val="left"/>
        <w:textAlignment w:val="center"/>
        <w:rPr>
          <w:rFonts w:eastAsia="方正仿宋_GBK"/>
          <w:b/>
          <w:bCs/>
          <w:snapToGrid w:val="0"/>
          <w:sz w:val="28"/>
          <w:szCs w:val="28"/>
        </w:rPr>
      </w:pPr>
      <w:r>
        <w:rPr>
          <w:rFonts w:eastAsia="方正仿宋_GBK" w:hint="eastAsia"/>
          <w:b/>
          <w:bCs/>
          <w:snapToGrid w:val="0"/>
          <w:sz w:val="28"/>
          <w:szCs w:val="28"/>
        </w:rPr>
        <w:t>智慧化应用配置（</w:t>
      </w:r>
      <w:r>
        <w:rPr>
          <w:rFonts w:eastAsia="方正仿宋_GBK"/>
          <w:b/>
          <w:bCs/>
          <w:snapToGrid w:val="0"/>
          <w:sz w:val="28"/>
          <w:szCs w:val="28"/>
        </w:rPr>
        <w:t>NLP</w:t>
      </w:r>
      <w:r>
        <w:rPr>
          <w:rFonts w:eastAsia="方正仿宋_GBK" w:hint="eastAsia"/>
          <w:b/>
          <w:bCs/>
          <w:snapToGrid w:val="0"/>
          <w:sz w:val="28"/>
          <w:szCs w:val="28"/>
        </w:rPr>
        <w:t>）：</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知识管理功能完备，支持新建、编辑、删除；</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按照分类展示知识库内容，并区分任务式会话、问答库、闲聊库；</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系统预设系统意图（肯定、否定、拒绝、转人工、重述、挂断等多种意图）、系统实体（时间、地点、货币等多种实体）；</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支持针对知识点的标准问、相似问、标准回答的检索；</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支持业务知识点（意图、实体、问答）、闲聊知识的批量导入导出功能；</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关于业务专属词（非通用语义模型范围内）可通过页面进行配置，干预分词效果；</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可通过可视化页面进行会话流程的编辑，可通过点选、拖拉拽方式进行会话流程树配置；</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可实现用户在对话流程中询问问答类知识，支持中断当前对话流程，回答用户问题后，自动返回原对话流程，并恢复上下文信息，无需开发；</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可支持会话片段、会话节点、会话话术等快速检索及定位；</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会话流程支持导入导出；</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会话由流程片段构成，不同机器人，可以共享会话流程；</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全渠道数据统一平台标注；</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对于机器人调用的引擎，例如多轮对话、问答库、表格问答等不同引擎，可以提供对应展示，并可对每句用户问句进行干预和引擎识别修改；</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对于澄清、机器人识别等可简单便捷进行置信度设置；</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可进行关于未达到自动回复的问题，由机器人进行系统级别的自行反问功能；</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可手动或自动进行高频问题的自动推荐；</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支持会话模拟测试，可现实调试信息，可模拟变量</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冷启动阶段，利用沉淀数据对新业务的意图、问答进行拓展问推荐；</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提供数据统计报表平台；</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可按照日期、操作类型提供操作日志查询；</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支持展示会话历史的明细；</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支持针对多轮对话交互效果的运营分析工具，可以快速定位到交互完成量/完成率比较低的流程，运营人员能有针对性地进行话术优化，包括但不限于分析答案来源、调整答案设置等；</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支持针对多轮对话交互流程完整度及准确度的测试工具，运营人员可以自定义测试的话术，系统可自动化完成测试，减少运营人员在对话流程配置和测试过程的工作量和验证周期；</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可通过权限管理进行角色的配置，分配不同的角色对应的权限，自由控制；</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问答、意图、实体、闲聊、文档、不响应问、标注均支持审核后生效；</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可对需审核内容进行设置；</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支持从问答库或其他用途跳转回原有流程，并携带已经收集的词槽继续业务办理，无须重复收集；</w:t>
      </w:r>
    </w:p>
    <w:p>
      <w:pPr>
        <w:pStyle w:val="46310"/>
        <w:widowControl/>
        <w:spacing w:line="400" w:lineRule="exact"/>
        <w:ind w:left="560"/>
        <w:jc w:val="left"/>
        <w:textAlignment w:val="center"/>
        <w:rPr>
          <w:rFonts w:eastAsia="方正仿宋_GBK"/>
          <w:bCs/>
          <w:snapToGrid w:val="0"/>
          <w:sz w:val="28"/>
          <w:szCs w:val="28"/>
        </w:rPr>
      </w:pPr>
      <w:r>
        <w:rPr>
          <w:rFonts w:eastAsia="方正仿宋_GBK"/>
          <w:bCs/>
          <w:snapToGrid w:val="0"/>
          <w:sz w:val="28"/>
          <w:szCs w:val="28"/>
        </w:rPr>
        <w:t>支持相同词槽可在跳转中直接携带，无需重复收集；</w:t>
      </w:r>
    </w:p>
    <w:p>
      <w:pPr>
        <w:pStyle w:val="46310"/>
        <w:widowControl/>
        <w:spacing w:line="400" w:lineRule="exact"/>
        <w:ind w:left="56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支持智能问答：</w:t>
      </w:r>
    </w:p>
    <w:p>
      <w:pPr>
        <w:pStyle w:val="46310"/>
        <w:widowControl/>
        <w:spacing w:line="400" w:lineRule="exact"/>
        <w:ind w:left="210" w:right="210" w:firstLine="560" w:firstLineChars="200"/>
        <w:jc w:val="left"/>
        <w:textAlignment w:val="center"/>
        <w:rPr>
          <w:rFonts w:eastAsia="方正仿宋_GBK"/>
          <w:bCs/>
          <w:iCs/>
          <w:snapToGrid w:val="0"/>
          <w:sz w:val="28"/>
          <w:szCs w:val="28"/>
        </w:rPr>
      </w:pPr>
      <w:r>
        <w:rPr>
          <w:rFonts w:eastAsia="方正仿宋_GBK" w:hint="eastAsia"/>
          <w:bCs/>
          <w:iCs/>
          <w:snapToGrid w:val="0"/>
          <w:sz w:val="28"/>
          <w:szCs w:val="28"/>
        </w:rPr>
        <w:t>系统支持维护FAQ问题列表，支持导入和导出，支持FAQ多级分类和不同渠道不同答案，支持答案中的部分内容作为动态变化内容，不同用户可以得到不同的个性化回答。</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任务式会话：</w:t>
      </w:r>
    </w:p>
    <w:p>
      <w:pPr>
        <w:pStyle w:val="46310"/>
        <w:widowControl/>
        <w:spacing w:line="400" w:lineRule="exact"/>
        <w:ind w:right="210" w:firstLine="560" w:firstLineChars="200"/>
        <w:jc w:val="left"/>
        <w:textAlignment w:val="center"/>
        <w:rPr>
          <w:rFonts w:eastAsia="方正仿宋_GBK"/>
          <w:bCs/>
          <w:iCs/>
          <w:snapToGrid w:val="0"/>
          <w:sz w:val="28"/>
          <w:szCs w:val="28"/>
        </w:rPr>
      </w:pPr>
      <w:r>
        <w:rPr>
          <w:rFonts w:eastAsia="方正仿宋_GBK" w:hint="eastAsia"/>
          <w:bCs/>
          <w:iCs/>
          <w:snapToGrid w:val="0"/>
          <w:sz w:val="28"/>
          <w:szCs w:val="28"/>
        </w:rPr>
        <w:t>提供</w:t>
      </w:r>
      <w:r>
        <w:rPr>
          <w:rFonts w:eastAsia="方正仿宋_GBK"/>
          <w:bCs/>
          <w:iCs/>
          <w:snapToGrid w:val="0"/>
          <w:sz w:val="28"/>
          <w:szCs w:val="28"/>
        </w:rPr>
        <w:t>自定义用户实体和内置系统实体，用户实体支持枚举类型、规则类型和复合类型，其中枚举类型支持引用系统实体，以便对系统实体识别效果进行干预。</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需支持自定义意图和内置系统意图，支持维护意图别名、意图例句、意图模板等信息，支持导入导出管理。</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需支持可拖拽式流程画布，基于节点配置组合条件和执行模块，并且组合条件和执行模块的回复内容配置支持使用表达式解析的高级模式，更加灵活精细。可查看版本记录，节点快速搜索等功能。支持对流程进行复制和跳转操作，支持导入导出管理。</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需支持简单编辑话术，无需重启即可生效；支持“仅修改会话话术文案，不修改会话流程”的权限管理。</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支持提供基于实体泛化语义模型的训练、评测，训练后的实体具备在已有实体值基础上增字、缩写、顺序变化等多种模糊表述的匹配能力。</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人设闲聊：</w:t>
      </w:r>
    </w:p>
    <w:p>
      <w:pPr>
        <w:pStyle w:val="46310"/>
        <w:widowControl/>
        <w:spacing w:line="400" w:lineRule="exact"/>
        <w:ind w:left="210" w:right="210" w:firstLine="560" w:firstLineChars="200"/>
        <w:jc w:val="left"/>
        <w:textAlignment w:val="center"/>
        <w:rPr>
          <w:rFonts w:eastAsia="方正仿宋_GBK"/>
          <w:bCs/>
          <w:iCs/>
          <w:snapToGrid w:val="0"/>
          <w:sz w:val="28"/>
          <w:szCs w:val="28"/>
        </w:rPr>
      </w:pPr>
      <w:r>
        <w:rPr>
          <w:rFonts w:eastAsia="方正仿宋_GBK" w:hint="eastAsia"/>
          <w:bCs/>
          <w:iCs/>
          <w:snapToGrid w:val="0"/>
          <w:sz w:val="28"/>
          <w:szCs w:val="28"/>
        </w:rPr>
        <w:t xml:space="preserve">   机器人具备闲聊库，供对话使用，可以支持闲聊库导入导出，同时又支持通过接口接入第三方闲聊库。</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运营支持模块：</w:t>
      </w:r>
    </w:p>
    <w:p>
      <w:pPr>
        <w:pStyle w:val="46310"/>
        <w:spacing w:line="400" w:lineRule="exact"/>
        <w:ind w:firstLine="560" w:firstLineChars="200"/>
        <w:textAlignment w:val="center"/>
        <w:rPr>
          <w:rFonts w:eastAsia="方正仿宋_GBK"/>
          <w:bCs/>
          <w:iCs/>
          <w:snapToGrid w:val="0"/>
          <w:sz w:val="28"/>
          <w:szCs w:val="28"/>
        </w:rPr>
      </w:pPr>
      <w:r>
        <w:rPr>
          <w:rFonts w:eastAsia="方正仿宋_GBK" w:hint="eastAsia"/>
          <w:bCs/>
          <w:iCs/>
          <w:snapToGrid w:val="0"/>
          <w:sz w:val="28"/>
          <w:szCs w:val="28"/>
        </w:rPr>
        <w:t>提供数据标注、语义分析、业务流程测试等功能；提供会话在线测试，模拟业务流程，查看会话调试信息；提供统计数据支持定制化统计报表。</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会话测试：</w:t>
      </w:r>
    </w:p>
    <w:p>
      <w:pPr>
        <w:pStyle w:val="46310"/>
        <w:widowControl/>
        <w:spacing w:line="400" w:lineRule="exact"/>
        <w:ind w:firstLine="560" w:firstLineChars="200"/>
        <w:jc w:val="left"/>
        <w:textAlignment w:val="center"/>
        <w:rPr>
          <w:rFonts w:eastAsia="方正仿宋_GBK"/>
          <w:bCs/>
          <w:snapToGrid w:val="0"/>
          <w:sz w:val="28"/>
          <w:szCs w:val="28"/>
        </w:rPr>
      </w:pPr>
      <w:r>
        <w:rPr>
          <w:rFonts w:eastAsia="方正仿宋_GBK"/>
          <w:bCs/>
          <w:snapToGrid w:val="0"/>
          <w:sz w:val="28"/>
          <w:szCs w:val="28"/>
        </w:rPr>
        <w:t>支持会话模拟测试，可实现调试信息，可模拟变量。支持流程片段和完整Bot的测试，抽屉式交互可随时进行测试验证。</w:t>
      </w:r>
    </w:p>
    <w:p>
      <w:pPr>
        <w:pStyle w:val="46310"/>
        <w:widowControl/>
        <w:spacing w:line="400" w:lineRule="exact"/>
        <w:ind w:firstLine="560" w:firstLineChars="200"/>
        <w:jc w:val="left"/>
        <w:textAlignment w:val="center"/>
        <w:rPr>
          <w:rFonts w:eastAsia="方正仿宋_GBK"/>
          <w:bCs/>
          <w:snapToGrid w:val="0"/>
          <w:sz w:val="28"/>
          <w:szCs w:val="28"/>
        </w:rPr>
      </w:pPr>
      <w:r>
        <w:rPr>
          <w:rFonts w:eastAsia="方正仿宋_GBK"/>
          <w:bCs/>
          <w:snapToGrid w:val="0"/>
          <w:sz w:val="28"/>
          <w:szCs w:val="28"/>
        </w:rPr>
        <w:t>支持针对多轮对话交互流程完整度及准确度的测试工具，运营人员可以自定义测试的话术，系统可自动化完成回归测试，减少运营人员在对话流程配置和测试过程的工作量和验证周期。</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数据统计：</w:t>
      </w:r>
    </w:p>
    <w:p>
      <w:pPr>
        <w:pStyle w:val="46310"/>
        <w:widowControl/>
        <w:spacing w:line="400" w:lineRule="exact"/>
        <w:ind w:firstLine="560" w:firstLineChars="200"/>
        <w:jc w:val="left"/>
        <w:textAlignment w:val="center"/>
        <w:rPr>
          <w:rFonts w:eastAsia="方正仿宋_GBK"/>
          <w:bCs/>
          <w:snapToGrid w:val="0"/>
          <w:sz w:val="28"/>
          <w:szCs w:val="28"/>
        </w:rPr>
      </w:pPr>
      <w:r>
        <w:rPr>
          <w:rFonts w:eastAsia="方正仿宋_GBK"/>
          <w:bCs/>
          <w:snapToGrid w:val="0"/>
          <w:sz w:val="28"/>
          <w:szCs w:val="28"/>
        </w:rPr>
        <w:t>支持对话数据的基本统计展现，包括会话数、消息数、响应来源、高频命中知识等展现。</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操作日志：</w:t>
      </w:r>
    </w:p>
    <w:p>
      <w:pPr>
        <w:pStyle w:val="46310"/>
        <w:widowControl/>
        <w:spacing w:line="400" w:lineRule="exact"/>
        <w:ind w:firstLine="560" w:firstLineChars="200"/>
        <w:jc w:val="left"/>
        <w:textAlignment w:val="center"/>
        <w:rPr>
          <w:rFonts w:eastAsia="方正仿宋_GBK"/>
          <w:bCs/>
          <w:snapToGrid w:val="0"/>
          <w:sz w:val="28"/>
          <w:szCs w:val="28"/>
        </w:rPr>
      </w:pPr>
      <w:r>
        <w:rPr>
          <w:rFonts w:eastAsia="方正仿宋_GBK"/>
          <w:bCs/>
          <w:snapToGrid w:val="0"/>
          <w:sz w:val="28"/>
          <w:szCs w:val="28"/>
        </w:rPr>
        <w:t>支持按照日期、操作类型提供操作日志查询。</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支持系统设置：</w:t>
      </w:r>
    </w:p>
    <w:p>
      <w:pPr>
        <w:pStyle w:val="46310"/>
        <w:widowControl/>
        <w:spacing w:line="400" w:lineRule="exact"/>
        <w:ind w:firstLine="560" w:firstLineChars="200"/>
        <w:jc w:val="left"/>
        <w:textAlignment w:val="center"/>
        <w:rPr>
          <w:rFonts w:eastAsia="方正仿宋_GBK"/>
          <w:bCs/>
          <w:snapToGrid w:val="0"/>
          <w:sz w:val="28"/>
          <w:szCs w:val="28"/>
        </w:rPr>
      </w:pPr>
      <w:r>
        <w:rPr>
          <w:rFonts w:eastAsia="方正仿宋_GBK"/>
          <w:bCs/>
          <w:snapToGrid w:val="0"/>
          <w:sz w:val="28"/>
          <w:szCs w:val="28"/>
        </w:rPr>
        <w:t>系统设置可以包含基础资源管理和设置。</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设置</w:t>
      </w:r>
      <w:r>
        <w:rPr>
          <w:rFonts w:eastAsia="方正仿宋_GBK" w:cs="微软雅黑"/>
          <w:bCs/>
          <w:iCs/>
          <w:snapToGrid w:val="0"/>
          <w:sz w:val="28"/>
          <w:szCs w:val="28"/>
          <w:lang w:bidi="ar-SA"/>
        </w:rPr>
        <w:t>阈值</w:t>
      </w:r>
      <w:r>
        <w:rPr>
          <w:rFonts w:eastAsia="方正仿宋_GBK" w:cs="微软雅黑" w:hint="eastAsia"/>
          <w:bCs/>
          <w:iCs/>
          <w:snapToGrid w:val="0"/>
          <w:sz w:val="28"/>
          <w:szCs w:val="28"/>
          <w:lang w:bidi="ar-SA"/>
        </w:rPr>
        <w:t>：</w:t>
      </w:r>
    </w:p>
    <w:p>
      <w:pPr>
        <w:pStyle w:val="46310"/>
        <w:widowControl/>
        <w:spacing w:line="400" w:lineRule="exact"/>
        <w:ind w:firstLine="560" w:firstLineChars="200"/>
        <w:jc w:val="left"/>
        <w:textAlignment w:val="center"/>
        <w:rPr>
          <w:rFonts w:eastAsia="方正仿宋_GBK"/>
          <w:bCs/>
          <w:snapToGrid w:val="0"/>
          <w:sz w:val="28"/>
          <w:szCs w:val="28"/>
        </w:rPr>
      </w:pPr>
      <w:r>
        <w:rPr>
          <w:rFonts w:eastAsia="方正仿宋_GBK"/>
          <w:bCs/>
          <w:snapToGrid w:val="0"/>
          <w:sz w:val="28"/>
          <w:szCs w:val="28"/>
        </w:rPr>
        <w:t>支持对对话效果相关阈值设置，包括意图、FAQ等模型置信度、语义纠错设置等。</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支持通过权限管理进行角色的配置，分配不同的角色对应的权限，支持模块与数据双维度的自由控制。</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支持多租户管理功能：</w:t>
      </w:r>
    </w:p>
    <w:p>
      <w:pPr>
        <w:pStyle w:val="46310"/>
        <w:widowControl/>
        <w:spacing w:line="400" w:lineRule="exact"/>
        <w:ind w:firstLine="560" w:firstLineChars="200"/>
        <w:jc w:val="left"/>
        <w:textAlignment w:val="center"/>
        <w:rPr>
          <w:rFonts w:eastAsia="方正仿宋_GBK"/>
          <w:bCs/>
          <w:snapToGrid w:val="0"/>
          <w:sz w:val="28"/>
          <w:szCs w:val="28"/>
        </w:rPr>
      </w:pPr>
      <w:r>
        <w:rPr>
          <w:rFonts w:eastAsia="方正仿宋_GBK"/>
          <w:bCs/>
          <w:snapToGrid w:val="0"/>
          <w:sz w:val="28"/>
          <w:szCs w:val="28"/>
        </w:rPr>
        <w:t>包含租户管理、审核中心、开放能力、平台用户管理、前端要求适配。</w:t>
      </w:r>
    </w:p>
    <w:p>
      <w:pPr>
        <w:pStyle w:val="46310"/>
        <w:widowControl/>
        <w:spacing w:line="400" w:lineRule="exact"/>
        <w:ind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租户管理：</w:t>
      </w:r>
    </w:p>
    <w:p>
      <w:pPr>
        <w:pStyle w:val="46310"/>
        <w:widowControl/>
        <w:spacing w:line="400" w:lineRule="exact"/>
        <w:ind w:firstLine="560" w:firstLineChars="200"/>
        <w:jc w:val="left"/>
        <w:textAlignment w:val="center"/>
        <w:rPr>
          <w:rFonts w:eastAsia="方正仿宋_GBK"/>
          <w:bCs/>
          <w:snapToGrid w:val="0"/>
          <w:sz w:val="28"/>
          <w:szCs w:val="28"/>
        </w:rPr>
      </w:pPr>
      <w:r>
        <w:rPr>
          <w:rFonts w:eastAsia="方正仿宋_GBK"/>
          <w:bCs/>
          <w:snapToGrid w:val="0"/>
          <w:sz w:val="28"/>
          <w:szCs w:val="28"/>
        </w:rPr>
        <w:t>支持多租户间数据逻辑隔离，支持新建呼入或呼出类型租户，支持设置租户功能范围和并发上限的资源管理配置。</w:t>
      </w:r>
    </w:p>
    <w:p>
      <w:pPr>
        <w:pStyle w:val="463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开放能力：</w:t>
      </w:r>
    </w:p>
    <w:p>
      <w:pPr>
        <w:pStyle w:val="46310"/>
        <w:widowControl/>
        <w:spacing w:line="400" w:lineRule="exact"/>
        <w:ind w:firstLine="560" w:firstLineChars="200"/>
        <w:jc w:val="left"/>
        <w:textAlignment w:val="center"/>
        <w:rPr>
          <w:rFonts w:eastAsia="方正仿宋_GBK"/>
          <w:bCs/>
          <w:snapToGrid w:val="0"/>
          <w:sz w:val="28"/>
          <w:szCs w:val="28"/>
        </w:rPr>
      </w:pPr>
      <w:r>
        <w:rPr>
          <w:rFonts w:eastAsia="方正仿宋_GBK"/>
          <w:bCs/>
          <w:snapToGrid w:val="0"/>
          <w:sz w:val="28"/>
          <w:szCs w:val="28"/>
        </w:rPr>
        <w:t>支持接入第三方大模型能力：支持接入各种大模型能力，并且支持 prompt 配置以及流式/非流式选择等"</w:t>
      </w:r>
    </w:p>
    <w:p>
      <w:pPr>
        <w:pStyle w:val="46310"/>
        <w:widowControl/>
        <w:spacing w:line="400" w:lineRule="exact"/>
        <w:ind w:firstLine="560" w:firstLineChars="200"/>
        <w:jc w:val="left"/>
        <w:textAlignment w:val="center"/>
        <w:rPr>
          <w:rFonts w:ascii="方正仿宋_GBK" w:eastAsia="方正仿宋_GBK" w:cs="微软雅黑" w:hint="eastAsia"/>
          <w:b/>
          <w:bCs/>
          <w:snapToGrid w:val="0"/>
          <w:sz w:val="28"/>
          <w:szCs w:val="28"/>
        </w:rPr>
      </w:pPr>
      <w:r>
        <w:rPr>
          <w:rFonts w:eastAsia="方正仿宋_GBK"/>
          <w:bCs/>
          <w:snapToGrid w:val="0"/>
          <w:sz w:val="28"/>
          <w:szCs w:val="28"/>
        </w:rPr>
        <w:t>支持提供服务端（对话预测）和管理端（知识管理）的若干接口，通过API可更好的完成对用户触点的组合能力呈现。</w:t>
      </w:r>
    </w:p>
    <w:p>
      <w:pPr>
        <w:pStyle w:val="46410"/>
        <w:widowControl/>
        <w:numPr>
          <w:ilvl w:val="0"/>
          <w:numId w:val="24"/>
        </w:numPr>
        <w:jc w:val="left"/>
        <w:textAlignment w:val="center"/>
        <w:rPr>
          <w:rFonts w:eastAsia="方正仿宋_GBK" w:cs="微软雅黑"/>
          <w:b/>
          <w:bCs/>
          <w:snapToGrid w:val="0"/>
          <w:sz w:val="28"/>
          <w:szCs w:val="28"/>
        </w:rPr>
      </w:pPr>
      <w:r>
        <w:rPr>
          <w:rFonts w:eastAsia="方正仿宋_GBK" w:cs="微软雅黑"/>
          <w:b/>
          <w:bCs/>
          <w:snapToGrid w:val="0"/>
          <w:sz w:val="28"/>
          <w:szCs w:val="28"/>
          <w:lang w:bidi="ar-SA"/>
        </w:rPr>
        <w:t>ASR</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支持普通话及轻微口音的识别，支持中文夹杂简单英文的识别；</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支持流式传输音频流实时识别；</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支持8K、16K采样率，16bit位深的音频识别；</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支持自定义添加热词，提升热词识别准确率；</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支持对识别错误词汇进行强制转换，配置为正确的词汇；</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支持电话号码、金额、日期等形式的数字识别能力并支持数字规整（如“九百九十九元”改写为“999元”）；</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支持对转写文本提供智能断句和标点符号的预测（逗号、叹号、问号）；</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支持音频格式为pcm、wav的单声道音频文件的语音转写；</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支持多种接口调用方式，MRCP、Java-SDK 、C++ SDK、Android-SDK、IOS-SDK等；</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在一段单轨音频中，支持对2个及以上说话人进行音频分离，以便找出对应说话人所对应的音频；</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支持静音检测，语速检测，音量检测；</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支持实时识别音频流时，根据上下文语境自动纠正错误；</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支持GPU或CPU中的一种硬件模式；</w:t>
      </w:r>
    </w:p>
    <w:p>
      <w:pPr>
        <w:pStyle w:val="46510"/>
        <w:ind w:left="420" w:firstLine="420" w:firstLineChars="200"/>
      </w:pPr>
    </w:p>
    <w:p>
      <w:pPr>
        <w:pStyle w:val="46410"/>
        <w:widowControl/>
        <w:numPr>
          <w:ilvl w:val="0"/>
          <w:numId w:val="25"/>
        </w:numPr>
        <w:jc w:val="left"/>
        <w:textAlignment w:val="center"/>
        <w:rPr>
          <w:rFonts w:ascii="方正仿宋_GBK" w:eastAsia="方正仿宋_GBK" w:cs="微软雅黑" w:hint="eastAsia"/>
          <w:b/>
          <w:bCs/>
          <w:snapToGrid w:val="0"/>
          <w:sz w:val="28"/>
          <w:szCs w:val="28"/>
        </w:rPr>
      </w:pPr>
      <w:r>
        <w:rPr>
          <w:rFonts w:ascii="方正仿宋_GBK" w:eastAsia="方正仿宋_GBK" w:cs="微软雅黑" w:hint="eastAsia"/>
          <w:b/>
          <w:bCs/>
          <w:snapToGrid w:val="0"/>
          <w:sz w:val="28"/>
          <w:szCs w:val="28"/>
          <w:lang w:bidi="ar-SA"/>
        </w:rPr>
        <w:t>TTS</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支持中文、英文、粤语的语音合成；</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流式接口下，实时率小于0.25；</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可自定义调节音量、语速、语调三个参数；</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支持10种发音人，并且支持男声、女声；</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支持多种接口调用方式，MRCP、HTTP、Android-SDK、IOS-SDK等；</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支持合成音频格式为wav、pcm、mp3；</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支持配置SSML标记语言；</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支持对合成有误的文本进行强纠配置，快速修复读音、断句；</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合成输入文本支持编码格式为UTF-8</w:t>
      </w:r>
    </w:p>
    <w:p>
      <w:pPr>
        <w:pStyle w:val="46410"/>
        <w:widowControl/>
        <w:spacing w:line="400" w:lineRule="exact"/>
        <w:ind w:left="629"/>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支持各类常见符号的语音合成，如$0.60念成零点六零美元、1μM念成一微米、36.3°C念成三十六点三摄氏度</w:t>
      </w:r>
    </w:p>
    <w:p>
      <w:pPr>
        <w:pStyle w:val="46410"/>
        <w:widowControl/>
        <w:ind w:firstLine="560" w:firstLineChars="200"/>
        <w:jc w:val="left"/>
        <w:textAlignment w:val="center"/>
        <w:rPr>
          <w:rFonts w:ascii="方正仿宋_GBK" w:eastAsia="方正仿宋_GBK" w:cs="微软雅黑" w:hint="eastAsia"/>
          <w:b/>
          <w:bCs/>
          <w:snapToGrid w:val="0"/>
          <w:sz w:val="28"/>
          <w:szCs w:val="28"/>
        </w:rPr>
      </w:pPr>
    </w:p>
    <w:p>
      <w:pPr>
        <w:pStyle w:val="46410"/>
        <w:widowControl/>
        <w:numPr>
          <w:ilvl w:val="0"/>
          <w:numId w:val="26"/>
        </w:numPr>
        <w:tabs>
          <w:tab w:val="left" w:pos="722"/>
        </w:tabs>
        <w:jc w:val="left"/>
        <w:textAlignment w:val="center"/>
        <w:rPr>
          <w:rFonts w:ascii="方正仿宋_GBK" w:eastAsia="方正仿宋_GBK" w:cs="微软雅黑" w:hint="eastAsia"/>
          <w:b/>
          <w:bCs/>
          <w:snapToGrid w:val="0"/>
          <w:sz w:val="28"/>
          <w:szCs w:val="28"/>
        </w:rPr>
      </w:pPr>
      <w:r>
        <w:rPr>
          <w:rFonts w:ascii="方正仿宋_GBK" w:eastAsia="方正仿宋_GBK" w:cs="微软雅黑" w:hint="eastAsia"/>
          <w:b/>
          <w:bCs/>
          <w:snapToGrid w:val="0"/>
          <w:sz w:val="28"/>
          <w:szCs w:val="28"/>
          <w:lang w:bidi="ar-SA"/>
        </w:rPr>
        <w:t>智能坐席辅助应用功能需求：</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话术提醒应用功能需求：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智能检测当前的话术阶段及话题，并能够智能提示接下来应该提及的话题，来帮助热线坐席专注于热线接听过程，并实时记录话术流程，提醒电话热线坐席未谈及的知识要点。</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知识推荐应用功能需求：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知识推荐功能，是热线坐席在接听电话的同时，坐席辅助系统主动识别咨询人的进线意图，调取后台知识库，利用FAQ/知识图谱的手段，实现知识的主动推荐，客服也可以手动查询查找知识点。在采购人给定的不低于500条知识条目范围内，知识推荐业务准确率需达到90%以上。对推荐知识支持点赞、点踩，支持取消，点踩可录入原因。</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配置知识推荐触发条件应用功能需求：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支持组合多个触发条件。</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智能应答辅助（语音转文字）应用功能需求：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为呼叫中心坐席人员提供智能辅助，通过语音识别将呼入电话语音转为文本，并进行实时匹配标准答案，便于坐席人员快速获取最佳专业话术回复，提升服务效率及准确性。</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监控坐席行为和风险预警应用功能需求：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可实时监测业务合规及时预警坐席情绪语速、礼貌用语等服务规范，预警提示咨询人情绪变化，并监管话题清单、内容摘要、历史信息回溯等内容。对用户或者话务员在对话内容中说到的敏感字词，可单独进行汇总提示，显示用户/话务员、具体时间、敏感词内容等。</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咨询人画像应用功能需求：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可通过咨询人来话的历史记录、业务记录、咨询人职业、咨询人偏好等内容，为咨询人进行标签的标注，咨询人一旦接入，坐席即可在界面上看到咨询人以标签形式出现的画像。</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基础业务配置应用功能需求：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支持配置推荐话术。</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在线测试应用功能需求：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支持在线测试触发条件是否生效并符合预期。</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违规提醒应用功能需求：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可配置违规文本。</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业务流程导航应用功能需求：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支持拖动添加节点。</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会话管理应用功能需求：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拥有会话记录。</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违规列表应用功能需求：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可展示本次通话坐席触发的违规提醒记录，包括违规时间，违规规则和具体触发规则的语句。</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可在坐席服务过程中，自动触发业务流程导航功能，在坐席页面展现特定服务流程指引。</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可针对本次通话的通话进行小结，小结配置的一段文字描述，展示在后台列表中，可同步到受理单中。</w:t>
      </w:r>
    </w:p>
    <w:p>
      <w:pPr>
        <w:pStyle w:val="46410"/>
        <w:widowControl/>
        <w:spacing w:line="400" w:lineRule="exact"/>
        <w:ind w:left="560"/>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工单助手应用功能需求：</w:t>
      </w:r>
    </w:p>
    <w:p>
      <w:pPr>
        <w:pStyle w:val="46410"/>
        <w:widowControl/>
        <w:spacing w:line="400" w:lineRule="exact"/>
        <w:ind w:firstLine="560" w:firstLineChars="200"/>
        <w:jc w:val="left"/>
        <w:textAlignment w:val="center"/>
        <w:rPr>
          <w:rFonts w:ascii="方正仿宋_GBK" w:eastAsia="方正仿宋_GBK" w:cs="微软雅黑" w:hint="eastAsia"/>
          <w:b/>
          <w:bCs/>
          <w:snapToGrid w:val="0"/>
          <w:sz w:val="28"/>
          <w:szCs w:val="28"/>
        </w:rPr>
      </w:pPr>
      <w:r>
        <w:rPr>
          <w:rFonts w:ascii="方正仿宋_GBK" w:eastAsia="方正仿宋_GBK" w:cs="微软雅黑" w:hint="eastAsia"/>
          <w:snapToGrid w:val="0"/>
          <w:sz w:val="28"/>
          <w:szCs w:val="28"/>
          <w:lang w:bidi="ar-SA"/>
        </w:rPr>
        <w:t>可进行工单字段配置。</w:t>
      </w:r>
    </w:p>
    <w:p>
      <w:pPr>
        <w:pStyle w:val="46410"/>
        <w:widowControl/>
        <w:numPr>
          <w:ilvl w:val="0"/>
          <w:numId w:val="27"/>
        </w:numPr>
        <w:jc w:val="left"/>
        <w:textAlignment w:val="center"/>
        <w:rPr>
          <w:rFonts w:ascii="方正仿宋_GBK" w:eastAsia="方正仿宋_GBK" w:cs="微软雅黑" w:hint="eastAsia"/>
          <w:b/>
          <w:bCs/>
          <w:snapToGrid w:val="0"/>
          <w:sz w:val="28"/>
          <w:szCs w:val="28"/>
        </w:rPr>
      </w:pPr>
      <w:r>
        <w:rPr>
          <w:rFonts w:ascii="方正仿宋_GBK" w:eastAsia="方正仿宋_GBK" w:cs="微软雅黑" w:hint="eastAsia"/>
          <w:b/>
          <w:bCs/>
          <w:snapToGrid w:val="0"/>
          <w:sz w:val="28"/>
          <w:szCs w:val="28"/>
          <w:lang w:bidi="ar-SA"/>
        </w:rPr>
        <w:t>智能质检应用功能需求：</w:t>
      </w:r>
    </w:p>
    <w:p>
      <w:pPr>
        <w:pStyle w:val="46410"/>
        <w:widowControl/>
        <w:numPr>
          <w:ilvl w:val="0"/>
          <w:numId w:val="28"/>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坐席录音应用功能需求：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实现对坐席的全程录音，实现对录音的存储，建议采用IP录音方式，实现主被叫录音质检，能够分析出主叫和被叫的关键词。</w:t>
      </w:r>
    </w:p>
    <w:p>
      <w:pPr>
        <w:pStyle w:val="46410"/>
        <w:widowControl/>
        <w:numPr>
          <w:ilvl w:val="0"/>
          <w:numId w:val="29"/>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录音转写应用功能需求：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通过语音识别功能，将录音文件转换成文字，实现录音文字转写，质检系统通过文字检索实现智能质检功能。</w:t>
      </w:r>
    </w:p>
    <w:p>
      <w:pPr>
        <w:pStyle w:val="46410"/>
        <w:widowControl/>
        <w:numPr>
          <w:ilvl w:val="0"/>
          <w:numId w:val="30"/>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质检建模应用功能需求：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通过关键词的组合关系来构建模型(NEAR, AND, OR,After等)。模型的用处通过判断录音是否符合模型规则，将录音按照人为定义规则标签化，快速定位。</w:t>
      </w:r>
    </w:p>
    <w:p>
      <w:pPr>
        <w:pStyle w:val="46410"/>
        <w:widowControl/>
        <w:numPr>
          <w:ilvl w:val="0"/>
          <w:numId w:val="31"/>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规则管理应用功能需求：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按规则树进行规则类型划分；支持通过规则名称、规则类型（文本、情绪、静音、语速、通话时长、抢话、敏感词和混合规则）以及规则标签（服务标准、服务技巧、服务态度、服务用语）快速查询规则内容。自定义规则名称及描述，可选规则类型支持无限制添加规则条件，并以与、或、非、（）逻辑关系进行组合。通过校验后可进行规则保存。规则可按质检规则、数据分析规则进行自定义分类；</w:t>
      </w:r>
    </w:p>
    <w:p>
      <w:pPr>
        <w:pStyle w:val="46410"/>
        <w:widowControl/>
        <w:numPr>
          <w:ilvl w:val="0"/>
          <w:numId w:val="32"/>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执行规则应用功能需求：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构建完合规质检语模型后，通过分类统计自动量化话术合规情况，同时可以查找哪些坐席的录音未符合质检项，后期可对坐席的业务能力进行训导。</w:t>
      </w:r>
    </w:p>
    <w:p>
      <w:pPr>
        <w:pStyle w:val="46410"/>
        <w:widowControl/>
        <w:numPr>
          <w:ilvl w:val="0"/>
          <w:numId w:val="33"/>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自动质检应用功能需求：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质检系统根据建模和质检规则，实现对坐席的质检，根据规则提取坐席说话的关键词、敏感词、禁用词提取检查，形成质检结果。</w:t>
      </w:r>
    </w:p>
    <w:p>
      <w:pPr>
        <w:pStyle w:val="46410"/>
        <w:widowControl/>
        <w:numPr>
          <w:ilvl w:val="0"/>
          <w:numId w:val="34"/>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质检报告应用功能需求：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质检系统根据自动质检的结果，形成质检报告，包括录音时间、主叫号码、坐席号码，质检出的敏感词、禁用词、关键词出现的次数以及最后评定的分数。</w:t>
      </w:r>
    </w:p>
    <w:p>
      <w:pPr>
        <w:pStyle w:val="46410"/>
        <w:widowControl/>
        <w:numPr>
          <w:ilvl w:val="0"/>
          <w:numId w:val="35"/>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问题录音应用功能需求：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录音质检系统进行录音管理，可以根据质检模板，预先设定KPI指标以及各指标对应的分数，对质检的坐席设定评分门限值，超过或者低于门限值的坐席进行人工审核。</w:t>
      </w:r>
    </w:p>
    <w:p>
      <w:pPr>
        <w:pStyle w:val="46410"/>
        <w:widowControl/>
        <w:numPr>
          <w:ilvl w:val="0"/>
          <w:numId w:val="36"/>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问题复核应用功能需求：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将问题录音通过质检任务的方式发送到质检人员，质检人员通过回放录音，对坐席的录音进行重新复核，对复核结果形成报告，对于复核存在问题的坐席，进行人工干预。</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针对问题录音的坐席，根据检查结果，对坐席进行针对性的培训，例如：服务用语培训、关键词培训、服务质量培训、专业技能培训等，以提高服务质量以及咨询人满意度。</w:t>
      </w:r>
    </w:p>
    <w:p>
      <w:pPr>
        <w:pStyle w:val="46410"/>
        <w:widowControl/>
        <w:numPr>
          <w:ilvl w:val="0"/>
          <w:numId w:val="37"/>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敏感词库应用功能需求：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按规则树进行类型划分；自定义敏感词后，进行保存。</w:t>
      </w:r>
    </w:p>
    <w:p>
      <w:pPr>
        <w:pStyle w:val="46410"/>
        <w:widowControl/>
        <w:numPr>
          <w:ilvl w:val="0"/>
          <w:numId w:val="38"/>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模型管理应用功能需求：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通过模型管理自定义模型名称，并选择规则管理中预先配置好的质检规则；支持多规则添加，并为每项规则设定分值，也可设置组合打分和流程规则打分，支持正分值和负分值。</w:t>
      </w:r>
    </w:p>
    <w:p>
      <w:pPr>
        <w:pStyle w:val="46410"/>
        <w:widowControl/>
        <w:numPr>
          <w:ilvl w:val="0"/>
          <w:numId w:val="39"/>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任务管理应用功能需求：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可按任务名称快速查询，报表显示质检任务详情，包含：任务名称、抽取时间、数据类型、任务状态、质检文件数、执行情况。</w:t>
      </w:r>
    </w:p>
    <w:p>
      <w:pPr>
        <w:pStyle w:val="46410"/>
        <w:widowControl/>
        <w:numPr>
          <w:ilvl w:val="0"/>
          <w:numId w:val="40"/>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任务结果应用功能需求：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支持查看质检任务信息内容，包含录音文件收听、语音转文本内容、评分结果和评分报告。能够通过评分结果查看不同规则的得分情况，可修改评分。</w:t>
      </w:r>
    </w:p>
    <w:p>
      <w:pPr>
        <w:pStyle w:val="46410"/>
        <w:widowControl/>
        <w:numPr>
          <w:ilvl w:val="0"/>
          <w:numId w:val="41"/>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质检报告应用功能需求：</w:t>
      </w:r>
    </w:p>
    <w:p>
      <w:pPr>
        <w:pStyle w:val="46410"/>
        <w:widowControl/>
        <w:spacing w:line="400" w:lineRule="exact"/>
        <w:ind w:firstLine="560" w:firstLineChars="200"/>
        <w:jc w:val="left"/>
        <w:textAlignment w:val="center"/>
        <w:rPr>
          <w:rFonts w:ascii="方正仿宋_GBK" w:eastAsia="方正仿宋_GBK" w:cs="微软雅黑" w:hint="eastAsia"/>
          <w:snapToGrid w:val="0"/>
          <w:sz w:val="28"/>
          <w:szCs w:val="28"/>
        </w:rPr>
      </w:pPr>
      <w:r>
        <w:rPr>
          <w:rFonts w:ascii="方正仿宋_GBK" w:eastAsia="方正仿宋_GBK" w:cs="微软雅黑" w:hint="eastAsia"/>
          <w:snapToGrid w:val="0"/>
          <w:sz w:val="28"/>
          <w:szCs w:val="28"/>
          <w:lang w:bidi="ar-SA"/>
        </w:rPr>
        <w:t>通过评分报告快速定位加分或扣分的语音文件位置和文本位置，录音自动跳转，文本高亮显示。</w:t>
      </w:r>
    </w:p>
    <w:p>
      <w:pPr>
        <w:pStyle w:val="46410"/>
        <w:widowControl/>
        <w:numPr>
          <w:ilvl w:val="0"/>
          <w:numId w:val="42"/>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自动抽检配置应用功能需求：</w:t>
      </w:r>
    </w:p>
    <w:p>
      <w:pPr>
        <w:pStyle w:val="46410"/>
        <w:widowControl/>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配置从呼叫中心平台按天或实时抽取录音，自动执行抽检任务。</w:t>
      </w:r>
    </w:p>
    <w:p>
      <w:pPr>
        <w:pStyle w:val="46410"/>
        <w:widowControl/>
        <w:numPr>
          <w:ilvl w:val="0"/>
          <w:numId w:val="43"/>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自动抽检任务应用功能需求：</w:t>
      </w:r>
    </w:p>
    <w:p>
      <w:pPr>
        <w:pStyle w:val="464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自动抽检任务列表显示，可按平台、企业、任务名称快速查询，报表显示质检任务详情，包含：</w:t>
      </w:r>
      <w:r>
        <w:rPr>
          <w:rFonts w:ascii="方正仿宋_GBK" w:eastAsia="方正仿宋_GBK" w:cs="微软雅黑" w:hint="eastAsia"/>
          <w:snapToGrid w:val="0"/>
          <w:sz w:val="28"/>
          <w:szCs w:val="28"/>
          <w:lang w:bidi="ar-SA"/>
        </w:rPr>
        <w:t>任务名称、抽取时间、数据类型、任务状态、质检文件数、执行情况</w:t>
      </w:r>
      <w:r>
        <w:rPr>
          <w:rFonts w:eastAsia="方正仿宋_GBK" w:hint="eastAsia"/>
          <w:snapToGrid w:val="0"/>
          <w:sz w:val="28"/>
          <w:szCs w:val="28"/>
          <w:lang w:val="zh-CN" w:eastAsia="zh-CN" w:bidi="en-US"/>
        </w:rPr>
        <w:t>。</w:t>
      </w:r>
    </w:p>
    <w:p>
      <w:pPr>
        <w:pStyle w:val="46410"/>
        <w:widowControl/>
        <w:numPr>
          <w:ilvl w:val="0"/>
          <w:numId w:val="44"/>
        </w:numPr>
        <w:spacing w:line="400" w:lineRule="exact"/>
        <w:jc w:val="left"/>
        <w:textAlignment w:val="center"/>
        <w:rPr>
          <w:rFonts w:eastAsia="方正仿宋_GBK" w:cs="微软雅黑"/>
          <w:bCs/>
          <w:iCs/>
          <w:snapToGrid w:val="0"/>
          <w:sz w:val="28"/>
          <w:szCs w:val="28"/>
        </w:rPr>
      </w:pPr>
      <w:r>
        <w:rPr>
          <w:rFonts w:eastAsia="方正仿宋_GBK" w:cs="微软雅黑" w:hint="eastAsia"/>
          <w:bCs/>
          <w:iCs/>
          <w:snapToGrid w:val="0"/>
          <w:sz w:val="28"/>
          <w:szCs w:val="28"/>
          <w:lang w:bidi="ar-SA"/>
        </w:rPr>
        <w:t>录音集合应用功能需求：</w:t>
      </w:r>
    </w:p>
    <w:p>
      <w:pPr>
        <w:pStyle w:val="464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支持自定义录音集合，通过手动导入或对接后自动获取的方式获取录音；录音获取后自动进行文本转写，可按不同录音集合分类查看集合内的转写内容，包含录音属性信息，可收听录音内容、查看转写文本后的内容以及编辑撰写内容。</w:t>
      </w:r>
    </w:p>
    <w:p>
      <w:pPr>
        <w:pStyle w:val="46410"/>
        <w:widowControl/>
        <w:numPr>
          <w:ilvl w:val="0"/>
          <w:numId w:val="45"/>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标签管理应用功能需求：</w:t>
      </w:r>
    </w:p>
    <w:p>
      <w:pPr>
        <w:pStyle w:val="464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自定义标签名称并选取质检规则（数据规则），同类规则可应用于同一个标签，用于质检后规则触发。</w:t>
      </w:r>
    </w:p>
    <w:p>
      <w:pPr>
        <w:pStyle w:val="46410"/>
        <w:widowControl/>
        <w:numPr>
          <w:ilvl w:val="0"/>
          <w:numId w:val="46"/>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部门管理应用功能需求：</w:t>
      </w:r>
    </w:p>
    <w:p>
      <w:pPr>
        <w:pStyle w:val="46410"/>
        <w:widowControl/>
        <w:spacing w:line="400" w:lineRule="exact"/>
        <w:ind w:firstLine="560" w:firstLineChars="200"/>
        <w:jc w:val="left"/>
        <w:textAlignment w:val="center"/>
        <w:rPr>
          <w:rFonts w:ascii="方正仿宋_GBK" w:eastAsia="方正仿宋_GBK" w:cs="微软雅黑" w:hint="eastAsia"/>
          <w:b/>
          <w:bCs/>
          <w:snapToGrid w:val="0"/>
          <w:sz w:val="28"/>
          <w:szCs w:val="28"/>
        </w:rPr>
      </w:pPr>
      <w:r>
        <w:rPr>
          <w:rFonts w:eastAsia="方正仿宋_GBK" w:hint="eastAsia"/>
          <w:snapToGrid w:val="0"/>
          <w:sz w:val="28"/>
          <w:szCs w:val="28"/>
          <w:lang w:val="zh-CN" w:eastAsia="zh-CN" w:bidi="en-US"/>
        </w:rPr>
        <w:t>划分各业务部门，自定义部门名称及描述。</w:t>
      </w:r>
    </w:p>
    <w:p>
      <w:pPr>
        <w:pStyle w:val="46610"/>
        <w:spacing w:line="400" w:lineRule="exact"/>
        <w:textAlignment w:val="center"/>
      </w:pPr>
    </w:p>
    <w:p>
      <w:pPr>
        <w:pStyle w:val="46310"/>
        <w:widowControl/>
        <w:numPr>
          <w:ilvl w:val="0"/>
          <w:numId w:val="47"/>
        </w:numPr>
        <w:spacing w:line="400" w:lineRule="exact"/>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智能IVR应用功能需求：</w:t>
      </w:r>
    </w:p>
    <w:p>
      <w:pPr>
        <w:pStyle w:val="46610"/>
        <w:spacing w:line="400" w:lineRule="exact"/>
        <w:ind w:left="0" w:firstLine="560" w:firstLineChars="200"/>
        <w:textAlignment w:val="center"/>
        <w:rPr>
          <w:rFonts w:eastAsia="方正仿宋_GBK"/>
          <w:bCs/>
          <w:snapToGrid w:val="0"/>
          <w:sz w:val="28"/>
          <w:szCs w:val="28"/>
        </w:rPr>
      </w:pPr>
      <w:r>
        <w:rPr>
          <w:rFonts w:ascii="Times New Roman" w:eastAsia="方正仿宋_GBK" w:hAnsi="Times New Roman" w:hint="eastAsia"/>
          <w:bCs/>
          <w:snapToGrid w:val="0"/>
          <w:sz w:val="28"/>
          <w:szCs w:val="28"/>
        </w:rPr>
        <w:t>该功能为多渠道自助服务平台接入渠道之一，</w:t>
      </w:r>
      <w:r>
        <w:rPr>
          <w:rFonts w:ascii="Times New Roman" w:eastAsia="方正仿宋_GBK" w:hAnsi="Times New Roman"/>
          <w:bCs/>
          <w:snapToGrid w:val="0"/>
          <w:sz w:val="28"/>
          <w:szCs w:val="28"/>
        </w:rPr>
        <w:t>通信线路有语音话务系统接入，</w:t>
      </w:r>
      <w:r>
        <w:rPr>
          <w:rFonts w:ascii="Times New Roman" w:eastAsia="方正仿宋_GBK" w:hAnsi="Times New Roman" w:hint="eastAsia"/>
          <w:bCs/>
          <w:snapToGrid w:val="0"/>
          <w:sz w:val="28"/>
          <w:szCs w:val="28"/>
        </w:rPr>
        <w:t>功能</w:t>
      </w:r>
      <w:r>
        <w:rPr>
          <w:rFonts w:ascii="Times New Roman" w:eastAsia="方正仿宋_GBK" w:hAnsi="Times New Roman"/>
          <w:bCs/>
          <w:snapToGrid w:val="0"/>
          <w:sz w:val="28"/>
          <w:szCs w:val="28"/>
        </w:rPr>
        <w:t>实现</w:t>
      </w:r>
      <w:r>
        <w:rPr>
          <w:rFonts w:ascii="Times New Roman" w:eastAsia="方正仿宋_GBK" w:hAnsi="Times New Roman" w:hint="eastAsia"/>
          <w:bCs/>
          <w:snapToGrid w:val="0"/>
          <w:sz w:val="28"/>
          <w:szCs w:val="28"/>
        </w:rPr>
        <w:t>需对接语音机器人功能。</w:t>
      </w:r>
    </w:p>
    <w:p>
      <w:pPr>
        <w:pStyle w:val="46310"/>
        <w:widowControl/>
        <w:numPr>
          <w:ilvl w:val="0"/>
          <w:numId w:val="48"/>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大屏应用功能需求：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提供</w:t>
      </w:r>
      <w:r>
        <w:rPr>
          <w:rFonts w:eastAsia="方正仿宋_GBK"/>
          <w:snapToGrid w:val="0"/>
          <w:sz w:val="28"/>
          <w:szCs w:val="28"/>
          <w:lang w:val="zh-CN" w:eastAsia="zh-CN" w:bidi="en-US"/>
        </w:rPr>
        <w:t>IVR</w:t>
      </w:r>
      <w:r>
        <w:rPr>
          <w:rFonts w:eastAsia="方正仿宋_GBK" w:hint="eastAsia"/>
          <w:snapToGrid w:val="0"/>
          <w:sz w:val="28"/>
          <w:szCs w:val="28"/>
          <w:lang w:val="zh-CN" w:eastAsia="zh-CN" w:bidi="en-US"/>
        </w:rPr>
        <w:t>展板。</w:t>
      </w:r>
    </w:p>
    <w:p>
      <w:pPr>
        <w:pStyle w:val="46310"/>
        <w:widowControl/>
        <w:numPr>
          <w:ilvl w:val="0"/>
          <w:numId w:val="49"/>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进线趋势图应用功能需求：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以图形化方式提供数据展示。</w:t>
      </w:r>
    </w:p>
    <w:p>
      <w:pPr>
        <w:pStyle w:val="46310"/>
        <w:widowControl/>
        <w:numPr>
          <w:ilvl w:val="0"/>
          <w:numId w:val="50"/>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情绪散点图应用功能需求：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提供基于当天通话的每个通话的情绪来做的散点分布，直观的表示客户的通话情绪。</w:t>
      </w:r>
    </w:p>
    <w:p>
      <w:pPr>
        <w:pStyle w:val="46310"/>
        <w:widowControl/>
        <w:numPr>
          <w:ilvl w:val="0"/>
          <w:numId w:val="51"/>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实时进线清单应用功能需求：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提供当前正在通话中的进线（号码）清单。</w:t>
      </w:r>
    </w:p>
    <w:p>
      <w:pPr>
        <w:pStyle w:val="46310"/>
        <w:widowControl/>
        <w:numPr>
          <w:ilvl w:val="0"/>
          <w:numId w:val="52"/>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实时对话窗口应用功能需求：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提供当前通话中的电话的文本对话内容（弹幕形式）。</w:t>
      </w:r>
    </w:p>
    <w:p>
      <w:pPr>
        <w:pStyle w:val="46310"/>
        <w:widowControl/>
        <w:numPr>
          <w:ilvl w:val="0"/>
          <w:numId w:val="53"/>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客户管理应用功能需求：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可设置客户标签。</w:t>
      </w:r>
    </w:p>
    <w:p>
      <w:pPr>
        <w:pStyle w:val="46310"/>
        <w:widowControl/>
        <w:numPr>
          <w:ilvl w:val="0"/>
          <w:numId w:val="54"/>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客户组应用功能需求：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支持对系统内的通话名单设置客户组（添加、删除、修改）。</w:t>
      </w:r>
    </w:p>
    <w:p>
      <w:pPr>
        <w:pStyle w:val="46310"/>
        <w:widowControl/>
        <w:numPr>
          <w:ilvl w:val="0"/>
          <w:numId w:val="55"/>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运营管理应用功能需求：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可进行录音管理。</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支持单个</w:t>
      </w:r>
      <w:r>
        <w:rPr>
          <w:rFonts w:eastAsia="方正仿宋_GBK"/>
          <w:snapToGrid w:val="0"/>
          <w:sz w:val="28"/>
          <w:szCs w:val="28"/>
          <w:lang w:val="zh-CN" w:eastAsia="zh-CN" w:bidi="en-US"/>
        </w:rPr>
        <w:t>/</w:t>
      </w:r>
      <w:r>
        <w:rPr>
          <w:rFonts w:eastAsia="方正仿宋_GBK" w:hint="eastAsia"/>
          <w:snapToGrid w:val="0"/>
          <w:sz w:val="28"/>
          <w:szCs w:val="28"/>
          <w:lang w:val="zh-CN" w:eastAsia="zh-CN" w:bidi="en-US"/>
        </w:rPr>
        <w:t>批量录音下载。</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支持详情页，同时播放录音及对话文本的展示。</w:t>
      </w:r>
    </w:p>
    <w:p>
      <w:pPr>
        <w:pStyle w:val="46310"/>
        <w:widowControl/>
        <w:numPr>
          <w:ilvl w:val="0"/>
          <w:numId w:val="56"/>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标签&amp;关键词搜索应用功能需求：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支持使用标签和关键词来检索录音（文本）。</w:t>
      </w:r>
    </w:p>
    <w:p>
      <w:pPr>
        <w:pStyle w:val="46310"/>
        <w:widowControl/>
        <w:numPr>
          <w:ilvl w:val="0"/>
          <w:numId w:val="57"/>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真人语音应用功能需求：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支持使用真人录音。</w:t>
      </w:r>
    </w:p>
    <w:p>
      <w:pPr>
        <w:pStyle w:val="46310"/>
        <w:widowControl/>
        <w:numPr>
          <w:ilvl w:val="0"/>
          <w:numId w:val="58"/>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通话详单应用功能需求：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支持呼入通话详单。</w:t>
      </w:r>
    </w:p>
    <w:p>
      <w:pPr>
        <w:pStyle w:val="46310"/>
        <w:widowControl/>
        <w:numPr>
          <w:ilvl w:val="0"/>
          <w:numId w:val="59"/>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转人工报表应用功能需求：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支持转人工报表。</w:t>
      </w:r>
    </w:p>
    <w:p>
      <w:pPr>
        <w:pStyle w:val="46310"/>
        <w:widowControl/>
        <w:numPr>
          <w:ilvl w:val="0"/>
          <w:numId w:val="60"/>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配置中心应用功能需求：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可配置组织和用户，需支持海关</w:t>
      </w:r>
      <w:r>
        <w:rPr>
          <w:rFonts w:eastAsia="方正仿宋_GBK"/>
          <w:snapToGrid w:val="0"/>
          <w:sz w:val="28"/>
          <w:szCs w:val="28"/>
          <w:lang w:val="zh-CN" w:eastAsia="zh-CN" w:bidi="en-US"/>
        </w:rPr>
        <w:t>H4A</w:t>
      </w:r>
      <w:r>
        <w:rPr>
          <w:rFonts w:eastAsia="方正仿宋_GBK" w:hint="eastAsia"/>
          <w:snapToGrid w:val="0"/>
          <w:sz w:val="28"/>
          <w:szCs w:val="28"/>
          <w:lang w:val="zh-CN" w:eastAsia="zh-CN" w:bidi="en-US"/>
        </w:rPr>
        <w:t>（</w:t>
      </w:r>
      <w:r>
        <w:rPr>
          <w:rFonts w:eastAsia="方正仿宋_GBK" w:cs="微软雅黑" w:hint="eastAsia"/>
          <w:sz w:val="28"/>
          <w:szCs w:val="28"/>
          <w:lang w:bidi="ar-SA"/>
        </w:rPr>
        <w:t>海关统一身份、认证、授权、审计管理系统</w:t>
      </w:r>
      <w:r>
        <w:rPr>
          <w:rFonts w:eastAsia="方正仿宋_GBK" w:hint="eastAsia"/>
          <w:snapToGrid w:val="0"/>
          <w:sz w:val="28"/>
          <w:szCs w:val="28"/>
          <w:lang w:val="zh-CN" w:eastAsia="zh-CN" w:bidi="en-US"/>
        </w:rPr>
        <w:t>）系统统一认证登录。</w:t>
      </w:r>
    </w:p>
    <w:p>
      <w:pPr>
        <w:pStyle w:val="46310"/>
        <w:widowControl/>
        <w:numPr>
          <w:ilvl w:val="0"/>
          <w:numId w:val="61"/>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权限管理应用功能需求：</w:t>
      </w:r>
    </w:p>
    <w:p>
      <w:pPr>
        <w:pStyle w:val="463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可进行权限管理。</w:t>
      </w:r>
    </w:p>
    <w:p>
      <w:pPr>
        <w:pStyle w:val="46310"/>
        <w:widowControl/>
        <w:numPr>
          <w:ilvl w:val="0"/>
          <w:numId w:val="62"/>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日志应用功能需求：</w:t>
      </w:r>
    </w:p>
    <w:p>
      <w:pPr>
        <w:pStyle w:val="46310"/>
        <w:widowControl/>
        <w:spacing w:line="400" w:lineRule="exact"/>
        <w:ind w:firstLine="560" w:firstLineChars="200"/>
        <w:jc w:val="left"/>
        <w:textAlignment w:val="center"/>
        <w:rPr>
          <w:lang w:val="zh-CN" w:bidi="en-US"/>
        </w:rPr>
      </w:pPr>
      <w:r>
        <w:rPr>
          <w:rFonts w:eastAsia="方正仿宋_GBK" w:hint="eastAsia"/>
          <w:snapToGrid w:val="0"/>
          <w:sz w:val="28"/>
          <w:szCs w:val="28"/>
          <w:lang w:val="zh-CN" w:eastAsia="zh-CN" w:bidi="en-US"/>
        </w:rPr>
        <w:t>需拥有操作日志。</w:t>
      </w:r>
    </w:p>
    <w:p>
      <w:pPr>
        <w:pStyle w:val="46310"/>
        <w:widowControl/>
        <w:numPr>
          <w:ilvl w:val="0"/>
          <w:numId w:val="63"/>
        </w:numPr>
        <w:spacing w:line="400" w:lineRule="exact"/>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文本机器人应用功能需求：</w:t>
      </w:r>
    </w:p>
    <w:p>
      <w:pPr>
        <w:pStyle w:val="46710"/>
        <w:spacing w:line="400" w:lineRule="exact"/>
        <w:ind w:left="0" w:firstLine="560" w:firstLineChars="200"/>
        <w:textAlignment w:val="center"/>
      </w:pPr>
      <w:r>
        <w:rPr>
          <w:rFonts w:ascii="Times New Roman" w:eastAsia="方正仿宋_GBK" w:hAnsi="Times New Roman"/>
          <w:bCs/>
          <w:snapToGrid w:val="0"/>
          <w:sz w:val="28"/>
          <w:szCs w:val="28"/>
        </w:rPr>
        <w:t>该功能为多渠道自助服务平台在线客服文字机器人答复作支撑，文字交谈进线由多渠道自助服务平台接入。</w:t>
      </w:r>
    </w:p>
    <w:p>
      <w:pPr>
        <w:pStyle w:val="46310"/>
        <w:widowControl/>
        <w:numPr>
          <w:ilvl w:val="0"/>
          <w:numId w:val="64"/>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机器人不同时间段、日期的接待客户量、会话数量、会话时长、首次响应时长、评星总数、好评数、差评数、转人工等详细数据，支持导出；</w:t>
      </w:r>
    </w:p>
    <w:p>
      <w:pPr>
        <w:pStyle w:val="46310"/>
        <w:widowControl/>
        <w:numPr>
          <w:ilvl w:val="0"/>
          <w:numId w:val="64"/>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标签内容、命中次数统计；</w:t>
      </w:r>
    </w:p>
    <w:p>
      <w:pPr>
        <w:pStyle w:val="46310"/>
        <w:widowControl/>
        <w:numPr>
          <w:ilvl w:val="0"/>
          <w:numId w:val="64"/>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知识类型、知识、命中次数统计；</w:t>
      </w:r>
    </w:p>
    <w:p>
      <w:pPr>
        <w:pStyle w:val="46310"/>
        <w:widowControl/>
        <w:numPr>
          <w:ilvl w:val="0"/>
          <w:numId w:val="64"/>
        </w:numPr>
        <w:spacing w:line="400" w:lineRule="exact"/>
        <w:jc w:val="left"/>
        <w:textAlignment w:val="center"/>
        <w:rPr>
          <w:lang w:val="zh-CN" w:bidi="en-US"/>
        </w:rPr>
      </w:pPr>
      <w:r>
        <w:rPr>
          <w:rFonts w:eastAsia="方正仿宋_GBK" w:cs="微软雅黑" w:hint="eastAsia"/>
          <w:bCs/>
          <w:iCs/>
          <w:snapToGrid w:val="0"/>
          <w:sz w:val="28"/>
          <w:szCs w:val="28"/>
          <w:lang w:val="zh-CN" w:eastAsia="zh-CN" w:bidi="en-US"/>
        </w:rPr>
        <w:t>机器人没有识别到的问题统计表，可直接在这里进行相似问题或新建问题培训机器人，支持导出。</w:t>
      </w:r>
    </w:p>
    <w:p>
      <w:pPr>
        <w:pStyle w:val="46310"/>
        <w:widowControl/>
        <w:numPr>
          <w:ilvl w:val="0"/>
          <w:numId w:val="65"/>
        </w:numPr>
        <w:spacing w:line="400" w:lineRule="exact"/>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语音机器人应用功能需求：</w:t>
      </w:r>
    </w:p>
    <w:p>
      <w:pPr>
        <w:pStyle w:val="46810"/>
        <w:spacing w:line="400" w:lineRule="exact"/>
        <w:ind w:left="0" w:firstLine="560" w:firstLineChars="200"/>
        <w:textAlignment w:val="center"/>
      </w:pPr>
      <w:r>
        <w:rPr>
          <w:rFonts w:ascii="Times New Roman" w:eastAsia="方正仿宋_GBK" w:hAnsi="Times New Roman"/>
          <w:bCs/>
          <w:snapToGrid w:val="0"/>
          <w:sz w:val="28"/>
          <w:szCs w:val="28"/>
        </w:rPr>
        <w:t>该功能为多渠道自助服务平台智能IVR功能支撑，通信线路有语音话务系统接入，功能实现需NLP、ASR、TTS引擎能力作为支撑。</w:t>
      </w:r>
    </w:p>
    <w:p>
      <w:pPr>
        <w:pStyle w:val="46310"/>
        <w:widowControl/>
        <w:numPr>
          <w:ilvl w:val="0"/>
          <w:numId w:val="66"/>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语音机器人基本包：机器人创建、机器人监控、话术管理、场景管理、机器人训练、机器人报表、数据采集、数据推送、意图标签。</w:t>
      </w:r>
    </w:p>
    <w:p>
      <w:pPr>
        <w:pStyle w:val="46310"/>
        <w:widowControl/>
        <w:numPr>
          <w:ilvl w:val="0"/>
          <w:numId w:val="66"/>
        </w:numPr>
        <w:spacing w:line="400" w:lineRule="exact"/>
        <w:jc w:val="left"/>
        <w:textAlignment w:val="center"/>
        <w:rPr>
          <w:rFonts w:eastAsia="方正仿宋_GBK" w:cs="微软雅黑"/>
          <w:bCs/>
          <w:iCs/>
          <w:snapToGrid w:val="0"/>
          <w:sz w:val="28"/>
          <w:szCs w:val="28"/>
          <w:lang w:val="zh-CN" w:bidi="en-US"/>
        </w:rPr>
      </w:pPr>
      <w:r>
        <w:rPr>
          <w:rFonts w:eastAsia="方正仿宋_GBK" w:cs="微软雅黑" w:hint="eastAsia"/>
          <w:bCs/>
          <w:iCs/>
          <w:snapToGrid w:val="0"/>
          <w:sz w:val="28"/>
          <w:szCs w:val="28"/>
          <w:lang w:val="zh-CN" w:eastAsia="zh-CN" w:bidi="en-US"/>
        </w:rPr>
        <w:t>可以自动播报语音和回答客户日常咨询。</w:t>
      </w:r>
    </w:p>
    <w:p>
      <w:pPr>
        <w:pStyle w:val="46610"/>
        <w:spacing w:line="400" w:lineRule="exact"/>
        <w:ind w:left="420" w:firstLine="420" w:firstLineChars="200"/>
        <w:rPr>
          <w:rFonts w:ascii="Times New Roman" w:hAnsi="Times New Roman"/>
        </w:rPr>
      </w:pPr>
    </w:p>
    <w:p>
      <w:pPr>
        <w:pStyle w:val="List2"/>
        <w:spacing w:line="400" w:lineRule="exact"/>
        <w:ind w:left="40" w:firstLine="560" w:leftChars="0" w:firstLineChars="200"/>
        <w:jc w:val="left"/>
        <w:textAlignment w:val="center"/>
        <w:rPr>
          <w:rFonts w:ascii="Times New Roman" w:eastAsia="方正仿宋_GBK" w:hAnsi="Times New Roman"/>
          <w:sz w:val="28"/>
          <w:szCs w:val="28"/>
        </w:rPr>
      </w:pPr>
      <w:r>
        <w:rPr>
          <w:rFonts w:eastAsia="方正仿宋_GBK" w:cs="微软雅黑" w:hint="eastAsia"/>
          <w:bCs/>
          <w:iCs/>
          <w:snapToGrid w:val="0"/>
          <w:sz w:val="28"/>
          <w:szCs w:val="28"/>
          <w:lang w:val="zh-CN" w:eastAsia="zh-CN" w:bidi="en-US"/>
        </w:rPr>
        <w:t>证明材料要求：</w:t>
      </w:r>
      <w:r>
        <w:rPr>
          <w:rFonts w:ascii="Times New Roman" w:eastAsia="方正仿宋_GBK" w:hAnsi="Times New Roman" w:cs="Times New Roman"/>
          <w:sz w:val="28"/>
          <w:szCs w:val="28"/>
          <w:lang w:bidi="ar-SA"/>
        </w:rPr>
        <w:t>投标人提供确认函，并加盖投标人和产品制造商 公章。</w:t>
      </w:r>
    </w:p>
    <w:p>
      <w:pPr>
        <w:spacing w:line="400" w:lineRule="exact"/>
        <w:ind w:firstLine="560" w:firstLineChars="200"/>
        <w:rPr>
          <w:rFonts w:eastAsia="方正仿宋_GBK" w:cs="微软雅黑"/>
          <w:b/>
          <w:bCs/>
          <w:snapToGrid w:val="0"/>
          <w:sz w:val="28"/>
          <w:szCs w:val="28"/>
        </w:rPr>
      </w:pPr>
      <w:r>
        <w:rPr>
          <w:rFonts w:ascii="Times New Roman" w:eastAsia="方正仿宋_GBK" w:hAnsi="Times New Roman" w:cs="微软雅黑" w:hint="eastAsia"/>
          <w:b/>
          <w:bCs/>
          <w:snapToGrid w:val="0"/>
          <w:sz w:val="28"/>
          <w:szCs w:val="28"/>
          <w:lang w:bidi="ar-SA"/>
        </w:rPr>
        <w:t>4.主要配置</w:t>
      </w:r>
    </w:p>
    <w:p>
      <w:pPr>
        <w:pStyle w:val="18810"/>
        <w:widowControl/>
        <w:spacing w:line="400" w:lineRule="exact"/>
        <w:ind w:firstLine="560" w:firstLineChars="200"/>
        <w:jc w:val="left"/>
        <w:textAlignment w:val="center"/>
        <w:rPr>
          <w:rFonts w:eastAsia="方正仿宋_GBK"/>
          <w:bCs/>
          <w:snapToGrid w:val="0"/>
          <w:sz w:val="28"/>
          <w:szCs w:val="28"/>
        </w:rPr>
      </w:pPr>
      <w:r>
        <w:rPr>
          <w:rFonts w:cs="宋体" w:hint="eastAsia"/>
          <w:bCs/>
          <w:snapToGrid w:val="0"/>
          <w:sz w:val="28"/>
          <w:szCs w:val="28"/>
          <w:lang w:bidi="ar-SA"/>
        </w:rPr>
        <w:t>★</w:t>
      </w:r>
      <w:r>
        <w:rPr>
          <w:rFonts w:eastAsia="方正仿宋_GBK"/>
          <w:bCs/>
          <w:snapToGrid w:val="0"/>
          <w:sz w:val="28"/>
          <w:szCs w:val="28"/>
        </w:rPr>
        <w:t>4.1</w:t>
        <w:tab/>
        <w:t>产品配置</w:t>
        <w:tab/>
      </w:r>
    </w:p>
    <w:p>
      <w:pPr>
        <w:pStyle w:val="18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智能坐席助手：大于等于600席；</w:t>
      </w:r>
    </w:p>
    <w:p>
      <w:pPr>
        <w:pStyle w:val="18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语音转文字（ASR）并发：大于等于1500路(含智能语音机器人对话并发300路）；</w:t>
      </w:r>
    </w:p>
    <w:p>
      <w:pPr>
        <w:pStyle w:val="18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文字转语音（TTS）并发：大于等于300路；</w:t>
      </w:r>
    </w:p>
    <w:p>
      <w:pPr>
        <w:pStyle w:val="18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NLP授权并发：大于等于200路；</w:t>
      </w:r>
    </w:p>
    <w:p>
      <w:pPr>
        <w:pStyle w:val="18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英文ASR实时转译：大于等于10路；</w:t>
      </w:r>
    </w:p>
    <w:p>
      <w:pPr>
        <w:pStyle w:val="18810"/>
        <w:widowControl/>
        <w:numPr>
          <w:ilvl w:val="0"/>
          <w:numId w:val="19"/>
        </w:numPr>
        <w:spacing w:line="400" w:lineRule="exact"/>
        <w:ind w:left="0" w:firstLine="560" w:firstLineChars="200"/>
        <w:jc w:val="left"/>
        <w:textAlignment w:val="center"/>
        <w:rPr>
          <w:rFonts w:eastAsia="方正仿宋_GBK" w:cs="微软雅黑"/>
          <w:bCs/>
          <w:snapToGrid w:val="0"/>
          <w:sz w:val="28"/>
          <w:szCs w:val="28"/>
        </w:rPr>
      </w:pPr>
      <w:r>
        <w:rPr>
          <w:rFonts w:eastAsia="方正仿宋_GBK" w:cs="微软雅黑" w:hint="eastAsia"/>
          <w:bCs/>
          <w:snapToGrid w:val="0"/>
          <w:sz w:val="28"/>
          <w:szCs w:val="28"/>
          <w:lang w:bidi="ar-SA"/>
        </w:rPr>
        <w:t>包含生产环境（双活部署，北京、广东两地）、开发环境、测试环境共四套环境；</w:t>
      </w:r>
      <w:r>
        <w:t xml:space="preserve">   </w:t>
      </w:r>
    </w:p>
    <w:p>
      <w:pPr>
        <w:pStyle w:val="18810"/>
        <w:widowControl/>
        <w:spacing w:line="400" w:lineRule="exact"/>
        <w:ind w:firstLine="560" w:firstLineChars="200"/>
        <w:jc w:val="left"/>
        <w:textAlignment w:val="center"/>
        <w:rPr>
          <w:rFonts w:eastAsia="方正仿宋_GBK" w:cs="微软雅黑" w:hint="eastAsia"/>
          <w:bCs/>
          <w:iCs/>
          <w:snapToGrid w:val="0"/>
          <w:sz w:val="28"/>
          <w:szCs w:val="28"/>
          <w:lang w:val="zh-CN" w:bidi="en-US"/>
        </w:rPr>
      </w:pPr>
      <w:r>
        <w:rPr>
          <w:rFonts w:eastAsia="方正仿宋_GBK"/>
          <w:bCs/>
          <w:snapToGrid w:val="0"/>
          <w:sz w:val="28"/>
          <w:szCs w:val="28"/>
        </w:rPr>
        <w:t>证明材料要求：投标人提供承诺函，并加盖</w:t>
      </w:r>
      <w:r>
        <w:rPr>
          <w:rFonts w:ascii="Times New Roman" w:eastAsia="方正仿宋_GBK" w:hAnsi="Times New Roman" w:cs="Times New Roman"/>
          <w:sz w:val="28"/>
          <w:szCs w:val="28"/>
          <w:lang w:bidi="ar-SA"/>
        </w:rPr>
        <w:t>投标人</w:t>
      </w:r>
      <w:r>
        <w:rPr>
          <w:rFonts w:eastAsia="方正仿宋_GBK"/>
          <w:bCs/>
          <w:snapToGrid w:val="0"/>
          <w:sz w:val="28"/>
          <w:szCs w:val="28"/>
        </w:rPr>
        <w:t>公章。</w:t>
      </w:r>
    </w:p>
    <w:p>
      <w:pPr>
        <w:spacing w:before="260" w:after="260" w:line="400" w:lineRule="exact"/>
        <w:ind w:firstLine="560" w:firstLineChars="200"/>
        <w:jc w:val="left"/>
        <w:outlineLvl w:val="3"/>
        <w:rPr>
          <w:rFonts w:eastAsia="方正楷体_GBK" w:cs="微软雅黑"/>
          <w:b/>
          <w:bCs/>
          <w:sz w:val="28"/>
          <w:szCs w:val="28"/>
        </w:rPr>
      </w:pPr>
      <w:r>
        <w:rPr>
          <w:rFonts w:ascii="Times New Roman" w:eastAsia="方正楷体_GBK" w:hAnsi="Times New Roman" w:cs="微软雅黑" w:hint="eastAsia"/>
          <w:b/>
          <w:bCs/>
          <w:sz w:val="28"/>
          <w:szCs w:val="28"/>
          <w:lang w:bidi="ar-SA"/>
        </w:rPr>
        <w:t>（七）品目7（热线综合服务平台）</w:t>
      </w: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1.主要用途</w:t>
      </w:r>
    </w:p>
    <w:p>
      <w:pPr>
        <w:spacing w:line="400" w:lineRule="exact"/>
        <w:ind w:firstLine="560" w:firstLineChars="200"/>
        <w:rPr>
          <w:rFonts w:eastAsia="方正仿宋_GBK"/>
          <w:bCs/>
          <w:snapToGrid w:val="0"/>
          <w:sz w:val="28"/>
          <w:szCs w:val="28"/>
          <w:lang w:bidi="en-US"/>
        </w:rPr>
      </w:pPr>
      <w:r>
        <w:rPr>
          <w:rFonts w:ascii="Times New Roman" w:eastAsia="方正仿宋_GBK" w:hAnsi="Times New Roman" w:cs="Times New Roman"/>
          <w:bCs/>
          <w:sz w:val="28"/>
          <w:szCs w:val="28"/>
          <w:lang w:bidi="ar-SA"/>
        </w:rPr>
        <w:t>热线综合服务平台是本项目</w:t>
      </w:r>
      <w:r>
        <w:rPr>
          <w:rFonts w:ascii="Times New Roman" w:eastAsia="方正仿宋_GBK" w:hAnsi="Times New Roman" w:cs="Times New Roman" w:hint="eastAsia"/>
          <w:bCs/>
          <w:sz w:val="28"/>
          <w:szCs w:val="28"/>
          <w:lang w:bidi="ar-SA"/>
        </w:rPr>
        <w:t>热线</w:t>
      </w:r>
      <w:r>
        <w:rPr>
          <w:rFonts w:ascii="Times New Roman" w:eastAsia="方正仿宋_GBK" w:hAnsi="Times New Roman" w:cs="Times New Roman"/>
          <w:bCs/>
          <w:sz w:val="28"/>
          <w:szCs w:val="28"/>
          <w:lang w:bidi="ar-SA"/>
        </w:rPr>
        <w:t>客服人员及管理人员</w:t>
      </w:r>
      <w:r>
        <w:rPr>
          <w:rFonts w:ascii="Times New Roman" w:eastAsia="方正仿宋_GBK" w:hAnsi="Times New Roman" w:cs="Times New Roman" w:hint="eastAsia"/>
          <w:bCs/>
          <w:sz w:val="28"/>
          <w:szCs w:val="28"/>
          <w:lang w:bidi="ar-SA"/>
        </w:rPr>
        <w:t>唯一的工作登录系统</w:t>
      </w:r>
      <w:r>
        <w:rPr>
          <w:rFonts w:ascii="Times New Roman" w:eastAsia="方正仿宋_GBK" w:hAnsi="Times New Roman" w:cs="Times New Roman"/>
          <w:bCs/>
          <w:sz w:val="28"/>
          <w:szCs w:val="28"/>
          <w:lang w:bidi="ar-SA"/>
        </w:rPr>
        <w:t>。</w:t>
      </w:r>
      <w:r>
        <w:rPr>
          <w:rFonts w:ascii="Times New Roman" w:eastAsia="方正仿宋_GBK" w:hAnsi="Times New Roman" w:cs="Times New Roman" w:hint="eastAsia"/>
          <w:bCs/>
          <w:sz w:val="28"/>
          <w:szCs w:val="28"/>
          <w:lang w:bidi="ar-SA"/>
        </w:rPr>
        <w:t>项目中所有</w:t>
      </w:r>
      <w:r>
        <w:rPr>
          <w:rFonts w:ascii="Times New Roman" w:eastAsia="方正仿宋_GBK" w:hAnsi="Times New Roman" w:cs="Times New Roman"/>
          <w:bCs/>
          <w:snapToGrid w:val="0"/>
          <w:sz w:val="28"/>
          <w:szCs w:val="28"/>
          <w:lang w:bidi="en-US"/>
        </w:rPr>
        <w:t>建设系统</w:t>
      </w:r>
      <w:r>
        <w:rPr>
          <w:rFonts w:ascii="Times New Roman" w:eastAsia="方正仿宋_GBK" w:hAnsi="Times New Roman" w:cs="Times New Roman" w:hint="eastAsia"/>
          <w:bCs/>
          <w:snapToGrid w:val="0"/>
          <w:sz w:val="28"/>
          <w:szCs w:val="28"/>
          <w:lang w:bidi="en-US"/>
        </w:rPr>
        <w:t>功能</w:t>
      </w:r>
      <w:r>
        <w:rPr>
          <w:rFonts w:ascii="Times New Roman" w:eastAsia="方正仿宋_GBK" w:hAnsi="Times New Roman" w:cs="Times New Roman"/>
          <w:bCs/>
          <w:snapToGrid w:val="0"/>
          <w:sz w:val="28"/>
          <w:szCs w:val="28"/>
          <w:lang w:bidi="en-US"/>
        </w:rPr>
        <w:t>内容均需要与热线综合服务平台进行集成整合，所有服务、管理工作在此平台实现。</w:t>
      </w:r>
    </w:p>
    <w:p>
      <w:pPr>
        <w:spacing w:line="400" w:lineRule="exact"/>
        <w:ind w:firstLine="560" w:firstLineChars="200"/>
        <w:rPr>
          <w:rFonts w:eastAsia="方正仿宋_GBK"/>
          <w:b/>
          <w:bCs/>
          <w:snapToGrid w:val="0"/>
          <w:sz w:val="28"/>
          <w:szCs w:val="28"/>
          <w:lang w:bidi="en-US"/>
        </w:rPr>
      </w:pPr>
      <w:r>
        <w:rPr>
          <w:rFonts w:ascii="Times New Roman" w:eastAsia="方正仿宋_GBK" w:hAnsi="Times New Roman" w:cs="Times New Roman"/>
          <w:b/>
          <w:bCs/>
          <w:snapToGrid w:val="0"/>
          <w:sz w:val="28"/>
          <w:szCs w:val="28"/>
          <w:lang w:bidi="en-US"/>
        </w:rPr>
        <w:t>（1）热线综合服务平台</w:t>
      </w:r>
    </w:p>
    <w:p>
      <w:pPr>
        <w:spacing w:line="400" w:lineRule="exact"/>
        <w:ind w:firstLine="560" w:firstLineChars="200"/>
        <w:rPr>
          <w:rFonts w:eastAsia="方正仿宋_GBK"/>
          <w:bCs/>
          <w:sz w:val="28"/>
          <w:szCs w:val="28"/>
        </w:rPr>
      </w:pPr>
      <w:r>
        <w:rPr>
          <w:rFonts w:ascii="Times New Roman" w:eastAsia="方正仿宋_GBK" w:hAnsi="Times New Roman" w:cs="Times New Roman"/>
          <w:bCs/>
          <w:sz w:val="28"/>
          <w:szCs w:val="28"/>
          <w:lang w:bidi="ar-SA"/>
        </w:rPr>
        <w:t>包含功能：欢迎首页模块、受理单管理、工单处置、管理业务模块、报表等。</w:t>
      </w:r>
    </w:p>
    <w:p>
      <w:pPr>
        <w:spacing w:line="400" w:lineRule="exact"/>
        <w:ind w:firstLine="560" w:firstLineChars="200"/>
        <w:rPr>
          <w:rFonts w:eastAsia="方正仿宋_GBK"/>
          <w:b/>
          <w:bCs/>
          <w:snapToGrid w:val="0"/>
          <w:sz w:val="28"/>
          <w:szCs w:val="28"/>
          <w:lang w:bidi="en-US"/>
        </w:rPr>
      </w:pPr>
      <w:r>
        <w:rPr>
          <w:rFonts w:ascii="Times New Roman" w:eastAsia="方正仿宋_GBK" w:hAnsi="Times New Roman" w:cs="Times New Roman"/>
          <w:b/>
          <w:bCs/>
          <w:snapToGrid w:val="0"/>
          <w:sz w:val="28"/>
          <w:szCs w:val="28"/>
          <w:lang w:bidi="en-US"/>
        </w:rPr>
        <w:t>（2）数据分析</w:t>
      </w:r>
    </w:p>
    <w:p>
      <w:pPr>
        <w:spacing w:line="400" w:lineRule="exact"/>
        <w:ind w:firstLine="560" w:firstLineChars="200"/>
        <w:rPr>
          <w:rFonts w:eastAsia="方正仿宋_GBK"/>
          <w:bCs/>
          <w:snapToGrid w:val="0"/>
          <w:sz w:val="28"/>
          <w:szCs w:val="28"/>
        </w:rPr>
      </w:pPr>
      <w:r>
        <w:rPr>
          <w:rFonts w:ascii="Times New Roman" w:eastAsia="方正仿宋_GBK" w:hAnsi="Times New Roman" w:cs="Times New Roman"/>
          <w:bCs/>
          <w:snapToGrid w:val="0"/>
          <w:sz w:val="28"/>
          <w:szCs w:val="28"/>
          <w:lang w:bidi="ar-SA"/>
        </w:rPr>
        <w:t>包含功能：报表生成、热点问题报表、在线客服报表、数据分析可视化展示、大屏展示、现场管理等。支持AI大模型对接、输出图表。</w:t>
      </w:r>
    </w:p>
    <w:p>
      <w:pPr>
        <w:spacing w:line="400" w:lineRule="exact"/>
        <w:ind w:firstLine="560" w:firstLineChars="200"/>
        <w:rPr>
          <w:rFonts w:eastAsia="方正仿宋_GBK"/>
          <w:b/>
          <w:bCs/>
          <w:snapToGrid w:val="0"/>
          <w:sz w:val="28"/>
          <w:szCs w:val="28"/>
          <w:lang w:bidi="en-US"/>
        </w:rPr>
      </w:pPr>
      <w:r>
        <w:rPr>
          <w:rFonts w:ascii="Times New Roman" w:eastAsia="方正仿宋_GBK" w:hAnsi="Times New Roman" w:cs="Times New Roman"/>
          <w:b/>
          <w:bCs/>
          <w:snapToGrid w:val="0"/>
          <w:sz w:val="28"/>
          <w:szCs w:val="28"/>
          <w:lang w:bidi="en-US"/>
        </w:rPr>
        <w:t>（3）知识模块</w:t>
      </w:r>
    </w:p>
    <w:p>
      <w:pPr>
        <w:pStyle w:val="11810"/>
        <w:spacing w:line="400" w:lineRule="exact"/>
        <w:ind w:firstLine="560" w:firstLineChars="200"/>
        <w:rPr>
          <w:rFonts w:eastAsia="方正仿宋_GBK"/>
          <w:snapToGrid w:val="0"/>
          <w:sz w:val="28"/>
          <w:szCs w:val="28"/>
        </w:rPr>
      </w:pPr>
      <w:r>
        <w:rPr>
          <w:rFonts w:ascii="Times New Roman" w:eastAsia="方正仿宋_GBK" w:hAnsi="Times New Roman"/>
          <w:snapToGrid w:val="0"/>
          <w:sz w:val="28"/>
          <w:szCs w:val="28"/>
        </w:rPr>
        <w:t>包含功能：知识模块查询、知识模块管理、知识模块数据分析、其他功能等。采用</w:t>
      </w:r>
      <w:r>
        <w:rPr>
          <w:rFonts w:ascii="Times New Roman" w:eastAsia="方正仿宋_GBK" w:hAnsi="Times New Roman" w:hint="eastAsia"/>
          <w:snapToGrid w:val="0"/>
          <w:sz w:val="28"/>
          <w:szCs w:val="28"/>
        </w:rPr>
        <w:t>多级</w:t>
      </w:r>
      <w:r>
        <w:rPr>
          <w:rFonts w:ascii="Times New Roman" w:eastAsia="方正仿宋_GBK" w:hAnsi="Times New Roman"/>
          <w:snapToGrid w:val="0"/>
          <w:sz w:val="28"/>
          <w:szCs w:val="28"/>
        </w:rPr>
        <w:t>管理模式。</w:t>
      </w:r>
    </w:p>
    <w:p>
      <w:pPr>
        <w:spacing w:line="400" w:lineRule="exact"/>
        <w:ind w:firstLine="560" w:firstLineChars="200"/>
        <w:rPr>
          <w:rFonts w:eastAsia="方正仿宋_GBK"/>
          <w:b/>
          <w:bCs/>
          <w:snapToGrid w:val="0"/>
          <w:sz w:val="28"/>
          <w:szCs w:val="28"/>
          <w:lang w:bidi="en-US"/>
        </w:rPr>
      </w:pPr>
      <w:r>
        <w:rPr>
          <w:rFonts w:ascii="Times New Roman" w:eastAsia="方正仿宋_GBK" w:hAnsi="Times New Roman" w:cs="Times New Roman"/>
          <w:b/>
          <w:bCs/>
          <w:snapToGrid w:val="0"/>
          <w:sz w:val="28"/>
          <w:szCs w:val="28"/>
          <w:lang w:bidi="en-US"/>
        </w:rPr>
        <w:t>（</w:t>
      </w:r>
      <w:r>
        <w:rPr>
          <w:rFonts w:ascii="Times New Roman" w:eastAsia="方正仿宋_GBK" w:hAnsi="Times New Roman" w:cs="Times New Roman" w:hint="eastAsia"/>
          <w:b/>
          <w:bCs/>
          <w:snapToGrid w:val="0"/>
          <w:sz w:val="28"/>
          <w:szCs w:val="28"/>
          <w:lang w:bidi="en-US"/>
        </w:rPr>
        <w:t>4</w:t>
      </w:r>
      <w:r>
        <w:rPr>
          <w:rFonts w:ascii="Times New Roman" w:eastAsia="方正仿宋_GBK" w:hAnsi="Times New Roman" w:cs="Times New Roman"/>
          <w:b/>
          <w:bCs/>
          <w:snapToGrid w:val="0"/>
          <w:sz w:val="28"/>
          <w:szCs w:val="28"/>
          <w:lang w:bidi="en-US"/>
        </w:rPr>
        <w:t>）语音留言咨询</w:t>
      </w:r>
    </w:p>
    <w:p>
      <w:pPr>
        <w:spacing w:line="400" w:lineRule="exact"/>
        <w:ind w:firstLine="560" w:firstLineChars="200"/>
        <w:rPr>
          <w:rFonts w:eastAsia="方正仿宋_GBK"/>
          <w:snapToGrid w:val="0"/>
          <w:sz w:val="28"/>
          <w:szCs w:val="28"/>
        </w:rPr>
      </w:pPr>
      <w:r>
        <w:rPr>
          <w:rFonts w:ascii="Times New Roman" w:eastAsia="方正仿宋_GBK" w:hAnsi="Times New Roman" w:cs="Times New Roman"/>
          <w:snapToGrid w:val="0"/>
          <w:sz w:val="28"/>
          <w:szCs w:val="28"/>
          <w:lang w:bidi="ar-SA"/>
        </w:rPr>
        <w:t>包含功能：语音留言设置、系统提示、语音留言答复等</w:t>
      </w:r>
      <w:r>
        <w:rPr>
          <w:rFonts w:ascii="Times New Roman" w:eastAsia="方正仿宋_GBK" w:hAnsi="Times New Roman" w:cs="Times New Roman" w:hint="eastAsia"/>
          <w:snapToGrid w:val="0"/>
          <w:sz w:val="28"/>
          <w:szCs w:val="28"/>
          <w:lang w:bidi="ar-SA"/>
        </w:rPr>
        <w:t>。</w:t>
      </w:r>
    </w:p>
    <w:p>
      <w:pPr>
        <w:spacing w:line="400" w:lineRule="exact"/>
        <w:ind w:firstLine="560" w:firstLineChars="200"/>
        <w:rPr>
          <w:rFonts w:eastAsia="方正仿宋_GBK"/>
          <w:snapToGrid w:val="0"/>
          <w:sz w:val="28"/>
          <w:szCs w:val="28"/>
        </w:rPr>
      </w:pPr>
    </w:p>
    <w:p>
      <w:pPr>
        <w:spacing w:line="400" w:lineRule="exact"/>
        <w:ind w:firstLine="560" w:firstLineChars="200"/>
        <w:rPr>
          <w:rFonts w:eastAsia="方正仿宋_GBK"/>
          <w:b/>
          <w:snapToGrid w:val="0"/>
          <w:sz w:val="28"/>
          <w:szCs w:val="28"/>
        </w:rPr>
      </w:pPr>
      <w:r>
        <w:rPr>
          <w:rFonts w:ascii="Times New Roman" w:eastAsia="方正仿宋_GBK" w:hAnsi="Times New Roman" w:cs="Times New Roman" w:hint="eastAsia"/>
          <w:b/>
          <w:snapToGrid w:val="0"/>
          <w:sz w:val="28"/>
          <w:szCs w:val="28"/>
          <w:lang w:bidi="ar-SA"/>
        </w:rPr>
        <w:t>（</w:t>
      </w:r>
      <w:r>
        <w:rPr>
          <w:rFonts w:ascii="Times New Roman" w:eastAsia="方正仿宋_GBK" w:hAnsi="Times New Roman" w:cs="Times New Roman"/>
          <w:b/>
          <w:snapToGrid w:val="0"/>
          <w:sz w:val="28"/>
          <w:szCs w:val="28"/>
          <w:lang w:bidi="ar-SA"/>
        </w:rPr>
        <w:t>5</w:t>
      </w:r>
      <w:r>
        <w:rPr>
          <w:rFonts w:ascii="Times New Roman" w:eastAsia="方正仿宋_GBK" w:hAnsi="Times New Roman" w:cs="Times New Roman" w:hint="eastAsia"/>
          <w:b/>
          <w:snapToGrid w:val="0"/>
          <w:sz w:val="28"/>
          <w:szCs w:val="28"/>
          <w:lang w:bidi="ar-SA"/>
        </w:rPr>
        <w:t>）短信管理</w:t>
      </w:r>
    </w:p>
    <w:p>
      <w:pPr>
        <w:spacing w:line="400" w:lineRule="exact"/>
        <w:ind w:firstLine="560" w:firstLineChars="200"/>
        <w:rPr>
          <w:rFonts w:eastAsia="方正仿宋_GBK"/>
          <w:snapToGrid w:val="0"/>
          <w:sz w:val="28"/>
          <w:szCs w:val="28"/>
        </w:rPr>
      </w:pPr>
      <w:r>
        <w:rPr>
          <w:rFonts w:ascii="Times New Roman" w:eastAsia="方正仿宋_GBK" w:hAnsi="Times New Roman" w:cs="Times New Roman" w:hint="eastAsia"/>
          <w:snapToGrid w:val="0"/>
          <w:sz w:val="28"/>
          <w:szCs w:val="28"/>
          <w:lang w:bidi="ar-SA"/>
        </w:rPr>
        <w:t>包含功能：短信编辑、发送，历史记录，统计，话后短信设置，批量发送等。</w:t>
      </w:r>
      <w:r>
        <w:rPr>
          <w:rFonts w:ascii="Times New Roman" w:eastAsia="方正仿宋_GBK" w:hAnsi="Times New Roman" w:cs="Times New Roman"/>
          <w:snapToGrid w:val="0"/>
          <w:sz w:val="28"/>
          <w:szCs w:val="28"/>
          <w:lang w:bidi="ar-SA"/>
        </w:rPr>
        <w:t>支持对接短信平台。</w:t>
      </w: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★2.特殊资质要求</w:t>
      </w:r>
    </w:p>
    <w:p>
      <w:pPr>
        <w:spacing w:line="400" w:lineRule="exact"/>
        <w:ind w:firstLine="560" w:firstLineChars="200"/>
        <w:rPr>
          <w:rFonts w:eastAsia="方正仿宋_GBK"/>
          <w:snapToGrid w:val="0"/>
          <w:sz w:val="28"/>
          <w:szCs w:val="28"/>
        </w:rPr>
      </w:pPr>
      <w:r>
        <w:rPr>
          <w:rFonts w:ascii="Times New Roman" w:eastAsia="方正仿宋_GBK" w:hAnsi="Times New Roman" w:cs="Times New Roman"/>
          <w:snapToGrid w:val="0"/>
          <w:sz w:val="28"/>
          <w:szCs w:val="28"/>
          <w:lang w:bidi="ar-SA"/>
        </w:rPr>
        <w:t>无</w:t>
      </w: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3. 主要技术参数</w:t>
      </w:r>
    </w:p>
    <w:p>
      <w:pPr>
        <w:pStyle w:val="20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微软雅黑"/>
          <w:b/>
          <w:bCs/>
          <w:sz w:val="28"/>
          <w:szCs w:val="28"/>
          <w:lang w:bidi="ar-SA"/>
        </w:rPr>
        <w:t>3.1</w:t>
      </w:r>
      <w:r>
        <w:rPr>
          <w:rFonts w:ascii="Times New Roman" w:eastAsia="方正仿宋_GBK" w:hAnsi="Times New Roman" w:cs="Times New Roman"/>
          <w:sz w:val="28"/>
          <w:szCs w:val="28"/>
          <w:lang w:bidi="ar-SA"/>
        </w:rPr>
        <w:t xml:space="preserve"> 产品知识产权合法性要求</w:t>
      </w:r>
    </w:p>
    <w:p>
      <w:pPr>
        <w:pStyle w:val="2010"/>
        <w:spacing w:line="400" w:lineRule="exact"/>
        <w:ind w:firstLine="560" w:firstLineChars="200"/>
        <w:rPr>
          <w:rFonts w:ascii="Times New Roman" w:eastAsia="方正仿宋_GBK" w:hAnsi="Times New Roman"/>
          <w:sz w:val="28"/>
          <w:szCs w:val="28"/>
        </w:rPr>
      </w:pPr>
      <w:r>
        <w:rPr>
          <w:rFonts w:ascii="Times New Roman" w:eastAsia="方正仿宋_GBK" w:hAnsi="Times New Roman" w:cs="Times New Roman"/>
          <w:sz w:val="28"/>
          <w:szCs w:val="28"/>
          <w:lang w:bidi="ar-SA"/>
        </w:rPr>
        <w:t>所投标产品的制造商持有该产品的《计算机软件著作权登记证书》。</w:t>
      </w:r>
    </w:p>
    <w:p>
      <w:pPr>
        <w:spacing w:line="400" w:lineRule="exact"/>
        <w:ind w:firstLine="560" w:firstLineChars="200"/>
        <w:outlineLvl w:val="4"/>
        <w:rPr>
          <w:rFonts w:eastAsia="方正仿宋_GBK"/>
          <w:sz w:val="28"/>
          <w:szCs w:val="28"/>
        </w:rPr>
      </w:pPr>
      <w:r>
        <w:rPr>
          <w:rFonts w:ascii="Times New Roman" w:eastAsia="方正仿宋_GBK" w:hAnsi="Times New Roman" w:cs="Times New Roman"/>
          <w:sz w:val="28"/>
          <w:szCs w:val="28"/>
          <w:lang w:bidi="ar-SA"/>
        </w:rPr>
        <w:t>证明材料要求：</w:t>
      </w:r>
      <w:r>
        <w:rPr>
          <w:rFonts w:ascii="Times New Roman" w:eastAsia="方正仿宋_GBK" w:hAnsi="Times New Roman" w:cs="Times New Roman" w:hint="eastAsia"/>
          <w:sz w:val="28"/>
          <w:szCs w:val="28"/>
          <w:lang w:bidi="ar-SA"/>
        </w:rPr>
        <w:t>投标人提供所投标相关产品的软件著作权证书</w:t>
      </w:r>
      <w:r>
        <w:rPr>
          <w:rFonts w:ascii="Times New Roman" w:eastAsia="方正仿宋_GBK" w:hAnsi="Times New Roman" w:cs="Times New Roman"/>
          <w:sz w:val="28"/>
          <w:szCs w:val="28"/>
          <w:lang w:bidi="ar-SA"/>
        </w:rPr>
        <w:t>复印件</w:t>
      </w:r>
      <w:r>
        <w:rPr>
          <w:rFonts w:ascii="Times New Roman" w:eastAsia="方正仿宋_GBK" w:hAnsi="Times New Roman" w:cs="Times New Roman" w:hint="eastAsia"/>
          <w:sz w:val="28"/>
          <w:szCs w:val="28"/>
          <w:lang w:bidi="ar-SA"/>
        </w:rPr>
        <w:t>并加盖投标人和产品制造商公章</w:t>
      </w:r>
      <w:r>
        <w:rPr>
          <w:rFonts w:ascii="Times New Roman" w:eastAsia="方正仿宋_GBK" w:hAnsi="Times New Roman" w:cs="Times New Roman"/>
          <w:sz w:val="28"/>
          <w:szCs w:val="28"/>
          <w:lang w:bidi="ar-SA"/>
        </w:rPr>
        <w:t>。</w:t>
      </w:r>
    </w:p>
    <w:p>
      <w:pPr>
        <w:pStyle w:val="47110"/>
        <w:spacing w:line="400" w:lineRule="exact"/>
        <w:ind w:firstLine="560" w:firstLineChars="200"/>
        <w:rPr>
          <w:rFonts w:ascii="Times New Roman" w:eastAsia="方正仿宋_GBK" w:hAnsi="Times New Roman" w:cs="Times New Roman"/>
          <w:bCs/>
          <w:sz w:val="28"/>
          <w:szCs w:val="28"/>
        </w:rPr>
      </w:pPr>
      <w:r>
        <w:rPr>
          <w:rFonts w:ascii="Times New Roman" w:eastAsia="方正仿宋_GBK" w:hAnsi="Times New Roman" w:cs="Times New Roman"/>
          <w:sz w:val="28"/>
          <w:szCs w:val="28"/>
          <w:lang w:bidi="ar-SA"/>
        </w:rPr>
        <w:t>3.2</w:t>
      </w:r>
      <w:r>
        <w:rPr>
          <w:rFonts w:ascii="Times New Roman" w:eastAsia="方正仿宋_GBK" w:hAnsi="Times New Roman" w:cs="Times New Roman" w:hint="eastAsia"/>
          <w:bCs/>
          <w:sz w:val="28"/>
          <w:szCs w:val="28"/>
          <w:lang w:bidi="ar-SA"/>
        </w:rPr>
        <w:t>热线综合服务平台功能需求</w:t>
      </w:r>
    </w:p>
    <w:p>
      <w:pPr>
        <w:pStyle w:val="47110"/>
        <w:spacing w:line="400" w:lineRule="exact"/>
        <w:ind w:firstLine="560" w:firstLineChars="200"/>
        <w:rPr>
          <w:rFonts w:ascii="Times New Roman" w:eastAsia="方正仿宋_GBK" w:hAnsi="Times New Roman" w:cs="Times New Roman"/>
          <w:sz w:val="28"/>
          <w:szCs w:val="28"/>
        </w:rPr>
      </w:pPr>
    </w:p>
    <w:p>
      <w:pPr>
        <w:pStyle w:val="47210"/>
        <w:widowControl/>
        <w:numPr>
          <w:ilvl w:val="0"/>
          <w:numId w:val="67"/>
        </w:numPr>
        <w:spacing w:line="400" w:lineRule="exact"/>
        <w:jc w:val="left"/>
        <w:textAlignment w:val="center"/>
        <w:rPr>
          <w:rFonts w:eastAsia="方正仿宋_GBK"/>
          <w:b/>
          <w:bCs/>
          <w:snapToGrid w:val="0"/>
          <w:color w:val="000000"/>
          <w:sz w:val="28"/>
          <w:szCs w:val="28"/>
        </w:rPr>
      </w:pPr>
      <w:r>
        <w:rPr>
          <w:rFonts w:eastAsia="方正仿宋_GBK"/>
          <w:b/>
          <w:bCs/>
          <w:snapToGrid w:val="0"/>
          <w:color w:val="000000"/>
          <w:sz w:val="28"/>
          <w:szCs w:val="28"/>
        </w:rPr>
        <w:t>欢迎首页应用功能需求: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首页展示应用功能需求：</w:t>
      </w:r>
    </w:p>
    <w:p>
      <w:pPr>
        <w:pStyle w:val="47110"/>
        <w:spacing w:line="400" w:lineRule="exact"/>
        <w:ind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在热线综合服务平台的首页显示坐席的最新任务，提醒坐席有新的工单需要处理，包括工单类型、工单名称、工单建立日期等。坐席点击工单，桌面上能够显示该工单的详细内容。展示内容包括工单处理数量、未处理数量、已完成数量、知识库更新通知、咨询人类别展示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通知展示应用功能需求：</w:t>
      </w:r>
    </w:p>
    <w:p>
      <w:pPr>
        <w:pStyle w:val="47110"/>
        <w:spacing w:line="400" w:lineRule="exact"/>
        <w:ind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重要信息将以通知的形式发送，在界面上有公文提醒，热线坐席可以查看公文。对于一些重要信息，管理员可以向坐席人员发送公文，坐席人员在咨询人端显示公文主题、发送者和时间日期，点击公文，坐席桌面上能够显示公文的详细内容。</w:t>
      </w:r>
    </w:p>
    <w:p>
      <w:pPr>
        <w:pStyle w:val="47110"/>
        <w:spacing w:line="400" w:lineRule="exact"/>
        <w:ind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支持公文（通知）展示维护功能对展示内容进行新增、删除、修改。</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当前进线排队应用功能需求：</w:t>
      </w:r>
    </w:p>
    <w:p>
      <w:pPr>
        <w:pStyle w:val="47110"/>
        <w:spacing w:line="400" w:lineRule="exact"/>
        <w:ind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可查看进线和排队数量，热线综合服务平台坐席桌面能够显示坐席状态，例如：坐席通话中、外线号码、通话时间、中继线号码等。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呼损号码查询应用功能需求：</w:t>
      </w:r>
    </w:p>
    <w:p>
      <w:pPr>
        <w:pStyle w:val="47110"/>
        <w:spacing w:line="400" w:lineRule="exact"/>
        <w:ind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可查看呼损号码，呼损号码包括分配到坐席的未接电话、IVR排队呼损电话，坐席点击呼损电话就可回拨咨询人，快速与咨询人联系，提高咨询人满意度与服务质量。可对该查询权限进行配置。</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快捷菜单应用功能需求：</w:t>
      </w:r>
    </w:p>
    <w:p>
      <w:pPr>
        <w:pStyle w:val="47110"/>
        <w:spacing w:line="400" w:lineRule="exact"/>
        <w:ind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对于经常使用的功能可以通过快捷菜单访问系统，提高坐席工作效率。例如将常用的知识库、重要工单信息等以连接的方式生成快捷键，坐席可以快速信息查询。</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菜单展示应用功能需求：</w:t>
      </w:r>
    </w:p>
    <w:p>
      <w:pPr>
        <w:pStyle w:val="47110"/>
        <w:spacing w:line="400" w:lineRule="exact"/>
        <w:ind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通过管理员设定角色和权限，每个角色的菜单展示可以有所不同，主要展示内容有咨询人资料、工单系统、多媒体访问、知识库、外呼系统、数据字典管理等。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跑马灯展示应用功能需求：</w:t>
      </w:r>
    </w:p>
    <w:p>
      <w:pPr>
        <w:pStyle w:val="47110"/>
        <w:spacing w:line="400" w:lineRule="exact"/>
        <w:ind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支持跑马灯功能，通过跑马灯功能进行系统滚动通知，坐席非常直观看到单位的重要通知。</w:t>
      </w:r>
    </w:p>
    <w:p>
      <w:pPr>
        <w:pStyle w:val="47110"/>
        <w:spacing w:line="400" w:lineRule="exact"/>
        <w:ind w:firstLine="560" w:firstLineChars="200"/>
        <w:rPr>
          <w:rFonts w:ascii="Times New Roman" w:eastAsia="方正仿宋_GBK" w:hAnsi="Times New Roman" w:cs="Times New Roman"/>
          <w:bCs/>
          <w:snapToGrid w:val="0"/>
          <w:sz w:val="28"/>
          <w:szCs w:val="28"/>
        </w:rPr>
      </w:pPr>
    </w:p>
    <w:p>
      <w:pPr>
        <w:pStyle w:val="47210"/>
        <w:widowControl/>
        <w:numPr>
          <w:ilvl w:val="0"/>
          <w:numId w:val="69"/>
        </w:numPr>
        <w:spacing w:line="400" w:lineRule="exact"/>
        <w:jc w:val="left"/>
        <w:textAlignment w:val="center"/>
        <w:rPr>
          <w:rFonts w:eastAsia="方正仿宋_GBK"/>
          <w:b/>
          <w:bCs/>
          <w:snapToGrid w:val="0"/>
          <w:color w:val="000000"/>
          <w:sz w:val="28"/>
          <w:szCs w:val="28"/>
        </w:rPr>
      </w:pPr>
      <w:r>
        <w:rPr>
          <w:rFonts w:eastAsia="方正仿宋_GBK"/>
          <w:b/>
          <w:bCs/>
          <w:snapToGrid w:val="0"/>
          <w:color w:val="000000"/>
          <w:sz w:val="28"/>
          <w:szCs w:val="28"/>
        </w:rPr>
        <w:t>受理单</w:t>
      </w:r>
      <w:r>
        <w:rPr>
          <w:rFonts w:eastAsia="方正仿宋_GBK" w:hint="eastAsia"/>
          <w:b/>
          <w:bCs/>
          <w:snapToGrid w:val="0"/>
          <w:color w:val="000000"/>
          <w:sz w:val="28"/>
          <w:szCs w:val="28"/>
        </w:rPr>
        <w:t>（含电话、视频等渠道受理单）</w:t>
      </w:r>
      <w:r>
        <w:rPr>
          <w:rFonts w:eastAsia="方正仿宋_GBK"/>
          <w:b/>
          <w:bCs/>
          <w:snapToGrid w:val="0"/>
          <w:color w:val="000000"/>
          <w:sz w:val="28"/>
          <w:szCs w:val="28"/>
        </w:rPr>
        <w:t>管理应用功能需求: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bCs/>
          <w:snapToGrid w:val="0"/>
          <w:sz w:val="28"/>
          <w:szCs w:val="28"/>
          <w:lang w:bidi="ar-SA"/>
        </w:rPr>
        <w:t>话务受理单应用功能需求：</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包含以下受理单编辑、搜索等功能：新建、暂存、保存并关闭、刷新、生成工单、生成黑名单、保存模板、单条数据导出（可导出word文档）和全部数据导出等，实现话务单状态切换过滤数据，通过受理单编号检索数据，通过高级检索中更多的条件实现检索查询功能；具备发送短信功能；可实现播放录音、下载录音功能；对异常受理单做系统提示，提示话务员补录受理单。</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咨询人电话呼入时实现咨询人信息定位弹屏，咨询人每次电话接入时，系统显示来电号码及话务信息。通过受理问题归类定位到咨询问题的知识反馈信息；同时显示咨询人以往相关受理单历史、工单历史等，并对无法处理的问题填写工单转入技术支持团队进行后续处理。</w:t>
      </w:r>
    </w:p>
    <w:p>
      <w:pPr>
        <w:pStyle w:val="619"/>
        <w:spacing w:line="400" w:lineRule="exact"/>
        <w:ind w:firstLine="560" w:firstLineChars="200"/>
        <w:rPr>
          <w:snapToGrid w:val="0"/>
          <w:sz w:val="28"/>
        </w:rPr>
      </w:pP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受理单类别应用功能需求：</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可分别生成不同业务的话务单数据。</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归档话务受理单应用功能需求：</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可查询已归档（可设定归档时间，例如超过一年的受理单状态置为归档受理单）的话务受理单，可查询以下信息：受理来源、一级类别、二级类别、三级类别、公众类型、公众分类、联系人姓名、联系人电话、标签、问题描述等。显示被叫号码、群众类型、来电号码和转接来源等信息。并支持播放声音和下载声音等功能。</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外呼单应用功能需求：</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可查询由外呼生成的外呼单，或新建外呼单。</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外呼单应包含以下字段：外呼单编号、外呼地区、外呼人、外呼时间、主叫号码、被叫号码、外呼单类型、关联受理单和问题描述等信息，可提供上述字段查询。</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应包含以下功能按钮：暂存、保存并关闭等。</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与坐席接续接口集成，可在系统中通过坐席接续条中外呼功能，录入号码、键盘录入号码进行呼出，呼出记录通过弹出外呼单可进行记录和查询。可实现播放录音、下载录音功能。</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黑名单应用功能需求：</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可对恶意骚扰电话设置黑名单控制，通过屏蔽黑名单中咨询人，或通过调整咨询人接入优先级，减少无效的热线呼入。黑名单设置需进行审批。</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黑名单应包含以下字段：电话号码、审批状态、开始时间、结束时间、提交理由和历史记录等信息，可提供上述字段查询。</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应包含以下功能按钮：暂存、保存并关闭、提交、拒绝、批准等。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白名单应用功能需求：</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可对优先级别高的咨询人电话设置白名单控制，在排队较多的情况下，提前坐席话务排队位次，能够优先保证电话的接入。同时可设置内部用户白名单，确保内部人员优先接入。</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白名单应包含以下字段：咨询人名称、联系电话、咨询人类型、负责人、咨询人编码、单位地址、咨询人级别等信息。能够实现批量导入白名单信息功能。应包含以下功能按钮：暂存和保存并关闭等。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受理单查询应用功能需求：</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支持快捷受理单查询和高级受理单查询，快捷受理单查询支持根据时间、日期和关键字查询，而高级受理单查询支持通过多种条件组合查询受理单，例如：开始时间、结束时间、咨询人关键字、咨询人级别等，也可以包含的关键字等条件进行综合查询。高级查询可以定义到每个字段进行查询。可进行转接来源查询。</w:t>
      </w:r>
    </w:p>
    <w:p>
      <w:pPr>
        <w:pStyle w:val="619"/>
        <w:spacing w:line="400" w:lineRule="exact"/>
        <w:ind w:firstLine="560" w:firstLineChars="200"/>
        <w:rPr>
          <w:snapToGrid w:val="0"/>
          <w:sz w:val="28"/>
        </w:rPr>
      </w:pPr>
      <w:r>
        <w:rPr>
          <w:rFonts w:ascii="方正仿宋_GBK" w:eastAsia="方正仿宋_GBK" w:hint="eastAsia"/>
          <w:b w:val="0"/>
          <w:snapToGrid w:val="0"/>
          <w:sz w:val="28"/>
        </w:rPr>
        <w:t>受理单字段：受理来源、一级类别、二级类别、三级类别、公众类型、公众分类、联系人姓名、联系人电话、标签、问题描述、被叫号码、群众类型、来电号码和转接来源等信息。</w:t>
      </w:r>
    </w:p>
    <w:p>
      <w:pPr>
        <w:pStyle w:val="619"/>
        <w:spacing w:line="400" w:lineRule="exact"/>
        <w:ind w:firstLine="560" w:firstLineChars="200"/>
        <w:rPr>
          <w:snapToGrid w:val="0"/>
          <w:sz w:val="28"/>
        </w:rPr>
      </w:pPr>
    </w:p>
    <w:p>
      <w:pPr>
        <w:pStyle w:val="47210"/>
        <w:widowControl/>
        <w:numPr>
          <w:ilvl w:val="0"/>
          <w:numId w:val="70"/>
        </w:numPr>
        <w:spacing w:line="400" w:lineRule="exact"/>
        <w:jc w:val="left"/>
        <w:textAlignment w:val="center"/>
        <w:rPr>
          <w:rFonts w:eastAsia="方正仿宋_GBK"/>
          <w:b/>
          <w:bCs/>
          <w:snapToGrid w:val="0"/>
          <w:color w:val="000000"/>
          <w:sz w:val="28"/>
          <w:szCs w:val="28"/>
        </w:rPr>
      </w:pPr>
      <w:r>
        <w:rPr>
          <w:rFonts w:eastAsia="方正仿宋_GBK"/>
          <w:b/>
          <w:bCs/>
          <w:snapToGrid w:val="0"/>
          <w:color w:val="000000"/>
          <w:sz w:val="28"/>
          <w:szCs w:val="28"/>
        </w:rPr>
        <w:t>工单</w:t>
      </w:r>
      <w:r>
        <w:rPr>
          <w:rFonts w:eastAsia="方正仿宋_GBK" w:hint="eastAsia"/>
          <w:b/>
          <w:bCs/>
          <w:snapToGrid w:val="0"/>
          <w:color w:val="000000"/>
          <w:sz w:val="28"/>
          <w:szCs w:val="28"/>
        </w:rPr>
        <w:t>（需流转后台处理）</w:t>
      </w:r>
      <w:r>
        <w:rPr>
          <w:rFonts w:eastAsia="方正仿宋_GBK"/>
          <w:b/>
          <w:bCs/>
          <w:snapToGrid w:val="0"/>
          <w:color w:val="000000"/>
          <w:sz w:val="28"/>
          <w:szCs w:val="28"/>
        </w:rPr>
        <w:t>处置应用功能需求: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工单新建应用功能需求：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在创建工单过程中，可以通过电话、微信、网页、移动app（多渠道）受理问题时已填写的受理单进行生成工单，或通过点击【新建工单】按钮建立新的工单。通过受理单生成的工单，可自动返填已记录的工单信息。</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工单撤回应用功能需求：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在下一环节审核人员未对工单进行审核时，可对已进入下一环节的工单进行撤回。</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工单转发应用功能需求：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工单能够转发给其他坐席人员进行处理</w:t>
      </w:r>
      <w:r>
        <w:rPr>
          <w:rFonts w:eastAsia="方正仿宋_GBK" w:hint="eastAsia"/>
          <w:snapToGrid w:val="0"/>
          <w:sz w:val="28"/>
          <w:szCs w:val="28"/>
        </w:rPr>
        <w:t>。</w:t>
      </w:r>
      <w:r>
        <w:rPr>
          <w:rFonts w:eastAsia="方正仿宋_GBK"/>
          <w:snapToGrid w:val="0"/>
          <w:sz w:val="28"/>
          <w:szCs w:val="28"/>
        </w:rPr>
        <w:t>工单可以选择转发到坐席，也可以选择转发到电子邮件和通过短信转发工单（提醒）。当热线坐席收到转发的工单时，桌面自动弹出相应提醒信息。</w:t>
      </w:r>
    </w:p>
    <w:p>
      <w:pPr>
        <w:pStyle w:val="47110"/>
        <w:numPr>
          <w:ilvl w:val="0"/>
          <w:numId w:val="68"/>
        </w:numPr>
        <w:spacing w:line="400" w:lineRule="exact"/>
        <w:ind w:left="0" w:firstLine="560" w:firstLineChars="200"/>
        <w:rPr>
          <w:rFonts w:ascii="Times New Roman" w:eastAsia="方正仿宋_GBK" w:hAnsi="Times New Roman"/>
          <w:snapToGrid w:val="0"/>
          <w:sz w:val="28"/>
          <w:szCs w:val="28"/>
        </w:rPr>
      </w:pPr>
      <w:r>
        <w:rPr>
          <w:rFonts w:ascii="Times New Roman" w:eastAsia="方正仿宋_GBK" w:hAnsi="Times New Roman" w:cs="Times New Roman" w:hint="eastAsia"/>
          <w:bCs/>
          <w:snapToGrid w:val="0"/>
          <w:sz w:val="28"/>
          <w:szCs w:val="28"/>
          <w:lang w:bidi="ar-SA"/>
        </w:rPr>
        <w:t>工单提醒应用功能需求：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可以定义工单提醒功能，能够设定工单提醒时间、工单提醒次数、工单名称、工单提醒转态、提醒任务描述，包括工单超期提醒。</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工单超期提醒：系统可根据每种工单的处理时长计算出工单的回复的截止时间。如果超过截止时间，那么系统自动提醒当前处理人回复工单。</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hint="eastAsia"/>
          <w:snapToGrid w:val="0"/>
          <w:sz w:val="28"/>
          <w:szCs w:val="28"/>
        </w:rPr>
        <w:t>填写工单时</w:t>
      </w:r>
      <w:r>
        <w:rPr>
          <w:rFonts w:eastAsia="方正仿宋_GBK"/>
          <w:snapToGrid w:val="0"/>
          <w:sz w:val="28"/>
          <w:szCs w:val="28"/>
        </w:rPr>
        <w:t>，系统自动根据后台的数据字典，自动计算出回复的截止时间并默认填写到截止时间字段中，如果坐席需要修改回复时间可手动修改回复时间（坐席提交前可对时间进行修改）。后台系统实时去检测所有工单，如果检测到工单超时。那么系统可通过消息待办模块或者系统弹框，接收到相关提醒信息。</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可根据工单的缓急程度不同，设置超时预警时长。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工单复制应用功能需求：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对于已经完成的工单，在工单中可以点击复制按钮，复制一张新的工单。</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工单查询应用功能需求：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支持快捷工单查询和高级工单查询，快捷工单查询支持根据时间、日期和关键字查询，而高级查询坐席通过多种条件组合查询工单，例如：开始时间、结束时间、咨询人关键字、咨询人级别等，也可以包含的关键字等条件进行综合查询。高级查询可以定义到每个字段进行查询。</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工单派单应用功能需求：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可根据受理渠道将工单转派至专门的处理部门。派单流程可自定义，生成工单后经管理员审核</w:t>
      </w:r>
      <w:r>
        <w:rPr>
          <w:rFonts w:eastAsia="方正仿宋_GBK" w:hint="eastAsia"/>
          <w:snapToGrid w:val="0"/>
          <w:sz w:val="28"/>
          <w:szCs w:val="28"/>
        </w:rPr>
        <w:t>（可跨越审核）</w:t>
      </w:r>
      <w:r>
        <w:rPr>
          <w:rFonts w:eastAsia="方正仿宋_GBK"/>
          <w:snapToGrid w:val="0"/>
          <w:sz w:val="28"/>
          <w:szCs w:val="28"/>
        </w:rPr>
        <w:t>后，流转至处理部门</w:t>
      </w:r>
      <w:r>
        <w:rPr>
          <w:rFonts w:eastAsia="方正仿宋_GBK" w:hint="eastAsia"/>
          <w:snapToGrid w:val="0"/>
          <w:sz w:val="28"/>
          <w:szCs w:val="28"/>
        </w:rPr>
        <w:t>。</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工单消息状态查看应用功能需求：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待办或已办事项的信息可通过消息时间实现消息检索（消息内容，已读未读，发送人，发送人单位，发送时间）。</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工单转派应用功能需求：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系统派单到处置部门后，部门之间可以直接互相转派工单或者将工单转回给管理部门，由管理部门重新派单给业务处置部门。</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工单退单应用功能需求：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工单派单到处置部门后，处置部门可以对工单进行退单操作。</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工单回复应用功能需求：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处置人员填写完回复内容后，提交回复内容至处置部门管理员，部门管理员收到提醒后对该申请进行处置，审核通过后工单回复转发至管理部门或转发至本部门热线坐席进行答复。</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催办应用功能需求：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对于处置时限超过三分之一（可设置时限）的时间后仍然没有得到回复的工单或者咨询人催促等比较着急的工单，催促加快处理进度。</w:t>
      </w:r>
      <w:r>
        <w:rPr>
          <w:rFonts w:eastAsia="方正仿宋_GBK" w:hint="eastAsia"/>
          <w:snapToGrid w:val="0"/>
          <w:sz w:val="28"/>
          <w:szCs w:val="28"/>
        </w:rPr>
        <w:t>可通过系统提醒、短信、邮件通知处置人员。</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督办应用功能需求：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在处置过程中，处置部门判断如果需要领导督办，那么提交督办申请到领导审核。</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工单完成应用功能需求：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对已完成的工单进行</w:t>
      </w:r>
      <w:r>
        <w:rPr>
          <w:rFonts w:eastAsia="方正仿宋_GBK" w:hint="eastAsia"/>
          <w:snapToGrid w:val="0"/>
          <w:sz w:val="28"/>
          <w:szCs w:val="28"/>
        </w:rPr>
        <w:t>办结</w:t>
      </w:r>
      <w:r>
        <w:rPr>
          <w:rFonts w:eastAsia="方正仿宋_GBK"/>
          <w:snapToGrid w:val="0"/>
          <w:sz w:val="28"/>
          <w:szCs w:val="28"/>
        </w:rPr>
        <w:t>操作。</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工单相关信息应用功能需求：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工单流转记录及操作记录：自动记录；同一票工单需要分派至多部门间处理的，多部门间可以互相查询、查看处理意见。</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关联录音：在工单页面中可以直接关联到相关录音。并对每个登录人员进行录音的权限设置，控制录音的听取和下载；</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关联附件：在工单处理过程中，可把工单相关的附件，关联到工单中（工单附件</w:t>
      </w:r>
      <w:r>
        <w:rPr>
          <w:rFonts w:eastAsia="方正仿宋_GBK" w:hint="eastAsia"/>
          <w:snapToGrid w:val="0"/>
          <w:sz w:val="28"/>
          <w:szCs w:val="28"/>
        </w:rPr>
        <w:t>格式种类支持Word、</w:t>
      </w:r>
      <w:r>
        <w:rPr>
          <w:rFonts w:eastAsia="方正仿宋_GBK"/>
          <w:snapToGrid w:val="0"/>
          <w:sz w:val="28"/>
          <w:szCs w:val="28"/>
        </w:rPr>
        <w:t>Excel</w:t>
      </w:r>
      <w:r>
        <w:rPr>
          <w:rFonts w:eastAsia="方正仿宋_GBK" w:hint="eastAsia"/>
          <w:snapToGrid w:val="0"/>
          <w:sz w:val="28"/>
          <w:szCs w:val="28"/>
        </w:rPr>
        <w:t>、图片、压缩文件，</w:t>
      </w:r>
      <w:r>
        <w:rPr>
          <w:rFonts w:eastAsia="方正仿宋_GBK"/>
          <w:snapToGrid w:val="0"/>
          <w:sz w:val="28"/>
          <w:szCs w:val="28"/>
        </w:rPr>
        <w:t>大小</w:t>
      </w:r>
      <w:r>
        <w:rPr>
          <w:rFonts w:eastAsia="方正仿宋_GBK" w:hint="eastAsia"/>
          <w:snapToGrid w:val="0"/>
          <w:sz w:val="28"/>
          <w:szCs w:val="28"/>
        </w:rPr>
        <w:t>不超过5MB</w:t>
      </w:r>
      <w:r>
        <w:rPr>
          <w:rFonts w:eastAsia="方正仿宋_GBK"/>
          <w:snapToGrid w:val="0"/>
          <w:sz w:val="28"/>
          <w:szCs w:val="28"/>
        </w:rPr>
        <w:t>）；</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关联回复：对于每条工单回复的内容，都可在工单关联中查询。</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工单应用-应用功能需求：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支持可自定义表单，支持图形化的拖拽配置工作流，支持对工单创建的来源、工单绑定</w:t>
      </w:r>
      <w:r>
        <w:rPr>
          <w:rFonts w:eastAsia="方正仿宋_GBK" w:hint="eastAsia"/>
          <w:snapToGrid w:val="0"/>
          <w:sz w:val="28"/>
          <w:szCs w:val="28"/>
        </w:rPr>
        <w:t>咨询人</w:t>
      </w:r>
      <w:r>
        <w:rPr>
          <w:rFonts w:eastAsia="方正仿宋_GBK"/>
          <w:snapToGrid w:val="0"/>
          <w:sz w:val="28"/>
          <w:szCs w:val="28"/>
        </w:rPr>
        <w:t>、工单基本信息、工单流程处理等内容进行全面展示，支持工单转办、委派、处理</w:t>
      </w:r>
      <w:r>
        <w:rPr>
          <w:rFonts w:eastAsia="方正仿宋_GBK" w:hint="eastAsia"/>
          <w:snapToGrid w:val="0"/>
          <w:sz w:val="28"/>
          <w:szCs w:val="28"/>
        </w:rPr>
        <w:t>、</w:t>
      </w:r>
      <w:r>
        <w:rPr>
          <w:rFonts w:eastAsia="方正仿宋_GBK"/>
          <w:snapToGrid w:val="0"/>
          <w:sz w:val="28"/>
          <w:szCs w:val="28"/>
        </w:rPr>
        <w:t>退回、撤单，支持工单整体数据概览，支持工单创建类型进行工单统计，支持坐席维度统计工单相关数据。</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客户联络集成应用功能需求：</w:t>
      </w:r>
    </w:p>
    <w:p>
      <w:pPr>
        <w:pStyle w:val="619"/>
        <w:spacing w:line="400" w:lineRule="exact"/>
        <w:ind w:firstLine="560" w:firstLineChars="200"/>
        <w:rPr>
          <w:rFonts w:ascii="方正仿宋_GBK" w:eastAsia="方正仿宋_GBK" w:hint="eastAsia"/>
          <w:b w:val="0"/>
          <w:snapToGrid w:val="0"/>
          <w:sz w:val="28"/>
        </w:rPr>
      </w:pPr>
      <w:r>
        <w:rPr>
          <w:rFonts w:ascii="方正仿宋_GBK" w:eastAsia="方正仿宋_GBK" w:hint="eastAsia"/>
          <w:b w:val="0"/>
          <w:snapToGrid w:val="0"/>
          <w:sz w:val="28"/>
        </w:rPr>
        <w:t>点击工单中电话号码后的两个图标，可直接外呼（启动人工外呼），也可直接发短信。</w:t>
      </w:r>
    </w:p>
    <w:p>
      <w:pPr>
        <w:pStyle w:val="619"/>
        <w:spacing w:line="400" w:lineRule="exact"/>
        <w:ind w:firstLine="560" w:firstLineChars="200"/>
        <w:rPr>
          <w:snapToGrid w:val="0"/>
          <w:sz w:val="28"/>
        </w:rPr>
      </w:pPr>
    </w:p>
    <w:p>
      <w:pPr>
        <w:pStyle w:val="47210"/>
        <w:widowControl/>
        <w:numPr>
          <w:ilvl w:val="0"/>
          <w:numId w:val="71"/>
        </w:numPr>
        <w:spacing w:line="400" w:lineRule="exact"/>
        <w:jc w:val="left"/>
        <w:textAlignment w:val="center"/>
        <w:rPr>
          <w:rFonts w:eastAsia="方正仿宋_GBK"/>
          <w:b/>
          <w:bCs/>
          <w:snapToGrid w:val="0"/>
          <w:color w:val="000000"/>
          <w:sz w:val="28"/>
          <w:szCs w:val="28"/>
        </w:rPr>
      </w:pPr>
      <w:r>
        <w:rPr>
          <w:rFonts w:eastAsia="方正仿宋_GBK"/>
          <w:b/>
          <w:bCs/>
          <w:snapToGrid w:val="0"/>
          <w:color w:val="000000"/>
          <w:sz w:val="28"/>
          <w:szCs w:val="28"/>
        </w:rPr>
        <w:t>短信管理应用功能需求: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一键发送短信应用功能需求：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坐席受理</w:t>
      </w:r>
      <w:r>
        <w:rPr>
          <w:rFonts w:eastAsia="方正仿宋_GBK" w:hint="eastAsia"/>
          <w:snapToGrid w:val="0"/>
          <w:sz w:val="28"/>
          <w:szCs w:val="28"/>
        </w:rPr>
        <w:t>咨询人</w:t>
      </w:r>
      <w:r>
        <w:rPr>
          <w:rFonts w:eastAsia="方正仿宋_GBK"/>
          <w:snapToGrid w:val="0"/>
          <w:sz w:val="28"/>
          <w:szCs w:val="28"/>
        </w:rPr>
        <w:t>电话时可以一键给</w:t>
      </w:r>
      <w:r>
        <w:rPr>
          <w:rFonts w:eastAsia="方正仿宋_GBK" w:hint="eastAsia"/>
          <w:snapToGrid w:val="0"/>
          <w:sz w:val="28"/>
          <w:szCs w:val="28"/>
        </w:rPr>
        <w:t>咨询人</w:t>
      </w:r>
      <w:r>
        <w:rPr>
          <w:rFonts w:eastAsia="方正仿宋_GBK"/>
          <w:snapToGrid w:val="0"/>
          <w:sz w:val="28"/>
          <w:szCs w:val="28"/>
        </w:rPr>
        <w:t>发送短信。</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短信群发应用功能需求：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坐席端支持群发短信，比如政策推送等。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挂机短信应用功能需求：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hint="eastAsia"/>
          <w:snapToGrid w:val="0"/>
          <w:sz w:val="28"/>
          <w:szCs w:val="28"/>
        </w:rPr>
        <w:t>该功能只针对手机号码用户。</w:t>
      </w:r>
      <w:r>
        <w:rPr>
          <w:rFonts w:eastAsia="方正仿宋_GBK"/>
          <w:snapToGrid w:val="0"/>
          <w:sz w:val="28"/>
          <w:szCs w:val="28"/>
        </w:rPr>
        <w:t>自定义短信内容，可设置选择呼入挂断、呼出挂断或全部。多号码情况下可选择不同号码发送不同内容。</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定时短信应用功能需求：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定义短信常用内容/模板，设定起止时间、号码调用导入、网关配置</w:t>
      </w:r>
      <w:r>
        <w:rPr>
          <w:rFonts w:eastAsia="方正仿宋_GBK" w:hint="eastAsia"/>
          <w:snapToGrid w:val="0"/>
          <w:sz w:val="28"/>
          <w:szCs w:val="28"/>
        </w:rPr>
        <w:t>。</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草稿箱应用功能需求：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对未编辑完成的短信，可存为草稿，避免二次编辑。</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发送记录</w:t>
      </w:r>
      <w:r>
        <w:rPr>
          <w:rFonts w:ascii="Times New Roman" w:eastAsia="方正仿宋_GBK" w:hAnsi="Times New Roman" w:cs="Times New Roman"/>
          <w:bCs/>
          <w:snapToGrid w:val="0"/>
          <w:sz w:val="28"/>
          <w:szCs w:val="28"/>
          <w:lang w:bidi="ar-SA"/>
        </w:rPr>
        <w:t>统计</w:t>
      </w:r>
      <w:r>
        <w:rPr>
          <w:rFonts w:ascii="Times New Roman" w:eastAsia="方正仿宋_GBK" w:hAnsi="Times New Roman" w:cs="Times New Roman" w:hint="eastAsia"/>
          <w:bCs/>
          <w:snapToGrid w:val="0"/>
          <w:sz w:val="28"/>
          <w:szCs w:val="28"/>
          <w:lang w:bidi="ar-SA"/>
        </w:rPr>
        <w:t>应用功能需求：</w:t>
      </w:r>
    </w:p>
    <w:p>
      <w:pPr>
        <w:pStyle w:val="473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发送统计（编号、电话号码、发送内容、坐席工号、发送时间、状态、发送描述、短信类型</w:t>
      </w:r>
      <w:r>
        <w:rPr>
          <w:rFonts w:eastAsia="方正仿宋_GBK" w:hint="eastAsia"/>
          <w:snapToGrid w:val="0"/>
          <w:sz w:val="28"/>
          <w:szCs w:val="28"/>
        </w:rPr>
        <w:t>、发送部门</w:t>
      </w:r>
      <w:r>
        <w:rPr>
          <w:rFonts w:eastAsia="方正仿宋_GBK"/>
          <w:snapToGrid w:val="0"/>
          <w:sz w:val="28"/>
          <w:szCs w:val="28"/>
        </w:rPr>
        <w:t>等）、记录导出</w:t>
      </w:r>
      <w:r>
        <w:rPr>
          <w:rFonts w:eastAsia="方正仿宋_GBK" w:hint="eastAsia"/>
          <w:snapToGrid w:val="0"/>
          <w:sz w:val="28"/>
          <w:szCs w:val="28"/>
        </w:rPr>
        <w:t>、</w:t>
      </w:r>
      <w:r>
        <w:rPr>
          <w:rFonts w:eastAsia="方正仿宋_GBK"/>
          <w:snapToGrid w:val="0"/>
          <w:sz w:val="28"/>
          <w:szCs w:val="28"/>
        </w:rPr>
        <w:t>搜索、查询。</w:t>
      </w:r>
    </w:p>
    <w:p>
      <w:pPr>
        <w:pStyle w:val="47410"/>
        <w:numPr>
          <w:ilvl w:val="0"/>
          <w:numId w:val="72"/>
        </w:numPr>
        <w:spacing w:line="400" w:lineRule="exact"/>
        <w:rPr>
          <w:rFonts w:ascii="Times New Roman" w:eastAsia="方正仿宋_GBK" w:hAnsi="Times New Roman" w:cs="Times New Roman"/>
          <w:b/>
          <w:bCs/>
          <w:snapToGrid w:val="0"/>
          <w:kern w:val="0"/>
          <w:sz w:val="28"/>
          <w:szCs w:val="28"/>
        </w:rPr>
      </w:pPr>
      <w:r>
        <w:rPr>
          <w:rFonts w:ascii="Times New Roman" w:eastAsia="方正仿宋_GBK" w:hAnsi="Times New Roman" w:cs="Times New Roman"/>
          <w:b/>
          <w:bCs/>
          <w:snapToGrid w:val="0"/>
          <w:kern w:val="0"/>
          <w:sz w:val="28"/>
          <w:szCs w:val="28"/>
          <w:lang w:bidi="ar-SA"/>
        </w:rPr>
        <w:t>人工外呼应用功能需求：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支持设置多个外呼任务，不同任务可导入不同号码，设置不同问卷；</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支持分配给坐席或分配给组进行外呼；</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外呼任务可根据任务设置黑名单，不影响此号码在其他任务或其他呼入呼出情况下的正常状态；</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对外呼过程中需要再次回访的电话进行预约登记，到达预约时间系统会提醒坐席，避免遗漏；</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坐席可把自己的外呼任务数据转移给其他人，管理员可查看到转移数据；</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对于管理分配到组内的数据，小组成员可自行领取；</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针对任务，对坐席领取、完成情况进行监控；</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对所有已外呼的数据进行明细记录</w:t>
      </w:r>
      <w:r>
        <w:rPr>
          <w:rFonts w:ascii="Times New Roman" w:eastAsia="方正仿宋_GBK" w:hAnsi="Times New Roman" w:cs="Times New Roman"/>
          <w:bCs/>
          <w:snapToGrid w:val="0"/>
          <w:sz w:val="28"/>
          <w:szCs w:val="28"/>
          <w:lang w:bidi="ar-SA"/>
        </w:rPr>
        <w:t>。</w:t>
      </w:r>
    </w:p>
    <w:p>
      <w:pPr>
        <w:pStyle w:val="47410"/>
        <w:spacing w:line="400" w:lineRule="exact"/>
        <w:ind w:firstLine="560" w:firstLineChars="200"/>
        <w:rPr>
          <w:rFonts w:ascii="Times New Roman" w:eastAsia="方正仿宋_GBK" w:hAnsi="Times New Roman" w:cs="Times New Roman"/>
          <w:snapToGrid w:val="0"/>
          <w:kern w:val="0"/>
          <w:sz w:val="28"/>
          <w:szCs w:val="28"/>
        </w:rPr>
      </w:pPr>
    </w:p>
    <w:p>
      <w:pPr>
        <w:pStyle w:val="47210"/>
        <w:widowControl/>
        <w:numPr>
          <w:ilvl w:val="0"/>
          <w:numId w:val="73"/>
        </w:numPr>
        <w:spacing w:line="400" w:lineRule="exact"/>
        <w:jc w:val="left"/>
        <w:textAlignment w:val="center"/>
        <w:rPr>
          <w:rFonts w:eastAsia="方正仿宋_GBK"/>
          <w:b/>
          <w:bCs/>
          <w:snapToGrid w:val="0"/>
          <w:color w:val="000000"/>
          <w:sz w:val="28"/>
          <w:szCs w:val="28"/>
        </w:rPr>
      </w:pPr>
      <w:r>
        <w:rPr>
          <w:rFonts w:eastAsia="方正仿宋_GBK"/>
          <w:b/>
          <w:bCs/>
          <w:snapToGrid w:val="0"/>
          <w:color w:val="000000"/>
          <w:sz w:val="28"/>
          <w:szCs w:val="28"/>
        </w:rPr>
        <w:t>管理业务应用功能需求：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咨询人资料管理应用功能需求：</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增删改查：支持</w:t>
      </w:r>
      <w:r>
        <w:rPr>
          <w:rFonts w:eastAsia="方正仿宋_GBK" w:hint="eastAsia"/>
          <w:snapToGrid w:val="0"/>
          <w:sz w:val="28"/>
          <w:szCs w:val="28"/>
        </w:rPr>
        <w:t>咨询人</w:t>
      </w:r>
      <w:r>
        <w:rPr>
          <w:rFonts w:eastAsia="方正仿宋_GBK"/>
          <w:snapToGrid w:val="0"/>
          <w:sz w:val="28"/>
          <w:szCs w:val="28"/>
        </w:rPr>
        <w:t>资料的查询、删除、修改等操作。</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导入导出</w:t>
      </w:r>
      <w:r>
        <w:rPr>
          <w:rFonts w:eastAsia="方正仿宋_GBK" w:hint="eastAsia"/>
          <w:snapToGrid w:val="0"/>
          <w:sz w:val="28"/>
          <w:szCs w:val="28"/>
        </w:rPr>
        <w:t>：</w:t>
      </w:r>
      <w:r>
        <w:rPr>
          <w:rFonts w:eastAsia="方正仿宋_GBK"/>
          <w:snapToGrid w:val="0"/>
          <w:sz w:val="28"/>
          <w:szCs w:val="28"/>
        </w:rPr>
        <w:t>支持</w:t>
      </w:r>
      <w:r>
        <w:rPr>
          <w:rFonts w:eastAsia="方正仿宋_GBK" w:hint="eastAsia"/>
          <w:snapToGrid w:val="0"/>
          <w:sz w:val="28"/>
          <w:szCs w:val="28"/>
        </w:rPr>
        <w:t>咨询人</w:t>
      </w:r>
      <w:r>
        <w:rPr>
          <w:rFonts w:eastAsia="方正仿宋_GBK"/>
          <w:snapToGrid w:val="0"/>
          <w:sz w:val="28"/>
          <w:szCs w:val="28"/>
        </w:rPr>
        <w:t>资料的导入、导出。</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hint="eastAsia"/>
          <w:snapToGrid w:val="0"/>
          <w:sz w:val="28"/>
          <w:szCs w:val="28"/>
        </w:rPr>
        <w:t>咨询人</w:t>
      </w:r>
      <w:r>
        <w:rPr>
          <w:rFonts w:eastAsia="方正仿宋_GBK"/>
          <w:snapToGrid w:val="0"/>
          <w:sz w:val="28"/>
          <w:szCs w:val="28"/>
        </w:rPr>
        <w:t>标签</w:t>
      </w:r>
      <w:r>
        <w:rPr>
          <w:rFonts w:eastAsia="方正仿宋_GBK" w:hint="eastAsia"/>
          <w:snapToGrid w:val="0"/>
          <w:sz w:val="28"/>
          <w:szCs w:val="28"/>
        </w:rPr>
        <w:t>：</w:t>
      </w:r>
      <w:r>
        <w:rPr>
          <w:rFonts w:eastAsia="方正仿宋_GBK"/>
          <w:snapToGrid w:val="0"/>
          <w:sz w:val="28"/>
          <w:szCs w:val="28"/>
        </w:rPr>
        <w:t>支对</w:t>
      </w:r>
      <w:r>
        <w:rPr>
          <w:rFonts w:eastAsia="方正仿宋_GBK" w:hint="eastAsia"/>
          <w:snapToGrid w:val="0"/>
          <w:sz w:val="28"/>
          <w:szCs w:val="28"/>
        </w:rPr>
        <w:t>咨询人</w:t>
      </w:r>
      <w:r>
        <w:rPr>
          <w:rFonts w:eastAsia="方正仿宋_GBK"/>
          <w:snapToGrid w:val="0"/>
          <w:sz w:val="28"/>
          <w:szCs w:val="28"/>
        </w:rPr>
        <w:t>进行打标，标签支持自定义设置。</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hint="eastAsia"/>
          <w:snapToGrid w:val="0"/>
          <w:sz w:val="28"/>
          <w:szCs w:val="28"/>
        </w:rPr>
        <w:t>咨询人</w:t>
      </w:r>
      <w:r>
        <w:rPr>
          <w:rFonts w:eastAsia="方正仿宋_GBK"/>
          <w:snapToGrid w:val="0"/>
          <w:sz w:val="28"/>
          <w:szCs w:val="28"/>
        </w:rPr>
        <w:t>转交</w:t>
      </w:r>
      <w:r>
        <w:rPr>
          <w:rFonts w:eastAsia="方正仿宋_GBK" w:hint="eastAsia"/>
          <w:snapToGrid w:val="0"/>
          <w:sz w:val="28"/>
          <w:szCs w:val="28"/>
        </w:rPr>
        <w:t>：</w:t>
      </w:r>
      <w:r>
        <w:rPr>
          <w:rFonts w:eastAsia="方正仿宋_GBK"/>
          <w:snapToGrid w:val="0"/>
          <w:sz w:val="28"/>
          <w:szCs w:val="28"/>
        </w:rPr>
        <w:t>可对自己负责的</w:t>
      </w:r>
      <w:r>
        <w:rPr>
          <w:rFonts w:eastAsia="方正仿宋_GBK" w:hint="eastAsia"/>
          <w:snapToGrid w:val="0"/>
          <w:sz w:val="28"/>
          <w:szCs w:val="28"/>
        </w:rPr>
        <w:t>咨询人</w:t>
      </w:r>
      <w:r>
        <w:rPr>
          <w:rFonts w:eastAsia="方正仿宋_GBK"/>
          <w:snapToGrid w:val="0"/>
          <w:sz w:val="28"/>
          <w:szCs w:val="28"/>
        </w:rPr>
        <w:t>进行转交给他人，保留</w:t>
      </w:r>
      <w:r>
        <w:rPr>
          <w:rFonts w:eastAsia="方正仿宋_GBK" w:hint="eastAsia"/>
          <w:snapToGrid w:val="0"/>
          <w:sz w:val="28"/>
          <w:szCs w:val="28"/>
        </w:rPr>
        <w:t>咨询人</w:t>
      </w:r>
      <w:r>
        <w:rPr>
          <w:rFonts w:eastAsia="方正仿宋_GBK"/>
          <w:snapToGrid w:val="0"/>
          <w:sz w:val="28"/>
          <w:szCs w:val="28"/>
        </w:rPr>
        <w:t>数据。</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字段配置</w:t>
      </w:r>
      <w:r>
        <w:rPr>
          <w:rFonts w:eastAsia="方正仿宋_GBK" w:hint="eastAsia"/>
          <w:snapToGrid w:val="0"/>
          <w:sz w:val="28"/>
          <w:szCs w:val="28"/>
        </w:rPr>
        <w:t>：</w:t>
      </w:r>
      <w:r>
        <w:rPr>
          <w:rFonts w:eastAsia="方正仿宋_GBK"/>
          <w:snapToGrid w:val="0"/>
          <w:sz w:val="28"/>
          <w:szCs w:val="28"/>
        </w:rPr>
        <w:t>支持</w:t>
      </w:r>
      <w:r>
        <w:rPr>
          <w:rFonts w:eastAsia="方正仿宋_GBK" w:hint="eastAsia"/>
          <w:snapToGrid w:val="0"/>
          <w:sz w:val="28"/>
          <w:szCs w:val="28"/>
        </w:rPr>
        <w:t>咨询人</w:t>
      </w:r>
      <w:r>
        <w:rPr>
          <w:rFonts w:eastAsia="方正仿宋_GBK"/>
          <w:snapToGrid w:val="0"/>
          <w:sz w:val="28"/>
          <w:szCs w:val="28"/>
        </w:rPr>
        <w:t>资料按业务类型自定义字段。</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号码隐藏</w:t>
      </w:r>
      <w:r>
        <w:rPr>
          <w:rFonts w:eastAsia="方正仿宋_GBK" w:hint="eastAsia"/>
          <w:snapToGrid w:val="0"/>
          <w:sz w:val="28"/>
          <w:szCs w:val="28"/>
        </w:rPr>
        <w:t>：</w:t>
      </w:r>
      <w:r>
        <w:rPr>
          <w:rFonts w:eastAsia="方正仿宋_GBK"/>
          <w:snapToGrid w:val="0"/>
          <w:sz w:val="28"/>
          <w:szCs w:val="28"/>
        </w:rPr>
        <w:t>对</w:t>
      </w:r>
      <w:r>
        <w:rPr>
          <w:rFonts w:eastAsia="方正仿宋_GBK" w:hint="eastAsia"/>
          <w:snapToGrid w:val="0"/>
          <w:sz w:val="28"/>
          <w:szCs w:val="28"/>
        </w:rPr>
        <w:t>咨询人</w:t>
      </w:r>
      <w:r>
        <w:rPr>
          <w:rFonts w:eastAsia="方正仿宋_GBK"/>
          <w:snapToGrid w:val="0"/>
          <w:sz w:val="28"/>
          <w:szCs w:val="28"/>
        </w:rPr>
        <w:t>资料隐藏，坐席看不全电话号码</w:t>
      </w:r>
      <w:r>
        <w:rPr>
          <w:rFonts w:eastAsia="方正仿宋_GBK" w:hint="eastAsia"/>
          <w:snapToGrid w:val="0"/>
          <w:sz w:val="28"/>
          <w:szCs w:val="28"/>
        </w:rPr>
        <w:t>。</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工单管理应用功能需求：</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根据咨询人来电，话务员记录生成工单，下派至相应部门，如不属于相应部门管理范围，可系统退单或协同其他部门共同处理。</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提供工单以及工作流模板定制，能够根据咨询人的需求定义每个字段，定义咨询人所需要的工单，工单流程自动配置，各部门内部可自行配置多种工单类型（如：投诉工单、请示工单等），每种类型的工单可自行配置工单流程（如：设置发起人/发起组、审核人/审核组、审批人/审批组等，可指定到人，也可指定到组），支持增减工单节点（如可增减审核人/审核组节点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角色管理应用功能需求：</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角色是指为满足某个工作角色而定义的一组权限集合，包括角色类型、标识、名称、描述及其权限列表等。</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系统支持给单个人员分配角色的功能，也可以按照组织结构中的某层的组织单元分配角色，实现功能权限的层级管理。角色赋予某层的组织单元时，隶属于该组织单元下的所有组织及个人都具有相同的角色，享有相同的功能权限。</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权限管理应用功能需求：</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权限是指一组特定系统操作权限和数据权限的集合，用以控制客服系统对所有功能模块、功能点访问、数据范围的控制；数据范围的控制如本级权限（部门、班组、咨询人代表）只能查询本级（部门、班组、咨询人代表）的信息，高级别权限能查询所有级别（部门、班组、咨询人代表）的信息。</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权限信息包括类型、代码、描述、修改人员等。支持权限的灵活组合，可把多种单独的权限相叠加，组成权限组合；权限设置必须由被授权的系统管理员完成。</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系统支持权限的增加、删除、修改、查询等操作。</w:t>
      </w:r>
    </w:p>
    <w:p>
      <w:pPr>
        <w:pStyle w:val="475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业务申请办理流程应用功能需求：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可完成用户开通，黑白名单审批等业务办理流程。</w:t>
      </w:r>
    </w:p>
    <w:p>
      <w:pPr>
        <w:pStyle w:val="47210"/>
        <w:widowControl/>
        <w:numPr>
          <w:ilvl w:val="0"/>
          <w:numId w:val="74"/>
        </w:numPr>
        <w:spacing w:line="400" w:lineRule="exact"/>
        <w:jc w:val="left"/>
        <w:textAlignment w:val="center"/>
        <w:rPr>
          <w:rFonts w:eastAsia="方正仿宋_GBK"/>
          <w:b/>
          <w:bCs/>
          <w:snapToGrid w:val="0"/>
          <w:color w:val="000000"/>
          <w:sz w:val="28"/>
          <w:szCs w:val="28"/>
        </w:rPr>
      </w:pPr>
      <w:r>
        <w:rPr>
          <w:rFonts w:eastAsia="方正仿宋_GBK"/>
          <w:b/>
          <w:bCs/>
          <w:snapToGrid w:val="0"/>
          <w:color w:val="000000"/>
          <w:sz w:val="28"/>
          <w:szCs w:val="28"/>
        </w:rPr>
        <w:t>报表应用功能需求：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呼叫综合报表应用功能需求：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呼叫综合报表是对呼入和呼出的全量数据进行统计。包含检索、刷新功能。可以定义到每个字段进行查询。可实现一次性解决率统计。</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地域分布统计应用功能需求：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呼入分布统计：可按照时间筛选，可按照省份、地市筛选，按照省份筛选，则列表为省份统计数据，按照地市筛选，则列表为地市数据。</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呼出分布统计可按照时间筛选，可按照省份、地市筛选，按照省份筛选，则列表为省份统计数据，按照地市筛选，则列表为地市数据。可按照按关区、一级类别等进行分别统计。</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技能组报表应用功能需求：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技能组维度对呼入数据进行统计展示。</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坐席状态明细应用功能需求：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坐席工号：输入坐席工号筛选，精确匹配；</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坐席姓名：坐席姓名关键字，模糊匹配；</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时间：选择查询的起始时间。</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坐席满意度报表应用功能需求：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坐席服务满意度评价统计表。</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通话记录应用功能需求：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呼入记录及呼出记录</w:t>
      </w:r>
      <w:r>
        <w:rPr>
          <w:rFonts w:eastAsia="方正仿宋_GBK" w:hint="eastAsia"/>
          <w:snapToGrid w:val="0"/>
          <w:sz w:val="28"/>
          <w:szCs w:val="28"/>
        </w:rPr>
        <w:t>。</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主叫号码：主叫号码查询；</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被叫号码：被叫号码查询；</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坐席：树状结构选择坐席，支持关键字查询；</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接通状态：已接通、未接通；</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呼叫结果：全部、咨询人放弃、坐席未接通、坐席久无应答、坐席接听、IVR、排队放弃、其他；</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技能组：筛选技能组下的坐席通话记录；</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呼叫类型：全部、呼入IVR、呼入人工服务；</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通话时长：通话时长的筛选，单位秒；</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振铃时长：振铃时长的筛选，单位秒；</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排队时长：在技能组下排队的时长，单位秒。</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坐席话务报表应用功能需求：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筛选时间范围内，坐席话务的汇总数据。</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坐席考勤表应用功能需求：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坐席签入、签出、示闲、示忙、整理等状态的时间时长统计。</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外呼任务统计表应用功能需求：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部门任务统计及坐席任务统计。</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受理单统计报表应用功能需求：</w:t>
      </w:r>
    </w:p>
    <w:p>
      <w:pPr>
        <w:pStyle w:val="47710"/>
        <w:spacing w:line="400" w:lineRule="exact"/>
        <w:ind w:firstLine="560" w:firstLineChars="200"/>
        <w:rPr>
          <w:rFonts w:eastAsia="方正仿宋_GBK"/>
          <w:snapToGrid w:val="0"/>
          <w:sz w:val="28"/>
          <w:szCs w:val="28"/>
        </w:rPr>
      </w:pPr>
      <w:r>
        <w:rPr>
          <w:rFonts w:eastAsia="方正仿宋_GBK" w:hint="eastAsia"/>
          <w:snapToGrid w:val="0"/>
          <w:sz w:val="28"/>
          <w:szCs w:val="28"/>
        </w:rPr>
        <w:t>部门任务统计及坐席任务统计。</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受理单数据查询需求：</w:t>
      </w:r>
    </w:p>
    <w:p>
      <w:pPr>
        <w:pStyle w:val="47810"/>
        <w:spacing w:line="400" w:lineRule="exact"/>
        <w:ind w:firstLine="560" w:firstLineChars="200"/>
        <w:rPr>
          <w:rFonts w:eastAsia="方正仿宋_GBK"/>
          <w:snapToGrid w:val="0"/>
          <w:sz w:val="28"/>
          <w:szCs w:val="28"/>
        </w:rPr>
      </w:pPr>
      <w:r>
        <w:rPr>
          <w:rFonts w:eastAsia="方正仿宋_GBK" w:cs="Arial" w:hint="eastAsia"/>
          <w:snapToGrid w:val="0"/>
          <w:sz w:val="28"/>
          <w:szCs w:val="28"/>
          <w:lang w:bidi="ar-SA"/>
        </w:rPr>
        <w:t>部门任务统计及坐席任务统计。</w:t>
      </w:r>
      <w:r>
        <w:rPr>
          <w:rFonts w:eastAsia="方正仿宋_GBK"/>
          <w:snapToGrid w:val="0"/>
          <w:sz w:val="28"/>
          <w:szCs w:val="28"/>
        </w:rPr>
        <w:t>支持根据时间、日期、来源、技能组、分类受理单、受理单处理时长统计数量、占比。按业务类别统计等。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工单统计报表应用功能需求：</w:t>
      </w:r>
    </w:p>
    <w:p>
      <w:pPr>
        <w:pStyle w:val="47610"/>
        <w:spacing w:line="400" w:lineRule="exact"/>
        <w:ind w:firstLine="560" w:firstLineChars="200"/>
        <w:rPr>
          <w:rFonts w:eastAsia="方正仿宋_GBK"/>
          <w:snapToGrid w:val="0"/>
          <w:sz w:val="28"/>
          <w:szCs w:val="28"/>
        </w:rPr>
      </w:pPr>
      <w:r>
        <w:rPr>
          <w:rFonts w:eastAsia="方正仿宋_GBK" w:cs="Arial" w:hint="eastAsia"/>
          <w:snapToGrid w:val="0"/>
          <w:sz w:val="28"/>
          <w:szCs w:val="28"/>
          <w:lang w:bidi="ar-SA"/>
        </w:rPr>
        <w:t>部门任务统计及坐席任务统计。</w:t>
      </w:r>
      <w:r>
        <w:rPr>
          <w:rFonts w:eastAsia="方正仿宋_GBK"/>
          <w:snapToGrid w:val="0"/>
          <w:sz w:val="28"/>
          <w:szCs w:val="28"/>
        </w:rPr>
        <w:t>包括：工单概况统计、成员工单统计、分类工单统计、工单处理时长统计；按工单处理部门统计；按业务类别统计；工单退单统计等。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问卷统计应用功能需求：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问卷统计分为概况统计，及统计详情。</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报表导出日志查询应用功能需求：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统计报表下的报表导出日志查询菜单，可以查询到报表的导出信息，并且支持下载已导出的数据文件。</w:t>
      </w:r>
    </w:p>
    <w:p>
      <w:pPr>
        <w:pStyle w:val="47610"/>
        <w:numPr>
          <w:ilvl w:val="0"/>
          <w:numId w:val="75"/>
        </w:numPr>
        <w:spacing w:line="400" w:lineRule="exact"/>
        <w:rPr>
          <w:rFonts w:eastAsia="方正仿宋_GBK"/>
          <w:b/>
          <w:bCs/>
          <w:snapToGrid w:val="0"/>
          <w:sz w:val="28"/>
          <w:szCs w:val="28"/>
        </w:rPr>
      </w:pPr>
      <w:r>
        <w:rPr>
          <w:rFonts w:eastAsia="方正仿宋_GBK"/>
          <w:b/>
          <w:bCs/>
          <w:snapToGrid w:val="0"/>
          <w:sz w:val="28"/>
          <w:szCs w:val="28"/>
        </w:rPr>
        <w:t>多</w:t>
      </w:r>
      <w:r>
        <w:rPr>
          <w:rFonts w:eastAsia="方正仿宋_GBK"/>
          <w:b/>
          <w:bCs/>
          <w:snapToGrid w:val="0"/>
          <w:color w:val="000000"/>
          <w:sz w:val="28"/>
          <w:szCs w:val="28"/>
        </w:rPr>
        <w:t>租户管理平台应用功能需求：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多租户管理平台包含：租户信息、租户系统、租户模块、租户授权、租户系统服务。</w:t>
      </w:r>
    </w:p>
    <w:p>
      <w:pPr>
        <w:pStyle w:val="47610"/>
        <w:numPr>
          <w:ilvl w:val="0"/>
          <w:numId w:val="76"/>
        </w:numPr>
        <w:spacing w:line="400" w:lineRule="exact"/>
        <w:rPr>
          <w:rFonts w:eastAsia="方正仿宋_GBK"/>
          <w:b/>
          <w:bCs/>
          <w:snapToGrid w:val="0"/>
          <w:sz w:val="28"/>
          <w:szCs w:val="28"/>
        </w:rPr>
      </w:pPr>
      <w:r>
        <w:rPr>
          <w:rFonts w:eastAsia="方正仿宋_GBK" w:hint="eastAsia"/>
          <w:b/>
          <w:bCs/>
          <w:snapToGrid w:val="0"/>
          <w:sz w:val="28"/>
          <w:szCs w:val="28"/>
        </w:rPr>
        <w:t>数据分析</w:t>
      </w:r>
      <w:r>
        <w:rPr>
          <w:rFonts w:eastAsia="方正仿宋_GBK"/>
          <w:b/>
          <w:bCs/>
          <w:snapToGrid w:val="0"/>
          <w:sz w:val="28"/>
          <w:szCs w:val="28"/>
        </w:rPr>
        <w:t>-</w:t>
      </w:r>
      <w:r>
        <w:rPr>
          <w:rFonts w:eastAsia="方正仿宋_GBK" w:hint="eastAsia"/>
          <w:b/>
          <w:bCs/>
          <w:snapToGrid w:val="0"/>
          <w:sz w:val="28"/>
          <w:szCs w:val="28"/>
        </w:rPr>
        <w:t>报表生成应用功能需求：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呼入数据报表应用功能需求：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日期、接入时间、呼入量、接入量、呼入接通率、本月接通率、上线人数。</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人工外呼数据报表：</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人工外呼业务数据报表：日期、人工外呼量、接通量、接通率、</w:t>
      </w:r>
      <w:r>
        <w:rPr>
          <w:rFonts w:eastAsia="方正仿宋_GBK" w:cs="Arial" w:hint="eastAsia"/>
          <w:snapToGrid w:val="0"/>
          <w:sz w:val="28"/>
          <w:szCs w:val="28"/>
          <w:lang w:bidi="ar-SA"/>
        </w:rPr>
        <w:t>属实量、无果量、不属实量</w:t>
      </w:r>
      <w:r>
        <w:rPr>
          <w:rFonts w:eastAsia="方正仿宋_GBK" w:hint="eastAsia"/>
          <w:snapToGrid w:val="0"/>
          <w:sz w:val="28"/>
          <w:szCs w:val="28"/>
        </w:rPr>
        <w:t>。</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外呼监控报表应用功能需求：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外呼监控报表：日期、回访任务量、回访完成量、完成率、接通量、接通率。</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坐席监控报表应用功能需求：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坐席监控报表：日期、坐席工号、工时利用率、话后整理时长、通话时长、坐席满意度、话务成绩、受理效率、多媒体</w:t>
      </w:r>
      <w:r>
        <w:rPr>
          <w:rFonts w:eastAsia="方正仿宋_GBK" w:cs="Arial" w:hint="eastAsia"/>
          <w:snapToGrid w:val="0"/>
          <w:sz w:val="28"/>
          <w:szCs w:val="28"/>
          <w:lang w:bidi="ar-SA"/>
        </w:rPr>
        <w:t>服务水平</w:t>
      </w:r>
      <w:r>
        <w:rPr>
          <w:rFonts w:eastAsia="方正仿宋_GBK"/>
          <w:snapToGrid w:val="0"/>
          <w:sz w:val="28"/>
          <w:szCs w:val="28"/>
        </w:rPr>
        <w:t>、示闲次数、示忙次数、示忙时长。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平均排队时长应用功能需求：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在坐席全忙时，</w:t>
      </w:r>
      <w:r>
        <w:rPr>
          <w:rFonts w:eastAsia="方正仿宋_GBK" w:hint="eastAsia"/>
          <w:snapToGrid w:val="0"/>
          <w:sz w:val="28"/>
          <w:szCs w:val="28"/>
        </w:rPr>
        <w:t>电话呼入、</w:t>
      </w:r>
      <w:r>
        <w:rPr>
          <w:rFonts w:eastAsia="方正仿宋_GBK" w:cs="Arial" w:hint="eastAsia"/>
          <w:snapToGrid w:val="0"/>
          <w:sz w:val="28"/>
          <w:szCs w:val="28"/>
          <w:lang w:bidi="ar-SA"/>
        </w:rPr>
        <w:t>多媒体</w:t>
      </w:r>
      <w:r>
        <w:rPr>
          <w:rFonts w:eastAsia="方正仿宋_GBK" w:hint="eastAsia"/>
          <w:snapToGrid w:val="0"/>
          <w:sz w:val="28"/>
          <w:szCs w:val="28"/>
        </w:rPr>
        <w:t>接入用户</w:t>
      </w:r>
      <w:r>
        <w:rPr>
          <w:rFonts w:eastAsia="方正仿宋_GBK"/>
          <w:snapToGrid w:val="0"/>
          <w:sz w:val="28"/>
          <w:szCs w:val="28"/>
        </w:rPr>
        <w:t>进行排队，系统能够统计排队的平均时长。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排队次数统计应用功能需求：</w:t>
      </w:r>
    </w:p>
    <w:p>
      <w:pPr>
        <w:pStyle w:val="47610"/>
        <w:spacing w:line="400" w:lineRule="exact"/>
        <w:ind w:firstLine="560" w:firstLineChars="200"/>
        <w:rPr>
          <w:rFonts w:eastAsia="方正仿宋_GBK"/>
          <w:snapToGrid w:val="0"/>
          <w:sz w:val="28"/>
          <w:szCs w:val="28"/>
        </w:rPr>
      </w:pPr>
      <w:r>
        <w:rPr>
          <w:rFonts w:eastAsia="方正仿宋_GBK" w:hint="eastAsia"/>
          <w:snapToGrid w:val="0"/>
          <w:sz w:val="28"/>
          <w:szCs w:val="28"/>
        </w:rPr>
        <w:t>咨询人</w:t>
      </w:r>
      <w:r>
        <w:rPr>
          <w:rFonts w:eastAsia="方正仿宋_GBK"/>
          <w:snapToGrid w:val="0"/>
          <w:sz w:val="28"/>
          <w:szCs w:val="28"/>
        </w:rPr>
        <w:t>通过</w:t>
      </w:r>
      <w:r>
        <w:rPr>
          <w:rFonts w:eastAsia="方正仿宋_GBK" w:hint="eastAsia"/>
          <w:snapToGrid w:val="0"/>
          <w:sz w:val="28"/>
          <w:szCs w:val="28"/>
        </w:rPr>
        <w:t>电话呼入、</w:t>
      </w:r>
      <w:r>
        <w:rPr>
          <w:rFonts w:eastAsia="方正仿宋_GBK"/>
          <w:snapToGrid w:val="0"/>
          <w:sz w:val="28"/>
          <w:szCs w:val="28"/>
        </w:rPr>
        <w:t>多媒体访问，坐席全忙时进行排队，报表展示排队次数。</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最长排队时间：</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在坐席全忙时，</w:t>
      </w:r>
      <w:r>
        <w:rPr>
          <w:rFonts w:eastAsia="方正仿宋_GBK" w:hint="eastAsia"/>
          <w:snapToGrid w:val="0"/>
          <w:sz w:val="28"/>
          <w:szCs w:val="28"/>
        </w:rPr>
        <w:t>电话呼入、</w:t>
      </w:r>
      <w:r>
        <w:rPr>
          <w:rFonts w:eastAsia="方正仿宋_GBK"/>
          <w:snapToGrid w:val="0"/>
          <w:sz w:val="28"/>
          <w:szCs w:val="28"/>
        </w:rPr>
        <w:t>多媒体</w:t>
      </w:r>
      <w:r>
        <w:rPr>
          <w:rFonts w:eastAsia="方正仿宋_GBK" w:hint="eastAsia"/>
          <w:snapToGrid w:val="0"/>
          <w:sz w:val="28"/>
          <w:szCs w:val="28"/>
        </w:rPr>
        <w:t>用户</w:t>
      </w:r>
      <w:r>
        <w:rPr>
          <w:rFonts w:eastAsia="方正仿宋_GBK"/>
          <w:snapToGrid w:val="0"/>
          <w:sz w:val="28"/>
          <w:szCs w:val="28"/>
        </w:rPr>
        <w:t>进行排队，系统能够统计最长排队时间。</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平均放弃时间应用功能需求：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由于排队时间过长或者其它原因，坐席主动放弃的平均时间。</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首次响应时间应用功能需求：</w:t>
      </w:r>
    </w:p>
    <w:p>
      <w:pPr>
        <w:pStyle w:val="47610"/>
        <w:spacing w:line="400" w:lineRule="exact"/>
        <w:ind w:firstLine="560" w:firstLineChars="200"/>
        <w:rPr>
          <w:rFonts w:eastAsia="方正仿宋_GBK"/>
          <w:snapToGrid w:val="0"/>
          <w:sz w:val="28"/>
          <w:szCs w:val="28"/>
        </w:rPr>
      </w:pPr>
      <w:r>
        <w:rPr>
          <w:rFonts w:eastAsia="方正仿宋_GBK" w:hint="eastAsia"/>
          <w:snapToGrid w:val="0"/>
          <w:sz w:val="28"/>
          <w:szCs w:val="28"/>
        </w:rPr>
        <w:t>用户</w:t>
      </w:r>
      <w:r>
        <w:rPr>
          <w:rFonts w:eastAsia="方正仿宋_GBK"/>
          <w:snapToGrid w:val="0"/>
          <w:sz w:val="28"/>
          <w:szCs w:val="28"/>
        </w:rPr>
        <w:t>第一次通过</w:t>
      </w:r>
      <w:r>
        <w:rPr>
          <w:rFonts w:eastAsia="方正仿宋_GBK" w:hint="eastAsia"/>
          <w:snapToGrid w:val="0"/>
          <w:sz w:val="28"/>
          <w:szCs w:val="28"/>
        </w:rPr>
        <w:t>电话呼入、</w:t>
      </w:r>
      <w:r>
        <w:rPr>
          <w:rFonts w:eastAsia="方正仿宋_GBK"/>
          <w:snapToGrid w:val="0"/>
          <w:sz w:val="28"/>
          <w:szCs w:val="28"/>
        </w:rPr>
        <w:t>多媒体访问，坐席平均响应时间。</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坐席处理时间应用功能需求：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在某时间段，坐席处理会话的总时长。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坐席平均处理时长应用功能需求：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每个坐席处理会话的平均时长。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坐席工作时间应用功能需求：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坐席登录后在某个时间段处理会话的总时长。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坐席非工作时间平均时长应用功能需求：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对一个坐席组，可以统计出坐席非工作时间平均时长。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坐席非工作时间应用功能需求：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坐席置忙、</w:t>
      </w:r>
      <w:r>
        <w:rPr>
          <w:rFonts w:eastAsia="方正仿宋_GBK" w:hint="eastAsia"/>
          <w:snapToGrid w:val="0"/>
          <w:sz w:val="28"/>
          <w:szCs w:val="28"/>
        </w:rPr>
        <w:t>休息</w:t>
      </w:r>
      <w:r>
        <w:rPr>
          <w:rFonts w:eastAsia="方正仿宋_GBK"/>
          <w:snapToGrid w:val="0"/>
          <w:sz w:val="28"/>
          <w:szCs w:val="28"/>
        </w:rPr>
        <w:t>等非工作时间总时长。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坐席组处理时间应用功能需求：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在某时间段，坐席组处理会话的总时长。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坐席组工作时间应用功能需求：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坐席组工作总时长。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坐席组非工作时间应用功能需求：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坐席组非工作总时长。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监控报表反查功能应用功能需求：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可对坐席产生的不满意数据、受理绩效、服务水平等内容，可反查到具体涉及的话务单。</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可根据实际工作需求，组合报表生成条件，按地区</w:t>
      </w:r>
      <w:r>
        <w:rPr>
          <w:rFonts w:eastAsia="方正仿宋_GBK" w:hint="eastAsia"/>
          <w:snapToGrid w:val="0"/>
          <w:sz w:val="28"/>
          <w:szCs w:val="28"/>
        </w:rPr>
        <w:t>、</w:t>
      </w:r>
      <w:r>
        <w:rPr>
          <w:rFonts w:eastAsia="方正仿宋_GBK"/>
          <w:snapToGrid w:val="0"/>
          <w:sz w:val="28"/>
          <w:szCs w:val="28"/>
        </w:rPr>
        <w:t>按时间</w:t>
      </w:r>
      <w:r>
        <w:rPr>
          <w:rFonts w:eastAsia="方正仿宋_GBK" w:hint="eastAsia"/>
          <w:snapToGrid w:val="0"/>
          <w:sz w:val="28"/>
          <w:szCs w:val="28"/>
        </w:rPr>
        <w:t>等条件</w:t>
      </w:r>
      <w:r>
        <w:rPr>
          <w:rFonts w:eastAsia="方正仿宋_GBK"/>
          <w:snapToGrid w:val="0"/>
          <w:sz w:val="28"/>
          <w:szCs w:val="28"/>
        </w:rPr>
        <w:t>生成个性化定制报表。</w:t>
      </w:r>
    </w:p>
    <w:p>
      <w:pPr>
        <w:pStyle w:val="47610"/>
        <w:numPr>
          <w:ilvl w:val="0"/>
          <w:numId w:val="77"/>
        </w:numPr>
        <w:spacing w:line="400" w:lineRule="exact"/>
        <w:rPr>
          <w:rFonts w:eastAsia="方正仿宋_GBK"/>
          <w:b/>
          <w:bCs/>
          <w:snapToGrid w:val="0"/>
          <w:sz w:val="28"/>
          <w:szCs w:val="28"/>
        </w:rPr>
      </w:pPr>
      <w:r>
        <w:rPr>
          <w:rFonts w:eastAsia="方正仿宋_GBK"/>
          <w:b/>
          <w:bCs/>
          <w:snapToGrid w:val="0"/>
          <w:sz w:val="28"/>
          <w:szCs w:val="28"/>
        </w:rPr>
        <w:t>数据分析-在线客服报表应用功能需求：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在线客服会话总览应用功能需求：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客服系统能够对在线客服会话情况进行系统总览统计，包括接入渠道，会话总数，根据时间段查询会话总数等。</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平均放弃时间应用功能需求：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由于排队时间过长或者其它原因，访客主动放弃的平均时间。</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首次响应时间应用功能需求：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访客第一次通过多媒体访问，坐席平均响应时间。</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坐席平均响应时间应用功能需求：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会话分配到坐席，坐席平均响应时间。</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会话时长分布报表：</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会话分配到坐席</w:t>
      </w:r>
      <w:r>
        <w:rPr>
          <w:rFonts w:eastAsia="方正仿宋_GBK" w:hint="eastAsia"/>
          <w:snapToGrid w:val="0"/>
          <w:sz w:val="28"/>
          <w:szCs w:val="28"/>
        </w:rPr>
        <w:t>每个时间段的会话时长分布</w:t>
      </w:r>
      <w:r>
        <w:rPr>
          <w:rFonts w:eastAsia="方正仿宋_GBK"/>
          <w:snapToGrid w:val="0"/>
          <w:sz w:val="28"/>
          <w:szCs w:val="28"/>
        </w:rPr>
        <w:t>。</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在线客服处理时间应用功能需求：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在某时间段，坐席处理会话的总时长。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在线客服平均处理时长应用功能需求：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每个坐席处理会话的平均时长。</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转人工分析应用功能需求：</w:t>
      </w:r>
    </w:p>
    <w:p>
      <w:pPr>
        <w:pStyle w:val="47110"/>
        <w:spacing w:line="400" w:lineRule="exact"/>
        <w:ind w:firstLine="560" w:firstLineChars="200"/>
        <w:rPr>
          <w:rFonts w:ascii="Times New Roman" w:eastAsia="方正仿宋_GBK" w:hAnsi="Times New Roman"/>
          <w:snapToGrid w:val="0"/>
          <w:sz w:val="28"/>
          <w:szCs w:val="28"/>
        </w:rPr>
      </w:pPr>
      <w:r>
        <w:rPr>
          <w:rFonts w:ascii="Times New Roman" w:eastAsia="方正仿宋_GBK" w:hAnsi="Times New Roman" w:cs="Times New Roman"/>
          <w:snapToGrid w:val="0"/>
          <w:sz w:val="28"/>
          <w:szCs w:val="28"/>
          <w:lang w:bidi="ar-SA"/>
        </w:rPr>
        <w:t>可对某一时间段内转人工的会话情况进行图表展示，并展示转人工情况明细</w:t>
      </w:r>
      <w:r>
        <w:rPr>
          <w:rFonts w:ascii="Times New Roman" w:eastAsia="方正仿宋_GBK" w:hAnsi="Times New Roman" w:cs="Times New Roman" w:hint="eastAsia"/>
          <w:snapToGrid w:val="0"/>
          <w:sz w:val="28"/>
          <w:szCs w:val="28"/>
          <w:lang w:bidi="ar-SA"/>
        </w:rPr>
        <w:t>。</w:t>
      </w:r>
    </w:p>
    <w:p>
      <w:pPr>
        <w:pStyle w:val="47610"/>
        <w:numPr>
          <w:ilvl w:val="0"/>
          <w:numId w:val="78"/>
        </w:numPr>
        <w:spacing w:line="400" w:lineRule="exact"/>
        <w:rPr>
          <w:rFonts w:eastAsia="方正仿宋_GBK"/>
          <w:b/>
          <w:bCs/>
          <w:snapToGrid w:val="0"/>
          <w:sz w:val="28"/>
          <w:szCs w:val="28"/>
        </w:rPr>
      </w:pPr>
      <w:r>
        <w:rPr>
          <w:rFonts w:eastAsia="方正仿宋_GBK"/>
          <w:b/>
          <w:bCs/>
          <w:snapToGrid w:val="0"/>
          <w:sz w:val="28"/>
          <w:szCs w:val="28"/>
        </w:rPr>
        <w:t>数据分析-数据分析可视化展示应用功能需求：</w:t>
      </w:r>
    </w:p>
    <w:p>
      <w:pPr>
        <w:pStyle w:val="47610"/>
        <w:spacing w:line="400" w:lineRule="exact"/>
        <w:ind w:firstLine="560" w:firstLineChars="200"/>
        <w:rPr>
          <w:rFonts w:eastAsia="方正仿宋_GBK"/>
          <w:snapToGrid w:val="0"/>
          <w:sz w:val="28"/>
          <w:szCs w:val="28"/>
        </w:rPr>
      </w:pPr>
      <w:r>
        <w:rPr>
          <w:rFonts w:eastAsia="方正仿宋_GBK"/>
          <w:snapToGrid w:val="0"/>
          <w:sz w:val="28"/>
          <w:szCs w:val="28"/>
        </w:rPr>
        <w:t>提供话务数据统计分析功能，可以通过数据可视化界面对统计指标进行呈现和展示，支持与AI大模型对接。</w:t>
      </w:r>
    </w:p>
    <w:p>
      <w:pPr>
        <w:pStyle w:val="47110"/>
        <w:numPr>
          <w:ilvl w:val="0"/>
          <w:numId w:val="79"/>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数据分析-大屏展示应用功能需求：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显示当前坐席登录数量以及坐席在线数量，支持坐席话务排行榜统计，支持坐席状态统计，包括：登录、空闲、</w:t>
      </w:r>
      <w:r>
        <w:rPr>
          <w:rFonts w:ascii="Times New Roman" w:eastAsia="方正仿宋_GBK" w:hAnsi="Times New Roman" w:cs="Times New Roman" w:hint="eastAsia"/>
          <w:snapToGrid w:val="0"/>
          <w:sz w:val="28"/>
          <w:szCs w:val="28"/>
          <w:lang w:bidi="ar-SA"/>
        </w:rPr>
        <w:t>休息</w:t>
      </w:r>
      <w:r>
        <w:rPr>
          <w:rFonts w:ascii="Times New Roman" w:eastAsia="方正仿宋_GBK" w:hAnsi="Times New Roman" w:cs="Times New Roman"/>
          <w:snapToGrid w:val="0"/>
          <w:sz w:val="28"/>
          <w:szCs w:val="28"/>
          <w:lang w:bidi="ar-SA"/>
        </w:rPr>
        <w:t>、置忙、通话、排队等，平均通话时长、平均振铃时长以及平均排队时长等，能够展示当日话务统计，包括话务呼入总数、排队数量、应答数量，支持现场管理等，查看每个坐席的状态。支持向直属海关分级展示。</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集</w:t>
      </w:r>
      <w:r>
        <w:rPr>
          <w:rFonts w:ascii="Times New Roman" w:eastAsia="方正仿宋_GBK" w:hAnsi="Times New Roman" w:cs="Times New Roman" w:hint="eastAsia"/>
          <w:snapToGrid w:val="0"/>
          <w:sz w:val="28"/>
          <w:szCs w:val="28"/>
          <w:lang w:bidi="ar-SA"/>
        </w:rPr>
        <w:t>中节</w:t>
      </w:r>
      <w:r>
        <w:rPr>
          <w:rFonts w:ascii="Times New Roman" w:eastAsia="方正仿宋_GBK" w:hAnsi="Times New Roman" w:cs="Times New Roman"/>
          <w:snapToGrid w:val="0"/>
          <w:sz w:val="28"/>
          <w:szCs w:val="28"/>
          <w:lang w:bidi="ar-SA"/>
        </w:rPr>
        <w:t>点可适配6K及6K以上分辨率屏幕设备；</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分节点可适配4K及4K以上分辨率屏幕设备。</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注：</w:t>
      </w:r>
    </w:p>
    <w:p>
      <w:pPr>
        <w:pStyle w:val="7111"/>
        <w:spacing w:line="400" w:lineRule="exact"/>
        <w:ind w:firstLine="560" w:firstLineChars="200"/>
        <w:rPr>
          <w:rFonts w:eastAsia="方正仿宋_GBK"/>
          <w:sz w:val="28"/>
          <w:szCs w:val="28"/>
        </w:rPr>
      </w:pPr>
      <w:r>
        <w:rPr>
          <w:rFonts w:ascii="Times New Roman" w:eastAsia="方正仿宋_GBK" w:hAnsi="Times New Roman"/>
          <w:sz w:val="28"/>
          <w:szCs w:val="28"/>
        </w:rPr>
        <w:t>1K分辨率‌：1K</w:t>
      </w:r>
      <w:r>
        <w:rPr>
          <w:rFonts w:ascii="Times New Roman" w:eastAsia="方正仿宋_GBK" w:hAnsi="Times New Roman" w:hint="eastAsia"/>
          <w:sz w:val="28"/>
          <w:szCs w:val="28"/>
        </w:rPr>
        <w:t>分辨率是指屏幕的水平像素数量达到</w:t>
      </w:r>
      <w:r>
        <w:rPr>
          <w:rFonts w:ascii="Times New Roman" w:eastAsia="方正仿宋_GBK" w:hAnsi="Times New Roman"/>
          <w:sz w:val="28"/>
          <w:szCs w:val="28"/>
        </w:rPr>
        <w:t>1024</w:t>
      </w:r>
      <w:r>
        <w:rPr>
          <w:rFonts w:ascii="Times New Roman" w:eastAsia="方正仿宋_GBK" w:hAnsi="Times New Roman" w:hint="eastAsia"/>
          <w:sz w:val="28"/>
          <w:szCs w:val="28"/>
        </w:rPr>
        <w:t>，即</w:t>
      </w:r>
      <w:r>
        <w:rPr>
          <w:rFonts w:ascii="Times New Roman" w:eastAsia="方正仿宋_GBK" w:hAnsi="Times New Roman"/>
          <w:sz w:val="28"/>
          <w:szCs w:val="28"/>
        </w:rPr>
        <w:t>1024x768</w:t>
      </w:r>
      <w:r>
        <w:rPr>
          <w:rFonts w:ascii="Times New Roman" w:eastAsia="方正仿宋_GBK" w:hAnsi="Times New Roman" w:hint="eastAsia"/>
          <w:sz w:val="28"/>
          <w:szCs w:val="28"/>
        </w:rPr>
        <w:t>或</w:t>
      </w:r>
      <w:r>
        <w:rPr>
          <w:rFonts w:ascii="Times New Roman" w:eastAsia="方正仿宋_GBK" w:hAnsi="Times New Roman"/>
          <w:sz w:val="28"/>
          <w:szCs w:val="28"/>
        </w:rPr>
        <w:t>1920x1080</w:t>
      </w:r>
      <w:r>
        <w:rPr>
          <w:rFonts w:ascii="Times New Roman" w:eastAsia="方正仿宋_GBK" w:hAnsi="Times New Roman" w:hint="eastAsia"/>
          <w:sz w:val="28"/>
          <w:szCs w:val="28"/>
        </w:rPr>
        <w:t>；</w:t>
      </w:r>
    </w:p>
    <w:p>
      <w:pPr>
        <w:pStyle w:val="7111"/>
        <w:spacing w:line="400" w:lineRule="exact"/>
        <w:ind w:firstLine="560" w:firstLineChars="200"/>
        <w:rPr>
          <w:rFonts w:eastAsia="方正仿宋_GBK"/>
          <w:sz w:val="28"/>
          <w:szCs w:val="28"/>
        </w:rPr>
      </w:pPr>
      <w:r>
        <w:rPr>
          <w:rFonts w:ascii="Times New Roman" w:eastAsia="方正仿宋_GBK" w:hAnsi="Times New Roman"/>
          <w:sz w:val="28"/>
          <w:szCs w:val="28"/>
        </w:rPr>
        <w:t>2K分辨率‌：2K分辨率是指屏幕的水平像素数量达到2048，即2560x1440；</w:t>
      </w:r>
    </w:p>
    <w:p>
      <w:pPr>
        <w:pStyle w:val="7111"/>
        <w:spacing w:line="400" w:lineRule="exact"/>
        <w:ind w:firstLine="560" w:firstLineChars="200"/>
        <w:rPr>
          <w:rFonts w:eastAsia="方正仿宋_GBK"/>
          <w:sz w:val="28"/>
          <w:szCs w:val="28"/>
        </w:rPr>
      </w:pPr>
      <w:r>
        <w:rPr>
          <w:rFonts w:ascii="Times New Roman" w:eastAsia="方正仿宋_GBK" w:hAnsi="Times New Roman"/>
          <w:sz w:val="28"/>
          <w:szCs w:val="28"/>
        </w:rPr>
        <w:t>4K分辨率‌：4K分辨率是指屏幕的水平像素数量达到4096，即3840x2160；</w:t>
      </w:r>
    </w:p>
    <w:p>
      <w:pPr>
        <w:pStyle w:val="7111"/>
        <w:spacing w:line="400" w:lineRule="exact"/>
        <w:ind w:firstLine="560" w:firstLineChars="200"/>
        <w:rPr>
          <w:rFonts w:eastAsia="方正仿宋_GBK"/>
          <w:sz w:val="28"/>
          <w:szCs w:val="28"/>
        </w:rPr>
      </w:pPr>
      <w:r>
        <w:rPr>
          <w:rFonts w:ascii="Times New Roman" w:eastAsia="方正仿宋_GBK" w:hAnsi="Times New Roman"/>
          <w:sz w:val="28"/>
          <w:szCs w:val="28"/>
        </w:rPr>
        <w:t>6K分辨率‌：6K分辨率是指屏幕的水平像素数量达到6144，即6016x3384；</w:t>
      </w:r>
    </w:p>
    <w:p>
      <w:pPr>
        <w:pStyle w:val="7111"/>
        <w:spacing w:line="400" w:lineRule="exact"/>
        <w:ind w:firstLine="560" w:firstLineChars="200"/>
        <w:rPr>
          <w:rFonts w:eastAsia="方正仿宋_GBK"/>
          <w:snapToGrid w:val="0"/>
          <w:sz w:val="28"/>
          <w:szCs w:val="28"/>
        </w:rPr>
      </w:pPr>
      <w:r>
        <w:rPr>
          <w:rFonts w:ascii="Times New Roman" w:eastAsia="方正仿宋_GBK" w:hAnsi="Times New Roman"/>
          <w:sz w:val="28"/>
          <w:szCs w:val="28"/>
        </w:rPr>
        <w:t>‌8K分辨率‌：8K分辨率是指屏幕的水平像素数量达到8192，即7680x4320。</w:t>
      </w:r>
    </w:p>
    <w:p>
      <w:pPr>
        <w:pStyle w:val="47110"/>
        <w:numPr>
          <w:ilvl w:val="0"/>
          <w:numId w:val="80"/>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数据分析-现场管理应用功能需求：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现场管理模块提供坐席班长实时监控班组人员坐席登录、置忙、通话等状态，监控分组排队状况。可以展示系统总的登录坐席数量、置忙数量、通话数量、空闲数量、</w:t>
      </w:r>
      <w:r>
        <w:rPr>
          <w:rFonts w:ascii="Times New Roman" w:eastAsia="方正仿宋_GBK" w:hAnsi="Times New Roman" w:cs="Times New Roman" w:hint="eastAsia"/>
          <w:snapToGrid w:val="0"/>
          <w:sz w:val="28"/>
          <w:szCs w:val="28"/>
          <w:lang w:bidi="ar-SA"/>
        </w:rPr>
        <w:t>休息</w:t>
      </w:r>
      <w:r>
        <w:rPr>
          <w:rFonts w:ascii="Times New Roman" w:eastAsia="方正仿宋_GBK" w:hAnsi="Times New Roman" w:cs="Times New Roman"/>
          <w:snapToGrid w:val="0"/>
          <w:sz w:val="28"/>
          <w:szCs w:val="28"/>
          <w:lang w:bidi="ar-SA"/>
        </w:rPr>
        <w:t>数量</w:t>
      </w:r>
      <w:r>
        <w:rPr>
          <w:rFonts w:ascii="Times New Roman" w:eastAsia="方正仿宋_GBK" w:hAnsi="Times New Roman" w:cs="Times New Roman" w:hint="eastAsia"/>
          <w:snapToGrid w:val="0"/>
          <w:sz w:val="28"/>
          <w:szCs w:val="28"/>
          <w:lang w:bidi="ar-SA"/>
        </w:rPr>
        <w:t>、话后处理数量</w:t>
      </w:r>
      <w:r>
        <w:rPr>
          <w:rFonts w:ascii="Times New Roman" w:eastAsia="方正仿宋_GBK" w:hAnsi="Times New Roman" w:cs="Times New Roman"/>
          <w:snapToGrid w:val="0"/>
          <w:sz w:val="28"/>
          <w:szCs w:val="28"/>
          <w:lang w:bidi="ar-SA"/>
        </w:rPr>
        <w:t>以及未登录数量。</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坐席状态显示区，能够显示每个坐席的状态，通过不同的颜色显示坐席的状态，同时能够显示坐席的工号和姓名，实时状态显示，例如：通话中、</w:t>
      </w:r>
      <w:r>
        <w:rPr>
          <w:rFonts w:ascii="Times New Roman" w:eastAsia="方正仿宋_GBK" w:hAnsi="Times New Roman" w:cs="Times New Roman" w:hint="eastAsia"/>
          <w:snapToGrid w:val="0"/>
          <w:sz w:val="28"/>
          <w:szCs w:val="28"/>
          <w:lang w:bidi="ar-SA"/>
        </w:rPr>
        <w:t>拨号</w:t>
      </w:r>
      <w:r>
        <w:rPr>
          <w:rFonts w:ascii="Times New Roman" w:eastAsia="方正仿宋_GBK" w:hAnsi="Times New Roman" w:cs="Times New Roman"/>
          <w:snapToGrid w:val="0"/>
          <w:sz w:val="28"/>
          <w:szCs w:val="28"/>
          <w:lang w:bidi="ar-SA"/>
        </w:rPr>
        <w:t>、空闲</w:t>
      </w:r>
      <w:r>
        <w:rPr>
          <w:rFonts w:ascii="Times New Roman" w:eastAsia="方正仿宋_GBK" w:hAnsi="Times New Roman" w:cs="Times New Roman" w:hint="eastAsia"/>
          <w:snapToGrid w:val="0"/>
          <w:sz w:val="28"/>
          <w:szCs w:val="28"/>
          <w:lang w:bidi="ar-SA"/>
        </w:rPr>
        <w:t>、话后处理</w:t>
      </w:r>
      <w:r>
        <w:rPr>
          <w:rFonts w:ascii="Times New Roman" w:eastAsia="方正仿宋_GBK" w:hAnsi="Times New Roman" w:cs="Times New Roman"/>
          <w:snapToGrid w:val="0"/>
          <w:sz w:val="28"/>
          <w:szCs w:val="28"/>
          <w:lang w:bidi="ar-SA"/>
        </w:rPr>
        <w:t>等。</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对坐席可进行示闲示忙等功能操作，可针对接通率监控，以图表形式呈现坐席工作状态并接受管理员操控。</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支持向直属单位分级展示。</w:t>
      </w:r>
    </w:p>
    <w:p>
      <w:pPr>
        <w:pStyle w:val="47110"/>
        <w:numPr>
          <w:ilvl w:val="0"/>
          <w:numId w:val="81"/>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知识库查询应用功能需求：</w:t>
      </w:r>
    </w:p>
    <w:p>
      <w:pPr>
        <w:pStyle w:val="47110"/>
        <w:numPr>
          <w:ilvl w:val="0"/>
          <w:numId w:val="68"/>
        </w:numPr>
        <w:spacing w:line="400" w:lineRule="exact"/>
        <w:ind w:left="0" w:firstLine="560" w:firstLineChars="200"/>
        <w:rPr>
          <w:rFonts w:ascii="Times New Roman" w:eastAsia="方正仿宋_GBK" w:hAnsi="Times New Roman" w:cs="Times New Roman"/>
          <w:bCs/>
          <w:snapToGrid w:val="0"/>
          <w:sz w:val="28"/>
          <w:szCs w:val="28"/>
        </w:rPr>
      </w:pPr>
      <w:r>
        <w:rPr>
          <w:rFonts w:ascii="Times New Roman" w:eastAsia="方正仿宋_GBK" w:hAnsi="Times New Roman" w:cs="Times New Roman" w:hint="eastAsia"/>
          <w:bCs/>
          <w:snapToGrid w:val="0"/>
          <w:sz w:val="28"/>
          <w:szCs w:val="28"/>
          <w:lang w:bidi="ar-SA"/>
        </w:rPr>
        <w:t>知识库查询应用功能需求：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实现知识条目的数据搜索查询，</w:t>
      </w:r>
      <w:r>
        <w:rPr>
          <w:rFonts w:ascii="Times New Roman" w:eastAsia="方正仿宋_GBK" w:hAnsi="Times New Roman" w:cs="Times New Roman" w:hint="eastAsia"/>
          <w:snapToGrid w:val="0"/>
          <w:sz w:val="28"/>
          <w:szCs w:val="28"/>
          <w:lang w:bidi="ar-SA"/>
        </w:rPr>
        <w:t>简单搜索</w:t>
      </w:r>
      <w:r>
        <w:rPr>
          <w:rFonts w:ascii="Times New Roman" w:eastAsia="方正仿宋_GBK" w:hAnsi="Times New Roman" w:cs="Times New Roman"/>
          <w:snapToGrid w:val="0"/>
          <w:sz w:val="28"/>
          <w:szCs w:val="28"/>
          <w:lang w:bidi="ar-SA"/>
        </w:rPr>
        <w:t>只需要输入关键字，就可以将在主题、关键字等信息中出现过相关信息的文档、表格、PPT、word、PDF中迅速搜索出来，可实现知识条目多关键字查询及模糊搜索。此功能可以灵活的查询每个知识库，填写想要查询的关键字，选择目标题库和查询范围，即可罗列出与关键字相关的文档，并且查询到的知识条目可按照相关程度和时间顺序排序。</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高级搜索可通过问题描述关键字、答复内容关键字、发布时间、</w:t>
      </w:r>
      <w:r>
        <w:rPr>
          <w:rFonts w:ascii="Times New Roman" w:eastAsia="方正仿宋_GBK" w:hAnsi="Times New Roman" w:cs="Times New Roman"/>
          <w:snapToGrid w:val="0"/>
          <w:sz w:val="28"/>
          <w:szCs w:val="28"/>
          <w:lang w:bidi="ar-SA"/>
        </w:rPr>
        <w:t>修改时间、</w:t>
      </w:r>
      <w:r>
        <w:rPr>
          <w:rFonts w:ascii="Times New Roman" w:eastAsia="方正仿宋_GBK" w:hAnsi="Times New Roman" w:cs="Times New Roman" w:hint="eastAsia"/>
          <w:snapToGrid w:val="0"/>
          <w:sz w:val="28"/>
          <w:szCs w:val="28"/>
          <w:lang w:bidi="ar-SA"/>
        </w:rPr>
        <w:t>业务类别、发布关区、知识状态等部分或全部条件进行检索。</w:t>
      </w:r>
      <w:r>
        <w:rPr>
          <w:rFonts w:ascii="Times New Roman" w:eastAsia="方正仿宋_GBK" w:hAnsi="Times New Roman" w:cs="Times New Roman"/>
          <w:snapToGrid w:val="0"/>
          <w:sz w:val="28"/>
          <w:szCs w:val="28"/>
          <w:lang w:bidi="ar-SA"/>
        </w:rPr>
        <w:t>全文检索应用功能需求：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按文章标题，摘要和内容进行检索，检索信息在文章新增和维护时保存在检索文件中，快速的全文检索是基于文件的搜索，搜索结果按匹配度从高到低排序，匹配度最高的结果记录排在最前面一条。</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关键字检索应用功能需求：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根据关键字内容进行检索，匹配相关关键字进行检索</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热点排行查询应用功能需求：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可后台统计分析知识库查询热点业务类型或内容，通过知识库热点排行查询可以掌握知识库访问情况。</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支持按照点击量排名相关的文章。</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知识提醒应用功能需求：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在登录知识库时，对新的知识点可进行弹屏提醒，后台可统计已阅读帐号。</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收藏夹应用功能需求：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支持个人帐号对知识点的收藏，可以将常用的文档加入到收藏夹中，在知识库浏览的主页中快捷浏览收藏夹内的文档。</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支持对坐席对重点知识进行收藏学习。</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知识反馈应用功能需求：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当查询不到所需知识条目时，可通过该功能将具体信息反馈至知识库管理员。</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最新知识查询应用功能需求：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按照最新上传的知识进行排序展示。</w:t>
      </w:r>
    </w:p>
    <w:p>
      <w:pPr>
        <w:pStyle w:val="47110"/>
        <w:numPr>
          <w:ilvl w:val="0"/>
          <w:numId w:val="83"/>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知识库管理应用功能需求：</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目录维护应用功能需求：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可对知识条目的受理渠道、一级（二级、三级）类别进行新增、修改、禁用、删除等管理操作，并做查阅权限的设置，允许不同帐号查阅不同的信息内容。</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资料维护应用功能需求：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包括知识条目建立、审核、发布、修改、禁用、导入、导出等，不同的人具有不同的知识库权限。支持文件、文档、知识点等批量导入或者导出功能。</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支持文档、表格、PDF、视频等格式资料上传和检索；可以直接浏览带图片、表格和各种字体的文档正文，也可以</w:t>
      </w:r>
      <w:r>
        <w:rPr>
          <w:rFonts w:ascii="Times New Roman" w:eastAsia="方正仿宋_GBK" w:hAnsi="Times New Roman" w:cs="Times New Roman" w:hint="eastAsia"/>
          <w:snapToGrid w:val="0"/>
          <w:sz w:val="28"/>
          <w:szCs w:val="28"/>
          <w:lang w:bidi="ar-SA"/>
        </w:rPr>
        <w:t>直接浏览</w:t>
      </w:r>
      <w:r>
        <w:rPr>
          <w:rFonts w:ascii="Times New Roman" w:eastAsia="方正仿宋_GBK" w:hAnsi="Times New Roman" w:cs="Times New Roman"/>
          <w:snapToGrid w:val="0"/>
          <w:sz w:val="28"/>
          <w:szCs w:val="28"/>
          <w:lang w:bidi="ar-SA"/>
        </w:rPr>
        <w:t>pdf、word、excel、ppt等格式文件</w:t>
      </w:r>
      <w:r>
        <w:rPr>
          <w:rFonts w:ascii="Times New Roman" w:eastAsia="方正仿宋_GBK" w:hAnsi="Times New Roman" w:cs="Times New Roman" w:hint="eastAsia"/>
          <w:snapToGrid w:val="0"/>
          <w:sz w:val="28"/>
          <w:szCs w:val="28"/>
          <w:lang w:bidi="ar-SA"/>
        </w:rPr>
        <w:t>作为</w:t>
      </w:r>
      <w:r>
        <w:rPr>
          <w:rFonts w:ascii="Times New Roman" w:eastAsia="方正仿宋_GBK" w:hAnsi="Times New Roman" w:cs="Times New Roman"/>
          <w:snapToGrid w:val="0"/>
          <w:sz w:val="28"/>
          <w:szCs w:val="28"/>
          <w:lang w:bidi="ar-SA"/>
        </w:rPr>
        <w:t>附件的文档。</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具有</w:t>
      </w:r>
      <w:r>
        <w:rPr>
          <w:rFonts w:ascii="Times New Roman" w:eastAsia="方正仿宋_GBK" w:hAnsi="Times New Roman" w:cs="Times New Roman" w:hint="eastAsia"/>
          <w:snapToGrid w:val="0"/>
          <w:sz w:val="28"/>
          <w:szCs w:val="28"/>
          <w:lang w:bidi="ar-SA"/>
        </w:rPr>
        <w:t>相应</w:t>
      </w:r>
      <w:r>
        <w:rPr>
          <w:rFonts w:ascii="Times New Roman" w:eastAsia="方正仿宋_GBK" w:hAnsi="Times New Roman" w:cs="Times New Roman"/>
          <w:snapToGrid w:val="0"/>
          <w:sz w:val="28"/>
          <w:szCs w:val="28"/>
          <w:lang w:bidi="ar-SA"/>
        </w:rPr>
        <w:t>知识库权限的人员才能</w:t>
      </w:r>
      <w:r>
        <w:rPr>
          <w:rFonts w:ascii="Times New Roman" w:eastAsia="方正仿宋_GBK" w:hAnsi="Times New Roman" w:cs="Times New Roman" w:hint="eastAsia"/>
          <w:snapToGrid w:val="0"/>
          <w:sz w:val="28"/>
          <w:szCs w:val="28"/>
          <w:lang w:bidi="ar-SA"/>
        </w:rPr>
        <w:t>维护</w:t>
      </w:r>
      <w:r>
        <w:rPr>
          <w:rFonts w:ascii="Times New Roman" w:eastAsia="方正仿宋_GBK" w:hAnsi="Times New Roman" w:cs="Times New Roman"/>
          <w:snapToGrid w:val="0"/>
          <w:sz w:val="28"/>
          <w:szCs w:val="28"/>
          <w:lang w:bidi="ar-SA"/>
        </w:rPr>
        <w:t>知识库。</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创建模板包含项目名称、标题、创建者、创建时间、内容</w:t>
      </w:r>
      <w:r>
        <w:rPr>
          <w:rFonts w:ascii="Times New Roman" w:eastAsia="方正仿宋_GBK" w:hAnsi="Times New Roman" w:cs="Times New Roman" w:hint="eastAsia"/>
          <w:snapToGrid w:val="0"/>
          <w:sz w:val="28"/>
          <w:szCs w:val="28"/>
          <w:lang w:bidi="ar-SA"/>
        </w:rPr>
        <w:t>、</w:t>
      </w:r>
      <w:r>
        <w:rPr>
          <w:rFonts w:ascii="Times New Roman" w:eastAsia="方正仿宋_GBK" w:hAnsi="Times New Roman" w:cs="Times New Roman"/>
          <w:snapToGrid w:val="0"/>
          <w:sz w:val="28"/>
          <w:szCs w:val="28"/>
          <w:lang w:bidi="ar-SA"/>
        </w:rPr>
        <w:t>类型。其中内容可以导入或上传图片、录音，包括扩展问题或相似问题，类型包含培训材料和业务知识，并可预览内容。</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支持知识库的增删改操作。</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暂存文档维护应用功能需求：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在知识没有发布之前，知识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处于知识库暂存状态，等待知识库审核和发布。暂存文档包括文档名称、文档编号、文档类型、文档审核状态、文档提交日期等。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审核应用功能需求：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知识</w:t>
      </w:r>
      <w:r>
        <w:rPr>
          <w:rFonts w:ascii="Times New Roman" w:eastAsia="方正仿宋_GBK" w:hAnsi="Times New Roman" w:cs="Times New Roman" w:hint="eastAsia"/>
          <w:snapToGrid w:val="0"/>
          <w:sz w:val="28"/>
          <w:szCs w:val="28"/>
          <w:lang w:bidi="ar-SA"/>
        </w:rPr>
        <w:t>条目的生效</w:t>
      </w:r>
      <w:r>
        <w:rPr>
          <w:rFonts w:ascii="Times New Roman" w:eastAsia="方正仿宋_GBK" w:hAnsi="Times New Roman" w:cs="Times New Roman"/>
          <w:snapToGrid w:val="0"/>
          <w:sz w:val="28"/>
          <w:szCs w:val="28"/>
          <w:lang w:bidi="ar-SA"/>
        </w:rPr>
        <w:t>，按照预先设定的流程进行，包括知识库审核，具有权限的管理人员才有权限审核知识库，知识库的审核有知识库审核通过和知识库审核未通过；可自定义知识库审核流程。</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对于未通过审核的知识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，返回提交人进行重新提交知识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或者取消提交知识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审核未通过应用功能需求：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对于未通过审核的知识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，返回提交人进行重新提交知识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或者取消提交知识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回收站应用功能需求：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对于已经删除的知识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，要存在废件箱，在废件箱可以查询知识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，并且可以重新恢复知识</w:t>
      </w:r>
      <w:r>
        <w:rPr>
          <w:rFonts w:ascii="Times New Roman" w:eastAsia="方正仿宋_GBK" w:hAnsi="Times New Roman" w:cs="Times New Roman" w:hint="eastAsia"/>
          <w:snapToGrid w:val="0"/>
          <w:sz w:val="28"/>
          <w:szCs w:val="28"/>
          <w:lang w:bidi="ar-SA"/>
        </w:rPr>
        <w:t>条目</w:t>
      </w:r>
      <w:r>
        <w:rPr>
          <w:rFonts w:ascii="Times New Roman" w:eastAsia="方正仿宋_GBK" w:hAnsi="Times New Roman" w:cs="Times New Roman"/>
          <w:snapToGrid w:val="0"/>
          <w:sz w:val="28"/>
          <w:szCs w:val="28"/>
          <w:lang w:bidi="ar-SA"/>
        </w:rPr>
        <w:t>内容。</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文件管理应用功能需求：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可对文件、公告、操作手册类知识条目进行导入、管理等操作。</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标签管理应用功能需求：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对已设定的知识条目标签进行统一管理，使热线坐席搜索知识条目更加准确。</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收藏夹管理应用功能需求：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可以将常用的文档加入到收藏夹中，在知识库浏览的主页中快捷浏览收藏夹内的文档，在收藏夹中增加知识点和删除知识点。</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有效期管理应用功能需求：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可设定知识条目的有效期，到期后知识条目自动禁用。</w:t>
      </w:r>
    </w:p>
    <w:p>
      <w:pPr>
        <w:pStyle w:val="47110"/>
        <w:numPr>
          <w:ilvl w:val="0"/>
          <w:numId w:val="84"/>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知识库数据分析应用功能需求：</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数据统计应用功能需求：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能够对知识访问量进行统计设置，包括</w:t>
      </w:r>
      <w:r>
        <w:rPr>
          <w:rFonts w:ascii="Times New Roman" w:eastAsia="方正仿宋_GBK" w:hAnsi="Times New Roman" w:cs="Times New Roman" w:hint="eastAsia"/>
          <w:snapToGrid w:val="0"/>
          <w:sz w:val="28"/>
          <w:szCs w:val="28"/>
          <w:lang w:bidi="ar-SA"/>
        </w:rPr>
        <w:t>知识类别、</w:t>
      </w:r>
      <w:r>
        <w:rPr>
          <w:rFonts w:ascii="Times New Roman" w:eastAsia="方正仿宋_GBK" w:hAnsi="Times New Roman" w:cs="Times New Roman"/>
          <w:snapToGrid w:val="0"/>
          <w:sz w:val="28"/>
          <w:szCs w:val="28"/>
          <w:lang w:bidi="ar-SA"/>
        </w:rPr>
        <w:t>访问量的时段、访问量、调用频次的排序等；</w:t>
      </w:r>
    </w:p>
    <w:p>
      <w:pPr>
        <w:pStyle w:val="479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能够对知识增删改的操作情况进行统计设置，包括知识操作时间、知识条数、所属业务类别等。</w:t>
      </w:r>
    </w:p>
    <w:p>
      <w:pPr>
        <w:pStyle w:val="47110"/>
        <w:numPr>
          <w:ilvl w:val="0"/>
          <w:numId w:val="85"/>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知识库其他应用功能需求：</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知识库对接：</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可与现有海关知识库平台实现对接，可实现对海关知识库的调用，并随第三方知识库的调整对系统内有知识库的有效性进行联动调整。</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新知识库学习提醒应用功能需求：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知识库更新后，自动提醒热线坐席及其他用户及时学习知识条目。</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内容多样化应用功能需求：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知识库支持常用的office、图片等内容。</w:t>
      </w:r>
    </w:p>
    <w:p>
      <w:pPr>
        <w:pStyle w:val="47110"/>
        <w:numPr>
          <w:ilvl w:val="0"/>
          <w:numId w:val="86"/>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语音留言咨询-语音留言设置应用功能需求 ：</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自动转语音留言应用功能需求：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根据热线整体话务量，重点是话务集中时段，出现较长时间排队等候，可能造成过量呼损的情况下，设定一个触发自动语音留言模式的阀值，如某时段来电等候数量超过该阀值，则接听程中，自动转入语音留言咨询模式。</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人工转语音留言应用功能需求：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通过人工设置转接语音留言，实现留言信箱功能。</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在话务空闲时，系统可弹出语音留言提示，热线坐席可通过留言列表主动跟进，并进行回复。</w:t>
      </w:r>
    </w:p>
    <w:p>
      <w:pPr>
        <w:pStyle w:val="47110"/>
        <w:numPr>
          <w:ilvl w:val="0"/>
          <w:numId w:val="87"/>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考试管理应用功能需求：</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题库管理：</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管理人员可以对题目进行增加，包括：题目类型、题目难度、题目业务类别、题目标准答案、题目干扰答案、题目创办人和创办时间等；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题目增加：</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考试管理模块可以灵活增加考试内容，适应各种类型的考试题目，包括：单项选择题、多项选择题、填空题、判断题、简答题等；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难度等级：</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考试模块能够将不同的考试题目进行归类，方便对不同技能、不同层次的座席人员进行考试，考试管理可以对考题进行分类，考题的等级可以分为：困难、较难、一般、容易、较容易等；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业务类别：</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根据不同的业务对考题进行分类，方便座席人员能够对提高相应的业务技能，提高服务质量，例如：行邮监管、关税征管、企业管理、咨询投诉类等；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批量导入：</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对于大批量的考试题目，可以进行批量导入，根据批量导入模板导入考试题目，导入的内容包括考题难度、考题类型、考题业务类别、考题答案、考题干扰答案，对于未成功导入的列项有提醒功能。</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新增试卷模板：</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通过新增若干份不同随机试卷模板，可以实现一次考试中通过一套模板生成若干份不同的随机试卷。试卷在考试时系统自动生成，并且每位考生的试卷均不相同，通过模板进行试卷增加、删除管理。通过权限设定，只有有考卷管理权限的人员才能够进行试卷模板的修改。</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随机试卷：</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通过新增多份相同随机试卷模板，可以实现一次考试中通过一套模板生成一份或多份相同的试卷。试卷在考试前系统自动生成，每份试卷可以单独修改。通过权限设定，只有有考卷管理权限的人员才能够进行试卷模板的修改。</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专项试卷：</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用户通过题库选择题目方式生成专项试卷模板。试卷在考试前人工手动生成，所有考生考同一份试卷。通过权限设定，只有有考卷管理权限的人员才能够进行试卷模板的修改。</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试卷预览：</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选择当前试卷模板中已生成的试卷。可以选择的情景：1）试卷模板类型为新增多份随机试卷模板和新增专项试卷模板的试卷可以进行预览。2）试卷模板类型为新增若干份不同随机试卷模板且考试项目状态为已考试的试卷可以进行预览。</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评分管理：</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管理人员可查询或导出每批次考试试卷详情及成绩汇总。考生可查询本人考试试卷详情及成绩。</w:t>
      </w:r>
    </w:p>
    <w:p>
      <w:pPr>
        <w:pStyle w:val="47110"/>
        <w:numPr>
          <w:ilvl w:val="0"/>
          <w:numId w:val="88"/>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考试管理—培训管理应用功能需求：</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培训管理应用功能需求：</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培训管理系统为话务员工提供学习平台，包括学员的学习情况、老师的培训情况以及培训课程管理等信息，通过线上和线下学习以及在线考试系统的集成，实现培训的电子化管理和监督。功能需求如下：      培训计划功能：</w:t>
      </w:r>
    </w:p>
    <w:p>
      <w:pPr>
        <w:pStyle w:val="47110"/>
        <w:spacing w:line="400" w:lineRule="exact"/>
        <w:ind w:left="425"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培训计划包含新增培训计划以及培训计划统计，新增培训计划可以定义培训计划名称、培训课程名称、培训地点、培训时长、培训时间、培训方式（线上或者线下）、讲师姓名、培训课程以及培训积分等。</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根据培训开始时间、结束时间以及培训课程名称查询培训明细，包括培训计划、培训状态、培训课程、培训老师、培训方式以及培训创建日期等。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讲师培训统计功能：</w:t>
      </w:r>
    </w:p>
    <w:p>
      <w:pPr>
        <w:pStyle w:val="47110"/>
        <w:spacing w:line="400" w:lineRule="exact"/>
        <w:ind w:left="425"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对培训讲师培训进行统计，包括培训工号、培训老师姓名、课程大类、开始时间、结束时间等。培训老师统计支持Excel表导出以及图表展示等。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学员培训统计功能：</w:t>
      </w:r>
    </w:p>
    <w:p>
      <w:pPr>
        <w:pStyle w:val="47110"/>
        <w:spacing w:line="400" w:lineRule="exact"/>
        <w:ind w:left="425"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学员培训统计可以统计到每个学员，包括学员工号、姓名、课程名称、课程大类、培训时长等，课程状态包扩，培训中、未培训、已完成等，培训统计可以导出Excel表，也可以导出图形界面。</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需求反馈功能：</w:t>
      </w:r>
    </w:p>
    <w:p>
      <w:pPr>
        <w:pStyle w:val="47110"/>
        <w:spacing w:line="400" w:lineRule="exact"/>
        <w:ind w:left="425"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学员参加培训后可以根据自己的培训体验以及自己的知识要求，对培训老师进行反馈，需要增加新的培训，反馈内容包括学员工号、姓名、课程大类、反馈日期以及需求说明等。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需求管理功能：</w:t>
      </w:r>
    </w:p>
    <w:p>
      <w:pPr>
        <w:pStyle w:val="47110"/>
        <w:spacing w:line="400" w:lineRule="exact"/>
        <w:ind w:left="425"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培训老师以及管理人员可以根据学员反馈的内容进行甄别，是通过还是驳回。管理人员能够对所有的需求进行统计，包括工号、姓名、创建日期以及操作。</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个人培训管理功能：</w:t>
      </w:r>
    </w:p>
    <w:p>
      <w:pPr>
        <w:pStyle w:val="47110"/>
        <w:spacing w:line="400" w:lineRule="exact"/>
        <w:ind w:left="425"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snapToGrid w:val="0"/>
          <w:sz w:val="28"/>
          <w:szCs w:val="28"/>
          <w:lang w:bidi="ar-SA"/>
        </w:rPr>
        <w:t>每个学员可以查看自己的培训课程，包括课程编号、计划名称、课程状态、课程名称、培训方式、签到、积分情况、培训结束时间以及课程评价等。</w:t>
      </w:r>
    </w:p>
    <w:p>
      <w:pPr>
        <w:pStyle w:val="47110"/>
        <w:spacing w:line="400" w:lineRule="exact"/>
        <w:ind w:firstLine="560" w:firstLineChars="200"/>
        <w:rPr>
          <w:rFonts w:ascii="Times New Roman" w:eastAsia="方正仿宋_GBK" w:hAnsi="Times New Roman" w:cs="Times New Roman"/>
          <w:snapToGrid w:val="0"/>
          <w:sz w:val="28"/>
          <w:szCs w:val="28"/>
        </w:rPr>
      </w:pPr>
    </w:p>
    <w:p>
      <w:pPr>
        <w:pStyle w:val="47110"/>
        <w:numPr>
          <w:ilvl w:val="0"/>
          <w:numId w:val="89"/>
        </w:numPr>
        <w:spacing w:line="400" w:lineRule="exact"/>
        <w:rPr>
          <w:rFonts w:ascii="Times New Roman" w:eastAsia="方正仿宋_GBK" w:hAnsi="Times New Roman" w:cs="Times New Roman"/>
          <w:b/>
          <w:bCs/>
          <w:snapToGrid w:val="0"/>
          <w:sz w:val="28"/>
          <w:szCs w:val="28"/>
        </w:rPr>
      </w:pPr>
      <w:r>
        <w:rPr>
          <w:rFonts w:ascii="Times New Roman" w:eastAsia="方正仿宋_GBK" w:hAnsi="Times New Roman" w:cs="Times New Roman"/>
          <w:b/>
          <w:bCs/>
          <w:snapToGrid w:val="0"/>
          <w:sz w:val="28"/>
          <w:szCs w:val="28"/>
          <w:lang w:bidi="ar-SA"/>
        </w:rPr>
        <w:t>排班管理应用功能需求：</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排班系统模块：</w:t>
      </w:r>
    </w:p>
    <w:p>
      <w:pPr>
        <w:pStyle w:val="47110"/>
        <w:spacing w:line="400" w:lineRule="exact"/>
        <w:ind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设置座席的排班信息，支持多种排班信息的展现方式，使坐席班长和管理员直观的了解每天值班人员情况。</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权限管理：班长席和坐席有不同的权限，班长席能够查看可安排所有坐席的排班情况，而坐席只能查看自己的排班情况。</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排班导出：系统排班情况，能够导出到Excel表。</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轨迹记录：所有排班信息操作都有轨迹记录，包括排班人员、排班时间、修改排班时间、修改内容等。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班次定义：排班人员能够对班次进行设定，包括白班、夜班、周末班等，能够灵活增加、减少、调整班次。</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排班安排：排班系统能够选择日期、时间段进行排班，包括设置行政排班、正常工作日、周末排班、倒班等。</w:t>
      </w:r>
    </w:p>
    <w:p>
      <w:pPr>
        <w:pStyle w:val="47110"/>
        <w:numPr>
          <w:ilvl w:val="0"/>
          <w:numId w:val="82"/>
        </w:numPr>
        <w:spacing w:line="400" w:lineRule="exact"/>
        <w:ind w:left="0" w:firstLine="560" w:firstLineChars="200"/>
        <w:rPr>
          <w:rFonts w:ascii="Times New Roman" w:eastAsia="方正仿宋_GBK" w:hAnsi="Times New Roman" w:cs="Times New Roman"/>
          <w:snapToGrid w:val="0"/>
          <w:sz w:val="28"/>
          <w:szCs w:val="28"/>
        </w:rPr>
      </w:pPr>
      <w:r>
        <w:rPr>
          <w:rFonts w:ascii="Times New Roman" w:eastAsia="方正仿宋_GBK" w:hAnsi="Times New Roman" w:cs="Times New Roman" w:hint="eastAsia"/>
          <w:snapToGrid w:val="0"/>
          <w:sz w:val="28"/>
          <w:szCs w:val="28"/>
          <w:lang w:bidi="ar-SA"/>
        </w:rPr>
        <w:t>排班修改：班长席能够修改排班内容，增加、减少或者调整相关班次的坐席值班人员，或者行政排班人员。</w:t>
      </w:r>
    </w:p>
    <w:p>
      <w:pPr>
        <w:pStyle w:val="47110"/>
        <w:spacing w:line="400" w:lineRule="exact"/>
        <w:ind w:firstLine="560" w:firstLineChars="200"/>
        <w:rPr>
          <w:rFonts w:ascii="Times New Roman" w:eastAsia="方正仿宋_GBK" w:hAnsi="Times New Roman" w:cs="Times New Roman"/>
          <w:snapToGrid w:val="0"/>
          <w:sz w:val="28"/>
          <w:szCs w:val="28"/>
        </w:rPr>
      </w:pPr>
    </w:p>
    <w:p>
      <w:pPr>
        <w:pStyle w:val="48010"/>
        <w:widowControl/>
        <w:spacing w:line="400" w:lineRule="exact"/>
        <w:ind w:firstLine="560" w:firstLineChars="200"/>
        <w:jc w:val="left"/>
        <w:textAlignment w:val="center"/>
        <w:rPr>
          <w:rFonts w:eastAsia="方正仿宋_GBK" w:cs="微软雅黑"/>
          <w:b/>
          <w:bCs/>
          <w:sz w:val="28"/>
          <w:szCs w:val="28"/>
        </w:rPr>
      </w:pPr>
      <w:r>
        <w:rPr>
          <w:rFonts w:eastAsia="方正仿宋_GBK" w:cs="微软雅黑" w:hint="eastAsia"/>
          <w:snapToGrid w:val="0"/>
          <w:sz w:val="28"/>
          <w:szCs w:val="28"/>
          <w:lang w:bidi="ar-SA"/>
        </w:rPr>
        <w:t>证明材料要求：</w:t>
      </w:r>
      <w:r>
        <w:rPr>
          <w:rFonts w:ascii="Times New Roman" w:eastAsia="方正仿宋_GBK" w:hAnsi="Times New Roman" w:cs="Times New Roman"/>
          <w:sz w:val="28"/>
          <w:szCs w:val="28"/>
          <w:lang w:bidi="ar-SA"/>
        </w:rPr>
        <w:t>投标人提供确认函，并加盖投标人和产品制造商 公章。</w:t>
      </w:r>
    </w:p>
    <w:p>
      <w:pPr>
        <w:spacing w:line="400" w:lineRule="exact"/>
        <w:ind w:firstLine="560" w:firstLineChars="200"/>
        <w:outlineLvl w:val="4"/>
        <w:rPr>
          <w:rFonts w:eastAsia="方正仿宋_GBK" w:cs="微软雅黑"/>
          <w:b/>
          <w:bCs/>
          <w:sz w:val="28"/>
          <w:szCs w:val="28"/>
        </w:rPr>
      </w:pPr>
      <w:r>
        <w:rPr>
          <w:rFonts w:ascii="Times New Roman" w:eastAsia="方正仿宋_GBK" w:hAnsi="Times New Roman" w:cs="微软雅黑" w:hint="eastAsia"/>
          <w:b/>
          <w:bCs/>
          <w:sz w:val="28"/>
          <w:szCs w:val="28"/>
          <w:lang w:bidi="ar-SA"/>
        </w:rPr>
        <w:t>4.主要配置</w:t>
      </w:r>
    </w:p>
    <w:p>
      <w:pPr>
        <w:spacing w:line="400" w:lineRule="exact"/>
        <w:ind w:firstLine="560" w:firstLineChars="200"/>
        <w:rPr>
          <w:rFonts w:eastAsia="方正仿宋_GBK"/>
          <w:snapToGrid w:val="0"/>
          <w:sz w:val="28"/>
          <w:szCs w:val="28"/>
        </w:rPr>
      </w:pPr>
      <w:r>
        <w:rPr>
          <w:rFonts w:ascii="Times New Roman" w:eastAsia="宋体" w:hAnsi="Times New Roman" w:cs="宋体" w:hint="eastAsia"/>
          <w:snapToGrid w:val="0"/>
          <w:sz w:val="28"/>
          <w:szCs w:val="28"/>
          <w:lang w:bidi="ar-SA"/>
        </w:rPr>
        <w:t>★</w:t>
      </w:r>
      <w:r>
        <w:rPr>
          <w:rFonts w:ascii="Times New Roman" w:eastAsia="方正仿宋_GBK" w:hAnsi="Times New Roman" w:cs="Times New Roman"/>
          <w:snapToGrid w:val="0"/>
          <w:sz w:val="28"/>
          <w:szCs w:val="28"/>
          <w:lang w:bidi="ar-SA"/>
        </w:rPr>
        <w:t>4.1</w:t>
        <w:tab/>
        <w:t>产品配置</w:t>
        <w:tab/>
      </w:r>
    </w:p>
    <w:p>
      <w:pPr>
        <w:numPr>
          <w:ilvl w:val="0"/>
          <w:numId w:val="68"/>
        </w:numPr>
        <w:spacing w:line="400" w:lineRule="exact"/>
        <w:ind w:left="0" w:firstLine="560" w:firstLineChars="200"/>
        <w:rPr>
          <w:rFonts w:eastAsia="方正仿宋_GBK"/>
          <w:snapToGrid w:val="0"/>
          <w:sz w:val="28"/>
          <w:szCs w:val="28"/>
        </w:rPr>
      </w:pPr>
      <w:r>
        <w:rPr>
          <w:rFonts w:ascii="Times New Roman" w:eastAsia="方正仿宋_GBK" w:hAnsi="Times New Roman" w:cs="Times New Roman"/>
          <w:snapToGrid w:val="0"/>
          <w:sz w:val="28"/>
          <w:szCs w:val="28"/>
          <w:lang w:bidi="ar-SA"/>
        </w:rPr>
        <w:t>热线综合服务平台满足可签入语音坐席许可：大于等于600席；</w:t>
      </w:r>
    </w:p>
    <w:p>
      <w:pPr>
        <w:numPr>
          <w:ilvl w:val="0"/>
          <w:numId w:val="68"/>
        </w:numPr>
        <w:spacing w:line="400" w:lineRule="exact"/>
        <w:ind w:left="0" w:firstLine="560" w:firstLineChars="200"/>
        <w:rPr>
          <w:rFonts w:eastAsia="方正仿宋_GBK"/>
          <w:snapToGrid w:val="0"/>
          <w:sz w:val="28"/>
          <w:szCs w:val="28"/>
        </w:rPr>
      </w:pPr>
      <w:r>
        <w:rPr>
          <w:rFonts w:ascii="Times New Roman" w:eastAsia="方正仿宋_GBK" w:hAnsi="Times New Roman" w:cs="Times New Roman"/>
          <w:snapToGrid w:val="0"/>
          <w:sz w:val="28"/>
          <w:szCs w:val="28"/>
          <w:lang w:bidi="ar-SA"/>
        </w:rPr>
        <w:t>热线综合服务平台满足语音坐席通话受理单弹窗并发许可：大于等于</w:t>
      </w:r>
      <w:r>
        <w:rPr>
          <w:rFonts w:ascii="Times New Roman" w:eastAsia="方正仿宋_GBK" w:hAnsi="Times New Roman" w:cs="Times New Roman" w:hint="eastAsia"/>
          <w:snapToGrid w:val="0"/>
          <w:sz w:val="28"/>
          <w:szCs w:val="28"/>
          <w:lang w:bidi="ar-SA"/>
        </w:rPr>
        <w:t>6</w:t>
      </w:r>
      <w:r>
        <w:rPr>
          <w:rFonts w:ascii="Times New Roman" w:eastAsia="方正仿宋_GBK" w:hAnsi="Times New Roman" w:cs="Times New Roman"/>
          <w:snapToGrid w:val="0"/>
          <w:sz w:val="28"/>
          <w:szCs w:val="28"/>
          <w:lang w:bidi="ar-SA"/>
        </w:rPr>
        <w:t>00席；</w:t>
      </w:r>
    </w:p>
    <w:p>
      <w:pPr>
        <w:numPr>
          <w:ilvl w:val="0"/>
          <w:numId w:val="68"/>
        </w:numPr>
        <w:spacing w:line="400" w:lineRule="exact"/>
        <w:ind w:left="0" w:firstLine="560" w:firstLineChars="200"/>
        <w:rPr>
          <w:rFonts w:eastAsia="方正仿宋_GBK"/>
          <w:snapToGrid w:val="0"/>
          <w:sz w:val="28"/>
          <w:szCs w:val="28"/>
        </w:rPr>
      </w:pPr>
      <w:r>
        <w:rPr>
          <w:rFonts w:ascii="Times New Roman" w:eastAsia="方正仿宋_GBK" w:hAnsi="Times New Roman" w:cs="Times New Roman"/>
          <w:snapToGrid w:val="0"/>
          <w:sz w:val="28"/>
          <w:szCs w:val="28"/>
          <w:lang w:bidi="ar-SA"/>
        </w:rPr>
        <w:t>热线综合服务平台满足5G视频坐席受理窗口并发许可：大于等于15席；</w:t>
      </w:r>
    </w:p>
    <w:p>
      <w:pPr>
        <w:numPr>
          <w:ilvl w:val="0"/>
          <w:numId w:val="68"/>
        </w:numPr>
        <w:spacing w:line="400" w:lineRule="exact"/>
        <w:ind w:left="0" w:firstLine="560" w:firstLineChars="200"/>
        <w:rPr>
          <w:rFonts w:eastAsia="方正仿宋_GBK"/>
          <w:snapToGrid w:val="0"/>
          <w:sz w:val="28"/>
          <w:szCs w:val="28"/>
        </w:rPr>
      </w:pPr>
      <w:r>
        <w:rPr>
          <w:rFonts w:ascii="Times New Roman" w:eastAsia="方正仿宋_GBK" w:hAnsi="Times New Roman" w:cs="Times New Roman"/>
          <w:snapToGrid w:val="0"/>
          <w:sz w:val="28"/>
          <w:szCs w:val="28"/>
          <w:lang w:bidi="ar-SA"/>
        </w:rPr>
        <w:t>热线综合服务平台满足互联网文本坐席受理单并发：大于等于300席；</w:t>
      </w:r>
    </w:p>
    <w:p>
      <w:pPr>
        <w:numPr>
          <w:ilvl w:val="0"/>
          <w:numId w:val="68"/>
        </w:numPr>
        <w:spacing w:line="400" w:lineRule="exact"/>
        <w:ind w:left="0" w:firstLine="560" w:firstLineChars="200"/>
        <w:rPr>
          <w:rFonts w:eastAsia="方正仿宋_GBK"/>
          <w:snapToGrid w:val="0"/>
          <w:sz w:val="28"/>
          <w:szCs w:val="28"/>
        </w:rPr>
      </w:pPr>
      <w:r>
        <w:rPr>
          <w:rFonts w:ascii="Times New Roman" w:eastAsia="方正仿宋_GBK" w:hAnsi="Times New Roman" w:cs="Times New Roman"/>
          <w:snapToGrid w:val="0"/>
          <w:sz w:val="28"/>
          <w:szCs w:val="28"/>
          <w:lang w:bidi="ar-SA"/>
        </w:rPr>
        <w:t>热线综合服务平台满足互联网视频通话受理单并发：大于等于100席；</w:t>
      </w:r>
    </w:p>
    <w:p>
      <w:pPr>
        <w:numPr>
          <w:ilvl w:val="0"/>
          <w:numId w:val="68"/>
        </w:numPr>
        <w:spacing w:line="400" w:lineRule="exact"/>
        <w:ind w:left="0" w:firstLine="560" w:firstLineChars="200"/>
        <w:rPr>
          <w:rFonts w:eastAsia="方正仿宋_GBK"/>
          <w:snapToGrid w:val="0"/>
          <w:sz w:val="28"/>
          <w:szCs w:val="28"/>
        </w:rPr>
      </w:pPr>
      <w:r>
        <w:rPr>
          <w:rFonts w:ascii="Times New Roman" w:eastAsia="方正仿宋_GBK" w:hAnsi="Times New Roman" w:cs="Times New Roman"/>
          <w:snapToGrid w:val="0"/>
          <w:sz w:val="28"/>
          <w:szCs w:val="28"/>
          <w:lang w:bidi="ar-SA"/>
        </w:rPr>
        <w:t>包含生产环境（双活部署，北京、广东两地）、开发环境、测试环境共四套环境；</w:t>
      </w:r>
    </w:p>
    <w:p>
      <w:pPr>
        <w:numPr>
          <w:ilvl w:val="0"/>
          <w:numId w:val="68"/>
        </w:numPr>
        <w:spacing w:line="400" w:lineRule="exact"/>
        <w:ind w:left="0" w:firstLine="560" w:firstLineChars="200"/>
        <w:rPr>
          <w:rFonts w:eastAsia="方正仿宋_GBK"/>
          <w:snapToGrid w:val="0"/>
          <w:sz w:val="28"/>
          <w:szCs w:val="28"/>
        </w:rPr>
      </w:pPr>
      <w:r>
        <w:rPr>
          <w:rFonts w:ascii="Times New Roman" w:eastAsia="方正仿宋_GBK" w:hAnsi="Times New Roman" w:cs="Times New Roman"/>
          <w:snapToGrid w:val="0"/>
          <w:sz w:val="28"/>
          <w:szCs w:val="28"/>
          <w:lang w:bidi="ar-SA"/>
        </w:rPr>
        <w:t>包含多租户功能，产品配置满足至少85个租户使用。</w:t>
      </w:r>
    </w:p>
    <w:p>
      <w:pPr>
        <w:spacing w:line="400" w:lineRule="exact"/>
        <w:ind w:firstLine="560" w:firstLineChars="200"/>
      </w:pPr>
      <w:r>
        <w:rPr>
          <w:rFonts w:ascii="Times New Roman" w:eastAsia="方正仿宋_GBK" w:hAnsi="Times New Roman" w:cs="Times New Roman"/>
          <w:bCs/>
          <w:snapToGrid w:val="0"/>
          <w:sz w:val="28"/>
          <w:szCs w:val="28"/>
          <w:lang w:bidi="ar-SA"/>
        </w:rPr>
        <w:t>证明材料要求：投标人提供承诺函，并加盖</w:t>
      </w:r>
      <w:r>
        <w:rPr>
          <w:rFonts w:ascii="Times New Roman" w:eastAsia="方正仿宋_GBK" w:hAnsi="Times New Roman" w:cs="Times New Roman"/>
          <w:sz w:val="28"/>
          <w:szCs w:val="28"/>
          <w:lang w:bidi="ar-SA"/>
        </w:rPr>
        <w:t>投标人</w:t>
      </w:r>
      <w:r>
        <w:rPr>
          <w:rFonts w:ascii="Times New Roman" w:eastAsia="方正仿宋_GBK" w:hAnsi="Times New Roman" w:cs="Times New Roman"/>
          <w:bCs/>
          <w:snapToGrid w:val="0"/>
          <w:sz w:val="28"/>
          <w:szCs w:val="28"/>
          <w:lang w:bidi="ar-SA"/>
        </w:rPr>
        <w:t>公章。</w:t>
      </w:r>
    </w:p>
    <w:p>
      <w:pPr>
        <w:pStyle w:val="List2"/>
        <w:spacing w:line="400" w:lineRule="exact"/>
        <w:ind w:left="420" w:firstLine="420" w:firstLineChars="200"/>
        <w:rPr>
          <w:rFonts w:ascii="Times New Roman" w:hAnsi="Times New Roman"/>
        </w:rPr>
      </w:pPr>
    </w:p>
    <w:p>
      <w:pPr>
        <w:spacing w:line="400" w:lineRule="exact"/>
        <w:ind w:firstLine="640" w:firstLineChars="200"/>
        <w:outlineLvl w:val="1"/>
        <w:rPr>
          <w:rFonts w:eastAsia="方正黑体_GBK" w:cs="微软雅黑"/>
          <w:b/>
          <w:bCs/>
          <w:snapToGrid w:val="0"/>
          <w:sz w:val="32"/>
          <w:szCs w:val="32"/>
        </w:rPr>
      </w:pPr>
      <w:bookmarkStart w:id="54" w:name="_Toc184079752"/>
      <w:bookmarkStart w:id="55" w:name="_Toc38253625"/>
      <w:r>
        <w:rPr>
          <w:rFonts w:ascii="Times New Roman" w:eastAsia="方正黑体_GBK" w:hAnsi="Times New Roman" w:cs="微软雅黑" w:hint="eastAsia"/>
          <w:b/>
          <w:bCs/>
          <w:snapToGrid w:val="0"/>
          <w:sz w:val="32"/>
          <w:szCs w:val="32"/>
          <w:lang w:bidi="ar-SA"/>
        </w:rPr>
        <w:t>★四、交货期</w:t>
      </w:r>
      <w:bookmarkEnd w:id="54"/>
      <w:bookmarkEnd w:id="55"/>
    </w:p>
    <w:p>
      <w:pPr>
        <w:pStyle w:val="21810"/>
        <w:spacing w:line="400" w:lineRule="exact"/>
        <w:ind w:firstLine="560" w:firstLineChars="200"/>
        <w:jc w:val="left"/>
        <w:rPr>
          <w:rFonts w:eastAsia="方正仿宋_GBK"/>
          <w:snapToGrid w:val="0"/>
          <w:sz w:val="28"/>
          <w:szCs w:val="28"/>
          <w:lang w:val="zh-CN" w:bidi="en-US"/>
        </w:rPr>
      </w:pPr>
      <w:r>
        <w:rPr>
          <w:rFonts w:ascii="Times New Roman" w:eastAsia="方正仿宋_GBK" w:hAnsi="Times New Roman"/>
          <w:sz w:val="28"/>
          <w:szCs w:val="28"/>
        </w:rPr>
        <w:t>合同签订后30自然日内，投标人根据采购人提供的交货地址交货。</w:t>
      </w:r>
    </w:p>
    <w:p>
      <w:pPr>
        <w:spacing w:line="400" w:lineRule="exact"/>
        <w:ind w:firstLine="640" w:firstLineChars="200"/>
        <w:outlineLvl w:val="1"/>
        <w:rPr>
          <w:rFonts w:eastAsia="方正黑体_GBK" w:cs="微软雅黑"/>
          <w:b/>
          <w:bCs/>
          <w:snapToGrid w:val="0"/>
          <w:sz w:val="32"/>
          <w:szCs w:val="32"/>
        </w:rPr>
      </w:pPr>
      <w:bookmarkStart w:id="56" w:name="_Toc38253626"/>
      <w:r>
        <w:rPr>
          <w:rFonts w:ascii="Times New Roman" w:eastAsia="方正黑体_GBK" w:hAnsi="Times New Roman" w:cs="微软雅黑" w:hint="eastAsia"/>
          <w:b/>
          <w:bCs/>
          <w:snapToGrid w:val="0"/>
          <w:sz w:val="32"/>
          <w:szCs w:val="32"/>
          <w:lang w:bidi="ar-SA"/>
        </w:rPr>
        <w:t>★五、交货地点</w:t>
      </w:r>
      <w:bookmarkEnd w:id="56"/>
    </w:p>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lang w:val="zh-CN" w:eastAsia="zh-CN" w:bidi="en-US"/>
        </w:rPr>
        <w:t>交付和实施地点为采购人指定场所，具体地址详见</w:t>
      </w:r>
      <w:r>
        <w:rPr>
          <w:rFonts w:eastAsia="方正仿宋_GBK" w:hint="eastAsia"/>
          <w:snapToGrid w:val="0"/>
          <w:sz w:val="28"/>
          <w:szCs w:val="28"/>
        </w:rPr>
        <w:t>全国海关</w:t>
      </w:r>
      <w:r>
        <w:rPr>
          <w:rFonts w:eastAsia="方正仿宋_GBK"/>
          <w:snapToGrid w:val="0"/>
          <w:sz w:val="28"/>
          <w:szCs w:val="28"/>
        </w:rPr>
        <w:t>交货及实施</w:t>
      </w:r>
      <w:r>
        <w:rPr>
          <w:rFonts w:eastAsia="方正仿宋_GBK" w:hint="eastAsia"/>
          <w:snapToGrid w:val="0"/>
          <w:sz w:val="28"/>
          <w:szCs w:val="28"/>
        </w:rPr>
        <w:t>地址</w:t>
      </w:r>
      <w:r>
        <w:rPr>
          <w:rFonts w:eastAsia="方正仿宋_GBK"/>
          <w:snapToGrid w:val="0"/>
          <w:sz w:val="28"/>
          <w:szCs w:val="28"/>
          <w:lang w:val="zh-CN" w:eastAsia="zh-CN" w:bidi="en-US"/>
        </w:rPr>
        <w:t>，具体如下：</w:t>
      </w:r>
    </w:p>
    <w:p>
      <w:pPr>
        <w:pStyle w:val="3710"/>
        <w:spacing w:line="400" w:lineRule="exact"/>
        <w:ind w:left="482"/>
        <w:rPr>
          <w:rFonts w:ascii="宋体" w:hint="eastAsia"/>
        </w:rPr>
      </w:pPr>
    </w:p>
    <w:tbl>
      <w:tblPr>
        <w:jc w:val="lef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blGrid>
        <w:gridCol w:w="2946"/>
        <w:gridCol w:w="5151"/>
      </w:tblGrid>
      <w:tr>
        <w:tblPrEx>
          <w:jc w:val="lef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Ex>
        <w:trPr>
          <w:trHeight w:val="269"/>
          <w:tblHeader/>
          <w:jc w:val="left"/>
        </w:trPr>
        <w:tc>
          <w:tcPr>
            <w:tcW w:w="2946" w:type="dxa"/>
            <w:shd w:val="clear" w:color="auto" w:fill="A5A5A5"/>
            <w:noWrap/>
            <w:vAlign w:val="center"/>
          </w:tcPr>
          <w:p>
            <w:pPr>
              <w:pStyle w:val="3710"/>
              <w:spacing w:line="400" w:lineRule="exact"/>
              <w:jc w:val="center"/>
              <w:rPr>
                <w:rFonts w:ascii="方正仿宋_GBK" w:eastAsia="方正仿宋_GBK" w:cs="Arial" w:hint="eastAsia"/>
                <w:b/>
                <w:color w:val="000000"/>
              </w:rPr>
            </w:pPr>
            <w:r>
              <w:rPr>
                <w:rFonts w:ascii="方正仿宋_GBK" w:eastAsia="方正仿宋_GBK" w:hint="eastAsia"/>
                <w:b/>
                <w:color w:val="000000"/>
              </w:rPr>
              <w:t>单位名称</w:t>
            </w:r>
          </w:p>
        </w:tc>
        <w:tc>
          <w:tcPr>
            <w:tcW w:w="5151" w:type="dxa"/>
            <w:shd w:val="clear" w:color="auto" w:fill="A5A5A5"/>
            <w:noWrap/>
            <w:vAlign w:val="center"/>
          </w:tcPr>
          <w:p>
            <w:pPr>
              <w:pStyle w:val="3710"/>
              <w:spacing w:line="400" w:lineRule="exact"/>
              <w:jc w:val="center"/>
              <w:rPr>
                <w:rFonts w:ascii="方正仿宋_GBK" w:eastAsia="方正仿宋_GBK" w:cs="Arial" w:hint="eastAsia"/>
                <w:b/>
                <w:color w:val="000000"/>
              </w:rPr>
            </w:pPr>
            <w:r>
              <w:rPr>
                <w:rFonts w:ascii="方正仿宋_GBK" w:eastAsia="方正仿宋_GBK" w:hint="eastAsia"/>
                <w:b/>
                <w:color w:val="000000"/>
              </w:rPr>
              <w:t>地址</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北京海关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北京市朝阳区光华路甲10号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天津海关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天津河东区六纬路2号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石家庄海关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河北省石家庄市新华区和平西路318号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太原海关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山西省太原市学府街112号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呼和浩特海关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内蒙古自治区呼和浩特市如意开发区如意和大街37号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满洲里海关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内蒙古自治区满洲里市东五道街75号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大连海关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辽宁省大连市中山区长江东路60号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沈阳海关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辽宁省沈阳市浑南新区浑南三路16号</w:t>
            </w:r>
          </w:p>
        </w:tc>
      </w:tr>
      <w:tr>
        <w:tblPrEx>
          <w:jc w:val="left"/>
          <w:tblInd w:w="108" w:type="dxa"/>
          <w:tblCellMar>
            <w:top w:w="0" w:type="dxa"/>
            <w:left w:w="108" w:type="dxa"/>
            <w:bottom w:w="0" w:type="dxa"/>
            <w:right w:w="108" w:type="dxa"/>
          </w:tblCellMar>
        </w:tblPrEx>
        <w:trPr>
          <w:trHeight w:val="284"/>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长春海关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吉林省长春市自由大路4448号（长春海关）</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哈尔滨海关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黑龙江省哈尔滨市嵩山路88号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上海海关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上海市中山东一路13号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南京海关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江苏省南京市中华路99号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杭州海关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浙江省杭州市黄龙路7号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宁波海关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浙江省宁波市马园路89号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合肥海关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安徽省合肥市经济技术开发区翡翠路5301号</w:t>
            </w:r>
          </w:p>
        </w:tc>
      </w:tr>
      <w:tr>
        <w:tblPrEx>
          <w:jc w:val="left"/>
          <w:tblInd w:w="108" w:type="dxa"/>
          <w:tblCellMar>
            <w:top w:w="0" w:type="dxa"/>
            <w:left w:w="108" w:type="dxa"/>
            <w:bottom w:w="0" w:type="dxa"/>
            <w:right w:w="108" w:type="dxa"/>
          </w:tblCellMar>
        </w:tblPrEx>
        <w:trPr>
          <w:trHeight w:val="284"/>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福州海关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福建省福州市江滨东大道76号福州海关办公室16楼</w:t>
            </w:r>
          </w:p>
        </w:tc>
      </w:tr>
      <w:tr>
        <w:tblPrEx>
          <w:jc w:val="left"/>
          <w:tblInd w:w="108" w:type="dxa"/>
          <w:tblCellMar>
            <w:top w:w="0" w:type="dxa"/>
            <w:left w:w="108" w:type="dxa"/>
            <w:bottom w:w="0" w:type="dxa"/>
            <w:right w:w="108" w:type="dxa"/>
          </w:tblCellMar>
        </w:tblPrEx>
        <w:trPr>
          <w:trHeight w:val="284"/>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厦门海关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福建省厦门市思明区鹭江道269号2楼政务信息化科</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南昌海关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江西省南昌市沿江中大道100号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青岛海关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山东省青岛市市南区中山路2号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济南海关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山东省济南市英雄山路288号</w:t>
            </w:r>
          </w:p>
        </w:tc>
      </w:tr>
      <w:tr>
        <w:tblPrEx>
          <w:jc w:val="left"/>
          <w:tblInd w:w="108" w:type="dxa"/>
          <w:tblCellMar>
            <w:top w:w="0" w:type="dxa"/>
            <w:left w:w="108" w:type="dxa"/>
            <w:bottom w:w="0" w:type="dxa"/>
            <w:right w:w="108" w:type="dxa"/>
          </w:tblCellMar>
        </w:tblPrEx>
        <w:trPr>
          <w:trHeight w:val="284"/>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郑州海关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河南省郑州市农业路东30号</w:t>
            </w:r>
          </w:p>
        </w:tc>
      </w:tr>
      <w:tr>
        <w:tblPrEx>
          <w:jc w:val="left"/>
          <w:tblInd w:w="108" w:type="dxa"/>
          <w:tblCellMar>
            <w:top w:w="0" w:type="dxa"/>
            <w:left w:w="108" w:type="dxa"/>
            <w:bottom w:w="0" w:type="dxa"/>
            <w:right w:w="108" w:type="dxa"/>
          </w:tblCellMar>
        </w:tblPrEx>
        <w:trPr>
          <w:trHeight w:val="284"/>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武汉海关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湖北省武汉市东西湖区金银湖路15号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长沙海关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湖南省长沙市东二环一段678号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广州海关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广东省广州市天河区珠江新城花城大道83号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深圳海关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广东省深圳市福田区深南大道2006号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拱北海关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广东省珠海市香洲区拱北水湾路18号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汕头海关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广东省汕头市珠江路34号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黄埔海关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广东省广州市黄埔区大沙地东333号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江门海关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广东省江门市蓬江区海傍街43号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湛江海关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广东省湛江市开发区人民大道中54号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南宁海关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广西壮族自治区南宁市青秀区中柬路1号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海口海关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海南省海口市滨海大道61号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重庆海关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重庆市渝北区龙山一路1号</w:t>
            </w:r>
          </w:p>
        </w:tc>
      </w:tr>
      <w:tr>
        <w:tblPrEx>
          <w:jc w:val="left"/>
          <w:tblInd w:w="108" w:type="dxa"/>
          <w:tblCellMar>
            <w:top w:w="0" w:type="dxa"/>
            <w:left w:w="108" w:type="dxa"/>
            <w:bottom w:w="0" w:type="dxa"/>
            <w:right w:w="108" w:type="dxa"/>
          </w:tblCellMar>
        </w:tblPrEx>
        <w:trPr>
          <w:trHeight w:val="284"/>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成都海关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四川省成都市高新区天顺中街66号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贵阳海关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贵州省贵阳市观山湖区黔灵山路268号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昆明海关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云南省昆明市北京路618号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拉萨海关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西藏自治区拉萨市北京中路72号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西安海关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陕西省西安市高新区唐延路19号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兰州海关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甘肃省兰州市安宁区银安路9号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西宁海关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青海省西宁市八一中路19号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银川海关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宁夏自治区银川市金凤区正源南街220号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乌鲁木齐海关</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新疆乌鲁木齐市北京南路295号</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全国海关信息中心</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北京市顺义区李桥镇鑫桥中路12号院</w:t>
            </w:r>
          </w:p>
        </w:tc>
      </w:tr>
      <w:tr>
        <w:tblPrEx>
          <w:jc w:val="left"/>
          <w:tblInd w:w="108" w:type="dxa"/>
          <w:tblCellMar>
            <w:top w:w="0" w:type="dxa"/>
            <w:left w:w="108" w:type="dxa"/>
            <w:bottom w:w="0" w:type="dxa"/>
            <w:right w:w="108" w:type="dxa"/>
          </w:tblCellMar>
        </w:tblPrEx>
        <w:trPr>
          <w:trHeight w:val="269"/>
          <w:jc w:val="left"/>
        </w:trPr>
        <w:tc>
          <w:tcPr>
            <w:tcW w:w="2946"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全国海关信息中心广东分中心</w:t>
            </w:r>
          </w:p>
        </w:tc>
        <w:tc>
          <w:tcPr>
            <w:tcW w:w="5151" w:type="dxa"/>
            <w:noWrap/>
            <w:vAlign w:val="center"/>
          </w:tcPr>
          <w:p>
            <w:pPr>
              <w:pStyle w:val="3710"/>
              <w:spacing w:line="400" w:lineRule="exact"/>
              <w:rPr>
                <w:rFonts w:ascii="方正仿宋_GBK" w:eastAsia="方正仿宋_GBK" w:cs="Arial" w:hint="eastAsia"/>
                <w:color w:val="000000"/>
                <w:szCs w:val="21"/>
              </w:rPr>
            </w:pPr>
            <w:r>
              <w:rPr>
                <w:rFonts w:ascii="方正仿宋_GBK" w:eastAsia="方正仿宋_GBK" w:hint="eastAsia"/>
                <w:color w:val="000000"/>
                <w:szCs w:val="21"/>
              </w:rPr>
              <w:t>广东省广州市珠海区滨江西路26号海天大厦七层</w:t>
            </w:r>
          </w:p>
        </w:tc>
      </w:tr>
    </w:tbl>
    <w:p>
      <w:pPr>
        <w:pStyle w:val="404"/>
        <w:spacing w:line="400" w:lineRule="exact"/>
        <w:ind w:firstLine="560" w:firstLineChars="200"/>
        <w:rPr>
          <w:rFonts w:ascii="Times New Roman" w:eastAsia="方正仿宋_GBK" w:hAnsi="Times New Roman" w:cs="微软雅黑"/>
          <w:bCs/>
          <w:snapToGrid w:val="0"/>
          <w:sz w:val="28"/>
          <w:lang w:val="zh-CN" w:bidi="en-US"/>
        </w:rPr>
      </w:pPr>
    </w:p>
    <w:p>
      <w:pPr>
        <w:spacing w:line="400" w:lineRule="exact"/>
        <w:ind w:firstLine="640" w:firstLineChars="200"/>
        <w:outlineLvl w:val="1"/>
        <w:rPr>
          <w:rFonts w:eastAsia="方正黑体_GBK" w:cs="微软雅黑"/>
          <w:b/>
          <w:bCs/>
          <w:snapToGrid w:val="0"/>
          <w:sz w:val="32"/>
          <w:szCs w:val="32"/>
        </w:rPr>
      </w:pPr>
      <w:bookmarkStart w:id="57" w:name="_Toc38253631"/>
      <w:r>
        <w:rPr>
          <w:rFonts w:ascii="Times New Roman" w:eastAsia="方正黑体_GBK" w:hAnsi="Times New Roman" w:cs="微软雅黑" w:hint="eastAsia"/>
          <w:b/>
          <w:bCs/>
          <w:snapToGrid w:val="0"/>
          <w:sz w:val="32"/>
          <w:szCs w:val="32"/>
          <w:lang w:bidi="ar-SA"/>
        </w:rPr>
        <w:t>★</w:t>
      </w:r>
      <w:r>
        <w:rPr>
          <w:rFonts w:ascii="Times New Roman" w:eastAsia="方正黑体_GBK" w:hAnsi="Times New Roman" w:cs="微软雅黑"/>
          <w:b/>
          <w:bCs/>
          <w:snapToGrid w:val="0"/>
          <w:sz w:val="32"/>
          <w:szCs w:val="32"/>
          <w:lang w:bidi="ar-SA"/>
        </w:rPr>
        <w:t>六</w:t>
      </w:r>
      <w:r>
        <w:rPr>
          <w:rFonts w:ascii="Times New Roman" w:eastAsia="方正黑体_GBK" w:hAnsi="Times New Roman" w:cs="微软雅黑" w:hint="eastAsia"/>
          <w:b/>
          <w:bCs/>
          <w:snapToGrid w:val="0"/>
          <w:sz w:val="32"/>
          <w:szCs w:val="32"/>
          <w:lang w:bidi="ar-SA"/>
        </w:rPr>
        <w:t>、质保期</w:t>
      </w:r>
      <w:bookmarkEnd w:id="57"/>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产品安装调试</w:t>
      </w:r>
      <w:r>
        <w:rPr>
          <w:rFonts w:eastAsia="方正仿宋_GBK"/>
          <w:snapToGrid w:val="0"/>
          <w:sz w:val="28"/>
          <w:szCs w:val="28"/>
          <w:lang w:val="zh-CN" w:eastAsia="zh-CN" w:bidi="en-US"/>
        </w:rPr>
        <w:t>，全模块集成及数据迁移完成后，</w:t>
      </w:r>
      <w:r>
        <w:rPr>
          <w:rFonts w:eastAsia="方正仿宋_GBK" w:hint="eastAsia"/>
          <w:snapToGrid w:val="0"/>
          <w:sz w:val="28"/>
          <w:szCs w:val="28"/>
          <w:lang w:val="zh-CN" w:eastAsia="zh-CN" w:bidi="en-US"/>
        </w:rPr>
        <w:t>经用户整体项目验收合格</w:t>
      </w:r>
      <w:r>
        <w:rPr>
          <w:rFonts w:eastAsia="方正仿宋_GBK"/>
          <w:snapToGrid w:val="0"/>
          <w:sz w:val="28"/>
          <w:szCs w:val="28"/>
          <w:lang w:val="zh-CN" w:eastAsia="zh-CN" w:bidi="en-US"/>
        </w:rPr>
        <w:t>并经专家评审通过</w:t>
      </w:r>
      <w:r>
        <w:rPr>
          <w:rFonts w:eastAsia="方正仿宋_GBK" w:hint="eastAsia"/>
          <w:snapToGrid w:val="0"/>
          <w:sz w:val="28"/>
          <w:szCs w:val="28"/>
          <w:lang w:val="zh-CN" w:eastAsia="zh-CN" w:bidi="en-US"/>
        </w:rPr>
        <w:t>当天起，质保期3年，在验收通过后提供不少于3年的免费质保服务</w:t>
      </w:r>
      <w:r>
        <w:rPr>
          <w:rFonts w:eastAsia="方正仿宋_GBK"/>
          <w:snapToGrid w:val="0"/>
          <w:sz w:val="28"/>
          <w:szCs w:val="28"/>
          <w:lang w:val="zh-CN" w:bidi="en-US"/>
        </w:rPr>
        <w:t>，并提供不少于2人驻场服务。</w:t>
      </w:r>
    </w:p>
    <w:p>
      <w:pPr>
        <w:pStyle w:val="List2"/>
        <w:spacing w:line="400" w:lineRule="exact"/>
        <w:textAlignment w:val="center"/>
      </w:pPr>
    </w:p>
    <w:p>
      <w:pPr>
        <w:spacing w:line="400" w:lineRule="exact"/>
        <w:ind w:firstLine="640" w:firstLineChars="200"/>
        <w:outlineLvl w:val="1"/>
        <w:rPr>
          <w:rFonts w:eastAsia="方正黑体_GBK" w:cs="微软雅黑"/>
          <w:b/>
          <w:bCs/>
          <w:snapToGrid w:val="0"/>
          <w:sz w:val="32"/>
          <w:szCs w:val="32"/>
        </w:rPr>
      </w:pPr>
      <w:bookmarkStart w:id="58" w:name="_Toc38253632"/>
      <w:r>
        <w:rPr>
          <w:rFonts w:ascii="Times New Roman" w:eastAsia="方正黑体_GBK" w:hAnsi="Times New Roman" w:cs="微软雅黑"/>
          <w:b/>
          <w:bCs/>
          <w:snapToGrid w:val="0"/>
          <w:sz w:val="32"/>
          <w:szCs w:val="32"/>
          <w:lang w:bidi="ar-SA"/>
        </w:rPr>
        <w:t>七</w:t>
      </w:r>
      <w:r>
        <w:rPr>
          <w:rFonts w:ascii="Times New Roman" w:eastAsia="方正黑体_GBK" w:hAnsi="Times New Roman" w:cs="微软雅黑" w:hint="eastAsia"/>
          <w:b/>
          <w:bCs/>
          <w:snapToGrid w:val="0"/>
          <w:sz w:val="32"/>
          <w:szCs w:val="32"/>
          <w:lang w:bidi="ar-SA"/>
        </w:rPr>
        <w:t>、售后服务要求</w:t>
      </w:r>
      <w:bookmarkEnd w:id="58"/>
    </w:p>
    <w:p>
      <w:pPr>
        <w:pStyle w:val="16610"/>
        <w:spacing w:line="400" w:lineRule="exact"/>
        <w:ind w:firstLine="560" w:firstLineChars="200"/>
        <w:rPr>
          <w:rFonts w:ascii="方正仿宋_GBK" w:eastAsia="方正仿宋_GBK" w:hint="eastAsia"/>
          <w:snapToGrid w:val="0"/>
          <w:szCs w:val="28"/>
          <w:lang w:val="zh-CN" w:bidi="en-US"/>
        </w:rPr>
      </w:pPr>
      <w:r>
        <w:rPr>
          <w:rFonts w:eastAsia="方正仿宋_GBK" w:cs="宋体"/>
          <w:snapToGrid w:val="0"/>
          <w:sz w:val="28"/>
          <w:szCs w:val="28"/>
          <w:lang w:val="zh-CN" w:eastAsia="zh-CN" w:bidi="en-US"/>
        </w:rPr>
        <w:t>1</w:t>
      </w:r>
      <w:r>
        <w:rPr>
          <w:rFonts w:eastAsia="方正仿宋_GBK" w:hint="eastAsia"/>
          <w:snapToGrid w:val="0"/>
          <w:sz w:val="28"/>
          <w:szCs w:val="28"/>
          <w:lang w:val="zh-CN" w:eastAsia="zh-CN" w:bidi="en-US"/>
        </w:rPr>
        <w:t>、投标人需提供售后服务方案，售后服务方案应包括服务内容</w:t>
      </w:r>
      <w:r>
        <w:rPr>
          <w:rFonts w:eastAsia="方正仿宋_GBK"/>
          <w:snapToGrid w:val="0"/>
          <w:sz w:val="28"/>
          <w:szCs w:val="28"/>
          <w:lang w:val="zh-CN" w:eastAsia="zh-CN" w:bidi="en-US"/>
        </w:rPr>
        <w:t>、安全测试、安全漏洞修复</w:t>
      </w:r>
      <w:r>
        <w:rPr>
          <w:rFonts w:eastAsia="方正仿宋_GBK" w:hint="eastAsia"/>
          <w:snapToGrid w:val="0"/>
          <w:sz w:val="28"/>
          <w:szCs w:val="28"/>
          <w:lang w:val="zh-CN" w:eastAsia="zh-CN" w:bidi="en-US"/>
        </w:rPr>
        <w:t>、服务级别及对应响应时间、故障处理措施、应急处理方案</w:t>
      </w:r>
      <w:r>
        <w:rPr>
          <w:rFonts w:eastAsia="方正仿宋_GBK"/>
          <w:snapToGrid w:val="0"/>
          <w:sz w:val="28"/>
          <w:szCs w:val="28"/>
          <w:lang w:val="zh-CN" w:eastAsia="zh-CN" w:bidi="en-US"/>
        </w:rPr>
        <w:t>、产品版本升级</w:t>
      </w:r>
      <w:r>
        <w:rPr>
          <w:rFonts w:eastAsia="方正仿宋_GBK" w:hint="eastAsia"/>
          <w:snapToGrid w:val="0"/>
          <w:sz w:val="28"/>
          <w:szCs w:val="28"/>
          <w:lang w:val="zh-CN" w:eastAsia="zh-CN" w:bidi="en-US"/>
        </w:rPr>
        <w:t>等。方案内容应全面、处理方式合理、可行性强。</w:t>
      </w:r>
    </w:p>
    <w:p>
      <w:pPr>
        <w:pStyle w:val="188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snapToGrid w:val="0"/>
          <w:sz w:val="28"/>
          <w:szCs w:val="28"/>
          <w:lang w:val="zh-CN" w:eastAsia="zh-CN" w:bidi="en-US"/>
        </w:rPr>
        <w:t>2、</w:t>
      </w:r>
      <w:r>
        <w:rPr>
          <w:rFonts w:eastAsia="方正仿宋_GBK" w:cs="微软雅黑" w:hint="eastAsia"/>
          <w:snapToGrid w:val="0"/>
          <w:sz w:val="28"/>
          <w:szCs w:val="28"/>
          <w:lang w:val="zh-CN" w:eastAsia="zh-CN" w:bidi="en-US"/>
        </w:rPr>
        <w:t>投标人需提供产品集成实施方案</w:t>
      </w:r>
      <w:r>
        <w:rPr>
          <w:rFonts w:eastAsia="方正仿宋_GBK" w:cs="微软雅黑"/>
          <w:snapToGrid w:val="0"/>
          <w:sz w:val="28"/>
          <w:szCs w:val="28"/>
          <w:lang w:val="zh-CN" w:eastAsia="zh-CN" w:bidi="en-US"/>
        </w:rPr>
        <w:t>，</w:t>
      </w:r>
      <w:r>
        <w:rPr>
          <w:rFonts w:eastAsia="方正仿宋_GBK" w:cs="微软雅黑" w:hint="eastAsia"/>
          <w:snapToGrid w:val="0"/>
          <w:sz w:val="28"/>
          <w:szCs w:val="28"/>
          <w:lang w:val="zh-CN" w:eastAsia="zh-CN" w:bidi="en-US"/>
        </w:rPr>
        <w:t>包含项目需求分析</w:t>
      </w:r>
      <w:r>
        <w:rPr>
          <w:rFonts w:eastAsia="方正仿宋_GBK" w:cs="微软雅黑"/>
          <w:snapToGrid w:val="0"/>
          <w:sz w:val="28"/>
          <w:szCs w:val="28"/>
          <w:lang w:val="zh-CN" w:eastAsia="zh-CN" w:bidi="en-US"/>
        </w:rPr>
        <w:t>、</w:t>
      </w:r>
      <w:r>
        <w:rPr>
          <w:rFonts w:eastAsia="方正仿宋_GBK" w:cs="微软雅黑" w:hint="eastAsia"/>
          <w:snapToGrid w:val="0"/>
          <w:sz w:val="28"/>
          <w:szCs w:val="28"/>
          <w:lang w:val="zh-CN" w:eastAsia="zh-CN" w:bidi="en-US"/>
        </w:rPr>
        <w:t>整体项目设计、系统功能介绍、部署设计、安全设计、系统接口设计、项目集成设计等内容；同时应包含项目计划、进度控制、应急措施、风险管理、质量管理、项目人员管理配置方案、文档管理、项目测试方案等内容。投标人需对所派驻的技术服务人员进行有效地管理并且有相应的管理手段，包括科学合理的管理制度、人员稳定性、人员工作质量保证等。方案需完善合理、内容全面详细。</w:t>
      </w:r>
    </w:p>
    <w:p>
      <w:pPr>
        <w:pStyle w:val="16610"/>
        <w:spacing w:line="400" w:lineRule="exact"/>
        <w:ind w:firstLine="560" w:firstLineChars="200"/>
        <w:rPr>
          <w:rFonts w:ascii="方正仿宋_GBK" w:eastAsia="方正仿宋_GBK" w:cs="宋体" w:hint="eastAsia"/>
          <w:snapToGrid w:val="0"/>
          <w:sz w:val="28"/>
          <w:szCs w:val="28"/>
          <w:lang w:val="zh-CN" w:bidi="en-US"/>
        </w:rPr>
      </w:pPr>
      <w:r>
        <w:rPr>
          <w:rFonts w:eastAsia="方正仿宋_GBK" w:cs="宋体" w:hint="eastAsia"/>
          <w:snapToGrid w:val="0"/>
          <w:sz w:val="28"/>
          <w:szCs w:val="28"/>
          <w:lang w:val="zh-CN" w:eastAsia="zh-CN" w:bidi="en-US"/>
        </w:rPr>
        <w:t>3、</w:t>
      </w:r>
      <w:r>
        <w:rPr>
          <w:rFonts w:ascii="方正仿宋_GBK" w:eastAsia="方正仿宋_GBK" w:cs="宋体" w:hint="eastAsia"/>
          <w:snapToGrid w:val="0"/>
          <w:sz w:val="28"/>
          <w:szCs w:val="28"/>
          <w:lang w:val="zh-CN" w:eastAsia="zh-CN" w:bidi="en-US"/>
        </w:rPr>
        <w:t>售后服务内容：</w:t>
      </w:r>
    </w:p>
    <w:p>
      <w:pPr>
        <w:pStyle w:val="34510"/>
        <w:spacing w:line="400" w:lineRule="exact"/>
        <w:ind w:firstLine="560" w:firstLineChars="200"/>
        <w:rPr>
          <w:rFonts w:ascii="方正仿宋_GBK" w:eastAsia="方正仿宋_GBK" w:hint="eastAsia"/>
          <w:snapToGrid w:val="0"/>
          <w:szCs w:val="28"/>
          <w:lang w:val="zh-CN" w:bidi="en-US"/>
        </w:rPr>
      </w:pPr>
      <w:r>
        <w:rPr>
          <w:rFonts w:ascii="方正仿宋_GBK" w:eastAsia="方正仿宋_GBK" w:cs="宋体" w:hint="eastAsia"/>
          <w:snapToGrid w:val="0"/>
          <w:sz w:val="28"/>
          <w:szCs w:val="28"/>
          <w:lang w:val="zh-CN" w:eastAsia="zh-CN" w:bidi="en-US"/>
        </w:rPr>
        <w:t>（1）</w:t>
      </w:r>
      <w:r>
        <w:rPr>
          <w:rFonts w:eastAsia="方正仿宋_GBK" w:cs="宋体"/>
          <w:snapToGrid w:val="0"/>
          <w:sz w:val="28"/>
          <w:szCs w:val="28"/>
          <w:lang w:val="zh-CN" w:eastAsia="zh-CN" w:bidi="en-US"/>
        </w:rPr>
        <w:t>本</w:t>
      </w:r>
      <w:r>
        <w:rPr>
          <w:rFonts w:eastAsia="方正仿宋_GBK" w:cs="宋体" w:hint="eastAsia"/>
          <w:snapToGrid w:val="0"/>
          <w:sz w:val="28"/>
          <w:szCs w:val="28"/>
          <w:lang w:val="zh-CN" w:eastAsia="zh-CN" w:bidi="en-US"/>
        </w:rPr>
        <w:t>项目运维保障等级为二级，故障受理响应时限为30分钟，需1小时内到达现场，2小时内确定解决方案，业务恢复时限要求为4小时；到达现场地址：北京市顺义区。</w:t>
      </w:r>
    </w:p>
    <w:p>
      <w:pPr>
        <w:pStyle w:val="16610"/>
        <w:spacing w:line="400" w:lineRule="exact"/>
        <w:ind w:firstLine="560" w:firstLineChars="200"/>
        <w:rPr>
          <w:rFonts w:ascii="方正仿宋_GBK" w:eastAsia="方正仿宋_GBK" w:hint="eastAsia"/>
          <w:snapToGrid w:val="0"/>
          <w:szCs w:val="28"/>
          <w:lang w:val="zh-CN" w:bidi="en-US"/>
        </w:rPr>
      </w:pPr>
      <w:r>
        <w:rPr>
          <w:rFonts w:ascii="方正仿宋_GBK" w:eastAsia="方正仿宋_GBK" w:cs="宋体" w:hint="eastAsia"/>
          <w:snapToGrid w:val="0"/>
          <w:sz w:val="28"/>
          <w:szCs w:val="28"/>
          <w:lang w:val="zh-CN" w:eastAsia="zh-CN" w:bidi="en-US"/>
        </w:rPr>
        <w:t>（2）完成全部产品的安装、调试、集成及功能修改完善工作；</w:t>
      </w:r>
    </w:p>
    <w:p>
      <w:pPr>
        <w:pStyle w:val="16610"/>
        <w:spacing w:line="400" w:lineRule="exact"/>
        <w:ind w:firstLine="560" w:firstLineChars="200"/>
        <w:rPr>
          <w:rFonts w:ascii="方正仿宋_GBK" w:eastAsia="方正仿宋_GBK" w:hint="eastAsia"/>
          <w:snapToGrid w:val="0"/>
          <w:szCs w:val="28"/>
          <w:lang w:val="zh-CN" w:bidi="en-US"/>
        </w:rPr>
      </w:pPr>
      <w:r>
        <w:rPr>
          <w:rFonts w:ascii="宋体" w:eastAsia="方正仿宋_GBK" w:hAnsi="宋体" w:cs="宋体"/>
          <w:bCs/>
          <w:color w:val="000000"/>
          <w:sz w:val="28"/>
          <w:szCs w:val="28"/>
          <w:lang w:bidi="ar-SA"/>
        </w:rPr>
        <w:t>（3）</w:t>
      </w:r>
      <w:r>
        <w:rPr>
          <w:rFonts w:ascii="宋体" w:eastAsia="方正仿宋_GBK" w:hAnsi="宋体" w:cs="宋体" w:hint="eastAsia"/>
          <w:bCs/>
          <w:color w:val="000000"/>
          <w:sz w:val="28"/>
          <w:szCs w:val="28"/>
          <w:lang w:bidi="ar-SA"/>
        </w:rPr>
        <w:t>根据海关工作要求，开展</w:t>
      </w:r>
      <w:r>
        <w:rPr>
          <w:rFonts w:ascii="宋体" w:eastAsia="方正仿宋_GBK" w:hAnsi="宋体" w:cs="宋体"/>
          <w:bCs/>
          <w:color w:val="000000"/>
          <w:sz w:val="28"/>
          <w:szCs w:val="28"/>
          <w:lang w:bidi="ar-SA"/>
        </w:rPr>
        <w:t>产品</w:t>
      </w:r>
      <w:r>
        <w:rPr>
          <w:rFonts w:ascii="宋体" w:eastAsia="方正仿宋_GBK" w:hAnsi="宋体" w:cs="宋体" w:hint="eastAsia"/>
          <w:bCs/>
          <w:color w:val="000000"/>
          <w:sz w:val="28"/>
          <w:szCs w:val="28"/>
          <w:lang w:bidi="ar-SA"/>
        </w:rPr>
        <w:t>质量</w:t>
      </w:r>
      <w:r>
        <w:rPr>
          <w:rFonts w:ascii="宋体" w:eastAsia="方正仿宋_GBK" w:hAnsi="宋体" w:cs="宋体"/>
          <w:bCs/>
          <w:color w:val="000000"/>
          <w:sz w:val="28"/>
          <w:szCs w:val="28"/>
          <w:lang w:bidi="ar-SA"/>
        </w:rPr>
        <w:t>、系统稳定性</w:t>
      </w:r>
      <w:r>
        <w:rPr>
          <w:rFonts w:ascii="宋体" w:eastAsia="方正仿宋_GBK" w:hAnsi="宋体" w:cs="宋体" w:hint="eastAsia"/>
          <w:bCs/>
          <w:color w:val="000000"/>
          <w:sz w:val="28"/>
          <w:szCs w:val="28"/>
          <w:lang w:bidi="ar-SA"/>
        </w:rPr>
        <w:t>监控与问题分析工作。售后服务期内，提供系统软件正常使用情况下的维修、每季度原厂巡检和技术支持服务，提供不限于</w:t>
      </w:r>
      <w:r>
        <w:rPr>
          <w:rFonts w:ascii="宋体" w:eastAsia="方正仿宋_GBK" w:hAnsi="宋体" w:cs="宋体"/>
          <w:bCs/>
          <w:color w:val="000000"/>
          <w:sz w:val="28"/>
          <w:szCs w:val="28"/>
          <w:lang w:bidi="ar-SA"/>
        </w:rPr>
        <w:t>安全测试、安全漏洞修复、风险修复、产品性能调优、安全防护策略优化、</w:t>
      </w:r>
      <w:r>
        <w:rPr>
          <w:rFonts w:ascii="宋体" w:eastAsia="方正仿宋_GBK" w:hAnsi="宋体" w:cs="宋体" w:hint="eastAsia"/>
          <w:bCs/>
          <w:color w:val="000000"/>
          <w:sz w:val="28"/>
          <w:szCs w:val="28"/>
          <w:lang w:bidi="ar-SA"/>
        </w:rPr>
        <w:t>软件免费升级服务、补丁更新、系统安全加固以及技术咨询服务。</w:t>
      </w:r>
    </w:p>
    <w:p>
      <w:pPr>
        <w:pStyle w:val="34510"/>
        <w:spacing w:line="400" w:lineRule="exact"/>
        <w:ind w:firstLine="560" w:firstLineChars="200"/>
        <w:rPr>
          <w:rFonts w:eastAsia="方正仿宋_GBK" w:cs="宋体" w:hint="eastAsia"/>
          <w:bCs/>
          <w:snapToGrid w:val="0"/>
          <w:sz w:val="28"/>
          <w:szCs w:val="28"/>
          <w:lang w:val="zh-CN" w:bidi="en-US"/>
        </w:rPr>
      </w:pPr>
      <w:r>
        <w:rPr>
          <w:rFonts w:eastAsia="方正仿宋_GBK" w:cs="宋体" w:hint="eastAsia"/>
          <w:bCs/>
          <w:snapToGrid w:val="0"/>
          <w:sz w:val="28"/>
          <w:szCs w:val="28"/>
          <w:lang w:val="zh-CN" w:bidi="en-US"/>
        </w:rPr>
        <w:t>（4）</w:t>
      </w:r>
      <w:r>
        <w:rPr>
          <w:rFonts w:eastAsia="方正仿宋_GBK" w:cs="宋体" w:hint="eastAsia"/>
          <w:snapToGrid w:val="0"/>
          <w:sz w:val="28"/>
          <w:szCs w:val="28"/>
          <w:lang w:val="zh-CN" w:bidi="en-US"/>
        </w:rPr>
        <w:t>采购人如进行后续系统扩容升级、系统改造，应免费提供支持。</w:t>
      </w:r>
    </w:p>
    <w:p>
      <w:pPr>
        <w:pStyle w:val="34510"/>
        <w:spacing w:line="400" w:lineRule="exact"/>
        <w:ind w:firstLine="560" w:firstLineChars="200"/>
        <w:rPr>
          <w:rFonts w:eastAsia="方正仿宋_GBK" w:cs="宋体" w:hint="eastAsia"/>
          <w:snapToGrid w:val="0"/>
          <w:sz w:val="28"/>
          <w:szCs w:val="28"/>
          <w:lang w:val="zh-CN" w:bidi="en-US"/>
        </w:rPr>
      </w:pPr>
      <w:r>
        <w:rPr>
          <w:rFonts w:eastAsia="方正仿宋_GBK" w:cs="宋体" w:hint="eastAsia"/>
          <w:bCs/>
          <w:snapToGrid w:val="0"/>
          <w:sz w:val="28"/>
          <w:szCs w:val="28"/>
          <w:lang w:val="zh-CN" w:bidi="en-US"/>
        </w:rPr>
        <w:t>（5）</w:t>
      </w:r>
      <w:r>
        <w:rPr>
          <w:rFonts w:eastAsia="方正仿宋_GBK" w:cs="宋体" w:hint="eastAsia"/>
          <w:snapToGrid w:val="0"/>
          <w:sz w:val="28"/>
          <w:szCs w:val="28"/>
          <w:lang w:val="zh-CN" w:bidi="en-US"/>
        </w:rPr>
        <w:t>售后服务期满后，如果出现特殊和紧急情况，在采购人要求下，中标方承诺协调投标产品原厂派遣其工程技术人员以优惠价格到现场进行对投标产品检查和维修。</w:t>
      </w:r>
    </w:p>
    <w:p>
      <w:pPr>
        <w:pStyle w:val="34510"/>
        <w:spacing w:line="400" w:lineRule="exact"/>
        <w:ind w:firstLine="560" w:firstLineChars="200"/>
        <w:rPr>
          <w:rFonts w:eastAsia="方正仿宋_GBK" w:cs="宋体" w:hint="eastAsia"/>
          <w:bCs/>
          <w:snapToGrid w:val="0"/>
          <w:sz w:val="28"/>
          <w:szCs w:val="28"/>
          <w:lang w:val="zh-CN" w:bidi="en-US"/>
        </w:rPr>
      </w:pPr>
      <w:r>
        <w:rPr>
          <w:rFonts w:eastAsia="方正仿宋_GBK" w:cs="宋体" w:hint="eastAsia"/>
          <w:snapToGrid w:val="0"/>
          <w:sz w:val="28"/>
          <w:szCs w:val="28"/>
          <w:lang w:val="zh-CN" w:bidi="en-US"/>
        </w:rPr>
        <w:t>（6）履约期内配合海关完成相关评审、验收、合规性检查的项目管理工作，并</w:t>
      </w:r>
      <w:r>
        <w:rPr>
          <w:rFonts w:eastAsia="方正仿宋_GBK" w:cs="宋体" w:hint="eastAsia"/>
          <w:bCs/>
          <w:snapToGrid w:val="0"/>
          <w:sz w:val="28"/>
          <w:szCs w:val="28"/>
          <w:lang w:val="zh-CN" w:bidi="en-US"/>
        </w:rPr>
        <w:t>更新及完善配套项目文档；</w:t>
      </w:r>
    </w:p>
    <w:p>
      <w:pPr>
        <w:pStyle w:val="34510"/>
        <w:spacing w:line="400" w:lineRule="exact"/>
        <w:ind w:firstLine="560" w:firstLineChars="200"/>
        <w:rPr>
          <w:rFonts w:eastAsia="方正仿宋_GBK" w:cs="宋体" w:hint="eastAsia"/>
          <w:bCs/>
          <w:snapToGrid w:val="0"/>
          <w:sz w:val="28"/>
          <w:szCs w:val="28"/>
          <w:lang w:val="zh-CN" w:bidi="en-US"/>
        </w:rPr>
      </w:pPr>
      <w:r>
        <w:rPr>
          <w:rFonts w:eastAsia="方正仿宋_GBK" w:cs="宋体" w:hint="eastAsia"/>
          <w:bCs/>
          <w:snapToGrid w:val="0"/>
          <w:sz w:val="28"/>
          <w:szCs w:val="28"/>
          <w:lang w:val="zh-CN" w:bidi="en-US"/>
        </w:rPr>
        <w:t>（7）质保期内，重要活动、假日等重点保障期间，在采购人要求下，可增加驻场人员，人数和驻场地点由采购人指定。驻场要求详见履约期内驻场要求。</w:t>
      </w:r>
    </w:p>
    <w:p>
      <w:pPr>
        <w:pStyle w:val="34510"/>
        <w:spacing w:line="400" w:lineRule="exact"/>
        <w:ind w:firstLine="560" w:firstLineChars="200"/>
        <w:rPr>
          <w:rFonts w:eastAsia="方正仿宋_GBK" w:cs="宋体" w:hint="eastAsia"/>
          <w:bCs/>
          <w:snapToGrid w:val="0"/>
          <w:sz w:val="28"/>
          <w:szCs w:val="28"/>
          <w:lang w:val="zh-CN" w:bidi="en-US"/>
        </w:rPr>
      </w:pPr>
      <w:r>
        <w:rPr>
          <w:rFonts w:eastAsia="方正仿宋_GBK" w:cs="宋体" w:hint="eastAsia"/>
          <w:bCs/>
          <w:snapToGrid w:val="0"/>
          <w:sz w:val="28"/>
          <w:szCs w:val="28"/>
          <w:lang w:val="zh-CN" w:bidi="en-US"/>
        </w:rPr>
        <w:t>（8）投标人为所提供的备品备件在质保期内，一旦备品备件出现任何质量瑕疵，投标人承诺在接到采购人通知后，启动故障排查及处理流程，免费更换及维修任务，全力保障设备的持续稳定运行。</w:t>
      </w:r>
    </w:p>
    <w:p>
      <w:pPr>
        <w:pStyle w:val="34510"/>
        <w:spacing w:line="400" w:lineRule="exact"/>
        <w:ind w:firstLine="560" w:firstLineChars="200"/>
        <w:rPr>
          <w:rFonts w:eastAsia="方正仿宋_GBK" w:cs="宋体" w:hint="eastAsia"/>
          <w:bCs/>
          <w:snapToGrid w:val="0"/>
          <w:sz w:val="28"/>
          <w:szCs w:val="28"/>
          <w:lang w:val="zh-CN" w:bidi="en-US"/>
        </w:rPr>
      </w:pPr>
      <w:r>
        <w:rPr>
          <w:rFonts w:eastAsia="方正仿宋_GBK" w:cs="宋体" w:hint="eastAsia"/>
          <w:bCs/>
          <w:snapToGrid w:val="0"/>
          <w:sz w:val="28"/>
          <w:szCs w:val="28"/>
          <w:lang w:val="zh-CN" w:bidi="en-US"/>
        </w:rPr>
        <w:t>（9）质保期内，如新增需求内容经双方评估预算不超过合同额10%的，投标人提供免费实施服务，当实施工作量超出合同额10%时，双方就超出部分另行协商解决，并承诺3年后，每年度的质保服务（标准软件支持服务，除耳麦以外）续签价格不高于本合同各品目软件金额的10%。投标产品（除耳麦以外）保证至少8年技术持续演进，保证业务连续性。</w:t>
      </w:r>
    </w:p>
    <w:p>
      <w:pPr>
        <w:pStyle w:val="315"/>
        <w:ind w:firstLine="619" w:firstLineChars="221"/>
        <w:rPr>
          <w:rFonts w:ascii="方正仿宋_GBK" w:eastAsia="方正仿宋_GBK" w:hint="eastAsia"/>
          <w:snapToGrid w:val="0"/>
          <w:color w:val="auto"/>
          <w:lang w:val="zh-CN" w:bidi="en-US"/>
        </w:rPr>
      </w:pPr>
      <w:r>
        <w:rPr>
          <w:rFonts w:eastAsia="方正仿宋_GBK" w:cs="微软雅黑" w:hint="eastAsia"/>
          <w:b/>
          <w:bCs w:val="0"/>
          <w:snapToGrid w:val="0"/>
          <w:color w:val="auto"/>
          <w:szCs w:val="28"/>
          <w:lang w:val="zh-CN" w:eastAsia="zh-CN" w:bidi="en-US"/>
        </w:rPr>
        <w:t>以上要求，投标人须提供承诺函并加盖投标人公章。</w:t>
      </w:r>
    </w:p>
    <w:p>
      <w:pPr>
        <w:pStyle w:val="16610"/>
        <w:spacing w:line="400" w:lineRule="exact"/>
        <w:ind w:firstLine="557"/>
        <w:jc w:val="left"/>
        <w:rPr>
          <w:rFonts w:eastAsia="方正仿宋_GBK" w:cs="微软雅黑"/>
          <w:snapToGrid w:val="0"/>
          <w:sz w:val="28"/>
          <w:szCs w:val="28"/>
        </w:rPr>
      </w:pPr>
      <w:r>
        <w:rPr>
          <w:rFonts w:eastAsia="方正仿宋_GBK" w:cs="宋体" w:hint="eastAsia"/>
          <w:snapToGrid w:val="0"/>
          <w:sz w:val="28"/>
          <w:szCs w:val="28"/>
          <w:lang w:val="zh-CN" w:eastAsia="zh-CN" w:bidi="en-US"/>
        </w:rPr>
        <w:t>4、</w:t>
      </w:r>
      <w:r>
        <w:rPr>
          <w:rFonts w:eastAsia="方正仿宋_GBK" w:cs="宋体"/>
          <w:snapToGrid w:val="0"/>
          <w:sz w:val="28"/>
          <w:szCs w:val="28"/>
          <w:lang w:val="zh-CN" w:eastAsia="zh-CN" w:bidi="en-US"/>
        </w:rPr>
        <w:t>建设期</w:t>
      </w:r>
      <w:r>
        <w:rPr>
          <w:rFonts w:eastAsia="方正仿宋_GBK" w:cs="宋体" w:hint="eastAsia"/>
          <w:snapToGrid w:val="0"/>
          <w:sz w:val="28"/>
          <w:szCs w:val="28"/>
          <w:lang w:val="zh-CN" w:eastAsia="zh-CN" w:bidi="en-US"/>
        </w:rPr>
        <w:t>实施要求：</w:t>
      </w:r>
    </w:p>
    <w:p>
      <w:pPr>
        <w:pStyle w:val="18810"/>
        <w:widowControl/>
        <w:spacing w:line="400" w:lineRule="exact"/>
        <w:ind w:firstLine="560" w:firstLineChars="200"/>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项目实施进度要求：</w:t>
      </w:r>
    </w:p>
    <w:p>
      <w:pPr>
        <w:pStyle w:val="18810"/>
        <w:widowControl/>
        <w:spacing w:line="400" w:lineRule="exact"/>
        <w:ind w:left="52" w:firstLine="507" w:firstLineChars="181"/>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投标人中标后，中标方须在1周内提供详细的项目实施进度计划以及实施人员入场证明文件。</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项目需在签订合同后1</w:t>
      </w:r>
      <w:r>
        <w:rPr>
          <w:rFonts w:eastAsia="方正仿宋_GBK" w:hint="eastAsia"/>
          <w:snapToGrid w:val="0"/>
          <w:sz w:val="28"/>
          <w:szCs w:val="28"/>
          <w:lang w:val="zh-CN" w:eastAsia="zh-CN" w:bidi="en-US"/>
        </w:rPr>
        <w:t>2</w:t>
      </w:r>
      <w:r>
        <w:rPr>
          <w:rFonts w:eastAsia="方正仿宋_GBK"/>
          <w:snapToGrid w:val="0"/>
          <w:sz w:val="28"/>
          <w:szCs w:val="28"/>
          <w:lang w:val="zh-CN" w:eastAsia="zh-CN" w:bidi="en-US"/>
        </w:rPr>
        <w:t>个月内完成项目实施，具体工期要求为：</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实施计划及方案：全部货物交货完成，完成编写整体项目实施方案</w:t>
      </w:r>
      <w:r>
        <w:rPr>
          <w:rFonts w:eastAsia="方正仿宋_GBK" w:hint="eastAsia"/>
          <w:snapToGrid w:val="0"/>
          <w:sz w:val="28"/>
          <w:szCs w:val="28"/>
          <w:lang w:val="zh-CN" w:eastAsia="zh-CN" w:bidi="en-US"/>
        </w:rPr>
        <w:t>(含数据迁移方案)</w:t>
      </w:r>
      <w:r>
        <w:rPr>
          <w:rFonts w:eastAsia="方正仿宋_GBK"/>
          <w:snapToGrid w:val="0"/>
          <w:sz w:val="28"/>
          <w:szCs w:val="28"/>
          <w:lang w:val="zh-CN" w:eastAsia="zh-CN" w:bidi="en-US"/>
        </w:rPr>
        <w:t>，工期1个月，合同签订后1个月完成；</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安装及集成适配：工期3个月，合同签订后4个月完成；</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联调测试：4个月，合同签订后</w:t>
      </w:r>
      <w:r>
        <w:rPr>
          <w:rFonts w:eastAsia="方正仿宋_GBK" w:hint="eastAsia"/>
          <w:snapToGrid w:val="0"/>
          <w:sz w:val="28"/>
          <w:szCs w:val="28"/>
          <w:lang w:val="zh-CN" w:eastAsia="zh-CN" w:bidi="en-US"/>
        </w:rPr>
        <w:t>8</w:t>
      </w:r>
      <w:r>
        <w:rPr>
          <w:rFonts w:eastAsia="方正仿宋_GBK"/>
          <w:snapToGrid w:val="0"/>
          <w:sz w:val="28"/>
          <w:szCs w:val="28"/>
          <w:lang w:val="zh-CN" w:eastAsia="zh-CN" w:bidi="en-US"/>
        </w:rPr>
        <w:t>个月完成；</w:t>
      </w:r>
    </w:p>
    <w:p>
      <w:pPr>
        <w:pStyle w:val="18810"/>
        <w:widowControl/>
        <w:spacing w:line="400" w:lineRule="exact"/>
        <w:ind w:firstLine="560" w:firstLineChars="200"/>
        <w:jc w:val="left"/>
        <w:textAlignment w:val="center"/>
        <w:rPr>
          <w:rFonts w:eastAsia="方正仿宋_GBK" w:cs="微软雅黑"/>
          <w:b/>
          <w:bCs/>
          <w:snapToGrid w:val="0"/>
          <w:sz w:val="28"/>
          <w:szCs w:val="28"/>
        </w:rPr>
      </w:pPr>
      <w:r>
        <w:rPr>
          <w:rFonts w:eastAsia="方正仿宋_GBK"/>
          <w:snapToGrid w:val="0"/>
          <w:sz w:val="28"/>
          <w:szCs w:val="28"/>
          <w:lang w:val="zh-CN" w:eastAsia="zh-CN" w:bidi="en-US"/>
        </w:rPr>
        <w:t>试运行：4个月，合同签订后12个月完成，期间配合试点项目切换；</w:t>
      </w:r>
    </w:p>
    <w:p>
      <w:pPr>
        <w:pStyle w:val="18810"/>
        <w:widowControl/>
        <w:spacing w:line="400" w:lineRule="exact"/>
        <w:ind w:firstLine="560" w:firstLineChars="200"/>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项目实施团队要求：</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bidi="en-US"/>
        </w:rPr>
        <w:t>投标人为组成团队的相关人员缴纳的自招标公告发布之月前（不含当月）六个月内任意一个月社保缴纳证明复印件并加盖投标人公章</w:t>
      </w:r>
      <w:r>
        <w:rPr>
          <w:rFonts w:eastAsia="方正仿宋_GBK"/>
          <w:snapToGrid w:val="0"/>
          <w:sz w:val="28"/>
          <w:szCs w:val="28"/>
          <w:lang w:val="zh-CN" w:bidi="en-US"/>
        </w:rPr>
        <w:t>。</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项目实施期间（1</w:t>
      </w:r>
      <w:r>
        <w:rPr>
          <w:rFonts w:eastAsia="方正仿宋_GBK" w:hint="eastAsia"/>
          <w:snapToGrid w:val="0"/>
          <w:sz w:val="28"/>
          <w:szCs w:val="28"/>
          <w:lang w:val="zh-CN" w:eastAsia="zh-CN" w:bidi="en-US"/>
        </w:rPr>
        <w:t>2</w:t>
      </w:r>
      <w:r>
        <w:rPr>
          <w:rFonts w:eastAsia="方正仿宋_GBK"/>
          <w:snapToGrid w:val="0"/>
          <w:sz w:val="28"/>
          <w:szCs w:val="28"/>
          <w:lang w:val="zh-CN" w:eastAsia="zh-CN" w:bidi="en-US"/>
        </w:rPr>
        <w:t>个月）配置具有项目</w:t>
      </w:r>
      <w:r>
        <w:rPr>
          <w:rFonts w:eastAsia="方正仿宋_GBK" w:hint="eastAsia"/>
          <w:snapToGrid w:val="0"/>
          <w:color w:val="000000"/>
          <w:sz w:val="28"/>
          <w:szCs w:val="28"/>
          <w:lang w:val="zh-CN" w:eastAsia="zh-CN" w:bidi="en-US"/>
        </w:rPr>
        <w:t>经验</w:t>
      </w:r>
      <w:r>
        <w:rPr>
          <w:rFonts w:eastAsia="方正仿宋_GBK"/>
          <w:snapToGrid w:val="0"/>
          <w:sz w:val="28"/>
          <w:szCs w:val="28"/>
          <w:lang w:val="zh-CN" w:eastAsia="zh-CN" w:bidi="en-US"/>
        </w:rPr>
        <w:t>优势的驻场人力资源，实施项目团队至少安排项目经理1名（负责人），技术经理1人，实施（至少3人）、</w:t>
      </w:r>
      <w:r>
        <w:rPr>
          <w:rFonts w:eastAsia="方正仿宋_GBK" w:hint="eastAsia"/>
          <w:snapToGrid w:val="0"/>
          <w:sz w:val="28"/>
          <w:szCs w:val="28"/>
          <w:lang w:val="zh-CN" w:eastAsia="zh-CN" w:bidi="en-US"/>
        </w:rPr>
        <w:t>集成（</w:t>
      </w:r>
      <w:r>
        <w:rPr>
          <w:rFonts w:eastAsia="方正仿宋_GBK"/>
          <w:snapToGrid w:val="0"/>
          <w:sz w:val="28"/>
          <w:szCs w:val="28"/>
          <w:lang w:val="zh-CN" w:eastAsia="zh-CN" w:bidi="en-US"/>
        </w:rPr>
        <w:t>至少2人</w:t>
      </w:r>
      <w:r>
        <w:rPr>
          <w:rFonts w:eastAsia="方正仿宋_GBK" w:hint="eastAsia"/>
          <w:snapToGrid w:val="0"/>
          <w:sz w:val="28"/>
          <w:szCs w:val="28"/>
          <w:lang w:val="zh-CN" w:eastAsia="zh-CN" w:bidi="en-US"/>
        </w:rPr>
        <w:t>），</w:t>
      </w:r>
      <w:r>
        <w:rPr>
          <w:rFonts w:eastAsia="方正仿宋_GBK"/>
          <w:snapToGrid w:val="0"/>
          <w:sz w:val="28"/>
          <w:szCs w:val="28"/>
          <w:lang w:val="zh-CN" w:eastAsia="zh-CN" w:bidi="en-US"/>
        </w:rPr>
        <w:t>测试（至少2人）等共计至少</w:t>
      </w:r>
      <w:r>
        <w:rPr>
          <w:rFonts w:eastAsia="方正仿宋_GBK" w:hint="eastAsia"/>
          <w:snapToGrid w:val="0"/>
          <w:sz w:val="28"/>
          <w:szCs w:val="28"/>
          <w:lang w:val="zh-CN" w:eastAsia="zh-CN" w:bidi="en-US"/>
        </w:rPr>
        <w:t>9</w:t>
      </w:r>
      <w:r>
        <w:rPr>
          <w:rFonts w:eastAsia="方正仿宋_GBK"/>
          <w:snapToGrid w:val="0"/>
          <w:sz w:val="28"/>
          <w:szCs w:val="28"/>
          <w:lang w:val="zh-CN" w:eastAsia="zh-CN" w:bidi="en-US"/>
        </w:rPr>
        <w:t>名。</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项目经理</w:t>
      </w:r>
      <w:r>
        <w:rPr>
          <w:rFonts w:eastAsia="方正仿宋_GBK" w:hint="eastAsia"/>
          <w:snapToGrid w:val="0"/>
          <w:sz w:val="28"/>
          <w:szCs w:val="28"/>
          <w:lang w:val="zh-CN" w:eastAsia="zh-CN" w:bidi="en-US"/>
        </w:rPr>
        <w:t>：</w:t>
      </w:r>
    </w:p>
    <w:p>
      <w:pPr>
        <w:pStyle w:val="18810"/>
        <w:widowControl/>
        <w:spacing w:line="400" w:lineRule="exact"/>
        <w:ind w:firstLine="560" w:firstLineChars="200"/>
        <w:textAlignment w:val="center"/>
        <w:rPr>
          <w:rFonts w:eastAsia="方正仿宋_GBK"/>
          <w:snapToGrid w:val="0"/>
          <w:sz w:val="28"/>
          <w:szCs w:val="28"/>
          <w:lang w:val="zh-CN" w:bidi="en-US"/>
        </w:rPr>
      </w:pPr>
      <w:r>
        <w:rPr>
          <w:rFonts w:eastAsia="方正仿宋_GBK"/>
          <w:snapToGrid w:val="0"/>
          <w:sz w:val="28"/>
          <w:szCs w:val="28"/>
          <w:lang w:val="zh-CN" w:eastAsia="zh-CN" w:bidi="en-US"/>
        </w:rPr>
        <w:t>具有10年（含）及以上信息化系统建设项目管理经验，8年（含）以上呼叫中心项目管理经验。具备良好的团队协作精神，能利用自身能力提升团队整体研发效率，提高团队影响力。</w:t>
      </w:r>
    </w:p>
    <w:p>
      <w:pPr>
        <w:pStyle w:val="18810"/>
        <w:widowControl/>
        <w:spacing w:line="400" w:lineRule="exact"/>
        <w:ind w:firstLine="560" w:firstLineChars="200"/>
        <w:textAlignment w:val="center"/>
        <w:rPr>
          <w:rFonts w:eastAsia="方正仿宋_GBK"/>
          <w:snapToGrid w:val="0"/>
          <w:sz w:val="28"/>
          <w:szCs w:val="28"/>
          <w:lang w:val="zh-CN" w:bidi="en-US"/>
        </w:rPr>
      </w:pPr>
      <w:r>
        <w:rPr>
          <w:rFonts w:eastAsia="方正仿宋_GBK"/>
          <w:snapToGrid w:val="0"/>
          <w:sz w:val="28"/>
          <w:szCs w:val="28"/>
          <w:lang w:val="zh-CN" w:eastAsia="zh-CN" w:bidi="en-US"/>
        </w:rPr>
        <w:t>技术经理：</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bidi="en-US"/>
        </w:rPr>
        <w:t>须具备10年以上呼叫中心系统实施经验，至少主导完成8个同类系统实施项目，能通过技术方案优化缩短实施周期，提升实施效率。</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实施</w:t>
      </w:r>
      <w:r>
        <w:rPr>
          <w:rFonts w:eastAsia="方正仿宋_GBK"/>
          <w:snapToGrid w:val="0"/>
          <w:sz w:val="28"/>
          <w:szCs w:val="28"/>
          <w:lang w:val="zh-CN" w:eastAsia="zh-CN" w:bidi="en-US"/>
        </w:rPr>
        <w:t>工程师</w:t>
      </w:r>
      <w:r>
        <w:rPr>
          <w:rFonts w:eastAsia="方正仿宋_GBK" w:hint="eastAsia"/>
          <w:snapToGrid w:val="0"/>
          <w:sz w:val="28"/>
          <w:szCs w:val="28"/>
          <w:lang w:val="zh-CN" w:eastAsia="zh-CN" w:bidi="en-US"/>
        </w:rPr>
        <w:t>：</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应具有</w:t>
      </w:r>
      <w:r>
        <w:rPr>
          <w:rFonts w:eastAsia="方正仿宋_GBK" w:hint="eastAsia"/>
          <w:snapToGrid w:val="0"/>
          <w:sz w:val="28"/>
          <w:szCs w:val="28"/>
          <w:lang w:val="zh-CN" w:eastAsia="zh-CN" w:bidi="en-US"/>
        </w:rPr>
        <w:t>5</w:t>
      </w:r>
      <w:r>
        <w:rPr>
          <w:rFonts w:eastAsia="方正仿宋_GBK"/>
          <w:snapToGrid w:val="0"/>
          <w:sz w:val="28"/>
          <w:szCs w:val="28"/>
          <w:lang w:val="zh-CN" w:eastAsia="zh-CN" w:bidi="en-US"/>
        </w:rPr>
        <w:t>年（含）及以上呼叫中心系统</w:t>
      </w:r>
      <w:r>
        <w:rPr>
          <w:rFonts w:eastAsia="方正仿宋_GBK" w:hint="eastAsia"/>
          <w:snapToGrid w:val="0"/>
          <w:sz w:val="28"/>
          <w:szCs w:val="28"/>
          <w:lang w:val="zh-CN" w:eastAsia="zh-CN" w:bidi="en-US"/>
        </w:rPr>
        <w:t>实施</w:t>
      </w:r>
      <w:r>
        <w:rPr>
          <w:rFonts w:eastAsia="方正仿宋_GBK"/>
          <w:snapToGrid w:val="0"/>
          <w:sz w:val="28"/>
          <w:szCs w:val="28"/>
          <w:lang w:val="zh-CN" w:eastAsia="zh-CN" w:bidi="en-US"/>
        </w:rPr>
        <w:t>经验。</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实施</w:t>
      </w:r>
      <w:r>
        <w:rPr>
          <w:rFonts w:eastAsia="方正仿宋_GBK"/>
          <w:snapToGrid w:val="0"/>
          <w:sz w:val="28"/>
          <w:szCs w:val="28"/>
          <w:lang w:val="zh-CN" w:eastAsia="zh-CN" w:bidi="en-US"/>
        </w:rPr>
        <w:t>人员应具有3年（含）以上呼叫中心系统</w:t>
      </w:r>
      <w:r>
        <w:rPr>
          <w:rFonts w:eastAsia="方正仿宋_GBK" w:hint="eastAsia"/>
          <w:snapToGrid w:val="0"/>
          <w:sz w:val="28"/>
          <w:szCs w:val="28"/>
          <w:lang w:val="zh-CN" w:eastAsia="zh-CN" w:bidi="en-US"/>
        </w:rPr>
        <w:t>实施</w:t>
      </w:r>
      <w:r>
        <w:rPr>
          <w:rFonts w:eastAsia="方正仿宋_GBK"/>
          <w:snapToGrid w:val="0"/>
          <w:sz w:val="28"/>
          <w:szCs w:val="28"/>
          <w:lang w:val="zh-CN" w:eastAsia="zh-CN" w:bidi="en-US"/>
        </w:rPr>
        <w:t>经验，至少参与过</w:t>
      </w:r>
      <w:r>
        <w:rPr>
          <w:rFonts w:eastAsia="方正仿宋_GBK" w:hint="eastAsia"/>
          <w:snapToGrid w:val="0"/>
          <w:sz w:val="28"/>
          <w:szCs w:val="28"/>
          <w:lang w:val="zh-CN" w:eastAsia="zh-CN" w:bidi="en-US"/>
        </w:rPr>
        <w:t>5</w:t>
      </w:r>
      <w:r>
        <w:rPr>
          <w:rFonts w:eastAsia="方正仿宋_GBK"/>
          <w:snapToGrid w:val="0"/>
          <w:sz w:val="28"/>
          <w:szCs w:val="28"/>
          <w:lang w:val="zh-CN" w:eastAsia="zh-CN" w:bidi="en-US"/>
        </w:rPr>
        <w:t>个及以上相关系统的</w:t>
      </w:r>
      <w:r>
        <w:rPr>
          <w:rFonts w:eastAsia="方正仿宋_GBK" w:hint="eastAsia"/>
          <w:snapToGrid w:val="0"/>
          <w:sz w:val="28"/>
          <w:szCs w:val="28"/>
          <w:lang w:val="zh-CN" w:eastAsia="zh-CN" w:bidi="en-US"/>
        </w:rPr>
        <w:t>实施</w:t>
      </w:r>
      <w:r>
        <w:rPr>
          <w:rFonts w:eastAsia="方正仿宋_GBK"/>
          <w:snapToGrid w:val="0"/>
          <w:sz w:val="28"/>
          <w:szCs w:val="28"/>
          <w:lang w:val="zh-CN" w:eastAsia="zh-CN" w:bidi="en-US"/>
        </w:rPr>
        <w:t>项目。</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集成</w:t>
      </w:r>
      <w:r>
        <w:rPr>
          <w:rFonts w:eastAsia="方正仿宋_GBK"/>
          <w:snapToGrid w:val="0"/>
          <w:sz w:val="28"/>
          <w:szCs w:val="28"/>
          <w:lang w:val="zh-CN" w:eastAsia="zh-CN" w:bidi="en-US"/>
        </w:rPr>
        <w:t>工程师</w:t>
      </w:r>
      <w:r>
        <w:rPr>
          <w:rFonts w:eastAsia="方正仿宋_GBK" w:hint="eastAsia"/>
          <w:snapToGrid w:val="0"/>
          <w:sz w:val="28"/>
          <w:szCs w:val="28"/>
          <w:lang w:val="zh-CN" w:eastAsia="zh-CN" w:bidi="en-US"/>
        </w:rPr>
        <w:t>：</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应具有</w:t>
      </w:r>
      <w:r>
        <w:rPr>
          <w:rFonts w:eastAsia="方正仿宋_GBK" w:hint="eastAsia"/>
          <w:snapToGrid w:val="0"/>
          <w:sz w:val="28"/>
          <w:szCs w:val="28"/>
          <w:lang w:val="zh-CN" w:eastAsia="zh-CN" w:bidi="en-US"/>
        </w:rPr>
        <w:t>5</w:t>
      </w:r>
      <w:r>
        <w:rPr>
          <w:rFonts w:eastAsia="方正仿宋_GBK"/>
          <w:snapToGrid w:val="0"/>
          <w:sz w:val="28"/>
          <w:szCs w:val="28"/>
          <w:lang w:val="zh-CN" w:eastAsia="zh-CN" w:bidi="en-US"/>
        </w:rPr>
        <w:t>年（含）及以上呼叫中心系统</w:t>
      </w:r>
      <w:r>
        <w:rPr>
          <w:rFonts w:eastAsia="方正仿宋_GBK" w:hint="eastAsia"/>
          <w:snapToGrid w:val="0"/>
          <w:sz w:val="28"/>
          <w:szCs w:val="28"/>
          <w:lang w:val="zh-CN" w:eastAsia="zh-CN" w:bidi="en-US"/>
        </w:rPr>
        <w:t>集成</w:t>
      </w:r>
      <w:r>
        <w:rPr>
          <w:rFonts w:eastAsia="方正仿宋_GBK"/>
          <w:snapToGrid w:val="0"/>
          <w:sz w:val="28"/>
          <w:szCs w:val="28"/>
          <w:lang w:val="zh-CN" w:eastAsia="zh-CN" w:bidi="en-US"/>
        </w:rPr>
        <w:t>开发经验。至少参与过</w:t>
      </w:r>
      <w:r>
        <w:rPr>
          <w:rFonts w:eastAsia="方正仿宋_GBK" w:hint="eastAsia"/>
          <w:snapToGrid w:val="0"/>
          <w:sz w:val="28"/>
          <w:szCs w:val="28"/>
          <w:lang w:val="zh-CN" w:eastAsia="zh-CN" w:bidi="en-US"/>
        </w:rPr>
        <w:t>5</w:t>
      </w:r>
      <w:r>
        <w:rPr>
          <w:rFonts w:eastAsia="方正仿宋_GBK"/>
          <w:snapToGrid w:val="0"/>
          <w:sz w:val="28"/>
          <w:szCs w:val="28"/>
          <w:lang w:val="zh-CN" w:eastAsia="zh-CN" w:bidi="en-US"/>
        </w:rPr>
        <w:t>个及以上相关系统的</w:t>
      </w:r>
      <w:r>
        <w:rPr>
          <w:rFonts w:eastAsia="方正仿宋_GBK" w:hint="eastAsia"/>
          <w:snapToGrid w:val="0"/>
          <w:sz w:val="28"/>
          <w:szCs w:val="28"/>
          <w:lang w:val="zh-CN" w:eastAsia="zh-CN" w:bidi="en-US"/>
        </w:rPr>
        <w:t>开发</w:t>
      </w:r>
      <w:r>
        <w:rPr>
          <w:rFonts w:eastAsia="方正仿宋_GBK"/>
          <w:snapToGrid w:val="0"/>
          <w:sz w:val="28"/>
          <w:szCs w:val="28"/>
          <w:lang w:val="zh-CN" w:eastAsia="zh-CN" w:bidi="en-US"/>
        </w:rPr>
        <w:t>项目</w:t>
      </w:r>
      <w:r>
        <w:rPr>
          <w:rFonts w:eastAsia="方正仿宋_GBK" w:hint="eastAsia"/>
          <w:snapToGrid w:val="0"/>
          <w:sz w:val="28"/>
          <w:szCs w:val="28"/>
          <w:lang w:val="zh-CN" w:eastAsia="zh-CN" w:bidi="en-US"/>
        </w:rPr>
        <w:t>。</w:t>
      </w:r>
    </w:p>
    <w:p>
      <w:pPr>
        <w:pStyle w:val="18810"/>
        <w:widowControl/>
        <w:spacing w:line="400" w:lineRule="exact"/>
        <w:ind w:left="52" w:firstLine="507" w:firstLineChars="181"/>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测试工程师：</w:t>
      </w:r>
    </w:p>
    <w:p>
      <w:pPr>
        <w:pStyle w:val="18810"/>
        <w:widowControl/>
        <w:spacing w:line="400" w:lineRule="exact"/>
        <w:ind w:left="52" w:firstLine="507" w:firstLineChars="181"/>
        <w:jc w:val="left"/>
        <w:textAlignment w:val="center"/>
        <w:rPr>
          <w:rFonts w:eastAsia="方正仿宋_GBK" w:cs="微软雅黑"/>
          <w:b/>
          <w:bCs/>
          <w:snapToGrid w:val="0"/>
          <w:sz w:val="28"/>
          <w:szCs w:val="28"/>
        </w:rPr>
      </w:pPr>
      <w:r>
        <w:rPr>
          <w:rFonts w:eastAsia="方正仿宋_GBK"/>
          <w:snapToGrid w:val="0"/>
          <w:sz w:val="28"/>
          <w:szCs w:val="28"/>
          <w:lang w:val="zh-CN" w:eastAsia="zh-CN" w:bidi="en-US"/>
        </w:rPr>
        <w:t>测试人员应具有3年（含）以上呼叫中心系统</w:t>
      </w:r>
      <w:r>
        <w:rPr>
          <w:rFonts w:eastAsia="方正仿宋_GBK" w:hint="eastAsia"/>
          <w:snapToGrid w:val="0"/>
          <w:sz w:val="28"/>
          <w:szCs w:val="28"/>
          <w:lang w:val="zh-CN" w:eastAsia="zh-CN" w:bidi="en-US"/>
        </w:rPr>
        <w:t>测试</w:t>
      </w:r>
      <w:r>
        <w:rPr>
          <w:rFonts w:eastAsia="方正仿宋_GBK"/>
          <w:snapToGrid w:val="0"/>
          <w:sz w:val="28"/>
          <w:szCs w:val="28"/>
          <w:lang w:val="zh-CN" w:eastAsia="zh-CN" w:bidi="en-US"/>
        </w:rPr>
        <w:t>经验。</w:t>
      </w:r>
      <w:r>
        <w:rPr>
          <w:rFonts w:eastAsia="方正仿宋_GBK" w:hint="eastAsia"/>
          <w:snapToGrid w:val="0"/>
          <w:sz w:val="28"/>
          <w:szCs w:val="28"/>
          <w:lang w:val="zh-CN" w:eastAsia="zh-CN" w:bidi="en-US"/>
        </w:rPr>
        <w:t>熟练掌握缺陷管理工具的使用；熟练掌握数据库操作，能完成增删改查等操作；了解自动化测试框架，能编写相关自动化脚本；掌握接口测试和性能测试工具。</w:t>
      </w:r>
    </w:p>
    <w:p>
      <w:pPr>
        <w:pStyle w:val="List2"/>
        <w:spacing w:line="400" w:lineRule="exact"/>
        <w:ind w:left="21" w:firstLine="560" w:leftChars="10" w:firstLineChars="200"/>
        <w:rPr>
          <w:lang w:val="zh-CN" w:bidi="en-US"/>
        </w:rPr>
      </w:pPr>
      <w:r>
        <w:rPr>
          <w:rFonts w:eastAsia="方正仿宋_GBK" w:cs="微软雅黑" w:hint="eastAsia"/>
          <w:b/>
          <w:bCs/>
          <w:snapToGrid w:val="0"/>
          <w:sz w:val="28"/>
          <w:szCs w:val="28"/>
          <w:lang w:bidi="ar-SA"/>
        </w:rPr>
        <w:t>项目实施过程要求：</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实施前，采购人对投标人提供的服务人员进行面试，不满足上述要求的，投标人应在接到采购人通知后3个工作日内提供符合要求的备选人员，直至满足为止。</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明确项目人员在本项目中的岗位职责及管理权限，以确保项目顺利交付。</w:t>
      </w:r>
    </w:p>
    <w:p>
      <w:pPr>
        <w:pStyle w:val="18810"/>
        <w:widowControl/>
        <w:spacing w:line="400" w:lineRule="exact"/>
        <w:ind w:firstLine="560" w:firstLineChars="200"/>
        <w:jc w:val="left"/>
        <w:textAlignment w:val="center"/>
        <w:rPr>
          <w:rFonts w:eastAsia="方正仿宋_GBK" w:cs="微软雅黑"/>
          <w:snapToGrid w:val="0"/>
          <w:sz w:val="28"/>
          <w:szCs w:val="28"/>
        </w:rPr>
      </w:pPr>
      <w:r>
        <w:rPr>
          <w:rFonts w:eastAsia="方正仿宋_GBK" w:cs="微软雅黑" w:hint="eastAsia"/>
          <w:snapToGrid w:val="0"/>
          <w:sz w:val="28"/>
          <w:szCs w:val="28"/>
          <w:lang w:bidi="ar-SA"/>
        </w:rPr>
        <w:t>实施团队所有人员不得有违法行为记录，入场时需提供实施团队人员的无犯罪证明</w:t>
      </w:r>
      <w:r>
        <w:rPr>
          <w:rFonts w:eastAsia="方正仿宋_GBK" w:cs="微软雅黑"/>
          <w:snapToGrid w:val="0"/>
          <w:sz w:val="28"/>
          <w:szCs w:val="28"/>
          <w:lang w:bidi="ar-SA"/>
        </w:rPr>
        <w:t>等相关材料</w:t>
      </w:r>
      <w:r>
        <w:rPr>
          <w:rFonts w:eastAsia="方正仿宋_GBK" w:cs="微软雅黑" w:hint="eastAsia"/>
          <w:snapToGrid w:val="0"/>
          <w:sz w:val="28"/>
          <w:szCs w:val="28"/>
          <w:lang w:bidi="ar-SA"/>
        </w:rPr>
        <w:t>。</w:t>
      </w:r>
    </w:p>
    <w:p>
      <w:pPr>
        <w:pStyle w:val="18810"/>
        <w:widowControl/>
        <w:spacing w:line="400" w:lineRule="exact"/>
        <w:ind w:firstLine="560" w:firstLineChars="200"/>
        <w:jc w:val="left"/>
        <w:textAlignment w:val="center"/>
        <w:rPr>
          <w:rFonts w:eastAsia="方正仿宋_GBK" w:cs="微软雅黑"/>
          <w:snapToGrid w:val="0"/>
          <w:sz w:val="28"/>
          <w:szCs w:val="28"/>
        </w:rPr>
      </w:pPr>
      <w:r>
        <w:rPr>
          <w:rFonts w:eastAsia="方正仿宋_GBK" w:cs="微软雅黑" w:hint="eastAsia"/>
          <w:b/>
          <w:bCs/>
          <w:snapToGrid w:val="0"/>
          <w:sz w:val="28"/>
          <w:szCs w:val="28"/>
          <w:lang w:val="zh-CN" w:eastAsia="zh-CN" w:bidi="ar-SA"/>
        </w:rPr>
        <w:t>项目验收：</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由海关组织相关业务、技术专家进行评审。投标人需承诺协助为验收提供相关服务，</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系统试运行结束4个月后，由中标方申请项目验收。</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系统验收合格的条件必须至少满足以下要求：</w:t>
      </w:r>
    </w:p>
    <w:p>
      <w:pPr>
        <w:pStyle w:val="9210"/>
        <w:widowControl/>
        <w:spacing w:line="400" w:lineRule="exact"/>
        <w:ind w:firstLine="560" w:firstLineChars="200"/>
        <w:jc w:val="left"/>
        <w:textAlignment w:val="center"/>
        <w:rPr>
          <w:rFonts w:eastAsia="方正仿宋_GBK"/>
          <w:bCs/>
          <w:snapToGrid w:val="0"/>
          <w:sz w:val="28"/>
          <w:szCs w:val="28"/>
          <w:lang w:val="zh-CN" w:bidi="en-US"/>
        </w:rPr>
      </w:pPr>
      <w:r>
        <w:rPr>
          <w:rFonts w:eastAsia="方正仿宋_GBK" w:hint="eastAsia"/>
          <w:snapToGrid w:val="0"/>
          <w:sz w:val="28"/>
          <w:szCs w:val="28"/>
          <w:lang w:val="zh-CN" w:eastAsia="zh-CN" w:bidi="en-US"/>
        </w:rPr>
        <w:t>由海关组织相关业务、技术专家进行评审</w:t>
      </w:r>
      <w:r>
        <w:rPr>
          <w:rFonts w:eastAsia="方正仿宋_GBK"/>
          <w:snapToGrid w:val="0"/>
          <w:sz w:val="28"/>
          <w:szCs w:val="28"/>
          <w:lang w:val="zh-CN" w:eastAsia="zh-CN" w:bidi="en-US"/>
        </w:rPr>
        <w:t>，</w:t>
      </w:r>
      <w:r>
        <w:rPr>
          <w:rFonts w:eastAsia="方正仿宋_GBK" w:hint="eastAsia"/>
          <w:snapToGrid w:val="0"/>
          <w:sz w:val="28"/>
          <w:szCs w:val="28"/>
          <w:lang w:val="zh-CN" w:eastAsia="zh-CN" w:bidi="en-US"/>
        </w:rPr>
        <w:t>投标人需承诺协助为验收提供相关服务</w:t>
      </w:r>
      <w:r>
        <w:rPr>
          <w:rFonts w:eastAsia="方正仿宋_GBK"/>
          <w:snapToGrid w:val="0"/>
          <w:sz w:val="28"/>
          <w:szCs w:val="28"/>
          <w:lang w:val="zh-CN" w:eastAsia="zh-CN" w:bidi="en-US"/>
        </w:rPr>
        <w:t>，且验收通过。</w:t>
      </w:r>
    </w:p>
    <w:p>
      <w:pPr>
        <w:pStyle w:val="7010"/>
        <w:spacing w:line="400" w:lineRule="exact"/>
        <w:ind w:firstLine="560" w:firstLineChars="200"/>
        <w:rPr>
          <w:rFonts w:eastAsia="方正仿宋_GBK"/>
          <w:bCs/>
          <w:snapToGrid w:val="0"/>
          <w:sz w:val="28"/>
          <w:szCs w:val="28"/>
          <w:lang w:val="zh-CN" w:bidi="en-US"/>
        </w:rPr>
      </w:pPr>
      <w:r>
        <w:rPr>
          <w:rFonts w:ascii="Times New Roman" w:eastAsia="方正仿宋_GBK" w:hAnsi="Times New Roman" w:cs="Times New Roman"/>
          <w:bCs/>
          <w:snapToGrid w:val="0"/>
          <w:sz w:val="28"/>
          <w:szCs w:val="28"/>
          <w:lang w:val="zh-CN" w:eastAsia="zh-CN" w:bidi="en-US"/>
        </w:rPr>
        <w:t>形成</w:t>
      </w:r>
      <w:r>
        <w:rPr>
          <w:rFonts w:ascii="Times New Roman" w:eastAsia="方正仿宋_GBK" w:hAnsi="Times New Roman" w:cs="Times New Roman" w:hint="eastAsia"/>
          <w:snapToGrid w:val="0"/>
          <w:sz w:val="28"/>
          <w:szCs w:val="28"/>
          <w:lang w:val="zh-CN" w:eastAsia="zh-CN" w:bidi="en-US"/>
        </w:rPr>
        <w:t>海关热线系统升级（产品及专用设备）项目</w:t>
      </w:r>
      <w:r>
        <w:rPr>
          <w:rFonts w:ascii="Times New Roman" w:eastAsia="方正仿宋_GBK" w:hAnsi="Times New Roman" w:cs="Times New Roman"/>
          <w:snapToGrid w:val="0"/>
          <w:sz w:val="28"/>
          <w:szCs w:val="28"/>
          <w:lang w:val="zh-CN" w:eastAsia="zh-CN" w:bidi="en-US"/>
        </w:rPr>
        <w:t>使用</w:t>
      </w:r>
      <w:r>
        <w:rPr>
          <w:rFonts w:ascii="Times New Roman" w:eastAsia="方正仿宋_GBK" w:hAnsi="Times New Roman" w:cs="Times New Roman"/>
          <w:bCs/>
          <w:snapToGrid w:val="0"/>
          <w:sz w:val="28"/>
          <w:szCs w:val="28"/>
          <w:lang w:val="zh-CN" w:eastAsia="zh-CN" w:bidi="en-US"/>
        </w:rPr>
        <w:t>调研报告；</w:t>
      </w:r>
    </w:p>
    <w:p>
      <w:pPr>
        <w:pStyle w:val="78"/>
        <w:spacing w:after="0" w:line="400" w:lineRule="exact"/>
        <w:ind w:firstLine="560" w:firstLineChars="200"/>
        <w:rPr>
          <w:rFonts w:ascii="Times New Roman" w:eastAsia="方正仿宋_GBK" w:hAnsi="Times New Roman"/>
          <w:bCs/>
          <w:snapToGrid w:val="0"/>
          <w:sz w:val="28"/>
          <w:lang w:val="zh-CN" w:bidi="en-US"/>
        </w:rPr>
      </w:pPr>
      <w:r>
        <w:rPr>
          <w:rFonts w:ascii="Times New Roman" w:eastAsia="方正仿宋_GBK" w:hAnsi="Times New Roman"/>
          <w:bCs/>
          <w:snapToGrid w:val="0"/>
          <w:kern w:val="2"/>
          <w:sz w:val="28"/>
          <w:szCs w:val="28"/>
          <w:lang w:val="zh-CN" w:eastAsia="zh-CN" w:bidi="en-US"/>
        </w:rPr>
        <w:t>形成</w:t>
      </w:r>
      <w:r>
        <w:rPr>
          <w:rFonts w:ascii="Times New Roman" w:eastAsia="方正仿宋_GBK" w:hAnsi="Times New Roman" w:hint="eastAsia"/>
          <w:snapToGrid w:val="0"/>
          <w:kern w:val="2"/>
          <w:sz w:val="28"/>
          <w:szCs w:val="28"/>
          <w:lang w:val="zh-CN" w:eastAsia="zh-CN" w:bidi="en-US"/>
        </w:rPr>
        <w:t>海关热线系统升级（产品及专用设备）项目</w:t>
      </w:r>
      <w:r>
        <w:rPr>
          <w:rFonts w:ascii="Times New Roman" w:eastAsia="方正仿宋_GBK" w:hAnsi="Times New Roman"/>
          <w:bCs/>
          <w:snapToGrid w:val="0"/>
          <w:kern w:val="2"/>
          <w:sz w:val="28"/>
          <w:szCs w:val="28"/>
          <w:lang w:val="zh-CN" w:eastAsia="zh-CN" w:bidi="en-US"/>
        </w:rPr>
        <w:t>系统架构方案；</w:t>
      </w:r>
    </w:p>
    <w:p>
      <w:pPr>
        <w:pStyle w:val="78"/>
        <w:spacing w:after="0" w:line="400" w:lineRule="exact"/>
        <w:ind w:firstLine="560" w:firstLineChars="200"/>
        <w:rPr>
          <w:rFonts w:ascii="Times New Roman" w:eastAsia="方正仿宋_GBK" w:hAnsi="Times New Roman"/>
          <w:bCs/>
          <w:snapToGrid w:val="0"/>
          <w:sz w:val="28"/>
          <w:lang w:val="zh-CN" w:bidi="en-US"/>
        </w:rPr>
      </w:pPr>
      <w:r>
        <w:rPr>
          <w:rFonts w:ascii="Times New Roman" w:eastAsia="方正仿宋_GBK" w:hAnsi="Times New Roman"/>
          <w:bCs/>
          <w:snapToGrid w:val="0"/>
          <w:kern w:val="2"/>
          <w:sz w:val="28"/>
          <w:szCs w:val="28"/>
          <w:lang w:val="zh-CN" w:eastAsia="zh-CN" w:bidi="en-US"/>
        </w:rPr>
        <w:t>完成</w:t>
      </w:r>
      <w:r>
        <w:rPr>
          <w:rFonts w:ascii="Times New Roman" w:eastAsia="方正仿宋_GBK" w:hAnsi="Times New Roman" w:hint="eastAsia"/>
          <w:snapToGrid w:val="0"/>
          <w:kern w:val="2"/>
          <w:sz w:val="28"/>
          <w:szCs w:val="28"/>
          <w:lang w:val="zh-CN" w:eastAsia="zh-CN" w:bidi="en-US"/>
        </w:rPr>
        <w:t>海关热线系统升级（产品及专用设备）项目</w:t>
      </w:r>
      <w:r>
        <w:rPr>
          <w:rFonts w:ascii="Times New Roman" w:eastAsia="方正仿宋_GBK" w:hAnsi="Times New Roman"/>
          <w:snapToGrid w:val="0"/>
          <w:kern w:val="2"/>
          <w:sz w:val="28"/>
          <w:szCs w:val="28"/>
          <w:lang w:val="zh-CN" w:eastAsia="zh-CN" w:bidi="en-US"/>
        </w:rPr>
        <w:t>全</w:t>
      </w:r>
      <w:r>
        <w:rPr>
          <w:rFonts w:ascii="Times New Roman" w:eastAsia="方正仿宋_GBK" w:hAnsi="Times New Roman"/>
          <w:bCs/>
          <w:snapToGrid w:val="0"/>
          <w:kern w:val="2"/>
          <w:sz w:val="28"/>
          <w:szCs w:val="28"/>
          <w:lang w:val="zh-CN" w:eastAsia="zh-CN" w:bidi="en-US"/>
        </w:rPr>
        <w:t>模块集成、安装调试、接口开发、功能调优、数据迁移、入原版库等工作；</w:t>
      </w:r>
    </w:p>
    <w:p>
      <w:pPr>
        <w:pStyle w:val="92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hint="eastAsia"/>
          <w:snapToGrid w:val="0"/>
          <w:sz w:val="28"/>
          <w:szCs w:val="28"/>
          <w:lang w:val="zh-CN" w:eastAsia="zh-CN" w:bidi="en-US"/>
        </w:rPr>
        <w:t>系统上线运行时功能、性能满足国家相关标准、合同和实施方案的要求，</w:t>
      </w:r>
      <w:r>
        <w:rPr>
          <w:rFonts w:eastAsia="方正仿宋_GBK" w:hint="eastAsia"/>
          <w:bCs/>
          <w:snapToGrid w:val="0"/>
          <w:sz w:val="28"/>
          <w:szCs w:val="28"/>
          <w:lang w:val="zh-CN" w:eastAsia="zh-CN" w:bidi="en-US"/>
        </w:rPr>
        <w:t>出具试运行报告，交付</w:t>
      </w:r>
      <w:r>
        <w:rPr>
          <w:rFonts w:eastAsia="方正仿宋_GBK"/>
          <w:bCs/>
          <w:snapToGrid w:val="0"/>
          <w:sz w:val="28"/>
          <w:szCs w:val="28"/>
          <w:lang w:val="zh-CN" w:eastAsia="zh-CN" w:bidi="en-US"/>
        </w:rPr>
        <w:t>集成</w:t>
      </w:r>
      <w:r>
        <w:rPr>
          <w:rFonts w:eastAsia="方正仿宋_GBK" w:hint="eastAsia"/>
          <w:bCs/>
          <w:snapToGrid w:val="0"/>
          <w:sz w:val="28"/>
          <w:szCs w:val="28"/>
          <w:lang w:val="zh-CN" w:eastAsia="zh-CN" w:bidi="en-US"/>
        </w:rPr>
        <w:t>开发源码源码、</w:t>
      </w:r>
      <w:r>
        <w:rPr>
          <w:rFonts w:eastAsia="方正仿宋_GBK" w:hint="eastAsia"/>
          <w:snapToGrid w:val="0"/>
          <w:sz w:val="28"/>
          <w:szCs w:val="28"/>
          <w:lang w:val="zh-CN" w:eastAsia="zh-CN" w:bidi="en-US"/>
        </w:rPr>
        <w:t>项目资料和技术资料</w:t>
      </w:r>
      <w:r>
        <w:rPr>
          <w:rFonts w:eastAsia="方正仿宋_GBK" w:hint="eastAsia"/>
          <w:bCs/>
          <w:snapToGrid w:val="0"/>
          <w:sz w:val="28"/>
          <w:szCs w:val="28"/>
          <w:lang w:val="zh-CN" w:eastAsia="zh-CN" w:bidi="en-US"/>
        </w:rPr>
        <w:t>。</w:t>
      </w:r>
    </w:p>
    <w:p>
      <w:pPr>
        <w:pStyle w:val="16610"/>
        <w:spacing w:line="400" w:lineRule="exact"/>
        <w:rPr>
          <w:rFonts w:eastAsia="方正仿宋_GBK"/>
          <w:snapToGrid w:val="0"/>
          <w:sz w:val="28"/>
          <w:szCs w:val="28"/>
          <w:lang w:val="zh-CN" w:bidi="en-US"/>
        </w:rPr>
      </w:pPr>
      <w:r>
        <w:rPr>
          <w:rFonts w:eastAsia="方正仿宋_GBK" w:hint="eastAsia"/>
          <w:snapToGrid w:val="0"/>
          <w:sz w:val="28"/>
          <w:szCs w:val="28"/>
          <w:lang w:val="zh-CN" w:eastAsia="zh-CN" w:bidi="en-US"/>
        </w:rPr>
        <w:t>系统总体功能、性能测试、安全测试、安全漏洞和试运行验收时出现的问题已被解决；</w:t>
      </w:r>
    </w:p>
    <w:p>
      <w:pPr>
        <w:pStyle w:val="16610"/>
        <w:spacing w:line="400" w:lineRule="exact"/>
        <w:ind w:firstLine="560" w:firstLineChars="200"/>
        <w:rPr>
          <w:rFonts w:eastAsia="方正仿宋_GBK" w:cs="微软雅黑"/>
          <w:b/>
          <w:bCs/>
          <w:snapToGrid w:val="0"/>
          <w:sz w:val="28"/>
          <w:szCs w:val="28"/>
          <w:lang w:val="zh-CN" w:bidi="en-US"/>
        </w:rPr>
      </w:pPr>
      <w:r>
        <w:rPr>
          <w:rFonts w:eastAsia="方正仿宋_GBK" w:cs="微软雅黑" w:hint="eastAsia"/>
          <w:b/>
          <w:bCs/>
          <w:snapToGrid w:val="0"/>
          <w:sz w:val="28"/>
          <w:szCs w:val="28"/>
          <w:lang w:val="zh-CN" w:eastAsia="zh-CN" w:bidi="en-US"/>
        </w:rPr>
        <w:t>以上要求，</w:t>
      </w:r>
      <w:r>
        <w:rPr>
          <w:rFonts w:eastAsia="方正仿宋_GBK" w:cs="微软雅黑"/>
          <w:b/>
          <w:bCs/>
          <w:snapToGrid w:val="0"/>
          <w:sz w:val="28"/>
          <w:szCs w:val="28"/>
          <w:lang w:val="zh-CN" w:eastAsia="zh-CN" w:bidi="en-US"/>
        </w:rPr>
        <w:t>投标人</w:t>
      </w:r>
      <w:r>
        <w:rPr>
          <w:rFonts w:eastAsia="方正仿宋_GBK" w:cs="微软雅黑" w:hint="eastAsia"/>
          <w:b/>
          <w:bCs/>
          <w:snapToGrid w:val="0"/>
          <w:sz w:val="28"/>
          <w:szCs w:val="28"/>
          <w:lang w:bidi="ar-SA"/>
        </w:rPr>
        <w:t>提供</w:t>
      </w:r>
      <w:r>
        <w:rPr>
          <w:rFonts w:eastAsia="方正仿宋_GBK" w:cs="微软雅黑"/>
          <w:b/>
          <w:bCs/>
          <w:snapToGrid w:val="0"/>
          <w:sz w:val="28"/>
          <w:szCs w:val="28"/>
          <w:lang w:bidi="ar-SA"/>
        </w:rPr>
        <w:t>上述特殊注明的</w:t>
      </w:r>
      <w:r>
        <w:rPr>
          <w:rFonts w:eastAsia="方正仿宋_GBK" w:cs="微软雅黑" w:hint="eastAsia"/>
          <w:b/>
          <w:bCs/>
          <w:snapToGrid w:val="0"/>
          <w:sz w:val="28"/>
          <w:szCs w:val="28"/>
          <w:lang w:bidi="ar-SA"/>
        </w:rPr>
        <w:t>证明材料、《拟投入本项目的团队情况表》</w:t>
      </w:r>
      <w:r>
        <w:rPr>
          <w:rFonts w:eastAsia="方正仿宋_GBK" w:cs="微软雅黑"/>
          <w:b/>
          <w:bCs/>
          <w:snapToGrid w:val="0"/>
          <w:sz w:val="28"/>
          <w:szCs w:val="28"/>
          <w:lang w:bidi="ar-SA"/>
        </w:rPr>
        <w:t>、</w:t>
      </w:r>
      <w:r>
        <w:rPr>
          <w:rFonts w:eastAsia="方正仿宋_GBK" w:cs="微软雅黑" w:hint="eastAsia"/>
          <w:b/>
          <w:bCs/>
          <w:snapToGrid w:val="0"/>
          <w:sz w:val="28"/>
          <w:szCs w:val="28"/>
          <w:lang w:bidi="ar-SA"/>
        </w:rPr>
        <w:t>《拟投入本项目的项目经理及技术人员简介》</w:t>
      </w:r>
      <w:r>
        <w:rPr>
          <w:rFonts w:eastAsia="方正仿宋_GBK" w:cs="微软雅黑" w:hint="eastAsia"/>
          <w:b/>
          <w:bCs/>
          <w:snapToGrid w:val="0"/>
          <w:sz w:val="28"/>
          <w:szCs w:val="28"/>
          <w:lang w:val="zh-CN" w:eastAsia="zh-CN" w:bidi="en-US"/>
        </w:rPr>
        <w:t>。</w:t>
      </w:r>
    </w:p>
    <w:p>
      <w:pPr>
        <w:pStyle w:val="16610"/>
        <w:spacing w:line="400" w:lineRule="exact"/>
        <w:rPr>
          <w:rFonts w:eastAsia="方正仿宋_GBK" w:cs="宋体"/>
          <w:snapToGrid w:val="0"/>
          <w:sz w:val="28"/>
          <w:szCs w:val="28"/>
          <w:lang w:val="zh-CN" w:bidi="en-US"/>
        </w:rPr>
      </w:pPr>
      <w:r>
        <w:rPr>
          <w:rFonts w:eastAsia="方正仿宋_GBK" w:cs="宋体" w:hint="eastAsia"/>
          <w:snapToGrid w:val="0"/>
          <w:sz w:val="28"/>
          <w:szCs w:val="28"/>
          <w:lang w:val="zh-CN" w:eastAsia="zh-CN" w:bidi="en-US"/>
        </w:rPr>
        <w:t>5、</w:t>
      </w:r>
      <w:r>
        <w:rPr>
          <w:rFonts w:eastAsia="方正仿宋_GBK" w:cs="宋体"/>
          <w:snapToGrid w:val="0"/>
          <w:sz w:val="28"/>
          <w:szCs w:val="28"/>
          <w:lang w:val="zh-CN" w:eastAsia="zh-CN" w:bidi="en-US"/>
        </w:rPr>
        <w:t>履约期（项目建设及质保期间）内驻场要求</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 xml:space="preserve">履约期驻场地点由采购人指定（北京市顺义区、东城区或国内指定地点）。  </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驻场期间场租、专线、网络保障等费用由投标人自行承担。</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 xml:space="preserve">投标人需保证驻场人员稳定，不得擅自更换。若因离职等特殊情况需更换，应提前1个月书面告知采购人，并安排能力相当的新人员接受面试，通过后完成交接方可更换。  </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投标人须提供驻场人员名单、学历、项目履历、职责分工，以及</w:t>
      </w:r>
      <w:r>
        <w:rPr>
          <w:rFonts w:eastAsia="方正仿宋_GBK" w:hint="eastAsia"/>
          <w:snapToGrid w:val="0"/>
          <w:sz w:val="28"/>
          <w:szCs w:val="28"/>
          <w:lang w:val="zh-CN" w:bidi="en-US"/>
        </w:rPr>
        <w:t>投标人为组成团队的相关人员缴纳的自招标公告发布之月前（不含当月）六个月内任意一个月社保缴纳证明复印件并加盖投标人公章</w:t>
      </w:r>
      <w:r>
        <w:rPr>
          <w:rFonts w:eastAsia="方正仿宋_GBK"/>
          <w:snapToGrid w:val="0"/>
          <w:sz w:val="28"/>
          <w:szCs w:val="28"/>
          <w:lang w:val="zh-CN" w:bidi="en-US"/>
        </w:rPr>
        <w:t>。</w:t>
      </w:r>
      <w:r>
        <w:rPr>
          <w:rFonts w:eastAsia="方正仿宋_GBK" w:cs="宋体"/>
          <w:snapToGrid w:val="0"/>
          <w:sz w:val="28"/>
          <w:szCs w:val="28"/>
          <w:lang w:val="zh-CN" w:eastAsia="zh-CN" w:bidi="en-US"/>
        </w:rPr>
        <w:t>。</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驻场人员须与投标人签订正式劳动合同，其社保缴纳、</w:t>
      </w:r>
      <w:r>
        <w:rPr>
          <w:rFonts w:eastAsia="方正仿宋_GBK" w:cs="宋体"/>
          <w:snapToGrid w:val="0"/>
          <w:sz w:val="28"/>
          <w:szCs w:val="28"/>
          <w:lang w:val="zh-CN" w:bidi="en-US"/>
        </w:rPr>
        <w:t xml:space="preserve">工伤等风险由投标人全责承担。  </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bidi="en-US"/>
        </w:rPr>
        <w:t>驻场人员不得主张与采购人存在劳动关系或索</w:t>
      </w:r>
      <w:r>
        <w:rPr>
          <w:rFonts w:eastAsia="方正仿宋_GBK" w:cs="宋体"/>
          <w:snapToGrid w:val="0"/>
          <w:sz w:val="28"/>
          <w:szCs w:val="28"/>
          <w:lang w:val="zh-CN" w:eastAsia="zh-CN" w:bidi="en-US"/>
        </w:rPr>
        <w:t>赔，否则投标人需赔偿采购人损失。</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 xml:space="preserve">驻场人员须严格遵守采购人工作制度、安全规范（包括数据安全、疫情防控等）、项目计划及进度要求。  </w:t>
      </w:r>
    </w:p>
    <w:p>
      <w:pPr>
        <w:pStyle w:val="34210"/>
        <w:widowControl/>
        <w:spacing w:line="400" w:lineRule="exact"/>
        <w:ind w:firstLine="560" w:firstLineChars="200"/>
        <w:jc w:val="left"/>
        <w:textAlignment w:val="center"/>
        <w:rPr>
          <w:rFonts w:eastAsia="方正仿宋_GBK" w:cs="宋体"/>
          <w:snapToGrid w:val="0"/>
          <w:sz w:val="28"/>
          <w:szCs w:val="28"/>
          <w:lang w:val="zh-CN" w:bidi="en-US"/>
        </w:rPr>
      </w:pPr>
      <w:r>
        <w:rPr>
          <w:rFonts w:eastAsia="方正仿宋_GBK" w:cs="微软雅黑"/>
          <w:bCs/>
          <w:snapToGrid w:val="0"/>
          <w:sz w:val="28"/>
          <w:szCs w:val="28"/>
          <w:lang w:bidi="ar-SA"/>
        </w:rPr>
        <w:t>投标人</w:t>
      </w:r>
      <w:r>
        <w:rPr>
          <w:rFonts w:eastAsia="方正仿宋_GBK" w:cs="微软雅黑" w:hint="eastAsia"/>
          <w:bCs/>
          <w:snapToGrid w:val="0"/>
          <w:sz w:val="28"/>
          <w:szCs w:val="28"/>
          <w:lang w:bidi="ar-SA"/>
        </w:rPr>
        <w:t>所有人员需在项目实施期内驻场，驻场期间用餐、住宿等费用投标方自理。</w:t>
      </w:r>
      <w:r>
        <w:rPr>
          <w:rFonts w:eastAsia="方正仿宋_GBK" w:cs="宋体"/>
          <w:snapToGrid w:val="0"/>
          <w:sz w:val="28"/>
          <w:szCs w:val="28"/>
          <w:lang w:val="zh-CN" w:eastAsia="zh-CN" w:bidi="en-US"/>
        </w:rPr>
        <w:t>因采购人工作安排需出差的，相关差旅费用（住宿、交通等）由投标人承担，采购人不支付补贴。</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 xml:space="preserve">投标人需自备研发设备（仅限台式机），通过采购人安全检查后接入专用开发环境，并满足海关专网要求。  </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 xml:space="preserve">驻场结束后，设备硬盘归采购人所有，不得带离场地。 </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履约期满后，驻场人员须归还采购人提供的所有技术资料及文件，并承诺不保留任何副本。</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未经采购人批准擅自更换人员的，投标人需赔偿由此造成的一切直接和间接损失。</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驻场人员非职务行为导致的损失由其个人承担；因投标人管理失职导致采购人损失的，投标人承担赔偿责任。</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 xml:space="preserve">投标人及人员须遵守采购人安全生产、数据安全等专项要求。  </w:t>
      </w:r>
    </w:p>
    <w:p>
      <w:pPr>
        <w:pStyle w:val="16610"/>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本要求适用于整个履约期（含建设期及质保期），无特殊说明时均按履约期执行。</w:t>
      </w:r>
    </w:p>
    <w:p>
      <w:pPr>
        <w:pStyle w:val="16610"/>
        <w:spacing w:line="400" w:lineRule="exact"/>
        <w:ind w:firstLine="560" w:firstLineChars="200"/>
        <w:rPr>
          <w:rFonts w:eastAsia="方正仿宋_GBK" w:cs="宋体"/>
          <w:b/>
          <w:bCs/>
          <w:snapToGrid w:val="0"/>
          <w:sz w:val="28"/>
          <w:szCs w:val="28"/>
          <w:lang w:val="zh-CN" w:bidi="en-US"/>
        </w:rPr>
      </w:pPr>
      <w:r>
        <w:rPr>
          <w:rFonts w:eastAsia="方正仿宋_GBK" w:cs="宋体" w:hint="eastAsia"/>
          <w:b/>
          <w:bCs/>
          <w:snapToGrid w:val="0"/>
          <w:sz w:val="28"/>
          <w:szCs w:val="28"/>
          <w:lang w:val="zh-CN" w:eastAsia="zh-CN" w:bidi="en-US"/>
        </w:rPr>
        <w:t>以上要求，投标人须提供承诺函并加盖投标人公章。</w:t>
      </w:r>
    </w:p>
    <w:p>
      <w:pPr>
        <w:pStyle w:val="35810"/>
        <w:widowControl/>
        <w:spacing w:line="400" w:lineRule="exact"/>
        <w:ind w:firstLine="560" w:firstLineChars="200"/>
        <w:jc w:val="left"/>
        <w:textAlignment w:val="center"/>
        <w:rPr>
          <w:rFonts w:eastAsia="方正仿宋_GBK" w:cs="微软雅黑"/>
          <w:b/>
          <w:bCs/>
          <w:snapToGrid w:val="0"/>
          <w:sz w:val="28"/>
          <w:szCs w:val="28"/>
          <w:lang w:val="zh-CN" w:bidi="en-US"/>
        </w:rPr>
      </w:pPr>
    </w:p>
    <w:p>
      <w:pPr>
        <w:pStyle w:val="List2"/>
        <w:spacing w:line="400" w:lineRule="exact"/>
        <w:ind w:left="420" w:firstLine="420" w:firstLineChars="200"/>
        <w:rPr>
          <w:rFonts w:ascii="Times New Roman" w:hAnsi="Times New Roman"/>
          <w:lang w:val="zh-CN" w:bidi="en-US"/>
        </w:rPr>
      </w:pPr>
    </w:p>
    <w:p>
      <w:pPr>
        <w:spacing w:line="400" w:lineRule="exact"/>
        <w:ind w:firstLine="640" w:firstLineChars="200"/>
        <w:outlineLvl w:val="1"/>
        <w:rPr>
          <w:rFonts w:eastAsia="方正黑体_GBK" w:cs="微软雅黑"/>
          <w:b/>
          <w:bCs/>
          <w:snapToGrid w:val="0"/>
          <w:sz w:val="32"/>
          <w:szCs w:val="32"/>
        </w:rPr>
      </w:pPr>
      <w:bookmarkStart w:id="59" w:name="_Toc38253633"/>
      <w:r>
        <w:rPr>
          <w:rFonts w:ascii="Times New Roman" w:eastAsia="方正黑体_GBK" w:hAnsi="Times New Roman" w:cs="微软雅黑"/>
          <w:b/>
          <w:bCs/>
          <w:snapToGrid w:val="0"/>
          <w:sz w:val="32"/>
          <w:szCs w:val="32"/>
          <w:lang w:bidi="ar-SA"/>
        </w:rPr>
        <w:t>八</w:t>
      </w:r>
      <w:r>
        <w:rPr>
          <w:rFonts w:ascii="Times New Roman" w:eastAsia="方正黑体_GBK" w:hAnsi="Times New Roman" w:cs="微软雅黑" w:hint="eastAsia"/>
          <w:b/>
          <w:bCs/>
          <w:snapToGrid w:val="0"/>
          <w:sz w:val="32"/>
          <w:szCs w:val="32"/>
          <w:lang w:bidi="ar-SA"/>
        </w:rPr>
        <w:t>、培训要求</w:t>
      </w:r>
      <w:bookmarkEnd w:id="59"/>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现场培训：在设备到货后为买方免费提供</w:t>
      </w:r>
      <w:r>
        <w:rPr>
          <w:rFonts w:eastAsia="方正仿宋_GBK" w:hint="eastAsia"/>
          <w:snapToGrid w:val="0"/>
          <w:sz w:val="28"/>
          <w:szCs w:val="28"/>
          <w:lang w:val="zh-CN" w:eastAsia="zh-CN" w:bidi="en-US"/>
        </w:rPr>
        <w:t>不少于</w:t>
      </w:r>
      <w:r>
        <w:rPr>
          <w:rFonts w:eastAsia="方正仿宋_GBK"/>
          <w:snapToGrid w:val="0"/>
          <w:sz w:val="28"/>
          <w:szCs w:val="28"/>
          <w:lang w:val="zh-CN" w:eastAsia="zh-CN" w:bidi="en-US"/>
        </w:rPr>
        <w:t>2次</w:t>
      </w:r>
      <w:r>
        <w:rPr>
          <w:rFonts w:eastAsia="方正仿宋_GBK" w:hint="eastAsia"/>
          <w:snapToGrid w:val="0"/>
          <w:sz w:val="28"/>
          <w:szCs w:val="28"/>
          <w:lang w:val="zh-CN" w:eastAsia="zh-CN" w:bidi="en-US"/>
        </w:rPr>
        <w:t>的</w:t>
      </w:r>
      <w:r>
        <w:rPr>
          <w:rFonts w:eastAsia="方正仿宋_GBK"/>
          <w:snapToGrid w:val="0"/>
          <w:sz w:val="28"/>
          <w:szCs w:val="28"/>
          <w:lang w:val="zh-CN" w:eastAsia="zh-CN" w:bidi="en-US"/>
        </w:rPr>
        <w:t>现场培训，培训内容为设备的使用、维护等。培训地点为海关指定地点。</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集中培训：中标人提供</w:t>
      </w:r>
      <w:r>
        <w:rPr>
          <w:rFonts w:eastAsia="方正仿宋_GBK" w:hint="eastAsia"/>
          <w:snapToGrid w:val="0"/>
          <w:sz w:val="28"/>
          <w:szCs w:val="28"/>
          <w:lang w:val="zh-CN" w:eastAsia="zh-CN" w:bidi="en-US"/>
        </w:rPr>
        <w:t>不少于</w:t>
      </w:r>
      <w:r>
        <w:rPr>
          <w:rFonts w:eastAsia="方正仿宋_GBK"/>
          <w:snapToGrid w:val="0"/>
          <w:sz w:val="28"/>
          <w:szCs w:val="28"/>
          <w:lang w:val="zh-CN" w:eastAsia="zh-CN" w:bidi="en-US"/>
        </w:rPr>
        <w:t>300人5天，2次的免费培训,包含场地费用。</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ascii="Times New Roman" w:eastAsia="方正仿宋_GBK" w:hAnsi="Times New Roman"/>
          <w:snapToGrid w:val="0"/>
          <w:sz w:val="28"/>
          <w:szCs w:val="28"/>
          <w:lang w:val="zh-CN" w:eastAsia="zh-CN" w:bidi="en-US"/>
        </w:rPr>
        <w:t>培训讲师要求：培训讲师应为投标人单位正式员工，有签订正式的劳动合同（注：提供劳动合同扫描件及</w:t>
      </w:r>
      <w:r>
        <w:rPr>
          <w:rFonts w:eastAsia="方正仿宋_GBK" w:hint="eastAsia"/>
          <w:snapToGrid w:val="0"/>
          <w:sz w:val="28"/>
          <w:szCs w:val="28"/>
          <w:lang w:val="zh-CN" w:bidi="en-US"/>
        </w:rPr>
        <w:t>投标人为</w:t>
      </w:r>
      <w:r>
        <w:rPr>
          <w:rFonts w:eastAsia="方正仿宋_GBK"/>
          <w:snapToGrid w:val="0"/>
          <w:sz w:val="28"/>
          <w:szCs w:val="28"/>
          <w:lang w:val="zh-CN" w:bidi="en-US"/>
        </w:rPr>
        <w:t>培训讲师</w:t>
      </w:r>
      <w:r>
        <w:rPr>
          <w:rFonts w:eastAsia="方正仿宋_GBK" w:hint="eastAsia"/>
          <w:snapToGrid w:val="0"/>
          <w:sz w:val="28"/>
          <w:szCs w:val="28"/>
          <w:lang w:val="zh-CN" w:bidi="en-US"/>
        </w:rPr>
        <w:t>缴纳的自招标公告发布之月前（不含当月）六个月内任意一个月社保缴纳证明复印件并加盖投标人公章</w:t>
      </w:r>
      <w:r>
        <w:rPr>
          <w:rFonts w:eastAsia="方正仿宋_GBK"/>
          <w:snapToGrid w:val="0"/>
          <w:sz w:val="28"/>
          <w:szCs w:val="28"/>
          <w:lang w:val="zh-CN" w:bidi="en-US"/>
        </w:rPr>
        <w:t>）</w:t>
      </w:r>
      <w:r>
        <w:rPr>
          <w:rFonts w:ascii="Times New Roman" w:eastAsia="方正仿宋_GBK" w:hAnsi="Times New Roman"/>
          <w:snapToGrid w:val="0"/>
          <w:sz w:val="28"/>
          <w:szCs w:val="28"/>
          <w:lang w:val="zh-CN" w:eastAsia="zh-CN" w:bidi="en-US"/>
        </w:rPr>
        <w:t>，具备5年以上呼叫中心项目项目培训经验，包括但不限于：运维、开发、运营。</w:t>
      </w:r>
    </w:p>
    <w:p>
      <w:pPr>
        <w:pStyle w:val="38610"/>
        <w:widowControl/>
        <w:spacing w:line="400" w:lineRule="exact"/>
        <w:ind w:firstLine="560" w:firstLineChars="200"/>
        <w:jc w:val="left"/>
        <w:textAlignment w:val="center"/>
        <w:rPr>
          <w:rFonts w:eastAsia="方正仿宋_GBK" w:cs="微软雅黑"/>
          <w:b/>
          <w:bCs/>
          <w:snapToGrid w:val="0"/>
          <w:sz w:val="28"/>
          <w:szCs w:val="28"/>
          <w:lang w:val="zh-CN" w:bidi="en-US"/>
        </w:rPr>
      </w:pPr>
      <w:r>
        <w:rPr>
          <w:rFonts w:eastAsia="方正仿宋_GBK" w:cs="微软雅黑" w:hint="eastAsia"/>
          <w:b/>
          <w:bCs/>
          <w:snapToGrid w:val="0"/>
          <w:sz w:val="28"/>
          <w:szCs w:val="28"/>
          <w:lang w:val="zh-CN" w:eastAsia="zh-CN" w:bidi="en-US"/>
        </w:rPr>
        <w:t>以上要求，</w:t>
      </w:r>
      <w:r>
        <w:rPr>
          <w:rFonts w:eastAsia="方正仿宋_GBK" w:cs="微软雅黑"/>
          <w:b/>
          <w:bCs/>
          <w:snapToGrid w:val="0"/>
          <w:sz w:val="28"/>
          <w:szCs w:val="28"/>
          <w:lang w:val="zh-CN" w:eastAsia="zh-CN" w:bidi="en-US"/>
        </w:rPr>
        <w:t>投标人</w:t>
      </w:r>
      <w:r>
        <w:rPr>
          <w:rFonts w:eastAsia="方正仿宋_GBK" w:cs="微软雅黑" w:hint="eastAsia"/>
          <w:b/>
          <w:bCs/>
          <w:snapToGrid w:val="0"/>
          <w:sz w:val="28"/>
          <w:szCs w:val="28"/>
          <w:lang w:bidi="ar-SA"/>
        </w:rPr>
        <w:t>提供</w:t>
      </w:r>
      <w:r>
        <w:rPr>
          <w:rFonts w:eastAsia="方正仿宋_GBK" w:cs="微软雅黑"/>
          <w:b/>
          <w:bCs/>
          <w:snapToGrid w:val="0"/>
          <w:sz w:val="28"/>
          <w:szCs w:val="28"/>
          <w:lang w:bidi="ar-SA"/>
        </w:rPr>
        <w:t>上述特殊注明的</w:t>
      </w:r>
      <w:r>
        <w:rPr>
          <w:rFonts w:eastAsia="方正仿宋_GBK" w:cs="微软雅黑" w:hint="eastAsia"/>
          <w:b/>
          <w:bCs/>
          <w:snapToGrid w:val="0"/>
          <w:sz w:val="28"/>
          <w:szCs w:val="28"/>
          <w:lang w:bidi="ar-SA"/>
        </w:rPr>
        <w:t>证明材料</w:t>
      </w:r>
      <w:r>
        <w:rPr>
          <w:rFonts w:eastAsia="方正仿宋_GBK" w:cs="微软雅黑"/>
          <w:b/>
          <w:bCs/>
          <w:snapToGrid w:val="0"/>
          <w:sz w:val="28"/>
          <w:szCs w:val="28"/>
          <w:lang w:bidi="ar-SA"/>
        </w:rPr>
        <w:t>，</w:t>
      </w:r>
      <w:r>
        <w:rPr>
          <w:rFonts w:eastAsia="方正仿宋_GBK" w:cs="微软雅黑" w:hint="eastAsia"/>
          <w:b/>
          <w:bCs/>
          <w:snapToGrid w:val="0"/>
          <w:sz w:val="28"/>
          <w:szCs w:val="28"/>
          <w:lang w:val="zh-CN" w:eastAsia="zh-CN" w:bidi="en-US"/>
        </w:rPr>
        <w:t>须提供承诺函并加盖投标人公章。</w:t>
      </w:r>
    </w:p>
    <w:p>
      <w:pPr>
        <w:pStyle w:val="List2"/>
        <w:spacing w:line="400" w:lineRule="exact"/>
        <w:ind w:left="420" w:hanging="420" w:leftChars="0" w:hangingChars="200"/>
        <w:textAlignment w:val="center"/>
      </w:pP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提供整体</w:t>
      </w:r>
      <w:r>
        <w:rPr>
          <w:rFonts w:ascii="方正仿宋_GBK" w:eastAsia="方正仿宋_GBK" w:cs="方正仿宋_GBK" w:hint="eastAsia"/>
          <w:sz w:val="28"/>
          <w:szCs w:val="28"/>
          <w:lang w:bidi="ar-SA"/>
        </w:rPr>
        <w:t>培训方案</w:t>
      </w:r>
      <w:r>
        <w:rPr>
          <w:rFonts w:eastAsia="方正仿宋_GBK"/>
          <w:snapToGrid w:val="0"/>
          <w:sz w:val="28"/>
          <w:szCs w:val="28"/>
          <w:lang w:val="zh-CN" w:eastAsia="zh-CN" w:bidi="en-US"/>
        </w:rPr>
        <w:t>，培训方案包含不限于培训方式、培训内容、培训人员。需分考虑到使用人员实际水平，提出详细的培训方案，以达到使用人员能够独立使用投标人所提供的应用软件和日常的维护处理能力。</w:t>
      </w:r>
    </w:p>
    <w:p>
      <w:pPr>
        <w:pStyle w:val="18810"/>
        <w:widowControl/>
        <w:spacing w:line="400" w:lineRule="exact"/>
        <w:ind w:firstLine="560" w:firstLineChars="200"/>
        <w:jc w:val="left"/>
        <w:textAlignment w:val="center"/>
        <w:rPr>
          <w:rFonts w:eastAsia="方正仿宋_GBK" w:cs="微软雅黑"/>
          <w:b/>
          <w:bCs/>
          <w:snapToGrid w:val="0"/>
          <w:sz w:val="28"/>
          <w:szCs w:val="28"/>
        </w:rPr>
      </w:pPr>
    </w:p>
    <w:p>
      <w:pPr>
        <w:spacing w:line="400" w:lineRule="exact"/>
        <w:ind w:firstLine="640" w:firstLineChars="200"/>
        <w:outlineLvl w:val="1"/>
        <w:rPr>
          <w:rFonts w:eastAsia="方正黑体_GBK" w:cs="微软雅黑"/>
          <w:b/>
          <w:bCs/>
          <w:snapToGrid w:val="0"/>
          <w:sz w:val="32"/>
          <w:szCs w:val="32"/>
        </w:rPr>
      </w:pPr>
      <w:bookmarkStart w:id="60" w:name="_Toc184201421"/>
      <w:bookmarkStart w:id="61" w:name="_Toc38253634"/>
      <w:r>
        <w:rPr>
          <w:rFonts w:ascii="Times New Roman" w:eastAsia="方正黑体_GBK" w:hAnsi="Times New Roman" w:cs="微软雅黑"/>
          <w:b/>
          <w:bCs/>
          <w:snapToGrid w:val="0"/>
          <w:sz w:val="32"/>
          <w:szCs w:val="32"/>
          <w:lang w:bidi="ar-SA"/>
        </w:rPr>
        <w:t>九</w:t>
      </w:r>
      <w:r>
        <w:rPr>
          <w:rFonts w:ascii="Times New Roman" w:eastAsia="方正黑体_GBK" w:hAnsi="Times New Roman" w:cs="微软雅黑" w:hint="eastAsia"/>
          <w:b/>
          <w:bCs/>
          <w:snapToGrid w:val="0"/>
          <w:sz w:val="32"/>
          <w:szCs w:val="32"/>
          <w:lang w:bidi="ar-SA"/>
        </w:rPr>
        <w:t>、 分配表</w:t>
      </w:r>
      <w:bookmarkEnd w:id="60"/>
      <w:bookmarkEnd w:id="61"/>
    </w:p>
    <w:p>
      <w:pPr>
        <w:pStyle w:val="18810"/>
        <w:widowControl/>
        <w:spacing w:line="400" w:lineRule="exact"/>
        <w:ind w:firstLine="560" w:firstLineChars="200"/>
        <w:jc w:val="center"/>
        <w:textAlignment w:val="center"/>
        <w:rPr>
          <w:rFonts w:eastAsia="方正仿宋_GBK" w:cs="微软雅黑"/>
          <w:snapToGrid w:val="0"/>
          <w:sz w:val="28"/>
          <w:szCs w:val="28"/>
        </w:rPr>
      </w:pPr>
      <w:r>
        <w:rPr>
          <w:rFonts w:eastAsia="方正仿宋_GBK" w:cs="微软雅黑" w:hint="eastAsia"/>
          <w:snapToGrid w:val="0"/>
          <w:sz w:val="28"/>
          <w:szCs w:val="28"/>
          <w:lang w:bidi="ar-SA"/>
        </w:rPr>
        <w:t>数据中心2025年海关热线系统升级（产品及专用设备）项目采购分配表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71"/>
        <w:gridCol w:w="2415"/>
        <w:gridCol w:w="2967"/>
        <w:gridCol w:w="1769"/>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371" w:type="dxa"/>
            <w:vAlign w:val="center"/>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hint="eastAsia"/>
                <w:snapToGrid w:val="0"/>
                <w:sz w:val="28"/>
                <w:szCs w:val="28"/>
                <w:lang w:bidi="ar-SA"/>
              </w:rPr>
              <w:t>需求单位</w:t>
            </w:r>
          </w:p>
        </w:tc>
        <w:tc>
          <w:tcPr>
            <w:tcW w:w="2415" w:type="dxa"/>
            <w:vAlign w:val="center"/>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hint="eastAsia"/>
                <w:snapToGrid w:val="0"/>
                <w:sz w:val="28"/>
                <w:szCs w:val="28"/>
                <w:lang w:bidi="ar-SA"/>
              </w:rPr>
              <w:t>品名/型号</w:t>
            </w:r>
          </w:p>
        </w:tc>
        <w:tc>
          <w:tcPr>
            <w:tcW w:w="2967" w:type="dxa"/>
            <w:vAlign w:val="center"/>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hint="eastAsia"/>
                <w:snapToGrid w:val="0"/>
                <w:sz w:val="28"/>
                <w:szCs w:val="28"/>
                <w:lang w:bidi="ar-SA"/>
              </w:rPr>
              <w:t>数量</w:t>
            </w:r>
          </w:p>
        </w:tc>
        <w:tc>
          <w:tcPr>
            <w:tcW w:w="1769" w:type="dxa"/>
            <w:vAlign w:val="center"/>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hint="eastAsia"/>
                <w:snapToGrid w:val="0"/>
                <w:sz w:val="28"/>
                <w:szCs w:val="28"/>
                <w:lang w:bidi="ar-SA"/>
              </w:rPr>
              <w:t>预算金额（万元）</w:t>
            </w:r>
          </w:p>
        </w:tc>
      </w:tr>
      <w:tr>
        <w:tblPrEx>
          <w:tblW w:w="8522" w:type="dxa"/>
          <w:jc w:val="center"/>
          <w:tblLayout w:type="fixed"/>
          <w:tblCellMar>
            <w:top w:w="0" w:type="dxa"/>
            <w:left w:w="108" w:type="dxa"/>
            <w:bottom w:w="0" w:type="dxa"/>
            <w:right w:w="108" w:type="dxa"/>
          </w:tblCellMar>
        </w:tblPrEx>
        <w:trPr>
          <w:trHeight w:val="417"/>
          <w:jc w:val="center"/>
        </w:trPr>
        <w:tc>
          <w:tcPr>
            <w:tcW w:w="1371" w:type="dxa"/>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snapToGrid w:val="0"/>
                <w:sz w:val="28"/>
                <w:szCs w:val="28"/>
                <w:lang w:bidi="ar-SA"/>
              </w:rPr>
              <w:t>数据中心</w:t>
            </w:r>
          </w:p>
        </w:tc>
        <w:tc>
          <w:tcPr>
            <w:tcW w:w="2415"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textAlignment w:val="center"/>
              <w:rPr>
                <w:rFonts w:ascii="等线" w:eastAsia="方正仿宋_GBK" w:hAnsi="等线" w:cs="微软雅黑"/>
                <w:snapToGrid w:val="0"/>
                <w:sz w:val="28"/>
                <w:szCs w:val="28"/>
              </w:rPr>
            </w:pPr>
            <w:r>
              <w:rPr>
                <w:rFonts w:eastAsia="方正仿宋_GBK" w:cs="微软雅黑" w:hint="eastAsia"/>
                <w:snapToGrid w:val="0"/>
                <w:sz w:val="28"/>
                <w:szCs w:val="28"/>
                <w:lang w:bidi="ar-SA"/>
              </w:rPr>
              <w:t>语音话务系统</w:t>
            </w:r>
          </w:p>
        </w:tc>
        <w:tc>
          <w:tcPr>
            <w:tcW w:w="2967" w:type="dxa"/>
            <w:tcBorders>
              <w:top w:val="single" w:sz="4" w:space="0" w:color="auto"/>
              <w:left w:val="single" w:sz="4" w:space="0" w:color="auto"/>
              <w:right w:val="single" w:sz="4" w:space="0" w:color="auto"/>
            </w:tcBorders>
            <w:vAlign w:val="center"/>
          </w:tcPr>
          <w:p>
            <w:pPr>
              <w:pStyle w:val="27010"/>
              <w:spacing w:line="400" w:lineRule="exact"/>
              <w:ind w:left="-132" w:firstLine="7"/>
              <w:jc w:val="left"/>
              <w:rPr>
                <w:rFonts w:ascii="Times New Roman" w:eastAsia="方正仿宋_GBK" w:hAnsi="Times New Roman"/>
                <w:sz w:val="28"/>
                <w:szCs w:val="28"/>
              </w:rPr>
            </w:pPr>
            <w:r>
              <w:rPr>
                <w:rFonts w:ascii="Times New Roman" w:eastAsia="方正仿宋_GBK" w:hAnsi="Times New Roman" w:cs="Times New Roman"/>
                <w:sz w:val="28"/>
                <w:szCs w:val="28"/>
                <w:lang w:bidi="ar-SA"/>
              </w:rPr>
              <w:t>包含语音接入功能包，满足可签入语音坐席：大于等于600席；</w:t>
            </w:r>
          </w:p>
          <w:p>
            <w:pPr>
              <w:pStyle w:val="27010"/>
              <w:spacing w:line="400" w:lineRule="exact"/>
              <w:ind w:left="-132" w:firstLine="7"/>
              <w:jc w:val="left"/>
              <w:rPr>
                <w:rFonts w:ascii="Times New Roman" w:eastAsia="方正仿宋_GBK" w:hAnsi="Times New Roman"/>
                <w:sz w:val="28"/>
                <w:szCs w:val="28"/>
              </w:rPr>
            </w:pPr>
            <w:r>
              <w:rPr>
                <w:rFonts w:ascii="Times New Roman" w:eastAsia="方正仿宋_GBK" w:hAnsi="Times New Roman" w:cs="Times New Roman"/>
                <w:sz w:val="28"/>
                <w:szCs w:val="28"/>
                <w:lang w:bidi="ar-SA"/>
              </w:rPr>
              <w:t>语音坐席通话并发：大于等于</w:t>
            </w:r>
            <w:r>
              <w:rPr>
                <w:rFonts w:ascii="Times New Roman" w:eastAsia="方正仿宋_GBK" w:hAnsi="Times New Roman" w:cs="Times New Roman" w:hint="eastAsia"/>
                <w:sz w:val="28"/>
                <w:szCs w:val="28"/>
                <w:lang w:bidi="ar-SA"/>
              </w:rPr>
              <w:t>6</w:t>
            </w:r>
            <w:r>
              <w:rPr>
                <w:rFonts w:ascii="Times New Roman" w:eastAsia="方正仿宋_GBK" w:hAnsi="Times New Roman" w:cs="Times New Roman"/>
                <w:sz w:val="28"/>
                <w:szCs w:val="28"/>
                <w:lang w:bidi="ar-SA"/>
              </w:rPr>
              <w:t>00席；</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包含视频接入功能包，满足5G视频坐席并发：大于等于15席；</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包含IVR服务功能包，满足视频IVR并发：大于等于15路；语音IVR并发：大于等于1200路</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包含双声道录音功能，满足大于等于</w:t>
            </w:r>
            <w:r>
              <w:rPr>
                <w:rFonts w:eastAsia="方正仿宋_GBK" w:cs="Times New Roman" w:hint="eastAsia"/>
                <w:snapToGrid w:val="0"/>
                <w:sz w:val="28"/>
                <w:szCs w:val="28"/>
                <w:lang w:bidi="ar-SA"/>
              </w:rPr>
              <w:t>6</w:t>
            </w:r>
            <w:r>
              <w:rPr>
                <w:rFonts w:eastAsia="方正仿宋_GBK" w:cs="Times New Roman"/>
                <w:snapToGrid w:val="0"/>
                <w:sz w:val="28"/>
                <w:szCs w:val="28"/>
                <w:lang w:bidi="ar-SA"/>
              </w:rPr>
              <w:t>00座席通话录音需求；</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包含视频录像功能，满足大于等于15视频座席通话录像需求；</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包含多租户功能包，产品配置满足至少85个租户使用。</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包含生产环境（双活部署，北京、广东两地）、开发环境、测试环境共四套环境；</w:t>
            </w:r>
          </w:p>
          <w:p>
            <w:pPr>
              <w:pStyle w:val="18810"/>
              <w:widowControl/>
              <w:spacing w:line="400" w:lineRule="exact"/>
              <w:ind w:firstLine="560" w:firstLineChars="200"/>
              <w:jc w:val="left"/>
              <w:textAlignment w:val="center"/>
              <w:rPr>
                <w:rFonts w:ascii="等线" w:eastAsia="方正仿宋_GBK" w:hAnsi="等线" w:cs="Arial"/>
                <w:snapToGrid w:val="0"/>
                <w:sz w:val="28"/>
                <w:szCs w:val="28"/>
              </w:rPr>
            </w:pPr>
          </w:p>
        </w:tc>
        <w:tc>
          <w:tcPr>
            <w:tcW w:w="1769" w:type="dxa"/>
            <w:vAlign w:val="center"/>
          </w:tcPr>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517</w:t>
            </w:r>
          </w:p>
        </w:tc>
      </w:tr>
      <w:tr>
        <w:tblPrEx>
          <w:tblW w:w="8522" w:type="dxa"/>
          <w:jc w:val="center"/>
          <w:tblLayout w:type="fixed"/>
          <w:tblCellMar>
            <w:top w:w="0" w:type="dxa"/>
            <w:left w:w="108" w:type="dxa"/>
            <w:bottom w:w="0" w:type="dxa"/>
            <w:right w:w="108" w:type="dxa"/>
          </w:tblCellMar>
        </w:tblPrEx>
        <w:trPr>
          <w:jc w:val="center"/>
        </w:trPr>
        <w:tc>
          <w:tcPr>
            <w:tcW w:w="1371" w:type="dxa"/>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snapToGrid w:val="0"/>
                <w:sz w:val="28"/>
                <w:szCs w:val="28"/>
                <w:lang w:bidi="ar-SA"/>
              </w:rPr>
              <w:t>数据中心</w:t>
            </w:r>
          </w:p>
        </w:tc>
        <w:tc>
          <w:tcPr>
            <w:tcW w:w="2415"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textAlignment w:val="center"/>
              <w:rPr>
                <w:rFonts w:ascii="等线" w:eastAsia="方正仿宋_GBK" w:hAnsi="等线" w:cs="微软雅黑"/>
                <w:snapToGrid w:val="0"/>
                <w:sz w:val="28"/>
                <w:szCs w:val="28"/>
              </w:rPr>
            </w:pPr>
            <w:r>
              <w:rPr>
                <w:rFonts w:eastAsia="方正仿宋_GBK" w:cs="微软雅黑" w:hint="eastAsia"/>
                <w:snapToGrid w:val="0"/>
                <w:sz w:val="28"/>
                <w:szCs w:val="28"/>
                <w:lang w:bidi="ar-SA"/>
              </w:rPr>
              <w:t>语音网关</w:t>
            </w:r>
          </w:p>
        </w:tc>
        <w:tc>
          <w:tcPr>
            <w:tcW w:w="2967"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50套</w:t>
            </w:r>
          </w:p>
        </w:tc>
        <w:tc>
          <w:tcPr>
            <w:tcW w:w="1769" w:type="dxa"/>
            <w:vAlign w:val="center"/>
          </w:tcPr>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200</w:t>
            </w:r>
          </w:p>
        </w:tc>
      </w:tr>
      <w:tr>
        <w:tblPrEx>
          <w:tblW w:w="8522" w:type="dxa"/>
          <w:jc w:val="center"/>
          <w:tblLayout w:type="fixed"/>
          <w:tblCellMar>
            <w:top w:w="0" w:type="dxa"/>
            <w:left w:w="108" w:type="dxa"/>
            <w:bottom w:w="0" w:type="dxa"/>
            <w:right w:w="108" w:type="dxa"/>
          </w:tblCellMar>
        </w:tblPrEx>
        <w:trPr>
          <w:jc w:val="center"/>
        </w:trPr>
        <w:tc>
          <w:tcPr>
            <w:tcW w:w="1371" w:type="dxa"/>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snapToGrid w:val="0"/>
                <w:sz w:val="28"/>
                <w:szCs w:val="28"/>
                <w:lang w:bidi="ar-SA"/>
              </w:rPr>
              <w:t>数据中心</w:t>
            </w:r>
          </w:p>
        </w:tc>
        <w:tc>
          <w:tcPr>
            <w:tcW w:w="2415"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textAlignment w:val="center"/>
              <w:rPr>
                <w:rFonts w:ascii="等线" w:eastAsia="方正仿宋_GBK" w:hAnsi="等线" w:cs="微软雅黑"/>
                <w:snapToGrid w:val="0"/>
                <w:sz w:val="28"/>
                <w:szCs w:val="28"/>
              </w:rPr>
            </w:pPr>
            <w:r>
              <w:rPr>
                <w:rFonts w:eastAsia="方正仿宋_GBK" w:cs="微软雅黑" w:hint="eastAsia"/>
                <w:snapToGrid w:val="0"/>
                <w:sz w:val="28"/>
                <w:szCs w:val="28"/>
                <w:lang w:bidi="ar-SA"/>
              </w:rPr>
              <w:t>边界会话控制器（</w:t>
            </w:r>
            <w:r>
              <w:rPr>
                <w:rFonts w:eastAsia="方正仿宋_GBK"/>
                <w:snapToGrid w:val="0"/>
                <w:sz w:val="28"/>
                <w:szCs w:val="28"/>
              </w:rPr>
              <w:t>SBC</w:t>
            </w:r>
            <w:r>
              <w:rPr>
                <w:rFonts w:eastAsia="方正仿宋_GBK" w:cs="微软雅黑" w:hint="eastAsia"/>
                <w:snapToGrid w:val="0"/>
                <w:sz w:val="28"/>
                <w:szCs w:val="28"/>
                <w:lang w:bidi="ar-SA"/>
              </w:rPr>
              <w:t>）</w:t>
            </w:r>
          </w:p>
        </w:tc>
        <w:tc>
          <w:tcPr>
            <w:tcW w:w="2967"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2套</w:t>
            </w:r>
          </w:p>
        </w:tc>
        <w:tc>
          <w:tcPr>
            <w:tcW w:w="1769" w:type="dxa"/>
            <w:vAlign w:val="center"/>
          </w:tcPr>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50</w:t>
            </w:r>
          </w:p>
        </w:tc>
      </w:tr>
      <w:tr>
        <w:tblPrEx>
          <w:tblW w:w="8522" w:type="dxa"/>
          <w:jc w:val="center"/>
          <w:tblLayout w:type="fixed"/>
          <w:tblCellMar>
            <w:top w:w="0" w:type="dxa"/>
            <w:left w:w="108" w:type="dxa"/>
            <w:bottom w:w="0" w:type="dxa"/>
            <w:right w:w="108" w:type="dxa"/>
          </w:tblCellMar>
        </w:tblPrEx>
        <w:trPr>
          <w:jc w:val="center"/>
        </w:trPr>
        <w:tc>
          <w:tcPr>
            <w:tcW w:w="1371" w:type="dxa"/>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snapToGrid w:val="0"/>
                <w:sz w:val="28"/>
                <w:szCs w:val="28"/>
                <w:lang w:bidi="ar-SA"/>
              </w:rPr>
              <w:t>数据中心</w:t>
            </w:r>
          </w:p>
        </w:tc>
        <w:tc>
          <w:tcPr>
            <w:tcW w:w="2415"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textAlignment w:val="center"/>
              <w:rPr>
                <w:rFonts w:ascii="等线" w:eastAsia="方正仿宋_GBK" w:hAnsi="等线" w:cs="微软雅黑"/>
                <w:snapToGrid w:val="0"/>
                <w:sz w:val="28"/>
                <w:szCs w:val="28"/>
              </w:rPr>
            </w:pPr>
            <w:r>
              <w:rPr>
                <w:rFonts w:eastAsia="方正仿宋_GBK" w:cs="微软雅黑" w:hint="eastAsia"/>
                <w:snapToGrid w:val="0"/>
                <w:sz w:val="28"/>
                <w:szCs w:val="28"/>
                <w:lang w:bidi="ar-SA"/>
              </w:rPr>
              <w:t>耳麦</w:t>
            </w:r>
          </w:p>
        </w:tc>
        <w:tc>
          <w:tcPr>
            <w:tcW w:w="2967"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1200套</w:t>
            </w:r>
          </w:p>
        </w:tc>
        <w:tc>
          <w:tcPr>
            <w:tcW w:w="1769" w:type="dxa"/>
            <w:vAlign w:val="center"/>
          </w:tcPr>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60</w:t>
            </w:r>
          </w:p>
        </w:tc>
      </w:tr>
      <w:tr>
        <w:tblPrEx>
          <w:tblW w:w="8522" w:type="dxa"/>
          <w:jc w:val="center"/>
          <w:tblLayout w:type="fixed"/>
          <w:tblCellMar>
            <w:top w:w="0" w:type="dxa"/>
            <w:left w:w="108" w:type="dxa"/>
            <w:bottom w:w="0" w:type="dxa"/>
            <w:right w:w="108" w:type="dxa"/>
          </w:tblCellMar>
        </w:tblPrEx>
        <w:trPr>
          <w:jc w:val="center"/>
        </w:trPr>
        <w:tc>
          <w:tcPr>
            <w:tcW w:w="1371" w:type="dxa"/>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snapToGrid w:val="0"/>
                <w:sz w:val="28"/>
                <w:szCs w:val="28"/>
                <w:lang w:bidi="ar-SA"/>
              </w:rPr>
              <w:t>数据中心</w:t>
            </w:r>
          </w:p>
        </w:tc>
        <w:tc>
          <w:tcPr>
            <w:tcW w:w="2415"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textAlignment w:val="center"/>
              <w:rPr>
                <w:rFonts w:ascii="等线" w:eastAsia="方正仿宋_GBK" w:hAnsi="等线" w:cs="微软雅黑"/>
                <w:snapToGrid w:val="0"/>
                <w:sz w:val="28"/>
                <w:szCs w:val="28"/>
              </w:rPr>
            </w:pPr>
            <w:r>
              <w:rPr>
                <w:rFonts w:eastAsia="方正仿宋_GBK" w:cs="微软雅黑" w:hint="eastAsia"/>
                <w:snapToGrid w:val="0"/>
                <w:sz w:val="28"/>
                <w:szCs w:val="28"/>
                <w:lang w:bidi="ar-SA"/>
              </w:rPr>
              <w:t>多渠道自助服务平台</w:t>
            </w:r>
          </w:p>
        </w:tc>
        <w:tc>
          <w:tcPr>
            <w:tcW w:w="2967" w:type="dxa"/>
            <w:tcBorders>
              <w:top w:val="single" w:sz="4" w:space="0" w:color="auto"/>
              <w:left w:val="single" w:sz="4" w:space="0" w:color="auto"/>
              <w:right w:val="single" w:sz="4" w:space="0" w:color="auto"/>
            </w:tcBorders>
            <w:vAlign w:val="center"/>
          </w:tcPr>
          <w:p>
            <w:pPr>
              <w:pStyle w:val="27010"/>
              <w:spacing w:line="400" w:lineRule="exact"/>
              <w:ind w:left="-132" w:firstLine="7"/>
              <w:jc w:val="left"/>
              <w:rPr>
                <w:rFonts w:eastAsia="方正仿宋_GBK" w:cs="微软雅黑"/>
                <w:bCs/>
                <w:snapToGrid w:val="0"/>
                <w:sz w:val="28"/>
                <w:szCs w:val="28"/>
              </w:rPr>
            </w:pPr>
            <w:r>
              <w:rPr>
                <w:rFonts w:eastAsia="方正仿宋_GBK" w:cs="微软雅黑" w:hint="eastAsia"/>
                <w:bCs/>
                <w:snapToGrid w:val="0"/>
                <w:sz w:val="28"/>
                <w:szCs w:val="28"/>
                <w:lang w:bidi="ar-SA"/>
              </w:rPr>
              <w:t>互联网文本坐席并发：大于等于300席；</w:t>
            </w:r>
          </w:p>
          <w:p>
            <w:pPr>
              <w:pStyle w:val="27010"/>
              <w:spacing w:line="400" w:lineRule="exact"/>
              <w:ind w:left="-132" w:firstLine="7"/>
              <w:jc w:val="left"/>
              <w:rPr>
                <w:rFonts w:eastAsia="方正仿宋_GBK" w:cs="微软雅黑"/>
                <w:bCs/>
                <w:snapToGrid w:val="0"/>
                <w:sz w:val="28"/>
                <w:szCs w:val="28"/>
              </w:rPr>
            </w:pPr>
            <w:r>
              <w:rPr>
                <w:rFonts w:eastAsia="方正仿宋_GBK" w:cs="微软雅黑" w:hint="eastAsia"/>
                <w:bCs/>
                <w:snapToGrid w:val="0"/>
                <w:sz w:val="28"/>
                <w:szCs w:val="28"/>
                <w:lang w:bidi="ar-SA"/>
              </w:rPr>
              <w:t>互联网文本机器人并发：大于等于300席；</w:t>
            </w:r>
          </w:p>
          <w:p>
            <w:pPr>
              <w:pStyle w:val="27010"/>
              <w:spacing w:line="400" w:lineRule="exact"/>
              <w:ind w:left="-132" w:firstLine="7"/>
              <w:jc w:val="left"/>
              <w:rPr>
                <w:rFonts w:eastAsia="方正仿宋_GBK" w:cs="微软雅黑"/>
                <w:bCs/>
                <w:snapToGrid w:val="0"/>
                <w:sz w:val="28"/>
                <w:szCs w:val="28"/>
              </w:rPr>
            </w:pPr>
            <w:r>
              <w:rPr>
                <w:rFonts w:eastAsia="方正仿宋_GBK" w:cs="微软雅黑" w:hint="eastAsia"/>
                <w:bCs/>
                <w:snapToGrid w:val="0"/>
                <w:sz w:val="28"/>
                <w:szCs w:val="28"/>
                <w:lang w:bidi="ar-SA"/>
              </w:rPr>
              <w:t>互联网视频通话并发：大于等于100席；</w:t>
            </w:r>
          </w:p>
          <w:p>
            <w:pPr>
              <w:pStyle w:val="27010"/>
              <w:spacing w:line="400" w:lineRule="exact"/>
              <w:ind w:left="-132" w:firstLine="7"/>
              <w:jc w:val="left"/>
              <w:rPr>
                <w:rFonts w:eastAsia="方正仿宋_GBK" w:cs="微软雅黑"/>
                <w:bCs/>
                <w:snapToGrid w:val="0"/>
                <w:sz w:val="28"/>
                <w:szCs w:val="28"/>
              </w:rPr>
            </w:pPr>
            <w:r>
              <w:rPr>
                <w:rFonts w:eastAsia="方正仿宋_GBK" w:cs="微软雅黑" w:hint="eastAsia"/>
                <w:bCs/>
                <w:snapToGrid w:val="0"/>
                <w:sz w:val="28"/>
                <w:szCs w:val="28"/>
                <w:lang w:bidi="ar-SA"/>
              </w:rPr>
              <w:t>包含生产环境（双活部署，北京、广东两地）、开发环境、测试环境共四套环境；</w:t>
            </w:r>
          </w:p>
          <w:p>
            <w:pPr>
              <w:pStyle w:val="27010"/>
              <w:spacing w:line="400" w:lineRule="exact"/>
              <w:ind w:left="-132" w:firstLine="7"/>
              <w:jc w:val="left"/>
              <w:rPr>
                <w:rFonts w:eastAsia="方正仿宋_GBK"/>
                <w:bCs/>
                <w:snapToGrid w:val="0"/>
                <w:sz w:val="28"/>
                <w:szCs w:val="28"/>
              </w:rPr>
            </w:pPr>
            <w:r>
              <w:rPr>
                <w:rFonts w:eastAsia="方正仿宋_GBK" w:cs="Times New Roman" w:hint="eastAsia"/>
                <w:bCs/>
                <w:snapToGrid w:val="0"/>
                <w:sz w:val="28"/>
                <w:szCs w:val="28"/>
                <w:lang w:bidi="ar-SA"/>
              </w:rPr>
              <w:t>包含多租户功能，产品配置满足至少85个租户使用。</w:t>
            </w:r>
          </w:p>
          <w:p>
            <w:pPr>
              <w:pStyle w:val="18810"/>
              <w:widowControl/>
              <w:spacing w:line="400" w:lineRule="exact"/>
              <w:ind w:firstLine="560" w:firstLineChars="200"/>
              <w:jc w:val="left"/>
              <w:textAlignment w:val="center"/>
              <w:rPr>
                <w:rFonts w:ascii="等线" w:eastAsia="方正仿宋_GBK" w:hAnsi="等线" w:cs="Arial"/>
                <w:snapToGrid w:val="0"/>
                <w:sz w:val="28"/>
                <w:szCs w:val="28"/>
              </w:rPr>
            </w:pPr>
          </w:p>
        </w:tc>
        <w:tc>
          <w:tcPr>
            <w:tcW w:w="1769" w:type="dxa"/>
            <w:vAlign w:val="center"/>
          </w:tcPr>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80</w:t>
            </w:r>
          </w:p>
        </w:tc>
      </w:tr>
      <w:tr>
        <w:tblPrEx>
          <w:tblW w:w="8522" w:type="dxa"/>
          <w:jc w:val="center"/>
          <w:tblLayout w:type="fixed"/>
          <w:tblCellMar>
            <w:top w:w="0" w:type="dxa"/>
            <w:left w:w="108" w:type="dxa"/>
            <w:bottom w:w="0" w:type="dxa"/>
            <w:right w:w="108" w:type="dxa"/>
          </w:tblCellMar>
        </w:tblPrEx>
        <w:trPr>
          <w:jc w:val="center"/>
        </w:trPr>
        <w:tc>
          <w:tcPr>
            <w:tcW w:w="1371" w:type="dxa"/>
          </w:tcPr>
          <w:p>
            <w:pPr>
              <w:pStyle w:val="18810"/>
              <w:widowControl/>
              <w:spacing w:line="400" w:lineRule="exact"/>
              <w:ind w:firstLine="560" w:firstLineChars="200"/>
              <w:jc w:val="left"/>
              <w:textAlignment w:val="center"/>
              <w:rPr>
                <w:rFonts w:ascii="等线" w:eastAsia="方正仿宋_GBK" w:hAnsi="等线" w:cs="微软雅黑"/>
                <w:snapToGrid w:val="0"/>
                <w:sz w:val="28"/>
                <w:szCs w:val="28"/>
              </w:rPr>
            </w:pPr>
            <w:r>
              <w:rPr>
                <w:rFonts w:eastAsia="方正仿宋_GBK" w:cs="微软雅黑"/>
                <w:snapToGrid w:val="0"/>
                <w:sz w:val="28"/>
                <w:szCs w:val="28"/>
                <w:lang w:bidi="ar-SA"/>
              </w:rPr>
              <w:t>数据中心</w:t>
            </w:r>
          </w:p>
        </w:tc>
        <w:tc>
          <w:tcPr>
            <w:tcW w:w="2415"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textAlignment w:val="center"/>
              <w:rPr>
                <w:rFonts w:ascii="等线" w:eastAsia="方正仿宋_GBK" w:hAnsi="等线" w:cs="微软雅黑"/>
                <w:snapToGrid w:val="0"/>
                <w:sz w:val="28"/>
                <w:szCs w:val="28"/>
              </w:rPr>
            </w:pPr>
            <w:r>
              <w:rPr>
                <w:rFonts w:eastAsia="方正仿宋_GBK"/>
                <w:snapToGrid w:val="0"/>
                <w:sz w:val="28"/>
                <w:szCs w:val="28"/>
              </w:rPr>
              <w:t>智慧化辅助产品升级</w:t>
            </w:r>
          </w:p>
        </w:tc>
        <w:tc>
          <w:tcPr>
            <w:tcW w:w="2967" w:type="dxa"/>
            <w:tcBorders>
              <w:top w:val="single" w:sz="4" w:space="0" w:color="auto"/>
              <w:left w:val="single" w:sz="4" w:space="0" w:color="auto"/>
              <w:right w:val="single" w:sz="4" w:space="0" w:color="auto"/>
            </w:tcBorders>
            <w:vAlign w:val="center"/>
          </w:tcPr>
          <w:p>
            <w:pPr>
              <w:pStyle w:val="27010"/>
              <w:spacing w:line="400" w:lineRule="exact"/>
              <w:ind w:left="-132" w:firstLine="7"/>
              <w:jc w:val="left"/>
              <w:rPr>
                <w:rFonts w:eastAsia="方正仿宋_GBK"/>
                <w:bCs/>
                <w:snapToGrid w:val="0"/>
                <w:sz w:val="28"/>
                <w:szCs w:val="28"/>
              </w:rPr>
            </w:pPr>
            <w:r>
              <w:rPr>
                <w:rFonts w:eastAsia="方正仿宋_GBK" w:cs="Times New Roman" w:hint="eastAsia"/>
                <w:bCs/>
                <w:snapToGrid w:val="0"/>
                <w:sz w:val="28"/>
                <w:szCs w:val="28"/>
                <w:lang w:bidi="ar-SA"/>
              </w:rPr>
              <w:t>智能坐席助手：大于等于600席；</w:t>
            </w:r>
          </w:p>
          <w:p>
            <w:pPr>
              <w:pStyle w:val="27010"/>
              <w:spacing w:line="400" w:lineRule="exact"/>
              <w:ind w:left="-132" w:firstLine="7"/>
              <w:jc w:val="left"/>
              <w:rPr>
                <w:rFonts w:eastAsia="方正仿宋_GBK"/>
                <w:bCs/>
                <w:snapToGrid w:val="0"/>
                <w:sz w:val="28"/>
                <w:szCs w:val="28"/>
              </w:rPr>
            </w:pPr>
            <w:r>
              <w:rPr>
                <w:rFonts w:eastAsia="方正仿宋_GBK" w:cs="Times New Roman" w:hint="eastAsia"/>
                <w:bCs/>
                <w:snapToGrid w:val="0"/>
                <w:sz w:val="28"/>
                <w:szCs w:val="28"/>
                <w:lang w:bidi="ar-SA"/>
              </w:rPr>
              <w:t>语音转文字（ASR）并发：大于等于1500路(含智能语音机器人对话并发300路）；</w:t>
            </w:r>
          </w:p>
          <w:p>
            <w:pPr>
              <w:pStyle w:val="27010"/>
              <w:spacing w:line="400" w:lineRule="exact"/>
              <w:ind w:left="-132" w:firstLine="7"/>
              <w:jc w:val="left"/>
              <w:rPr>
                <w:rFonts w:eastAsia="方正仿宋_GBK"/>
                <w:bCs/>
                <w:snapToGrid w:val="0"/>
                <w:sz w:val="28"/>
                <w:szCs w:val="28"/>
              </w:rPr>
            </w:pPr>
            <w:r>
              <w:rPr>
                <w:rFonts w:eastAsia="方正仿宋_GBK" w:cs="Times New Roman" w:hint="eastAsia"/>
                <w:bCs/>
                <w:snapToGrid w:val="0"/>
                <w:sz w:val="28"/>
                <w:szCs w:val="28"/>
                <w:lang w:bidi="ar-SA"/>
              </w:rPr>
              <w:t>文字转语音（TTS）并发：大于等于300路；</w:t>
            </w:r>
          </w:p>
          <w:p>
            <w:pPr>
              <w:pStyle w:val="27010"/>
              <w:spacing w:line="400" w:lineRule="exact"/>
              <w:ind w:left="-132" w:firstLine="7"/>
              <w:jc w:val="left"/>
              <w:rPr>
                <w:rFonts w:eastAsia="方正仿宋_GBK"/>
                <w:bCs/>
                <w:snapToGrid w:val="0"/>
                <w:sz w:val="28"/>
                <w:szCs w:val="28"/>
              </w:rPr>
            </w:pPr>
            <w:r>
              <w:rPr>
                <w:rFonts w:eastAsia="方正仿宋_GBK" w:cs="Times New Roman" w:hint="eastAsia"/>
                <w:bCs/>
                <w:snapToGrid w:val="0"/>
                <w:sz w:val="28"/>
                <w:szCs w:val="28"/>
                <w:lang w:bidi="ar-SA"/>
              </w:rPr>
              <w:t>NLP授权并发：大于等于200路；</w:t>
            </w:r>
          </w:p>
          <w:p>
            <w:pPr>
              <w:pStyle w:val="27010"/>
              <w:spacing w:line="400" w:lineRule="exact"/>
              <w:ind w:left="-132" w:firstLine="7"/>
              <w:jc w:val="left"/>
              <w:rPr>
                <w:rFonts w:eastAsia="方正仿宋_GBK"/>
                <w:bCs/>
                <w:snapToGrid w:val="0"/>
                <w:sz w:val="28"/>
                <w:szCs w:val="28"/>
              </w:rPr>
            </w:pPr>
            <w:r>
              <w:rPr>
                <w:rFonts w:eastAsia="方正仿宋_GBK" w:cs="Times New Roman" w:hint="eastAsia"/>
                <w:bCs/>
                <w:snapToGrid w:val="0"/>
                <w:sz w:val="28"/>
                <w:szCs w:val="28"/>
                <w:lang w:bidi="ar-SA"/>
              </w:rPr>
              <w:t>英文ASR实时转译：大于等于10路；</w:t>
            </w:r>
          </w:p>
          <w:p>
            <w:pPr>
              <w:pStyle w:val="27010"/>
              <w:spacing w:line="400" w:lineRule="exact"/>
              <w:ind w:left="-132" w:firstLine="7"/>
              <w:jc w:val="left"/>
              <w:rPr>
                <w:rFonts w:eastAsia="方正仿宋_GBK"/>
                <w:bCs/>
                <w:snapToGrid w:val="0"/>
                <w:sz w:val="28"/>
                <w:szCs w:val="28"/>
              </w:rPr>
            </w:pPr>
            <w:r>
              <w:rPr>
                <w:rFonts w:eastAsia="方正仿宋_GBK" w:cs="Times New Roman"/>
                <w:snapToGrid w:val="0"/>
                <w:sz w:val="28"/>
                <w:szCs w:val="28"/>
                <w:lang w:bidi="ar-SA"/>
              </w:rPr>
              <w:t>包含多租户功能，产品配置满足至少85个租户使用。</w:t>
            </w:r>
          </w:p>
          <w:p>
            <w:pPr>
              <w:pStyle w:val="27010"/>
              <w:spacing w:line="400" w:lineRule="exact"/>
              <w:ind w:left="-132" w:firstLine="7"/>
              <w:jc w:val="left"/>
              <w:rPr>
                <w:rFonts w:eastAsia="方正仿宋_GBK"/>
                <w:bCs/>
                <w:snapToGrid w:val="0"/>
                <w:sz w:val="28"/>
                <w:szCs w:val="28"/>
              </w:rPr>
            </w:pPr>
            <w:r>
              <w:rPr>
                <w:rFonts w:eastAsia="方正仿宋_GBK" w:cs="Times New Roman" w:hint="eastAsia"/>
                <w:bCs/>
                <w:snapToGrid w:val="0"/>
                <w:sz w:val="28"/>
                <w:szCs w:val="28"/>
                <w:lang w:bidi="ar-SA"/>
              </w:rPr>
              <w:t>包含生产环境（双活部署，北京、广东两地）、开发环境、测试环境共四套环境；</w:t>
            </w:r>
          </w:p>
          <w:p>
            <w:pPr>
              <w:pStyle w:val="27010"/>
              <w:spacing w:line="400" w:lineRule="exact"/>
              <w:jc w:val="left"/>
              <w:rPr>
                <w:rFonts w:eastAsia="方正仿宋_GBK"/>
                <w:snapToGrid w:val="0"/>
                <w:sz w:val="28"/>
                <w:szCs w:val="28"/>
              </w:rPr>
            </w:pPr>
          </w:p>
        </w:tc>
        <w:tc>
          <w:tcPr>
            <w:tcW w:w="1769" w:type="dxa"/>
            <w:vAlign w:val="center"/>
          </w:tcPr>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800</w:t>
            </w:r>
          </w:p>
        </w:tc>
      </w:tr>
      <w:tr>
        <w:tblPrEx>
          <w:tblW w:w="8522" w:type="dxa"/>
          <w:jc w:val="center"/>
          <w:tblLayout w:type="fixed"/>
          <w:tblCellMar>
            <w:top w:w="0" w:type="dxa"/>
            <w:left w:w="108" w:type="dxa"/>
            <w:bottom w:w="0" w:type="dxa"/>
            <w:right w:w="108" w:type="dxa"/>
          </w:tblCellMar>
        </w:tblPrEx>
        <w:trPr>
          <w:jc w:val="center"/>
        </w:trPr>
        <w:tc>
          <w:tcPr>
            <w:tcW w:w="1371" w:type="dxa"/>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cs="微软雅黑"/>
                <w:snapToGrid w:val="0"/>
                <w:sz w:val="28"/>
                <w:szCs w:val="28"/>
                <w:lang w:bidi="ar-SA"/>
              </w:rPr>
              <w:t>数据中心</w:t>
            </w:r>
          </w:p>
        </w:tc>
        <w:tc>
          <w:tcPr>
            <w:tcW w:w="2415"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textAlignment w:val="center"/>
              <w:rPr>
                <w:rFonts w:ascii="等线" w:eastAsia="方正仿宋_GBK" w:hAnsi="等线" w:cs="Arial"/>
                <w:snapToGrid w:val="0"/>
                <w:sz w:val="28"/>
                <w:szCs w:val="28"/>
              </w:rPr>
            </w:pPr>
            <w:r>
              <w:rPr>
                <w:rFonts w:eastAsia="方正仿宋_GBK" w:cs="微软雅黑" w:hint="eastAsia"/>
                <w:snapToGrid w:val="0"/>
                <w:sz w:val="28"/>
                <w:szCs w:val="28"/>
                <w:lang w:bidi="ar-SA"/>
              </w:rPr>
              <w:t>热线综合服务平台</w:t>
            </w:r>
          </w:p>
        </w:tc>
        <w:tc>
          <w:tcPr>
            <w:tcW w:w="2967" w:type="dxa"/>
            <w:tcBorders>
              <w:top w:val="single" w:sz="4" w:space="0" w:color="auto"/>
              <w:left w:val="single" w:sz="4" w:space="0" w:color="auto"/>
              <w:right w:val="single" w:sz="4" w:space="0" w:color="auto"/>
            </w:tcBorders>
            <w:vAlign w:val="center"/>
          </w:tcPr>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可签入语音坐席：大于等于600席；</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语音坐席通话并发：大于等于</w:t>
            </w:r>
            <w:r>
              <w:rPr>
                <w:rFonts w:eastAsia="方正仿宋_GBK" w:cs="Times New Roman" w:hint="eastAsia"/>
                <w:snapToGrid w:val="0"/>
                <w:sz w:val="28"/>
                <w:szCs w:val="28"/>
                <w:lang w:bidi="ar-SA"/>
              </w:rPr>
              <w:t>6</w:t>
            </w:r>
            <w:r>
              <w:rPr>
                <w:rFonts w:eastAsia="方正仿宋_GBK" w:cs="Times New Roman"/>
                <w:snapToGrid w:val="0"/>
                <w:sz w:val="28"/>
                <w:szCs w:val="28"/>
                <w:lang w:bidi="ar-SA"/>
              </w:rPr>
              <w:t>00席；</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5G视频坐席：大于等于15席；</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互联网文本坐席并发：大于等于300席；</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互联网视频通话并发：大于等于100席；</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包含生产环境（双活部署，北京、广东两地）、开发环境、测试环境共四套环境；</w:t>
            </w:r>
          </w:p>
          <w:p>
            <w:pPr>
              <w:pStyle w:val="27010"/>
              <w:spacing w:line="400" w:lineRule="exact"/>
              <w:ind w:left="-132" w:firstLine="7"/>
              <w:jc w:val="left"/>
              <w:rPr>
                <w:rFonts w:eastAsia="方正仿宋_GBK"/>
                <w:snapToGrid w:val="0"/>
                <w:sz w:val="28"/>
                <w:szCs w:val="28"/>
              </w:rPr>
            </w:pPr>
            <w:r>
              <w:rPr>
                <w:rFonts w:eastAsia="方正仿宋_GBK" w:cs="Times New Roman"/>
                <w:snapToGrid w:val="0"/>
                <w:sz w:val="28"/>
                <w:szCs w:val="28"/>
                <w:lang w:bidi="ar-SA"/>
              </w:rPr>
              <w:t>包含多租户功能，产品配置满足至少85个租户使用。</w:t>
            </w:r>
          </w:p>
        </w:tc>
        <w:tc>
          <w:tcPr>
            <w:tcW w:w="1769" w:type="dxa"/>
            <w:vAlign w:val="center"/>
          </w:tcPr>
          <w:p>
            <w:pPr>
              <w:pStyle w:val="List2"/>
              <w:spacing w:line="400" w:lineRule="exact"/>
              <w:ind w:left="0" w:firstLine="0" w:leftChars="0" w:firstLineChars="0"/>
              <w:jc w:val="center"/>
              <w:rPr>
                <w:rFonts w:ascii="Times New Roman" w:hAnsi="Times New Roman"/>
                <w:sz w:val="28"/>
                <w:szCs w:val="28"/>
              </w:rPr>
            </w:pPr>
            <w:r>
              <w:rPr>
                <w:rFonts w:ascii="Times New Roman" w:hAnsi="Times New Roman"/>
                <w:sz w:val="28"/>
                <w:szCs w:val="28"/>
              </w:rPr>
              <w:t>130</w:t>
            </w:r>
          </w:p>
        </w:tc>
      </w:tr>
      <w:tr>
        <w:tblPrEx>
          <w:tblW w:w="8522" w:type="dxa"/>
          <w:jc w:val="center"/>
          <w:tblLayout w:type="fixed"/>
          <w:tblCellMar>
            <w:top w:w="0" w:type="dxa"/>
            <w:left w:w="108" w:type="dxa"/>
            <w:bottom w:w="0" w:type="dxa"/>
            <w:right w:w="108" w:type="dxa"/>
          </w:tblCellMar>
        </w:tblPrEx>
        <w:trPr>
          <w:jc w:val="center"/>
        </w:trPr>
        <w:tc>
          <w:tcPr>
            <w:tcW w:w="1371" w:type="dxa"/>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p>
        </w:tc>
        <w:tc>
          <w:tcPr>
            <w:tcW w:w="2415"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合计</w:t>
            </w:r>
          </w:p>
        </w:tc>
        <w:tc>
          <w:tcPr>
            <w:tcW w:w="2967"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w:t>
            </w:r>
          </w:p>
        </w:tc>
        <w:tc>
          <w:tcPr>
            <w:tcW w:w="1769" w:type="dxa"/>
            <w:vAlign w:val="center"/>
          </w:tcPr>
          <w:p>
            <w:pPr>
              <w:pStyle w:val="18810"/>
              <w:widowControl/>
              <w:spacing w:line="400" w:lineRule="exact"/>
              <w:ind w:firstLine="560" w:firstLineChars="200"/>
              <w:jc w:val="left"/>
              <w:textAlignment w:val="center"/>
              <w:rPr>
                <w:rFonts w:eastAsia="方正仿宋_GBK"/>
                <w:snapToGrid w:val="0"/>
                <w:sz w:val="28"/>
                <w:szCs w:val="28"/>
              </w:rPr>
            </w:pPr>
            <w:r>
              <w:rPr>
                <w:rFonts w:eastAsia="方正仿宋_GBK"/>
                <w:snapToGrid w:val="0"/>
                <w:sz w:val="28"/>
                <w:szCs w:val="28"/>
              </w:rPr>
              <w:t>1837</w:t>
            </w:r>
          </w:p>
        </w:tc>
      </w:tr>
    </w:tbl>
    <w:p>
      <w:pPr>
        <w:pStyle w:val="18810"/>
        <w:widowControl/>
        <w:spacing w:line="400" w:lineRule="exact"/>
        <w:ind w:firstLine="560" w:firstLineChars="200"/>
        <w:jc w:val="left"/>
        <w:textAlignment w:val="center"/>
        <w:rPr>
          <w:rFonts w:eastAsia="方正仿宋_GBK"/>
          <w:b/>
          <w:bCs/>
          <w:snapToGrid w:val="0"/>
          <w:sz w:val="28"/>
          <w:szCs w:val="28"/>
        </w:rPr>
      </w:pPr>
    </w:p>
    <w:p>
      <w:pPr>
        <w:pStyle w:val="18810"/>
        <w:widowControl/>
        <w:spacing w:line="400" w:lineRule="exact"/>
        <w:ind w:firstLine="560" w:firstLineChars="200"/>
        <w:jc w:val="left"/>
        <w:textAlignment w:val="center"/>
        <w:rPr>
          <w:rFonts w:eastAsia="方正仿宋_GBK"/>
          <w:b/>
          <w:bCs/>
          <w:snapToGrid w:val="0"/>
          <w:sz w:val="28"/>
          <w:szCs w:val="28"/>
        </w:rPr>
      </w:pPr>
    </w:p>
    <w:p>
      <w:pPr>
        <w:spacing w:line="400" w:lineRule="exact"/>
        <w:ind w:firstLine="640" w:firstLineChars="200"/>
        <w:outlineLvl w:val="1"/>
        <w:rPr>
          <w:rFonts w:eastAsia="方正黑体_GBK"/>
          <w:b/>
          <w:bCs/>
          <w:snapToGrid w:val="0"/>
          <w:sz w:val="32"/>
          <w:szCs w:val="32"/>
        </w:rPr>
      </w:pPr>
      <w:bookmarkStart w:id="62" w:name="_Toc184201422"/>
      <w:bookmarkStart w:id="63" w:name="_Toc38253635"/>
      <w:r>
        <w:rPr>
          <w:rFonts w:ascii="Times New Roman" w:eastAsia="方正黑体_GBK" w:hAnsi="Times New Roman" w:cs="Times New Roman"/>
          <w:b/>
          <w:bCs/>
          <w:snapToGrid w:val="0"/>
          <w:sz w:val="32"/>
          <w:szCs w:val="32"/>
          <w:lang w:bidi="ar-SA"/>
        </w:rPr>
        <w:t>十、 主要技术参数及配置条目数量统计</w:t>
      </w:r>
      <w:bookmarkEnd w:id="62"/>
      <w:bookmarkEnd w:id="63"/>
    </w:p>
    <w:tbl>
      <w:tblPr>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9"/>
        <w:gridCol w:w="2880"/>
        <w:gridCol w:w="4072"/>
      </w:tblGrid>
      <w:tr>
        <w:tblPrEx>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19" w:type="dxa"/>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包号</w:t>
            </w:r>
          </w:p>
        </w:tc>
        <w:tc>
          <w:tcPr>
            <w:tcW w:w="2880" w:type="dxa"/>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指标类型</w:t>
            </w:r>
          </w:p>
        </w:tc>
        <w:tc>
          <w:tcPr>
            <w:tcW w:w="4072" w:type="dxa"/>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条目数量（个）</w:t>
            </w:r>
          </w:p>
        </w:tc>
      </w:tr>
      <w:tr>
        <w:tblPrEx>
          <w:tblW w:w="8571" w:type="dxa"/>
          <w:jc w:val="left"/>
          <w:tblInd w:w="-93" w:type="dxa"/>
          <w:tblCellMar>
            <w:top w:w="0" w:type="dxa"/>
            <w:left w:w="108" w:type="dxa"/>
            <w:bottom w:w="0" w:type="dxa"/>
            <w:right w:w="108" w:type="dxa"/>
          </w:tblCellMar>
        </w:tblPrEx>
        <w:trPr>
          <w:trHeight w:val="389"/>
          <w:jc w:val="left"/>
        </w:trPr>
        <w:tc>
          <w:tcPr>
            <w:tcW w:w="1619" w:type="dxa"/>
            <w:vMerge w:val="restart"/>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01包</w:t>
            </w:r>
          </w:p>
        </w:tc>
        <w:tc>
          <w:tcPr>
            <w:tcW w:w="2880"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★指标</w:t>
            </w:r>
          </w:p>
        </w:tc>
        <w:tc>
          <w:tcPr>
            <w:tcW w:w="4072" w:type="dxa"/>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8</w:t>
            </w:r>
          </w:p>
        </w:tc>
      </w:tr>
      <w:tr>
        <w:tblPrEx>
          <w:tblW w:w="8571" w:type="dxa"/>
          <w:jc w:val="left"/>
          <w:tblInd w:w="-93" w:type="dxa"/>
          <w:tblCellMar>
            <w:top w:w="0" w:type="dxa"/>
            <w:left w:w="108" w:type="dxa"/>
            <w:bottom w:w="0" w:type="dxa"/>
            <w:right w:w="108" w:type="dxa"/>
          </w:tblCellMar>
        </w:tblPrEx>
        <w:trPr>
          <w:trHeight w:val="389"/>
          <w:jc w:val="left"/>
        </w:trPr>
        <w:tc>
          <w:tcPr>
            <w:tcW w:w="1619" w:type="dxa"/>
            <w:vMerge/>
            <w:vAlign w:val="center"/>
          </w:tcPr>
          <w:p/>
        </w:tc>
        <w:tc>
          <w:tcPr>
            <w:tcW w:w="2880"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▲指标</w:t>
            </w:r>
          </w:p>
        </w:tc>
        <w:tc>
          <w:tcPr>
            <w:tcW w:w="4072" w:type="dxa"/>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8</w:t>
            </w:r>
          </w:p>
        </w:tc>
      </w:tr>
      <w:tr>
        <w:tblPrEx>
          <w:tblW w:w="8571" w:type="dxa"/>
          <w:jc w:val="left"/>
          <w:tblInd w:w="-93" w:type="dxa"/>
          <w:tblCellMar>
            <w:top w:w="0" w:type="dxa"/>
            <w:left w:w="108" w:type="dxa"/>
            <w:bottom w:w="0" w:type="dxa"/>
            <w:right w:w="108" w:type="dxa"/>
          </w:tblCellMar>
        </w:tblPrEx>
        <w:trPr>
          <w:trHeight w:val="389"/>
          <w:jc w:val="left"/>
        </w:trPr>
        <w:tc>
          <w:tcPr>
            <w:tcW w:w="1619" w:type="dxa"/>
            <w:vMerge/>
            <w:vAlign w:val="center"/>
          </w:tcPr>
          <w:p/>
        </w:tc>
        <w:tc>
          <w:tcPr>
            <w:tcW w:w="2880" w:type="dxa"/>
            <w:tcBorders>
              <w:top w:val="single" w:sz="4" w:space="0" w:color="auto"/>
              <w:left w:val="single" w:sz="4" w:space="0" w:color="auto"/>
              <w:right w:val="single" w:sz="4" w:space="0" w:color="auto"/>
            </w:tcBorders>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snapToGrid w:val="0"/>
                <w:sz w:val="28"/>
                <w:szCs w:val="28"/>
              </w:rPr>
              <w:t>一般指标</w:t>
            </w:r>
          </w:p>
        </w:tc>
        <w:tc>
          <w:tcPr>
            <w:tcW w:w="4072" w:type="dxa"/>
            <w:vAlign w:val="center"/>
          </w:tcPr>
          <w:p>
            <w:pPr>
              <w:pStyle w:val="18810"/>
              <w:widowControl/>
              <w:spacing w:line="400" w:lineRule="exact"/>
              <w:ind w:firstLine="560" w:firstLineChars="200"/>
              <w:jc w:val="left"/>
              <w:textAlignment w:val="center"/>
              <w:rPr>
                <w:rFonts w:ascii="等线" w:eastAsia="方正仿宋_GBK" w:hAnsi="等线" w:cs="Arial"/>
                <w:snapToGrid w:val="0"/>
                <w:sz w:val="28"/>
                <w:szCs w:val="28"/>
              </w:rPr>
            </w:pPr>
            <w:r>
              <w:rPr>
                <w:rFonts w:eastAsia="方正仿宋_GBK" w:hint="eastAsia"/>
                <w:snapToGrid w:val="0"/>
                <w:sz w:val="28"/>
                <w:szCs w:val="28"/>
              </w:rPr>
              <w:t>1</w:t>
            </w:r>
            <w:r>
              <w:rPr>
                <w:rFonts w:eastAsia="方正仿宋_GBK"/>
                <w:snapToGrid w:val="0"/>
                <w:sz w:val="28"/>
                <w:szCs w:val="28"/>
              </w:rPr>
              <w:t>8</w:t>
            </w:r>
          </w:p>
        </w:tc>
      </w:tr>
    </w:tbl>
    <w:p>
      <w:pPr>
        <w:pStyle w:val="18810"/>
        <w:widowControl/>
        <w:spacing w:line="400" w:lineRule="exact"/>
        <w:ind w:firstLine="560" w:firstLineChars="200"/>
        <w:jc w:val="left"/>
        <w:textAlignment w:val="center"/>
        <w:rPr>
          <w:rFonts w:eastAsia="方正仿宋_GBK" w:cs="微软雅黑"/>
          <w:b/>
          <w:bCs/>
          <w:snapToGrid w:val="0"/>
          <w:sz w:val="28"/>
          <w:szCs w:val="28"/>
        </w:rPr>
      </w:pPr>
    </w:p>
    <w:p>
      <w:pPr>
        <w:pStyle w:val="18810"/>
        <w:widowControl/>
        <w:spacing w:line="400" w:lineRule="exact"/>
        <w:ind w:firstLine="560" w:firstLineChars="200"/>
        <w:jc w:val="left"/>
        <w:textAlignment w:val="center"/>
        <w:rPr>
          <w:rFonts w:eastAsia="方正仿宋_GBK" w:cs="微软雅黑"/>
          <w:b/>
          <w:bCs/>
          <w:snapToGrid w:val="0"/>
          <w:sz w:val="28"/>
          <w:szCs w:val="28"/>
        </w:rPr>
      </w:pPr>
    </w:p>
    <w:p>
      <w:pPr>
        <w:spacing w:line="400" w:lineRule="exact"/>
        <w:ind w:firstLine="640" w:firstLineChars="200"/>
        <w:outlineLvl w:val="1"/>
        <w:rPr>
          <w:rFonts w:eastAsia="方正黑体_GBK" w:cs="微软雅黑"/>
          <w:b/>
          <w:bCs/>
          <w:snapToGrid w:val="0"/>
          <w:sz w:val="32"/>
          <w:szCs w:val="32"/>
        </w:rPr>
      </w:pPr>
      <w:bookmarkStart w:id="64" w:name="_Toc184201423"/>
      <w:bookmarkStart w:id="65" w:name="_Toc38253636"/>
      <w:r>
        <w:rPr>
          <w:rFonts w:ascii="Times New Roman" w:eastAsia="方正黑体_GBK" w:hAnsi="Times New Roman" w:cs="微软雅黑" w:hint="eastAsia"/>
          <w:b/>
          <w:bCs/>
          <w:snapToGrid w:val="0"/>
          <w:sz w:val="32"/>
          <w:szCs w:val="32"/>
          <w:lang w:bidi="ar-SA"/>
        </w:rPr>
        <w:t>十</w:t>
      </w:r>
      <w:r>
        <w:rPr>
          <w:rFonts w:ascii="Times New Roman" w:eastAsia="方正黑体_GBK" w:hAnsi="Times New Roman" w:cs="微软雅黑"/>
          <w:b/>
          <w:bCs/>
          <w:snapToGrid w:val="0"/>
          <w:sz w:val="32"/>
          <w:szCs w:val="32"/>
          <w:lang w:bidi="ar-SA"/>
        </w:rPr>
        <w:t>一</w:t>
      </w:r>
      <w:r>
        <w:rPr>
          <w:rFonts w:ascii="Times New Roman" w:eastAsia="方正黑体_GBK" w:hAnsi="Times New Roman" w:cs="微软雅黑" w:hint="eastAsia"/>
          <w:b/>
          <w:bCs/>
          <w:snapToGrid w:val="0"/>
          <w:sz w:val="32"/>
          <w:szCs w:val="32"/>
          <w:lang w:bidi="ar-SA"/>
        </w:rPr>
        <w:t>、 付款办法</w:t>
      </w:r>
      <w:bookmarkEnd w:id="64"/>
      <w:bookmarkEnd w:id="65"/>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1.投标人（指投标人，下同）向采购人（指采购人，下同）交付中标金额10%的履约保证金（或金融机构出具的保函），项目</w:t>
      </w:r>
      <w:r>
        <w:rPr>
          <w:rFonts w:ascii="方正仿宋_GBK" w:eastAsia="方正仿宋_GBK" w:hint="eastAsia"/>
          <w:color w:val="000000"/>
          <w:sz w:val="28"/>
          <w:szCs w:val="28"/>
        </w:rPr>
        <w:t>验收合格后30个日历日内，投标人可以提交履约保证金退款申请。采购人凭投标人提交退款申请，10个工作日内无息退还。</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1.设备全部到货并经采购人（用户）签收，并提交下列单据之日起10个工作日内，采购人向投标人支付合同总价3</w:t>
      </w:r>
      <w:r>
        <w:rPr>
          <w:rFonts w:eastAsia="方正仿宋_GBK" w:hint="eastAsia"/>
          <w:snapToGrid w:val="0"/>
          <w:sz w:val="28"/>
          <w:szCs w:val="28"/>
          <w:lang w:val="zh-CN" w:eastAsia="zh-CN" w:bidi="en-US"/>
        </w:rPr>
        <w:t>5</w:t>
      </w:r>
      <w:r>
        <w:rPr>
          <w:rFonts w:eastAsia="方正仿宋_GBK"/>
          <w:snapToGrid w:val="0"/>
          <w:sz w:val="28"/>
          <w:szCs w:val="28"/>
          <w:lang w:val="zh-CN" w:eastAsia="zh-CN" w:bidi="en-US"/>
        </w:rPr>
        <w:t>%合同款（金额）。</w:t>
      </w:r>
    </w:p>
    <w:p>
      <w:pPr>
        <w:pStyle w:val="62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投标人提交单据：合同（正文部分复印件）、中标通知书（或成交通知书）、发票（原件）、履约保证金单据，设备到货验收合格签收单（须装订成册）（复印件）。</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2.完成设备全部安装调试、全模块集成、数据迁移等实施工作，并经采购人（用户）验收合格后，投标人向采购人提交下列单据之日起10个工作日内，采购人向投标人支付合同总价40%合同款（金额）。</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投标人提交单据：合同（正文部分复印件）、中标通知书（或成交通知书）、发票（原件）、实施验收合格报告（须装订成册）（复印件）。</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3.</w:t>
      </w:r>
      <w:r>
        <w:rPr>
          <w:rFonts w:eastAsia="方正仿宋_GBK" w:hint="eastAsia"/>
          <w:snapToGrid w:val="0"/>
          <w:sz w:val="28"/>
          <w:szCs w:val="28"/>
          <w:lang w:val="zh-CN" w:eastAsia="zh-CN" w:bidi="en-US"/>
        </w:rPr>
        <w:t>完成整体项目验收，且通过专家评审合格</w:t>
      </w:r>
      <w:r>
        <w:rPr>
          <w:rFonts w:eastAsia="方正仿宋_GBK"/>
          <w:snapToGrid w:val="0"/>
          <w:sz w:val="28"/>
          <w:szCs w:val="28"/>
          <w:lang w:val="zh-CN" w:eastAsia="zh-CN" w:bidi="en-US"/>
        </w:rPr>
        <w:t>后，投标人向采购人提交下列单据之日起10个工作日内，采购人向投标人支付合同总价25%合同款（金额）。</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投标人提交单据：合同（正文部分复印件）、中标通知书（或成交通知书）、发票（原件）、试运行报告、</w:t>
      </w:r>
      <w:r>
        <w:rPr>
          <w:rFonts w:eastAsia="方正仿宋_GBK" w:hint="eastAsia"/>
          <w:snapToGrid w:val="0"/>
          <w:sz w:val="28"/>
          <w:szCs w:val="28"/>
          <w:lang w:val="zh-CN" w:eastAsia="zh-CN" w:bidi="en-US"/>
        </w:rPr>
        <w:t>项目</w:t>
      </w:r>
      <w:r>
        <w:rPr>
          <w:rFonts w:eastAsia="方正仿宋_GBK"/>
          <w:snapToGrid w:val="0"/>
          <w:sz w:val="28"/>
          <w:szCs w:val="28"/>
          <w:lang w:val="zh-CN" w:eastAsia="zh-CN" w:bidi="en-US"/>
        </w:rPr>
        <w:t>验收合格报告（须装订成册）（复印件）。</w:t>
      </w:r>
    </w:p>
    <w:p>
      <w:pPr>
        <w:pStyle w:val="18810"/>
        <w:widowControl/>
        <w:spacing w:line="400" w:lineRule="exact"/>
        <w:ind w:firstLine="560" w:firstLineChars="200"/>
        <w:jc w:val="left"/>
        <w:textAlignment w:val="center"/>
        <w:rPr>
          <w:rFonts w:eastAsia="方正仿宋_GBK"/>
          <w:snapToGrid w:val="0"/>
          <w:sz w:val="28"/>
          <w:szCs w:val="28"/>
          <w:lang w:val="zh-CN" w:bidi="en-US"/>
        </w:rPr>
      </w:pPr>
      <w:r>
        <w:rPr>
          <w:rFonts w:eastAsia="方正仿宋_GBK"/>
          <w:snapToGrid w:val="0"/>
          <w:sz w:val="28"/>
          <w:szCs w:val="28"/>
          <w:lang w:val="zh-CN" w:eastAsia="zh-CN" w:bidi="en-US"/>
        </w:rPr>
        <w:t>4.因财政集中支付延误时间不计算在内，投标人提交付款单据延迟、缺失及账户信息错误的，采购人有权相应顺延付款期限，且采购人不承担延误付款责任。</w:t>
      </w:r>
    </w:p>
    <w:p>
      <w:pPr>
        <w:pStyle w:val="18810"/>
        <w:widowControl/>
        <w:spacing w:line="400" w:lineRule="exact"/>
        <w:ind w:firstLine="560" w:firstLineChars="200"/>
        <w:jc w:val="left"/>
        <w:textAlignment w:val="center"/>
        <w:rPr>
          <w:rFonts w:eastAsia="方正仿宋_GBK"/>
          <w:snapToGrid w:val="0"/>
          <w:sz w:val="28"/>
          <w:szCs w:val="28"/>
        </w:rPr>
      </w:pPr>
    </w:p>
    <w:p>
      <w:pPr>
        <w:pStyle w:val="18810"/>
        <w:widowControl/>
        <w:spacing w:line="400" w:lineRule="exact"/>
        <w:ind w:firstLine="560" w:firstLineChars="200"/>
        <w:jc w:val="left"/>
        <w:textAlignment w:val="center"/>
        <w:rPr>
          <w:rFonts w:eastAsia="方正仿宋_GBK" w:cs="微软雅黑"/>
          <w:b/>
          <w:bCs/>
          <w:snapToGrid w:val="0"/>
          <w:sz w:val="28"/>
          <w:szCs w:val="28"/>
        </w:rPr>
      </w:pPr>
    </w:p>
    <w:p>
      <w:pPr>
        <w:spacing w:line="400" w:lineRule="exact"/>
        <w:ind w:firstLine="640" w:firstLineChars="200"/>
        <w:outlineLvl w:val="1"/>
        <w:rPr>
          <w:rFonts w:eastAsia="方正黑体_GBK" w:cs="微软雅黑"/>
          <w:b/>
          <w:bCs/>
          <w:snapToGrid w:val="0"/>
          <w:sz w:val="32"/>
          <w:szCs w:val="32"/>
        </w:rPr>
      </w:pPr>
      <w:bookmarkStart w:id="66" w:name="_Toc184201424"/>
      <w:bookmarkStart w:id="67" w:name="_Toc38253637"/>
      <w:r>
        <w:rPr>
          <w:rFonts w:ascii="Times New Roman" w:eastAsia="方正黑体_GBK" w:hAnsi="Times New Roman" w:cs="微软雅黑" w:hint="eastAsia"/>
          <w:b/>
          <w:bCs/>
          <w:snapToGrid w:val="0"/>
          <w:sz w:val="32"/>
          <w:szCs w:val="32"/>
          <w:lang w:bidi="ar-SA"/>
        </w:rPr>
        <w:t>★十</w:t>
      </w:r>
      <w:r>
        <w:rPr>
          <w:rFonts w:ascii="Times New Roman" w:eastAsia="方正黑体_GBK" w:hAnsi="Times New Roman" w:cs="微软雅黑"/>
          <w:b/>
          <w:bCs/>
          <w:snapToGrid w:val="0"/>
          <w:sz w:val="32"/>
          <w:szCs w:val="32"/>
          <w:lang w:bidi="ar-SA"/>
        </w:rPr>
        <w:t>二</w:t>
      </w:r>
      <w:r>
        <w:rPr>
          <w:rFonts w:ascii="Times New Roman" w:eastAsia="方正黑体_GBK" w:hAnsi="Times New Roman" w:cs="微软雅黑" w:hint="eastAsia"/>
          <w:b/>
          <w:bCs/>
          <w:snapToGrid w:val="0"/>
          <w:sz w:val="32"/>
          <w:szCs w:val="32"/>
          <w:lang w:bidi="ar-SA"/>
        </w:rPr>
        <w:t>、 其他</w:t>
      </w:r>
      <w:bookmarkEnd w:id="66"/>
      <w:bookmarkEnd w:id="67"/>
    </w:p>
    <w:p>
      <w:pPr>
        <w:pStyle w:val="18810"/>
        <w:widowControl/>
        <w:spacing w:line="400" w:lineRule="exact"/>
        <w:ind w:firstLine="560" w:firstLineChars="200"/>
        <w:jc w:val="left"/>
        <w:textAlignment w:val="center"/>
        <w:rPr>
          <w:rFonts w:eastAsia="方正仿宋_GBK" w:cs="微软雅黑"/>
          <w:bCs/>
          <w:snapToGrid w:val="0"/>
          <w:sz w:val="28"/>
          <w:szCs w:val="28"/>
        </w:rPr>
      </w:pPr>
      <w:r>
        <w:rPr>
          <w:rFonts w:ascii="Times New Roman" w:eastAsia="方正仿宋_GBK" w:hAnsi="Times New Roman" w:cs="微软雅黑"/>
          <w:bCs/>
          <w:snapToGrid w:val="0"/>
          <w:sz w:val="28"/>
          <w:szCs w:val="28"/>
          <w:lang w:bidi="ar-SA"/>
        </w:rPr>
        <w:t>1</w:t>
      </w:r>
      <w:r>
        <w:rPr>
          <w:rFonts w:ascii="Times New Roman" w:eastAsia="方正仿宋_GBK" w:hAnsi="Times New Roman" w:cs="微软雅黑" w:hint="eastAsia"/>
          <w:bCs/>
          <w:snapToGrid w:val="0"/>
          <w:sz w:val="28"/>
          <w:szCs w:val="28"/>
          <w:lang w:bidi="ar-SA"/>
        </w:rPr>
        <w:t>、集成要求</w:t>
      </w:r>
    </w:p>
    <w:p>
      <w:pPr>
        <w:pStyle w:val="40310"/>
        <w:widowControl/>
        <w:numPr>
          <w:ilvl w:val="0"/>
          <w:numId w:val="90"/>
        </w:numPr>
        <w:spacing w:line="400" w:lineRule="exact"/>
        <w:ind w:left="0" w:firstLine="560" w:firstLineChars="200"/>
        <w:jc w:val="left"/>
        <w:textAlignment w:val="center"/>
        <w:rPr>
          <w:rFonts w:eastAsia="方正仿宋_GBK" w:cs="微软雅黑"/>
          <w:b/>
          <w:bCs/>
          <w:snapToGrid w:val="0"/>
          <w:sz w:val="28"/>
          <w:szCs w:val="28"/>
          <w:lang w:val="zh-CN"/>
        </w:rPr>
      </w:pPr>
      <w:r>
        <w:rPr>
          <w:rFonts w:eastAsia="方正仿宋_GBK" w:cs="微软雅黑" w:hint="eastAsia"/>
          <w:b/>
          <w:bCs/>
          <w:snapToGrid w:val="0"/>
          <w:sz w:val="28"/>
          <w:szCs w:val="28"/>
          <w:lang w:val="zh-CN" w:eastAsia="zh-CN" w:bidi="ar-SA"/>
        </w:rPr>
        <w:t>业务需求</w:t>
      </w:r>
    </w:p>
    <w:p>
      <w:pPr>
        <w:pStyle w:val="40310"/>
        <w:widowControl/>
        <w:spacing w:line="400" w:lineRule="exact"/>
        <w:ind w:firstLine="560" w:firstLineChars="200"/>
        <w:jc w:val="left"/>
        <w:textAlignment w:val="center"/>
        <w:rPr>
          <w:rFonts w:ascii="Times New Roman" w:eastAsia="方正仿宋_GBK" w:hAnsi="Times New Roman"/>
          <w:snapToGrid w:val="0"/>
          <w:sz w:val="28"/>
          <w:szCs w:val="28"/>
          <w:lang w:val="zh-CN" w:bidi="en-US"/>
        </w:rPr>
      </w:pPr>
      <w:r>
        <w:rPr>
          <w:rFonts w:eastAsia="方正仿宋_GBK" w:cs="微软雅黑" w:hint="eastAsia"/>
          <w:snapToGrid w:val="0"/>
          <w:sz w:val="28"/>
          <w:szCs w:val="28"/>
          <w:lang w:val="zh-CN" w:eastAsia="zh-CN" w:bidi="en-US"/>
        </w:rPr>
        <w:t>本项目围绕用户端、坐席端和管理端作业需求，在现有海关基础设施</w:t>
      </w:r>
      <w:r>
        <w:rPr>
          <w:rFonts w:eastAsia="方正仿宋_GBK"/>
          <w:snapToGrid w:val="0"/>
          <w:sz w:val="28"/>
          <w:szCs w:val="28"/>
          <w:lang w:val="zh-CN" w:eastAsia="zh-CN" w:bidi="en-US"/>
        </w:rPr>
        <w:t>华为云</w:t>
      </w:r>
      <w:r>
        <w:rPr>
          <w:rFonts w:ascii="Times New Roman" w:eastAsia="方正仿宋_GBK" w:hAnsi="Times New Roman"/>
          <w:snapToGrid w:val="0"/>
          <w:sz w:val="28"/>
          <w:szCs w:val="28"/>
          <w:lang w:val="zh-CN" w:eastAsia="zh-CN" w:bidi="en-US"/>
        </w:rPr>
        <w:t>平台（HCS8.1及以上版本）上，部署语音话务系统、综合服务平台、多渠道自助服务平台、智慧化辅助产品升级、边界会话控制器等产品，打造具备智能感知、智能交互、智能支撑特征的新一代海关智慧化客服咨询中心。</w:t>
      </w:r>
    </w:p>
    <w:p>
      <w:pPr>
        <w:pStyle w:val="40310"/>
        <w:widowControl/>
        <w:spacing w:line="400" w:lineRule="exact"/>
        <w:ind w:firstLine="560" w:firstLineChars="200"/>
        <w:jc w:val="left"/>
        <w:textAlignment w:val="center"/>
        <w:rPr>
          <w:rFonts w:ascii="Times New Roman" w:eastAsia="方正仿宋_GBK" w:hAnsi="Times New Roman"/>
          <w:snapToGrid w:val="0"/>
          <w:sz w:val="28"/>
          <w:szCs w:val="28"/>
          <w:lang w:val="zh-CN" w:bidi="en-US"/>
        </w:rPr>
      </w:pPr>
      <w:r>
        <w:rPr>
          <w:rFonts w:ascii="Times New Roman" w:eastAsia="方正仿宋_GBK" w:hAnsi="Times New Roman"/>
          <w:snapToGrid w:val="0"/>
          <w:sz w:val="28"/>
          <w:szCs w:val="28"/>
          <w:lang w:val="zh-CN" w:eastAsia="zh-CN" w:bidi="en-US"/>
        </w:rPr>
        <w:t>整体系统功能需达到以下要求，以满足热线业务场景需要：</w:t>
      </w:r>
    </w:p>
    <w:p>
      <w:pPr>
        <w:pStyle w:val="40310"/>
        <w:widowControl/>
        <w:spacing w:line="400" w:lineRule="exact"/>
        <w:ind w:firstLine="560" w:firstLineChars="200"/>
        <w:jc w:val="left"/>
        <w:textAlignment w:val="center"/>
        <w:rPr>
          <w:rFonts w:ascii="Times New Roman" w:eastAsia="方正仿宋_GBK" w:hAnsi="Times New Roman"/>
          <w:snapToGrid w:val="0"/>
          <w:sz w:val="28"/>
          <w:szCs w:val="28"/>
          <w:lang w:val="zh-CN" w:bidi="en-US"/>
        </w:rPr>
      </w:pPr>
      <w:r>
        <w:rPr>
          <w:rFonts w:ascii="Times New Roman" w:eastAsia="方正仿宋_GBK" w:hAnsi="Times New Roman" w:hint="eastAsia"/>
          <w:snapToGrid w:val="0"/>
          <w:sz w:val="28"/>
          <w:szCs w:val="28"/>
          <w:lang w:val="zh-CN" w:eastAsia="zh-CN" w:bidi="en-US"/>
        </w:rPr>
        <w:t>综合服务平台页面响应时间</w:t>
      </w:r>
      <w:r>
        <w:rPr>
          <w:rFonts w:ascii="Times New Roman" w:eastAsia="方正仿宋_GBK" w:hAnsi="Times New Roman"/>
          <w:snapToGrid w:val="0"/>
          <w:sz w:val="28"/>
          <w:szCs w:val="28"/>
          <w:lang w:val="zh-CN" w:eastAsia="zh-CN" w:bidi="en-US"/>
        </w:rPr>
        <w:t>&lt;</w:t>
      </w:r>
      <w:r>
        <w:rPr>
          <w:rFonts w:ascii="Times New Roman" w:eastAsia="方正仿宋_GBK" w:hAnsi="Times New Roman" w:hint="eastAsia"/>
          <w:snapToGrid w:val="0"/>
          <w:sz w:val="28"/>
          <w:szCs w:val="28"/>
          <w:lang w:val="zh-CN" w:eastAsia="zh-CN" w:bidi="en-US"/>
        </w:rPr>
        <w:t>3</w:t>
      </w:r>
      <w:r>
        <w:rPr>
          <w:rFonts w:ascii="Times New Roman" w:eastAsia="方正仿宋_GBK" w:hAnsi="Times New Roman"/>
          <w:snapToGrid w:val="0"/>
          <w:sz w:val="28"/>
          <w:szCs w:val="28"/>
          <w:lang w:val="zh-CN" w:eastAsia="zh-CN" w:bidi="en-US"/>
        </w:rPr>
        <w:t>S；</w:t>
      </w:r>
    </w:p>
    <w:p>
      <w:pPr>
        <w:pStyle w:val="40310"/>
        <w:widowControl/>
        <w:spacing w:line="400" w:lineRule="exact"/>
        <w:ind w:firstLine="560" w:firstLineChars="200"/>
        <w:jc w:val="left"/>
        <w:textAlignment w:val="center"/>
        <w:rPr>
          <w:rFonts w:ascii="Times New Roman" w:eastAsia="方正仿宋_GBK" w:hAnsi="Times New Roman"/>
          <w:snapToGrid w:val="0"/>
          <w:sz w:val="28"/>
          <w:szCs w:val="28"/>
          <w:lang w:val="zh-CN" w:bidi="en-US"/>
        </w:rPr>
      </w:pPr>
      <w:r>
        <w:rPr>
          <w:rFonts w:ascii="Times New Roman" w:eastAsia="方正仿宋_GBK" w:hAnsi="Times New Roman"/>
          <w:snapToGrid w:val="0"/>
          <w:sz w:val="28"/>
          <w:szCs w:val="28"/>
          <w:lang w:val="zh-CN" w:eastAsia="zh-CN" w:bidi="en-US"/>
        </w:rPr>
        <w:t>语音文件识别：语音解析反馈时间&lt;2S</w:t>
      </w:r>
      <w:r>
        <w:rPr>
          <w:rFonts w:ascii="Times New Roman" w:eastAsia="方正仿宋_GBK" w:hAnsi="Times New Roman" w:hint="eastAsia"/>
          <w:snapToGrid w:val="0"/>
          <w:sz w:val="28"/>
          <w:szCs w:val="28"/>
          <w:lang w:val="zh-CN" w:eastAsia="zh-CN" w:bidi="en-US"/>
        </w:rPr>
        <w:t>，字准率≥92%</w:t>
      </w:r>
      <w:r>
        <w:rPr>
          <w:rFonts w:ascii="Times New Roman" w:eastAsia="方正仿宋_GBK" w:hAnsi="Times New Roman"/>
          <w:snapToGrid w:val="0"/>
          <w:sz w:val="28"/>
          <w:szCs w:val="28"/>
          <w:lang w:val="zh-CN" w:eastAsia="zh-CN" w:bidi="en-US"/>
        </w:rPr>
        <w:t>；</w:t>
      </w:r>
    </w:p>
    <w:p>
      <w:pPr>
        <w:pStyle w:val="40310"/>
        <w:widowControl/>
        <w:spacing w:line="400" w:lineRule="exact"/>
        <w:ind w:firstLine="560" w:firstLineChars="200"/>
        <w:jc w:val="left"/>
        <w:textAlignment w:val="center"/>
        <w:rPr>
          <w:rFonts w:ascii="Times New Roman" w:eastAsia="方正仿宋_GBK" w:hAnsi="Times New Roman"/>
          <w:snapToGrid w:val="0"/>
          <w:sz w:val="28"/>
          <w:szCs w:val="28"/>
          <w:lang w:val="zh-CN" w:bidi="en-US"/>
        </w:rPr>
      </w:pPr>
      <w:r>
        <w:rPr>
          <w:rFonts w:ascii="Times New Roman" w:eastAsia="方正仿宋_GBK" w:hAnsi="Times New Roman"/>
          <w:snapToGrid w:val="0"/>
          <w:sz w:val="28"/>
          <w:szCs w:val="28"/>
          <w:lang w:val="zh-CN" w:eastAsia="zh-CN" w:bidi="en-US"/>
        </w:rPr>
        <w:t>文本转语音：平均响应时间＜3S/50字；</w:t>
      </w:r>
    </w:p>
    <w:p>
      <w:pPr>
        <w:pStyle w:val="40310"/>
        <w:widowControl/>
        <w:spacing w:line="400" w:lineRule="exact"/>
        <w:ind w:firstLine="560" w:firstLineChars="200"/>
        <w:jc w:val="left"/>
        <w:textAlignment w:val="center"/>
        <w:rPr>
          <w:rFonts w:ascii="Times New Roman" w:eastAsia="方正仿宋_GBK" w:hAnsi="Times New Roman"/>
          <w:snapToGrid w:val="0"/>
          <w:sz w:val="28"/>
          <w:szCs w:val="28"/>
          <w:lang w:val="zh-CN" w:bidi="en-US"/>
        </w:rPr>
      </w:pPr>
      <w:r>
        <w:rPr>
          <w:rFonts w:ascii="Times New Roman" w:eastAsia="方正仿宋_GBK" w:hAnsi="Times New Roman"/>
          <w:snapToGrid w:val="0"/>
          <w:sz w:val="28"/>
          <w:szCs w:val="28"/>
          <w:lang w:val="zh-CN" w:eastAsia="zh-CN" w:bidi="en-US"/>
        </w:rPr>
        <w:t>语义解析引擎：语义解析反馈时间&lt;2S；</w:t>
      </w:r>
    </w:p>
    <w:p>
      <w:pPr>
        <w:pStyle w:val="40310"/>
        <w:widowControl/>
        <w:spacing w:line="400" w:lineRule="exact"/>
        <w:ind w:firstLine="560" w:firstLineChars="200"/>
        <w:jc w:val="left"/>
        <w:textAlignment w:val="center"/>
        <w:rPr>
          <w:rFonts w:ascii="Times New Roman" w:eastAsia="方正仿宋_GBK" w:hAnsi="Times New Roman"/>
          <w:snapToGrid w:val="0"/>
          <w:sz w:val="28"/>
          <w:szCs w:val="28"/>
          <w:lang w:val="zh-CN" w:bidi="en-US"/>
        </w:rPr>
      </w:pPr>
      <w:r>
        <w:rPr>
          <w:rFonts w:ascii="Times New Roman" w:eastAsia="方正仿宋_GBK" w:hAnsi="Times New Roman" w:hint="eastAsia"/>
          <w:snapToGrid w:val="0"/>
          <w:sz w:val="28"/>
          <w:szCs w:val="28"/>
          <w:lang w:val="zh-CN" w:eastAsia="zh-CN" w:bidi="en-US"/>
        </w:rPr>
        <w:t>文本机器人回复响应时间</w:t>
      </w:r>
      <w:r>
        <w:rPr>
          <w:rFonts w:ascii="Times New Roman" w:eastAsia="方正仿宋_GBK" w:hAnsi="Times New Roman"/>
          <w:snapToGrid w:val="0"/>
          <w:sz w:val="28"/>
          <w:szCs w:val="28"/>
          <w:lang w:val="zh-CN" w:eastAsia="zh-CN" w:bidi="en-US"/>
        </w:rPr>
        <w:t>&lt;</w:t>
      </w:r>
      <w:r>
        <w:rPr>
          <w:rFonts w:ascii="Times New Roman" w:eastAsia="方正仿宋_GBK" w:hAnsi="Times New Roman" w:hint="eastAsia"/>
          <w:snapToGrid w:val="0"/>
          <w:sz w:val="28"/>
          <w:szCs w:val="28"/>
          <w:lang w:val="zh-CN" w:eastAsia="zh-CN" w:bidi="en-US"/>
        </w:rPr>
        <w:t>3</w:t>
      </w:r>
      <w:r>
        <w:rPr>
          <w:rFonts w:ascii="Times New Roman" w:eastAsia="方正仿宋_GBK" w:hAnsi="Times New Roman"/>
          <w:snapToGrid w:val="0"/>
          <w:sz w:val="28"/>
          <w:szCs w:val="28"/>
          <w:lang w:val="zh-CN" w:eastAsia="zh-CN" w:bidi="en-US"/>
        </w:rPr>
        <w:t>S</w:t>
      </w:r>
      <w:r>
        <w:rPr>
          <w:rFonts w:ascii="Times New Roman" w:eastAsia="方正仿宋_GBK" w:hAnsi="Times New Roman" w:hint="eastAsia"/>
          <w:snapToGrid w:val="0"/>
          <w:sz w:val="28"/>
          <w:szCs w:val="28"/>
          <w:lang w:val="zh-CN" w:eastAsia="zh-CN" w:bidi="en-US"/>
        </w:rPr>
        <w:t>；</w:t>
      </w:r>
    </w:p>
    <w:p>
      <w:pPr>
        <w:pStyle w:val="40310"/>
        <w:widowControl/>
        <w:spacing w:line="400" w:lineRule="exact"/>
        <w:ind w:firstLine="560" w:firstLineChars="200"/>
        <w:jc w:val="left"/>
        <w:textAlignment w:val="center"/>
        <w:rPr>
          <w:rFonts w:ascii="Times New Roman" w:eastAsia="方正仿宋_GBK" w:hAnsi="Times New Roman"/>
          <w:snapToGrid w:val="0"/>
          <w:sz w:val="28"/>
          <w:szCs w:val="28"/>
          <w:lang w:val="zh-CN" w:bidi="en-US"/>
        </w:rPr>
      </w:pPr>
      <w:r>
        <w:rPr>
          <w:rFonts w:ascii="Times New Roman" w:eastAsia="方正仿宋_GBK" w:hAnsi="Times New Roman" w:hint="eastAsia"/>
          <w:snapToGrid w:val="0"/>
          <w:sz w:val="28"/>
          <w:szCs w:val="28"/>
          <w:lang w:val="zh-CN" w:eastAsia="zh-CN" w:bidi="en-US"/>
        </w:rPr>
        <w:t>语音机器人回复响应时间</w:t>
      </w:r>
      <w:r>
        <w:rPr>
          <w:rFonts w:ascii="Times New Roman" w:eastAsia="方正仿宋_GBK" w:hAnsi="Times New Roman"/>
          <w:snapToGrid w:val="0"/>
          <w:sz w:val="28"/>
          <w:szCs w:val="28"/>
          <w:lang w:val="zh-CN" w:eastAsia="zh-CN" w:bidi="en-US"/>
        </w:rPr>
        <w:t>&lt;</w:t>
      </w:r>
      <w:r>
        <w:rPr>
          <w:rFonts w:ascii="Times New Roman" w:eastAsia="方正仿宋_GBK" w:hAnsi="Times New Roman" w:hint="eastAsia"/>
          <w:snapToGrid w:val="0"/>
          <w:sz w:val="28"/>
          <w:szCs w:val="28"/>
          <w:lang w:val="zh-CN" w:eastAsia="zh-CN" w:bidi="en-US"/>
        </w:rPr>
        <w:t>3</w:t>
      </w:r>
      <w:r>
        <w:rPr>
          <w:rFonts w:ascii="Times New Roman" w:eastAsia="方正仿宋_GBK" w:hAnsi="Times New Roman"/>
          <w:snapToGrid w:val="0"/>
          <w:sz w:val="28"/>
          <w:szCs w:val="28"/>
          <w:lang w:val="zh-CN" w:eastAsia="zh-CN" w:bidi="en-US"/>
        </w:rPr>
        <w:t>S</w:t>
      </w:r>
    </w:p>
    <w:p>
      <w:pPr>
        <w:pStyle w:val="535"/>
        <w:spacing w:before="0" w:beforeAutospacing="0" w:after="0" w:afterAutospacing="0" w:line="400" w:lineRule="exact"/>
        <w:ind w:firstLine="560" w:firstLineChars="200"/>
        <w:rPr>
          <w:rFonts w:ascii="Times New Roman" w:eastAsia="方正仿宋_GBK" w:hAnsi="Times New Roman" w:cs="微软雅黑"/>
          <w:bCs/>
          <w:sz w:val="28"/>
        </w:rPr>
      </w:pPr>
      <w:r>
        <w:rPr>
          <w:rFonts w:ascii="Times New Roman" w:eastAsia="方正仿宋_GBK" w:hAnsi="Times New Roman" w:cs="微软雅黑" w:hint="eastAsia"/>
          <w:bCs/>
          <w:sz w:val="28"/>
          <w:szCs w:val="28"/>
          <w:lang w:bidi="ar-SA"/>
        </w:rPr>
        <w:t>12360热线平均接通率（%）≥96%；</w:t>
      </w:r>
    </w:p>
    <w:p>
      <w:pPr>
        <w:pStyle w:val="535"/>
        <w:spacing w:before="0" w:beforeAutospacing="0" w:after="0" w:afterAutospacing="0" w:line="400" w:lineRule="exact"/>
        <w:ind w:firstLine="560" w:firstLineChars="200"/>
        <w:rPr>
          <w:rFonts w:ascii="Times New Roman" w:eastAsia="方正仿宋_GBK" w:hAnsi="Times New Roman" w:cs="微软雅黑"/>
          <w:bCs/>
          <w:sz w:val="28"/>
        </w:rPr>
      </w:pPr>
      <w:r>
        <w:rPr>
          <w:rFonts w:ascii="Times New Roman" w:eastAsia="方正仿宋_GBK" w:hAnsi="Times New Roman" w:cs="微软雅黑" w:hint="eastAsia"/>
          <w:bCs/>
          <w:sz w:val="28"/>
          <w:szCs w:val="28"/>
          <w:lang w:bidi="ar-SA"/>
        </w:rPr>
        <w:t>12360热线答复准确率（%）≥95%；</w:t>
      </w:r>
    </w:p>
    <w:p>
      <w:pPr>
        <w:pStyle w:val="535"/>
        <w:spacing w:before="0" w:beforeAutospacing="0" w:after="0" w:afterAutospacing="0" w:line="400" w:lineRule="exact"/>
        <w:ind w:firstLine="560" w:firstLineChars="200"/>
        <w:rPr>
          <w:rFonts w:ascii="Times New Roman" w:eastAsia="方正仿宋_GBK" w:hAnsi="Times New Roman" w:cs="微软雅黑"/>
          <w:bCs/>
          <w:sz w:val="28"/>
        </w:rPr>
      </w:pPr>
      <w:r>
        <w:rPr>
          <w:rFonts w:ascii="Times New Roman" w:eastAsia="方正仿宋_GBK" w:hAnsi="Times New Roman" w:cs="微软雅黑" w:hint="eastAsia"/>
          <w:bCs/>
          <w:sz w:val="28"/>
          <w:szCs w:val="28"/>
          <w:lang w:bidi="ar-SA"/>
        </w:rPr>
        <w:t>12360热线平台系统可用率≥99.999%；</w:t>
      </w:r>
    </w:p>
    <w:p>
      <w:pPr>
        <w:pStyle w:val="535"/>
        <w:spacing w:before="0" w:beforeAutospacing="0" w:after="0" w:afterAutospacing="0" w:line="400" w:lineRule="exact"/>
        <w:ind w:firstLine="560" w:firstLineChars="200"/>
        <w:rPr>
          <w:rFonts w:ascii="Times New Roman" w:eastAsia="方正仿宋_GBK" w:hAnsi="Times New Roman" w:cs="微软雅黑"/>
          <w:bCs/>
          <w:sz w:val="28"/>
        </w:rPr>
      </w:pPr>
      <w:r>
        <w:rPr>
          <w:rFonts w:ascii="Times New Roman" w:eastAsia="方正仿宋_GBK" w:hAnsi="Times New Roman" w:cs="微软雅黑" w:hint="eastAsia"/>
          <w:bCs/>
          <w:sz w:val="28"/>
          <w:szCs w:val="28"/>
          <w:lang w:bidi="ar-SA"/>
        </w:rPr>
        <w:t>12360热线工单办结率≥95%；</w:t>
      </w:r>
    </w:p>
    <w:p>
      <w:pPr>
        <w:pStyle w:val="535"/>
        <w:spacing w:before="0" w:beforeAutospacing="0" w:after="0" w:afterAutospacing="0" w:line="400" w:lineRule="exact"/>
        <w:ind w:firstLine="560" w:firstLineChars="200"/>
        <w:rPr>
          <w:rFonts w:ascii="Times New Roman" w:hAnsi="Times New Roman"/>
          <w:lang w:bidi="en-US"/>
        </w:rPr>
      </w:pPr>
      <w:r>
        <w:rPr>
          <w:rFonts w:ascii="Times New Roman" w:eastAsia="方正仿宋_GBK" w:hAnsi="Times New Roman" w:cs="微软雅黑" w:hint="eastAsia"/>
          <w:bCs/>
          <w:sz w:val="28"/>
          <w:szCs w:val="28"/>
          <w:lang w:bidi="ar-SA"/>
        </w:rPr>
        <w:t>服务对象满意度≥99%。</w:t>
      </w:r>
    </w:p>
    <w:p>
      <w:pPr>
        <w:pStyle w:val="40310"/>
        <w:widowControl/>
        <w:spacing w:line="400" w:lineRule="exact"/>
        <w:ind w:firstLine="560" w:firstLineChars="200"/>
        <w:jc w:val="left"/>
        <w:textAlignment w:val="center"/>
        <w:rPr>
          <w:rFonts w:eastAsia="方正仿宋_GBK"/>
          <w:bCs/>
          <w:snapToGrid w:val="0"/>
          <w:sz w:val="28"/>
          <w:szCs w:val="28"/>
          <w:lang w:val="zh-CN" w:bidi="en-US"/>
        </w:rPr>
      </w:pPr>
      <w:r>
        <w:rPr>
          <w:rFonts w:eastAsia="方正仿宋_GBK"/>
          <w:snapToGrid w:val="0"/>
          <w:sz w:val="28"/>
          <w:szCs w:val="28"/>
          <w:lang w:val="zh-CN" w:eastAsia="zh-CN" w:bidi="en-US"/>
        </w:rPr>
        <w:t>本项目需</w:t>
      </w:r>
      <w:r>
        <w:rPr>
          <w:rFonts w:ascii="Times New Roman" w:eastAsia="方正仿宋_GBK" w:hAnsi="Times New Roman"/>
          <w:snapToGrid w:val="0"/>
          <w:sz w:val="28"/>
          <w:szCs w:val="28"/>
          <w:lang w:val="zh-CN" w:eastAsia="zh-CN" w:bidi="en-US"/>
        </w:rPr>
        <w:t>与12360智慧辅助系统、全国各地12345热线、海关内部运维管理系统、H4A（身份、认证、授权、审</w:t>
      </w:r>
      <w:r>
        <w:rPr>
          <w:rFonts w:ascii="Times New Roman" w:eastAsia="方正仿宋_GBK" w:hAnsi="Times New Roman"/>
          <w:bCs/>
          <w:snapToGrid w:val="0"/>
          <w:sz w:val="28"/>
          <w:szCs w:val="28"/>
          <w:lang w:val="zh-CN" w:eastAsia="zh-CN" w:bidi="en-US"/>
        </w:rPr>
        <w:t>计管理系统）、海关知识库平台、短信平台、单一窗口智能客服系统等现有系统进行外部</w:t>
      </w:r>
      <w:r>
        <w:rPr>
          <w:rFonts w:eastAsia="方正仿宋_GBK"/>
          <w:bCs/>
          <w:snapToGrid w:val="0"/>
          <w:sz w:val="28"/>
          <w:szCs w:val="28"/>
          <w:lang w:val="zh-CN" w:eastAsia="zh-CN" w:bidi="en-US"/>
        </w:rPr>
        <w:t>接口对接。</w:t>
      </w:r>
    </w:p>
    <w:p>
      <w:pPr>
        <w:pStyle w:val="40310"/>
        <w:widowControl/>
        <w:numPr>
          <w:ilvl w:val="0"/>
          <w:numId w:val="91"/>
        </w:numPr>
        <w:spacing w:line="400" w:lineRule="exact"/>
        <w:ind w:left="0" w:firstLine="560" w:firstLineChars="200"/>
        <w:jc w:val="left"/>
        <w:textAlignment w:val="center"/>
        <w:rPr>
          <w:rFonts w:eastAsia="方正仿宋_GBK" w:cs="微软雅黑"/>
          <w:b/>
          <w:bCs/>
          <w:snapToGrid w:val="0"/>
          <w:sz w:val="28"/>
          <w:szCs w:val="28"/>
          <w:lang w:val="zh-CN"/>
        </w:rPr>
      </w:pPr>
      <w:r>
        <w:rPr>
          <w:rFonts w:eastAsia="方正仿宋_GBK" w:cs="微软雅黑" w:hint="eastAsia"/>
          <w:b/>
          <w:bCs/>
          <w:snapToGrid w:val="0"/>
          <w:sz w:val="28"/>
          <w:szCs w:val="28"/>
          <w:lang w:val="zh-CN" w:eastAsia="zh-CN" w:bidi="ar-SA"/>
        </w:rPr>
        <w:t>技术需求</w:t>
      </w:r>
    </w:p>
    <w:p>
      <w:pPr>
        <w:pStyle w:val="547"/>
        <w:spacing w:line="400" w:lineRule="exact"/>
        <w:ind w:firstLine="560" w:firstLineChars="200"/>
        <w:rPr>
          <w:rFonts w:ascii="Times New Roman" w:eastAsia="方正仿宋_GBK" w:hAnsi="Times New Roman" w:cs="微软雅黑"/>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本项目以语音话务系统（呼叫中心）为核心中枢，构建全媒体智能服务体系。语音话务系统通过中继网关与边界会话控制器建立通信桥梁，实现</w:t>
      </w:r>
      <w:r>
        <w:rPr>
          <w:rFonts w:ascii="Times New Roman" w:eastAsia="方正仿宋_GBK" w:hAnsi="Times New Roman" w:cs="微软雅黑"/>
          <w:snapToGrid w:val="0"/>
          <w:sz w:val="28"/>
          <w:szCs w:val="28"/>
          <w:lang w:val="zh-CN" w:eastAsia="zh-CN" w:bidi="en-US"/>
        </w:rPr>
        <w:t>PSTN</w:t>
      </w:r>
      <w:r>
        <w:rPr>
          <w:rFonts w:ascii="Times New Roman" w:eastAsia="方正仿宋_GBK" w:hAnsi="Times New Roman" w:cs="微软雅黑" w:hint="eastAsia"/>
          <w:snapToGrid w:val="0"/>
          <w:sz w:val="28"/>
          <w:szCs w:val="28"/>
          <w:lang w:val="zh-CN" w:eastAsia="zh-CN" w:bidi="en-US"/>
        </w:rPr>
        <w:t>网络与</w:t>
      </w:r>
      <w:r>
        <w:rPr>
          <w:rFonts w:ascii="Times New Roman" w:eastAsia="方正仿宋_GBK" w:hAnsi="Times New Roman" w:cs="微软雅黑"/>
          <w:snapToGrid w:val="0"/>
          <w:sz w:val="28"/>
          <w:szCs w:val="28"/>
          <w:lang w:val="zh-CN" w:eastAsia="zh-CN" w:bidi="en-US"/>
        </w:rPr>
        <w:t>IP</w:t>
      </w:r>
      <w:r>
        <w:rPr>
          <w:rFonts w:ascii="Times New Roman" w:eastAsia="方正仿宋_GBK" w:hAnsi="Times New Roman" w:cs="微软雅黑" w:hint="eastAsia"/>
          <w:snapToGrid w:val="0"/>
          <w:sz w:val="28"/>
          <w:szCs w:val="28"/>
          <w:lang w:val="zh-CN" w:eastAsia="zh-CN" w:bidi="en-US"/>
        </w:rPr>
        <w:t>系统的协议转换，完成语音</w:t>
      </w:r>
      <w:r>
        <w:rPr>
          <w:rFonts w:ascii="Times New Roman" w:eastAsia="方正仿宋_GBK" w:hAnsi="Times New Roman" w:cs="微软雅黑"/>
          <w:snapToGrid w:val="0"/>
          <w:sz w:val="28"/>
          <w:szCs w:val="28"/>
          <w:lang w:val="zh-CN" w:eastAsia="zh-CN" w:bidi="en-US"/>
        </w:rPr>
        <w:t>/</w:t>
      </w:r>
      <w:r>
        <w:rPr>
          <w:rFonts w:ascii="Times New Roman" w:eastAsia="方正仿宋_GBK" w:hAnsi="Times New Roman" w:cs="微软雅黑" w:hint="eastAsia"/>
          <w:snapToGrid w:val="0"/>
          <w:sz w:val="28"/>
          <w:szCs w:val="28"/>
          <w:lang w:val="zh-CN" w:eastAsia="zh-CN" w:bidi="en-US"/>
        </w:rPr>
        <w:t>视频信号的标准化接入与智能路由。系统底层由</w:t>
      </w:r>
      <w:r>
        <w:rPr>
          <w:rFonts w:ascii="Times New Roman" w:eastAsia="方正仿宋_GBK" w:hAnsi="Times New Roman" w:cs="微软雅黑"/>
          <w:snapToGrid w:val="0"/>
          <w:sz w:val="28"/>
          <w:szCs w:val="28"/>
          <w:lang w:val="zh-CN" w:eastAsia="zh-CN" w:bidi="en-US"/>
        </w:rPr>
        <w:t>NLP</w:t>
      </w:r>
      <w:r>
        <w:rPr>
          <w:rFonts w:ascii="Times New Roman" w:eastAsia="方正仿宋_GBK" w:hAnsi="Times New Roman" w:cs="微软雅黑" w:hint="eastAsia"/>
          <w:snapToGrid w:val="0"/>
          <w:sz w:val="28"/>
          <w:szCs w:val="28"/>
          <w:lang w:val="zh-CN" w:eastAsia="zh-CN" w:bidi="en-US"/>
        </w:rPr>
        <w:t>、</w:t>
      </w:r>
      <w:r>
        <w:rPr>
          <w:rFonts w:ascii="Times New Roman" w:eastAsia="方正仿宋_GBK" w:hAnsi="Times New Roman" w:cs="微软雅黑"/>
          <w:snapToGrid w:val="0"/>
          <w:sz w:val="28"/>
          <w:szCs w:val="28"/>
          <w:lang w:val="zh-CN" w:eastAsia="zh-CN" w:bidi="en-US"/>
        </w:rPr>
        <w:t>ASR</w:t>
      </w:r>
      <w:r>
        <w:rPr>
          <w:rFonts w:ascii="Times New Roman" w:eastAsia="方正仿宋_GBK" w:hAnsi="Times New Roman" w:cs="微软雅黑" w:hint="eastAsia"/>
          <w:snapToGrid w:val="0"/>
          <w:sz w:val="28"/>
          <w:szCs w:val="28"/>
          <w:lang w:val="zh-CN" w:eastAsia="zh-CN" w:bidi="en-US"/>
        </w:rPr>
        <w:t>、</w:t>
      </w:r>
      <w:r>
        <w:rPr>
          <w:rFonts w:ascii="Times New Roman" w:eastAsia="方正仿宋_GBK" w:hAnsi="Times New Roman" w:cs="微软雅黑"/>
          <w:snapToGrid w:val="0"/>
          <w:sz w:val="28"/>
          <w:szCs w:val="28"/>
          <w:lang w:val="zh-CN" w:eastAsia="zh-CN" w:bidi="en-US"/>
        </w:rPr>
        <w:t>TTS</w:t>
      </w:r>
      <w:r>
        <w:rPr>
          <w:rFonts w:ascii="Times New Roman" w:eastAsia="方正仿宋_GBK" w:hAnsi="Times New Roman" w:cs="微软雅黑" w:hint="eastAsia"/>
          <w:snapToGrid w:val="0"/>
          <w:sz w:val="28"/>
          <w:szCs w:val="28"/>
          <w:lang w:val="zh-CN" w:eastAsia="zh-CN" w:bidi="en-US"/>
        </w:rPr>
        <w:t>三大人工智能引擎提供技术支撑，赋能智能</w:t>
      </w:r>
      <w:r>
        <w:rPr>
          <w:rFonts w:ascii="Times New Roman" w:eastAsia="方正仿宋_GBK" w:hAnsi="Times New Roman" w:cs="微软雅黑"/>
          <w:snapToGrid w:val="0"/>
          <w:sz w:val="28"/>
          <w:szCs w:val="28"/>
          <w:lang w:val="zh-CN" w:eastAsia="zh-CN" w:bidi="en-US"/>
        </w:rPr>
        <w:t>IVR</w:t>
      </w:r>
      <w:r>
        <w:rPr>
          <w:rFonts w:ascii="Times New Roman" w:eastAsia="方正仿宋_GBK" w:hAnsi="Times New Roman" w:cs="微软雅黑" w:hint="eastAsia"/>
          <w:snapToGrid w:val="0"/>
          <w:sz w:val="28"/>
          <w:szCs w:val="28"/>
          <w:lang w:val="zh-CN" w:eastAsia="zh-CN" w:bidi="en-US"/>
        </w:rPr>
        <w:t>、语音</w:t>
      </w:r>
      <w:r>
        <w:rPr>
          <w:rFonts w:ascii="Times New Roman" w:eastAsia="方正仿宋_GBK" w:hAnsi="Times New Roman" w:cs="微软雅黑"/>
          <w:snapToGrid w:val="0"/>
          <w:sz w:val="28"/>
          <w:szCs w:val="28"/>
          <w:lang w:val="zh-CN" w:eastAsia="zh-CN" w:bidi="en-US"/>
        </w:rPr>
        <w:t>/</w:t>
      </w:r>
      <w:r>
        <w:rPr>
          <w:rFonts w:ascii="Times New Roman" w:eastAsia="方正仿宋_GBK" w:hAnsi="Times New Roman" w:cs="微软雅黑" w:hint="eastAsia"/>
          <w:snapToGrid w:val="0"/>
          <w:sz w:val="28"/>
          <w:szCs w:val="28"/>
          <w:lang w:val="zh-CN" w:eastAsia="zh-CN" w:bidi="en-US"/>
        </w:rPr>
        <w:t>文本机器人实现自然语言交互，同时为智能质检提供多模态分析能力。</w:t>
      </w:r>
    </w:p>
    <w:p>
      <w:pPr>
        <w:pStyle w:val="547"/>
        <w:spacing w:line="400" w:lineRule="exact"/>
        <w:ind w:firstLine="560" w:firstLineChars="200"/>
        <w:rPr>
          <w:rFonts w:ascii="Times New Roman" w:eastAsia="方正仿宋_GBK" w:hAnsi="Times New Roman" w:cs="微软雅黑"/>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所有坐席操作均通过综合服务平台统一入口实现：该平台既是坐席与用户交互的中枢界面，也是坐席人员的核心工作台。用户无论通过电话、视频、语音</w:t>
      </w:r>
      <w:r>
        <w:rPr>
          <w:rFonts w:ascii="Times New Roman" w:eastAsia="方正仿宋_GBK" w:hAnsi="Times New Roman" w:cs="微软雅黑"/>
          <w:snapToGrid w:val="0"/>
          <w:sz w:val="28"/>
          <w:szCs w:val="28"/>
          <w:lang w:val="zh-CN" w:eastAsia="zh-CN" w:bidi="en-US"/>
        </w:rPr>
        <w:t>/</w:t>
      </w:r>
      <w:r>
        <w:rPr>
          <w:rFonts w:ascii="Times New Roman" w:eastAsia="方正仿宋_GBK" w:hAnsi="Times New Roman" w:cs="微软雅黑" w:hint="eastAsia"/>
          <w:snapToGrid w:val="0"/>
          <w:sz w:val="28"/>
          <w:szCs w:val="28"/>
          <w:lang w:val="zh-CN" w:eastAsia="zh-CN" w:bidi="en-US"/>
        </w:rPr>
        <w:t>文本机器人还是多渠道自助服务平台（在线客服人工）发起请求，通过语音话务系统统一排队，智能分配路由，与关联系统服务请求实现联动，最终服务流程均整合至综合服务平台。坐席人员通过配备的专业耳麦与平台，实时与用户进行音视频交互，调取平台客户历史数据、知识库及智能辅助建议；视频坐席则通过平台内置模块接入边界会话控制器特殊编解码通道，实现与用户高清视频交互。平台同步汇聚来自多渠道自助服务平台、人工智能组件、通信网关的全维度数据，形成完整的用户服务数据库。</w:t>
      </w:r>
    </w:p>
    <w:p>
      <w:pPr>
        <w:pStyle w:val="547"/>
        <w:spacing w:line="400" w:lineRule="exact"/>
        <w:ind w:firstLine="560" w:firstLineChars="200"/>
        <w:rPr>
          <w:rFonts w:ascii="Times New Roman" w:eastAsia="方正仿宋_GBK" w:hAnsi="Times New Roman" w:cs="微软雅黑"/>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系统形成“接入</w:t>
      </w:r>
      <w:r>
        <w:rPr>
          <w:rFonts w:ascii="Times New Roman" w:eastAsia="方正仿宋_GBK" w:hAnsi="Times New Roman" w:cs="微软雅黑"/>
          <w:snapToGrid w:val="0"/>
          <w:sz w:val="28"/>
          <w:szCs w:val="28"/>
          <w:lang w:val="zh-CN" w:eastAsia="zh-CN" w:bidi="en-US"/>
        </w:rPr>
        <w:t>-</w:t>
      </w:r>
      <w:r>
        <w:rPr>
          <w:rFonts w:ascii="Times New Roman" w:eastAsia="方正仿宋_GBK" w:hAnsi="Times New Roman" w:cs="微软雅黑" w:hint="eastAsia"/>
          <w:snapToGrid w:val="0"/>
          <w:sz w:val="28"/>
          <w:szCs w:val="28"/>
          <w:lang w:val="zh-CN" w:eastAsia="zh-CN" w:bidi="en-US"/>
        </w:rPr>
        <w:t>处理</w:t>
      </w:r>
      <w:r>
        <w:rPr>
          <w:rFonts w:ascii="Times New Roman" w:eastAsia="方正仿宋_GBK" w:hAnsi="Times New Roman" w:cs="微软雅黑"/>
          <w:snapToGrid w:val="0"/>
          <w:sz w:val="28"/>
          <w:szCs w:val="28"/>
          <w:lang w:val="zh-CN" w:eastAsia="zh-CN" w:bidi="en-US"/>
        </w:rPr>
        <w:t>-</w:t>
      </w:r>
      <w:r>
        <w:rPr>
          <w:rFonts w:ascii="Times New Roman" w:eastAsia="方正仿宋_GBK" w:hAnsi="Times New Roman" w:cs="微软雅黑" w:hint="eastAsia"/>
          <w:snapToGrid w:val="0"/>
          <w:sz w:val="28"/>
          <w:szCs w:val="28"/>
          <w:lang w:val="zh-CN" w:eastAsia="zh-CN" w:bidi="en-US"/>
        </w:rPr>
        <w:t>沉淀</w:t>
      </w:r>
      <w:r>
        <w:rPr>
          <w:rFonts w:ascii="Times New Roman" w:eastAsia="方正仿宋_GBK" w:hAnsi="Times New Roman" w:cs="微软雅黑"/>
          <w:snapToGrid w:val="0"/>
          <w:sz w:val="28"/>
          <w:szCs w:val="28"/>
          <w:lang w:val="zh-CN" w:eastAsia="zh-CN" w:bidi="en-US"/>
        </w:rPr>
        <w:t>-</w:t>
      </w:r>
      <w:r>
        <w:rPr>
          <w:rFonts w:ascii="Times New Roman" w:eastAsia="方正仿宋_GBK" w:hAnsi="Times New Roman" w:cs="微软雅黑" w:hint="eastAsia"/>
          <w:snapToGrid w:val="0"/>
          <w:sz w:val="28"/>
          <w:szCs w:val="28"/>
          <w:lang w:val="zh-CN" w:eastAsia="zh-CN" w:bidi="en-US"/>
        </w:rPr>
        <w:t>优化”的闭环生态：语音网关</w:t>
      </w:r>
      <w:r>
        <w:rPr>
          <w:rFonts w:ascii="Times New Roman" w:eastAsia="方正仿宋_GBK" w:hAnsi="Times New Roman" w:cs="微软雅黑"/>
          <w:snapToGrid w:val="0"/>
          <w:sz w:val="28"/>
          <w:szCs w:val="28"/>
          <w:lang w:val="zh-CN" w:eastAsia="zh-CN" w:bidi="en-US"/>
        </w:rPr>
        <w:t>/</w:t>
      </w:r>
      <w:r>
        <w:rPr>
          <w:rFonts w:ascii="Times New Roman" w:eastAsia="方正仿宋_GBK" w:hAnsi="Times New Roman" w:cs="微软雅黑" w:hint="eastAsia"/>
          <w:snapToGrid w:val="0"/>
          <w:sz w:val="28"/>
          <w:szCs w:val="28"/>
          <w:lang w:val="zh-CN" w:eastAsia="zh-CN" w:bidi="en-US"/>
        </w:rPr>
        <w:t>边界会话控制器保障全媒体通信可达性，语音话务系统实现智能路由分发，人工智能引擎（</w:t>
      </w:r>
      <w:r>
        <w:rPr>
          <w:rFonts w:ascii="Times New Roman" w:eastAsia="方正仿宋_GBK" w:hAnsi="Times New Roman" w:cs="微软雅黑"/>
          <w:snapToGrid w:val="0"/>
          <w:sz w:val="28"/>
          <w:szCs w:val="28"/>
          <w:lang w:val="zh-CN" w:eastAsia="zh-CN" w:bidi="en-US"/>
        </w:rPr>
        <w:t>NLP/ASR/TTS</w:t>
      </w:r>
      <w:r>
        <w:rPr>
          <w:rFonts w:ascii="Times New Roman" w:eastAsia="方正仿宋_GBK" w:hAnsi="Times New Roman" w:cs="微软雅黑" w:hint="eastAsia"/>
          <w:snapToGrid w:val="0"/>
          <w:sz w:val="28"/>
          <w:szCs w:val="28"/>
          <w:lang w:val="zh-CN" w:eastAsia="zh-CN" w:bidi="en-US"/>
        </w:rPr>
        <w:t>）驱动智能交互，而热线综合服务平台作为唯一坐席操作界面，承载服务发起、过程执行、数据调阅等全链路功能。所有交互数据最终回流至平台，通过智能质检实现服务质量监控，沉淀的知识库持续反哺智能模型训练，驱动服务策略迭代升级。七大品目通过综合服务平台的深度整合，实现“用户操作统一入口、服务资源集中调度、数据资产闭环流动”的协同体系，构建感知、决策、执行一体化的新一代客户服务中心。</w:t>
      </w:r>
    </w:p>
    <w:p>
      <w:pPr>
        <w:pStyle w:val="403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hint="eastAsia"/>
          <w:snapToGrid w:val="0"/>
          <w:sz w:val="28"/>
          <w:szCs w:val="28"/>
          <w:lang w:val="zh-CN" w:eastAsia="zh-CN" w:bidi="en-US"/>
        </w:rPr>
        <w:t>语音话务系统与热线综合服务平台系统融合，支持电话浮动条、</w:t>
      </w:r>
      <w:r>
        <w:rPr>
          <w:rFonts w:eastAsia="方正仿宋_GBK" w:cs="微软雅黑"/>
          <w:snapToGrid w:val="0"/>
          <w:sz w:val="28"/>
          <w:szCs w:val="28"/>
          <w:lang w:val="zh-CN" w:eastAsia="zh-CN" w:bidi="en-US"/>
        </w:rPr>
        <w:t>OCX</w:t>
      </w:r>
      <w:r>
        <w:rPr>
          <w:rFonts w:eastAsia="方正仿宋_GBK" w:cs="微软雅黑" w:hint="eastAsia"/>
          <w:snapToGrid w:val="0"/>
          <w:sz w:val="28"/>
          <w:szCs w:val="28"/>
          <w:lang w:val="zh-CN" w:eastAsia="zh-CN" w:bidi="en-US"/>
        </w:rPr>
        <w:t>控件接口、</w:t>
      </w:r>
      <w:r>
        <w:rPr>
          <w:rFonts w:eastAsia="方正仿宋_GBK" w:cs="微软雅黑"/>
          <w:snapToGrid w:val="0"/>
          <w:sz w:val="28"/>
          <w:szCs w:val="28"/>
          <w:lang w:val="zh-CN" w:eastAsia="zh-CN" w:bidi="en-US"/>
        </w:rPr>
        <w:t>Restful WebService</w:t>
      </w:r>
      <w:r>
        <w:rPr>
          <w:rFonts w:eastAsia="方正仿宋_GBK" w:cs="微软雅黑" w:hint="eastAsia"/>
          <w:snapToGrid w:val="0"/>
          <w:sz w:val="28"/>
          <w:szCs w:val="28"/>
          <w:lang w:val="zh-CN" w:eastAsia="zh-CN" w:bidi="en-US"/>
        </w:rPr>
        <w:t>接口、基于</w:t>
      </w:r>
      <w:r>
        <w:rPr>
          <w:rFonts w:eastAsia="方正仿宋_GBK" w:cs="微软雅黑"/>
          <w:snapToGrid w:val="0"/>
          <w:sz w:val="28"/>
          <w:szCs w:val="28"/>
          <w:lang w:val="zh-CN" w:eastAsia="zh-CN" w:bidi="en-US"/>
        </w:rPr>
        <w:t>Socket</w:t>
      </w:r>
      <w:r>
        <w:rPr>
          <w:rFonts w:eastAsia="方正仿宋_GBK" w:cs="微软雅黑" w:hint="eastAsia"/>
          <w:snapToGrid w:val="0"/>
          <w:sz w:val="28"/>
          <w:szCs w:val="28"/>
          <w:lang w:val="zh-CN" w:eastAsia="zh-CN" w:bidi="en-US"/>
        </w:rPr>
        <w:t>消息通讯接口（</w:t>
      </w:r>
      <w:r>
        <w:rPr>
          <w:rFonts w:eastAsia="方正仿宋_GBK" w:cs="微软雅黑"/>
          <w:snapToGrid w:val="0"/>
          <w:sz w:val="28"/>
          <w:szCs w:val="28"/>
          <w:lang w:val="zh-CN" w:eastAsia="zh-CN" w:bidi="en-US"/>
        </w:rPr>
        <w:t>HTML5</w:t>
      </w:r>
      <w:r>
        <w:rPr>
          <w:rFonts w:eastAsia="方正仿宋_GBK" w:cs="微软雅黑" w:hint="eastAsia"/>
          <w:snapToGrid w:val="0"/>
          <w:sz w:val="28"/>
          <w:szCs w:val="28"/>
          <w:lang w:val="zh-CN" w:eastAsia="zh-CN" w:bidi="en-US"/>
        </w:rPr>
        <w:t>支持）等集成方式，能够在浏览器和应用进行集成。</w:t>
      </w:r>
    </w:p>
    <w:p>
      <w:pPr>
        <w:pStyle w:val="40410"/>
        <w:tabs>
          <w:tab w:val="left" w:pos="1200"/>
        </w:tabs>
        <w:spacing w:line="400" w:lineRule="exact"/>
        <w:ind w:left="554" w:firstLine="0" w:leftChars="264"/>
        <w:textAlignment w:val="center"/>
        <w:rPr>
          <w:rFonts w:ascii="Times New Roman" w:eastAsia="方正仿宋_GBK" w:hAnsi="Times New Roman" w:cs="微软雅黑"/>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投标人须承诺在交付验收后，根据采购人实际业务需求，免费提</w:t>
      </w:r>
    </w:p>
    <w:p>
      <w:pPr>
        <w:pStyle w:val="40410"/>
        <w:tabs>
          <w:tab w:val="left" w:pos="1200"/>
        </w:tabs>
        <w:spacing w:line="400" w:lineRule="exact"/>
        <w:ind w:left="0" w:firstLine="0"/>
        <w:textAlignment w:val="center"/>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供与采购货物相关的系统接口开放、数据对接、功能扩展等开发服务支持，包括但不限于： 配合采购人完成系统与第三方平台的集成；提供必要的技术文档及数据格式说明；在收到采购人书面需求后，应在</w:t>
      </w:r>
      <w:r>
        <w:rPr>
          <w:rFonts w:ascii="Times New Roman" w:eastAsia="方正仿宋_GBK" w:hAnsi="Times New Roman" w:cs="微软雅黑"/>
          <w:snapToGrid w:val="0"/>
          <w:sz w:val="28"/>
          <w:szCs w:val="28"/>
          <w:lang w:val="zh-CN" w:eastAsia="zh-CN" w:bidi="en-US"/>
        </w:rPr>
        <w:t>3</w:t>
      </w:r>
      <w:r>
        <w:rPr>
          <w:rFonts w:ascii="Times New Roman" w:eastAsia="方正仿宋_GBK" w:hAnsi="Times New Roman" w:cs="微软雅黑" w:hint="eastAsia"/>
          <w:snapToGrid w:val="0"/>
          <w:sz w:val="28"/>
          <w:szCs w:val="28"/>
          <w:lang w:val="zh-CN" w:eastAsia="zh-CN" w:bidi="en-US"/>
        </w:rPr>
        <w:t>个工作日内响应，并在双方协商一致的时间内完成</w:t>
      </w:r>
      <w:r>
        <w:rPr>
          <w:rFonts w:ascii="Times New Roman" w:eastAsia="方正仿宋_GBK" w:hAnsi="Times New Roman" w:cs="微软雅黑"/>
          <w:snapToGrid w:val="0"/>
          <w:sz w:val="28"/>
          <w:szCs w:val="28"/>
          <w:lang w:val="zh-CN" w:eastAsia="zh-CN" w:bidi="en-US"/>
        </w:rPr>
        <w:t>支持服务</w:t>
      </w:r>
      <w:r>
        <w:rPr>
          <w:rFonts w:ascii="Times New Roman" w:eastAsia="方正仿宋_GBK" w:hAnsi="Times New Roman" w:cs="微软雅黑" w:hint="eastAsia"/>
          <w:snapToGrid w:val="0"/>
          <w:sz w:val="28"/>
          <w:szCs w:val="28"/>
          <w:lang w:val="zh-CN" w:eastAsia="zh-CN" w:bidi="en-US"/>
        </w:rPr>
        <w:t>。</w:t>
      </w:r>
    </w:p>
    <w:p>
      <w:pPr>
        <w:pStyle w:val="403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hint="eastAsia"/>
          <w:snapToGrid w:val="0"/>
          <w:sz w:val="28"/>
          <w:szCs w:val="28"/>
          <w:lang w:val="zh-CN" w:eastAsia="zh-CN" w:bidi="en-US"/>
        </w:rPr>
        <w:t>本项目与其他信息化系统间的关系：</w:t>
      </w:r>
    </w:p>
    <w:p>
      <w:pPr>
        <w:pStyle w:val="40410"/>
        <w:tabs>
          <w:tab w:val="left" w:pos="1200"/>
        </w:tabs>
        <w:spacing w:line="400" w:lineRule="exact"/>
        <w:ind w:left="51" w:firstLine="560" w:firstLineChars="200"/>
        <w:jc w:val="left"/>
        <w:textAlignment w:val="center"/>
        <w:rPr>
          <w:rFonts w:ascii="Times New Roman" w:eastAsia="方正仿宋_GBK" w:hAnsi="Times New Roman" w:cs="微软雅黑"/>
          <w:snapToGrid w:val="0"/>
          <w:sz w:val="28"/>
          <w:szCs w:val="28"/>
          <w:lang w:val="zh-CN" w:bidi="en-US"/>
        </w:rPr>
      </w:pPr>
      <w:r>
        <w:rPr>
          <w:rFonts w:ascii="Times New Roman" w:eastAsia="方正仿宋_GBK" w:hAnsi="Times New Roman" w:cs="微软雅黑" w:hint="eastAsia"/>
          <w:b/>
          <w:bCs/>
          <w:snapToGrid w:val="0"/>
          <w:sz w:val="28"/>
          <w:szCs w:val="28"/>
          <w:lang w:val="zh-CN" w:eastAsia="zh-CN" w:bidi="en-US"/>
        </w:rPr>
        <w:t>12360智慧辅助系统</w:t>
      </w:r>
      <w:r>
        <w:rPr>
          <w:rFonts w:ascii="Times New Roman" w:eastAsia="方正仿宋_GBK" w:hAnsi="Times New Roman" w:cs="微软雅黑" w:hint="eastAsia"/>
          <w:snapToGrid w:val="0"/>
          <w:sz w:val="28"/>
          <w:szCs w:val="28"/>
          <w:lang w:val="zh-CN" w:eastAsia="zh-CN" w:bidi="en-US"/>
        </w:rPr>
        <w:t>：同步传输话务语音数据，调用原有坐席</w:t>
      </w:r>
      <w:r>
        <w:rPr>
          <w:rFonts w:ascii="Times New Roman" w:eastAsia="方正仿宋_GBK" w:hAnsi="Times New Roman" w:cs="微软雅黑"/>
          <w:snapToGrid w:val="0"/>
          <w:sz w:val="28"/>
          <w:szCs w:val="28"/>
          <w:lang w:val="zh-CN" w:eastAsia="zh-CN" w:bidi="en-US"/>
        </w:rPr>
        <w:t>辅助</w:t>
      </w:r>
      <w:r>
        <w:rPr>
          <w:rFonts w:ascii="Times New Roman" w:eastAsia="方正仿宋_GBK" w:hAnsi="Times New Roman" w:cs="微软雅黑" w:hint="eastAsia"/>
          <w:snapToGrid w:val="0"/>
          <w:sz w:val="28"/>
          <w:szCs w:val="28"/>
          <w:lang w:val="zh-CN" w:eastAsia="zh-CN" w:bidi="en-US"/>
        </w:rPr>
        <w:t>功能</w:t>
      </w:r>
      <w:r>
        <w:rPr>
          <w:rFonts w:ascii="Times New Roman" w:eastAsia="方正仿宋_GBK" w:hAnsi="Times New Roman" w:cs="微软雅黑"/>
          <w:snapToGrid w:val="0"/>
          <w:sz w:val="28"/>
          <w:szCs w:val="28"/>
          <w:lang w:val="zh-CN" w:eastAsia="zh-CN" w:bidi="en-US"/>
        </w:rPr>
        <w:t>，综合服务平台集成智慧辅助系统整体产品功能，统一UI界面设计，具体如下：</w:t>
      </w:r>
    </w:p>
    <w:p>
      <w:pPr>
        <w:pStyle w:val="40410"/>
        <w:numPr>
          <w:ilvl w:val="0"/>
          <w:numId w:val="92"/>
        </w:numPr>
        <w:tabs>
          <w:tab w:val="left" w:pos="1200"/>
        </w:tabs>
        <w:spacing w:line="400" w:lineRule="exact"/>
        <w:jc w:val="left"/>
        <w:textAlignment w:val="center"/>
        <w:rPr>
          <w:rFonts w:ascii="Times New Roman" w:eastAsia="方正仿宋_GBK" w:hAnsi="Times New Roman" w:cs="微软雅黑" w:hint="eastAsia"/>
          <w:b/>
          <w:bCs/>
          <w:snapToGrid w:val="0"/>
          <w:sz w:val="28"/>
          <w:szCs w:val="28"/>
          <w:lang w:val="zh-CN" w:bidi="en-US"/>
        </w:rPr>
      </w:pPr>
      <w:r>
        <w:rPr>
          <w:rFonts w:ascii="Times New Roman" w:eastAsia="方正仿宋_GBK" w:hAnsi="Times New Roman" w:cs="微软雅黑" w:hint="eastAsia"/>
          <w:b/>
          <w:bCs/>
          <w:snapToGrid w:val="0"/>
          <w:sz w:val="28"/>
          <w:szCs w:val="28"/>
          <w:lang w:val="zh-CN" w:eastAsia="zh-CN" w:bidi="en-US"/>
        </w:rPr>
        <w:t>话务语音数据同步传输</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实时语音数据传输</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本项目与12360智慧辅助系统之间实时传输话务语音数据，确保两系统能够同步获取通话内容。</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数据传输格式标准化（如音频流格式、编码方式等）。</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历史语音数据同步</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将历史语音数据从12360智慧辅助系统同步到本项目，确保数据完整性。</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支持语音数据的存储、检索和回放功能。</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语音数据标注与分类</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在12360智慧辅助系统中对语音数据进行标注（如关键词提取、分类标记）。</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本项目能够调用这些标注信息，用于后续分析或展示。</w:t>
      </w:r>
    </w:p>
    <w:p>
      <w:pPr>
        <w:pStyle w:val="40510"/>
        <w:pageBreakBefore w:val="0"/>
        <w:widowControl w:val="0"/>
        <w:numPr>
          <w:ilvl w:val="0"/>
          <w:numId w:val="94"/>
        </w:numPr>
        <w:kinsoku/>
        <w:wordWrap/>
        <w:overflowPunct/>
        <w:topLinePunct w:val="0"/>
        <w:autoSpaceDE/>
        <w:autoSpaceDN/>
        <w:bidi w:val="0"/>
        <w:adjustRightInd/>
        <w:snapToGrid/>
        <w:spacing w:line="400" w:lineRule="exact"/>
        <w:textAlignment w:val="auto"/>
        <w:rPr>
          <w:rFonts w:ascii="Times New Roman" w:eastAsia="方正仿宋_GBK" w:hAnsi="Times New Roman" w:cs="微软雅黑" w:hint="eastAsia"/>
          <w:b/>
          <w:bCs/>
          <w:snapToGrid w:val="0"/>
          <w:sz w:val="28"/>
          <w:szCs w:val="28"/>
          <w:lang w:val="zh-CN" w:bidi="en-US"/>
        </w:rPr>
      </w:pPr>
      <w:r>
        <w:rPr>
          <w:rFonts w:ascii="Times New Roman" w:eastAsia="方正仿宋_GBK" w:hAnsi="Times New Roman" w:cs="微软雅黑" w:hint="eastAsia"/>
          <w:b/>
          <w:bCs/>
          <w:snapToGrid w:val="0"/>
          <w:sz w:val="28"/>
          <w:szCs w:val="28"/>
          <w:lang w:val="zh-CN" w:eastAsia="zh-CN" w:bidi="en-US"/>
        </w:rPr>
        <w:t>调用原有坐席辅助功能</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智慧辅助功能调用</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本项目能够调用12360智慧辅助系统的智慧辅助功能，提供实时转写、实时推荐、风控质检、流程质检、智能AI（工单要素提取）、高频FAQ统计、问题解答等服务。</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支持多语言、多场景的智能应答能力。</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知识库共享与更新</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本项目能够访问12360智慧辅助系统的知识库内容（如海关政策、法规、常见问题解答）。</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知识库更新时，本项目能够同步获取最新内容。</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坐席辅助工具集成</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本项目能够调用12360智慧辅助系统的坐席辅助工具（如文字转语音、语音转文字、文字纠错、录音质检等）。</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支持坐席人员在本项目中使用这些工具完成业务操作。</w:t>
      </w:r>
    </w:p>
    <w:p>
      <w:pPr>
        <w:pStyle w:val="40510"/>
        <w:pageBreakBefore w:val="0"/>
        <w:widowControl w:val="0"/>
        <w:numPr>
          <w:ilvl w:val="0"/>
          <w:numId w:val="95"/>
        </w:numPr>
        <w:kinsoku/>
        <w:wordWrap/>
        <w:overflowPunct/>
        <w:topLinePunct w:val="0"/>
        <w:autoSpaceDE/>
        <w:autoSpaceDN/>
        <w:bidi w:val="0"/>
        <w:adjustRightInd/>
        <w:snapToGrid/>
        <w:spacing w:line="400" w:lineRule="exact"/>
        <w:textAlignment w:val="auto"/>
        <w:rPr>
          <w:rFonts w:ascii="Times New Roman" w:eastAsia="方正仿宋_GBK" w:hAnsi="Times New Roman" w:cs="微软雅黑" w:hint="eastAsia"/>
          <w:b/>
          <w:bCs/>
          <w:snapToGrid w:val="0"/>
          <w:sz w:val="28"/>
          <w:szCs w:val="28"/>
          <w:lang w:val="zh-CN" w:bidi="en-US"/>
        </w:rPr>
      </w:pPr>
      <w:r>
        <w:rPr>
          <w:rFonts w:ascii="Times New Roman" w:eastAsia="方正仿宋_GBK" w:hAnsi="Times New Roman" w:cs="微软雅黑" w:hint="eastAsia"/>
          <w:b/>
          <w:bCs/>
          <w:snapToGrid w:val="0"/>
          <w:sz w:val="28"/>
          <w:szCs w:val="28"/>
          <w:lang w:val="zh-CN" w:eastAsia="zh-CN" w:bidi="en-US"/>
        </w:rPr>
        <w:t>综合服务平台集成</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功能模块集成</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将12360智慧辅助系统的功能模块（如实时转写、实时推荐、风控质检、流程质检、智能AI（工单要素提取）、高频FAQ统计、知识库管理、话务统计等）集成到本项目的综合服务平台中。</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确保功能模块在新平台中能够正常运行，且与原有功能无缝衔接。</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数据共享与交互</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本项目与12360智慧辅助系统之间实现数据共享（如用户信息、话务记录、业务数据等）。</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支持双向数据交互，确保数据一致性。</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统一业务流程管理</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在综合服务平台中统一管理两系统间的业务流程（如话务分配、问题处理、客户反馈等）。</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确保业务流程的连贯性和高效性。</w:t>
      </w:r>
    </w:p>
    <w:p>
      <w:pPr>
        <w:pStyle w:val="40510"/>
        <w:pageBreakBefore w:val="0"/>
        <w:widowControl w:val="0"/>
        <w:numPr>
          <w:ilvl w:val="0"/>
          <w:numId w:val="96"/>
        </w:numPr>
        <w:kinsoku/>
        <w:wordWrap/>
        <w:overflowPunct/>
        <w:topLinePunct w:val="0"/>
        <w:autoSpaceDE/>
        <w:autoSpaceDN/>
        <w:bidi w:val="0"/>
        <w:adjustRightInd/>
        <w:snapToGrid/>
        <w:spacing w:line="400" w:lineRule="exact"/>
        <w:textAlignment w:val="auto"/>
        <w:rPr>
          <w:rFonts w:ascii="Times New Roman" w:eastAsia="方正仿宋_GBK" w:hAnsi="Times New Roman" w:cs="微软雅黑" w:hint="eastAsia"/>
          <w:b/>
          <w:bCs/>
          <w:snapToGrid w:val="0"/>
          <w:sz w:val="28"/>
          <w:szCs w:val="28"/>
          <w:lang w:val="zh-CN" w:bidi="en-US"/>
        </w:rPr>
      </w:pPr>
      <w:r>
        <w:rPr>
          <w:rFonts w:ascii="Times New Roman" w:eastAsia="方正仿宋_GBK" w:hAnsi="Times New Roman" w:cs="微软雅黑" w:hint="eastAsia"/>
          <w:b/>
          <w:bCs/>
          <w:snapToGrid w:val="0"/>
          <w:sz w:val="28"/>
          <w:szCs w:val="28"/>
          <w:lang w:val="zh-CN" w:eastAsia="zh-CN" w:bidi="en-US"/>
        </w:rPr>
        <w:t>统一界面设计</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界面风格一致性</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本项目与12360智慧辅助系统集成部分功能，在界面设计上保持一致，包括配色、字体、按钮样式等。</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提供统一的用户体验，减少用户学习成本。</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功能入口整合</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在本项目的界面上整合12360智慧辅助系统的功能入口（如智慧辅助功能、知识库查询）。</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确保功能入口清晰、易于操作。</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多平台适配</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确保统一界面在PC端、Web端等多种平台上适配良好。</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提供响应式设计，适应不同设备的屏幕尺寸。</w:t>
      </w:r>
    </w:p>
    <w:p>
      <w:pPr>
        <w:pStyle w:val="40510"/>
        <w:pageBreakBefore w:val="0"/>
        <w:widowControl w:val="0"/>
        <w:numPr>
          <w:ilvl w:val="0"/>
          <w:numId w:val="97"/>
        </w:numPr>
        <w:kinsoku/>
        <w:wordWrap/>
        <w:overflowPunct/>
        <w:topLinePunct w:val="0"/>
        <w:autoSpaceDE/>
        <w:autoSpaceDN/>
        <w:bidi w:val="0"/>
        <w:adjustRightInd/>
        <w:snapToGrid/>
        <w:spacing w:line="400" w:lineRule="exact"/>
        <w:textAlignment w:val="auto"/>
        <w:rPr>
          <w:rFonts w:ascii="Times New Roman" w:eastAsia="方正仿宋_GBK" w:hAnsi="Times New Roman" w:cs="微软雅黑" w:hint="eastAsia"/>
          <w:b/>
          <w:bCs/>
          <w:snapToGrid w:val="0"/>
          <w:sz w:val="28"/>
          <w:szCs w:val="28"/>
          <w:lang w:val="zh-CN" w:bidi="en-US"/>
        </w:rPr>
      </w:pPr>
      <w:r>
        <w:rPr>
          <w:rFonts w:ascii="Times New Roman" w:eastAsia="方正仿宋_GBK" w:hAnsi="Times New Roman" w:cs="微软雅黑" w:hint="eastAsia"/>
          <w:b/>
          <w:bCs/>
          <w:snapToGrid w:val="0"/>
          <w:sz w:val="28"/>
          <w:szCs w:val="28"/>
          <w:lang w:val="zh-CN" w:eastAsia="zh-CN" w:bidi="en-US"/>
        </w:rPr>
        <w:t>数据存储与管理</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数据存储同步</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本项目与12360智慧辅助系统之间实现数据存储同步，确保两系统数据库中的数据一致。</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支持增量同步和全量同步两种模式。</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数据访问控制</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在本项目中设置数据访问权限，确保只有授权用户能够访问敏感数据。</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与12360智慧辅助系统的权限体系对接，实现统一的权限管理。</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数据备份与恢复</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确保两系统间的数据备份与恢复机制一致，保障数据安全。</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支持快速恢复，减少系统故障对业务的影响。</w:t>
      </w:r>
    </w:p>
    <w:p>
      <w:pPr>
        <w:pStyle w:val="40510"/>
        <w:pageBreakBefore w:val="0"/>
        <w:widowControl w:val="0"/>
        <w:numPr>
          <w:ilvl w:val="0"/>
          <w:numId w:val="98"/>
        </w:numPr>
        <w:kinsoku/>
        <w:wordWrap/>
        <w:overflowPunct/>
        <w:topLinePunct w:val="0"/>
        <w:autoSpaceDE/>
        <w:autoSpaceDN/>
        <w:bidi w:val="0"/>
        <w:adjustRightInd/>
        <w:snapToGrid/>
        <w:spacing w:line="400" w:lineRule="exact"/>
        <w:textAlignment w:val="auto"/>
        <w:rPr>
          <w:rFonts w:ascii="Times New Roman" w:eastAsia="方正仿宋_GBK" w:hAnsi="Times New Roman" w:cs="微软雅黑" w:hint="eastAsia"/>
          <w:b/>
          <w:bCs/>
          <w:snapToGrid w:val="0"/>
          <w:sz w:val="28"/>
          <w:szCs w:val="28"/>
          <w:lang w:val="zh-CN" w:bidi="en-US"/>
        </w:rPr>
      </w:pPr>
      <w:r>
        <w:rPr>
          <w:rFonts w:ascii="Times New Roman" w:eastAsia="方正仿宋_GBK" w:hAnsi="Times New Roman" w:cs="微软雅黑" w:hint="eastAsia"/>
          <w:b/>
          <w:bCs/>
          <w:snapToGrid w:val="0"/>
          <w:sz w:val="28"/>
          <w:szCs w:val="28"/>
          <w:lang w:val="zh-CN" w:eastAsia="zh-CN" w:bidi="en-US"/>
        </w:rPr>
        <w:t>用户权限与认证</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用户身份认证</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本项目与12360智慧辅助系统之间实现统一的身份认证（如单点登录）。</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用户只需登录一次，即可访问两系统中的功能。</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权限管理对接</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本项目能够调用12360智慧辅助系统的权限管理功能，确保用户权限的一致性。</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支持动态权限调整，适应业务需求的变化。</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审计与日志记录</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在两系统中记录用户操作日志，便于审计和追溯。</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确保日志数据在两系统之间同步，提供完整的操作记录。</w:t>
      </w:r>
    </w:p>
    <w:p>
      <w:pPr>
        <w:pStyle w:val="40510"/>
        <w:pageBreakBefore w:val="0"/>
        <w:widowControl w:val="0"/>
        <w:numPr>
          <w:ilvl w:val="0"/>
          <w:numId w:val="99"/>
        </w:numPr>
        <w:kinsoku/>
        <w:wordWrap/>
        <w:overflowPunct/>
        <w:topLinePunct w:val="0"/>
        <w:autoSpaceDE/>
        <w:autoSpaceDN/>
        <w:bidi w:val="0"/>
        <w:adjustRightInd/>
        <w:snapToGrid/>
        <w:spacing w:line="400" w:lineRule="exact"/>
        <w:textAlignment w:val="auto"/>
        <w:rPr>
          <w:rFonts w:ascii="Times New Roman" w:eastAsia="方正仿宋_GBK" w:hAnsi="Times New Roman" w:cs="微软雅黑" w:hint="eastAsia"/>
          <w:b/>
          <w:bCs/>
          <w:snapToGrid w:val="0"/>
          <w:sz w:val="28"/>
          <w:szCs w:val="28"/>
          <w:lang w:val="zh-CN" w:bidi="en-US"/>
        </w:rPr>
      </w:pPr>
      <w:r>
        <w:rPr>
          <w:rFonts w:ascii="Times New Roman" w:eastAsia="方正仿宋_GBK" w:hAnsi="Times New Roman" w:cs="微软雅黑" w:hint="eastAsia"/>
          <w:b/>
          <w:bCs/>
          <w:snapToGrid w:val="0"/>
          <w:sz w:val="28"/>
          <w:szCs w:val="28"/>
          <w:lang w:val="zh-CN" w:eastAsia="zh-CN" w:bidi="en-US"/>
        </w:rPr>
        <w:t>系统监控与告警</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实时监控对接</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本项目能够调用12360智慧辅助系统的实时监控功能，查看系统运行状态。</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支持关键指标（如系统负载、响应时间、话务量）的实时展示。</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告警信息同步</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两系统之间实现告警信息的同步，确保管理员能够及时发现和处理问题。</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支持多种告警方式（如短信、系统内通知）。</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故障排查支持</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本项目能够调用12360智慧辅助系统的故障排查工具，快速定位和解决系统问题。</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提供详细的错误日志和诊断报告。</w:t>
      </w:r>
    </w:p>
    <w:p>
      <w:pPr>
        <w:pStyle w:val="40510"/>
        <w:pageBreakBefore w:val="0"/>
        <w:widowControl w:val="0"/>
        <w:numPr>
          <w:ilvl w:val="0"/>
          <w:numId w:val="100"/>
        </w:numPr>
        <w:kinsoku/>
        <w:wordWrap/>
        <w:overflowPunct/>
        <w:topLinePunct w:val="0"/>
        <w:autoSpaceDE/>
        <w:autoSpaceDN/>
        <w:bidi w:val="0"/>
        <w:adjustRightInd/>
        <w:snapToGrid/>
        <w:spacing w:line="400" w:lineRule="exact"/>
        <w:textAlignment w:val="auto"/>
        <w:rPr>
          <w:rFonts w:ascii="Times New Roman" w:eastAsia="方正仿宋_GBK" w:hAnsi="Times New Roman" w:cs="微软雅黑" w:hint="eastAsia"/>
          <w:b/>
          <w:bCs/>
          <w:snapToGrid w:val="0"/>
          <w:sz w:val="28"/>
          <w:szCs w:val="28"/>
          <w:lang w:val="zh-CN" w:bidi="en-US"/>
        </w:rPr>
      </w:pPr>
      <w:r>
        <w:rPr>
          <w:rFonts w:ascii="Times New Roman" w:eastAsia="方正仿宋_GBK" w:hAnsi="Times New Roman" w:cs="微软雅黑" w:hint="eastAsia"/>
          <w:b/>
          <w:bCs/>
          <w:snapToGrid w:val="0"/>
          <w:sz w:val="28"/>
          <w:szCs w:val="28"/>
          <w:lang w:val="zh-CN" w:eastAsia="zh-CN" w:bidi="en-US"/>
        </w:rPr>
        <w:t>兼容性与扩展性</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系统兼容性测试</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确保本项目与12360智慧辅助系统在功能、性能、界面等方面完全兼容。</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支持跨平台、跨系统的无缝对接。</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功能扩展支持</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为未来可能的功能扩展预留接口和模块，确保两系统能够灵活适应业务需求的变化。</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支持模块化设计，便于功能的增删和升级。</w:t>
      </w:r>
    </w:p>
    <w:p>
      <w:pPr>
        <w:pStyle w:val="550"/>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微软雅黑" w:hint="eastAsia"/>
          <w:snapToGrid w:val="0"/>
          <w:sz w:val="28"/>
          <w:lang w:val="zh-CN" w:bidi="en-US"/>
        </w:rPr>
      </w:pPr>
      <w:r>
        <w:rPr>
          <w:rFonts w:ascii="Times New Roman" w:eastAsia="方正仿宋_GBK" w:hAnsi="Times New Roman" w:cs="微软雅黑" w:hint="eastAsia"/>
          <w:snapToGrid w:val="0"/>
          <w:sz w:val="28"/>
          <w:szCs w:val="28"/>
          <w:lang w:val="zh-CN" w:eastAsia="zh-CN" w:bidi="en-US"/>
        </w:rPr>
        <w:t>性能优化</w:t>
      </w:r>
    </w:p>
    <w:p>
      <w:pPr>
        <w:pStyle w:val="405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在两系统交互过程中，优化数据传输和功能调用的性能，减少延迟和资源消耗。</w:t>
      </w:r>
    </w:p>
    <w:p>
      <w:pPr>
        <w:pStyle w:val="40510"/>
        <w:pageBreakBefore w:val="0"/>
        <w:widowControl w:val="0"/>
        <w:kinsoku/>
        <w:wordWrap/>
        <w:overflowPunct/>
        <w:topLinePunct w:val="0"/>
        <w:autoSpaceDE/>
        <w:autoSpaceDN/>
        <w:adjustRightInd/>
        <w:snapToGrid/>
        <w:spacing w:line="400" w:lineRule="exact"/>
        <w:ind w:left="420" w:firstLine="420"/>
        <w:rPr>
          <w:rFonts w:ascii="Times New Roman" w:eastAsia="方正仿宋_GBK" w:hAnsi="Times New Roman" w:cs="微软雅黑" w:hint="eastAsia"/>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确保系统在高并发场景下的稳定性和可靠性。</w:t>
      </w:r>
    </w:p>
    <w:p>
      <w:pPr>
        <w:pStyle w:val="40410"/>
        <w:tabs>
          <w:tab w:val="left" w:pos="1200"/>
        </w:tabs>
        <w:spacing w:line="400" w:lineRule="exact"/>
        <w:ind w:left="51" w:firstLine="560" w:firstLineChars="200"/>
        <w:jc w:val="left"/>
        <w:textAlignment w:val="center"/>
      </w:pPr>
      <w:r>
        <w:rPr>
          <w:rFonts w:ascii="Times New Roman" w:eastAsia="方正仿宋_GBK" w:hAnsi="Times New Roman" w:cs="微软雅黑" w:hint="eastAsia"/>
          <w:snapToGrid w:val="0"/>
          <w:sz w:val="28"/>
          <w:szCs w:val="28"/>
          <w:lang w:val="zh-CN" w:eastAsia="zh-CN" w:bidi="en-US"/>
        </w:rPr>
        <w:t>通过以上细化的交互功能分析，本项目与12360智慧辅助系统之间能够实现高效、稳定、一致的交互，确保两系统在功能、数据、界面、权限等方面无缝衔接，同时为未来的扩展和优化提供良好的基础。</w:t>
      </w:r>
    </w:p>
    <w:p>
      <w:pPr>
        <w:pStyle w:val="403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b/>
          <w:bCs/>
          <w:snapToGrid w:val="0"/>
          <w:sz w:val="28"/>
          <w:szCs w:val="28"/>
          <w:lang w:val="zh-CN" w:eastAsia="zh-CN" w:bidi="en-US"/>
        </w:rPr>
        <w:t>全国各地12345热线</w:t>
      </w:r>
      <w:r>
        <w:rPr>
          <w:rFonts w:eastAsia="方正仿宋_GBK" w:cs="微软雅黑" w:hint="eastAsia"/>
          <w:snapToGrid w:val="0"/>
          <w:sz w:val="28"/>
          <w:szCs w:val="28"/>
          <w:lang w:val="zh-CN" w:eastAsia="zh-CN" w:bidi="en-US"/>
        </w:rPr>
        <w:t>：实现与各地方</w:t>
      </w:r>
      <w:r>
        <w:rPr>
          <w:rFonts w:eastAsia="方正仿宋_GBK" w:cs="微软雅黑"/>
          <w:snapToGrid w:val="0"/>
          <w:sz w:val="28"/>
          <w:szCs w:val="28"/>
          <w:lang w:val="zh-CN" w:eastAsia="zh-CN" w:bidi="en-US"/>
        </w:rPr>
        <w:t>12345热线</w:t>
      </w:r>
      <w:r>
        <w:rPr>
          <w:rFonts w:eastAsia="方正仿宋_GBK" w:cs="微软雅黑" w:hint="eastAsia"/>
          <w:snapToGrid w:val="0"/>
          <w:sz w:val="28"/>
          <w:szCs w:val="28"/>
          <w:lang w:val="zh-CN" w:eastAsia="zh-CN" w:bidi="en-US"/>
        </w:rPr>
        <w:t>语音呼叫对接，完成用户人工服务受理，实现工单数据及工单状态数据的同步、流转</w:t>
      </w:r>
      <w:r>
        <w:rPr>
          <w:rFonts w:eastAsia="方正仿宋_GBK" w:cs="微软雅黑"/>
          <w:snapToGrid w:val="0"/>
          <w:sz w:val="28"/>
          <w:szCs w:val="28"/>
          <w:lang w:val="zh-CN" w:eastAsia="zh-CN" w:bidi="en-US"/>
        </w:rPr>
        <w:t>。具体如下：</w:t>
      </w:r>
    </w:p>
    <w:p>
      <w:pPr>
        <w:pStyle w:val="40610"/>
        <w:pageBreakBefore w:val="0"/>
        <w:widowControl w:val="0"/>
        <w:numPr>
          <w:ilvl w:val="0"/>
          <w:numId w:val="101"/>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语音呼叫对接</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olor w:val="auto"/>
          <w:sz w:val="28"/>
        </w:rPr>
      </w:pPr>
      <w:r>
        <w:rPr>
          <w:rStyle w:val="Strong"/>
          <w:rFonts w:ascii="Times New Roman" w:eastAsia="方正仿宋_GBK" w:hAnsi="Times New Roman" w:cs="宋体"/>
          <w:b w:val="0"/>
          <w:color w:val="auto"/>
          <w:spacing w:val="0"/>
          <w:sz w:val="28"/>
          <w:szCs w:val="21"/>
          <w:lang w:bidi="ar-SA"/>
        </w:rPr>
        <w:t>统一通信协议</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采用统一的通信协议（如SIP、H.323）实现</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与各地方12345热线的语音呼叫对接。</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确保不同地区的热线系统能够与</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顺利连接。</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多类型电话支持</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支持普通电话、手机、VoIP等多种电话类型，满足不同用户的需求。</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处理不同地区的电话号码格式，确保号码正确识别和拨号。</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呼叫管理功能</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提供呼叫排队、转接、保持、会议等功能，优化用户通话体验。</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支持自动语音应答（IVR），引导用户选择服务类型。</w:t>
      </w:r>
    </w:p>
    <w:p>
      <w:pPr>
        <w:pStyle w:val="40610"/>
        <w:pageBreakBefore w:val="0"/>
        <w:widowControl w:val="0"/>
        <w:kinsoku/>
        <w:wordWrap/>
        <w:overflowPunct/>
        <w:topLinePunct w:val="0"/>
        <w:autoSpaceDE/>
        <w:autoSpaceDN/>
        <w:bidi w:val="0"/>
        <w:adjustRightInd/>
        <w:snapToGrid/>
        <w:spacing w:line="400" w:lineRule="exact"/>
        <w:ind w:left="420" w:firstLine="0"/>
        <w:textAlignment w:val="auto"/>
        <w:rPr>
          <w:rFonts w:ascii="Times New Roman" w:eastAsia="方正仿宋_GBK" w:hAnsi="Times New Roman"/>
          <w:color w:val="auto"/>
          <w:sz w:val="28"/>
        </w:rPr>
      </w:pPr>
      <w:r>
        <w:rPr>
          <w:rFonts w:ascii="Times New Roman" w:eastAsia="方正仿宋_GBK" w:hAnsi="Times New Roman"/>
          <w:color w:val="auto"/>
          <w:sz w:val="28"/>
        </w:rPr>
        <w:t>用户人工服务受理</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坐席管理系统</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配置呼叫中心管理系统，支持坐席人员的排班、监控和评估。</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实现来电分配机制，确保电话能够快速分配到合适的坐席。</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通话记录与录音</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自动记录通话内容，存储在本地服务器，便于后续查询和分析。</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提供录音文件的检索和播放功能，支持服务质量评估。</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多语言支持</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提供多种语言的语音提示和人工服务，满足不同地区用户的需求。</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支持语言包的动态加载，便于新增或修改语言内容。</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培训与服务质量管理</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坐席培训模块，提供标准化的服务流程和话术指导。</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实施服务质量监控，定期评估坐席表现，提升整体服务水平。</w:t>
      </w:r>
    </w:p>
    <w:p>
      <w:pPr>
        <w:pStyle w:val="40610"/>
        <w:pageBreakBefore w:val="0"/>
        <w:widowControl w:val="0"/>
        <w:numPr>
          <w:ilvl w:val="0"/>
          <w:numId w:val="102"/>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工单数据及工单状态数据的同步与流转</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工单数据结构定义</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定义统一的工单数据结构，包括用户信息、诉求内容、紧急程度、处理部门等字段。</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确保</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与12345热线系统能够互认和处理这些数据。</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实时数据同步</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通过API接口实现工单数据的实时同步，确保双方系统数据一致。</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支持增量同步，减少数据传输量，提升效率。</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工单状态管理</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定义工单状态的流转规则，如</w:t>
      </w:r>
      <w:r>
        <w:rPr>
          <w:rFonts w:ascii="Times New Roman" w:eastAsia="方正仿宋_GBK" w:hAnsi="Times New Roman" w:cs="宋体" w:hint="eastAsia"/>
          <w:color w:val="auto"/>
          <w:sz w:val="28"/>
          <w:lang w:eastAsia="zh-CN" w:bidi="ar-SA"/>
        </w:rPr>
        <w:t>“</w:t>
      </w:r>
      <w:r>
        <w:rPr>
          <w:rFonts w:ascii="Times New Roman" w:eastAsia="方正仿宋_GBK" w:hAnsi="Times New Roman" w:cs="宋体"/>
          <w:color w:val="auto"/>
          <w:sz w:val="28"/>
          <w:lang w:bidi="ar-SA"/>
        </w:rPr>
        <w:t>待处理</w:t>
      </w:r>
      <w:r>
        <w:rPr>
          <w:rFonts w:ascii="Times New Roman" w:eastAsia="方正仿宋_GBK" w:hAnsi="Times New Roman" w:cs="宋体" w:hint="eastAsia"/>
          <w:color w:val="auto"/>
          <w:sz w:val="28"/>
          <w:lang w:eastAsia="zh-CN" w:bidi="ar-SA"/>
        </w:rPr>
        <w:t>”</w:t>
      </w:r>
      <w:r>
        <w:rPr>
          <w:rFonts w:ascii="Times New Roman" w:eastAsia="方正仿宋_GBK" w:hAnsi="Times New Roman" w:cs="宋体"/>
          <w:color w:val="auto"/>
          <w:sz w:val="28"/>
          <w:lang w:bidi="ar-SA"/>
        </w:rPr>
        <w:t>、</w:t>
      </w:r>
      <w:r>
        <w:rPr>
          <w:rFonts w:ascii="Times New Roman" w:eastAsia="方正仿宋_GBK" w:hAnsi="Times New Roman" w:cs="宋体" w:hint="eastAsia"/>
          <w:color w:val="auto"/>
          <w:sz w:val="28"/>
          <w:lang w:eastAsia="zh-CN" w:bidi="ar-SA"/>
        </w:rPr>
        <w:t>“</w:t>
      </w:r>
      <w:r>
        <w:rPr>
          <w:rFonts w:ascii="Times New Roman" w:eastAsia="方正仿宋_GBK" w:hAnsi="Times New Roman" w:cs="宋体"/>
          <w:color w:val="auto"/>
          <w:sz w:val="28"/>
          <w:lang w:bidi="ar-SA"/>
        </w:rPr>
        <w:t>处理中</w:t>
      </w:r>
      <w:r>
        <w:rPr>
          <w:rFonts w:ascii="Times New Roman" w:eastAsia="方正仿宋_GBK" w:hAnsi="Times New Roman" w:cs="宋体" w:hint="eastAsia"/>
          <w:color w:val="auto"/>
          <w:sz w:val="28"/>
          <w:lang w:eastAsia="zh-CN" w:bidi="ar-SA"/>
        </w:rPr>
        <w:t>”</w:t>
      </w:r>
      <w:r>
        <w:rPr>
          <w:rFonts w:ascii="Times New Roman" w:eastAsia="方正仿宋_GBK" w:hAnsi="Times New Roman" w:cs="宋体"/>
          <w:color w:val="auto"/>
          <w:sz w:val="28"/>
          <w:lang w:bidi="ar-SA"/>
        </w:rPr>
        <w:t>、</w:t>
      </w:r>
      <w:r>
        <w:rPr>
          <w:rFonts w:ascii="Times New Roman" w:eastAsia="方正仿宋_GBK" w:hAnsi="Times New Roman" w:cs="宋体" w:hint="eastAsia"/>
          <w:color w:val="auto"/>
          <w:sz w:val="28"/>
          <w:lang w:eastAsia="zh-CN" w:bidi="ar-SA"/>
        </w:rPr>
        <w:t>“</w:t>
      </w:r>
      <w:r>
        <w:rPr>
          <w:rFonts w:ascii="Times New Roman" w:eastAsia="方正仿宋_GBK" w:hAnsi="Times New Roman" w:cs="宋体"/>
          <w:color w:val="auto"/>
          <w:sz w:val="28"/>
          <w:lang w:bidi="ar-SA"/>
        </w:rPr>
        <w:t>已解决</w:t>
      </w:r>
      <w:r>
        <w:rPr>
          <w:rFonts w:ascii="Times New Roman" w:eastAsia="方正仿宋_GBK" w:hAnsi="Times New Roman" w:cs="宋体" w:hint="eastAsia"/>
          <w:color w:val="auto"/>
          <w:sz w:val="28"/>
          <w:lang w:eastAsia="zh-CN" w:bidi="ar-SA"/>
        </w:rPr>
        <w:t>”</w:t>
      </w:r>
      <w:r>
        <w:rPr>
          <w:rFonts w:ascii="Times New Roman" w:eastAsia="方正仿宋_GBK" w:hAnsi="Times New Roman" w:cs="宋体"/>
          <w:color w:val="auto"/>
          <w:sz w:val="28"/>
          <w:lang w:bidi="ar-SA"/>
        </w:rPr>
        <w:t>等。</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实现实时状态更新，确保双方系统能够跟踪工单进展。</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数据冲突处理</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设计数据冲突检测和解决机制，确保数据一致性。</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提供日志记录，便于追溯和解决数据冲突问题。</w:t>
      </w:r>
    </w:p>
    <w:p>
      <w:pPr>
        <w:pStyle w:val="40610"/>
        <w:pageBreakBefore w:val="0"/>
        <w:widowControl w:val="0"/>
        <w:numPr>
          <w:ilvl w:val="0"/>
          <w:numId w:val="103"/>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系统集成与兼容性</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适配器开发</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开发适配器或转换层，处理不同地方12345热线系统之间的差异。</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确保</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能够与各种不同的系统无缝对接。</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接口标准化</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制定统一的接口规范，包括数据格式、调用方式、错误处理等。</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提供详细的接口文档，便于各地方12345热线系统集成。</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系统测试与验证</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进行全面的系统测试，包括功能测试、性能测试、安全性测试等。</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确保各个部分能够协同工作，满足用户需求。</w:t>
      </w:r>
    </w:p>
    <w:p>
      <w:pPr>
        <w:pStyle w:val="40610"/>
        <w:pageBreakBefore w:val="0"/>
        <w:widowControl w:val="0"/>
        <w:numPr>
          <w:ilvl w:val="0"/>
          <w:numId w:val="104"/>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数据安全与隐私保护</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数据加密传输</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采用SSL/TLS等加密技术，确保数据在传输过程中的安全性。</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对敏感数据进行加密存储，防止数据泄露。</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权限管理</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实施严格的权限管理，确保只有授权人员能够访问敏感数据。</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提供审计日志，记录数据访问和修改操作，便于追溯。</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隐私保护合规</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遵守相关法律法规，如《个人信息保护法》等，保护用户隐私。</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提供用户隐私政策说明，确保用户知情权和选择权。</w:t>
      </w:r>
    </w:p>
    <w:p>
      <w:pPr>
        <w:pStyle w:val="40610"/>
        <w:pageBreakBefore w:val="0"/>
        <w:widowControl w:val="0"/>
        <w:numPr>
          <w:ilvl w:val="0"/>
          <w:numId w:val="105"/>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监控与维护</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系统运行监控</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部署实时监控工具，监测系统运行状态、呼叫量、坐席忙闲状态等关键指标。</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提供告警功能，及时发现和处理系统异常。</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日志管理</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记录系统运行日志、用户操作日志、错误日志等，便于故障排查和分析。</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提供日志查询和统计功能，支持系统优化和改进。</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维护与更新</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制定定期维护计划，确保系统长期稳定运行。</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提供在线更新功能，方便系统升级和功能扩</w:t>
      </w:r>
      <w:r>
        <w:rPr>
          <w:rFonts w:ascii="Times New Roman" w:eastAsia="方正仿宋_GBK" w:hAnsi="Times New Roman" w:cs="宋体"/>
          <w:color w:val="auto"/>
          <w:spacing w:val="0"/>
          <w:sz w:val="28"/>
          <w:szCs w:val="21"/>
          <w:lang w:bidi="ar-SA"/>
        </w:rPr>
        <w:t>展。</w:t>
      </w:r>
    </w:p>
    <w:p>
      <w:pPr>
        <w:pStyle w:val="40610"/>
        <w:pageBreakBefore w:val="0"/>
        <w:widowControl w:val="0"/>
        <w:numPr>
          <w:ilvl w:val="0"/>
          <w:numId w:val="106"/>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用户体验优化</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用户界面设计</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设计直观友好的用户界面，方便坐席人员快速上手。</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提供多维度的数据展示，如工单统计、用户满意度分析等。</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实时反馈机制</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提供工单处理进度的实时反馈，让用户了解诉求处理情况。</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支持用户通过多种渠道（如短信、</w:t>
      </w:r>
      <w:r>
        <w:rPr>
          <w:rFonts w:ascii="Times New Roman" w:eastAsia="方正仿宋_GBK" w:hAnsi="Times New Roman" w:cs="宋体" w:hint="eastAsia"/>
          <w:color w:val="auto"/>
          <w:sz w:val="28"/>
          <w:lang w:val="en-US" w:eastAsia="zh-CN" w:bidi="ar-SA"/>
        </w:rPr>
        <w:t>系统内</w:t>
      </w:r>
      <w:r>
        <w:rPr>
          <w:rFonts w:ascii="Times New Roman" w:eastAsia="方正仿宋_GBK" w:hAnsi="Times New Roman" w:cs="宋体"/>
          <w:color w:val="auto"/>
          <w:sz w:val="28"/>
          <w:lang w:bidi="ar-SA"/>
        </w:rPr>
        <w:t>通知）获取反馈信息。</w:t>
      </w:r>
    </w:p>
    <w:p>
      <w:pPr>
        <w:pStyle w:val="563"/>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Style w:val="Strong"/>
          <w:rFonts w:ascii="Times New Roman" w:eastAsia="方正仿宋_GBK" w:hAnsi="Times New Roman" w:cs="宋体"/>
          <w:b w:val="0"/>
          <w:color w:val="auto"/>
          <w:spacing w:val="0"/>
          <w:sz w:val="28"/>
          <w:szCs w:val="21"/>
        </w:rPr>
      </w:pPr>
      <w:r>
        <w:rPr>
          <w:rStyle w:val="Strong"/>
          <w:rFonts w:ascii="Times New Roman" w:eastAsia="方正仿宋_GBK" w:hAnsi="Times New Roman" w:cs="宋体"/>
          <w:b w:val="0"/>
          <w:color w:val="auto"/>
          <w:spacing w:val="0"/>
          <w:sz w:val="28"/>
          <w:szCs w:val="21"/>
          <w:lang w:bidi="ar-SA"/>
        </w:rPr>
        <w:t>用户反馈收集与分析</w:t>
      </w:r>
    </w:p>
    <w:p>
      <w:pPr>
        <w:pStyle w:val="406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收集用户对服务的评价和建议，持续改进服务质量。</w:t>
      </w:r>
    </w:p>
    <w:p>
      <w:pPr>
        <w:pStyle w:val="40610"/>
        <w:pageBreakBefore w:val="0"/>
        <w:widowControl w:val="0"/>
        <w:kinsoku/>
        <w:wordWrap/>
        <w:overflowPunct/>
        <w:topLinePunct w:val="0"/>
        <w:autoSpaceDE/>
        <w:autoSpaceDN/>
        <w:adjustRightInd/>
        <w:snapToGrid/>
        <w:spacing w:line="400" w:lineRule="exact"/>
        <w:ind w:left="420" w:firstLine="420"/>
        <w:rPr>
          <w:rFonts w:ascii="Times New Roman" w:eastAsia="方正仿宋_GBK" w:hAnsi="Times New Roman" w:cs="宋体"/>
          <w:color w:val="auto"/>
          <w:sz w:val="28"/>
        </w:rPr>
      </w:pPr>
      <w:r>
        <w:rPr>
          <w:rFonts w:ascii="Times New Roman" w:eastAsia="方正仿宋_GBK" w:hAnsi="Times New Roman" w:cs="宋体"/>
          <w:color w:val="auto"/>
          <w:sz w:val="28"/>
          <w:lang w:bidi="ar-SA"/>
        </w:rPr>
        <w:t>分析用户反馈数据，发现服务中的问题和改进点。</w:t>
      </w:r>
    </w:p>
    <w:p>
      <w:pPr>
        <w:pStyle w:val="403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宋体"/>
          <w:color w:val="auto"/>
          <w:sz w:val="28"/>
          <w:lang w:bidi="ar-SA"/>
        </w:rPr>
        <w:t>通过以上细化的交互功能分析，</w:t>
      </w:r>
      <w:r>
        <w:rPr>
          <w:rFonts w:eastAsia="方正仿宋_GBK" w:cs="宋体" w:hint="eastAsia"/>
          <w:color w:val="auto"/>
          <w:sz w:val="28"/>
          <w:lang w:eastAsia="zh-CN" w:bidi="ar-SA"/>
        </w:rPr>
        <w:t>本项目</w:t>
      </w:r>
      <w:r>
        <w:rPr>
          <w:rFonts w:eastAsia="方正仿宋_GBK" w:cs="宋体"/>
          <w:color w:val="auto"/>
          <w:sz w:val="28"/>
          <w:lang w:bidi="ar-SA"/>
        </w:rPr>
        <w:t>能够与全国各地的12345热线系统实现无缝对接，完成用户人工服务受理，并确保工单数据及工单状态数据的同步和流转。这不仅提升了服务效率和用户体验，还为后续的系统优化和扩展提供了坚实的基础</w:t>
      </w:r>
      <w:r>
        <w:rPr>
          <w:rFonts w:eastAsia="方正仿宋_GBK" w:cs="微软雅黑"/>
          <w:snapToGrid w:val="0"/>
          <w:sz w:val="28"/>
          <w:szCs w:val="28"/>
          <w:lang w:val="zh-CN" w:eastAsia="zh-CN" w:bidi="en-US"/>
        </w:rPr>
        <w:t>。</w:t>
      </w:r>
    </w:p>
    <w:p>
      <w:pPr>
        <w:pStyle w:val="403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hint="eastAsia"/>
          <w:b/>
          <w:bCs/>
          <w:snapToGrid w:val="0"/>
          <w:sz w:val="28"/>
          <w:szCs w:val="28"/>
          <w:lang w:val="zh-CN" w:eastAsia="zh-CN" w:bidi="en-US"/>
        </w:rPr>
        <w:t>海关内部运维管理系统（工单）</w:t>
      </w:r>
      <w:r>
        <w:rPr>
          <w:rFonts w:eastAsia="方正仿宋_GBK" w:cs="微软雅黑" w:hint="eastAsia"/>
          <w:snapToGrid w:val="0"/>
          <w:sz w:val="28"/>
          <w:szCs w:val="28"/>
          <w:lang w:val="zh-CN" w:eastAsia="zh-CN" w:bidi="en-US"/>
        </w:rPr>
        <w:t>：传输工单数据及工单状态数据，实现工单流转</w:t>
      </w:r>
      <w:r>
        <w:rPr>
          <w:rFonts w:eastAsia="方正仿宋_GBK" w:cs="微软雅黑"/>
          <w:snapToGrid w:val="0"/>
          <w:sz w:val="28"/>
          <w:szCs w:val="28"/>
          <w:lang w:val="zh-CN" w:eastAsia="zh-CN" w:bidi="en-US"/>
        </w:rPr>
        <w:t>。具体如下：</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hint="eastAsia"/>
          <w:color w:val="auto"/>
          <w:sz w:val="28"/>
          <w:lang w:eastAsia="zh-CN" w:bidi="ar-SA"/>
        </w:rPr>
        <w:t>工单可通过接口进入到办公系统中流转、处理、审批与反馈。具体为通过12360热线平台，话务人员根据实际情况，填写工单申请，工单在热线综合平台内部分类、流转，需要协同处理的工单通过接口进入办公系统，流转至对应业务部门处理后，再通知热线平台，及时与用户沟通，反馈工单结果。</w:t>
      </w:r>
    </w:p>
    <w:p>
      <w:pPr>
        <w:pStyle w:val="40710"/>
        <w:pageBreakBefore w:val="0"/>
        <w:widowControl w:val="0"/>
        <w:numPr>
          <w:ilvl w:val="0"/>
          <w:numId w:val="107"/>
        </w:numPr>
        <w:kinsoku/>
        <w:wordWrap/>
        <w:overflowPunct/>
        <w:topLinePunct w:val="0"/>
        <w:autoSpaceDE/>
        <w:autoSpaceDN/>
        <w:bidi w:val="0"/>
        <w:adjustRightInd/>
        <w:snapToGrid/>
        <w:spacing w:line="400" w:lineRule="exact"/>
        <w:textAlignment w:val="auto"/>
        <w:rPr>
          <w:rFonts w:ascii="Times New Roman" w:eastAsia="方正仿宋_GBK" w:hAnsi="Times New Roman" w:cs="宋体" w:hint="eastAsia"/>
          <w:b/>
          <w:bCs/>
          <w:sz w:val="28"/>
        </w:rPr>
      </w:pPr>
      <w:r>
        <w:rPr>
          <w:rFonts w:ascii="Times New Roman" w:eastAsia="方正仿宋_GBK" w:hAnsi="Times New Roman" w:cs="宋体" w:hint="eastAsia"/>
          <w:b/>
          <w:bCs/>
          <w:sz w:val="28"/>
          <w:lang w:bidi="ar-SA"/>
        </w:rPr>
        <w:t>工单数据传输</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工单信息传输</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本项目与海关内部运维管理系统</w:t>
      </w:r>
      <w:r>
        <w:rPr>
          <w:rFonts w:ascii="Times New Roman" w:eastAsia="方正仿宋_GBK" w:hAnsi="Times New Roman" w:cs="宋体" w:hint="eastAsia"/>
          <w:sz w:val="28"/>
          <w:lang w:val="en-US" w:bidi="ar-SA"/>
        </w:rPr>
        <w:t>（如信息中心、数据中心运管平台）</w:t>
      </w:r>
      <w:r>
        <w:rPr>
          <w:rFonts w:ascii="Times New Roman" w:eastAsia="方正仿宋_GBK" w:hAnsi="Times New Roman" w:cs="宋体" w:hint="eastAsia"/>
          <w:sz w:val="28"/>
          <w:lang w:bidi="ar-SA"/>
        </w:rPr>
        <w:t>之间实现工单数据的实时传输。</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确保工单数据在传输过程中完整无误，支持多种数据格式（如JSON、XML）。</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数据同步机制</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实现工单数据的双向同步，确保两系统中的工单信息一致。</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支持增量同步，减少数据传输量，提升效率。</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传输可靠性保障</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采用可靠的传输协议（如HTTPS、MQTT）确保数据传输的稳定性。</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提供重传机制，确保在网络异常情况下数据能够成功传输。</w:t>
      </w:r>
    </w:p>
    <w:p>
      <w:pPr>
        <w:pStyle w:val="40710"/>
        <w:pageBreakBefore w:val="0"/>
        <w:widowControl w:val="0"/>
        <w:numPr>
          <w:ilvl w:val="0"/>
          <w:numId w:val="108"/>
        </w:numPr>
        <w:kinsoku/>
        <w:wordWrap/>
        <w:overflowPunct/>
        <w:topLinePunct w:val="0"/>
        <w:autoSpaceDE/>
        <w:autoSpaceDN/>
        <w:bidi w:val="0"/>
        <w:adjustRightInd/>
        <w:snapToGrid/>
        <w:spacing w:line="400" w:lineRule="exact"/>
        <w:textAlignment w:val="auto"/>
        <w:rPr>
          <w:rFonts w:ascii="Times New Roman" w:eastAsia="方正仿宋_GBK" w:hAnsi="Times New Roman" w:cs="宋体" w:hint="eastAsia"/>
          <w:b/>
          <w:bCs/>
          <w:sz w:val="28"/>
        </w:rPr>
      </w:pPr>
      <w:r>
        <w:rPr>
          <w:rFonts w:ascii="Times New Roman" w:eastAsia="方正仿宋_GBK" w:hAnsi="Times New Roman" w:cs="宋体" w:hint="eastAsia"/>
          <w:b/>
          <w:bCs/>
          <w:sz w:val="28"/>
          <w:lang w:bidi="ar-SA"/>
        </w:rPr>
        <w:t>工单状态数据查询</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工单状态实时查询</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本项目能够通过接口查询海关内部运维管理系统</w:t>
      </w:r>
      <w:r>
        <w:rPr>
          <w:rFonts w:ascii="Times New Roman" w:eastAsia="方正仿宋_GBK" w:hAnsi="Times New Roman" w:cs="宋体" w:hint="eastAsia"/>
          <w:sz w:val="28"/>
          <w:lang w:val="en-US" w:bidi="ar-SA"/>
        </w:rPr>
        <w:t>（如信息中心、数据中心运管平台）</w:t>
      </w:r>
      <w:r>
        <w:rPr>
          <w:rFonts w:ascii="Times New Roman" w:eastAsia="方正仿宋_GBK" w:hAnsi="Times New Roman" w:cs="宋体" w:hint="eastAsia"/>
          <w:sz w:val="28"/>
          <w:lang w:bidi="ar-SA"/>
        </w:rPr>
        <w:t>中工单的状态信息。</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支持按工单编号、处理部门、处理时间等条件进行查询。</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状态更新通知</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海关内部运维管理系统</w:t>
      </w:r>
      <w:r>
        <w:rPr>
          <w:rFonts w:ascii="Times New Roman" w:eastAsia="方正仿宋_GBK" w:hAnsi="Times New Roman" w:cs="宋体" w:hint="eastAsia"/>
          <w:sz w:val="28"/>
          <w:lang w:val="en-US" w:bidi="ar-SA"/>
        </w:rPr>
        <w:t>（如信息中心、数据中心运管平台）</w:t>
      </w:r>
      <w:r>
        <w:rPr>
          <w:rFonts w:ascii="Times New Roman" w:eastAsia="方正仿宋_GBK" w:hAnsi="Times New Roman" w:cs="宋体" w:hint="eastAsia"/>
          <w:sz w:val="28"/>
          <w:lang w:bidi="ar-SA"/>
        </w:rPr>
        <w:t>在工单状态发生变化时，实时通知本项目。</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支持多种通知方式（如API回调、消息队列）。</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历史状态记录</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两系统中均保留工单状态变更的历史记录，便于追溯和分析。</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提供状态变更日志的查询功能。</w:t>
      </w:r>
    </w:p>
    <w:p>
      <w:pPr>
        <w:pStyle w:val="40710"/>
        <w:pageBreakBefore w:val="0"/>
        <w:widowControl w:val="0"/>
        <w:numPr>
          <w:ilvl w:val="0"/>
          <w:numId w:val="109"/>
        </w:numPr>
        <w:kinsoku/>
        <w:wordWrap/>
        <w:overflowPunct/>
        <w:topLinePunct w:val="0"/>
        <w:autoSpaceDE/>
        <w:autoSpaceDN/>
        <w:bidi w:val="0"/>
        <w:adjustRightInd/>
        <w:snapToGrid/>
        <w:spacing w:line="400" w:lineRule="exact"/>
        <w:textAlignment w:val="auto"/>
        <w:rPr>
          <w:rFonts w:ascii="Times New Roman" w:eastAsia="方正仿宋_GBK" w:hAnsi="Times New Roman" w:cs="宋体" w:hint="eastAsia"/>
          <w:b/>
          <w:bCs/>
          <w:sz w:val="28"/>
        </w:rPr>
      </w:pPr>
      <w:r>
        <w:rPr>
          <w:rFonts w:ascii="Times New Roman" w:eastAsia="方正仿宋_GBK" w:hAnsi="Times New Roman" w:cs="宋体" w:hint="eastAsia"/>
          <w:b/>
          <w:bCs/>
          <w:sz w:val="28"/>
          <w:lang w:bidi="ar-SA"/>
        </w:rPr>
        <w:t>工单流转与处理</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工单分类与分配</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本项目根据工单内容和优先级，自动或手动将工单分类并分配到海关内部运维管理系统中的对应处理部门。</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支持灵活的分配规则，适应不同业务需求。</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协同处理流程</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工单在两系统之间流转，协同处理涉及的多个部门。</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支持工单的转派、升级、暂停等功能，确保处理流程的灵活性。</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处理进度跟踪</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本项目能够实时跟踪工单在海关内部运维管理系统</w:t>
      </w:r>
      <w:r>
        <w:rPr>
          <w:rFonts w:ascii="Times New Roman" w:eastAsia="方正仿宋_GBK" w:hAnsi="Times New Roman" w:cs="宋体" w:hint="eastAsia"/>
          <w:sz w:val="28"/>
          <w:lang w:val="en-US" w:bidi="ar-SA"/>
        </w:rPr>
        <w:t>（如信息中心、数据中心运管平台）</w:t>
      </w:r>
      <w:r>
        <w:rPr>
          <w:rFonts w:ascii="Times New Roman" w:eastAsia="方正仿宋_GBK" w:hAnsi="Times New Roman" w:cs="宋体" w:hint="eastAsia"/>
          <w:sz w:val="28"/>
          <w:lang w:bidi="ar-SA"/>
        </w:rPr>
        <w:t>中的处理进度。</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提供进度更新的通知功能，确保信息及时同步。</w:t>
      </w:r>
    </w:p>
    <w:p>
      <w:pPr>
        <w:pStyle w:val="40710"/>
        <w:pageBreakBefore w:val="0"/>
        <w:widowControl w:val="0"/>
        <w:numPr>
          <w:ilvl w:val="0"/>
          <w:numId w:val="110"/>
        </w:numPr>
        <w:kinsoku/>
        <w:wordWrap/>
        <w:overflowPunct/>
        <w:topLinePunct w:val="0"/>
        <w:autoSpaceDE/>
        <w:autoSpaceDN/>
        <w:bidi w:val="0"/>
        <w:adjustRightInd/>
        <w:snapToGrid/>
        <w:spacing w:line="400" w:lineRule="exact"/>
        <w:textAlignment w:val="auto"/>
        <w:rPr>
          <w:rFonts w:ascii="Times New Roman" w:eastAsia="方正仿宋_GBK" w:hAnsi="Times New Roman" w:cs="宋体" w:hint="eastAsia"/>
          <w:b/>
          <w:bCs/>
          <w:sz w:val="28"/>
        </w:rPr>
      </w:pPr>
      <w:r>
        <w:rPr>
          <w:rFonts w:ascii="Times New Roman" w:eastAsia="方正仿宋_GBK" w:hAnsi="Times New Roman" w:cs="宋体" w:hint="eastAsia"/>
          <w:b/>
          <w:bCs/>
          <w:sz w:val="28"/>
          <w:lang w:bidi="ar-SA"/>
        </w:rPr>
        <w:t>工单接口功能</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获取单个工单信息</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通过接口获取单个工单的详细信息，包括工单编号、申请人、内容、附件等。</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支持多种查询方式，如按工单编号、申请人ID等。</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按条件查找工单</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提供灵活的工单查询功能，支持按关键词、时间范围、处理状态、部门等条件进行查找。</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返回符合条件的工单列表，并支持分页显示。</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新建工单</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通过接口在海关内部运维管理系统</w:t>
      </w:r>
      <w:r>
        <w:rPr>
          <w:rFonts w:ascii="Times New Roman" w:eastAsia="方正仿宋_GBK" w:hAnsi="Times New Roman" w:cs="宋体" w:hint="eastAsia"/>
          <w:sz w:val="28"/>
          <w:lang w:val="en-US" w:bidi="ar-SA"/>
        </w:rPr>
        <w:t>（如信息中心、数据中心运管平台）</w:t>
      </w:r>
      <w:r>
        <w:rPr>
          <w:rFonts w:ascii="Times New Roman" w:eastAsia="方正仿宋_GBK" w:hAnsi="Times New Roman" w:cs="宋体" w:hint="eastAsia"/>
          <w:sz w:val="28"/>
          <w:lang w:bidi="ar-SA"/>
        </w:rPr>
        <w:t>中新建工单，包括填写工单内容、附件上传等。</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确保工单信息的完整性和准确性。</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修改工单</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允许对已存在的工单进行修改，包括工单内容、处理部门、优先级等。</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支持权限控制，确保只有授权人员能够进行修改。</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上传工单附件</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提供附件上传功能，支持多种文件格式（如PDF、Word、图片等）。</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确保附件与工单的关联性，便于后续处理和查阅。</w:t>
      </w:r>
    </w:p>
    <w:p>
      <w:pPr>
        <w:pStyle w:val="40710"/>
        <w:pageBreakBefore w:val="0"/>
        <w:widowControl w:val="0"/>
        <w:numPr>
          <w:ilvl w:val="0"/>
          <w:numId w:val="111"/>
        </w:numPr>
        <w:kinsoku/>
        <w:wordWrap/>
        <w:overflowPunct/>
        <w:topLinePunct w:val="0"/>
        <w:autoSpaceDE/>
        <w:autoSpaceDN/>
        <w:bidi w:val="0"/>
        <w:adjustRightInd/>
        <w:snapToGrid/>
        <w:spacing w:line="400" w:lineRule="exact"/>
        <w:textAlignment w:val="auto"/>
        <w:rPr>
          <w:rFonts w:ascii="Times New Roman" w:eastAsia="方正仿宋_GBK" w:hAnsi="Times New Roman" w:cs="宋体" w:hint="eastAsia"/>
          <w:b/>
          <w:bCs/>
          <w:sz w:val="28"/>
        </w:rPr>
      </w:pPr>
      <w:r>
        <w:rPr>
          <w:rFonts w:ascii="Times New Roman" w:eastAsia="方正仿宋_GBK" w:hAnsi="Times New Roman" w:cs="宋体" w:hint="eastAsia"/>
          <w:b/>
          <w:bCs/>
          <w:sz w:val="28"/>
          <w:lang w:bidi="ar-SA"/>
        </w:rPr>
        <w:t>工单通知与反馈</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工单处理通知</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海关内部运维管理系统</w:t>
      </w:r>
      <w:r>
        <w:rPr>
          <w:rFonts w:ascii="Times New Roman" w:eastAsia="方正仿宋_GBK" w:hAnsi="Times New Roman" w:cs="宋体" w:hint="eastAsia"/>
          <w:sz w:val="28"/>
          <w:lang w:val="en-US" w:bidi="ar-SA"/>
        </w:rPr>
        <w:t>（如信息中心、数据中心运管平台）</w:t>
      </w:r>
      <w:r>
        <w:rPr>
          <w:rFonts w:ascii="Times New Roman" w:eastAsia="方正仿宋_GBK" w:hAnsi="Times New Roman" w:cs="宋体" w:hint="eastAsia"/>
          <w:sz w:val="28"/>
          <w:lang w:bidi="ar-SA"/>
        </w:rPr>
        <w:t>在工单处理完成后，及时通知本项目。</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支持多种通知方式（如短信、系统内消息）。</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工单结果反馈</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将工单的处理结果反馈给本项目，包括处理意见、解决方案等。</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支持用户对处理结果进行评价和反馈。</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用户沟通机制</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本项目根据工单处理结果，及时与用户沟通，反馈处理进展和结果。</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提供多种沟通渠道（如电话、短信、邮件），提升用户体验。</w:t>
      </w:r>
    </w:p>
    <w:p>
      <w:pPr>
        <w:pStyle w:val="40710"/>
        <w:pageBreakBefore w:val="0"/>
        <w:widowControl w:val="0"/>
        <w:numPr>
          <w:ilvl w:val="0"/>
          <w:numId w:val="112"/>
        </w:numPr>
        <w:kinsoku/>
        <w:wordWrap/>
        <w:overflowPunct/>
        <w:topLinePunct w:val="0"/>
        <w:autoSpaceDE/>
        <w:autoSpaceDN/>
        <w:bidi w:val="0"/>
        <w:adjustRightInd/>
        <w:snapToGrid/>
        <w:spacing w:line="400" w:lineRule="exact"/>
        <w:textAlignment w:val="auto"/>
        <w:rPr>
          <w:rFonts w:ascii="Times New Roman" w:eastAsia="方正仿宋_GBK" w:hAnsi="Times New Roman" w:cs="宋体" w:hint="eastAsia"/>
          <w:b/>
          <w:bCs/>
          <w:sz w:val="28"/>
        </w:rPr>
      </w:pPr>
      <w:r>
        <w:rPr>
          <w:rFonts w:ascii="Times New Roman" w:eastAsia="方正仿宋_GBK" w:hAnsi="Times New Roman" w:cs="宋体" w:hint="eastAsia"/>
          <w:b/>
          <w:bCs/>
          <w:sz w:val="28"/>
          <w:lang w:bidi="ar-SA"/>
        </w:rPr>
        <w:t>系统集成与兼容性</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接口标准化</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制定统一的接口规范，包括数据格式、调用方式、错误处理等。</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提供详细的接口文档，便于两系统集成。</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适配器开发</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开发适配器或转换层，处理不同系统之间的差异。</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确保本项目能够与海关内部运维管理系统</w:t>
      </w:r>
      <w:r>
        <w:rPr>
          <w:rFonts w:ascii="Times New Roman" w:eastAsia="方正仿宋_GBK" w:hAnsi="Times New Roman" w:cs="宋体" w:hint="eastAsia"/>
          <w:sz w:val="28"/>
          <w:lang w:val="en-US" w:bidi="ar-SA"/>
        </w:rPr>
        <w:t>（如信息中心、数据中心运管平台）</w:t>
      </w:r>
      <w:r>
        <w:rPr>
          <w:rFonts w:ascii="Times New Roman" w:eastAsia="方正仿宋_GBK" w:hAnsi="Times New Roman" w:cs="宋体" w:hint="eastAsia"/>
          <w:sz w:val="28"/>
          <w:lang w:bidi="ar-SA"/>
        </w:rPr>
        <w:t>无缝对接。</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系统测试与验证</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进行全面的系统测试，包括功能测试、性能测试、安全性测试等。</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确保各个部分能够协同工作，满足用户需求。</w:t>
      </w:r>
    </w:p>
    <w:p>
      <w:pPr>
        <w:pStyle w:val="40710"/>
        <w:pageBreakBefore w:val="0"/>
        <w:widowControl w:val="0"/>
        <w:numPr>
          <w:ilvl w:val="0"/>
          <w:numId w:val="113"/>
        </w:numPr>
        <w:kinsoku/>
        <w:wordWrap/>
        <w:overflowPunct/>
        <w:topLinePunct w:val="0"/>
        <w:autoSpaceDE/>
        <w:autoSpaceDN/>
        <w:bidi w:val="0"/>
        <w:adjustRightInd/>
        <w:snapToGrid/>
        <w:spacing w:line="400" w:lineRule="exact"/>
        <w:textAlignment w:val="auto"/>
        <w:rPr>
          <w:rFonts w:ascii="Times New Roman" w:eastAsia="方正仿宋_GBK" w:hAnsi="Times New Roman" w:cs="宋体" w:hint="eastAsia"/>
          <w:b/>
          <w:bCs/>
          <w:sz w:val="28"/>
        </w:rPr>
      </w:pPr>
      <w:r>
        <w:rPr>
          <w:rFonts w:ascii="Times New Roman" w:eastAsia="方正仿宋_GBK" w:hAnsi="Times New Roman" w:cs="宋体" w:hint="eastAsia"/>
          <w:b/>
          <w:bCs/>
          <w:sz w:val="28"/>
          <w:lang w:bidi="ar-SA"/>
        </w:rPr>
        <w:t>数据安全与隐私保护</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数据加密传输</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采用SSL/TLS等加密技术，确保数据在传输过程中的安全性。</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对敏感数据进行加密存储，防止数据泄露。</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权限管理</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实施严格的权限管理，确保只有授权人员能够访问敏感数据。</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提供审计日志，记录数据访问和修改操作，便于追溯。</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隐私保护合规</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遵守相关法律法规，如《个人信息保护法》等，保护用户隐私。</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提供用户隐私政策说明，确保用户知情权和选择权。</w:t>
      </w:r>
    </w:p>
    <w:p>
      <w:pPr>
        <w:pStyle w:val="40710"/>
        <w:pageBreakBefore w:val="0"/>
        <w:widowControl w:val="0"/>
        <w:numPr>
          <w:ilvl w:val="0"/>
          <w:numId w:val="114"/>
        </w:numPr>
        <w:kinsoku/>
        <w:wordWrap/>
        <w:overflowPunct/>
        <w:topLinePunct w:val="0"/>
        <w:autoSpaceDE/>
        <w:autoSpaceDN/>
        <w:bidi w:val="0"/>
        <w:adjustRightInd/>
        <w:snapToGrid/>
        <w:spacing w:line="400" w:lineRule="exact"/>
        <w:textAlignment w:val="auto"/>
        <w:rPr>
          <w:rFonts w:ascii="Times New Roman" w:eastAsia="方正仿宋_GBK" w:hAnsi="Times New Roman" w:cs="宋体" w:hint="eastAsia"/>
          <w:b/>
          <w:bCs/>
          <w:sz w:val="28"/>
        </w:rPr>
      </w:pPr>
      <w:r>
        <w:rPr>
          <w:rFonts w:ascii="Times New Roman" w:eastAsia="方正仿宋_GBK" w:hAnsi="Times New Roman" w:cs="宋体" w:hint="eastAsia"/>
          <w:b/>
          <w:bCs/>
          <w:sz w:val="28"/>
          <w:lang w:bidi="ar-SA"/>
        </w:rPr>
        <w:t>监控与维护</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系统运行监控</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部署实时监控工具，监测系统运行状态、工单处理量、处理时间等关键指标。</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提供告警功能，及时发现和处理系统异常。</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日志管理</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记录系统运行日志、用户操作日志、错误日志等，便于故障排查和分析。</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提供日志查询和统计功能，支持系统优化和改进。</w:t>
      </w:r>
    </w:p>
    <w:p>
      <w:pPr>
        <w:pStyle w:val="575"/>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维护与更新</w:t>
      </w:r>
    </w:p>
    <w:p>
      <w:pPr>
        <w:pStyle w:val="407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sz w:val="28"/>
        </w:rPr>
      </w:pPr>
      <w:r>
        <w:rPr>
          <w:rFonts w:ascii="Times New Roman" w:eastAsia="方正仿宋_GBK" w:hAnsi="Times New Roman" w:cs="宋体" w:hint="eastAsia"/>
          <w:sz w:val="28"/>
          <w:lang w:bidi="ar-SA"/>
        </w:rPr>
        <w:t>制定定期维护计划，确保系统长期稳定运行。</w:t>
      </w:r>
    </w:p>
    <w:p>
      <w:pPr>
        <w:pStyle w:val="40710"/>
        <w:pageBreakBefore w:val="0"/>
        <w:widowControl w:val="0"/>
        <w:kinsoku/>
        <w:wordWrap/>
        <w:overflowPunct/>
        <w:topLinePunct w:val="0"/>
        <w:autoSpaceDE/>
        <w:autoSpaceDN/>
        <w:adjustRightInd/>
        <w:snapToGrid/>
        <w:spacing w:line="400" w:lineRule="exact"/>
        <w:ind w:left="420" w:firstLine="420"/>
        <w:rPr>
          <w:rFonts w:ascii="Times New Roman" w:eastAsia="方正仿宋_GBK" w:hAnsi="Times New Roman" w:cs="宋体" w:hint="eastAsia"/>
          <w:sz w:val="28"/>
        </w:rPr>
      </w:pPr>
      <w:r>
        <w:rPr>
          <w:rFonts w:ascii="Times New Roman" w:eastAsia="方正仿宋_GBK" w:hAnsi="Times New Roman" w:cs="宋体" w:hint="eastAsia"/>
          <w:sz w:val="28"/>
          <w:lang w:bidi="ar-SA"/>
        </w:rPr>
        <w:t>提供在线更新功能，方便系统升级和功能扩展。</w:t>
      </w:r>
    </w:p>
    <w:p>
      <w:pPr>
        <w:pStyle w:val="40310"/>
        <w:widowControl/>
        <w:spacing w:line="400" w:lineRule="exact"/>
        <w:ind w:firstLine="560" w:firstLineChars="200"/>
        <w:jc w:val="left"/>
        <w:textAlignment w:val="center"/>
        <w:rPr>
          <w:rFonts w:eastAsia="方正仿宋_GBK" w:cs="宋体" w:hint="eastAsia"/>
          <w:snapToGrid w:val="0"/>
          <w:sz w:val="28"/>
          <w:lang w:val="zh-CN" w:bidi="en-US"/>
        </w:rPr>
      </w:pPr>
      <w:r>
        <w:rPr>
          <w:rFonts w:eastAsia="方正仿宋_GBK" w:cs="宋体" w:hint="eastAsia"/>
          <w:sz w:val="28"/>
          <w:lang w:bidi="ar-SA"/>
        </w:rPr>
        <w:t>通过以上细化</w:t>
      </w:r>
      <w:r>
        <w:rPr>
          <w:rFonts w:eastAsia="方正仿宋_GBK" w:cs="宋体" w:hint="eastAsia"/>
          <w:sz w:val="28"/>
          <w:lang w:val="en-US" w:bidi="ar-SA"/>
        </w:rPr>
        <w:t>的交互功能分析，本项目能够与海关内部运维管理系统（如信息中心、数据中心运管平台）实现高效、稳定、安全的交互，确保工单数据的传输、查询、流转和处理流程顺畅。这不仅提升了服务效率和用户体验，还为后续的系统优化和扩展提</w:t>
      </w:r>
      <w:r>
        <w:rPr>
          <w:rFonts w:eastAsia="方正仿宋_GBK" w:cs="宋体" w:hint="eastAsia"/>
          <w:sz w:val="28"/>
          <w:lang w:bidi="ar-SA"/>
        </w:rPr>
        <w:t>供了坚实的基础。</w:t>
      </w:r>
    </w:p>
    <w:p>
      <w:pPr>
        <w:pStyle w:val="403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b/>
          <w:bCs/>
          <w:snapToGrid w:val="0"/>
          <w:sz w:val="28"/>
          <w:szCs w:val="28"/>
          <w:lang w:val="zh-CN" w:eastAsia="zh-CN" w:bidi="en-US"/>
        </w:rPr>
        <w:t>H4A</w:t>
      </w:r>
      <w:r>
        <w:rPr>
          <w:rFonts w:eastAsia="方正仿宋_GBK" w:cs="微软雅黑" w:hint="eastAsia"/>
          <w:b/>
          <w:bCs/>
          <w:snapToGrid w:val="0"/>
          <w:sz w:val="28"/>
          <w:szCs w:val="28"/>
          <w:lang w:val="zh-CN" w:eastAsia="zh-CN" w:bidi="en-US"/>
        </w:rPr>
        <w:t>：</w:t>
      </w:r>
      <w:r>
        <w:rPr>
          <w:rFonts w:eastAsia="方正仿宋_GBK" w:cs="微软雅黑" w:hint="eastAsia"/>
          <w:snapToGrid w:val="0"/>
          <w:sz w:val="28"/>
          <w:szCs w:val="28"/>
          <w:lang w:val="zh-CN" w:eastAsia="zh-CN" w:bidi="en-US"/>
        </w:rPr>
        <w:t>获取登录海关用户的组织结构数据，身份认证</w:t>
      </w:r>
      <w:r>
        <w:rPr>
          <w:rFonts w:eastAsia="方正仿宋_GBK" w:cs="微软雅黑"/>
          <w:snapToGrid w:val="0"/>
          <w:sz w:val="28"/>
          <w:szCs w:val="28"/>
          <w:lang w:val="zh-CN" w:eastAsia="zh-CN" w:bidi="en-US"/>
        </w:rPr>
        <w:t>。具体如下：</w:t>
      </w:r>
    </w:p>
    <w:p>
      <w:pPr>
        <w:pStyle w:val="40810"/>
        <w:pageBreakBefore w:val="0"/>
        <w:widowControl w:val="0"/>
        <w:numPr>
          <w:ilvl w:val="0"/>
          <w:numId w:val="115"/>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统一身份认证功能</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用户登录认证</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通过统一身份认证</w:t>
      </w:r>
      <w:r>
        <w:rPr>
          <w:rFonts w:ascii="Times New Roman" w:eastAsia="方正仿宋_GBK" w:hAnsi="Times New Roman" w:cs="宋体"/>
          <w:color w:val="auto"/>
          <w:sz w:val="28"/>
          <w:lang w:bidi="ar-SA"/>
        </w:rPr>
        <w:t>系统</w:t>
      </w:r>
      <w:r>
        <w:rPr>
          <w:rFonts w:ascii="Times New Roman" w:eastAsia="方正仿宋_GBK" w:hAnsi="Times New Roman" w:cs="宋体"/>
          <w:color w:val="auto"/>
          <w:spacing w:val="0"/>
          <w:sz w:val="28"/>
          <w:szCs w:val="21"/>
          <w:lang w:bidi="ar-SA"/>
        </w:rPr>
        <w:t>（如H4A）完成用户登录认证。</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支持用户名密码、短信验证码、动态令牌等多种认证方式。</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单点登录（SSO）</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实现单点登录功能，用户只需一次登录即可访问</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和H4A系统。</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通过SSO令牌（如JWT）实现身份信息的传递和验证。</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会话管理</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管理用户的</w:t>
      </w:r>
      <w:r>
        <w:rPr>
          <w:rFonts w:ascii="Times New Roman" w:eastAsia="方正仿宋_GBK" w:hAnsi="Times New Roman" w:cs="宋体"/>
          <w:color w:val="auto"/>
          <w:sz w:val="28"/>
          <w:lang w:bidi="ar-SA"/>
        </w:rPr>
        <w:t>登录会话，包括会话创建、维持和销毁。</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支持会话超时自动注销，</w:t>
      </w:r>
      <w:r>
        <w:rPr>
          <w:rFonts w:ascii="Times New Roman" w:eastAsia="方正仿宋_GBK" w:hAnsi="Times New Roman" w:cs="宋体"/>
          <w:color w:val="auto"/>
          <w:spacing w:val="0"/>
          <w:sz w:val="28"/>
          <w:szCs w:val="21"/>
          <w:lang w:bidi="ar-SA"/>
        </w:rPr>
        <w:t>确保用户安全。</w:t>
      </w:r>
    </w:p>
    <w:p>
      <w:pPr>
        <w:pStyle w:val="40810"/>
        <w:pageBreakBefore w:val="0"/>
        <w:widowControl w:val="0"/>
        <w:numPr>
          <w:ilvl w:val="0"/>
          <w:numId w:val="116"/>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权限管理与角色分配</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用户权限管理</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通过</w:t>
      </w:r>
      <w:r>
        <w:rPr>
          <w:rFonts w:ascii="Times New Roman" w:eastAsia="方正仿宋_GBK" w:hAnsi="Times New Roman" w:cs="宋体"/>
          <w:color w:val="auto"/>
          <w:sz w:val="28"/>
          <w:lang w:bidi="ar-SA"/>
        </w:rPr>
        <w:t>统一身份认证系统获取用户的权限信息（如菜单权限、功能权限、数据权限）。</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支持基于角色的权限管</w:t>
      </w:r>
      <w:r>
        <w:rPr>
          <w:rFonts w:ascii="Times New Roman" w:eastAsia="方正仿宋_GBK" w:hAnsi="Times New Roman" w:cs="宋体"/>
          <w:color w:val="auto"/>
          <w:spacing w:val="0"/>
          <w:sz w:val="28"/>
          <w:szCs w:val="21"/>
          <w:lang w:bidi="ar-SA"/>
        </w:rPr>
        <w:t>理（RBAC），确保用户只能访问其被授权的功能和数据。</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角色与组织结构关联</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统一</w:t>
      </w:r>
      <w:r>
        <w:rPr>
          <w:rFonts w:ascii="Times New Roman" w:eastAsia="方正仿宋_GBK" w:hAnsi="Times New Roman" w:cs="宋体"/>
          <w:color w:val="auto"/>
          <w:sz w:val="28"/>
          <w:lang w:bidi="ar-SA"/>
        </w:rPr>
        <w:t>身份认证系统中的角色与海关用户的组织结构相关联。</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能够</w:t>
      </w:r>
      <w:r>
        <w:rPr>
          <w:rFonts w:ascii="Times New Roman" w:eastAsia="方正仿宋_GBK" w:hAnsi="Times New Roman" w:cs="宋体"/>
          <w:color w:val="auto"/>
          <w:spacing w:val="0"/>
          <w:sz w:val="28"/>
          <w:szCs w:val="21"/>
          <w:lang w:bidi="ar-SA"/>
        </w:rPr>
        <w:t>根据用户的组织结构和角色分配相应的权限。</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动态权限调整</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支持动态调整用户的权限和角色，适应业务需求的变化。</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确保权</w:t>
      </w:r>
      <w:r>
        <w:rPr>
          <w:rFonts w:ascii="Times New Roman" w:eastAsia="方正仿宋_GBK" w:hAnsi="Times New Roman" w:cs="宋体"/>
          <w:color w:val="auto"/>
          <w:spacing w:val="0"/>
          <w:sz w:val="28"/>
          <w:szCs w:val="21"/>
          <w:lang w:bidi="ar-SA"/>
        </w:rPr>
        <w:t>限调整后，</w:t>
      </w: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能够实时生效。</w:t>
      </w:r>
    </w:p>
    <w:p>
      <w:pPr>
        <w:pStyle w:val="40810"/>
        <w:pageBreakBefore w:val="0"/>
        <w:widowControl w:val="0"/>
        <w:numPr>
          <w:ilvl w:val="0"/>
          <w:numId w:val="117"/>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用户信息与组织结构同步</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用户信息获取</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hint="eastAsia"/>
          <w:color w:val="auto"/>
          <w:spacing w:val="0"/>
          <w:sz w:val="28"/>
          <w:szCs w:val="21"/>
          <w:lang w:eastAsia="zh-CN" w:bidi="ar-SA"/>
        </w:rPr>
        <w:t>本</w:t>
      </w:r>
      <w:r>
        <w:rPr>
          <w:rFonts w:ascii="Times New Roman" w:eastAsia="方正仿宋_GBK" w:hAnsi="Times New Roman" w:cs="宋体" w:hint="eastAsia"/>
          <w:color w:val="auto"/>
          <w:sz w:val="28"/>
          <w:lang w:eastAsia="zh-CN" w:bidi="ar-SA"/>
        </w:rPr>
        <w:t>项目</w:t>
      </w:r>
      <w:r>
        <w:rPr>
          <w:rFonts w:ascii="Times New Roman" w:eastAsia="方正仿宋_GBK" w:hAnsi="Times New Roman" w:cs="宋体"/>
          <w:color w:val="auto"/>
          <w:sz w:val="28"/>
          <w:lang w:bidi="ar-SA"/>
        </w:rPr>
        <w:t>通过接口获取H4A系统中的用户信息（如用户名、姓名、部门、职位等）。</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支持按用户</w:t>
      </w:r>
      <w:r>
        <w:rPr>
          <w:rFonts w:ascii="Times New Roman" w:eastAsia="方正仿宋_GBK" w:hAnsi="Times New Roman" w:cs="宋体"/>
          <w:color w:val="auto"/>
          <w:spacing w:val="0"/>
          <w:sz w:val="28"/>
          <w:szCs w:val="21"/>
          <w:lang w:bidi="ar-SA"/>
        </w:rPr>
        <w:t>ID、部门ID等条件查询用户信息。</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组织结构数据同步</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实现组织结构数据的实时同步，确保</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中的组织结构与H4A系统一致。</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olor w:val="auto"/>
          <w:sz w:val="28"/>
        </w:rPr>
      </w:pPr>
      <w:r>
        <w:rPr>
          <w:rFonts w:ascii="Times New Roman" w:eastAsia="方正仿宋_GBK" w:hAnsi="Times New Roman" w:cs="宋体"/>
          <w:color w:val="auto"/>
          <w:sz w:val="28"/>
          <w:lang w:bidi="ar-SA"/>
        </w:rPr>
        <w:t>支持组织结构的增删</w:t>
      </w:r>
      <w:r>
        <w:rPr>
          <w:rFonts w:ascii="Times New Roman" w:eastAsia="方正仿宋_GBK" w:hAnsi="Times New Roman" w:cs="宋体"/>
          <w:color w:val="auto"/>
          <w:spacing w:val="0"/>
          <w:sz w:val="28"/>
          <w:szCs w:val="21"/>
          <w:lang w:bidi="ar-SA"/>
        </w:rPr>
        <w:t>改查操作。</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用户角色与归属同步</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同步</w:t>
      </w:r>
      <w:r>
        <w:rPr>
          <w:rFonts w:ascii="Times New Roman" w:eastAsia="方正仿宋_GBK" w:hAnsi="Times New Roman" w:cs="宋体"/>
          <w:color w:val="auto"/>
          <w:sz w:val="28"/>
          <w:lang w:bidi="ar-SA"/>
        </w:rPr>
        <w:t>用户的组织归属和角色信息，确保</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能够正确识别用户的权限和职责。</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支持用户跨组</w:t>
      </w:r>
      <w:r>
        <w:rPr>
          <w:rFonts w:ascii="Times New Roman" w:eastAsia="方正仿宋_GBK" w:hAnsi="Times New Roman" w:cs="宋体"/>
          <w:color w:val="auto"/>
          <w:spacing w:val="0"/>
          <w:sz w:val="28"/>
          <w:szCs w:val="21"/>
          <w:lang w:bidi="ar-SA"/>
        </w:rPr>
        <w:t>织调动时的权限自动调整。</w:t>
      </w:r>
    </w:p>
    <w:p>
      <w:pPr>
        <w:pStyle w:val="40810"/>
        <w:pageBreakBefore w:val="0"/>
        <w:widowControl w:val="0"/>
        <w:numPr>
          <w:ilvl w:val="0"/>
          <w:numId w:val="118"/>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数据接口与适配器</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标准化接口开发</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开发统</w:t>
      </w:r>
      <w:r>
        <w:rPr>
          <w:rFonts w:ascii="Times New Roman" w:eastAsia="方正仿宋_GBK" w:hAnsi="Times New Roman" w:cs="宋体"/>
          <w:color w:val="auto"/>
          <w:sz w:val="28"/>
          <w:lang w:bidi="ar-SA"/>
        </w:rPr>
        <w:t>一的API接口，实现</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与H4A系统之间的数据交互。</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支持RESTful A</w:t>
      </w:r>
      <w:r>
        <w:rPr>
          <w:rFonts w:ascii="Times New Roman" w:eastAsia="方正仿宋_GBK" w:hAnsi="Times New Roman" w:cs="宋体"/>
          <w:color w:val="auto"/>
          <w:spacing w:val="0"/>
          <w:sz w:val="28"/>
          <w:szCs w:val="21"/>
          <w:lang w:bidi="ar-SA"/>
        </w:rPr>
        <w:t>PI、SOAP等接口协议，确保兼容性。</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数据格式与协议</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确定</w:t>
      </w:r>
      <w:r>
        <w:rPr>
          <w:rFonts w:ascii="Times New Roman" w:eastAsia="方正仿宋_GBK" w:hAnsi="Times New Roman" w:cs="宋体"/>
          <w:color w:val="auto"/>
          <w:sz w:val="28"/>
          <w:lang w:bidi="ar-SA"/>
        </w:rPr>
        <w:t>数据传输格式（如JSON、XML）和通信协议（如HTTPS）。</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确保数据传输</w:t>
      </w:r>
      <w:r>
        <w:rPr>
          <w:rFonts w:ascii="Times New Roman" w:eastAsia="方正仿宋_GBK" w:hAnsi="Times New Roman" w:cs="宋体"/>
          <w:color w:val="auto"/>
          <w:spacing w:val="0"/>
          <w:sz w:val="28"/>
          <w:szCs w:val="21"/>
          <w:lang w:bidi="ar-SA"/>
        </w:rPr>
        <w:t>的高效性和安全性。</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适配器开发</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开</w:t>
      </w:r>
      <w:r>
        <w:rPr>
          <w:rFonts w:ascii="Times New Roman" w:eastAsia="方正仿宋_GBK" w:hAnsi="Times New Roman" w:cs="宋体"/>
          <w:color w:val="auto"/>
          <w:sz w:val="28"/>
          <w:lang w:bidi="ar-SA"/>
        </w:rPr>
        <w:t>发适配器或转换层，处理不同系统之间的数据格式和接口差异。</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确保</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pacing w:val="0"/>
          <w:sz w:val="28"/>
          <w:szCs w:val="21"/>
          <w:lang w:bidi="ar-SA"/>
        </w:rPr>
        <w:t>能够与H4A系统无缝对接。</w:t>
      </w:r>
    </w:p>
    <w:p>
      <w:pPr>
        <w:pStyle w:val="40810"/>
        <w:pageBreakBefore w:val="0"/>
        <w:widowControl w:val="0"/>
        <w:numPr>
          <w:ilvl w:val="0"/>
          <w:numId w:val="119"/>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数据安全与隐私保护</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数据加密传输</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采用SSL/TLS等加密技术，确保用户信息和权限数据在传输过程中的安全性。</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对敏感数据</w:t>
      </w:r>
      <w:r>
        <w:rPr>
          <w:rFonts w:ascii="Times New Roman" w:eastAsia="方正仿宋_GBK" w:hAnsi="Times New Roman" w:cs="宋体"/>
          <w:color w:val="auto"/>
          <w:spacing w:val="0"/>
          <w:sz w:val="28"/>
          <w:szCs w:val="21"/>
          <w:lang w:bidi="ar-SA"/>
        </w:rPr>
        <w:t>（如密码、权限信息）进行加密存储。</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权限控制与审计</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实</w:t>
      </w:r>
      <w:r>
        <w:rPr>
          <w:rFonts w:ascii="Times New Roman" w:eastAsia="方正仿宋_GBK" w:hAnsi="Times New Roman" w:cs="宋体"/>
          <w:color w:val="auto"/>
          <w:sz w:val="28"/>
          <w:lang w:bidi="ar-SA"/>
        </w:rPr>
        <w:t>施严格的权限控制，确保只有授权用户能够访问敏感数据。</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记录用户操</w:t>
      </w:r>
      <w:r>
        <w:rPr>
          <w:rFonts w:ascii="Times New Roman" w:eastAsia="方正仿宋_GBK" w:hAnsi="Times New Roman" w:cs="宋体"/>
          <w:color w:val="auto"/>
          <w:spacing w:val="0"/>
          <w:sz w:val="28"/>
          <w:szCs w:val="21"/>
          <w:lang w:bidi="ar-SA"/>
        </w:rPr>
        <w:t>作日志，便于审计和追溯。</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隐私保护合规</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遵守相关法律法规（如《个人信息保护法》），保护用户隐私。</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提供用户</w:t>
      </w:r>
      <w:r>
        <w:rPr>
          <w:rFonts w:ascii="Times New Roman" w:eastAsia="方正仿宋_GBK" w:hAnsi="Times New Roman" w:cs="宋体"/>
          <w:color w:val="auto"/>
          <w:spacing w:val="0"/>
          <w:sz w:val="28"/>
          <w:szCs w:val="21"/>
          <w:lang w:bidi="ar-SA"/>
        </w:rPr>
        <w:t>隐私政策说明，确保用户知情权和选择权。</w:t>
      </w:r>
    </w:p>
    <w:p>
      <w:pPr>
        <w:pStyle w:val="40810"/>
        <w:pageBreakBefore w:val="0"/>
        <w:widowControl w:val="0"/>
        <w:numPr>
          <w:ilvl w:val="0"/>
          <w:numId w:val="120"/>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监控与维护</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系统运行监控</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部</w:t>
      </w:r>
      <w:r>
        <w:rPr>
          <w:rFonts w:ascii="Times New Roman" w:eastAsia="方正仿宋_GBK" w:hAnsi="Times New Roman" w:cs="宋体"/>
          <w:color w:val="auto"/>
          <w:sz w:val="28"/>
          <w:lang w:bidi="ar-SA"/>
        </w:rPr>
        <w:t>署实时监控工具，监测统一身份认证系统的运行状态和接口响应时间。</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提供告警功</w:t>
      </w:r>
      <w:r>
        <w:rPr>
          <w:rFonts w:ascii="Times New Roman" w:eastAsia="方正仿宋_GBK" w:hAnsi="Times New Roman" w:cs="宋体"/>
          <w:color w:val="auto"/>
          <w:spacing w:val="0"/>
          <w:sz w:val="28"/>
          <w:szCs w:val="21"/>
          <w:lang w:bidi="ar-SA"/>
        </w:rPr>
        <w:t>能，及时发现和处理系统异常。</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日志管理</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记录</w:t>
      </w:r>
      <w:r>
        <w:rPr>
          <w:rFonts w:ascii="Times New Roman" w:eastAsia="方正仿宋_GBK" w:hAnsi="Times New Roman" w:cs="宋体"/>
          <w:color w:val="auto"/>
          <w:sz w:val="28"/>
          <w:lang w:bidi="ar-SA"/>
        </w:rPr>
        <w:t>用户</w:t>
      </w:r>
      <w:r>
        <w:rPr>
          <w:rFonts w:ascii="Times New Roman" w:eastAsia="方正仿宋_GBK" w:hAnsi="Times New Roman" w:cs="宋体"/>
          <w:color w:val="auto"/>
          <w:spacing w:val="0"/>
          <w:sz w:val="28"/>
          <w:szCs w:val="21"/>
          <w:lang w:bidi="ar-SA"/>
        </w:rPr>
        <w:t>登录、权限变更、数据同步等操作日志，便于故障排查和分析。</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提供日志查询和统计功能，支持系统优化和改进。</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维护与更新</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制定定期维护计划，确保系统长期稳定运行。</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提供在线更</w:t>
      </w:r>
      <w:r>
        <w:rPr>
          <w:rFonts w:ascii="Times New Roman" w:eastAsia="方正仿宋_GBK" w:hAnsi="Times New Roman" w:cs="宋体"/>
          <w:color w:val="auto"/>
          <w:spacing w:val="0"/>
          <w:sz w:val="28"/>
          <w:szCs w:val="21"/>
          <w:lang w:bidi="ar-SA"/>
        </w:rPr>
        <w:t>新功能，方便系统升级和功能扩展。</w:t>
      </w:r>
    </w:p>
    <w:p>
      <w:pPr>
        <w:pStyle w:val="40810"/>
        <w:pageBreakBefore w:val="0"/>
        <w:widowControl w:val="0"/>
        <w:numPr>
          <w:ilvl w:val="0"/>
          <w:numId w:val="121"/>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用户体验优化</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登录页面设计</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设计</w:t>
      </w:r>
      <w:r>
        <w:rPr>
          <w:rFonts w:ascii="Times New Roman" w:eastAsia="方正仿宋_GBK" w:hAnsi="Times New Roman" w:cs="宋体"/>
          <w:color w:val="auto"/>
          <w:sz w:val="28"/>
          <w:lang w:bidi="ar-SA"/>
        </w:rPr>
        <w:t>简洁友好的登录页面，提升用户体验。</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提供忘记密码</w:t>
      </w:r>
      <w:r>
        <w:rPr>
          <w:rFonts w:ascii="Times New Roman" w:eastAsia="方正仿宋_GBK" w:hAnsi="Times New Roman" w:cs="宋体"/>
          <w:color w:val="auto"/>
          <w:spacing w:val="0"/>
          <w:sz w:val="28"/>
          <w:szCs w:val="21"/>
          <w:lang w:bidi="ar-SA"/>
        </w:rPr>
        <w:t>、账号锁定等功能，确保用户能够顺利登录。</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权限提示与引导</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在</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中提供权限相关的提示信息（如“您无权访问此功能”）。</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引导用户联</w:t>
      </w:r>
      <w:r>
        <w:rPr>
          <w:rFonts w:ascii="Times New Roman" w:eastAsia="方正仿宋_GBK" w:hAnsi="Times New Roman" w:cs="宋体"/>
          <w:color w:val="auto"/>
          <w:spacing w:val="0"/>
          <w:sz w:val="28"/>
          <w:szCs w:val="21"/>
          <w:lang w:bidi="ar-SA"/>
        </w:rPr>
        <w:t>系管理员申请权限，提升用户满意度。</w:t>
      </w:r>
    </w:p>
    <w:p>
      <w:pPr>
        <w:pStyle w:val="588"/>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操作反馈机制</w:t>
      </w:r>
    </w:p>
    <w:p>
      <w:pPr>
        <w:pStyle w:val="408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提供实时的操作反馈（如登录成功、权限不足等），确保用户清楚当前操作状态。</w:t>
      </w:r>
    </w:p>
    <w:p>
      <w:pPr>
        <w:pStyle w:val="40810"/>
        <w:pageBreakBefore w:val="0"/>
        <w:widowControl w:val="0"/>
        <w:kinsoku/>
        <w:wordWrap/>
        <w:overflowPunct/>
        <w:topLinePunct w:val="0"/>
        <w:autoSpaceDE/>
        <w:autoSpaceDN/>
        <w:adjustRightInd/>
        <w:snapToGrid/>
        <w:spacing w:line="400" w:lineRule="exact"/>
        <w:ind w:left="420" w:firstLine="420"/>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支持多</w:t>
      </w:r>
      <w:r>
        <w:rPr>
          <w:rFonts w:ascii="Times New Roman" w:eastAsia="方正仿宋_GBK" w:hAnsi="Times New Roman" w:cs="宋体"/>
          <w:color w:val="auto"/>
          <w:spacing w:val="0"/>
          <w:sz w:val="28"/>
          <w:szCs w:val="21"/>
          <w:lang w:bidi="ar-SA"/>
        </w:rPr>
        <w:t>语言切换，满足不同用户的需求。</w:t>
      </w:r>
    </w:p>
    <w:p>
      <w:pPr>
        <w:pStyle w:val="40810"/>
        <w:pageBreakBefore w:val="0"/>
        <w:widowControl w:val="0"/>
        <w:kinsoku/>
        <w:wordWrap/>
        <w:overflowPunct/>
        <w:topLinePunct w:val="0"/>
        <w:autoSpaceDE/>
        <w:autoSpaceDN/>
        <w:adjustRightInd/>
        <w:snapToGrid/>
        <w:spacing w:line="400" w:lineRule="exact"/>
        <w:ind w:firstLine="560" w:firstLineChars="200"/>
        <w:rPr>
          <w:rFonts w:ascii="Times New Roman" w:eastAsia="方正仿宋_GBK" w:hAnsi="Times New Roman" w:cs="宋体"/>
          <w:sz w:val="28"/>
        </w:rPr>
      </w:pPr>
      <w:r>
        <w:rPr>
          <w:rFonts w:ascii="Times New Roman" w:eastAsia="方正仿宋_GBK" w:hAnsi="Times New Roman" w:cs="宋体"/>
          <w:color w:val="auto"/>
          <w:spacing w:val="0"/>
          <w:sz w:val="28"/>
          <w:szCs w:val="21"/>
          <w:lang w:bidi="ar-SA"/>
        </w:rPr>
        <w:t>通过以上</w:t>
      </w:r>
      <w:r>
        <w:rPr>
          <w:rFonts w:ascii="Times New Roman" w:eastAsia="方正仿宋_GBK" w:hAnsi="Times New Roman" w:cs="宋体"/>
          <w:color w:val="auto"/>
          <w:sz w:val="28"/>
          <w:lang w:bidi="ar-SA"/>
        </w:rPr>
        <w:t>细</w:t>
      </w:r>
      <w:r>
        <w:rPr>
          <w:rFonts w:ascii="Times New Roman" w:eastAsia="方正仿宋_GBK" w:hAnsi="Times New Roman" w:cs="宋体"/>
          <w:color w:val="auto"/>
          <w:sz w:val="28"/>
          <w:lang w:val="en-US" w:eastAsia="zh-CN" w:bidi="ar-SA"/>
        </w:rPr>
        <w:t>化</w:t>
      </w:r>
      <w:r>
        <w:rPr>
          <w:rFonts w:ascii="Times New Roman" w:eastAsia="方正仿宋_GBK" w:hAnsi="Times New Roman" w:cs="宋体"/>
          <w:color w:val="auto"/>
          <w:kern w:val="2"/>
          <w:sz w:val="28"/>
          <w:szCs w:val="24"/>
          <w:lang w:val="en-US" w:eastAsia="zh-CN" w:bidi="ar-SA"/>
        </w:rPr>
        <w:t>的交互功能分析，</w:t>
      </w:r>
      <w:r>
        <w:rPr>
          <w:rFonts w:ascii="Times New Roman" w:eastAsia="方正仿宋_GBK" w:hAnsi="Times New Roman" w:cs="宋体" w:hint="eastAsia"/>
          <w:color w:val="auto"/>
          <w:kern w:val="2"/>
          <w:sz w:val="28"/>
          <w:szCs w:val="24"/>
          <w:lang w:val="en-US" w:eastAsia="zh-CN" w:bidi="ar-SA"/>
        </w:rPr>
        <w:t>本项目</w:t>
      </w:r>
      <w:r>
        <w:rPr>
          <w:rFonts w:ascii="Times New Roman" w:eastAsia="方正仿宋_GBK" w:hAnsi="Times New Roman" w:cs="宋体"/>
          <w:color w:val="auto"/>
          <w:kern w:val="2"/>
          <w:sz w:val="28"/>
          <w:szCs w:val="24"/>
          <w:lang w:val="en-US" w:eastAsia="zh-CN" w:bidi="ar-SA"/>
        </w:rPr>
        <w:t>能够与统一身份认证系统（如H4A系统）实现高效、安全的交互，确保用户身份认证、权限管理、数据同步等功能的顺利实施。这不仅提升了系统的安全性和用户体验，</w:t>
      </w:r>
      <w:r>
        <w:rPr>
          <w:rFonts w:ascii="Times New Roman" w:eastAsia="方正仿宋_GBK" w:hAnsi="Times New Roman" w:cs="宋体"/>
          <w:color w:val="auto"/>
          <w:spacing w:val="0"/>
          <w:sz w:val="28"/>
          <w:szCs w:val="21"/>
          <w:lang w:bidi="ar-SA"/>
        </w:rPr>
        <w:t>还为后续的系统优化和扩展提供了坚实的基础。</w:t>
      </w:r>
    </w:p>
    <w:p>
      <w:pPr>
        <w:pStyle w:val="403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hint="eastAsia"/>
          <w:b/>
          <w:bCs/>
          <w:snapToGrid w:val="0"/>
          <w:sz w:val="28"/>
          <w:szCs w:val="28"/>
          <w:lang w:val="zh-CN" w:eastAsia="zh-CN" w:bidi="en-US"/>
        </w:rPr>
        <w:t>海关知识库平台：</w:t>
      </w:r>
      <w:r>
        <w:rPr>
          <w:rFonts w:eastAsia="方正仿宋_GBK" w:cs="微软雅黑" w:hint="eastAsia"/>
          <w:snapToGrid w:val="0"/>
          <w:sz w:val="28"/>
          <w:szCs w:val="28"/>
          <w:lang w:val="zh-CN" w:eastAsia="zh-CN" w:bidi="en-US"/>
        </w:rPr>
        <w:t>接收智慧海关知识库海关政策法规（包括政策解读、作业指引、政策热点）等数据推送。</w:t>
      </w:r>
      <w:r>
        <w:rPr>
          <w:rFonts w:eastAsia="方正仿宋_GBK" w:cs="微软雅黑"/>
          <w:snapToGrid w:val="0"/>
          <w:sz w:val="28"/>
          <w:szCs w:val="28"/>
          <w:lang w:val="zh-CN" w:eastAsia="zh-CN" w:bidi="en-US"/>
        </w:rPr>
        <w:t>具体如下：</w:t>
      </w:r>
    </w:p>
    <w:p>
      <w:pPr>
        <w:pStyle w:val="40910"/>
        <w:pageBreakBefore w:val="0"/>
        <w:widowControl w:val="0"/>
        <w:numPr>
          <w:ilvl w:val="0"/>
          <w:numId w:val="122"/>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数据</w:t>
      </w:r>
      <w:r>
        <w:rPr>
          <w:rFonts w:ascii="Times New Roman" w:eastAsia="方正仿宋_GBK" w:hAnsi="Times New Roman" w:hint="eastAsia"/>
          <w:b/>
          <w:bCs/>
          <w:color w:val="auto"/>
          <w:sz w:val="28"/>
          <w:lang w:val="en-US" w:eastAsia="zh-CN"/>
        </w:rPr>
        <w:t>获取</w:t>
      </w:r>
      <w:r>
        <w:rPr>
          <w:rFonts w:ascii="Times New Roman" w:eastAsia="方正仿宋_GBK" w:hAnsi="Times New Roman"/>
          <w:b/>
          <w:bCs/>
          <w:color w:val="auto"/>
          <w:sz w:val="28"/>
        </w:rPr>
        <w:t>与同步</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实时数据</w:t>
      </w:r>
      <w:r>
        <w:rPr>
          <w:rStyle w:val="Strong"/>
          <w:rFonts w:ascii="Times New Roman" w:eastAsia="方正仿宋_GBK" w:hAnsi="Times New Roman" w:cs="宋体" w:hint="eastAsia"/>
          <w:b w:val="0"/>
          <w:color w:val="auto"/>
          <w:spacing w:val="0"/>
          <w:sz w:val="28"/>
          <w:szCs w:val="21"/>
          <w:lang w:val="en-US" w:eastAsia="zh-CN" w:bidi="ar-SA"/>
        </w:rPr>
        <w:t>获取</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hint="eastAsia"/>
          <w:color w:val="auto"/>
          <w:sz w:val="28"/>
          <w:lang w:val="en-US" w:eastAsia="zh-CN" w:bidi="ar-SA"/>
        </w:rPr>
        <w:t>本项目需与</w:t>
      </w:r>
      <w:r>
        <w:rPr>
          <w:rFonts w:ascii="Times New Roman" w:eastAsia="方正仿宋_GBK" w:hAnsi="Times New Roman" w:cs="宋体"/>
          <w:color w:val="auto"/>
          <w:sz w:val="28"/>
          <w:lang w:bidi="ar-SA"/>
        </w:rPr>
        <w:t>智慧海关知识库</w:t>
      </w:r>
      <w:r>
        <w:rPr>
          <w:rFonts w:ascii="Times New Roman" w:eastAsia="方正仿宋_GBK" w:hAnsi="Times New Roman" w:cs="宋体" w:hint="eastAsia"/>
          <w:color w:val="auto"/>
          <w:sz w:val="28"/>
          <w:lang w:val="en-US" w:eastAsia="zh-CN" w:bidi="ar-SA"/>
        </w:rPr>
        <w:t>对接，并</w:t>
      </w:r>
      <w:r>
        <w:rPr>
          <w:rFonts w:ascii="Times New Roman" w:eastAsia="方正仿宋_GBK" w:hAnsi="Times New Roman" w:cs="宋体"/>
          <w:color w:val="auto"/>
          <w:sz w:val="28"/>
          <w:lang w:bidi="ar-SA"/>
        </w:rPr>
        <w:t>实时</w:t>
      </w:r>
      <w:r>
        <w:rPr>
          <w:rFonts w:ascii="Times New Roman" w:eastAsia="方正仿宋_GBK" w:hAnsi="Times New Roman" w:cs="宋体" w:hint="eastAsia"/>
          <w:color w:val="auto"/>
          <w:sz w:val="28"/>
          <w:lang w:val="en-US" w:eastAsia="zh-CN" w:bidi="ar-SA"/>
        </w:rPr>
        <w:t>获取</w:t>
      </w:r>
      <w:r>
        <w:rPr>
          <w:rFonts w:ascii="Times New Roman" w:eastAsia="方正仿宋_GBK" w:hAnsi="Times New Roman" w:cs="宋体"/>
          <w:color w:val="auto"/>
          <w:sz w:val="28"/>
          <w:lang w:bidi="ar-SA"/>
        </w:rPr>
        <w:t>最新海关政策法规数据（如政策解读、作业指引、政策热点）到</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支持数据的</w:t>
      </w:r>
      <w:r>
        <w:rPr>
          <w:rFonts w:ascii="Times New Roman" w:eastAsia="方正仿宋_GBK" w:hAnsi="Times New Roman" w:cs="宋体"/>
          <w:color w:val="auto"/>
          <w:spacing w:val="0"/>
          <w:sz w:val="28"/>
          <w:szCs w:val="21"/>
          <w:lang w:bidi="ar-SA"/>
        </w:rPr>
        <w:t>即时更新，确保</w:t>
      </w: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始终获取到最新的政策信息。</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批量数据同步</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定期（如每日、每周）进行批量数据同步，确保</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中的知识库与智慧海关知识库保持一致。</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支持增量</w:t>
      </w:r>
      <w:r>
        <w:rPr>
          <w:rFonts w:ascii="Times New Roman" w:eastAsia="方正仿宋_GBK" w:hAnsi="Times New Roman" w:cs="宋体"/>
          <w:color w:val="auto"/>
          <w:spacing w:val="0"/>
          <w:sz w:val="28"/>
          <w:szCs w:val="21"/>
          <w:lang w:bidi="ar-SA"/>
        </w:rPr>
        <w:t>同步，减少数据传输量，提升效率。</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w:t>
      </w:r>
      <w:r>
        <w:rPr>
          <w:rStyle w:val="Strong"/>
          <w:rFonts w:ascii="Times New Roman" w:eastAsia="方正仿宋_GBK" w:hAnsi="Times New Roman" w:cs="宋体" w:hint="eastAsia"/>
          <w:b w:val="0"/>
          <w:color w:val="auto"/>
          <w:spacing w:val="0"/>
          <w:sz w:val="28"/>
          <w:szCs w:val="21"/>
          <w:lang w:val="en-US" w:eastAsia="zh-CN" w:bidi="ar-SA"/>
        </w:rPr>
        <w:t>获取</w:t>
      </w:r>
      <w:r>
        <w:rPr>
          <w:rStyle w:val="Strong"/>
          <w:rFonts w:ascii="Times New Roman" w:eastAsia="方正仿宋_GBK" w:hAnsi="Times New Roman" w:cs="宋体"/>
          <w:b w:val="0"/>
          <w:color w:val="auto"/>
          <w:spacing w:val="0"/>
          <w:sz w:val="28"/>
          <w:szCs w:val="21"/>
          <w:lang w:bidi="ar-SA"/>
        </w:rPr>
        <w:t>策略</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配置数据</w:t>
      </w:r>
      <w:r>
        <w:rPr>
          <w:rFonts w:ascii="Times New Roman" w:eastAsia="方正仿宋_GBK" w:hAnsi="Times New Roman" w:cs="宋体" w:hint="eastAsia"/>
          <w:color w:val="auto"/>
          <w:sz w:val="28"/>
          <w:lang w:val="en-US" w:eastAsia="zh-CN" w:bidi="ar-SA"/>
        </w:rPr>
        <w:t>获取</w:t>
      </w:r>
      <w:r>
        <w:rPr>
          <w:rFonts w:ascii="Times New Roman" w:eastAsia="方正仿宋_GBK" w:hAnsi="Times New Roman" w:cs="宋体"/>
          <w:color w:val="auto"/>
          <w:sz w:val="28"/>
          <w:lang w:bidi="ar-SA"/>
        </w:rPr>
        <w:t>策略，支持按条件（如数据类型、更新时间）选择性</w:t>
      </w:r>
      <w:r>
        <w:rPr>
          <w:rFonts w:ascii="Times New Roman" w:eastAsia="方正仿宋_GBK" w:hAnsi="Times New Roman" w:cs="宋体" w:hint="eastAsia"/>
          <w:color w:val="auto"/>
          <w:sz w:val="28"/>
          <w:lang w:val="en-US" w:eastAsia="zh-CN" w:bidi="ar-SA"/>
        </w:rPr>
        <w:t>获取</w:t>
      </w:r>
      <w:r>
        <w:rPr>
          <w:rFonts w:ascii="Times New Roman" w:eastAsia="方正仿宋_GBK" w:hAnsi="Times New Roman" w:cs="宋体"/>
          <w:color w:val="auto"/>
          <w:sz w:val="28"/>
          <w:lang w:bidi="ar-SA"/>
        </w:rPr>
        <w:t>。</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支持手动</w:t>
      </w:r>
      <w:r>
        <w:rPr>
          <w:rFonts w:ascii="Times New Roman" w:eastAsia="方正仿宋_GBK" w:hAnsi="Times New Roman" w:cs="宋体"/>
          <w:color w:val="auto"/>
          <w:spacing w:val="0"/>
          <w:sz w:val="28"/>
          <w:szCs w:val="21"/>
          <w:lang w:bidi="ar-SA"/>
        </w:rPr>
        <w:t>触发或自动触发</w:t>
      </w:r>
      <w:r>
        <w:rPr>
          <w:rFonts w:ascii="Times New Roman" w:eastAsia="方正仿宋_GBK" w:hAnsi="Times New Roman" w:cs="宋体" w:hint="eastAsia"/>
          <w:color w:val="auto"/>
          <w:spacing w:val="0"/>
          <w:sz w:val="28"/>
          <w:szCs w:val="21"/>
          <w:lang w:val="en-US" w:eastAsia="zh-CN" w:bidi="ar-SA"/>
        </w:rPr>
        <w:t>获取</w:t>
      </w:r>
      <w:r>
        <w:rPr>
          <w:rFonts w:ascii="Times New Roman" w:eastAsia="方正仿宋_GBK" w:hAnsi="Times New Roman" w:cs="宋体"/>
          <w:color w:val="auto"/>
          <w:spacing w:val="0"/>
          <w:sz w:val="28"/>
          <w:szCs w:val="21"/>
          <w:lang w:bidi="ar-SA"/>
        </w:rPr>
        <w:t>功能。</w:t>
      </w:r>
    </w:p>
    <w:p>
      <w:pPr>
        <w:pStyle w:val="40910"/>
        <w:pageBreakBefore w:val="0"/>
        <w:widowControl w:val="0"/>
        <w:numPr>
          <w:ilvl w:val="0"/>
          <w:numId w:val="123"/>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数据分类与管理</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多级分类管理</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智慧海关知识库对政策法规数据进行多级分类（如政策类型、适用范围、发布部门等），便于</w:t>
      </w: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快速检索和管理。</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能</w:t>
      </w:r>
      <w:r>
        <w:rPr>
          <w:rFonts w:ascii="Times New Roman" w:eastAsia="方正仿宋_GBK" w:hAnsi="Times New Roman" w:cs="宋体"/>
          <w:color w:val="auto"/>
          <w:spacing w:val="0"/>
          <w:sz w:val="28"/>
          <w:szCs w:val="21"/>
          <w:lang w:bidi="ar-SA"/>
        </w:rPr>
        <w:t>够根据分类信息对数据进行组织和展示。</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标签化管理</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z w:val="28"/>
          <w:lang w:bidi="ar-SA"/>
        </w:rPr>
        <w:t>为政策法规数据添加标签（如关键词、热点标签），提高数据的可搜索性和关联性。</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支持标签</w:t>
      </w:r>
      <w:r>
        <w:rPr>
          <w:rFonts w:ascii="Times New Roman" w:eastAsia="方正仿宋_GBK" w:hAnsi="Times New Roman" w:cs="宋体"/>
          <w:color w:val="auto"/>
          <w:spacing w:val="0"/>
          <w:sz w:val="28"/>
          <w:szCs w:val="21"/>
          <w:lang w:bidi="ar-SA"/>
        </w:rPr>
        <w:t>的动态添加和修改。</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数据校验与清洗</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在</w:t>
      </w:r>
      <w:r>
        <w:rPr>
          <w:rFonts w:ascii="Times New Roman" w:eastAsia="方正仿宋_GBK" w:hAnsi="Times New Roman" w:cs="宋体"/>
          <w:color w:val="auto"/>
          <w:sz w:val="28"/>
          <w:lang w:bidi="ar-SA"/>
        </w:rPr>
        <w:t>数据</w:t>
      </w:r>
      <w:r>
        <w:rPr>
          <w:rFonts w:ascii="Times New Roman" w:eastAsia="方正仿宋_GBK" w:hAnsi="Times New Roman" w:cs="宋体" w:hint="eastAsia"/>
          <w:color w:val="auto"/>
          <w:sz w:val="28"/>
          <w:lang w:val="en-US" w:eastAsia="zh-CN" w:bidi="ar-SA"/>
        </w:rPr>
        <w:t>获取</w:t>
      </w:r>
      <w:r>
        <w:rPr>
          <w:rFonts w:ascii="Times New Roman" w:eastAsia="方正仿宋_GBK" w:hAnsi="Times New Roman" w:cs="宋体"/>
          <w:color w:val="auto"/>
          <w:sz w:val="28"/>
          <w:lang w:bidi="ar-SA"/>
        </w:rPr>
        <w:t>过程中，对数据进行校验和清洗，确保数据的准确性和完整性。</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支持数据</w:t>
      </w:r>
      <w:r>
        <w:rPr>
          <w:rFonts w:ascii="Times New Roman" w:eastAsia="方正仿宋_GBK" w:hAnsi="Times New Roman" w:cs="宋体"/>
          <w:color w:val="auto"/>
          <w:spacing w:val="0"/>
          <w:sz w:val="28"/>
          <w:szCs w:val="21"/>
          <w:lang w:bidi="ar-SA"/>
        </w:rPr>
        <w:t>格式标准化，确保两系统间数据格式一致。</w:t>
      </w:r>
    </w:p>
    <w:p>
      <w:pPr>
        <w:pStyle w:val="40910"/>
        <w:pageBreakBefore w:val="0"/>
        <w:widowControl w:val="0"/>
        <w:numPr>
          <w:ilvl w:val="0"/>
          <w:numId w:val="124"/>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数据存储与检索</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高效数据存储</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z w:val="28"/>
          <w:lang w:bidi="ar-SA"/>
        </w:rPr>
        <w:t>对</w:t>
      </w:r>
      <w:r>
        <w:rPr>
          <w:rFonts w:ascii="Times New Roman" w:eastAsia="方正仿宋_GBK" w:hAnsi="Times New Roman" w:cs="宋体" w:hint="eastAsia"/>
          <w:color w:val="auto"/>
          <w:sz w:val="28"/>
          <w:lang w:val="en-US" w:eastAsia="zh-CN" w:bidi="ar-SA"/>
        </w:rPr>
        <w:t>获取</w:t>
      </w:r>
      <w:r>
        <w:rPr>
          <w:rFonts w:ascii="Times New Roman" w:eastAsia="方正仿宋_GBK" w:hAnsi="Times New Roman" w:cs="宋体"/>
          <w:color w:val="auto"/>
          <w:sz w:val="28"/>
          <w:lang w:bidi="ar-SA"/>
        </w:rPr>
        <w:t>的政策法规数据进行高效存储，支持大规模数据的快速访问。</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采用分布式存储</w:t>
      </w:r>
      <w:r>
        <w:rPr>
          <w:rFonts w:ascii="Times New Roman" w:eastAsia="方正仿宋_GBK" w:hAnsi="Times New Roman" w:cs="宋体"/>
          <w:color w:val="auto"/>
          <w:spacing w:val="0"/>
          <w:sz w:val="28"/>
          <w:szCs w:val="21"/>
          <w:lang w:bidi="ar-SA"/>
        </w:rPr>
        <w:t>或数据库优化技术，提升数据存储和查询效率。</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全文检索功能</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hint="eastAsia"/>
          <w:color w:val="auto"/>
          <w:spacing w:val="0"/>
          <w:sz w:val="28"/>
          <w:szCs w:val="21"/>
          <w:lang w:eastAsia="zh-CN" w:bidi="ar-SA"/>
        </w:rPr>
        <w:t>本项</w:t>
      </w:r>
      <w:r>
        <w:rPr>
          <w:rFonts w:ascii="Times New Roman" w:eastAsia="方正仿宋_GBK" w:hAnsi="Times New Roman" w:cs="宋体" w:hint="eastAsia"/>
          <w:color w:val="auto"/>
          <w:sz w:val="28"/>
          <w:lang w:eastAsia="zh-CN" w:bidi="ar-SA"/>
        </w:rPr>
        <w:t>目</w:t>
      </w:r>
      <w:r>
        <w:rPr>
          <w:rFonts w:ascii="Times New Roman" w:eastAsia="方正仿宋_GBK" w:hAnsi="Times New Roman" w:cs="宋体"/>
          <w:color w:val="auto"/>
          <w:sz w:val="28"/>
          <w:lang w:bidi="ar-SA"/>
        </w:rPr>
        <w:t>提供全文检索功能，支持用户通过关键词快速查找相关政策法规。</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支持模糊搜索</w:t>
      </w:r>
      <w:r>
        <w:rPr>
          <w:rFonts w:ascii="Times New Roman" w:eastAsia="方正仿宋_GBK" w:hAnsi="Times New Roman" w:cs="宋体"/>
          <w:color w:val="auto"/>
          <w:spacing w:val="0"/>
          <w:sz w:val="28"/>
          <w:szCs w:val="21"/>
          <w:lang w:bidi="ar-SA"/>
        </w:rPr>
        <w:t>、精确搜索、多条件组合搜索等高级检索功能。</w:t>
      </w:r>
    </w:p>
    <w:p>
      <w:pPr>
        <w:pStyle w:val="40910"/>
        <w:pageBreakBefore w:val="0"/>
        <w:widowControl w:val="0"/>
        <w:numPr>
          <w:ilvl w:val="0"/>
          <w:numId w:val="125"/>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权限管理与安全</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数据访问权限控制</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根据用户角色和权限，控制对政策法规数据的访问范围。</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支持动态</w:t>
      </w:r>
      <w:r>
        <w:rPr>
          <w:rFonts w:ascii="Times New Roman" w:eastAsia="方正仿宋_GBK" w:hAnsi="Times New Roman" w:cs="宋体"/>
          <w:color w:val="auto"/>
          <w:spacing w:val="0"/>
          <w:sz w:val="28"/>
          <w:szCs w:val="21"/>
          <w:lang w:bidi="ar-SA"/>
        </w:rPr>
        <w:t>权限调整，确保只有授权用户能够访问敏感数据。</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数据加密与安全传输</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在</w:t>
      </w:r>
      <w:r>
        <w:rPr>
          <w:rFonts w:ascii="Times New Roman" w:eastAsia="方正仿宋_GBK" w:hAnsi="Times New Roman" w:cs="宋体"/>
          <w:color w:val="auto"/>
          <w:sz w:val="28"/>
          <w:lang w:bidi="ar-SA"/>
        </w:rPr>
        <w:t>数据推送过程中，采用加密技术（如SSL/TLS）确保数据传输的安全性。</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对敏感数据</w:t>
      </w:r>
      <w:r>
        <w:rPr>
          <w:rFonts w:ascii="Times New Roman" w:eastAsia="方正仿宋_GBK" w:hAnsi="Times New Roman" w:cs="宋体"/>
          <w:color w:val="auto"/>
          <w:spacing w:val="0"/>
          <w:sz w:val="28"/>
          <w:szCs w:val="21"/>
          <w:lang w:bidi="ar-SA"/>
        </w:rPr>
        <w:t>（如政策解读中的敏感内容）进行加密存储，防止数据泄露。</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审计与日志记录</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记录用户</w:t>
      </w:r>
      <w:r>
        <w:rPr>
          <w:rFonts w:ascii="Times New Roman" w:eastAsia="方正仿宋_GBK" w:hAnsi="Times New Roman" w:cs="宋体"/>
          <w:color w:val="auto"/>
          <w:sz w:val="28"/>
          <w:lang w:bidi="ar-SA"/>
        </w:rPr>
        <w:t>对政策法规数据的访问和操作日志，便于审计和追溯。</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提供日志分析</w:t>
      </w:r>
      <w:r>
        <w:rPr>
          <w:rFonts w:ascii="Times New Roman" w:eastAsia="方正仿宋_GBK" w:hAnsi="Times New Roman" w:cs="宋体"/>
          <w:color w:val="auto"/>
          <w:spacing w:val="0"/>
          <w:sz w:val="28"/>
          <w:szCs w:val="21"/>
          <w:lang w:bidi="ar-SA"/>
        </w:rPr>
        <w:t>功能，发现异常访问行为。</w:t>
      </w:r>
    </w:p>
    <w:p>
      <w:pPr>
        <w:pStyle w:val="40910"/>
        <w:pageBreakBefore w:val="0"/>
        <w:widowControl w:val="0"/>
        <w:numPr>
          <w:ilvl w:val="0"/>
          <w:numId w:val="126"/>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数据的应用场景</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智能搜索与问答</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利用</w:t>
      </w:r>
      <w:r>
        <w:rPr>
          <w:rFonts w:ascii="Times New Roman" w:eastAsia="方正仿宋_GBK" w:hAnsi="Times New Roman" w:cs="宋体"/>
          <w:color w:val="auto"/>
          <w:sz w:val="28"/>
          <w:lang w:bidi="ar-SA"/>
        </w:rPr>
        <w:t>智慧海关知识库的政策法规数据，提供智能搜索和问答功能。</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支持自然语言处</w:t>
      </w:r>
      <w:r>
        <w:rPr>
          <w:rFonts w:ascii="Times New Roman" w:eastAsia="方正仿宋_GBK" w:hAnsi="Times New Roman" w:cs="宋体"/>
          <w:color w:val="auto"/>
          <w:spacing w:val="0"/>
          <w:sz w:val="28"/>
          <w:szCs w:val="21"/>
          <w:lang w:bidi="ar-SA"/>
        </w:rPr>
        <w:t>理（NLP）技术，提升搜索和问答的准确性。</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知识库展示与学习</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hint="eastAsia"/>
          <w:color w:val="auto"/>
          <w:spacing w:val="0"/>
          <w:sz w:val="28"/>
          <w:szCs w:val="21"/>
          <w:lang w:eastAsia="zh-CN" w:bidi="ar-SA"/>
        </w:rPr>
        <w:t>本项</w:t>
      </w:r>
      <w:r>
        <w:rPr>
          <w:rFonts w:ascii="Times New Roman" w:eastAsia="方正仿宋_GBK" w:hAnsi="Times New Roman" w:cs="宋体" w:hint="eastAsia"/>
          <w:color w:val="auto"/>
          <w:sz w:val="28"/>
          <w:lang w:eastAsia="zh-CN" w:bidi="ar-SA"/>
        </w:rPr>
        <w:t>目</w:t>
      </w:r>
      <w:r>
        <w:rPr>
          <w:rFonts w:ascii="Times New Roman" w:eastAsia="方正仿宋_GBK" w:hAnsi="Times New Roman" w:cs="宋体"/>
          <w:color w:val="auto"/>
          <w:sz w:val="28"/>
          <w:lang w:bidi="ar-SA"/>
        </w:rPr>
        <w:t>将政策法规数据整理后，以知识库的形式展示给用户，便于学习和查阅。</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提供政策解</w:t>
      </w:r>
      <w:r>
        <w:rPr>
          <w:rFonts w:ascii="Times New Roman" w:eastAsia="方正仿宋_GBK" w:hAnsi="Times New Roman" w:cs="宋体"/>
          <w:color w:val="auto"/>
          <w:spacing w:val="0"/>
          <w:sz w:val="28"/>
          <w:szCs w:val="21"/>
          <w:lang w:bidi="ar-SA"/>
        </w:rPr>
        <w:t>读的可视化展示，提升用户的理解体验。</w:t>
      </w:r>
    </w:p>
    <w:p>
      <w:pPr>
        <w:pStyle w:val="5912"/>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数据统计与分析</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hint="eastAsia"/>
          <w:color w:val="auto"/>
          <w:sz w:val="28"/>
          <w:lang w:eastAsia="zh-CN" w:bidi="ar-SA"/>
        </w:rPr>
        <w:t>本项目</w:t>
      </w:r>
      <w:r>
        <w:rPr>
          <w:rFonts w:ascii="Times New Roman" w:eastAsia="方正仿宋_GBK" w:hAnsi="Times New Roman" w:cs="宋体"/>
          <w:color w:val="auto"/>
          <w:sz w:val="28"/>
          <w:lang w:bidi="ar-SA"/>
        </w:rPr>
        <w:t>对政策法规数据的访问量、热门程度等进行统计和分析。</w:t>
      </w:r>
    </w:p>
    <w:p>
      <w:pPr>
        <w:pStyle w:val="409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z w:val="28"/>
          <w:lang w:bidi="ar-SA"/>
        </w:rPr>
        <w:t>生成数据</w:t>
      </w:r>
      <w:r>
        <w:rPr>
          <w:rFonts w:ascii="Times New Roman" w:eastAsia="方正仿宋_GBK" w:hAnsi="Times New Roman" w:cs="宋体"/>
          <w:color w:val="auto"/>
          <w:spacing w:val="0"/>
          <w:sz w:val="28"/>
          <w:szCs w:val="21"/>
          <w:lang w:bidi="ar-SA"/>
        </w:rPr>
        <w:t>报告，为业务决策提供支持。</w:t>
      </w:r>
    </w:p>
    <w:p>
      <w:pPr>
        <w:pStyle w:val="40410"/>
        <w:tabs>
          <w:tab w:val="left" w:pos="1200"/>
        </w:tabs>
        <w:spacing w:line="400" w:lineRule="exact"/>
        <w:ind w:left="0" w:firstLine="560" w:firstLineChars="200"/>
        <w:textAlignment w:val="center"/>
        <w:rPr>
          <w:rFonts w:ascii="Times New Roman" w:eastAsia="方正仿宋_GBK" w:hAnsi="Times New Roman"/>
          <w:sz w:val="28"/>
        </w:rPr>
      </w:pPr>
      <w:r>
        <w:rPr>
          <w:rFonts w:ascii="Times New Roman" w:eastAsia="方正仿宋_GBK" w:hAnsi="Times New Roman" w:cs="宋体"/>
          <w:color w:val="auto"/>
          <w:spacing w:val="0"/>
          <w:sz w:val="28"/>
          <w:szCs w:val="21"/>
          <w:lang w:bidi="ar-SA"/>
        </w:rPr>
        <w:t>通过以上细化的交互功能分析，</w:t>
      </w: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能够与智慧海关知识库实现高效、安全的数据交互，确保政策法规数据的实时推送、分类管理、存储检索和安全应用。这不仅提升了</w:t>
      </w: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的智能化水平，还为用户提供了一个便捷、准确的知识服务体验。</w:t>
      </w:r>
    </w:p>
    <w:p>
      <w:pPr>
        <w:pStyle w:val="403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hint="eastAsia"/>
          <w:b/>
          <w:bCs/>
          <w:snapToGrid w:val="0"/>
          <w:sz w:val="28"/>
          <w:szCs w:val="28"/>
          <w:lang w:val="zh-CN" w:eastAsia="zh-CN" w:bidi="en-US"/>
        </w:rPr>
        <w:t>短信平台：</w:t>
      </w:r>
      <w:r>
        <w:rPr>
          <w:rFonts w:eastAsia="方正仿宋_GBK" w:cs="微软雅黑" w:hint="eastAsia"/>
          <w:snapToGrid w:val="0"/>
          <w:sz w:val="28"/>
          <w:szCs w:val="28"/>
          <w:lang w:val="zh-CN" w:eastAsia="zh-CN" w:bidi="en-US"/>
        </w:rPr>
        <w:t>发送短信通知（包含满意度评价、工单处理人通知、服务反馈等）。</w:t>
      </w:r>
      <w:r>
        <w:rPr>
          <w:rFonts w:eastAsia="方正仿宋_GBK" w:cs="微软雅黑"/>
          <w:snapToGrid w:val="0"/>
          <w:sz w:val="28"/>
          <w:szCs w:val="28"/>
          <w:lang w:val="zh-CN" w:eastAsia="zh-CN" w:bidi="en-US"/>
        </w:rPr>
        <w:t>具体如下：</w:t>
      </w:r>
    </w:p>
    <w:p>
      <w:pPr>
        <w:pStyle w:val="41010"/>
        <w:pageBreakBefore w:val="0"/>
        <w:widowControl w:val="0"/>
        <w:numPr>
          <w:ilvl w:val="0"/>
          <w:numId w:val="127"/>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短信内容生成与管理</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模板化短信内容</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定义短信</w:t>
      </w:r>
      <w:r>
        <w:rPr>
          <w:rFonts w:ascii="Times New Roman" w:eastAsia="方正仿宋_GBK" w:hAnsi="Times New Roman" w:cs="宋体"/>
          <w:color w:val="auto"/>
          <w:sz w:val="28"/>
          <w:lang w:bidi="ar-SA"/>
        </w:rPr>
        <w:t>模板</w:t>
      </w:r>
      <w:r>
        <w:rPr>
          <w:rFonts w:ascii="Times New Roman" w:eastAsia="方正仿宋_GBK" w:hAnsi="Times New Roman" w:cs="宋体"/>
          <w:color w:val="auto"/>
          <w:spacing w:val="0"/>
          <w:sz w:val="28"/>
          <w:szCs w:val="21"/>
          <w:lang w:bidi="ar-SA"/>
        </w:rPr>
        <w:t>，支持动态插入变量（如用户姓名、工单编号、评价链接等）。</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支持多语言短信模板，适应不同用户群体的需求。</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内容审核与审批</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hint="eastAsia"/>
          <w:color w:val="auto"/>
          <w:sz w:val="28"/>
        </w:rPr>
      </w:pPr>
      <w:r>
        <w:rPr>
          <w:rFonts w:ascii="Times New Roman" w:eastAsia="方正仿宋_GBK" w:hAnsi="Times New Roman" w:cs="宋体"/>
          <w:color w:val="auto"/>
          <w:spacing w:val="0"/>
          <w:sz w:val="28"/>
          <w:szCs w:val="21"/>
          <w:lang w:bidi="ar-SA"/>
        </w:rPr>
        <w:t>对短</w:t>
      </w:r>
      <w:r>
        <w:rPr>
          <w:rFonts w:ascii="Times New Roman" w:eastAsia="方正仿宋_GBK" w:hAnsi="Times New Roman" w:cs="宋体"/>
          <w:color w:val="auto"/>
          <w:sz w:val="28"/>
          <w:lang w:bidi="ar-SA"/>
        </w:rPr>
        <w:t>信内容进行审核，确保信息准确无误。</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z w:val="28"/>
          <w:lang w:bidi="ar-SA"/>
        </w:rPr>
        <w:t>支持审批流程</w:t>
      </w:r>
      <w:r>
        <w:rPr>
          <w:rFonts w:ascii="Times New Roman" w:eastAsia="方正仿宋_GBK" w:hAnsi="Times New Roman" w:cs="宋体"/>
          <w:color w:val="auto"/>
          <w:spacing w:val="0"/>
          <w:sz w:val="28"/>
          <w:szCs w:val="21"/>
          <w:lang w:bidi="ar-SA"/>
        </w:rPr>
        <w:t>，确保正式发送前的内容符合规范。</w:t>
      </w:r>
    </w:p>
    <w:p>
      <w:pPr>
        <w:pStyle w:val="41010"/>
        <w:pageBreakBefore w:val="0"/>
        <w:widowControl w:val="0"/>
        <w:numPr>
          <w:ilvl w:val="0"/>
          <w:numId w:val="128"/>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短信发送接口与集成</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标准化接口开发</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开发统一的API接口，实现</w:t>
      </w: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与短信平台之间的数据交互。</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支持RESTful API、SOAP等接口协议，确保兼容性。</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数据格式与协议</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确定数据传输格式（如JSON、XML）和通信协议（如HTTPS）。</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确保数据传输的高效性和安全性。</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适配器开发</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开发适配器或转换层，处理不同系统之间的数据格式和接口差异。</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确保</w:t>
      </w: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能够与短信平台无缝对接。</w:t>
      </w:r>
    </w:p>
    <w:p>
      <w:pPr>
        <w:pStyle w:val="41010"/>
        <w:pageBreakBefore w:val="0"/>
        <w:widowControl w:val="0"/>
        <w:numPr>
          <w:ilvl w:val="0"/>
          <w:numId w:val="129"/>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短信状态反馈与处理</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实时状态更新</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短信平台实时反馈短信的发送状态（如已发送、已接收、失败等）。</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支持通过回调接口或消息队列实现状态更新。</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错误处理与重试机制</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在发送失败时，系统自动记录错误信息，并根据配置进行重试。</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支持手动干预，允许管理员手动重试或取消发送。</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日志记录与分析</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记录每次短信发送的详细日志，包括发送时间、接收号码、内容、状态等。</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提供日志分析功能，帮助识别和解决发送失败的问题。</w:t>
      </w:r>
    </w:p>
    <w:p>
      <w:pPr>
        <w:pStyle w:val="41010"/>
        <w:pageBreakBefore w:val="0"/>
        <w:widowControl w:val="0"/>
        <w:numPr>
          <w:ilvl w:val="0"/>
          <w:numId w:val="130"/>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用户隐私与数据安全</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olor w:val="auto"/>
          <w:sz w:val="28"/>
        </w:rPr>
      </w:pPr>
      <w:r>
        <w:rPr>
          <w:rStyle w:val="Strong"/>
          <w:rFonts w:ascii="Times New Roman" w:eastAsia="方正仿宋_GBK" w:hAnsi="Times New Roman" w:cs="宋体"/>
          <w:b w:val="0"/>
          <w:color w:val="auto"/>
          <w:spacing w:val="0"/>
          <w:sz w:val="28"/>
          <w:szCs w:val="21"/>
          <w:lang w:bidi="ar-SA"/>
        </w:rPr>
        <w:t>数据加密传输</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采用SSL/TLS等加密技术，确保短信内容在传输过程中的安全性。</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对敏感数据（如用户手机号码、评价链接）进行加密存储。</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权限控制与访问限制</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实施严格的权限管理，确保只有授权人员能够访问短信内容和发送记录。</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支持基于角色的访问控制（RBAC），确保数据安全。</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隐私保护合规</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遵守相关法律法规（如《个人信息保护法》），保护用户隐私。</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提供用户隐私政策说明，确保用户知情权和选择权。</w:t>
      </w:r>
    </w:p>
    <w:p>
      <w:pPr>
        <w:pStyle w:val="41010"/>
        <w:pageBreakBefore w:val="0"/>
        <w:widowControl w:val="0"/>
        <w:numPr>
          <w:ilvl w:val="0"/>
          <w:numId w:val="131"/>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用户界面与操作管理</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短信发送管理界面</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提供直观的用户界面，方便管理员查看和管理短信发送情况。</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支持批量发送、单条发送、模板选择等功能。</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发送记录与统计分析</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展示短信发送的详细记录，包括发送时间、接收号码、状态等。</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提供统计分析功能，生成发送量、成功率、失败原因等报表。</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接收号码管理</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管理接收号码列表，支持导入、导出、批量添加等功能。</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提供号码有效性验证，确保短信能够成功发送。</w:t>
      </w:r>
    </w:p>
    <w:p>
      <w:pPr>
        <w:pStyle w:val="41010"/>
        <w:pageBreakBefore w:val="0"/>
        <w:widowControl w:val="0"/>
        <w:numPr>
          <w:ilvl w:val="0"/>
          <w:numId w:val="132"/>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监控与维护</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实时监控与告警</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部署实时监控工具，监测短信发送系统的运行状态和性能指标。</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设置告警阈值，及时发现和处理系统异常。</w:t>
      </w:r>
    </w:p>
    <w:p>
      <w:pPr>
        <w:pStyle w:val="60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日志管理与分析</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rPr>
      </w:pPr>
      <w:r>
        <w:rPr>
          <w:rFonts w:ascii="Times New Roman" w:eastAsia="方正仿宋_GBK" w:hAnsi="Times New Roman" w:cs="宋体"/>
          <w:color w:val="auto"/>
          <w:spacing w:val="0"/>
          <w:sz w:val="28"/>
          <w:szCs w:val="21"/>
          <w:lang w:bidi="ar-SA"/>
        </w:rPr>
        <w:t>集中管理日志文件，便于故障排查和分析。</w:t>
      </w:r>
    </w:p>
    <w:p>
      <w:pPr>
        <w:pStyle w:val="410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olor w:val="auto"/>
          <w:sz w:val="28"/>
        </w:rPr>
      </w:pPr>
      <w:r>
        <w:rPr>
          <w:rFonts w:ascii="Times New Roman" w:eastAsia="方正仿宋_GBK" w:hAnsi="Times New Roman" w:cs="宋体"/>
          <w:color w:val="auto"/>
          <w:spacing w:val="0"/>
          <w:sz w:val="28"/>
          <w:szCs w:val="21"/>
          <w:lang w:bidi="ar-SA"/>
        </w:rPr>
        <w:t>提供日志分析工具，帮助识别系统瓶颈和优化方向。</w:t>
      </w:r>
    </w:p>
    <w:p>
      <w:pPr>
        <w:pStyle w:val="40410"/>
        <w:tabs>
          <w:tab w:val="left" w:pos="1200"/>
        </w:tabs>
        <w:spacing w:line="400" w:lineRule="exact"/>
        <w:ind w:left="0" w:firstLine="560" w:firstLineChars="200"/>
        <w:textAlignment w:val="center"/>
      </w:pPr>
      <w:r>
        <w:rPr>
          <w:rFonts w:ascii="Times New Roman" w:eastAsia="方正仿宋_GBK" w:hAnsi="Times New Roman" w:cs="宋体"/>
          <w:color w:val="auto"/>
          <w:spacing w:val="0"/>
          <w:sz w:val="28"/>
          <w:szCs w:val="21"/>
          <w:lang w:bidi="ar-SA"/>
        </w:rPr>
        <w:t>通过以上细化的交互功能分析，</w:t>
      </w: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能够与短信平台实现高效、稳定、安全的交互，确保短信通知的及时发送、状态反馈和错误处理。这不仅提升了系统的智能化水平和用户体验，还为后续的系统优化和扩展提供了坚实的基础。</w:t>
      </w:r>
    </w:p>
    <w:p>
      <w:pPr>
        <w:pStyle w:val="4031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hint="eastAsia"/>
          <w:b/>
          <w:bCs/>
          <w:snapToGrid w:val="0"/>
          <w:sz w:val="28"/>
          <w:szCs w:val="28"/>
          <w:lang w:val="zh-CN" w:eastAsia="zh-CN" w:bidi="en-US"/>
        </w:rPr>
        <w:t>单一窗口智能客服系统：</w:t>
      </w:r>
      <w:r>
        <w:rPr>
          <w:rFonts w:eastAsia="方正仿宋_GBK" w:cs="微软雅黑" w:hint="eastAsia"/>
          <w:snapToGrid w:val="0"/>
          <w:sz w:val="28"/>
          <w:szCs w:val="28"/>
          <w:lang w:val="zh-CN" w:eastAsia="zh-CN" w:bidi="en-US"/>
        </w:rPr>
        <w:t>单一窗口网站和单一窗口</w:t>
      </w:r>
      <w:r>
        <w:rPr>
          <w:rFonts w:eastAsia="方正仿宋_GBK" w:cs="微软雅黑"/>
          <w:snapToGrid w:val="0"/>
          <w:sz w:val="28"/>
          <w:szCs w:val="28"/>
          <w:lang w:val="zh-CN" w:eastAsia="zh-CN" w:bidi="en-US"/>
        </w:rPr>
        <w:t>APP</w:t>
      </w:r>
      <w:r>
        <w:rPr>
          <w:rFonts w:eastAsia="方正仿宋_GBK" w:cs="微软雅黑" w:hint="eastAsia"/>
          <w:snapToGrid w:val="0"/>
          <w:sz w:val="28"/>
          <w:szCs w:val="28"/>
          <w:lang w:val="zh-CN" w:eastAsia="zh-CN" w:bidi="en-US"/>
        </w:rPr>
        <w:t>，页面集成多渠道自助服务平台的在线客服系统，机器人自动答复或转人工受理。</w:t>
      </w:r>
      <w:r>
        <w:rPr>
          <w:rFonts w:eastAsia="方正仿宋_GBK" w:cs="微软雅黑"/>
          <w:snapToGrid w:val="0"/>
          <w:sz w:val="28"/>
          <w:szCs w:val="28"/>
          <w:lang w:val="zh-CN" w:eastAsia="zh-CN" w:bidi="en-US"/>
        </w:rPr>
        <w:t>具体如下：</w:t>
      </w:r>
    </w:p>
    <w:p>
      <w:pPr>
        <w:pStyle w:val="41110"/>
        <w:pageBreakBefore w:val="0"/>
        <w:widowControl w:val="0"/>
        <w:numPr>
          <w:ilvl w:val="0"/>
          <w:numId w:val="133"/>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前端集成与界面适配</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多渠道页面嵌入</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将智能客服系统嵌入单一窗口网站和APP的页面中，确保客服入口在不同渠道（如网页、移动端）的统一性和一致性。</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支持自适应布局，确保客服界面在不同设备（如手机、平板、电脑）上均能良好显示。</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界面风格一致性</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确保智能客服系统的界面设计与单一窗口网站和APP的整体风格一致，提升用户体验。</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支持主题定制，允许根据单一窗口品牌需求调整界面颜色、字体等元素。</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多语言支持</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提供多语言界面，支持用户根据需求切换语言（如中文、英文等）。</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确保机器人和人工客服能够以多种语言提供服务，满足国际化需求。</w:t>
      </w:r>
    </w:p>
    <w:p>
      <w:pPr>
        <w:pStyle w:val="41110"/>
        <w:pageBreakBefore w:val="0"/>
        <w:widowControl w:val="0"/>
        <w:numPr>
          <w:ilvl w:val="0"/>
          <w:numId w:val="134"/>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多渠道客服服务</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网页聊天功能</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在单一窗口网站中集成网页聊天功能，用户可以通过浏览器直接与智能客服或人工客服进行文字交流。</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支持表情符号、文件上传等功能，提升交流的便捷性和丰富性。</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APP内聊天功能</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在单一窗口APP中嵌入聊天窗口，用户可以通过APP与智能客服或人工客服进行实时沟通。</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支持离线消息，确保用户在无网络情况下仍能发送和接收消息。</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语音客服</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提供语音客服功能，用户可以选择通过电话与人工客服进行沟通。</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支持语音转文字功能，便于客服记录和后续查询。</w:t>
      </w:r>
    </w:p>
    <w:p>
      <w:pPr>
        <w:pStyle w:val="41110"/>
        <w:pageBreakBefore w:val="0"/>
        <w:widowControl w:val="0"/>
        <w:numPr>
          <w:ilvl w:val="0"/>
          <w:numId w:val="135"/>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机器人自动回复功能</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自然语言处理（NLP）</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采用先进的NLP技术，使机器人能够准确理解用户的问题，并提供精准的回答。</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支持意图识别和实体提取，提升机器人对话的智能化水平。</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多语言支持</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机器人支持多种语言，能够为不同语言的用户提供服务。</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提供语言包管理功能，方便新增或修改支持的语言。</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知识库管理</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构建和维护智能客服的知识库，涵盖常见问题、政策法规、操作指引等内容。</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支持知识库的动态更新，确保机器人能够提供最新、最准确的信息。</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学习与优化</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机器人具备学习能力，能够通过历史对话数据不断优化回答的准确性和相关性。</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支持人工审核和干预，确保机器人回复的正确性和专业性。</w:t>
      </w:r>
    </w:p>
    <w:p>
      <w:pPr>
        <w:pStyle w:val="41110"/>
        <w:pageBreakBefore w:val="0"/>
        <w:widowControl w:val="0"/>
        <w:numPr>
          <w:ilvl w:val="0"/>
          <w:numId w:val="136"/>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人工客服转接与管理</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智能转接机制</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当机器人无法解答用户问题时，自动将用户转接到人工客服，确保服务的连续性和高效性。</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支持用户主动选择转接人工客服的选项，提升用户自主权。</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排队与分配管理</w:t>
      </w:r>
    </w:p>
    <w:p>
      <w:pPr>
        <w:pStyle w:val="41110"/>
        <w:spacing w:line="400" w:lineRule="exact"/>
        <w:ind w:left="420" w:firstLine="420"/>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实现智能排队系统，根据人工客服的忙碌状态合理分配用户请求。</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olor w:val="auto"/>
          <w:sz w:val="28"/>
        </w:rPr>
      </w:pPr>
      <w:r>
        <w:rPr>
          <w:rFonts w:ascii="Times New Roman" w:eastAsia="方正仿宋_GBK" w:hAnsi="Times New Roman" w:cs="宋体"/>
          <w:color w:val="auto"/>
          <w:spacing w:val="0"/>
          <w:sz w:val="28"/>
          <w:szCs w:val="21"/>
          <w:lang w:bidi="ar-SA"/>
        </w:rPr>
        <w:t>支持优先级设置，确保紧急问题能够优先得到处理。</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客服绩效管理</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记录人工客服的接线数量、处理时间、用户满意度等绩效指标。</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提供绩效分析报告，帮助优化人工客服的资源配置和服务质量。</w:t>
      </w:r>
    </w:p>
    <w:p>
      <w:pPr>
        <w:pStyle w:val="41110"/>
        <w:pageBreakBefore w:val="0"/>
        <w:widowControl w:val="0"/>
        <w:numPr>
          <w:ilvl w:val="0"/>
          <w:numId w:val="137"/>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数据同步与共享</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用户信息同步</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实现用户信息（如用户ID、联系方式、历史咨询记录等）在单一窗口系统与智能客服系统之间的同步。</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确保用户在不同渠道（如网站、APP）之间的信息一致性。</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聊天记录存储与查询</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存储用户的聊天记录，支持按时间、用户、关键词等方式进行查询。</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提供聊天记录的导出功能，便于后续分析和存档。</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知识库更新与共享</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实现知识库的动态更新，确保智能客服和人工客服能够使用最新的信息。</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支持知识库的版本控制，便于追溯和管理。</w:t>
      </w:r>
    </w:p>
    <w:p>
      <w:pPr>
        <w:pStyle w:val="41110"/>
        <w:pageBreakBefore w:val="0"/>
        <w:widowControl w:val="0"/>
        <w:numPr>
          <w:ilvl w:val="0"/>
          <w:numId w:val="138"/>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系统安全与隐私保护</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数据加密传输</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采用SSL/TLS等加密技术，确保用户数据在传输过程中的安全性。</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对敏感信息（如用户身份信息、聊天内容）进行加密存储，防止数据泄露。</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权限管理</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实施严格的权限控制，确保只有授权人员能够访问用户数据和系统功能。</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提供审计日志，记录用户和管理员的操作，便于追溯和监管。</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隐私保护合规</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遵守相关法律法规（如《个人信息保护法》），保护用户隐私。</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提供隐私政策说明，确保用户了解数据使用和保护措施。</w:t>
      </w:r>
    </w:p>
    <w:p>
      <w:pPr>
        <w:pStyle w:val="41110"/>
        <w:pageBreakBefore w:val="0"/>
        <w:widowControl w:val="0"/>
        <w:numPr>
          <w:ilvl w:val="0"/>
          <w:numId w:val="139"/>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系统性能与扩展性</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高并发处理能力</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采用负载均衡和分布式架构，确保系统能够处理高并发的客服请求。</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支持水平扩展，提升系统的可扩展性和稳定性。</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系统监控与维护</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部署实时监控工具，监测系统运行状态、用户请求量、响应时间等关键指标。</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提供告警功能，及时发现和处理系统异常。</w:t>
      </w:r>
    </w:p>
    <w:p>
      <w:pPr>
        <w:pStyle w:val="41110"/>
        <w:pageBreakBefore w:val="0"/>
        <w:widowControl w:val="0"/>
        <w:numPr>
          <w:ilvl w:val="0"/>
          <w:numId w:val="140"/>
        </w:numPr>
        <w:kinsoku/>
        <w:wordWrap/>
        <w:overflowPunct/>
        <w:topLinePunct w:val="0"/>
        <w:autoSpaceDE/>
        <w:autoSpaceDN/>
        <w:bidi w:val="0"/>
        <w:adjustRightInd/>
        <w:snapToGrid/>
        <w:spacing w:line="400" w:lineRule="exact"/>
        <w:textAlignment w:val="auto"/>
        <w:rPr>
          <w:rFonts w:ascii="Times New Roman" w:eastAsia="方正仿宋_GBK" w:hAnsi="Times New Roman"/>
          <w:b/>
          <w:bCs/>
          <w:color w:val="auto"/>
          <w:sz w:val="28"/>
        </w:rPr>
      </w:pPr>
      <w:r>
        <w:rPr>
          <w:rFonts w:ascii="Times New Roman" w:eastAsia="方正仿宋_GBK" w:hAnsi="Times New Roman"/>
          <w:b/>
          <w:bCs/>
          <w:color w:val="auto"/>
          <w:sz w:val="28"/>
        </w:rPr>
        <w:t>用户体验优化</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智能推荐与个性化服务</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根据用户的历史咨询记录和行为数据，智能推荐相关问题和解决方案。</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提供个性化服务，如根据用户偏好调整回复内容和方式。</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满意度调查与反馈</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在每次服务结束后，向用户推送满意度调查，收集用户反馈。</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根据反馈结果优化机器人和人工客服的服务质量。</w:t>
      </w:r>
    </w:p>
    <w:p>
      <w:pPr>
        <w:pStyle w:val="611"/>
        <w:keepNext w:val="0"/>
        <w:keepLines w:val="0"/>
        <w:pageBreakBefore w:val="0"/>
        <w:widowControl/>
        <w:numPr>
          <w:ilvl w:val="0"/>
          <w:numId w:val="93"/>
        </w:numPr>
        <w:suppressLineNumbers w:val="0"/>
        <w:kinsoku/>
        <w:wordWrap/>
        <w:overflowPunct/>
        <w:topLinePunct w:val="0"/>
        <w:autoSpaceDE/>
        <w:autoSpaceDN/>
        <w:bidi w:val="0"/>
        <w:adjustRightInd/>
        <w:snapToGrid/>
        <w:spacing w:before="0" w:beforeAutospacing="0" w:after="0" w:afterAutospacing="0" w:line="400" w:lineRule="exact"/>
        <w:ind w:left="420" w:right="0" w:firstLine="0"/>
        <w:jc w:val="left"/>
        <w:textAlignment w:val="auto"/>
        <w:rPr>
          <w:rFonts w:ascii="Times New Roman" w:eastAsia="方正仿宋_GBK" w:hAnsi="Times New Roman" w:cs="宋体"/>
          <w:color w:val="auto"/>
          <w:sz w:val="28"/>
        </w:rPr>
      </w:pPr>
      <w:r>
        <w:rPr>
          <w:rStyle w:val="Strong"/>
          <w:rFonts w:ascii="Times New Roman" w:eastAsia="方正仿宋_GBK" w:hAnsi="Times New Roman" w:cs="宋体"/>
          <w:b w:val="0"/>
          <w:color w:val="auto"/>
          <w:spacing w:val="0"/>
          <w:sz w:val="28"/>
          <w:szCs w:val="21"/>
          <w:lang w:bidi="ar-SA"/>
        </w:rPr>
        <w:t>多渠道协同服务</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pacing w:val="0"/>
          <w:sz w:val="28"/>
          <w:szCs w:val="21"/>
        </w:rPr>
      </w:pPr>
      <w:r>
        <w:rPr>
          <w:rFonts w:ascii="Times New Roman" w:eastAsia="方正仿宋_GBK" w:hAnsi="Times New Roman" w:cs="宋体"/>
          <w:color w:val="auto"/>
          <w:spacing w:val="0"/>
          <w:sz w:val="28"/>
          <w:szCs w:val="21"/>
          <w:lang w:bidi="ar-SA"/>
        </w:rPr>
        <w:t>实现多渠道之间的协同服务，确保用户在不同渠道之间的切换无缝衔接。</w:t>
      </w:r>
    </w:p>
    <w:p>
      <w:pPr>
        <w:pStyle w:val="41110"/>
        <w:pageBreakBefore w:val="0"/>
        <w:widowControl w:val="0"/>
        <w:kinsoku/>
        <w:wordWrap/>
        <w:overflowPunct/>
        <w:topLinePunct w:val="0"/>
        <w:autoSpaceDE/>
        <w:autoSpaceDN/>
        <w:bidi w:val="0"/>
        <w:adjustRightInd/>
        <w:snapToGrid/>
        <w:spacing w:line="400" w:lineRule="exact"/>
        <w:ind w:left="420" w:firstLine="420"/>
        <w:textAlignment w:val="auto"/>
        <w:rPr>
          <w:rFonts w:ascii="Times New Roman" w:eastAsia="方正仿宋_GBK" w:hAnsi="Times New Roman" w:cs="宋体"/>
          <w:color w:val="auto"/>
          <w:sz w:val="28"/>
        </w:rPr>
      </w:pPr>
      <w:r>
        <w:rPr>
          <w:rFonts w:ascii="Times New Roman" w:eastAsia="方正仿宋_GBK" w:hAnsi="Times New Roman" w:cs="宋体"/>
          <w:color w:val="auto"/>
          <w:spacing w:val="0"/>
          <w:sz w:val="28"/>
          <w:szCs w:val="21"/>
          <w:lang w:bidi="ar-SA"/>
        </w:rPr>
        <w:t>支持用户在网页和APP之间切换，继续之前的对话。</w:t>
      </w:r>
    </w:p>
    <w:p>
      <w:pPr>
        <w:pStyle w:val="40410"/>
        <w:tabs>
          <w:tab w:val="left" w:pos="1200"/>
        </w:tabs>
        <w:spacing w:line="400" w:lineRule="exact"/>
        <w:ind w:left="0" w:firstLine="560" w:firstLineChars="200"/>
        <w:textAlignment w:val="center"/>
        <w:rPr>
          <w:rFonts w:ascii="Times New Roman" w:eastAsia="方正仿宋_GBK" w:hAnsi="Times New Roman"/>
          <w:sz w:val="28"/>
        </w:rPr>
      </w:pPr>
      <w:r>
        <w:rPr>
          <w:rFonts w:ascii="Times New Roman" w:eastAsia="方正仿宋_GBK" w:hAnsi="Times New Roman" w:cs="宋体"/>
          <w:color w:val="auto"/>
          <w:spacing w:val="0"/>
          <w:sz w:val="28"/>
          <w:szCs w:val="21"/>
          <w:lang w:bidi="ar-SA"/>
        </w:rPr>
        <w:t>通过以上细化的交互功能分析，</w:t>
      </w:r>
      <w:r>
        <w:rPr>
          <w:rFonts w:ascii="Times New Roman" w:eastAsia="方正仿宋_GBK" w:hAnsi="Times New Roman" w:cs="宋体" w:hint="eastAsia"/>
          <w:color w:val="auto"/>
          <w:spacing w:val="0"/>
          <w:sz w:val="28"/>
          <w:szCs w:val="21"/>
          <w:lang w:eastAsia="zh-CN" w:bidi="ar-SA"/>
        </w:rPr>
        <w:t>本项目</w:t>
      </w:r>
      <w:r>
        <w:rPr>
          <w:rFonts w:ascii="Times New Roman" w:eastAsia="方正仿宋_GBK" w:hAnsi="Times New Roman" w:cs="宋体"/>
          <w:color w:val="auto"/>
          <w:spacing w:val="0"/>
          <w:sz w:val="28"/>
          <w:szCs w:val="21"/>
          <w:lang w:bidi="ar-SA"/>
        </w:rPr>
        <w:t>能够与单一窗口智能客服系统实现高效、稳定、安全的交互，确保多渠道客服服务的顺利实施。这不仅提升了用户体验和系统智能化水平，还为后续的系统优化和扩展提供了坚实的基础。</w:t>
      </w:r>
    </w:p>
    <w:p>
      <w:pPr>
        <w:pStyle w:val="40410"/>
        <w:tabs>
          <w:tab w:val="left" w:pos="1200"/>
        </w:tabs>
        <w:spacing w:line="400" w:lineRule="exact"/>
        <w:textAlignment w:val="center"/>
        <w:rPr>
          <w:rFonts w:ascii="Times New Roman" w:eastAsia="方正仿宋_GBK" w:hAnsi="Times New Roman"/>
          <w:sz w:val="28"/>
        </w:rPr>
      </w:pPr>
    </w:p>
    <w:p>
      <w:pPr>
        <w:pStyle w:val="40410"/>
        <w:tabs>
          <w:tab w:val="left" w:pos="1200"/>
        </w:tabs>
        <w:spacing w:line="400" w:lineRule="exact"/>
        <w:ind w:left="0" w:firstLine="0"/>
        <w:textAlignment w:val="center"/>
        <w:rPr>
          <w:rFonts w:ascii="Times New Roman" w:eastAsia="方正仿宋_GBK" w:hAnsi="Times New Roman" w:cs="微软雅黑"/>
          <w:snapToGrid w:val="0"/>
          <w:kern w:val="0"/>
          <w:sz w:val="28"/>
          <w:szCs w:val="28"/>
          <w:lang w:val="zh-CN" w:bidi="en-US"/>
        </w:rPr>
      </w:pPr>
    </w:p>
    <w:p>
      <w:pPr>
        <w:pStyle w:val="40310"/>
        <w:widowControl/>
        <w:numPr>
          <w:ilvl w:val="0"/>
          <w:numId w:val="141"/>
        </w:numPr>
        <w:spacing w:line="400" w:lineRule="exact"/>
        <w:ind w:left="0" w:firstLine="560" w:firstLineChars="200"/>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其他要求</w:t>
      </w:r>
    </w:p>
    <w:p>
      <w:pPr>
        <w:pStyle w:val="620"/>
        <w:spacing w:line="400" w:lineRule="exact"/>
        <w:ind w:firstLine="560" w:firstLineChars="200"/>
        <w:rPr>
          <w:rFonts w:ascii="Times New Roman" w:eastAsia="方正仿宋_GBK" w:hAnsi="Times New Roman" w:cs="微软雅黑"/>
          <w:snapToGrid w:val="0"/>
          <w:sz w:val="28"/>
          <w:lang w:val="zh-CN" w:bidi="en-US"/>
        </w:rPr>
      </w:pPr>
      <w:r>
        <w:rPr>
          <w:rFonts w:ascii="Times New Roman" w:eastAsia="方正仿宋_GBK" w:hAnsi="Times New Roman" w:cs="微软雅黑"/>
          <w:snapToGrid w:val="0"/>
          <w:sz w:val="28"/>
          <w:szCs w:val="28"/>
          <w:lang w:val="zh-CN" w:eastAsia="zh-CN" w:bidi="en-US"/>
        </w:rPr>
        <w:t>投标人</w:t>
      </w:r>
      <w:r>
        <w:rPr>
          <w:rFonts w:ascii="Times New Roman" w:eastAsia="方正仿宋_GBK" w:hAnsi="Times New Roman" w:cs="微软雅黑" w:hint="eastAsia"/>
          <w:snapToGrid w:val="0"/>
          <w:sz w:val="28"/>
          <w:szCs w:val="28"/>
          <w:lang w:val="zh-CN" w:eastAsia="zh-CN" w:bidi="en-US"/>
        </w:rPr>
        <w:t>应按照项目管理要求、技术要求、集成要求、安全保密要求和方案编制要求开展集成实施工作，并接受和配合集成联调测试工作。投标人提交的投标文件，凡是响应描述为支持的内容，等同于提供该内容。投标方需根据国产化技术的发展，及时对应用软件进行适配更新；应定期向采购人提交适配进展报告，确保国产化替代工作的顺利进行。实施期间及售后服务期内，充分考虑业务改革和政策变化风险，积极配合采购人开展需求分析和设计等工作，对本需求中所列的功能新增开发内容不超过双方评估合同额10%的部分免费进行修改调整。投标人应接受项目建设单位聘请的总集成单位、监理单位的集成管理和监理工作</w:t>
      </w:r>
      <w:r>
        <w:rPr>
          <w:rFonts w:ascii="Times New Roman" w:eastAsia="方正仿宋_GBK" w:hAnsi="Times New Roman" w:cs="微软雅黑"/>
          <w:snapToGrid w:val="0"/>
          <w:sz w:val="28"/>
          <w:szCs w:val="28"/>
          <w:lang w:val="zh-CN" w:eastAsia="zh-CN" w:bidi="en-US"/>
        </w:rPr>
        <w:t>，</w:t>
      </w:r>
      <w:r>
        <w:rPr>
          <w:rFonts w:ascii="Times New Roman" w:eastAsia="方正仿宋_GBK" w:hAnsi="Times New Roman" w:cs="微软雅黑" w:hint="eastAsia"/>
          <w:snapToGrid w:val="0"/>
          <w:sz w:val="28"/>
          <w:szCs w:val="28"/>
          <w:lang w:val="zh-CN" w:eastAsia="zh-CN" w:bidi="en-US"/>
        </w:rPr>
        <w:t>投标人提供专职或兼职的档案管理人员，配合完成档案的收集、整理、组卷、归档等工作，直至项目通过竣工验收。并在维保期内配合完成档案移交、资产转固等工作。</w:t>
      </w:r>
    </w:p>
    <w:p>
      <w:pPr>
        <w:pStyle w:val="6312"/>
        <w:spacing w:line="400" w:lineRule="exact"/>
        <w:ind w:left="130" w:firstLine="560" w:firstLineChars="200"/>
        <w:rPr>
          <w:rFonts w:ascii="Times New Roman" w:eastAsia="方正仿宋_GBK" w:hAnsi="Times New Roman"/>
          <w:snapToGrid w:val="0"/>
          <w:sz w:val="28"/>
          <w:szCs w:val="28"/>
          <w:lang w:val="zh-CN" w:bidi="en-US"/>
        </w:rPr>
      </w:pPr>
      <w:r>
        <w:rPr>
          <w:rFonts w:ascii="Times New Roman" w:eastAsia="方正仿宋_GBK" w:hAnsi="Times New Roman" w:cs="微软雅黑" w:hint="eastAsia"/>
          <w:snapToGrid w:val="0"/>
          <w:sz w:val="28"/>
          <w:szCs w:val="28"/>
          <w:lang w:val="zh-CN" w:eastAsia="zh-CN" w:bidi="en-US"/>
        </w:rPr>
        <w:t>为满足项目安全要求，需要投标人配合完成等级保护的系统定级、评审、备案等系列工作；在各关键节点配合完成审计工作；竣工验收前配合做好业务验收测试等工作。需要投标人配合商用密码应用测评、网络安全等保测评，竣工验收前按照测评要求完成整改工作。</w:t>
      </w:r>
    </w:p>
    <w:p>
      <w:pPr>
        <w:pStyle w:val="41210"/>
        <w:spacing w:line="400" w:lineRule="exact"/>
        <w:ind w:firstLine="560" w:firstLineChars="200"/>
        <w:rPr>
          <w:rFonts w:eastAsia="方正仿宋_GBK" w:cs="微软雅黑"/>
          <w:snapToGrid w:val="0"/>
          <w:kern w:val="0"/>
          <w:sz w:val="28"/>
          <w:szCs w:val="28"/>
          <w:lang w:val="zh-CN" w:bidi="en-US"/>
        </w:rPr>
      </w:pPr>
      <w:r>
        <w:rPr>
          <w:rFonts w:eastAsia="方正仿宋_GBK" w:cs="微软雅黑" w:hint="eastAsia"/>
          <w:snapToGrid w:val="0"/>
          <w:kern w:val="0"/>
          <w:sz w:val="28"/>
          <w:szCs w:val="28"/>
          <w:lang w:val="zh-CN" w:eastAsia="zh-CN" w:bidi="en-US"/>
        </w:rPr>
        <w:t>投标人必须对采购需求书中的内容进行实质性响应，应提供对项目的独特理解和满足采购需求的能力，投标方案若仅是照抄采购需求书内容，未体现实质性响应，将被视为无效投标。</w:t>
      </w:r>
    </w:p>
    <w:p>
      <w:pPr>
        <w:pStyle w:val="41210"/>
        <w:spacing w:line="400" w:lineRule="exact"/>
        <w:ind w:firstLine="560" w:firstLineChars="200"/>
        <w:rPr>
          <w:rFonts w:eastAsia="方正仿宋_GBK" w:cs="微软雅黑"/>
          <w:snapToGrid w:val="0"/>
          <w:kern w:val="0"/>
          <w:sz w:val="28"/>
          <w:szCs w:val="28"/>
          <w:lang w:val="zh-CN" w:bidi="en-US"/>
        </w:rPr>
      </w:pPr>
      <w:r>
        <w:rPr>
          <w:rFonts w:eastAsia="方正仿宋_GBK" w:cs="微软雅黑" w:hint="eastAsia"/>
          <w:b/>
          <w:bCs/>
          <w:snapToGrid w:val="0"/>
          <w:sz w:val="28"/>
          <w:szCs w:val="28"/>
          <w:lang w:bidi="ar-SA"/>
        </w:rPr>
        <w:t>以上要求，投标人须提供承诺函并加盖投标人公章。</w:t>
      </w:r>
    </w:p>
    <w:p>
      <w:pPr>
        <w:pStyle w:val="List2"/>
        <w:spacing w:line="400" w:lineRule="exact"/>
        <w:ind w:left="420" w:hanging="420" w:leftChars="0" w:hangingChars="200"/>
        <w:textAlignment w:val="center"/>
        <w:rPr>
          <w:snapToGrid/>
        </w:rPr>
      </w:pPr>
    </w:p>
    <w:p>
      <w:pPr>
        <w:pStyle w:val="41510"/>
        <w:spacing w:line="400" w:lineRule="exact"/>
        <w:ind w:firstLine="560" w:firstLineChars="200"/>
        <w:rPr>
          <w:rFonts w:ascii="Times New Roman" w:eastAsia="方正仿宋_GBK" w:hAnsi="Times New Roman" w:cs="微软雅黑" w:hint="eastAsia"/>
          <w:bCs/>
          <w:snapToGrid w:val="0"/>
          <w:kern w:val="0"/>
          <w:sz w:val="28"/>
          <w:szCs w:val="28"/>
          <w:lang w:val="zh-CN" w:bidi="en-US"/>
        </w:rPr>
      </w:pPr>
      <w:r>
        <w:rPr>
          <w:rFonts w:ascii="Times New Roman" w:eastAsia="方正仿宋_GBK" w:hAnsi="Times New Roman" w:cs="微软雅黑"/>
          <w:bCs/>
          <w:snapToGrid w:val="0"/>
          <w:kern w:val="0"/>
          <w:sz w:val="28"/>
          <w:szCs w:val="28"/>
          <w:lang w:val="zh-CN" w:eastAsia="zh-CN" w:bidi="en-US"/>
        </w:rPr>
        <w:t>2</w:t>
      </w:r>
      <w:r>
        <w:rPr>
          <w:rFonts w:ascii="Times New Roman" w:eastAsia="方正仿宋_GBK" w:hAnsi="Times New Roman" w:cs="微软雅黑" w:hint="eastAsia"/>
          <w:bCs/>
          <w:snapToGrid w:val="0"/>
          <w:kern w:val="0"/>
          <w:sz w:val="28"/>
          <w:szCs w:val="28"/>
          <w:lang w:val="zh-CN" w:eastAsia="zh-CN" w:bidi="en-US"/>
        </w:rPr>
        <w:t>、安全保密要求</w:t>
      </w:r>
    </w:p>
    <w:p>
      <w:pPr>
        <w:pStyle w:val="41610"/>
        <w:widowControl/>
        <w:spacing w:line="400" w:lineRule="exact"/>
        <w:ind w:firstLine="560" w:firstLineChars="200"/>
        <w:jc w:val="left"/>
        <w:textAlignment w:val="center"/>
        <w:rPr>
          <w:rFonts w:eastAsia="方正仿宋_GBK"/>
          <w:b/>
          <w:bCs/>
          <w:snapToGrid w:val="0"/>
          <w:sz w:val="28"/>
          <w:szCs w:val="28"/>
          <w:lang w:val="zh-CN" w:bidi="en-US"/>
        </w:rPr>
      </w:pPr>
      <w:r>
        <w:rPr>
          <w:rFonts w:eastAsia="方正仿宋_GBK"/>
          <w:b/>
          <w:bCs/>
          <w:snapToGrid w:val="0"/>
          <w:sz w:val="28"/>
          <w:szCs w:val="28"/>
          <w:lang w:val="zh-CN" w:eastAsia="zh-CN" w:bidi="en-US"/>
        </w:rPr>
        <w:t>安全生产要求：</w:t>
      </w:r>
    </w:p>
    <w:p>
      <w:pPr>
        <w:pStyle w:val="41610"/>
        <w:widowControl/>
        <w:spacing w:line="400" w:lineRule="exact"/>
        <w:ind w:firstLine="560" w:firstLineChars="200"/>
        <w:jc w:val="left"/>
        <w:textAlignment w:val="center"/>
        <w:rPr>
          <w:rFonts w:eastAsia="方正仿宋_GBK" w:cs="宋体"/>
          <w:snapToGrid w:val="0"/>
          <w:sz w:val="28"/>
          <w:szCs w:val="28"/>
          <w:lang w:val="zh-CN" w:bidi="en-US"/>
        </w:rPr>
      </w:pPr>
      <w:r>
        <w:rPr>
          <w:rFonts w:eastAsia="方正仿宋_GBK" w:cs="宋体" w:hint="eastAsia"/>
          <w:snapToGrid w:val="0"/>
          <w:sz w:val="28"/>
          <w:szCs w:val="28"/>
          <w:lang w:val="zh-CN" w:eastAsia="zh-CN" w:bidi="en-US"/>
        </w:rPr>
        <w:t>投标人应保证投标人人员为海关提供服务过程中不得设置可以禁用或者绕过安全机制的组件及其它未经明示的功能模块。不得将与本项目相关的设计文档、源代码、配置文件、操作手册等相关信息在互联网上公布或托管。投标人提交的源代码需通过采购人代码审查、安全代码扫描通过，不得存在A类安全代码风险。</w:t>
      </w:r>
    </w:p>
    <w:p>
      <w:pPr>
        <w:pStyle w:val="6412"/>
        <w:spacing w:line="400" w:lineRule="exact"/>
        <w:ind w:firstLine="560" w:firstLineChars="200"/>
        <w:rPr>
          <w:rFonts w:eastAsia="方正仿宋_GBK" w:cs="宋体"/>
          <w:snapToGrid w:val="0"/>
          <w:sz w:val="28"/>
          <w:szCs w:val="28"/>
          <w:lang w:val="zh-CN" w:bidi="en-US"/>
        </w:rPr>
      </w:pPr>
      <w:r>
        <w:rPr>
          <w:rFonts w:eastAsia="方正仿宋_GBK" w:cs="宋体" w:hint="eastAsia"/>
          <w:snapToGrid w:val="0"/>
          <w:sz w:val="28"/>
          <w:szCs w:val="28"/>
          <w:lang w:val="zh-CN" w:eastAsia="zh-CN" w:bidi="en-US"/>
        </w:rPr>
        <w:t>本项目中应用系统数据传输及存储需按海关相关管理规定执行。系统建设必须符合海关数据安全、跨网传输安全要求。系统</w:t>
      </w:r>
      <w:r>
        <w:rPr>
          <w:rFonts w:eastAsia="方正仿宋_GBK" w:cs="宋体"/>
          <w:snapToGrid w:val="0"/>
          <w:sz w:val="28"/>
          <w:szCs w:val="28"/>
          <w:lang w:val="zh-CN" w:eastAsia="zh-CN" w:bidi="en-US"/>
        </w:rPr>
        <w:t>实施</w:t>
      </w:r>
      <w:r>
        <w:rPr>
          <w:rFonts w:eastAsia="方正仿宋_GBK" w:cs="宋体" w:hint="eastAsia"/>
          <w:snapToGrid w:val="0"/>
          <w:sz w:val="28"/>
          <w:szCs w:val="28"/>
          <w:lang w:val="zh-CN" w:eastAsia="zh-CN" w:bidi="en-US"/>
        </w:rPr>
        <w:t>应遵循海关信息系统开发建设的有关标准和规范，并在海关信息化项目管理、网络安全管理相关规定的指导下进行设计、开发、实施。</w:t>
      </w:r>
      <w:r>
        <w:rPr>
          <w:rFonts w:eastAsia="方正仿宋_GBK"/>
          <w:snapToGrid w:val="0"/>
          <w:sz w:val="28"/>
          <w:szCs w:val="28"/>
          <w:lang w:val="zh-CN" w:eastAsia="zh-CN" w:bidi="en-US"/>
        </w:rPr>
        <w:t>项目结束后15日内彻底清除测试环境中的客户模拟数据。</w:t>
      </w:r>
      <w:r>
        <w:rPr>
          <w:rFonts w:eastAsia="方正仿宋_GBK" w:cs="宋体" w:hint="eastAsia"/>
          <w:snapToGrid w:val="0"/>
          <w:sz w:val="28"/>
          <w:szCs w:val="28"/>
          <w:lang w:val="zh-CN" w:eastAsia="zh-CN" w:bidi="en-US"/>
        </w:rPr>
        <w:t>交付物中必须使用正版工具软件。如引用第三方软件需通过采购人的认可。如</w:t>
      </w:r>
      <w:r>
        <w:rPr>
          <w:rFonts w:ascii="Times New Roman" w:eastAsia="方正仿宋_GBK" w:hAnsi="Times New Roman" w:cs="宋体" w:hint="eastAsia"/>
          <w:snapToGrid w:val="0"/>
          <w:sz w:val="28"/>
          <w:szCs w:val="28"/>
          <w:lang w:val="zh-CN" w:eastAsia="zh-CN" w:bidi="en-US"/>
        </w:rPr>
        <w:t>使用开源软件须明示清单（列明名称、版本、用途）并确保符合Apache</w:t>
      </w:r>
      <w:r>
        <w:rPr>
          <w:rFonts w:ascii="Times New Roman" w:eastAsia="方正仿宋_GBK" w:hAnsi="Times New Roman" w:cs="宋体"/>
          <w:snapToGrid w:val="0"/>
          <w:sz w:val="28"/>
          <w:szCs w:val="28"/>
          <w:lang w:val="zh-CN" w:eastAsia="zh-CN" w:bidi="en-US"/>
        </w:rPr>
        <w:t>、GPL</w:t>
      </w:r>
      <w:r>
        <w:rPr>
          <w:rFonts w:ascii="Times New Roman" w:eastAsia="方正仿宋_GBK" w:hAnsi="Times New Roman" w:cs="宋体" w:hint="eastAsia"/>
          <w:snapToGrid w:val="0"/>
          <w:sz w:val="28"/>
          <w:szCs w:val="28"/>
          <w:lang w:val="zh-CN" w:eastAsia="zh-CN" w:bidi="en-US"/>
        </w:rPr>
        <w:t>等协议要求，修复所有安全漏洞，禁止引入传染性开源组件。</w:t>
      </w:r>
    </w:p>
    <w:p>
      <w:pPr>
        <w:pStyle w:val="41710"/>
        <w:tabs>
          <w:tab w:val="right" w:leader="dot" w:pos="8290"/>
        </w:tabs>
        <w:spacing w:line="400" w:lineRule="exact"/>
        <w:ind w:firstLine="560" w:firstLineChars="200"/>
        <w:rPr>
          <w:rFonts w:eastAsia="方正仿宋_GBK"/>
          <w:snapToGrid w:val="0"/>
          <w:sz w:val="28"/>
          <w:szCs w:val="28"/>
          <w:highlight w:val="yellow"/>
          <w:lang w:val="zh-CN" w:bidi="en-US"/>
        </w:rPr>
      </w:pPr>
      <w:r>
        <w:rPr>
          <w:rFonts w:eastAsia="方正仿宋_GBK" w:cs="宋体" w:hint="eastAsia"/>
          <w:snapToGrid w:val="0"/>
          <w:sz w:val="28"/>
          <w:szCs w:val="28"/>
          <w:lang w:val="zh-CN" w:eastAsia="zh-CN" w:bidi="en-US"/>
        </w:rPr>
        <w:t>系统需满足《网络安全法》和网络安全等级保护的相关要求</w:t>
      </w:r>
      <w:r>
        <w:rPr>
          <w:rFonts w:eastAsia="方正仿宋_GBK" w:cs="宋体"/>
          <w:snapToGrid w:val="0"/>
          <w:sz w:val="28"/>
          <w:szCs w:val="28"/>
          <w:lang w:val="zh-CN" w:eastAsia="zh-CN" w:bidi="en-US"/>
        </w:rPr>
        <w:t>，</w:t>
      </w:r>
      <w:r>
        <w:rPr>
          <w:rFonts w:eastAsia="方正仿宋_GBK" w:cs="宋体" w:hint="eastAsia"/>
          <w:snapToGrid w:val="0"/>
          <w:sz w:val="28"/>
          <w:szCs w:val="28"/>
          <w:lang w:val="zh-CN" w:eastAsia="zh-CN" w:bidi="en-US"/>
        </w:rPr>
        <w:t>按照国家信息安全等级保护要求，本项目需要按照</w:t>
      </w:r>
      <w:r>
        <w:rPr>
          <w:rFonts w:eastAsia="方正仿宋_GBK" w:cs="宋体"/>
          <w:snapToGrid w:val="0"/>
          <w:sz w:val="28"/>
          <w:szCs w:val="28"/>
          <w:lang w:val="zh-CN" w:eastAsia="zh-CN" w:bidi="en-US"/>
        </w:rPr>
        <w:t>二</w:t>
      </w:r>
      <w:r>
        <w:rPr>
          <w:rFonts w:eastAsia="方正仿宋_GBK" w:cs="宋体" w:hint="eastAsia"/>
          <w:snapToGrid w:val="0"/>
          <w:sz w:val="28"/>
          <w:szCs w:val="28"/>
          <w:lang w:val="zh-CN" w:eastAsia="zh-CN" w:bidi="en-US"/>
        </w:rPr>
        <w:t>级等保要求来建设：包括但</w:t>
      </w:r>
      <w:r>
        <w:rPr>
          <w:rFonts w:eastAsia="方正仿宋_GBK" w:cs="宋体"/>
          <w:snapToGrid w:val="0"/>
          <w:sz w:val="28"/>
          <w:szCs w:val="28"/>
          <w:lang w:val="zh-CN" w:eastAsia="zh-CN" w:bidi="en-US"/>
        </w:rPr>
        <w:t>不</w:t>
      </w:r>
      <w:r>
        <w:rPr>
          <w:rFonts w:eastAsia="方正仿宋_GBK" w:cs="宋体" w:hint="eastAsia"/>
          <w:snapToGrid w:val="0"/>
          <w:sz w:val="28"/>
          <w:szCs w:val="28"/>
          <w:lang w:val="zh-CN" w:eastAsia="zh-CN" w:bidi="en-US"/>
        </w:rPr>
        <w:t>限于服务器和开发客户端均须严格遵守海关信息安全规定；用户认证及授权管理应采用统一管理的安全平台，严格管理用户账号和权限：建立系统审计日志；系统应具备软件容错性；系统应确保满足数据在传输及存储过程中的完整性、保密性的要求；确保系统的密码产品符合国家密码管理主管部门的要求；系统应提供剩余信息保护及个人信息保护；加强系统监控，当系统发生异常时可在第一时间得到及时处理；建立系统数据备份和清理机制。</w:t>
      </w:r>
    </w:p>
    <w:p>
      <w:pPr>
        <w:pStyle w:val="41810"/>
        <w:spacing w:line="400" w:lineRule="exact"/>
        <w:ind w:left="554" w:firstLine="0" w:leftChars="264"/>
        <w:textAlignment w:val="center"/>
        <w:rPr>
          <w:rFonts w:eastAsia="方正仿宋_GBK"/>
          <w:b/>
          <w:bCs/>
          <w:snapToGrid w:val="0"/>
          <w:sz w:val="28"/>
          <w:szCs w:val="28"/>
          <w:lang w:val="zh-CN" w:bidi="en-US"/>
        </w:rPr>
      </w:pPr>
      <w:r>
        <w:rPr>
          <w:rFonts w:ascii="Times New Roman" w:eastAsia="方正仿宋_GBK" w:hAnsi="Times New Roman" w:hint="eastAsia"/>
          <w:b/>
          <w:bCs/>
          <w:snapToGrid w:val="0"/>
          <w:sz w:val="28"/>
          <w:szCs w:val="28"/>
          <w:lang w:val="zh-CN" w:eastAsia="zh-CN" w:bidi="en-US"/>
        </w:rPr>
        <w:t>审计要求：</w:t>
      </w:r>
    </w:p>
    <w:p>
      <w:pPr>
        <w:pStyle w:val="41910"/>
        <w:widowControl/>
        <w:spacing w:line="400" w:lineRule="exact"/>
        <w:ind w:firstLine="560" w:firstLineChars="200"/>
        <w:jc w:val="left"/>
        <w:textAlignment w:val="center"/>
        <w:rPr>
          <w:rFonts w:eastAsia="方正仿宋_GBK" w:cs="宋体"/>
          <w:snapToGrid w:val="0"/>
          <w:sz w:val="28"/>
          <w:szCs w:val="28"/>
          <w:lang w:val="zh-CN" w:bidi="en-US"/>
        </w:rPr>
      </w:pPr>
      <w:r>
        <w:rPr>
          <w:rFonts w:eastAsia="方正仿宋_GBK" w:cs="宋体" w:hint="eastAsia"/>
          <w:snapToGrid w:val="0"/>
          <w:sz w:val="28"/>
          <w:szCs w:val="28"/>
          <w:lang w:val="zh-CN" w:eastAsia="zh-CN" w:bidi="en-US"/>
        </w:rPr>
        <w:t>业务安全审计</w:t>
      </w:r>
      <w:r>
        <w:rPr>
          <w:rFonts w:eastAsia="方正仿宋_GBK" w:cs="宋体"/>
          <w:snapToGrid w:val="0"/>
          <w:sz w:val="28"/>
          <w:szCs w:val="28"/>
          <w:lang w:val="zh-CN" w:eastAsia="zh-CN" w:bidi="en-US"/>
        </w:rPr>
        <w:t>：</w:t>
      </w:r>
      <w:r>
        <w:rPr>
          <w:rFonts w:eastAsia="方正仿宋_GBK" w:cs="宋体" w:hint="eastAsia"/>
          <w:snapToGrid w:val="0"/>
          <w:sz w:val="28"/>
          <w:szCs w:val="28"/>
          <w:lang w:val="zh-CN" w:eastAsia="zh-CN" w:bidi="en-US"/>
        </w:rPr>
        <w:t>为确保业务安全，系统需要记录详尽的用户操作行为日志，包括用户的关键操作行为、操作时间戳、请求与响应的相关信息等。日志内容应详细到每个操作的主键、执行操作的用户</w:t>
      </w:r>
      <w:r>
        <w:rPr>
          <w:rFonts w:eastAsia="方正仿宋_GBK" w:cs="宋体"/>
          <w:snapToGrid w:val="0"/>
          <w:sz w:val="28"/>
          <w:szCs w:val="28"/>
          <w:lang w:val="zh-CN" w:eastAsia="zh-CN" w:bidi="en-US"/>
        </w:rPr>
        <w:t>ID</w:t>
      </w:r>
      <w:r>
        <w:rPr>
          <w:rFonts w:eastAsia="方正仿宋_GBK" w:cs="宋体" w:hint="eastAsia"/>
          <w:snapToGrid w:val="0"/>
          <w:sz w:val="28"/>
          <w:szCs w:val="28"/>
          <w:lang w:val="zh-CN" w:eastAsia="zh-CN" w:bidi="en-US"/>
        </w:rPr>
        <w:t>、操作描述、涉及的服务名称、接收到请求的时间、响应时间、操作耗时、请求参数、响应结果以及日志的创建时间。日志记录应被保存至少六个月，并且在整个保存周期内，其内容不应被删除、修改或覆盖。</w:t>
      </w:r>
    </w:p>
    <w:p>
      <w:pPr>
        <w:pStyle w:val="41910"/>
        <w:widowControl/>
        <w:spacing w:line="400" w:lineRule="exact"/>
        <w:ind w:firstLine="560" w:firstLineChars="200"/>
        <w:jc w:val="left"/>
        <w:textAlignment w:val="center"/>
        <w:rPr>
          <w:rFonts w:eastAsia="方正仿宋_GBK"/>
          <w:b/>
          <w:bCs/>
          <w:snapToGrid w:val="0"/>
          <w:sz w:val="28"/>
          <w:szCs w:val="28"/>
          <w:lang w:val="zh-CN" w:bidi="en-US"/>
        </w:rPr>
      </w:pPr>
      <w:r>
        <w:rPr>
          <w:rFonts w:eastAsia="方正仿宋_GBK" w:cs="宋体" w:hint="eastAsia"/>
          <w:snapToGrid w:val="0"/>
          <w:sz w:val="28"/>
          <w:szCs w:val="28"/>
          <w:lang w:val="zh-CN" w:eastAsia="zh-CN" w:bidi="en-US"/>
        </w:rPr>
        <w:t>此外，系统还需实现对数据操作（如查询、下载、修改、删除等）的日志记录功能，记录的内容应包含操作时间、执行操作的人员及其账号、用户</w:t>
      </w:r>
      <w:r>
        <w:rPr>
          <w:rFonts w:eastAsia="方正仿宋_GBK" w:cs="宋体"/>
          <w:snapToGrid w:val="0"/>
          <w:sz w:val="28"/>
          <w:szCs w:val="28"/>
          <w:lang w:val="zh-CN" w:eastAsia="zh-CN" w:bidi="en-US"/>
        </w:rPr>
        <w:t>ID</w:t>
      </w:r>
      <w:r>
        <w:rPr>
          <w:rFonts w:eastAsia="方正仿宋_GBK" w:cs="宋体" w:hint="eastAsia"/>
          <w:snapToGrid w:val="0"/>
          <w:sz w:val="28"/>
          <w:szCs w:val="28"/>
          <w:lang w:val="zh-CN" w:eastAsia="zh-CN" w:bidi="en-US"/>
        </w:rPr>
        <w:t>、操作的目标数据对象（如数据表、数据项）、执行的操作指令、操作用设备的相关信息（如设备</w:t>
      </w:r>
      <w:r>
        <w:rPr>
          <w:rFonts w:eastAsia="方正仿宋_GBK" w:cs="宋体"/>
          <w:snapToGrid w:val="0"/>
          <w:sz w:val="28"/>
          <w:szCs w:val="28"/>
          <w:lang w:val="zh-CN" w:eastAsia="zh-CN" w:bidi="en-US"/>
        </w:rPr>
        <w:t>IP</w:t>
      </w:r>
      <w:r>
        <w:rPr>
          <w:rFonts w:eastAsia="方正仿宋_GBK" w:cs="宋体" w:hint="eastAsia"/>
          <w:snapToGrid w:val="0"/>
          <w:sz w:val="28"/>
          <w:szCs w:val="28"/>
          <w:lang w:val="zh-CN" w:eastAsia="zh-CN" w:bidi="en-US"/>
        </w:rPr>
        <w:t>或物理地址）、操作涉及的数据量以及操作的最终结果。操作日志的留存时间应满足不少于三年的要求。</w:t>
      </w:r>
    </w:p>
    <w:p>
      <w:pPr>
        <w:pStyle w:val="651"/>
        <w:spacing w:line="400" w:lineRule="exact"/>
        <w:ind w:firstLine="560" w:firstLineChars="200"/>
        <w:rPr>
          <w:rFonts w:eastAsia="方正仿宋_GBK" w:cs="宋体"/>
          <w:b/>
          <w:bCs/>
          <w:snapToGrid w:val="0"/>
          <w:sz w:val="28"/>
          <w:szCs w:val="28"/>
          <w:lang w:val="zh-CN" w:bidi="en-US"/>
        </w:rPr>
      </w:pPr>
      <w:r>
        <w:rPr>
          <w:rFonts w:eastAsia="方正仿宋_GBK" w:cs="宋体"/>
          <w:b/>
          <w:bCs/>
          <w:snapToGrid w:val="0"/>
          <w:sz w:val="28"/>
          <w:szCs w:val="28"/>
          <w:lang w:val="zh-CN" w:eastAsia="zh-CN" w:bidi="en-US"/>
        </w:rPr>
        <w:t>保密要求：</w:t>
      </w:r>
    </w:p>
    <w:p>
      <w:pPr>
        <w:pStyle w:val="651"/>
        <w:spacing w:line="400" w:lineRule="exact"/>
        <w:ind w:firstLine="560" w:firstLineChars="200"/>
        <w:rPr>
          <w:rFonts w:eastAsia="方正仿宋_GBK" w:cs="宋体"/>
          <w:snapToGrid w:val="0"/>
          <w:sz w:val="28"/>
          <w:szCs w:val="28"/>
          <w:lang w:val="zh-CN" w:bidi="en-US"/>
        </w:rPr>
      </w:pPr>
      <w:r>
        <w:rPr>
          <w:rFonts w:eastAsia="方正仿宋_GBK" w:cs="宋体" w:hint="eastAsia"/>
          <w:snapToGrid w:val="0"/>
          <w:sz w:val="28"/>
          <w:szCs w:val="28"/>
          <w:lang w:val="zh-CN" w:eastAsia="zh-CN" w:bidi="en-US"/>
        </w:rPr>
        <w:t>投标人应对在采购人工作过程中所获知的全部技术资料和技术秘密采取保密措施。除非法律法规要求或取得采购人事先书面同意，投标人不得对外透露。保密期限不受本项目期限的限制，在本项目履行完毕后，需承担保密义务。</w:t>
      </w:r>
    </w:p>
    <w:p>
      <w:pPr>
        <w:pStyle w:val="651"/>
        <w:spacing w:line="400" w:lineRule="exact"/>
        <w:ind w:firstLine="560" w:firstLineChars="200"/>
        <w:rPr>
          <w:rFonts w:eastAsia="方正仿宋_GBK" w:cs="宋体"/>
          <w:snapToGrid w:val="0"/>
          <w:sz w:val="28"/>
          <w:szCs w:val="28"/>
          <w:lang w:val="zh-CN" w:bidi="en-US"/>
        </w:rPr>
      </w:pPr>
      <w:r>
        <w:rPr>
          <w:rFonts w:eastAsia="方正仿宋_GBK" w:cs="宋体" w:hint="eastAsia"/>
          <w:snapToGrid w:val="0"/>
          <w:sz w:val="28"/>
          <w:szCs w:val="28"/>
          <w:lang w:val="zh-CN" w:eastAsia="zh-CN" w:bidi="en-US"/>
        </w:rPr>
        <w:t>在本项目履约期结束后，投标人保证归还采购人提供的所有技术资料和文件，并承诺不保留任何副本。</w:t>
      </w:r>
      <w:r>
        <w:rPr>
          <w:rFonts w:eastAsia="方正仿宋_GBK" w:cs="宋体"/>
          <w:snapToGrid w:val="0"/>
          <w:sz w:val="28"/>
          <w:szCs w:val="28"/>
          <w:lang w:val="zh-CN" w:eastAsia="zh-CN" w:bidi="en-US"/>
        </w:rPr>
        <w:t>驻场人员须对工作中接触的技术资料、技术秘密严格保密，未经采购人书面同意不得对外泄露。因泄密导致采购人损失的，投标人承担连带经济及法律责任。</w:t>
      </w:r>
    </w:p>
    <w:p>
      <w:pPr>
        <w:pStyle w:val="66"/>
        <w:spacing w:line="400" w:lineRule="exact"/>
        <w:ind w:left="0" w:firstLine="560" w:firstLineChars="200"/>
        <w:rPr>
          <w:rFonts w:eastAsia="方正仿宋_GBK" w:cs="宋体"/>
          <w:snapToGrid w:val="0"/>
          <w:kern w:val="2"/>
          <w:sz w:val="28"/>
          <w:szCs w:val="28"/>
          <w:lang w:val="zh-CN" w:bidi="en-US"/>
        </w:rPr>
      </w:pPr>
      <w:r>
        <w:rPr>
          <w:rFonts w:eastAsia="方正仿宋_GBK" w:cs="宋体" w:hint="eastAsia"/>
          <w:snapToGrid w:val="0"/>
          <w:sz w:val="28"/>
          <w:szCs w:val="28"/>
          <w:lang w:val="zh-CN" w:eastAsia="zh-CN" w:bidi="en-US"/>
        </w:rPr>
        <w:t>投标人应保证参与本项目的服务人员保守其获悉的采购人秘密，并采取必要措施确保参</w:t>
      </w:r>
      <w:r>
        <w:rPr>
          <w:rFonts w:ascii="Times New Roman" w:eastAsia="方正仿宋_GBK" w:hAnsi="Times New Roman" w:cs="宋体" w:hint="eastAsia"/>
          <w:snapToGrid w:val="0"/>
          <w:kern w:val="2"/>
          <w:sz w:val="28"/>
          <w:szCs w:val="28"/>
          <w:lang w:val="zh-CN" w:eastAsia="zh-CN" w:bidi="en-US"/>
        </w:rPr>
        <w:t>与投标人人员在项目执行过程中严格遵守法律法规、相关政策，不得发生违反采购人安全生产、数据安全、知识产权、工作制度等各项规章制度的情况。</w:t>
      </w:r>
    </w:p>
    <w:p>
      <w:pPr>
        <w:pStyle w:val="67"/>
        <w:spacing w:line="400" w:lineRule="exact"/>
        <w:ind w:firstLine="560" w:firstLineChars="200"/>
        <w:rPr>
          <w:rFonts w:eastAsia="方正仿宋_GBK" w:cs="宋体"/>
          <w:snapToGrid w:val="0"/>
          <w:sz w:val="28"/>
          <w:szCs w:val="28"/>
          <w:lang w:val="zh-CN" w:bidi="en-US"/>
        </w:rPr>
      </w:pPr>
      <w:r>
        <w:rPr>
          <w:rFonts w:eastAsia="方正仿宋_GBK" w:cs="宋体"/>
          <w:snapToGrid w:val="0"/>
          <w:sz w:val="28"/>
          <w:szCs w:val="28"/>
          <w:lang w:val="zh-CN" w:eastAsia="zh-CN" w:bidi="en-US"/>
        </w:rPr>
        <w:t>集成</w:t>
      </w:r>
      <w:r>
        <w:rPr>
          <w:rFonts w:eastAsia="方正仿宋_GBK" w:cs="宋体" w:hint="eastAsia"/>
          <w:snapToGrid w:val="0"/>
          <w:sz w:val="28"/>
          <w:szCs w:val="28"/>
          <w:lang w:val="zh-CN" w:eastAsia="zh-CN" w:bidi="en-US"/>
        </w:rPr>
        <w:t>团队和测试团队必须在海关内部研发网进行工作，所有成果物都不能从海关内部研发网传出。</w:t>
      </w:r>
    </w:p>
    <w:p>
      <w:pPr>
        <w:pStyle w:val="18810"/>
        <w:widowControl/>
        <w:spacing w:line="400" w:lineRule="exact"/>
        <w:ind w:firstLine="560" w:firstLineChars="200"/>
        <w:jc w:val="left"/>
        <w:textAlignment w:val="center"/>
        <w:rPr>
          <w:rFonts w:eastAsia="方正仿宋_GBK" w:cs="微软雅黑"/>
          <w:b/>
          <w:bCs/>
          <w:snapToGrid w:val="0"/>
          <w:sz w:val="28"/>
          <w:szCs w:val="28"/>
        </w:rPr>
      </w:pPr>
      <w:r>
        <w:rPr>
          <w:rFonts w:eastAsia="方正仿宋_GBK" w:cs="微软雅黑" w:hint="eastAsia"/>
          <w:b/>
          <w:bCs/>
          <w:snapToGrid w:val="0"/>
          <w:sz w:val="28"/>
          <w:szCs w:val="28"/>
          <w:lang w:bidi="ar-SA"/>
        </w:rPr>
        <w:t>以上要求，投标人须提供承诺函并加盖投标人公章。</w:t>
      </w:r>
    </w:p>
    <w:p>
      <w:pPr>
        <w:pStyle w:val="42410"/>
        <w:spacing w:line="400" w:lineRule="exact"/>
        <w:ind w:firstLine="643"/>
        <w:rPr>
          <w:rFonts w:ascii="宋体" w:eastAsia="方正仿宋_GBK" w:hAnsi="宋体" w:cs="宋体" w:hint="eastAsia"/>
          <w:bCs/>
          <w:snapToGrid w:val="0"/>
          <w:kern w:val="0"/>
          <w:sz w:val="28"/>
          <w:szCs w:val="28"/>
          <w:lang w:val="zh-CN"/>
        </w:rPr>
      </w:pPr>
      <w:r>
        <w:rPr>
          <w:rFonts w:ascii="宋体" w:eastAsia="方正仿宋_GBK" w:hAnsi="宋体" w:cs="宋体"/>
          <w:bCs/>
          <w:snapToGrid w:val="0"/>
          <w:kern w:val="0"/>
          <w:sz w:val="28"/>
          <w:szCs w:val="28"/>
          <w:lang w:val="zh-CN" w:eastAsia="zh-CN" w:bidi="en-US"/>
        </w:rPr>
        <w:t>3</w:t>
      </w:r>
      <w:r>
        <w:rPr>
          <w:rFonts w:ascii="宋体" w:eastAsia="方正仿宋_GBK" w:hAnsi="宋体" w:cs="宋体" w:hint="eastAsia"/>
          <w:bCs/>
          <w:snapToGrid w:val="0"/>
          <w:kern w:val="0"/>
          <w:sz w:val="28"/>
          <w:szCs w:val="28"/>
          <w:lang w:val="zh-CN" w:eastAsia="zh-CN" w:bidi="en-US"/>
        </w:rPr>
        <w:t>、知识产权要求</w:t>
      </w:r>
    </w:p>
    <w:p>
      <w:pPr>
        <w:pStyle w:val="6812"/>
        <w:spacing w:line="400" w:lineRule="exact"/>
        <w:ind w:firstLine="560" w:firstLineChars="200"/>
        <w:rPr>
          <w:rFonts w:eastAsia="方正仿宋_GBK" w:cs="宋体"/>
          <w:snapToGrid w:val="0"/>
          <w:sz w:val="28"/>
          <w:szCs w:val="28"/>
          <w:lang w:val="zh-CN" w:bidi="en-US"/>
        </w:rPr>
      </w:pPr>
      <w:r>
        <w:rPr>
          <w:rFonts w:ascii="Times New Roman" w:eastAsia="方正仿宋_GBK" w:hAnsi="Times New Roman" w:cs="宋体" w:hint="eastAsia"/>
          <w:b/>
          <w:bCs/>
          <w:snapToGrid w:val="0"/>
          <w:sz w:val="28"/>
          <w:szCs w:val="28"/>
          <w:lang w:val="zh-CN" w:eastAsia="zh-CN" w:bidi="en-US"/>
        </w:rPr>
        <w:t>权属声明</w:t>
      </w:r>
      <w:r>
        <w:rPr>
          <w:rFonts w:ascii="Times New Roman" w:eastAsia="方正仿宋_GBK" w:hAnsi="Times New Roman" w:cs="宋体"/>
          <w:b/>
          <w:bCs/>
          <w:snapToGrid w:val="0"/>
          <w:sz w:val="28"/>
          <w:szCs w:val="28"/>
          <w:lang w:val="zh-CN" w:eastAsia="zh-CN" w:bidi="en-US"/>
        </w:rPr>
        <w:t>：</w:t>
      </w:r>
      <w:r>
        <w:rPr>
          <w:rFonts w:ascii="Times New Roman" w:eastAsia="方正仿宋_GBK" w:hAnsi="Times New Roman" w:cs="宋体" w:hint="eastAsia"/>
          <w:snapToGrid w:val="0"/>
          <w:sz w:val="28"/>
          <w:szCs w:val="28"/>
          <w:lang w:val="zh-CN" w:eastAsia="zh-CN" w:bidi="en-US"/>
        </w:rPr>
        <w:t>投标人承诺所提供设备、软件及服务不侵犯第三方知识产权，若因侵权导致采购人损失，投标人应承担全额赔偿（含诉讼费、和解金等）。中标后5日内需提交所有软件著作权登记证书、专利授权证明及第三方组件合规使用声明。</w:t>
      </w:r>
    </w:p>
    <w:p>
      <w:pPr>
        <w:pStyle w:val="6812"/>
        <w:spacing w:line="400" w:lineRule="exact"/>
        <w:ind w:firstLine="700" w:firstLineChars="250"/>
        <w:rPr>
          <w:rFonts w:eastAsia="方正仿宋_GBK" w:cs="宋体"/>
          <w:snapToGrid w:val="0"/>
          <w:sz w:val="28"/>
          <w:szCs w:val="28"/>
          <w:lang w:val="zh-CN" w:bidi="en-US"/>
        </w:rPr>
      </w:pPr>
      <w:r>
        <w:rPr>
          <w:rFonts w:ascii="Times New Roman" w:eastAsia="方正仿宋_GBK" w:hAnsi="Times New Roman" w:cs="宋体" w:hint="eastAsia"/>
          <w:b/>
          <w:bCs/>
          <w:snapToGrid w:val="0"/>
          <w:sz w:val="28"/>
          <w:szCs w:val="28"/>
          <w:lang w:val="zh-CN" w:eastAsia="zh-CN" w:bidi="en-US"/>
        </w:rPr>
        <w:t>成果归属</w:t>
      </w:r>
      <w:r>
        <w:rPr>
          <w:rFonts w:ascii="Times New Roman" w:eastAsia="方正仿宋_GBK" w:hAnsi="Times New Roman" w:cs="宋体"/>
          <w:b/>
          <w:bCs/>
          <w:snapToGrid w:val="0"/>
          <w:sz w:val="28"/>
          <w:szCs w:val="28"/>
          <w:lang w:val="zh-CN" w:eastAsia="zh-CN" w:bidi="en-US"/>
        </w:rPr>
        <w:t>：</w:t>
      </w:r>
      <w:r>
        <w:rPr>
          <w:rFonts w:ascii="Times New Roman" w:eastAsia="方正仿宋_GBK" w:hAnsi="Times New Roman" w:cs="宋体"/>
          <w:snapToGrid w:val="0"/>
          <w:sz w:val="28"/>
          <w:szCs w:val="28"/>
          <w:lang w:val="zh-CN" w:eastAsia="zh-CN" w:bidi="en-US"/>
        </w:rPr>
        <w:t>本</w:t>
      </w:r>
      <w:r>
        <w:rPr>
          <w:rFonts w:ascii="Times New Roman" w:eastAsia="方正仿宋_GBK" w:hAnsi="Times New Roman" w:cs="宋体" w:hint="eastAsia"/>
          <w:snapToGrid w:val="0"/>
          <w:sz w:val="28"/>
          <w:szCs w:val="28"/>
          <w:lang w:val="zh-CN" w:eastAsia="zh-CN" w:bidi="en-US"/>
        </w:rPr>
        <w:t>项目</w:t>
      </w:r>
      <w:r>
        <w:rPr>
          <w:rFonts w:ascii="Times New Roman" w:eastAsia="方正仿宋_GBK" w:hAnsi="Times New Roman" w:cs="宋体"/>
          <w:snapToGrid w:val="0"/>
          <w:sz w:val="28"/>
          <w:szCs w:val="28"/>
          <w:lang w:val="zh-CN" w:eastAsia="zh-CN" w:bidi="en-US"/>
        </w:rPr>
        <w:t>集成</w:t>
      </w:r>
      <w:r>
        <w:rPr>
          <w:rFonts w:ascii="Times New Roman" w:eastAsia="方正仿宋_GBK" w:hAnsi="Times New Roman" w:cs="宋体" w:hint="eastAsia"/>
          <w:snapToGrid w:val="0"/>
          <w:sz w:val="28"/>
          <w:szCs w:val="28"/>
          <w:lang w:val="zh-CN" w:eastAsia="zh-CN" w:bidi="en-US"/>
        </w:rPr>
        <w:t>产生的软件著作权、专利权</w:t>
      </w:r>
      <w:r>
        <w:rPr>
          <w:rFonts w:ascii="Times New Roman" w:eastAsia="方正仿宋_GBK" w:hAnsi="Times New Roman" w:cs="宋体"/>
          <w:snapToGrid w:val="0"/>
          <w:sz w:val="28"/>
          <w:szCs w:val="28"/>
          <w:lang w:val="zh-CN" w:eastAsia="zh-CN" w:bidi="en-US"/>
        </w:rPr>
        <w:t>、</w:t>
      </w:r>
      <w:r>
        <w:rPr>
          <w:rFonts w:ascii="Times New Roman" w:eastAsia="方正仿宋_GBK" w:hAnsi="Times New Roman" w:cs="宋体" w:hint="eastAsia"/>
          <w:snapToGrid w:val="0"/>
          <w:sz w:val="28"/>
          <w:szCs w:val="28"/>
          <w:lang w:val="zh-CN" w:eastAsia="zh-CN" w:bidi="en-US"/>
        </w:rPr>
        <w:t>商标权</w:t>
      </w:r>
      <w:r>
        <w:rPr>
          <w:rFonts w:ascii="Times New Roman" w:eastAsia="方正仿宋_GBK" w:hAnsi="Times New Roman" w:cs="宋体"/>
          <w:snapToGrid w:val="0"/>
          <w:sz w:val="28"/>
          <w:szCs w:val="28"/>
          <w:lang w:val="zh-CN" w:eastAsia="zh-CN" w:bidi="en-US"/>
        </w:rPr>
        <w:t>、</w:t>
      </w:r>
      <w:r>
        <w:rPr>
          <w:rFonts w:ascii="Times New Roman" w:eastAsia="方正仿宋_GBK" w:hAnsi="Times New Roman" w:cs="宋体" w:hint="eastAsia"/>
          <w:snapToGrid w:val="0"/>
          <w:sz w:val="28"/>
          <w:szCs w:val="28"/>
          <w:lang w:val="zh-CN" w:eastAsia="zh-CN" w:bidi="en-US"/>
        </w:rPr>
        <w:t>知识产权申请权、全部源代码、不限次数的使用权以及</w:t>
      </w:r>
      <w:r>
        <w:rPr>
          <w:rFonts w:ascii="Times New Roman" w:eastAsia="方正仿宋_GBK" w:hAnsi="Times New Roman" w:cs="宋体"/>
          <w:snapToGrid w:val="0"/>
          <w:sz w:val="28"/>
          <w:szCs w:val="28"/>
          <w:lang w:val="zh-CN" w:eastAsia="zh-CN" w:bidi="en-US"/>
        </w:rPr>
        <w:t>集成</w:t>
      </w:r>
      <w:r>
        <w:rPr>
          <w:rFonts w:ascii="Times New Roman" w:eastAsia="方正仿宋_GBK" w:hAnsi="Times New Roman" w:cs="宋体" w:hint="eastAsia"/>
          <w:snapToGrid w:val="0"/>
          <w:sz w:val="28"/>
          <w:szCs w:val="28"/>
          <w:lang w:val="zh-CN" w:eastAsia="zh-CN" w:bidi="en-US"/>
        </w:rPr>
        <w:t>开发权等知识产权归采购人独家所有。投标人自带技术需提供可商用授权证明，允许采购人永久无偿使用。任何第三方如果提出指控，投标人须与第三方交涉并承担可能发生的一切法律责任和费用。</w:t>
      </w:r>
    </w:p>
    <w:p>
      <w:pPr>
        <w:pStyle w:val="6812"/>
        <w:spacing w:line="400" w:lineRule="exact"/>
        <w:ind w:firstLine="560" w:firstLineChars="200"/>
        <w:rPr>
          <w:rFonts w:eastAsia="方正仿宋_GBK" w:cs="宋体"/>
          <w:snapToGrid w:val="0"/>
          <w:sz w:val="28"/>
          <w:szCs w:val="28"/>
          <w:lang w:val="zh-CN" w:bidi="en-US"/>
        </w:rPr>
      </w:pPr>
      <w:r>
        <w:rPr>
          <w:rFonts w:ascii="Times New Roman" w:eastAsia="方正仿宋_GBK" w:hAnsi="Times New Roman" w:cs="宋体" w:hint="eastAsia"/>
          <w:b/>
          <w:bCs/>
          <w:snapToGrid w:val="0"/>
          <w:sz w:val="28"/>
          <w:szCs w:val="28"/>
          <w:lang w:val="zh-CN" w:eastAsia="zh-CN" w:bidi="en-US"/>
        </w:rPr>
        <w:t>技术移交</w:t>
      </w:r>
      <w:r>
        <w:rPr>
          <w:rFonts w:ascii="Times New Roman" w:eastAsia="方正仿宋_GBK" w:hAnsi="Times New Roman" w:cs="宋体"/>
          <w:b/>
          <w:bCs/>
          <w:snapToGrid w:val="0"/>
          <w:sz w:val="28"/>
          <w:szCs w:val="28"/>
          <w:lang w:val="zh-CN" w:eastAsia="zh-CN" w:bidi="en-US"/>
        </w:rPr>
        <w:t>：</w:t>
      </w:r>
      <w:r>
        <w:rPr>
          <w:rFonts w:ascii="Times New Roman" w:eastAsia="方正仿宋_GBK" w:hAnsi="Times New Roman" w:cs="宋体" w:hint="eastAsia"/>
          <w:snapToGrid w:val="0"/>
          <w:sz w:val="28"/>
          <w:szCs w:val="28"/>
          <w:lang w:val="zh-CN" w:eastAsia="zh-CN" w:bidi="en-US"/>
        </w:rPr>
        <w:t>验收后30日内，投标人须交付完整技术文档（含项目工程文档、系统架构图、接口规范、AI算法训练数据集），并提供为期3年的技术维护权</w:t>
      </w:r>
      <w:r>
        <w:rPr>
          <w:rFonts w:ascii="Times New Roman" w:eastAsia="方正仿宋_GBK" w:hAnsi="Times New Roman" w:cs="宋体"/>
          <w:snapToGrid w:val="0"/>
          <w:sz w:val="28"/>
          <w:szCs w:val="28"/>
          <w:lang w:val="zh-CN" w:eastAsia="zh-CN" w:bidi="en-US"/>
        </w:rPr>
        <w:t>，确保相关文档及时更新</w:t>
      </w:r>
      <w:r>
        <w:rPr>
          <w:rFonts w:ascii="Times New Roman" w:eastAsia="方正仿宋_GBK" w:hAnsi="Times New Roman" w:cs="宋体" w:hint="eastAsia"/>
          <w:snapToGrid w:val="0"/>
          <w:sz w:val="28"/>
          <w:szCs w:val="28"/>
          <w:lang w:val="zh-CN" w:eastAsia="zh-CN" w:bidi="en-US"/>
        </w:rPr>
        <w:t>。</w:t>
      </w:r>
    </w:p>
    <w:p>
      <w:pPr>
        <w:pStyle w:val="6812"/>
        <w:spacing w:line="400" w:lineRule="exact"/>
        <w:ind w:firstLine="560" w:firstLineChars="200"/>
        <w:rPr>
          <w:rFonts w:eastAsia="方正仿宋_GBK" w:cs="宋体"/>
          <w:snapToGrid w:val="0"/>
          <w:sz w:val="28"/>
          <w:szCs w:val="28"/>
          <w:lang w:val="zh-CN" w:bidi="en-US"/>
        </w:rPr>
      </w:pPr>
      <w:r>
        <w:rPr>
          <w:rFonts w:ascii="Times New Roman" w:eastAsia="方正仿宋_GBK" w:hAnsi="Times New Roman" w:cs="宋体" w:hint="eastAsia"/>
          <w:b/>
          <w:bCs/>
          <w:snapToGrid w:val="0"/>
          <w:sz w:val="28"/>
          <w:szCs w:val="28"/>
          <w:lang w:val="zh-CN" w:eastAsia="zh-CN" w:bidi="en-US"/>
        </w:rPr>
        <w:t>其他权属说明</w:t>
      </w:r>
      <w:r>
        <w:rPr>
          <w:rFonts w:ascii="Times New Roman" w:eastAsia="方正仿宋_GBK" w:hAnsi="Times New Roman" w:cs="宋体"/>
          <w:b/>
          <w:bCs/>
          <w:snapToGrid w:val="0"/>
          <w:sz w:val="28"/>
          <w:szCs w:val="28"/>
          <w:lang w:val="zh-CN" w:eastAsia="zh-CN" w:bidi="en-US"/>
        </w:rPr>
        <w:t>：</w:t>
      </w:r>
      <w:r>
        <w:rPr>
          <w:rFonts w:ascii="Times New Roman" w:eastAsia="方正仿宋_GBK" w:hAnsi="Times New Roman" w:cs="宋体" w:hint="eastAsia"/>
          <w:snapToGrid w:val="0"/>
          <w:sz w:val="28"/>
          <w:szCs w:val="28"/>
          <w:lang w:val="zh-CN" w:eastAsia="zh-CN" w:bidi="en-US"/>
        </w:rPr>
        <w:t>采购人可安排海关骨干人员参与核心工作，工作结束后带回源代码并纳入采购人原版库管理，以便后续修改维护。未经采购人和委托方允许，不能将本项目有关内容向第三方泄露。</w:t>
      </w:r>
    </w:p>
    <w:p>
      <w:pPr>
        <w:pStyle w:val="6812"/>
        <w:spacing w:line="400" w:lineRule="exact"/>
        <w:ind w:firstLine="560" w:firstLineChars="200"/>
        <w:rPr>
          <w:rFonts w:eastAsia="方正仿宋_GBK" w:cs="宋体"/>
          <w:snapToGrid w:val="0"/>
          <w:sz w:val="28"/>
          <w:szCs w:val="28"/>
          <w:lang w:val="zh-CN" w:bidi="en-US"/>
        </w:rPr>
      </w:pPr>
      <w:r>
        <w:rPr>
          <w:rFonts w:eastAsia="方正仿宋_GBK" w:cs="微软雅黑" w:hint="eastAsia"/>
          <w:b/>
          <w:bCs/>
          <w:snapToGrid w:val="0"/>
          <w:sz w:val="28"/>
          <w:szCs w:val="28"/>
          <w:lang w:bidi="ar-SA"/>
        </w:rPr>
        <w:t>以上要求，投标人须提供承诺函并加盖投标人公章。</w:t>
      </w:r>
    </w:p>
    <w:p>
      <w:pPr>
        <w:pStyle w:val="6100"/>
        <w:spacing w:line="400" w:lineRule="exact"/>
        <w:ind w:firstLine="562"/>
        <w:rPr>
          <w:rFonts w:eastAsia="方正仿宋_GBK" w:cs="宋体"/>
          <w:snapToGrid w:val="0"/>
          <w:sz w:val="28"/>
          <w:szCs w:val="28"/>
          <w:lang w:val="zh-CN" w:bidi="en-US"/>
        </w:rPr>
      </w:pPr>
      <w:bookmarkEnd w:id="44"/>
      <w:r>
        <w:rPr>
          <w:rFonts w:eastAsia="方正仿宋_GBK" w:cs="微软雅黑"/>
          <w:snapToGrid w:val="0"/>
          <w:sz w:val="28"/>
          <w:szCs w:val="28"/>
          <w:lang w:bidi="ar-SA"/>
        </w:rPr>
        <w:t>4、其他要求</w:t>
      </w:r>
    </w:p>
    <w:p>
      <w:pPr>
        <w:pStyle w:val="227"/>
        <w:tabs>
          <w:tab w:val="left" w:pos="709"/>
        </w:tabs>
        <w:spacing w:line="400" w:lineRule="exact"/>
        <w:ind w:firstLine="464"/>
        <w:rPr>
          <w:rFonts w:ascii="Times New Roman" w:eastAsia="方正仿宋_GBK" w:hAnsi="Times New Roman" w:cs="微软雅黑"/>
          <w:snapToGrid w:val="0"/>
          <w:sz w:val="28"/>
          <w:lang w:val="zh-CN" w:bidi="en-US"/>
        </w:rPr>
      </w:pPr>
      <w:r>
        <w:rPr>
          <w:rFonts w:ascii="Times New Roman" w:eastAsia="方正仿宋_GBK" w:hAnsi="Times New Roman" w:cs="微软雅黑" w:hint="eastAsia"/>
          <w:snapToGrid w:val="0"/>
          <w:sz w:val="28"/>
          <w:szCs w:val="28"/>
          <w:lang w:val="zh-CN" w:eastAsia="zh-CN" w:bidi="en-US"/>
        </w:rPr>
        <w:t>投标人签订合同后应提供完整的风险管理方案，分析本</w:t>
      </w:r>
      <w:r>
        <w:rPr>
          <w:rFonts w:ascii="Times New Roman" w:eastAsia="方正仿宋_GBK" w:hAnsi="Times New Roman" w:cs="微软雅黑"/>
          <w:snapToGrid w:val="0"/>
          <w:sz w:val="28"/>
          <w:szCs w:val="28"/>
          <w:lang w:val="zh-CN" w:eastAsia="zh-CN" w:bidi="en-US"/>
        </w:rPr>
        <w:t>项目</w:t>
      </w:r>
      <w:r>
        <w:rPr>
          <w:rFonts w:ascii="Times New Roman" w:eastAsia="方正仿宋_GBK" w:hAnsi="Times New Roman" w:cs="微软雅黑" w:hint="eastAsia"/>
          <w:snapToGrid w:val="0"/>
          <w:sz w:val="28"/>
          <w:szCs w:val="28"/>
          <w:lang w:val="zh-CN" w:eastAsia="zh-CN" w:bidi="en-US"/>
        </w:rPr>
        <w:t>建设过程中的风险，并提出规避及应对措施。投标人需按采购人要求，解决各类风险、问题。项目开展中架构管控要求变更，投标人应配合开展相关工作。</w:t>
      </w:r>
      <w:r>
        <w:rPr>
          <w:rFonts w:eastAsia="方正仿宋_GBK" w:cs="微软雅黑" w:hint="eastAsia"/>
          <w:snapToGrid w:val="0"/>
          <w:sz w:val="28"/>
          <w:szCs w:val="28"/>
          <w:lang w:val="zh-CN" w:eastAsia="zh-CN" w:bidi="en-US"/>
        </w:rPr>
        <w:t>投标人需接受采购人监管，为相应工作开展提供便利条件，协助完成相应审核、检查等。</w:t>
      </w:r>
    </w:p>
    <w:p>
      <w:pPr>
        <w:pStyle w:val="227"/>
        <w:tabs>
          <w:tab w:val="left" w:pos="709"/>
        </w:tabs>
        <w:spacing w:line="400" w:lineRule="exact"/>
        <w:ind w:firstLine="464"/>
        <w:rPr>
          <w:rFonts w:eastAsia="方正仿宋_GBK"/>
          <w:snapToGrid w:val="0"/>
          <w:sz w:val="28"/>
          <w:lang w:val="zh-CN" w:bidi="en-US"/>
        </w:rPr>
      </w:pPr>
      <w:r>
        <w:rPr>
          <w:rFonts w:ascii="Times New Roman" w:eastAsia="方正仿宋_GBK" w:hAnsi="Times New Roman" w:cs="微软雅黑" w:hint="eastAsia"/>
          <w:snapToGrid w:val="0"/>
          <w:sz w:val="28"/>
          <w:szCs w:val="28"/>
          <w:lang w:val="zh-CN" w:eastAsia="zh-CN" w:bidi="en-US"/>
        </w:rPr>
        <w:t>投标人签订合同后应提供质量管理方案，旨在确保项目及其交付结果符合相关质量标准要求，方案需包括制定质量管理总体框架，</w:t>
      </w:r>
      <w:r>
        <w:rPr>
          <w:rFonts w:ascii="Times New Roman" w:eastAsia="方正仿宋_GBK" w:hAnsi="Times New Roman" w:cs="微软雅黑"/>
          <w:snapToGrid w:val="0"/>
          <w:sz w:val="28"/>
          <w:szCs w:val="28"/>
          <w:lang w:val="zh-CN" w:eastAsia="zh-CN" w:bidi="en-US"/>
        </w:rPr>
        <w:t>制定</w:t>
      </w:r>
      <w:r>
        <w:rPr>
          <w:rFonts w:ascii="Times New Roman" w:eastAsia="方正仿宋_GBK" w:hAnsi="Times New Roman" w:cs="微软雅黑" w:hint="eastAsia"/>
          <w:snapToGrid w:val="0"/>
          <w:sz w:val="28"/>
          <w:szCs w:val="28"/>
          <w:lang w:val="zh-CN" w:eastAsia="zh-CN" w:bidi="en-US"/>
        </w:rPr>
        <w:t>项目质量保证原则等。</w:t>
      </w:r>
    </w:p>
    <w:p>
      <w:pPr>
        <w:pStyle w:val="710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hint="eastAsia"/>
          <w:snapToGrid w:val="0"/>
          <w:sz w:val="28"/>
          <w:szCs w:val="28"/>
          <w:lang w:val="zh-CN" w:eastAsia="zh-CN" w:bidi="en-US"/>
        </w:rPr>
        <w:t>投标人</w:t>
      </w:r>
      <w:r>
        <w:rPr>
          <w:rFonts w:eastAsia="方正仿宋_GBK" w:cs="微软雅黑"/>
          <w:snapToGrid w:val="0"/>
          <w:sz w:val="28"/>
          <w:szCs w:val="28"/>
          <w:lang w:val="zh-CN" w:eastAsia="zh-CN" w:bidi="en-US"/>
        </w:rPr>
        <w:t>签订合同后后</w:t>
      </w:r>
      <w:r>
        <w:rPr>
          <w:rFonts w:eastAsia="方正仿宋_GBK" w:cs="微软雅黑" w:hint="eastAsia"/>
          <w:snapToGrid w:val="0"/>
          <w:sz w:val="28"/>
          <w:szCs w:val="28"/>
          <w:lang w:val="zh-CN" w:eastAsia="zh-CN" w:bidi="en-US"/>
        </w:rPr>
        <w:t>须提供整体</w:t>
      </w:r>
      <w:r>
        <w:rPr>
          <w:rFonts w:eastAsia="方正仿宋_GBK" w:cs="微软雅黑"/>
          <w:snapToGrid w:val="0"/>
          <w:sz w:val="28"/>
          <w:szCs w:val="28"/>
          <w:lang w:val="zh-CN" w:eastAsia="zh-CN" w:bidi="en-US"/>
        </w:rPr>
        <w:t>数据迁移</w:t>
      </w:r>
      <w:r>
        <w:rPr>
          <w:rFonts w:eastAsia="方正仿宋_GBK" w:cs="微软雅黑" w:hint="eastAsia"/>
          <w:snapToGrid w:val="0"/>
          <w:sz w:val="28"/>
          <w:szCs w:val="28"/>
          <w:lang w:val="zh-CN" w:eastAsia="zh-CN" w:bidi="en-US"/>
        </w:rPr>
        <w:t>方案，其中包括旧系统数据迁移方案</w:t>
      </w:r>
      <w:r>
        <w:rPr>
          <w:rFonts w:eastAsia="方正仿宋_GBK" w:cs="微软雅黑"/>
          <w:snapToGrid w:val="0"/>
          <w:sz w:val="28"/>
          <w:szCs w:val="28"/>
          <w:lang w:val="zh-CN" w:eastAsia="zh-CN" w:bidi="en-US"/>
        </w:rPr>
        <w:t>，</w:t>
      </w:r>
      <w:r>
        <w:rPr>
          <w:rFonts w:eastAsia="方正仿宋_GBK" w:cs="微软雅黑" w:hint="eastAsia"/>
          <w:snapToGrid w:val="0"/>
          <w:sz w:val="28"/>
          <w:szCs w:val="28"/>
          <w:lang w:val="zh-CN" w:eastAsia="zh-CN" w:bidi="en-US"/>
        </w:rPr>
        <w:t>包括迁移清单、迁移步骤、异常处理体系、紧急恢复步骤、完成时限、责任分工等。本项目涉及全国海关（总署及42个直属海关节点）新老系统对接及老系统数据迁移等工作，主要包括2015年至今的数据迁移。在实施过程中所涉及的业务迁移、改造（包括不限于业务系统改造、数据迁移、软件安装部署等）所带来的咨询服务、协调费用、软件开发等费用，由投标人承担一切费用。</w:t>
      </w:r>
    </w:p>
    <w:p>
      <w:pPr>
        <w:pStyle w:val="7100"/>
        <w:widowControl/>
        <w:spacing w:line="400" w:lineRule="exact"/>
        <w:ind w:firstLine="560" w:firstLineChars="200"/>
        <w:jc w:val="left"/>
        <w:textAlignment w:val="center"/>
        <w:rPr>
          <w:rFonts w:eastAsia="方正仿宋_GBK" w:cs="微软雅黑"/>
          <w:snapToGrid w:val="0"/>
          <w:sz w:val="28"/>
          <w:szCs w:val="28"/>
          <w:lang w:val="zh-CN" w:bidi="en-US"/>
        </w:rPr>
      </w:pPr>
      <w:r>
        <w:rPr>
          <w:rFonts w:eastAsia="方正仿宋_GBK" w:cs="微软雅黑"/>
          <w:snapToGrid w:val="0"/>
          <w:sz w:val="28"/>
          <w:szCs w:val="28"/>
          <w:lang w:val="zh-CN" w:eastAsia="zh-CN" w:bidi="en-US"/>
        </w:rPr>
        <w:t>注：</w:t>
      </w:r>
      <w:r>
        <w:rPr>
          <w:rFonts w:eastAsia="方正仿宋_GBK" w:cs="微软雅黑" w:hint="eastAsia"/>
          <w:snapToGrid w:val="0"/>
          <w:sz w:val="28"/>
          <w:szCs w:val="28"/>
          <w:lang w:val="zh-CN" w:eastAsia="zh-CN" w:bidi="en-US"/>
        </w:rPr>
        <w:t>现</w:t>
      </w:r>
      <w:r>
        <w:rPr>
          <w:rFonts w:eastAsia="方正仿宋_GBK" w:cs="微软雅黑"/>
          <w:snapToGrid w:val="0"/>
          <w:sz w:val="28"/>
          <w:szCs w:val="28"/>
          <w:lang w:val="zh-CN" w:eastAsia="zh-CN" w:bidi="en-US"/>
        </w:rPr>
        <w:t>全国使用的</w:t>
      </w:r>
      <w:r>
        <w:rPr>
          <w:rFonts w:eastAsia="方正仿宋_GBK" w:cs="微软雅黑" w:hint="eastAsia"/>
          <w:snapToGrid w:val="0"/>
          <w:sz w:val="28"/>
          <w:szCs w:val="28"/>
          <w:lang w:val="zh-CN" w:eastAsia="zh-CN" w:bidi="en-US"/>
        </w:rPr>
        <w:t>呼叫中心系统基于SQL SEVER2008数据库的话单数据、录音数据、IVR流程数据及相关对接配置数据等、12360综合管理系统</w:t>
      </w:r>
      <w:r>
        <w:rPr>
          <w:rFonts w:eastAsia="方正仿宋_GBK" w:cs="微软雅黑"/>
          <w:snapToGrid w:val="0"/>
          <w:sz w:val="28"/>
          <w:szCs w:val="28"/>
          <w:lang w:val="zh-CN" w:eastAsia="zh-CN" w:bidi="en-US"/>
        </w:rPr>
        <w:t>是</w:t>
      </w:r>
      <w:r>
        <w:rPr>
          <w:rFonts w:eastAsia="方正仿宋_GBK" w:cs="微软雅黑" w:hint="eastAsia"/>
          <w:snapToGrid w:val="0"/>
          <w:sz w:val="28"/>
          <w:szCs w:val="28"/>
          <w:lang w:val="zh-CN" w:eastAsia="zh-CN" w:bidi="en-US"/>
        </w:rPr>
        <w:t>基于SQL SEVER2012数据库的受理单、工单、知识库、咨询人资料等数据</w:t>
      </w:r>
      <w:r>
        <w:rPr>
          <w:rFonts w:eastAsia="方正仿宋_GBK" w:cs="微软雅黑"/>
          <w:snapToGrid w:val="0"/>
          <w:sz w:val="28"/>
          <w:szCs w:val="28"/>
          <w:lang w:val="zh-CN" w:eastAsia="zh-CN" w:bidi="en-US"/>
        </w:rPr>
        <w:t>，</w:t>
      </w:r>
      <w:r>
        <w:rPr>
          <w:rFonts w:eastAsia="方正仿宋_GBK" w:cs="微软雅黑" w:hint="eastAsia"/>
          <w:snapToGrid w:val="0"/>
          <w:sz w:val="28"/>
          <w:szCs w:val="28"/>
          <w:lang w:val="zh-CN" w:eastAsia="zh-CN" w:bidi="en-US"/>
        </w:rPr>
        <w:t>全国统一报表系统数据</w:t>
      </w:r>
      <w:r>
        <w:rPr>
          <w:rFonts w:eastAsia="方正仿宋_GBK" w:cs="微软雅黑"/>
          <w:snapToGrid w:val="0"/>
          <w:sz w:val="28"/>
          <w:szCs w:val="28"/>
          <w:lang w:val="zh-CN" w:eastAsia="zh-CN" w:bidi="en-US"/>
        </w:rPr>
        <w:t>是</w:t>
      </w:r>
      <w:r>
        <w:rPr>
          <w:rFonts w:eastAsia="方正仿宋_GBK" w:cs="微软雅黑" w:hint="eastAsia"/>
          <w:snapToGrid w:val="0"/>
          <w:sz w:val="28"/>
          <w:szCs w:val="28"/>
          <w:lang w:val="zh-CN" w:eastAsia="zh-CN" w:bidi="en-US"/>
        </w:rPr>
        <w:t>基于SQL SEVER2012数据库。</w:t>
      </w:r>
    </w:p>
    <w:p>
      <w:pPr>
        <w:pStyle w:val="7100"/>
        <w:widowControl/>
        <w:spacing w:line="400" w:lineRule="exact"/>
        <w:ind w:firstLine="560" w:firstLineChars="200"/>
        <w:jc w:val="left"/>
        <w:textAlignment w:val="center"/>
      </w:pPr>
      <w:r>
        <w:rPr>
          <w:rFonts w:eastAsia="方正仿宋_GBK" w:cs="微软雅黑" w:hint="eastAsia"/>
          <w:b/>
          <w:bCs/>
          <w:snapToGrid w:val="0"/>
          <w:sz w:val="28"/>
          <w:szCs w:val="28"/>
          <w:lang w:bidi="ar-SA"/>
        </w:rPr>
        <w:t>以上要求，投标人须提供承诺函并加盖投标人公章。</w:t>
      </w:r>
    </w:p>
    <w:p/>
    <w:p>
      <w:pPr>
        <w:pStyle w:val="Heading1"/>
        <w:rPr>
          <w:highlight w:val="white"/>
        </w:rPr>
      </w:pPr>
      <w:bookmarkEnd w:id="42"/>
    </w:p>
    <w:p>
      <w:pPr>
        <w:pStyle w:val="Heading1"/>
      </w:pPr>
      <w:r>
        <w:rPr>
          <w:highlight w:val="white"/>
        </w:rPr>
        <w:br w:type="page"/>
      </w:r>
      <w:bookmarkStart w:id="68"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68"/>
    </w:p>
    <w:p>
      <w:bookmarkStart w:id="69"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9"/>
        <w:gridCol w:w="795"/>
        <w:gridCol w:w="7077"/>
        <w:gridCol w:w="388"/>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69" w:type="dxa"/>
          </w:tcPr>
          <w:p>
            <w:r>
              <w:t>主客观项</w:t>
            </w:r>
          </w:p>
        </w:tc>
        <w:tc>
          <w:tcPr>
            <w:tcW w:w="795" w:type="dxa"/>
          </w:tcPr>
          <w:p>
            <w:r>
              <w:t>评审因素</w:t>
            </w:r>
          </w:p>
        </w:tc>
        <w:tc>
          <w:tcPr>
            <w:tcW w:w="7077" w:type="dxa"/>
          </w:tcPr>
          <w:p>
            <w:r>
              <w:t>评分标准说明</w:t>
            </w:r>
          </w:p>
        </w:tc>
        <w:tc>
          <w:tcPr>
            <w:tcW w:w="388"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69" w:type="dxa"/>
          </w:tcPr>
          <w:p>
            <w:r>
              <w:t>价格分</w:t>
            </w:r>
          </w:p>
        </w:tc>
        <w:tc>
          <w:tcPr>
            <w:tcW w:w="795" w:type="dxa"/>
            <w:tcBorders>
              <w:left w:val="single" w:sz="4" w:space="0" w:color="auto"/>
              <w:right w:val="single" w:sz="4" w:space="0" w:color="auto"/>
            </w:tcBorders>
          </w:tcPr>
          <w:p>
            <w:r>
              <w:t>价格评审</w:t>
            </w:r>
          </w:p>
        </w:tc>
        <w:tc>
          <w:tcPr>
            <w:tcW w:w="7077" w:type="dxa"/>
            <w:tcBorders>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88"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69" w:type="dxa"/>
            <w:vMerge w:val="restart"/>
          </w:tcPr>
          <w:p>
            <w:r>
              <w:t>商务部分</w:t>
            </w:r>
          </w:p>
        </w:tc>
        <w:tc>
          <w:tcPr>
            <w:tcW w:w="795" w:type="dxa"/>
            <w:tcBorders>
              <w:left w:val="single" w:sz="4" w:space="0" w:color="auto"/>
              <w:right w:val="single" w:sz="4" w:space="0" w:color="auto"/>
            </w:tcBorders>
          </w:tcPr>
          <w:p>
            <w:r>
              <w:t>投标人综合实力</w:t>
            </w:r>
          </w:p>
        </w:tc>
        <w:tc>
          <w:tcPr>
            <w:tcW w:w="7077" w:type="dxa"/>
            <w:tcBorders>
              <w:left w:val="single" w:sz="4" w:space="0" w:color="auto"/>
              <w:right w:val="single" w:sz="4" w:space="0" w:color="auto"/>
            </w:tcBorders>
          </w:tcPr>
          <w:p>
            <w:r>
              <w:t>1.提供投标人的质量管理体系认证证书的得1分，否则得0分；  2.提供投标人的信息技术服务管理认证证书的得1分，否则得0分；  3.提供投标人的信息安全管理体系认证证书的得1分，否则得0分。</w:t>
            </w:r>
          </w:p>
        </w:tc>
        <w:tc>
          <w:tcPr>
            <w:tcW w:w="388"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69" w:type="dxa"/>
            <w:vMerge/>
          </w:tcPr>
          <w:p/>
        </w:tc>
        <w:tc>
          <w:tcPr>
            <w:tcW w:w="795" w:type="dxa"/>
            <w:tcBorders>
              <w:left w:val="single" w:sz="4" w:space="0" w:color="auto"/>
              <w:right w:val="single" w:sz="4" w:space="0" w:color="auto"/>
            </w:tcBorders>
          </w:tcPr>
          <w:p>
            <w:r>
              <w:t>投标人的销售业绩</w:t>
            </w:r>
          </w:p>
        </w:tc>
        <w:tc>
          <w:tcPr>
            <w:tcW w:w="7077" w:type="dxa"/>
            <w:tcBorders>
              <w:left w:val="single" w:sz="4" w:space="0" w:color="auto"/>
              <w:right w:val="single" w:sz="4" w:space="0" w:color="auto"/>
            </w:tcBorders>
          </w:tcPr>
          <w:p>
            <w:r>
              <w:t>1.须提供与本项目所投核心产品（品目1：语音话务系统）同品牌同类型产品的销售业绩，每提供一份有效合同得0.5分，最多得3分；  2.须提供与本项目所投品目6产品（智慧化辅助产品升级）同品牌同类型产品的销售业绩，每提供一份有效合同得0.5分，最多得2分。  注1：合同签订时间须为2023年6月1日起至本项目招标公告发布之日止。  注2：合同不得遮挡且销售业绩合同中必须至少包含合同双方印章、签字、产品名称、型号、数量、所投同品牌类型合同金额、签订时间、合同履行第一笔付款乙方开具的发票复印件等信息内容（以上内容缺少一项，业绩不予承认）。  注3：提供销售业绩合同复印件须字迹清晰，辨识无误。  注4：合同买方（甲方）须为实际最终使用单位，合同卖方（乙方）须为投标人，如买方为销售或经销类公司（平台），则该业绩不予认可。 不符合上述要求或未按要求提供有效证明文件的业绩在评审时将不予以承认。</w:t>
            </w:r>
          </w:p>
        </w:tc>
        <w:tc>
          <w:tcPr>
            <w:tcW w:w="388"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269" w:type="dxa"/>
            <w:vMerge/>
          </w:tcPr>
          <w:p/>
        </w:tc>
        <w:tc>
          <w:tcPr>
            <w:tcW w:w="795" w:type="dxa"/>
            <w:tcBorders>
              <w:left w:val="single" w:sz="4" w:space="0" w:color="auto"/>
              <w:right w:val="single" w:sz="4" w:space="0" w:color="auto"/>
            </w:tcBorders>
          </w:tcPr>
          <w:p>
            <w:r>
              <w:t>质量保证书</w:t>
            </w:r>
          </w:p>
        </w:tc>
        <w:tc>
          <w:tcPr>
            <w:tcW w:w="7077" w:type="dxa"/>
            <w:tcBorders>
              <w:left w:val="single" w:sz="4" w:space="0" w:color="auto"/>
              <w:right w:val="single" w:sz="4" w:space="0" w:color="auto"/>
            </w:tcBorders>
          </w:tcPr>
          <w:p>
            <w:r>
              <w:t>提供所有投标产品制造商出具的质量保证书（须保证所提供产品为制造商原产正品并对产品品质做出承诺和保证，加盖投标产品制造商公章）的得1分，否则得0分。</w:t>
            </w:r>
          </w:p>
        </w:tc>
        <w:tc>
          <w:tcPr>
            <w:tcW w:w="388"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69" w:type="dxa"/>
            <w:vMerge w:val="restart"/>
          </w:tcPr>
          <w:p>
            <w:r>
              <w:t>技术部分</w:t>
            </w:r>
          </w:p>
        </w:tc>
        <w:tc>
          <w:tcPr>
            <w:tcW w:w="795" w:type="dxa"/>
            <w:tcBorders>
              <w:left w:val="single" w:sz="4" w:space="0" w:color="auto"/>
              <w:right w:val="single" w:sz="4" w:space="0" w:color="auto"/>
            </w:tcBorders>
          </w:tcPr>
          <w:p>
            <w:r>
              <w:t>一般技术指标及配置响应情况</w:t>
            </w:r>
          </w:p>
        </w:tc>
        <w:tc>
          <w:tcPr>
            <w:tcW w:w="7077" w:type="dxa"/>
            <w:tcBorders>
              <w:left w:val="single" w:sz="4" w:space="0" w:color="auto"/>
              <w:right w:val="single" w:sz="4" w:space="0" w:color="auto"/>
            </w:tcBorders>
          </w:tcPr>
          <w:p>
            <w:r>
              <w:t>投标人的一般主要技术指标及配置响应完全满足招标文件技术要求，应答无负偏离的得9分，每有一项不满足的扣0.5分。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388" w:type="dxa"/>
          </w:tcPr>
          <w:p>
            <w:r>
              <w:t>区间打分(0-9)</w:t>
            </w:r>
          </w:p>
        </w:tc>
      </w:tr>
      <w:tr>
        <w:tblPrEx>
          <w:tblW w:w="5000" w:type="pct"/>
          <w:jc w:val="left"/>
          <w:tblInd w:w="0" w:type="dxa"/>
          <w:tblCellMar>
            <w:top w:w="0" w:type="dxa"/>
            <w:left w:w="108" w:type="dxa"/>
            <w:bottom w:w="0" w:type="dxa"/>
            <w:right w:w="108" w:type="dxa"/>
          </w:tblCellMar>
        </w:tblPrEx>
        <w:trPr>
          <w:jc w:val="left"/>
        </w:trPr>
        <w:tc>
          <w:tcPr>
            <w:tcW w:w="269" w:type="dxa"/>
            <w:vMerge/>
          </w:tcPr>
          <w:p/>
        </w:tc>
        <w:tc>
          <w:tcPr>
            <w:tcW w:w="795" w:type="dxa"/>
            <w:tcBorders>
              <w:left w:val="single" w:sz="4" w:space="0" w:color="auto"/>
              <w:right w:val="single" w:sz="4" w:space="0" w:color="auto"/>
            </w:tcBorders>
          </w:tcPr>
          <w:p>
            <w:r>
              <w:t>▲技术指标及配置响应情况</w:t>
            </w:r>
          </w:p>
        </w:tc>
        <w:tc>
          <w:tcPr>
            <w:tcW w:w="7077" w:type="dxa"/>
            <w:tcBorders>
              <w:left w:val="single" w:sz="4" w:space="0" w:color="auto"/>
              <w:right w:val="single" w:sz="4" w:space="0" w:color="auto"/>
            </w:tcBorders>
          </w:tcPr>
          <w:p>
            <w:r>
              <w:t xml:space="preserve">投标人的▲号“主要技术指标及配置”响应完全满足招标文件技术要求，应答无负偏离的得32分的基础分，每有一项不满足的扣4分基础分。      注：对于投标人响应满足投标文件中规定的▲号“主要技术指标” 的，需求书中有明确要求的按要求提供证明材料，否则不予认可。   </w:t>
            </w:r>
          </w:p>
        </w:tc>
        <w:tc>
          <w:tcPr>
            <w:tcW w:w="388" w:type="dxa"/>
          </w:tcPr>
          <w:p>
            <w:r>
              <w:t>区间打分(0-32)</w:t>
            </w:r>
          </w:p>
        </w:tc>
      </w:tr>
      <w:tr>
        <w:tblPrEx>
          <w:tblW w:w="5000" w:type="pct"/>
          <w:jc w:val="left"/>
          <w:tblInd w:w="0" w:type="dxa"/>
          <w:tblCellMar>
            <w:top w:w="0" w:type="dxa"/>
            <w:left w:w="108" w:type="dxa"/>
            <w:bottom w:w="0" w:type="dxa"/>
            <w:right w:w="108" w:type="dxa"/>
          </w:tblCellMar>
        </w:tblPrEx>
        <w:trPr>
          <w:jc w:val="left"/>
        </w:trPr>
        <w:tc>
          <w:tcPr>
            <w:tcW w:w="269" w:type="dxa"/>
            <w:vMerge w:val="restart"/>
          </w:tcPr>
          <w:p>
            <w:r>
              <w:t>服务部分</w:t>
            </w:r>
          </w:p>
        </w:tc>
        <w:tc>
          <w:tcPr>
            <w:tcW w:w="795" w:type="dxa"/>
            <w:tcBorders>
              <w:left w:val="single" w:sz="4" w:space="0" w:color="auto"/>
              <w:right w:val="single" w:sz="4" w:space="0" w:color="auto"/>
            </w:tcBorders>
          </w:tcPr>
          <w:p>
            <w:r>
              <w:t>售后服务方案</w:t>
            </w:r>
          </w:p>
        </w:tc>
        <w:tc>
          <w:tcPr>
            <w:tcW w:w="7077" w:type="dxa"/>
            <w:tcBorders>
              <w:left w:val="single" w:sz="4" w:space="0" w:color="auto"/>
              <w:right w:val="single" w:sz="4" w:space="0" w:color="auto"/>
            </w:tcBorders>
          </w:tcPr>
          <w:p>
            <w:r>
              <w:t>按照招标文件第三部分项目需求书“七、售后服务要求”第1项要求，投标人需提供售后服务方案。 1.方案措施具体详细，内容全面，设计科学，思路清晰，完全契合项目需求售后服务实际，针对性可行性强，得4.5分；    2.方案有具体措施，设计合理，可以满足售后服务需求，针对性可行性较强，但方案内容（两个及以下）中有缺陷（缺陷包括：与事实不符、前后内容不一致、逻辑错误、不符合采购需求、内容有缺失等）得3分；    3.方案措施欠合理，内容有漏项，未完全包括需求书“七、售后服务要求”第1项内容要求，或三个及以上方案内容中存在缺陷（缺陷包括：与事实不符、前后内容不一致、逻辑错误、不符合采购需求、内容有缺失等）得1.5分；      4.未提供售后服务方案或方案严重脱离项目实际，得0分。</w:t>
            </w:r>
          </w:p>
        </w:tc>
        <w:tc>
          <w:tcPr>
            <w:tcW w:w="388" w:type="dxa"/>
          </w:tcPr>
          <w:p>
            <w:r>
              <w:t>勾选打分(0;1.5;3;4.5)</w:t>
            </w:r>
          </w:p>
        </w:tc>
      </w:tr>
      <w:tr>
        <w:tblPrEx>
          <w:tblW w:w="5000" w:type="pct"/>
          <w:jc w:val="left"/>
          <w:tblInd w:w="0" w:type="dxa"/>
          <w:tblCellMar>
            <w:top w:w="0" w:type="dxa"/>
            <w:left w:w="108" w:type="dxa"/>
            <w:bottom w:w="0" w:type="dxa"/>
            <w:right w:w="108" w:type="dxa"/>
          </w:tblCellMar>
        </w:tblPrEx>
        <w:trPr>
          <w:jc w:val="left"/>
        </w:trPr>
        <w:tc>
          <w:tcPr>
            <w:tcW w:w="269" w:type="dxa"/>
            <w:vMerge/>
          </w:tcPr>
          <w:p/>
        </w:tc>
        <w:tc>
          <w:tcPr>
            <w:tcW w:w="795" w:type="dxa"/>
            <w:tcBorders>
              <w:left w:val="single" w:sz="4" w:space="0" w:color="auto"/>
              <w:right w:val="single" w:sz="4" w:space="0" w:color="auto"/>
            </w:tcBorders>
          </w:tcPr>
          <w:p>
            <w:r>
              <w:t>产品集成实施方案</w:t>
            </w:r>
          </w:p>
        </w:tc>
        <w:tc>
          <w:tcPr>
            <w:tcW w:w="7077" w:type="dxa"/>
            <w:tcBorders>
              <w:left w:val="single" w:sz="4" w:space="0" w:color="auto"/>
              <w:right w:val="single" w:sz="4" w:space="0" w:color="auto"/>
            </w:tcBorders>
          </w:tcPr>
          <w:p>
            <w:r>
              <w:t>按照招标文件第三部分项目需求书“七、售后服务要求”第2项要求，投标人需提供产品集成实施方案。 1.方案措施具体详细，内容全面，设计科学，思路清晰，完全契合项目需求产品集成实施实际，针对性可行性强，得5分；    2.方案有具体措施，设计合理，可以满足产品集成实施需求，针对性可行性较强，但方案内容（两个及以下）中有缺陷（缺陷包括：与事实不符、前后内容不一致、逻辑错误、不符合采购需求、内容有缺失等）得3分；    3.方案措施欠合理，内容有漏项，未完全包括需求书“七、售后服务要求”第2项内容要求，或三个及以上方案内容中存在缺陷（缺陷包括：与事实不符、前后内容不一致、逻辑错误、不符合采购需求、内容有缺失等）得1.5分；      4.未提供产品集成实施方案或方案严重脱离项目实际，得0分。</w:t>
            </w:r>
          </w:p>
        </w:tc>
        <w:tc>
          <w:tcPr>
            <w:tcW w:w="388" w:type="dxa"/>
          </w:tcPr>
          <w:p>
            <w:r>
              <w:t>勾选打分(0;1.5;3;5)</w:t>
            </w:r>
          </w:p>
        </w:tc>
      </w:tr>
      <w:tr>
        <w:tblPrEx>
          <w:tblW w:w="5000" w:type="pct"/>
          <w:jc w:val="left"/>
          <w:tblInd w:w="0" w:type="dxa"/>
          <w:tblCellMar>
            <w:top w:w="0" w:type="dxa"/>
            <w:left w:w="108" w:type="dxa"/>
            <w:bottom w:w="0" w:type="dxa"/>
            <w:right w:w="108" w:type="dxa"/>
          </w:tblCellMar>
        </w:tblPrEx>
        <w:trPr>
          <w:jc w:val="left"/>
        </w:trPr>
        <w:tc>
          <w:tcPr>
            <w:tcW w:w="269" w:type="dxa"/>
            <w:vMerge/>
          </w:tcPr>
          <w:p/>
        </w:tc>
        <w:tc>
          <w:tcPr>
            <w:tcW w:w="795" w:type="dxa"/>
            <w:tcBorders>
              <w:left w:val="single" w:sz="4" w:space="0" w:color="auto"/>
              <w:right w:val="single" w:sz="4" w:space="0" w:color="auto"/>
            </w:tcBorders>
          </w:tcPr>
          <w:p>
            <w:r>
              <w:t>售后服务承诺函</w:t>
            </w:r>
          </w:p>
        </w:tc>
        <w:tc>
          <w:tcPr>
            <w:tcW w:w="7077" w:type="dxa"/>
            <w:tcBorders>
              <w:left w:val="single" w:sz="4" w:space="0" w:color="auto"/>
              <w:right w:val="single" w:sz="4" w:space="0" w:color="auto"/>
            </w:tcBorders>
          </w:tcPr>
          <w:p>
            <w:r>
              <w:t>按照招标文件第三部分项目需求书“七、售后服务要求”第3项要求，投标人提供承诺函（函中内容包括但不限于项目名称、项目编号、承诺内容等要素，加盖投标人公章），且承诺完全满足招标文件规定的售后服务要求的，得0.5分；承诺函要素不全或承诺内容不完全覆盖招标文件要求的，得0分。</w:t>
            </w:r>
          </w:p>
        </w:tc>
        <w:tc>
          <w:tcPr>
            <w:tcW w:w="388" w:type="dxa"/>
          </w:tcPr>
          <w:p>
            <w:r>
              <w:t>勾选打分(0;0.5)</w:t>
            </w:r>
          </w:p>
        </w:tc>
      </w:tr>
      <w:tr>
        <w:tblPrEx>
          <w:tblW w:w="5000" w:type="pct"/>
          <w:jc w:val="left"/>
          <w:tblInd w:w="0" w:type="dxa"/>
          <w:tblCellMar>
            <w:top w:w="0" w:type="dxa"/>
            <w:left w:w="108" w:type="dxa"/>
            <w:bottom w:w="0" w:type="dxa"/>
            <w:right w:w="108" w:type="dxa"/>
          </w:tblCellMar>
        </w:tblPrEx>
        <w:trPr>
          <w:jc w:val="left"/>
        </w:trPr>
        <w:tc>
          <w:tcPr>
            <w:tcW w:w="269" w:type="dxa"/>
            <w:vMerge/>
          </w:tcPr>
          <w:p/>
        </w:tc>
        <w:tc>
          <w:tcPr>
            <w:tcW w:w="795" w:type="dxa"/>
            <w:tcBorders>
              <w:left w:val="single" w:sz="4" w:space="0" w:color="auto"/>
              <w:right w:val="single" w:sz="4" w:space="0" w:color="auto"/>
            </w:tcBorders>
          </w:tcPr>
          <w:p>
            <w:r>
              <w:t>建设期实施团队</w:t>
            </w:r>
          </w:p>
        </w:tc>
        <w:tc>
          <w:tcPr>
            <w:tcW w:w="7077" w:type="dxa"/>
            <w:tcBorders>
              <w:left w:val="single" w:sz="4" w:space="0" w:color="auto"/>
              <w:right w:val="single" w:sz="4" w:space="0" w:color="auto"/>
            </w:tcBorders>
          </w:tcPr>
          <w:p>
            <w:r>
              <w:t>按照招标文件第三部分项目需求书“七、售后服务要求”第4项要求，投标人按要求提供《拟投入本项目的团队情况表》《拟投入本项目的项目经理及技术人员简介》以及投标人为组成团队的相关人员缴纳的自招标公告发布之月前（不含当月）六个月内任意一个月社保缴纳证明复印件并加盖投标人公章。 材料提供齐全、每项材料项目完整、人员简介详细的，得4分； 材料提供齐全、每项材料项目完整、但人员简介以及其他内容不够详细，未对需求书中的所有要求进行应答的，得2分； 材料提供齐全、每项材料项目缺项、人员简介以及其他内容明显敷衍糊弄的，得0.5分； 三种材料任意一种材料未提供的，此项不得分。</w:t>
            </w:r>
          </w:p>
        </w:tc>
        <w:tc>
          <w:tcPr>
            <w:tcW w:w="388" w:type="dxa"/>
          </w:tcPr>
          <w:p>
            <w:r>
              <w:t>勾选打分(0;0.5;2;4)</w:t>
            </w:r>
          </w:p>
        </w:tc>
      </w:tr>
      <w:tr>
        <w:tblPrEx>
          <w:tblW w:w="5000" w:type="pct"/>
          <w:jc w:val="left"/>
          <w:tblInd w:w="0" w:type="dxa"/>
          <w:tblCellMar>
            <w:top w:w="0" w:type="dxa"/>
            <w:left w:w="108" w:type="dxa"/>
            <w:bottom w:w="0" w:type="dxa"/>
            <w:right w:w="108" w:type="dxa"/>
          </w:tblCellMar>
        </w:tblPrEx>
        <w:trPr>
          <w:jc w:val="left"/>
        </w:trPr>
        <w:tc>
          <w:tcPr>
            <w:tcW w:w="269" w:type="dxa"/>
            <w:vMerge/>
          </w:tcPr>
          <w:p/>
        </w:tc>
        <w:tc>
          <w:tcPr>
            <w:tcW w:w="795" w:type="dxa"/>
            <w:tcBorders>
              <w:left w:val="single" w:sz="4" w:space="0" w:color="auto"/>
              <w:right w:val="single" w:sz="4" w:space="0" w:color="auto"/>
            </w:tcBorders>
          </w:tcPr>
          <w:p>
            <w:r>
              <w:t>履约期内驻场要求承诺函</w:t>
            </w:r>
          </w:p>
        </w:tc>
        <w:tc>
          <w:tcPr>
            <w:tcW w:w="7077" w:type="dxa"/>
            <w:tcBorders>
              <w:left w:val="single" w:sz="4" w:space="0" w:color="auto"/>
              <w:right w:val="single" w:sz="4" w:space="0" w:color="auto"/>
            </w:tcBorders>
          </w:tcPr>
          <w:p>
            <w:r>
              <w:t>按照招标文件第三部分项目需求书“七、售后服务要求”第5项要求，投标人提供承诺函（函中内容包括但不限于项目名称、项目编号、承诺内容等要素，加盖投标人公章），且承诺完全满足招标文件规定的履约期内驻场要求的，得0.5分；承诺函要素不全或承诺内容不完全覆盖招标文件要求的，得0分。</w:t>
            </w:r>
          </w:p>
        </w:tc>
        <w:tc>
          <w:tcPr>
            <w:tcW w:w="388" w:type="dxa"/>
          </w:tcPr>
          <w:p>
            <w:r>
              <w:t>勾选打分(0;0.5)</w:t>
            </w:r>
          </w:p>
        </w:tc>
      </w:tr>
      <w:tr>
        <w:tblPrEx>
          <w:tblW w:w="5000" w:type="pct"/>
          <w:jc w:val="left"/>
          <w:tblInd w:w="0" w:type="dxa"/>
          <w:tblCellMar>
            <w:top w:w="0" w:type="dxa"/>
            <w:left w:w="108" w:type="dxa"/>
            <w:bottom w:w="0" w:type="dxa"/>
            <w:right w:w="108" w:type="dxa"/>
          </w:tblCellMar>
        </w:tblPrEx>
        <w:trPr>
          <w:jc w:val="left"/>
        </w:trPr>
        <w:tc>
          <w:tcPr>
            <w:tcW w:w="269" w:type="dxa"/>
            <w:vMerge/>
          </w:tcPr>
          <w:p/>
        </w:tc>
        <w:tc>
          <w:tcPr>
            <w:tcW w:w="795" w:type="dxa"/>
            <w:tcBorders>
              <w:left w:val="single" w:sz="4" w:space="0" w:color="auto"/>
              <w:right w:val="single" w:sz="4" w:space="0" w:color="auto"/>
            </w:tcBorders>
          </w:tcPr>
          <w:p>
            <w:r>
              <w:t>培训服务承诺函及技术培训方案</w:t>
            </w:r>
          </w:p>
        </w:tc>
        <w:tc>
          <w:tcPr>
            <w:tcW w:w="7077" w:type="dxa"/>
            <w:tcBorders>
              <w:left w:val="single" w:sz="4" w:space="0" w:color="auto"/>
              <w:right w:val="single" w:sz="4" w:space="0" w:color="auto"/>
            </w:tcBorders>
          </w:tcPr>
          <w:p>
            <w:r>
              <w:t>1.按照招标文件第三部分项目需求书“八、培训要求”中关于现场培训、集中培训以及培训讲师要求，投标人提供承诺函（函中内容包括但不限于项目名称、项目编号、承诺内容等要素，加盖投标人公章），且承诺完全满足招标文件规定的培训要求的，得1分；承诺函要素不全或承诺内容不完全覆盖招标文件要求的，得0分。  2.投标人须提供整体培训方案，培训方案包含不限于培训方式、培训内容、培训人员。需分考虑到使用人员实际水平，提出详细的培训方案，以达到使用人员能够独立使用投标人所提供的应用软件和日常的维护处理能力。培训方案详实合理，内容全面，方式灵活，层次分明，能切实保障培训效率和效果得4.5分；方案内容合理，可操作性基本可行，培训方式比较单一得3分；方案内容合理性、可操作性一般，培训方式单一得1.5分；此项缺失或内容有重大缺失得0分。</w:t>
            </w:r>
          </w:p>
        </w:tc>
        <w:tc>
          <w:tcPr>
            <w:tcW w:w="388" w:type="dxa"/>
          </w:tcPr>
          <w:p>
            <w:r>
              <w:t>区间打分(0-5.5)</w:t>
            </w:r>
          </w:p>
        </w:tc>
      </w:tr>
    </w:tbl>
    <w:p>
      <w:bookmarkEnd w:id="69"/>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70"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70"/>
    </w:p>
    <w:p>
      <w:pPr>
        <w:pStyle w:val="49100"/>
        <w:rPr>
          <w:rFonts w:ascii="Times New Roman" w:eastAsia="方正仿宋_GBK" w:hAnsi="Times New Roman"/>
          <w:b/>
          <w:bCs/>
          <w:sz w:val="32"/>
          <w:szCs w:val="32"/>
        </w:rPr>
      </w:pPr>
      <w:r>
        <w:rPr>
          <w:rFonts w:ascii="Times New Roman" w:eastAsia="方正小标宋_GBK" w:hAnsi="Times New Roman"/>
          <w:color w:val="000000"/>
          <w:sz w:val="44"/>
          <w:szCs w:val="20"/>
        </w:rPr>
        <w:t xml:space="preserve">     </w:t>
      </w:r>
      <w:bookmarkStart w:id="71" w:name="插入_TBWJGS_CONTRACT"/>
      <w:r>
        <w:rPr>
          <w:rFonts w:ascii="Times New Roman" w:eastAsia="方正仿宋_GBK" w:hAnsi="Times New Roman"/>
          <w:b/>
          <w:bCs/>
          <w:sz w:val="32"/>
          <w:szCs w:val="32"/>
        </w:rPr>
        <w:t>附件</w:t>
      </w:r>
      <w:r>
        <w:rPr>
          <w:rFonts w:ascii="Times New Roman" w:eastAsia="方正仿宋_GBK" w:hAnsi="Times New Roman" w:hint="eastAsia"/>
          <w:b/>
          <w:bCs/>
          <w:sz w:val="32"/>
          <w:szCs w:val="32"/>
        </w:rPr>
        <w:t>2</w:t>
      </w:r>
      <w:r>
        <w:rPr>
          <w:rFonts w:ascii="Times New Roman" w:eastAsia="方正仿宋_GBK" w:hAnsi="Times New Roman"/>
          <w:b/>
          <w:bCs/>
          <w:sz w:val="32"/>
          <w:szCs w:val="32"/>
        </w:rPr>
        <w:t>：</w:t>
      </w:r>
    </w:p>
    <w:p>
      <w:pPr>
        <w:pStyle w:val="11310"/>
        <w:spacing w:line="360" w:lineRule="auto"/>
        <w:jc w:val="center"/>
        <w:rPr>
          <w:rFonts w:ascii="宋体" w:hint="eastAsia"/>
          <w:color w:val="000000"/>
          <w:sz w:val="24"/>
        </w:rPr>
      </w:pPr>
      <w:r>
        <w:rPr>
          <w:rFonts w:ascii="宋体" w:hint="eastAsia"/>
          <w:color w:val="000000"/>
          <w:sz w:val="24"/>
        </w:rPr>
        <w:t xml:space="preserve">    </w:t>
      </w:r>
    </w:p>
    <w:p>
      <w:pPr>
        <w:pStyle w:val="10102"/>
        <w:wordWrap w:val="0"/>
        <w:autoSpaceDN w:val="0"/>
        <w:spacing w:line="360" w:lineRule="auto"/>
        <w:ind w:firstLine="480"/>
        <w:jc w:val="right"/>
        <w:rPr>
          <w:sz w:val="24"/>
          <w:szCs w:val="24"/>
        </w:rPr>
      </w:pPr>
      <w:r>
        <w:rPr>
          <w:sz w:val="28"/>
        </w:rPr>
        <w:t xml:space="preserve">       </w:t>
      </w:r>
      <w:r>
        <w:rPr>
          <w:rFonts w:hint="eastAsia"/>
          <w:sz w:val="28"/>
        </w:rPr>
        <w:t>合同号：</w:t>
      </w:r>
      <w:r>
        <w:rPr>
          <w:sz w:val="28"/>
        </w:rPr>
        <w:t xml:space="preserve">                 </w:t>
      </w: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jc w:val="center"/>
        <w:rPr>
          <w:rFonts w:ascii="宋体" w:hint="eastAsia"/>
          <w:b/>
          <w:bCs/>
          <w:sz w:val="52"/>
          <w:szCs w:val="52"/>
        </w:rPr>
      </w:pPr>
      <w:r>
        <w:rPr>
          <w:rFonts w:ascii="宋体" w:hint="eastAsia"/>
          <w:b/>
          <w:bCs/>
          <w:sz w:val="52"/>
          <w:szCs w:val="52"/>
        </w:rPr>
        <w:t>中国电子口岸数据中心</w:t>
      </w:r>
    </w:p>
    <w:p>
      <w:pPr>
        <w:pStyle w:val="10102"/>
        <w:autoSpaceDN w:val="0"/>
        <w:spacing w:line="360" w:lineRule="auto"/>
        <w:jc w:val="center"/>
        <w:rPr>
          <w:rFonts w:ascii="宋体" w:hint="eastAsia"/>
          <w:b/>
          <w:bCs/>
          <w:sz w:val="48"/>
          <w:szCs w:val="48"/>
        </w:rPr>
      </w:pPr>
      <w:r>
        <w:rPr>
          <w:rFonts w:ascii="宋体" w:hint="eastAsia"/>
          <w:b/>
          <w:bCs/>
          <w:sz w:val="52"/>
          <w:szCs w:val="52"/>
        </w:rPr>
        <w:t>XXX采购合同</w:t>
      </w: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jc w:val="center"/>
        <w:rPr>
          <w:rFonts w:ascii="宋体" w:hint="eastAsia"/>
          <w:sz w:val="30"/>
          <w:szCs w:val="30"/>
        </w:rPr>
      </w:pPr>
      <w:r>
        <w:rPr>
          <w:rFonts w:ascii="宋体" w:hint="eastAsia"/>
          <w:sz w:val="30"/>
          <w:szCs w:val="30"/>
        </w:rPr>
        <w:t>甲方：</w:t>
      </w:r>
    </w:p>
    <w:p>
      <w:pPr>
        <w:pStyle w:val="10102"/>
        <w:jc w:val="center"/>
        <w:rPr>
          <w:rFonts w:ascii="宋体" w:hint="eastAsia"/>
          <w:sz w:val="30"/>
          <w:szCs w:val="30"/>
        </w:rPr>
      </w:pPr>
      <w:r>
        <w:rPr>
          <w:rFonts w:ascii="宋体" w:hint="eastAsia"/>
          <w:sz w:val="30"/>
          <w:szCs w:val="30"/>
        </w:rPr>
        <w:t>乙方：</w:t>
      </w:r>
    </w:p>
    <w:p>
      <w:pPr>
        <w:pStyle w:val="10102"/>
        <w:jc w:val="center"/>
        <w:rPr>
          <w:rFonts w:ascii="宋体" w:hint="eastAsia"/>
          <w:sz w:val="30"/>
          <w:szCs w:val="30"/>
        </w:rPr>
      </w:pPr>
    </w:p>
    <w:p>
      <w:pPr>
        <w:pStyle w:val="10102"/>
        <w:jc w:val="center"/>
        <w:rPr>
          <w:rFonts w:ascii="宋体" w:hint="eastAsia"/>
          <w:sz w:val="30"/>
          <w:szCs w:val="30"/>
        </w:rPr>
      </w:pPr>
    </w:p>
    <w:p>
      <w:pPr>
        <w:pStyle w:val="10102"/>
        <w:jc w:val="center"/>
        <w:rPr>
          <w:rFonts w:ascii="宋体" w:hint="eastAsia"/>
          <w:sz w:val="30"/>
          <w:szCs w:val="30"/>
        </w:rPr>
      </w:pPr>
    </w:p>
    <w:p>
      <w:pPr>
        <w:pStyle w:val="11310"/>
        <w:spacing w:line="360" w:lineRule="auto"/>
        <w:jc w:val="center"/>
        <w:rPr>
          <w:rFonts w:ascii="宋体" w:hint="eastAsia"/>
          <w:sz w:val="30"/>
          <w:szCs w:val="30"/>
        </w:rPr>
      </w:pPr>
      <w:r>
        <w:rPr>
          <w:rFonts w:ascii="宋体" w:hint="eastAsia"/>
          <w:sz w:val="30"/>
          <w:szCs w:val="30"/>
        </w:rPr>
        <w:t>日期：年  月</w:t>
      </w:r>
    </w:p>
    <w:p>
      <w:pPr>
        <w:pStyle w:val="192910"/>
        <w:jc w:val="center"/>
        <w:rPr>
          <w:b/>
          <w:bCs/>
          <w:sz w:val="32"/>
          <w:szCs w:val="32"/>
        </w:rPr>
      </w:pPr>
      <w:r>
        <w:rPr>
          <w:rFonts w:ascii="宋体" w:hint="eastAsia"/>
          <w:color w:val="000000"/>
          <w:sz w:val="24"/>
        </w:rPr>
        <w:br w:type="page"/>
      </w:r>
      <w:r>
        <w:rPr>
          <w:b/>
          <w:bCs/>
          <w:sz w:val="32"/>
          <w:szCs w:val="32"/>
        </w:rPr>
        <w:t>XXX</w:t>
      </w:r>
      <w:r>
        <w:rPr>
          <w:rFonts w:hint="eastAsia"/>
          <w:b/>
          <w:bCs/>
          <w:sz w:val="32"/>
          <w:szCs w:val="32"/>
        </w:rPr>
        <w:t>采购</w:t>
      </w:r>
      <w:r>
        <w:rPr>
          <w:b/>
          <w:bCs/>
          <w:sz w:val="32"/>
          <w:szCs w:val="32"/>
        </w:rPr>
        <w:t>合同</w:t>
      </w:r>
    </w:p>
    <w:p>
      <w:pPr>
        <w:pStyle w:val="41910"/>
        <w:spacing w:line="360" w:lineRule="auto"/>
        <w:ind w:firstLine="480"/>
        <w:rPr>
          <w:sz w:val="24"/>
          <w:szCs w:val="24"/>
        </w:rPr>
      </w:pPr>
    </w:p>
    <w:p>
      <w:pPr>
        <w:pStyle w:val="41910"/>
        <w:spacing w:line="360" w:lineRule="auto"/>
        <w:ind w:firstLine="480"/>
        <w:rPr>
          <w:sz w:val="24"/>
          <w:szCs w:val="24"/>
        </w:rPr>
      </w:pPr>
    </w:p>
    <w:p>
      <w:pPr>
        <w:pStyle w:val="41910"/>
        <w:spacing w:line="360" w:lineRule="auto"/>
        <w:ind w:firstLine="480"/>
        <w:rPr>
          <w:sz w:val="24"/>
          <w:szCs w:val="24"/>
        </w:rPr>
      </w:pPr>
    </w:p>
    <w:p>
      <w:pPr>
        <w:pStyle w:val="193010"/>
        <w:spacing w:line="360" w:lineRule="auto"/>
        <w:jc w:val="left"/>
        <w:rPr>
          <w:rFonts w:ascii="宋体" w:hint="eastAsia"/>
          <w:sz w:val="24"/>
        </w:rPr>
      </w:pPr>
      <w:r>
        <w:rPr>
          <w:rFonts w:ascii="宋体" w:hint="eastAsia"/>
          <w:sz w:val="24"/>
        </w:rPr>
        <w:t>甲方（买方）：</w:t>
      </w:r>
    </w:p>
    <w:p>
      <w:pPr>
        <w:pStyle w:val="193010"/>
        <w:spacing w:line="360" w:lineRule="auto"/>
        <w:jc w:val="left"/>
        <w:rPr>
          <w:rFonts w:ascii="宋体" w:hint="eastAsia"/>
          <w:sz w:val="24"/>
        </w:rPr>
      </w:pPr>
      <w:r>
        <w:rPr>
          <w:rFonts w:ascii="宋体" w:hint="eastAsia"/>
          <w:sz w:val="24"/>
        </w:rPr>
        <w:t>地址</w:t>
      </w:r>
    </w:p>
    <w:p>
      <w:pPr>
        <w:pStyle w:val="193010"/>
        <w:spacing w:line="360" w:lineRule="auto"/>
        <w:jc w:val="left"/>
        <w:rPr>
          <w:rFonts w:ascii="宋体" w:hint="eastAsia"/>
          <w:sz w:val="24"/>
        </w:rPr>
      </w:pPr>
      <w:r>
        <w:rPr>
          <w:rFonts w:ascii="宋体" w:hint="eastAsia"/>
          <w:sz w:val="24"/>
        </w:rPr>
        <w:t>法定代表人：</w:t>
      </w:r>
    </w:p>
    <w:p>
      <w:pPr>
        <w:pStyle w:val="193010"/>
        <w:spacing w:line="400" w:lineRule="exact"/>
        <w:rPr>
          <w:rFonts w:ascii="宋体" w:hint="eastAsia"/>
          <w:sz w:val="24"/>
        </w:rPr>
      </w:pPr>
      <w:r>
        <w:rPr>
          <w:rFonts w:ascii="宋体" w:hint="eastAsia"/>
          <w:sz w:val="24"/>
        </w:rPr>
        <w:t>联系人：</w:t>
      </w:r>
    </w:p>
    <w:p>
      <w:pPr>
        <w:pStyle w:val="193010"/>
        <w:spacing w:line="400" w:lineRule="exact"/>
        <w:rPr>
          <w:rFonts w:ascii="宋体" w:hint="eastAsia"/>
          <w:sz w:val="24"/>
        </w:rPr>
      </w:pPr>
      <w:r>
        <w:rPr>
          <w:rFonts w:ascii="宋体" w:hint="eastAsia"/>
          <w:sz w:val="24"/>
        </w:rPr>
        <w:t>电  话：</w:t>
      </w:r>
    </w:p>
    <w:p>
      <w:pPr>
        <w:pStyle w:val="193010"/>
        <w:spacing w:line="360" w:lineRule="auto"/>
        <w:jc w:val="left"/>
        <w:rPr>
          <w:rFonts w:ascii="宋体" w:hint="eastAsia"/>
          <w:sz w:val="24"/>
        </w:rPr>
      </w:pPr>
    </w:p>
    <w:p>
      <w:pPr>
        <w:pStyle w:val="227"/>
        <w:ind w:firstLine="0"/>
        <w:jc w:val="left"/>
        <w:rPr>
          <w:rFonts w:ascii="宋体" w:hint="eastAsia"/>
        </w:rPr>
      </w:pPr>
      <w:r>
        <w:rPr>
          <w:rFonts w:ascii="宋体" w:hint="eastAsia"/>
        </w:rPr>
        <w:t xml:space="preserve">乙方（卖方）： </w:t>
      </w:r>
    </w:p>
    <w:p>
      <w:pPr>
        <w:pStyle w:val="227"/>
        <w:ind w:firstLine="0"/>
        <w:jc w:val="left"/>
        <w:rPr>
          <w:rFonts w:ascii="宋体" w:hint="eastAsia"/>
        </w:rPr>
      </w:pPr>
      <w:r>
        <w:rPr>
          <w:rFonts w:ascii="宋体" w:hint="eastAsia"/>
        </w:rPr>
        <w:t xml:space="preserve">地  址： </w:t>
      </w:r>
    </w:p>
    <w:p>
      <w:pPr>
        <w:pStyle w:val="227"/>
        <w:ind w:firstLine="0"/>
        <w:jc w:val="left"/>
        <w:rPr>
          <w:rFonts w:ascii="宋体" w:hint="eastAsia"/>
        </w:rPr>
      </w:pPr>
      <w:r>
        <w:rPr>
          <w:rFonts w:ascii="宋体" w:hint="eastAsia"/>
        </w:rPr>
        <w:t>法定代表人：</w:t>
      </w:r>
    </w:p>
    <w:p>
      <w:pPr>
        <w:pStyle w:val="227"/>
        <w:ind w:firstLine="0"/>
        <w:jc w:val="left"/>
        <w:rPr>
          <w:rFonts w:ascii="宋体" w:hint="eastAsia"/>
        </w:rPr>
      </w:pPr>
      <w:r>
        <w:rPr>
          <w:rFonts w:ascii="宋体" w:hint="eastAsia"/>
        </w:rPr>
        <w:t xml:space="preserve">联系人： </w:t>
      </w:r>
    </w:p>
    <w:p>
      <w:pPr>
        <w:pStyle w:val="11310"/>
        <w:spacing w:line="360" w:lineRule="auto"/>
        <w:rPr>
          <w:rFonts w:ascii="宋体" w:hint="eastAsia"/>
          <w:color w:val="000000"/>
          <w:sz w:val="24"/>
        </w:rPr>
      </w:pPr>
      <w:r>
        <w:rPr>
          <w:rFonts w:ascii="宋体" w:hint="eastAsia"/>
          <w:sz w:val="24"/>
        </w:rPr>
        <w:t xml:space="preserve">电  话： </w:t>
      </w:r>
      <w:r>
        <w:rPr>
          <w:rFonts w:ascii="宋体" w:hint="eastAsia"/>
          <w:color w:val="000000"/>
          <w:sz w:val="24"/>
        </w:rPr>
        <w:br w:type="page"/>
        <w:t xml:space="preserve">    根据</w:t>
      </w:r>
      <w:r>
        <w:rPr>
          <w:rFonts w:ascii="宋体" w:hint="eastAsia"/>
          <w:snapToGrid w:val="0"/>
          <w:color w:val="000000"/>
          <w:kern w:val="0"/>
          <w:sz w:val="24"/>
        </w:rPr>
        <w:t>《中华人民共和国民法典》</w:t>
      </w:r>
      <w:r>
        <w:rPr>
          <w:rFonts w:ascii="宋体" w:cs="宋体" w:hint="eastAsia"/>
          <w:sz w:val="24"/>
          <w:lang w:bidi="ar-SA"/>
        </w:rPr>
        <w:t>（中华人民共和国主席令〔2020〕第45号）</w:t>
      </w:r>
      <w:r>
        <w:rPr>
          <w:rFonts w:ascii="宋体" w:hint="eastAsia"/>
          <w:snapToGrid w:val="0"/>
          <w:color w:val="000000"/>
          <w:kern w:val="0"/>
          <w:sz w:val="24"/>
        </w:rPr>
        <w:t>、</w:t>
      </w:r>
      <w:r>
        <w:rPr>
          <w:rFonts w:ascii="宋体" w:hint="eastAsia"/>
          <w:color w:val="000000"/>
          <w:sz w:val="24"/>
        </w:rPr>
        <w:t>《中华人民共和国政府采购法》</w:t>
      </w:r>
      <w:r>
        <w:rPr>
          <w:rFonts w:ascii="宋体" w:cs="宋体" w:hint="eastAsia"/>
          <w:sz w:val="24"/>
          <w:lang w:bidi="ar-SA"/>
        </w:rPr>
        <w:t>（中华人民共和国主席令〔2021〕第83号）</w:t>
      </w:r>
      <w:r>
        <w:rPr>
          <w:rFonts w:ascii="宋体" w:hint="eastAsia"/>
          <w:color w:val="000000"/>
          <w:sz w:val="24"/>
        </w:rPr>
        <w:t>等相关法律规定，甲方对</w:t>
      </w:r>
      <w:r>
        <w:rPr>
          <w:rFonts w:ascii="宋体" w:hint="eastAsia"/>
          <w:color w:val="000000"/>
          <w:sz w:val="24"/>
          <w:u w:val="single"/>
        </w:rPr>
        <w:t>XXX</w:t>
      </w:r>
      <w:r>
        <w:rPr>
          <w:rFonts w:ascii="宋体" w:hint="eastAsia"/>
          <w:color w:val="000000"/>
          <w:sz w:val="24"/>
        </w:rPr>
        <w:t>采购项目以</w:t>
      </w:r>
      <w:r>
        <w:rPr>
          <w:rFonts w:ascii="宋体" w:hint="eastAsia"/>
          <w:color w:val="000000"/>
          <w:sz w:val="24"/>
          <w:u w:val="single"/>
        </w:rPr>
        <w:t xml:space="preserve">     </w:t>
      </w:r>
      <w:r>
        <w:rPr>
          <w:rFonts w:ascii="宋体" w:hint="eastAsia"/>
          <w:color w:val="000000"/>
          <w:sz w:val="24"/>
        </w:rPr>
        <w:t xml:space="preserve">方式进行采购（采购项目编号： </w:t>
      </w:r>
      <w:r>
        <w:rPr>
          <w:rFonts w:ascii="宋体" w:hint="eastAsia"/>
          <w:color w:val="000000"/>
          <w:sz w:val="24"/>
          <w:u w:val="single"/>
        </w:rPr>
        <w:t xml:space="preserve">     </w:t>
      </w:r>
      <w:r>
        <w:rPr>
          <w:rFonts w:ascii="宋体" w:hint="eastAsia"/>
          <w:color w:val="000000"/>
          <w:sz w:val="24"/>
        </w:rPr>
        <w:t>），确定乙方为中标人（   ），现依照招标文件、投标文件等相关文件的内容，双方达成如下协议：</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第一条 采购货物清单</w:t>
      </w:r>
    </w:p>
    <w:p>
      <w:pPr>
        <w:pStyle w:val="PlainText"/>
        <w:spacing w:line="360" w:lineRule="auto"/>
        <w:ind w:firstLine="480" w:firstLineChars="200"/>
        <w:rPr>
          <w:rFonts w:cs="Times New Roman"/>
          <w:bCs/>
          <w:color w:val="000000"/>
          <w:kern w:val="0"/>
          <w:sz w:val="24"/>
          <w:szCs w:val="24"/>
        </w:rPr>
      </w:pPr>
      <w:r>
        <w:rPr>
          <w:rFonts w:cs="Times New Roman" w:hint="eastAsia"/>
          <w:bCs/>
          <w:color w:val="000000"/>
          <w:kern w:val="0"/>
          <w:sz w:val="24"/>
          <w:szCs w:val="24"/>
          <w:lang w:bidi="ar-SA"/>
        </w:rPr>
        <w:t>货物清单</w:t>
      </w:r>
    </w:p>
    <w:tbl>
      <w:tblPr>
        <w:tblW w:w="9237" w:type="dxa"/>
        <w:jc w:val="left"/>
        <w:tblInd w:w="-176"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844"/>
        <w:gridCol w:w="1275"/>
        <w:gridCol w:w="1735"/>
        <w:gridCol w:w="878"/>
        <w:gridCol w:w="878"/>
        <w:gridCol w:w="1290"/>
        <w:gridCol w:w="1337"/>
      </w:tblGrid>
      <w:tr>
        <w:tblPrEx>
          <w:tblW w:w="9237" w:type="dxa"/>
          <w:jc w:val="left"/>
          <w:tblInd w:w="-176"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11410"/>
              <w:autoSpaceDN w:val="0"/>
              <w:adjustRightInd w:val="0"/>
              <w:snapToGrid w:val="0"/>
              <w:spacing w:line="360" w:lineRule="auto"/>
              <w:jc w:val="center"/>
              <w:rPr>
                <w:b/>
                <w:bCs/>
                <w:color w:val="000000"/>
                <w:sz w:val="24"/>
                <w:szCs w:val="24"/>
              </w:rPr>
            </w:pPr>
            <w:r>
              <w:rPr>
                <w:rFonts w:hint="eastAsia"/>
                <w:b/>
                <w:bCs/>
                <w:color w:val="000000"/>
                <w:sz w:val="24"/>
                <w:szCs w:val="24"/>
              </w:rPr>
              <w:t>货物名称</w:t>
            </w:r>
          </w:p>
        </w:tc>
        <w:tc>
          <w:tcPr>
            <w:tcW w:w="1275"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b/>
                <w:bCs/>
                <w:color w:val="000000"/>
                <w:sz w:val="24"/>
                <w:szCs w:val="24"/>
              </w:rPr>
            </w:pPr>
            <w:r>
              <w:rPr>
                <w:rFonts w:hint="eastAsia"/>
                <w:b/>
                <w:bCs/>
                <w:color w:val="000000"/>
                <w:sz w:val="24"/>
                <w:szCs w:val="24"/>
              </w:rPr>
              <w:t>品牌</w:t>
            </w:r>
          </w:p>
        </w:tc>
        <w:tc>
          <w:tcPr>
            <w:tcW w:w="1735" w:type="dxa"/>
            <w:tcBorders>
              <w:top w:val="single" w:sz="4" w:space="0" w:color="auto"/>
              <w:left w:val="single" w:sz="4" w:space="0" w:color="auto"/>
              <w:bottom w:val="single" w:sz="4" w:space="0" w:color="auto"/>
              <w:right w:val="single" w:sz="4" w:space="0" w:color="auto"/>
            </w:tcBorders>
            <w:vAlign w:val="center"/>
          </w:tcPr>
          <w:p>
            <w:pPr>
              <w:pStyle w:val="11510"/>
              <w:autoSpaceDN w:val="0"/>
              <w:adjustRightInd w:val="0"/>
              <w:snapToGrid w:val="0"/>
              <w:spacing w:line="360" w:lineRule="auto"/>
              <w:jc w:val="center"/>
              <w:rPr>
                <w:rFonts w:ascii="宋体" w:hint="eastAsia"/>
                <w:b/>
                <w:bCs/>
                <w:color w:val="000000"/>
                <w:sz w:val="24"/>
                <w:szCs w:val="24"/>
              </w:rPr>
            </w:pPr>
            <w:r>
              <w:rPr>
                <w:rFonts w:ascii="宋体" w:hint="eastAsia"/>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11610"/>
              <w:autoSpaceDN w:val="0"/>
              <w:adjustRightInd w:val="0"/>
              <w:snapToGrid w:val="0"/>
              <w:spacing w:line="360" w:lineRule="auto"/>
              <w:jc w:val="center"/>
              <w:rPr>
                <w:b/>
                <w:bCs/>
                <w:color w:val="000000"/>
                <w:sz w:val="24"/>
                <w:szCs w:val="24"/>
              </w:rPr>
            </w:pPr>
            <w:r>
              <w:rPr>
                <w:rFonts w:hint="eastAsia"/>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11610"/>
              <w:autoSpaceDN w:val="0"/>
              <w:adjustRightInd w:val="0"/>
              <w:snapToGrid w:val="0"/>
              <w:spacing w:line="360" w:lineRule="auto"/>
              <w:jc w:val="center"/>
              <w:rPr>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117100"/>
              <w:autoSpaceDN w:val="0"/>
              <w:adjustRightInd w:val="0"/>
              <w:snapToGrid w:val="0"/>
              <w:spacing w:line="360" w:lineRule="auto"/>
              <w:jc w:val="center"/>
              <w:rPr>
                <w:b/>
                <w:bCs/>
                <w:color w:val="000000"/>
                <w:sz w:val="24"/>
                <w:szCs w:val="24"/>
              </w:rPr>
            </w:pPr>
            <w:r>
              <w:rPr>
                <w:rFonts w:hint="eastAsia"/>
                <w:b/>
                <w:bCs/>
                <w:color w:val="000000"/>
                <w:sz w:val="24"/>
                <w:szCs w:val="24"/>
              </w:rPr>
              <w:t>单价（元）</w:t>
            </w:r>
          </w:p>
        </w:tc>
        <w:tc>
          <w:tcPr>
            <w:tcW w:w="1337" w:type="dxa"/>
            <w:tcBorders>
              <w:top w:val="single" w:sz="4" w:space="0" w:color="auto"/>
              <w:left w:val="single" w:sz="4" w:space="0" w:color="auto"/>
              <w:bottom w:val="single" w:sz="4" w:space="0" w:color="auto"/>
              <w:right w:val="single" w:sz="4" w:space="0" w:color="auto"/>
            </w:tcBorders>
            <w:vAlign w:val="center"/>
          </w:tcPr>
          <w:p>
            <w:pPr>
              <w:pStyle w:val="11810"/>
              <w:autoSpaceDN w:val="0"/>
              <w:adjustRightInd w:val="0"/>
              <w:snapToGrid w:val="0"/>
              <w:spacing w:line="360" w:lineRule="auto"/>
              <w:jc w:val="center"/>
              <w:rPr>
                <w:b/>
                <w:bCs/>
                <w:color w:val="000000"/>
                <w:sz w:val="24"/>
                <w:szCs w:val="24"/>
              </w:rPr>
            </w:pPr>
            <w:r>
              <w:rPr>
                <w:rFonts w:hint="eastAsia"/>
                <w:b/>
                <w:bCs/>
                <w:color w:val="000000"/>
                <w:sz w:val="24"/>
                <w:szCs w:val="24"/>
              </w:rPr>
              <w:t>合计（元）</w:t>
            </w:r>
          </w:p>
        </w:tc>
      </w:tr>
      <w:tr>
        <w:tblPrEx>
          <w:tblW w:w="9237" w:type="dxa"/>
          <w:jc w:val="left"/>
          <w:tblInd w:w="-176"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11310"/>
              <w:widowControl/>
              <w:jc w:val="center"/>
              <w:rPr>
                <w:rFonts w:ascii="宋体" w:hint="eastAsia"/>
                <w:color w:val="000000"/>
                <w:kern w:val="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11310"/>
              <w:widowControl/>
              <w:jc w:val="center"/>
              <w:rPr>
                <w:rFonts w:ascii="宋体" w:hint="eastAsia"/>
                <w:color w:val="000000"/>
                <w:kern w:val="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11310"/>
              <w:widowControl/>
              <w:jc w:val="center"/>
              <w:rPr>
                <w:rFonts w:ascii="宋体" w:hint="eastAsia"/>
                <w:color w:val="000000"/>
                <w:kern w:val="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r>
      <w:tr>
        <w:tblPrEx>
          <w:tblW w:w="9237" w:type="dxa"/>
          <w:jc w:val="left"/>
          <w:tblInd w:w="-176"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r>
      <w:tr>
        <w:tblPrEx>
          <w:tblW w:w="9237" w:type="dxa"/>
          <w:jc w:val="left"/>
          <w:tblInd w:w="-176"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r>
      <w:tr>
        <w:tblPrEx>
          <w:tblW w:w="9237" w:type="dxa"/>
          <w:jc w:val="left"/>
          <w:tblInd w:w="-176"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r>
      <w:tr>
        <w:tblPrEx>
          <w:tblW w:w="9237" w:type="dxa"/>
          <w:jc w:val="left"/>
          <w:tblInd w:w="-176"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r>
      <w:tr>
        <w:tblPrEx>
          <w:tblW w:w="9237" w:type="dxa"/>
          <w:jc w:val="left"/>
          <w:tblInd w:w="-176"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r>
      <w:tr>
        <w:tblPrEx>
          <w:tblW w:w="9237" w:type="dxa"/>
          <w:jc w:val="left"/>
          <w:tblInd w:w="-176"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r>
      <w:tr>
        <w:tblPrEx>
          <w:tblW w:w="9237" w:type="dxa"/>
          <w:jc w:val="left"/>
          <w:tblInd w:w="-176"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1310"/>
              <w:jc w:val="center"/>
              <w:rPr>
                <w:rFonts w:ascii="宋体" w:hint="eastAsia"/>
              </w:rPr>
            </w:pPr>
          </w:p>
        </w:tc>
      </w:tr>
      <w:tr>
        <w:tblPrEx>
          <w:tblW w:w="9237" w:type="dxa"/>
          <w:jc w:val="left"/>
          <w:tblInd w:w="-176" w:type="dxa"/>
          <w:tblLayout w:type="fixed"/>
          <w:tblCellMar>
            <w:top w:w="0" w:type="dxa"/>
            <w:left w:w="108" w:type="dxa"/>
            <w:bottom w:w="0" w:type="dxa"/>
            <w:right w:w="108" w:type="dxa"/>
          </w:tblCellMar>
        </w:tblPrEx>
        <w:trPr>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rPr>
            </w:pPr>
            <w:r>
              <w:rPr>
                <w:b/>
                <w:bCs/>
                <w:color w:val="000000"/>
                <w:sz w:val="24"/>
                <w:szCs w:val="24"/>
              </w:rPr>
              <w:t>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11310"/>
              <w:widowControl/>
              <w:jc w:val="center"/>
              <w:rPr>
                <w:rFonts w:ascii="宋体" w:hint="eastAsia"/>
                <w:color w:val="000000"/>
                <w:kern w:val="0"/>
                <w:szCs w:val="21"/>
              </w:rPr>
            </w:pPr>
          </w:p>
        </w:tc>
      </w:tr>
      <w:tr>
        <w:tblPrEx>
          <w:tblW w:w="9237" w:type="dxa"/>
          <w:jc w:val="left"/>
          <w:tblInd w:w="-176" w:type="dxa"/>
          <w:tblLayout w:type="fixed"/>
          <w:tblCellMar>
            <w:top w:w="0" w:type="dxa"/>
            <w:left w:w="108" w:type="dxa"/>
            <w:bottom w:w="0" w:type="dxa"/>
            <w:right w:w="108" w:type="dxa"/>
          </w:tblCellMar>
        </w:tblPrEx>
        <w:trPr>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rPr>
            </w:pPr>
            <w:r>
              <w:rPr>
                <w:b/>
                <w:bCs/>
                <w:color w:val="000000"/>
                <w:sz w:val="24"/>
                <w:szCs w:val="24"/>
              </w:rPr>
              <w:t>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Cs/>
                <w:color w:val="000000"/>
                <w:sz w:val="24"/>
                <w:szCs w:val="24"/>
              </w:rPr>
            </w:pPr>
          </w:p>
        </w:tc>
      </w:tr>
      <w:tr>
        <w:tblPrEx>
          <w:tblW w:w="9237" w:type="dxa"/>
          <w:jc w:val="left"/>
          <w:tblInd w:w="-176" w:type="dxa"/>
          <w:tblLayout w:type="fixed"/>
          <w:tblCellMar>
            <w:top w:w="0" w:type="dxa"/>
            <w:left w:w="108" w:type="dxa"/>
            <w:bottom w:w="0" w:type="dxa"/>
            <w:right w:w="108" w:type="dxa"/>
          </w:tblCellMar>
        </w:tblPrEx>
        <w:trPr>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rPr>
            </w:pPr>
            <w:r>
              <w:rPr>
                <w:b/>
                <w:bCs/>
                <w:color w:val="000000"/>
                <w:sz w:val="24"/>
                <w:szCs w:val="24"/>
              </w:rPr>
              <w:t>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Cs/>
                <w:color w:val="000000"/>
                <w:sz w:val="24"/>
                <w:szCs w:val="24"/>
              </w:rPr>
            </w:pPr>
          </w:p>
        </w:tc>
      </w:tr>
      <w:tr>
        <w:tblPrEx>
          <w:tblW w:w="9237" w:type="dxa"/>
          <w:jc w:val="left"/>
          <w:tblInd w:w="-176" w:type="dxa"/>
          <w:tblLayout w:type="fixed"/>
          <w:tblCellMar>
            <w:top w:w="0" w:type="dxa"/>
            <w:left w:w="108" w:type="dxa"/>
            <w:bottom w:w="0" w:type="dxa"/>
            <w:right w:w="108" w:type="dxa"/>
          </w:tblCellMar>
        </w:tblPrEx>
        <w:trPr>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highlight w:val="yellow"/>
                <w:u w:val="single"/>
              </w:rPr>
            </w:pPr>
            <w:r>
              <w:rPr>
                <w:b/>
                <w:bCs/>
                <w:color w:val="000000"/>
                <w:sz w:val="24"/>
                <w:szCs w:val="24"/>
              </w:rPr>
              <w:t>制造商维保服务费（</w:t>
            </w:r>
            <w:r>
              <w:rPr>
                <w:b/>
                <w:bCs/>
                <w:color w:val="000000"/>
                <w:sz w:val="24"/>
                <w:szCs w:val="24"/>
                <w:u w:val="single"/>
              </w:rPr>
              <w:t>三年）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Cs/>
                <w:color w:val="000000"/>
                <w:sz w:val="24"/>
                <w:szCs w:val="24"/>
              </w:rPr>
            </w:pPr>
          </w:p>
        </w:tc>
      </w:tr>
      <w:tr>
        <w:tblPrEx>
          <w:tblW w:w="9237" w:type="dxa"/>
          <w:jc w:val="left"/>
          <w:tblInd w:w="-176" w:type="dxa"/>
          <w:tblLayout w:type="fixed"/>
          <w:tblCellMar>
            <w:top w:w="0" w:type="dxa"/>
            <w:left w:w="108" w:type="dxa"/>
            <w:bottom w:w="0" w:type="dxa"/>
            <w:right w:w="108" w:type="dxa"/>
          </w:tblCellMar>
        </w:tblPrEx>
        <w:trPr>
          <w:cantSplit/>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rPr>
            </w:pPr>
            <w:r>
              <w:rPr>
                <w:b/>
                <w:bCs/>
                <w:color w:val="000000"/>
                <w:sz w:val="24"/>
                <w:szCs w:val="24"/>
              </w:rPr>
              <w:t>合同总价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Cs/>
                <w:color w:val="000000"/>
                <w:sz w:val="24"/>
                <w:szCs w:val="24"/>
              </w:rPr>
            </w:pPr>
          </w:p>
        </w:tc>
      </w:tr>
    </w:tbl>
    <w:p>
      <w:pPr>
        <w:pStyle w:val="11310"/>
        <w:spacing w:line="360" w:lineRule="auto"/>
        <w:ind w:firstLine="480" w:firstLineChars="200"/>
        <w:rPr>
          <w:rFonts w:ascii="宋体" w:hint="eastAsia"/>
          <w:b/>
          <w:bCs/>
          <w:color w:val="000000"/>
          <w:sz w:val="24"/>
        </w:rPr>
      </w:pPr>
      <w:r>
        <w:rPr>
          <w:rFonts w:ascii="宋体" w:hint="eastAsia"/>
          <w:b/>
          <w:bCs/>
          <w:color w:val="000000"/>
          <w:sz w:val="24"/>
        </w:rPr>
        <w:t>第二条 合同总价款</w:t>
      </w:r>
    </w:p>
    <w:p>
      <w:pPr>
        <w:pStyle w:val="10311"/>
        <w:spacing w:line="360" w:lineRule="auto"/>
        <w:ind w:firstLine="480" w:firstLineChars="200"/>
        <w:rPr>
          <w:rFonts w:ascii="宋体" w:eastAsia="宋体" w:hint="eastAsia"/>
          <w:b/>
          <w:bCs/>
          <w:color w:val="000000"/>
          <w:sz w:val="24"/>
          <w:szCs w:val="24"/>
        </w:rPr>
      </w:pPr>
      <w:r>
        <w:rPr>
          <w:rFonts w:ascii="宋体" w:eastAsia="宋体" w:hint="eastAsia"/>
          <w:color w:val="000000"/>
          <w:sz w:val="24"/>
          <w:szCs w:val="24"/>
        </w:rPr>
        <w:t>甲方以支付总价款（人民币大写）</w:t>
      </w:r>
      <w:r>
        <w:rPr>
          <w:rFonts w:ascii="宋体" w:eastAsia="宋体" w:hint="eastAsia"/>
          <w:color w:val="000000"/>
          <w:sz w:val="24"/>
          <w:szCs w:val="24"/>
          <w:u w:val="single"/>
        </w:rPr>
        <w:t xml:space="preserve">      </w:t>
      </w:r>
      <w:r>
        <w:rPr>
          <w:rFonts w:ascii="宋体" w:eastAsia="宋体" w:hint="eastAsia"/>
          <w:color w:val="000000"/>
          <w:sz w:val="24"/>
          <w:szCs w:val="24"/>
        </w:rPr>
        <w:t>元，接受乙方对上述货物的供货和伴随服务。包括乙方提供货物、包装、运输、货物的保险和储存、检测、验收、安装调试、保修服务、培训、资料及提供的伴随服务等所有成本、费用及税费，甲方无需再向乙方支付其他任何费用。详见附件分项报价表、设备配置清单和技术偏离表。</w:t>
      </w:r>
    </w:p>
    <w:p>
      <w:pPr>
        <w:pStyle w:val="10311"/>
        <w:spacing w:line="360" w:lineRule="auto"/>
        <w:ind w:firstLine="480" w:firstLineChars="200"/>
        <w:rPr>
          <w:rFonts w:ascii="宋体" w:eastAsia="宋体" w:hint="eastAsia"/>
          <w:color w:val="000000"/>
          <w:sz w:val="24"/>
          <w:szCs w:val="24"/>
        </w:rPr>
      </w:pPr>
      <w:r>
        <w:rPr>
          <w:rFonts w:ascii="宋体" w:eastAsia="宋体" w:hint="eastAsia"/>
          <w:b/>
          <w:bCs/>
          <w:color w:val="000000"/>
          <w:sz w:val="24"/>
          <w:szCs w:val="24"/>
        </w:rPr>
        <w:t>第三条 付款条件</w:t>
      </w:r>
    </w:p>
    <w:p>
      <w:pPr>
        <w:pStyle w:val="11310"/>
        <w:spacing w:line="360" w:lineRule="auto"/>
        <w:ind w:firstLine="480" w:firstLineChars="200"/>
        <w:rPr>
          <w:rFonts w:ascii="宋体" w:hint="eastAsia"/>
          <w:color w:val="000000"/>
          <w:sz w:val="24"/>
        </w:rPr>
      </w:pPr>
      <w:r>
        <w:rPr>
          <w:rFonts w:ascii="宋体" w:hint="eastAsia"/>
          <w:color w:val="000000"/>
          <w:sz w:val="24"/>
        </w:rPr>
        <w:t>（一）本合同以人民币付款。</w:t>
      </w:r>
    </w:p>
    <w:p>
      <w:pPr>
        <w:pStyle w:val="11310"/>
        <w:spacing w:line="360" w:lineRule="auto"/>
        <w:ind w:firstLine="480" w:firstLineChars="200"/>
        <w:rPr>
          <w:rFonts w:ascii="宋体" w:hint="eastAsia"/>
          <w:color w:val="000000"/>
          <w:sz w:val="24"/>
        </w:rPr>
      </w:pPr>
      <w:r>
        <w:rPr>
          <w:rFonts w:ascii="宋体" w:hint="eastAsia"/>
          <w:color w:val="000000"/>
          <w:sz w:val="24"/>
        </w:rPr>
        <w:t>（二）付款办法：</w:t>
      </w:r>
    </w:p>
    <w:p>
      <w:pPr>
        <w:pStyle w:val="11310"/>
        <w:spacing w:line="360" w:lineRule="auto"/>
        <w:ind w:firstLine="480" w:firstLineChars="200"/>
        <w:rPr>
          <w:rFonts w:ascii="宋体" w:hint="eastAsia"/>
          <w:color w:val="000000"/>
          <w:sz w:val="24"/>
        </w:rPr>
      </w:pPr>
      <w:r>
        <w:rPr>
          <w:rFonts w:ascii="宋体" w:hint="eastAsia"/>
          <w:color w:val="000000"/>
          <w:sz w:val="24"/>
        </w:rPr>
        <w:t>1.乙方向甲方交付履约保证金，</w:t>
      </w:r>
      <w:r>
        <w:rPr>
          <w:rFonts w:ascii="宋体" w:hint="eastAsia"/>
          <w:snapToGrid w:val="0"/>
          <w:color w:val="000000"/>
          <w:sz w:val="24"/>
          <w:lang w:val="zh-CN" w:eastAsia="zh-CN" w:bidi="en-US"/>
        </w:rPr>
        <w:t>设备全部到货并甲方签收，</w:t>
      </w:r>
      <w:r>
        <w:rPr>
          <w:rFonts w:ascii="宋体" w:hint="eastAsia"/>
          <w:color w:val="000000"/>
          <w:sz w:val="24"/>
        </w:rPr>
        <w:t>并提交下列单据之日起10个工作日内，甲方向乙方支付合同总价</w:t>
      </w:r>
      <w:r>
        <w:rPr>
          <w:rFonts w:ascii="宋体" w:hint="eastAsia"/>
          <w:color w:val="000000"/>
          <w:sz w:val="24"/>
          <w:u w:val="single"/>
        </w:rPr>
        <w:t xml:space="preserve">   %</w:t>
      </w:r>
      <w:r>
        <w:rPr>
          <w:rFonts w:ascii="宋体" w:hint="eastAsia"/>
          <w:color w:val="000000"/>
          <w:sz w:val="24"/>
        </w:rPr>
        <w:t>合同款（即人民币</w:t>
      </w:r>
      <w:r>
        <w:rPr>
          <w:rFonts w:ascii="宋体" w:hint="eastAsia"/>
          <w:color w:val="000000"/>
          <w:sz w:val="24"/>
          <w:u w:val="single"/>
        </w:rPr>
        <w:t xml:space="preserve">    </w:t>
      </w:r>
      <w:r>
        <w:rPr>
          <w:rFonts w:ascii="宋体" w:hint="eastAsia"/>
          <w:color w:val="000000"/>
          <w:sz w:val="24"/>
        </w:rPr>
        <w:t>元整）。</w:t>
      </w:r>
    </w:p>
    <w:p>
      <w:pPr>
        <w:pStyle w:val="11310"/>
        <w:spacing w:line="360" w:lineRule="auto"/>
        <w:ind w:firstLine="480" w:firstLineChars="200"/>
        <w:rPr>
          <w:rFonts w:ascii="宋体" w:hint="eastAsia"/>
          <w:color w:val="000000"/>
          <w:sz w:val="24"/>
        </w:rPr>
      </w:pPr>
      <w:r>
        <w:rPr>
          <w:rFonts w:ascii="宋体" w:hint="eastAsia"/>
          <w:color w:val="000000"/>
          <w:sz w:val="24"/>
        </w:rPr>
        <w:t>乙方提交单据：合同（正文部分复印件）、中标通知书、发票（原件）、履约保证金单据。</w:t>
      </w:r>
    </w:p>
    <w:p>
      <w:pPr>
        <w:pStyle w:val="11310"/>
        <w:spacing w:line="360" w:lineRule="auto"/>
        <w:ind w:firstLine="480" w:firstLineChars="200"/>
        <w:rPr>
          <w:rFonts w:ascii="宋体" w:hint="eastAsia"/>
          <w:color w:val="000000"/>
          <w:sz w:val="24"/>
        </w:rPr>
      </w:pPr>
      <w:r>
        <w:rPr>
          <w:rFonts w:ascii="宋体" w:hint="eastAsia"/>
          <w:color w:val="000000"/>
          <w:sz w:val="24"/>
        </w:rPr>
        <w:t>2.设备全部安装调试</w:t>
      </w:r>
      <w:r>
        <w:rPr>
          <w:rFonts w:ascii="宋体" w:hint="eastAsia"/>
          <w:snapToGrid w:val="0"/>
          <w:color w:val="000000"/>
          <w:sz w:val="24"/>
          <w:lang w:val="zh-CN" w:eastAsia="zh-CN" w:bidi="en-US"/>
        </w:rPr>
        <w:t>、全模块集成、数据迁移等实施工作，</w:t>
      </w:r>
      <w:r>
        <w:rPr>
          <w:rFonts w:ascii="宋体" w:hint="eastAsia"/>
          <w:color w:val="000000"/>
          <w:sz w:val="24"/>
        </w:rPr>
        <w:t>并经甲方验收合格后，乙方向甲方提交下列单据之日起10个工作日内，甲方向乙方支付合同总价</w:t>
      </w:r>
      <w:r>
        <w:rPr>
          <w:rFonts w:ascii="宋体" w:hint="eastAsia"/>
          <w:color w:val="000000"/>
          <w:sz w:val="24"/>
          <w:u w:val="single"/>
        </w:rPr>
        <w:t xml:space="preserve">   %</w:t>
      </w:r>
      <w:r>
        <w:rPr>
          <w:rFonts w:ascii="宋体" w:hint="eastAsia"/>
          <w:color w:val="000000"/>
          <w:sz w:val="24"/>
        </w:rPr>
        <w:t>合同款（即人民币    元整）。</w:t>
      </w:r>
    </w:p>
    <w:p>
      <w:pPr>
        <w:pStyle w:val="11310"/>
        <w:spacing w:line="360" w:lineRule="auto"/>
        <w:ind w:firstLine="480" w:firstLineChars="200"/>
        <w:rPr>
          <w:rFonts w:ascii="宋体" w:hint="eastAsia"/>
          <w:color w:val="000000"/>
          <w:sz w:val="24"/>
        </w:rPr>
      </w:pPr>
      <w:r>
        <w:rPr>
          <w:rFonts w:ascii="宋体" w:hint="eastAsia"/>
          <w:color w:val="000000"/>
          <w:sz w:val="24"/>
        </w:rPr>
        <w:t>乙方提交单据：发票（原件）、</w:t>
      </w:r>
      <w:r>
        <w:rPr>
          <w:rFonts w:ascii="宋体" w:hint="eastAsia"/>
          <w:snapToGrid w:val="0"/>
          <w:sz w:val="24"/>
          <w:lang w:val="zh-CN" w:eastAsia="zh-CN" w:bidi="en-US"/>
        </w:rPr>
        <w:t>实施验收</w:t>
      </w:r>
      <w:r>
        <w:rPr>
          <w:rFonts w:ascii="宋体" w:hint="eastAsia"/>
          <w:snapToGrid w:val="0"/>
          <w:color w:val="000000"/>
          <w:sz w:val="24"/>
          <w:lang w:val="zh-CN" w:eastAsia="zh-CN" w:bidi="en-US"/>
        </w:rPr>
        <w:t>合格报告（须装订成册）（复印件）</w:t>
      </w:r>
      <w:r>
        <w:rPr>
          <w:rFonts w:ascii="宋体" w:hint="eastAsia"/>
          <w:color w:val="000000"/>
          <w:sz w:val="24"/>
        </w:rPr>
        <w:t>。</w:t>
      </w:r>
    </w:p>
    <w:p>
      <w:pPr>
        <w:pStyle w:val="11310"/>
        <w:spacing w:line="360" w:lineRule="auto"/>
        <w:ind w:firstLine="480" w:firstLineChars="200"/>
        <w:rPr>
          <w:rFonts w:ascii="宋体" w:hint="eastAsia"/>
          <w:snapToGrid w:val="0"/>
          <w:color w:val="000000"/>
          <w:sz w:val="24"/>
          <w:lang w:val="zh-CN" w:bidi="en-US"/>
        </w:rPr>
      </w:pPr>
      <w:r>
        <w:rPr>
          <w:rFonts w:ascii="宋体" w:hint="eastAsia"/>
          <w:color w:val="000000"/>
          <w:sz w:val="24"/>
        </w:rPr>
        <w:t>3.</w:t>
      </w:r>
      <w:r>
        <w:rPr>
          <w:rFonts w:ascii="宋体" w:hint="eastAsia"/>
          <w:snapToGrid w:val="0"/>
          <w:color w:val="000000"/>
          <w:sz w:val="24"/>
          <w:lang w:val="zh-CN" w:eastAsia="zh-CN" w:bidi="en-US"/>
        </w:rPr>
        <w:t>完成整体项目验收，且通过专家评审合格后，乙方向甲方提交下列单据之日起10个工作日内，甲方向乙方支付合同总</w:t>
      </w:r>
      <w:r>
        <w:rPr>
          <w:rFonts w:ascii="宋体" w:hint="eastAsia"/>
          <w:color w:val="000000"/>
          <w:sz w:val="24"/>
          <w:u w:val="single"/>
        </w:rPr>
        <w:t xml:space="preserve">   %</w:t>
      </w:r>
      <w:r>
        <w:rPr>
          <w:rFonts w:ascii="宋体" w:hint="eastAsia"/>
          <w:snapToGrid w:val="0"/>
          <w:color w:val="000000"/>
          <w:sz w:val="24"/>
          <w:lang w:val="zh-CN" w:eastAsia="zh-CN" w:bidi="en-US"/>
        </w:rPr>
        <w:t>合同款</w:t>
      </w:r>
      <w:r>
        <w:rPr>
          <w:rFonts w:ascii="宋体" w:hint="eastAsia"/>
          <w:color w:val="000000"/>
          <w:sz w:val="24"/>
        </w:rPr>
        <w:t>（即人民币</w:t>
      </w:r>
      <w:r>
        <w:rPr>
          <w:rFonts w:ascii="宋体" w:hint="eastAsia"/>
          <w:color w:val="000000"/>
          <w:sz w:val="24"/>
          <w:u w:val="single"/>
        </w:rPr>
        <w:t xml:space="preserve">    </w:t>
      </w:r>
      <w:r>
        <w:rPr>
          <w:rFonts w:ascii="宋体" w:hint="eastAsia"/>
          <w:color w:val="000000"/>
          <w:sz w:val="24"/>
        </w:rPr>
        <w:t>元整）</w:t>
      </w:r>
      <w:r>
        <w:rPr>
          <w:rFonts w:ascii="宋体" w:hint="eastAsia"/>
          <w:snapToGrid w:val="0"/>
          <w:color w:val="000000"/>
          <w:sz w:val="24"/>
          <w:lang w:val="zh-CN" w:eastAsia="zh-CN" w:bidi="en-US"/>
        </w:rPr>
        <w:t>。</w:t>
      </w:r>
    </w:p>
    <w:p>
      <w:pPr>
        <w:pStyle w:val="11310"/>
        <w:spacing w:line="360" w:lineRule="auto"/>
        <w:ind w:firstLine="480" w:firstLineChars="200"/>
        <w:rPr>
          <w:rFonts w:ascii="宋体" w:hint="eastAsia"/>
          <w:color w:val="000000"/>
          <w:sz w:val="24"/>
        </w:rPr>
      </w:pPr>
      <w:r>
        <w:rPr>
          <w:rFonts w:ascii="宋体" w:hint="eastAsia"/>
          <w:color w:val="000000"/>
          <w:sz w:val="24"/>
        </w:rPr>
        <w:t>乙方</w:t>
      </w:r>
      <w:r>
        <w:rPr>
          <w:rFonts w:ascii="宋体" w:hint="eastAsia"/>
          <w:snapToGrid w:val="0"/>
          <w:color w:val="000000"/>
          <w:sz w:val="24"/>
          <w:lang w:val="zh-CN" w:eastAsia="zh-CN" w:bidi="en-US"/>
        </w:rPr>
        <w:t>提交单据：发票（原件）、项目验收合格报告（须装订成册）（复印件）。</w:t>
      </w:r>
    </w:p>
    <w:p>
      <w:pPr>
        <w:pStyle w:val="11310"/>
        <w:spacing w:line="360" w:lineRule="auto"/>
        <w:ind w:firstLine="480" w:firstLineChars="200"/>
        <w:rPr>
          <w:rFonts w:ascii="宋体" w:hint="eastAsia"/>
          <w:color w:val="000000"/>
          <w:sz w:val="24"/>
        </w:rPr>
      </w:pPr>
      <w:r>
        <w:rPr>
          <w:rFonts w:ascii="宋体" w:hint="eastAsia"/>
          <w:color w:val="000000"/>
          <w:sz w:val="24"/>
        </w:rPr>
        <w:t>4.因财政集中支付等非甲方原因造成付款延误，甲方不承担任何责任。乙方提交付款单据延迟、缺失及账户信息错误的，甲方有权相应顺延付款期限，且甲方不承担任何责任。</w:t>
      </w:r>
    </w:p>
    <w:p>
      <w:pPr>
        <w:pStyle w:val="47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乙方收取货款账户为：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lang w:bidi="ar-SA"/>
              </w:rPr>
              <w:t>乙方全称</w:t>
            </w:r>
          </w:p>
        </w:tc>
        <w:tc>
          <w:tcPr>
            <w:tcW w:w="6051" w:type="dxa"/>
            <w:vAlign w:val="center"/>
          </w:tcPr>
          <w:p>
            <w:pPr>
              <w:pStyle w:val="4710"/>
              <w:autoSpaceDN w:val="0"/>
              <w:spacing w:line="360" w:lineRule="auto"/>
              <w:jc w:val="center"/>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6051" w:type="dxa"/>
            <w:vAlign w:val="center"/>
          </w:tcPr>
          <w:p>
            <w:pPr>
              <w:pStyle w:val="4710"/>
              <w:autoSpaceDN w:val="0"/>
              <w:spacing w:line="360" w:lineRule="auto"/>
              <w:jc w:val="center"/>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6051" w:type="dxa"/>
            <w:vAlign w:val="center"/>
          </w:tcPr>
          <w:p>
            <w:pPr>
              <w:pStyle w:val="4710"/>
              <w:autoSpaceDN w:val="0"/>
              <w:spacing w:line="360" w:lineRule="auto"/>
              <w:jc w:val="center"/>
              <w:rPr>
                <w:rFonts w:ascii="宋体" w:cs="微软雅黑" w:hint="eastAsia"/>
                <w:snapToGrid w:val="0"/>
                <w:kern w:val="0"/>
                <w:sz w:val="24"/>
                <w:szCs w:val="24"/>
              </w:rPr>
            </w:pPr>
          </w:p>
        </w:tc>
      </w:tr>
    </w:tbl>
    <w:p>
      <w:pPr>
        <w:pStyle w:val="11310"/>
        <w:spacing w:line="360" w:lineRule="auto"/>
        <w:ind w:firstLine="480" w:firstLineChars="200"/>
        <w:rPr>
          <w:rFonts w:ascii="宋体" w:hint="eastAsia"/>
          <w:b/>
          <w:bCs/>
          <w:color w:val="000000"/>
          <w:sz w:val="24"/>
        </w:rPr>
      </w:pPr>
      <w:r>
        <w:rPr>
          <w:rFonts w:ascii="宋体" w:hint="eastAsia"/>
          <w:b/>
          <w:bCs/>
          <w:color w:val="000000"/>
          <w:sz w:val="24"/>
        </w:rPr>
        <w:t>第四条 履约保证金</w:t>
      </w:r>
    </w:p>
    <w:p>
      <w:pPr>
        <w:pStyle w:val="2312"/>
        <w:spacing w:line="360" w:lineRule="auto"/>
        <w:ind w:firstLine="480" w:firstLineChars="200"/>
        <w:rPr>
          <w:rFonts w:ascii="宋体" w:eastAsia="宋体" w:hint="eastAsia"/>
          <w:color w:val="000000"/>
          <w:sz w:val="24"/>
          <w:szCs w:val="24"/>
          <w:highlight w:val="yellow"/>
        </w:rPr>
      </w:pPr>
      <w:r>
        <w:rPr>
          <w:rFonts w:ascii="宋体" w:eastAsia="宋体" w:hint="eastAsia"/>
          <w:color w:val="000000"/>
          <w:sz w:val="24"/>
          <w:szCs w:val="24"/>
        </w:rPr>
        <w:t>（一）合同签订之日起</w:t>
      </w:r>
      <w:r>
        <w:rPr>
          <w:rFonts w:ascii="宋体" w:eastAsia="宋体" w:hint="eastAsia"/>
          <w:color w:val="000000"/>
          <w:sz w:val="24"/>
          <w:szCs w:val="24"/>
          <w:u w:val="single"/>
        </w:rPr>
        <w:t>10</w:t>
      </w:r>
      <w:r>
        <w:rPr>
          <w:rFonts w:ascii="宋体" w:eastAsia="宋体" w:hint="eastAsia"/>
          <w:color w:val="000000"/>
          <w:sz w:val="24"/>
          <w:szCs w:val="24"/>
        </w:rPr>
        <w:t>个工作日内，乙方须按合同金额的</w:t>
      </w:r>
      <w:r>
        <w:rPr>
          <w:rFonts w:ascii="宋体" w:eastAsia="宋体" w:hint="eastAsia"/>
          <w:color w:val="000000"/>
          <w:sz w:val="24"/>
          <w:szCs w:val="24"/>
          <w:u w:val="single"/>
        </w:rPr>
        <w:t>10%</w:t>
      </w:r>
      <w:r>
        <w:rPr>
          <w:rFonts w:ascii="宋体" w:eastAsia="宋体" w:hint="eastAsia"/>
          <w:color w:val="000000"/>
          <w:sz w:val="24"/>
          <w:szCs w:val="24"/>
        </w:rPr>
        <w:t>向甲方交纳履约保证金。如果乙方未按照约定时间交付履约保证金的，甲方有权单方面解除合同。</w:t>
      </w:r>
    </w:p>
    <w:p>
      <w:pPr>
        <w:pStyle w:val="505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lang w:bidi="ar-SA"/>
              </w:rPr>
              <w:t>收款单位全称</w:t>
            </w:r>
          </w:p>
        </w:tc>
        <w:tc>
          <w:tcPr>
            <w:tcW w:w="5469" w:type="dxa"/>
            <w:vAlign w:val="center"/>
          </w:tcPr>
          <w:p>
            <w:pPr>
              <w:pStyle w:val="50510"/>
              <w:autoSpaceDN w:val="0"/>
              <w:spacing w:line="360" w:lineRule="auto"/>
              <w:ind w:firstLine="480" w:firstLineChars="200"/>
              <w:jc w:val="center"/>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5469" w:type="dxa"/>
            <w:vAlign w:val="center"/>
          </w:tcPr>
          <w:p>
            <w:pPr>
              <w:pStyle w:val="50510"/>
              <w:autoSpaceDN w:val="0"/>
              <w:spacing w:line="360" w:lineRule="auto"/>
              <w:ind w:firstLine="480" w:firstLineChars="200"/>
              <w:jc w:val="center"/>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5469" w:type="dxa"/>
            <w:vAlign w:val="center"/>
          </w:tcPr>
          <w:p>
            <w:pPr>
              <w:pStyle w:val="50510"/>
              <w:autoSpaceDN w:val="0"/>
              <w:spacing w:line="360" w:lineRule="auto"/>
              <w:ind w:firstLine="480" w:firstLineChars="200"/>
              <w:jc w:val="center"/>
              <w:rPr>
                <w:rFonts w:ascii="宋体" w:cs="微软雅黑" w:hint="eastAsia"/>
                <w:snapToGrid w:val="0"/>
                <w:kern w:val="0"/>
                <w:sz w:val="24"/>
                <w:szCs w:val="24"/>
              </w:rPr>
            </w:pPr>
          </w:p>
        </w:tc>
      </w:tr>
    </w:tbl>
    <w:p>
      <w:pPr>
        <w:pStyle w:val="23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（二）履约保证金以银行保函、银行电汇向甲方提供。</w:t>
      </w:r>
    </w:p>
    <w:p>
      <w:pPr>
        <w:pStyle w:val="2105"/>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（三）履约保证金有效期：</w:t>
      </w:r>
      <w:r>
        <w:rPr>
          <w:rFonts w:ascii="宋体" w:eastAsia="宋体" w:cs="方正仿宋_GBK" w:hint="eastAsia"/>
          <w:color w:val="000000"/>
          <w:sz w:val="24"/>
          <w:szCs w:val="24"/>
          <w:lang w:bidi="ar-SA"/>
        </w:rPr>
        <w:t>自履约保证金或履约保函提交之日至项目验收合格1年后30个日历日止（因投标人原因造成延期履约的，履约保证金有效期相应顺延）</w:t>
      </w:r>
    </w:p>
    <w:p>
      <w:pPr>
        <w:pStyle w:val="11310"/>
        <w:spacing w:line="360" w:lineRule="auto"/>
        <w:ind w:firstLine="480" w:firstLineChars="200"/>
        <w:rPr>
          <w:rFonts w:ascii="宋体" w:hint="eastAsia"/>
          <w:color w:val="000000"/>
          <w:sz w:val="24"/>
        </w:rPr>
      </w:pPr>
      <w:r>
        <w:rPr>
          <w:rFonts w:ascii="宋体" w:hint="eastAsia"/>
          <w:color w:val="000000"/>
          <w:sz w:val="24"/>
        </w:rPr>
        <w:t>（四）如乙方未能履行合同规定的义务，甲方有权按照本合同的约定从履约保证金中进行相应扣除。乙方应在甲方扣除履约保证金之日起10个工作日内，及时补充扣除部分金额。</w:t>
      </w:r>
    </w:p>
    <w:p>
      <w:pPr>
        <w:pStyle w:val="11310"/>
        <w:spacing w:line="360" w:lineRule="auto"/>
        <w:ind w:firstLine="480" w:firstLineChars="200"/>
        <w:rPr>
          <w:rFonts w:ascii="宋体" w:hint="eastAsia"/>
          <w:color w:val="000000"/>
          <w:sz w:val="24"/>
        </w:rPr>
      </w:pPr>
      <w:r>
        <w:rPr>
          <w:rFonts w:ascii="宋体" w:hint="eastAsia"/>
          <w:color w:val="000000"/>
          <w:sz w:val="24"/>
        </w:rPr>
        <w:t>（五）如乙方不履行合同，或履行合同义务不符合约定使得合同目的不能实现，履约保证金不予退还。</w:t>
      </w:r>
    </w:p>
    <w:p>
      <w:pPr>
        <w:pStyle w:val="11310"/>
        <w:spacing w:line="360" w:lineRule="auto"/>
        <w:ind w:firstLine="480" w:firstLineChars="200"/>
        <w:rPr>
          <w:rFonts w:ascii="宋体" w:hint="eastAsia"/>
          <w:color w:val="000000"/>
          <w:sz w:val="24"/>
        </w:rPr>
      </w:pPr>
      <w:r>
        <w:rPr>
          <w:rFonts w:ascii="宋体" w:hint="eastAsia"/>
          <w:color w:val="000000"/>
          <w:sz w:val="24"/>
        </w:rPr>
        <w:t>（六）履约保证金在有效期满后，甲方凭乙方提交退款申请，15个工作日内无息退还。</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第五条 包装</w:t>
      </w:r>
    </w:p>
    <w:p>
      <w:pPr>
        <w:pStyle w:val="9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（一）除合同另有规定外，乙方提供的全部货物均应按标准</w:t>
      </w:r>
      <w:r>
        <w:rPr>
          <w:rFonts w:ascii="宋体" w:eastAsia="宋体" w:hint="eastAsia"/>
          <w:snapToGrid w:val="0"/>
          <w:color w:val="000000"/>
          <w:kern w:val="0"/>
          <w:sz w:val="24"/>
          <w:szCs w:val="24"/>
        </w:rPr>
        <w:t>保护措施进行包装，这类包装应适应于远距离运输、防潮、防震、</w:t>
      </w:r>
      <w:r>
        <w:rPr>
          <w:rFonts w:ascii="宋体" w:eastAsia="宋体" w:hint="eastAsia"/>
          <w:color w:val="000000"/>
          <w:sz w:val="24"/>
          <w:szCs w:val="24"/>
        </w:rPr>
        <w:t>防锈和防野蛮装卸，以确保货物安全无损运抵指定交货地点。</w:t>
      </w:r>
    </w:p>
    <w:p>
      <w:pPr>
        <w:pStyle w:val="9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（二）乙方应在包装箱外标明合同名称、合同编号、产品名称、型号，包装箱内随附一份详细装箱单和质量证书。</w:t>
      </w:r>
    </w:p>
    <w:p>
      <w:pPr>
        <w:pStyle w:val="11310"/>
        <w:spacing w:line="360" w:lineRule="auto"/>
        <w:ind w:firstLine="480" w:firstLineChars="200"/>
        <w:rPr>
          <w:rFonts w:ascii="宋体" w:hint="eastAsia"/>
          <w:color w:val="000000"/>
          <w:sz w:val="24"/>
        </w:rPr>
      </w:pPr>
      <w:r>
        <w:rPr>
          <w:rFonts w:ascii="宋体" w:hint="eastAsia"/>
          <w:color w:val="000000"/>
          <w:sz w:val="24"/>
        </w:rPr>
        <w:t>（三）乙方应承担由于其包装或防护措施不当而引起的货物损坏和丢失的任何损失责任和费用。</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第六条 交货时间、地点、交货方法（运输方式）</w:t>
      </w:r>
    </w:p>
    <w:p>
      <w:pPr>
        <w:pStyle w:val="931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（一</w:t>
      </w:r>
      <w:r>
        <w:rPr>
          <w:rFonts w:ascii="宋体" w:eastAsia="宋体" w:hint="eastAsia"/>
          <w:snapToGrid w:val="0"/>
          <w:color w:val="000000"/>
          <w:kern w:val="0"/>
          <w:sz w:val="24"/>
          <w:szCs w:val="24"/>
        </w:rPr>
        <w:t>）交</w:t>
      </w:r>
      <w:r>
        <w:rPr>
          <w:rFonts w:ascii="宋体" w:eastAsia="宋体" w:hint="eastAsia"/>
          <w:color w:val="000000"/>
          <w:sz w:val="24"/>
          <w:szCs w:val="24"/>
        </w:rPr>
        <w:t xml:space="preserve">货时间：合同签订后 </w:t>
      </w:r>
      <w:r>
        <w:rPr>
          <w:rFonts w:ascii="宋体" w:eastAsia="宋体" w:hint="eastAsia"/>
          <w:color w:val="000000"/>
          <w:sz w:val="24"/>
          <w:szCs w:val="24"/>
          <w:u w:val="single"/>
        </w:rPr>
        <w:t xml:space="preserve">   </w:t>
      </w:r>
      <w:r>
        <w:rPr>
          <w:rFonts w:ascii="宋体" w:eastAsia="宋体" w:hint="eastAsia"/>
          <w:color w:val="000000"/>
          <w:sz w:val="24"/>
          <w:szCs w:val="24"/>
        </w:rPr>
        <w:t xml:space="preserve"> 日内完成交货安装。</w:t>
      </w:r>
    </w:p>
    <w:p>
      <w:pPr>
        <w:pStyle w:val="94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（二）交货地点：分配清单指定地点，详见附件。</w:t>
      </w:r>
    </w:p>
    <w:p>
      <w:pPr>
        <w:pStyle w:val="321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三）交货方法：由乙方负责采用适合的交通工具将采购货物及其附件运至交货现场并按甲方要求完成卸货，以双方签署设备到货验收签收单为准，交货时应一并交付货物的有关单证。货物从生产厂运至甲方指定地点的运输、劳务及相关保险的办理由乙方负责并承担相应费用。</w:t>
      </w:r>
    </w:p>
    <w:p>
      <w:pPr>
        <w:pStyle w:val="1813"/>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（四）风险责任承担：货物的风险责任和所有权在双方签署设备到货验收签收单及安装调试验收合格报告后由甲方承担和享有，此前的风险责任由乙方承担。</w:t>
      </w:r>
    </w:p>
    <w:p>
      <w:pPr>
        <w:pStyle w:val="212"/>
        <w:spacing w:line="360" w:lineRule="auto"/>
        <w:ind w:firstLine="480" w:firstLineChars="200"/>
        <w:rPr>
          <w:rFonts w:ascii="宋体" w:hint="eastAsia"/>
          <w:color w:val="000000"/>
          <w:sz w:val="24"/>
          <w:szCs w:val="24"/>
        </w:rPr>
      </w:pPr>
      <w:r>
        <w:rPr>
          <w:rFonts w:ascii="宋体" w:hint="eastAsia"/>
          <w:b/>
          <w:bCs/>
          <w:color w:val="000000"/>
          <w:sz w:val="24"/>
          <w:szCs w:val="24"/>
        </w:rPr>
        <w:t>第七条 货物验收</w:t>
      </w:r>
    </w:p>
    <w:p>
      <w:pPr>
        <w:pStyle w:val="3"/>
        <w:ind w:firstLine="480" w:firstLineChars="200"/>
        <w:rPr>
          <w:rFonts w:ascii="宋体" w:hint="eastAsia"/>
          <w:color w:val="000000"/>
          <w:sz w:val="24"/>
          <w:szCs w:val="24"/>
          <w:lang w:eastAsia="zh-CN"/>
        </w:rPr>
      </w:pPr>
      <w:r>
        <w:rPr>
          <w:rFonts w:ascii="宋体" w:hint="eastAsia"/>
          <w:color w:val="000000"/>
          <w:sz w:val="24"/>
          <w:szCs w:val="24"/>
          <w:lang w:eastAsia="zh-CN"/>
        </w:rPr>
        <w:t>（一）货物运至甲方指定地点后，由甲乙双方指派人员按照本合同规定对货物进行验收，乙方应提供交货清单等文件供甲方审查，甲方将按合同清单进行规格、数量、外观的检查。</w:t>
      </w:r>
    </w:p>
    <w:p>
      <w:pPr>
        <w:pStyle w:val="114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（二）收货后</w:t>
      </w:r>
      <w:r>
        <w:rPr>
          <w:rFonts w:ascii="宋体" w:eastAsia="宋体" w:hint="eastAsia"/>
          <w:color w:val="000000"/>
          <w:sz w:val="24"/>
          <w:szCs w:val="24"/>
          <w:u w:val="single"/>
        </w:rPr>
        <w:t xml:space="preserve">   </w:t>
      </w:r>
      <w:r>
        <w:rPr>
          <w:rFonts w:ascii="宋体" w:eastAsia="宋体" w:hint="eastAsia"/>
          <w:color w:val="000000"/>
          <w:sz w:val="24"/>
          <w:szCs w:val="24"/>
        </w:rPr>
        <w:t>个工作日内甲乙双方进行到货验收工作。如验收合格，甲方应及时履行验收手续，双方签署设备到货验收签收单；如验收不合格，甲方应以书面形式通知乙方原因，乙方收到通知后</w:t>
      </w:r>
      <w:r>
        <w:rPr>
          <w:rFonts w:ascii="宋体" w:eastAsia="宋体" w:hint="eastAsia"/>
          <w:color w:val="000000"/>
          <w:sz w:val="24"/>
          <w:szCs w:val="24"/>
          <w:u w:val="single"/>
        </w:rPr>
        <w:t xml:space="preserve">   </w:t>
      </w:r>
      <w:r>
        <w:rPr>
          <w:rFonts w:ascii="宋体" w:eastAsia="宋体" w:hint="eastAsia"/>
          <w:color w:val="000000"/>
          <w:sz w:val="24"/>
          <w:szCs w:val="24"/>
        </w:rPr>
        <w:t>个工作日内提供解决方案。</w:t>
      </w:r>
    </w:p>
    <w:p>
      <w:pPr>
        <w:pStyle w:val="3"/>
        <w:ind w:firstLine="480" w:firstLineChars="200"/>
        <w:rPr>
          <w:rFonts w:ascii="宋体" w:hint="eastAsia"/>
          <w:color w:val="000000"/>
          <w:sz w:val="24"/>
          <w:szCs w:val="24"/>
          <w:lang w:eastAsia="zh-CN"/>
        </w:rPr>
      </w:pPr>
      <w:r>
        <w:rPr>
          <w:rFonts w:ascii="宋体" w:hint="eastAsia"/>
          <w:color w:val="000000"/>
          <w:sz w:val="24"/>
          <w:szCs w:val="24"/>
          <w:lang w:eastAsia="zh-CN"/>
        </w:rPr>
        <w:t>（三）在验收工作中，发现数量不足或有质量、技术等问题，乙方应按照合同要求采取补足、更换或退货等处理措施，并承担由此发生的一切费用和损失。</w:t>
      </w:r>
    </w:p>
    <w:p>
      <w:pPr>
        <w:pStyle w:val="3"/>
        <w:ind w:firstLine="480" w:firstLineChars="200"/>
        <w:rPr>
          <w:rFonts w:ascii="宋体" w:hint="eastAsia"/>
          <w:color w:val="000000"/>
          <w:sz w:val="24"/>
          <w:szCs w:val="24"/>
          <w:lang w:eastAsia="zh-CN"/>
        </w:rPr>
      </w:pPr>
      <w:r>
        <w:rPr>
          <w:rFonts w:ascii="宋体" w:hint="eastAsia"/>
          <w:color w:val="000000"/>
          <w:sz w:val="24"/>
          <w:szCs w:val="24"/>
          <w:lang w:eastAsia="zh-CN"/>
        </w:rPr>
        <w:t>（四）涉及设备安装调试的，乙方负责在甲方配合下完成所供设备安装调试并保证与用户原有设备互联互通，有关技术问题由乙方和制造商协同解决。安装调试后，双方签署设备安装调试验收报告。有关安装调试服务详见附件实施方案。</w:t>
      </w:r>
    </w:p>
    <w:p>
      <w:pPr>
        <w:pStyle w:val="810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（五）合同项下货物生产期间，甲方有权派工作人员到生产厂进行监造、现场抽样和出厂前验核。此次验核不代表甲方对货物的最终验收。期间相关费用，包括技术交流和技术材料费等由乙方负担。</w:t>
      </w:r>
    </w:p>
    <w:p>
      <w:pPr>
        <w:pStyle w:val="3"/>
        <w:ind w:firstLine="480" w:firstLineChars="200"/>
        <w:rPr>
          <w:rFonts w:ascii="宋体" w:hint="eastAsia"/>
          <w:color w:val="000000"/>
          <w:sz w:val="24"/>
          <w:szCs w:val="24"/>
          <w:lang w:eastAsia="zh-CN"/>
        </w:rPr>
      </w:pPr>
      <w:r>
        <w:rPr>
          <w:rFonts w:ascii="宋体" w:hint="eastAsia"/>
          <w:color w:val="000000"/>
          <w:sz w:val="24"/>
          <w:szCs w:val="24"/>
          <w:lang w:eastAsia="zh-CN"/>
        </w:rPr>
        <w:t>（六）为验核货物内在功能是否完备，甲方有权组织对货物进行随机抽样，并委托有关检测单位进行检测，该检测结果将作为货物质量的评判依据，相关送检和检测费用由乙方承担。如检测指标不符合招标文件、投标文件要求的，甲方有权拒收全部此类货物，乙方应按照甲方要求无条件对拒收货物进行更换，并承担由此给甲方造成的工期延误等损失（甲方损失包括但不限于直接损失、间接损失及甲方维权费用，如仲裁费、保全费、保全保险费、律师费、鉴定费、公证费等，下同）。对乙方可能涉嫌提供虚假材料或虚假响应的行为，甲方有权依法向监管部门反映并追究乙方法律责任。</w:t>
      </w:r>
    </w:p>
    <w:p>
      <w:pPr>
        <w:pStyle w:val="109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（七）甲方认为必要时，对大型或者复杂的货物采购项目，可以邀请国家认可的质量检测机构参加验收工作，相关验收意见作为验收报告的参考资料，相关费用由乙方承担。</w:t>
      </w:r>
    </w:p>
    <w:p>
      <w:pPr>
        <w:pStyle w:val="109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（八）验收标准以双方达成的对质量和技术标准的约定、乙方承诺的质量和技术标准、国家或行业规定的相关质量和技术标准中最高者为准，且应充分满足甲方使用要求。</w:t>
      </w:r>
    </w:p>
    <w:p>
      <w:pPr>
        <w:pStyle w:val="3"/>
        <w:ind w:firstLine="480" w:firstLineChars="200"/>
        <w:rPr>
          <w:rFonts w:ascii="宋体" w:hint="eastAsia"/>
          <w:color w:val="000000"/>
          <w:sz w:val="24"/>
          <w:szCs w:val="24"/>
          <w:lang w:eastAsia="zh-CN"/>
        </w:rPr>
      </w:pPr>
      <w:r>
        <w:rPr>
          <w:rFonts w:ascii="宋体" w:hint="eastAsia"/>
          <w:b/>
          <w:bCs/>
          <w:color w:val="000000"/>
          <w:sz w:val="24"/>
          <w:szCs w:val="24"/>
          <w:lang w:eastAsia="zh-CN"/>
        </w:rPr>
        <w:t>第八条 质量保证</w:t>
      </w:r>
    </w:p>
    <w:p>
      <w:pPr>
        <w:pStyle w:val="11310"/>
        <w:spacing w:line="360" w:lineRule="auto"/>
        <w:ind w:firstLine="480" w:firstLineChars="200"/>
        <w:rPr>
          <w:rFonts w:ascii="宋体" w:hint="eastAsia"/>
          <w:color w:val="000000"/>
          <w:sz w:val="24"/>
        </w:rPr>
      </w:pPr>
      <w:r>
        <w:rPr>
          <w:rFonts w:ascii="宋体" w:hint="eastAsia"/>
          <w:color w:val="000000"/>
          <w:sz w:val="24"/>
        </w:rPr>
        <w:t>（一）乙方应保证所供货物为</w:t>
      </w:r>
      <w:r>
        <w:rPr>
          <w:rFonts w:ascii="宋体" w:hint="eastAsia"/>
          <w:color w:val="000000"/>
          <w:sz w:val="24"/>
          <w:u w:val="single"/>
        </w:rPr>
        <w:t xml:space="preserve">      </w:t>
      </w:r>
      <w:r>
        <w:rPr>
          <w:rFonts w:ascii="宋体" w:hint="eastAsia"/>
          <w:color w:val="000000"/>
          <w:sz w:val="24"/>
        </w:rPr>
        <w:t>公司制造生产、原包装、全新未使用过的产品，与投标文件承诺一致，并完全符合或高于合同要求的质量、规格和技术性能。</w:t>
      </w:r>
    </w:p>
    <w:p>
      <w:pPr>
        <w:pStyle w:val="11310"/>
        <w:spacing w:line="360" w:lineRule="auto"/>
        <w:ind w:firstLine="480" w:firstLineChars="200"/>
        <w:rPr>
          <w:rFonts w:ascii="宋体" w:hint="eastAsia"/>
          <w:color w:val="000000"/>
          <w:sz w:val="24"/>
        </w:rPr>
      </w:pPr>
      <w:r>
        <w:rPr>
          <w:rFonts w:ascii="宋体" w:hint="eastAsia"/>
          <w:color w:val="000000"/>
          <w:sz w:val="24"/>
        </w:rPr>
        <w:t>（二）乙方应保证所供货物没有因乙方的行为或疏忽而产生材料或工艺上的缺陷，并保证其货物在正确安装、正常使用和保养条件下，在其使用寿命期内具有满意的性能。在货物最终交付验收后不少于合同规定的质量保证期内，本保证保持有效。</w:t>
      </w:r>
    </w:p>
    <w:p>
      <w:pPr>
        <w:pStyle w:val="11310"/>
        <w:spacing w:line="360" w:lineRule="auto"/>
        <w:ind w:firstLine="480" w:firstLineChars="200"/>
        <w:rPr>
          <w:rFonts w:ascii="宋体" w:hint="eastAsia"/>
          <w:color w:val="000000"/>
          <w:sz w:val="24"/>
        </w:rPr>
      </w:pPr>
      <w:r>
        <w:rPr>
          <w:rFonts w:ascii="宋体" w:hint="eastAsia"/>
          <w:color w:val="000000"/>
          <w:sz w:val="24"/>
        </w:rPr>
        <w:t>（三）如果乙方所供货物质量与合同不符，或证实所供货物是有缺陷的，包括潜在的缺陷或使用不符合要求的材料等，由此引起的全部损失及费用由乙方承担。若以上原因导致或引起甲方损失及导致或引起第三方受到损害的，全部赔偿责任均应由乙方承担。</w:t>
      </w:r>
    </w:p>
    <w:p>
      <w:pPr>
        <w:pStyle w:val="11310"/>
        <w:spacing w:line="360" w:lineRule="auto"/>
        <w:ind w:firstLine="480" w:firstLineChars="200"/>
        <w:rPr>
          <w:rFonts w:ascii="宋体" w:hint="eastAsia"/>
          <w:color w:val="000000"/>
          <w:sz w:val="24"/>
        </w:rPr>
      </w:pPr>
      <w:r>
        <w:rPr>
          <w:rFonts w:ascii="宋体" w:hint="eastAsia"/>
          <w:color w:val="000000"/>
          <w:sz w:val="24"/>
        </w:rPr>
        <w:t>（四）在质量保证期内所发现的缺陷，甲方应尽快以书面形式通知乙方。乙方收到通知后应在10日内免费完成维修或更换有缺陷的货物或部件的工作。</w:t>
      </w:r>
    </w:p>
    <w:p>
      <w:pPr>
        <w:pStyle w:val="11310"/>
        <w:spacing w:line="360" w:lineRule="auto"/>
        <w:ind w:firstLine="480" w:firstLineChars="200"/>
        <w:rPr>
          <w:rFonts w:ascii="宋体" w:hint="eastAsia"/>
          <w:color w:val="000000"/>
          <w:sz w:val="24"/>
        </w:rPr>
      </w:pPr>
      <w:r>
        <w:rPr>
          <w:rFonts w:ascii="宋体" w:hint="eastAsia"/>
          <w:color w:val="000000"/>
          <w:sz w:val="24"/>
        </w:rPr>
        <w:t>（五）乙方在约定的时间内未能弥补缺陷，甲方可采取必要的补救措施，但其风险和费用将由乙方承担，甲方根据合同规定对乙方行使的其他权利不受影响。</w:t>
      </w:r>
    </w:p>
    <w:p>
      <w:pPr>
        <w:pStyle w:val="11310"/>
        <w:spacing w:line="360" w:lineRule="auto"/>
        <w:ind w:firstLine="480" w:firstLineChars="200"/>
        <w:rPr>
          <w:rFonts w:ascii="宋体" w:hint="eastAsia"/>
          <w:color w:val="000000"/>
          <w:sz w:val="24"/>
        </w:rPr>
      </w:pPr>
      <w:r>
        <w:rPr>
          <w:rFonts w:ascii="宋体" w:hint="eastAsia"/>
          <w:color w:val="000000"/>
          <w:sz w:val="24"/>
        </w:rPr>
        <w:t>（六）本合同项目所有货物质量保证期为：自双方签署设备到货验收签收单及安装调试验收合格报告之日起计算</w:t>
      </w:r>
      <w:r>
        <w:rPr>
          <w:rFonts w:ascii="宋体" w:hint="eastAsia"/>
          <w:color w:val="000000"/>
          <w:sz w:val="24"/>
          <w:u w:val="single"/>
        </w:rPr>
        <w:t xml:space="preserve">       </w:t>
      </w:r>
      <w:r>
        <w:rPr>
          <w:rFonts w:ascii="宋体" w:hint="eastAsia"/>
          <w:color w:val="000000"/>
          <w:sz w:val="24"/>
        </w:rPr>
        <w:t>年。</w:t>
      </w:r>
    </w:p>
    <w:p>
      <w:pPr>
        <w:pStyle w:val="11310"/>
        <w:spacing w:line="360" w:lineRule="auto"/>
        <w:ind w:firstLine="480" w:firstLineChars="200"/>
        <w:rPr>
          <w:rFonts w:ascii="宋体" w:hint="eastAsia"/>
          <w:color w:val="000000"/>
          <w:sz w:val="24"/>
        </w:rPr>
      </w:pPr>
      <w:r>
        <w:rPr>
          <w:rFonts w:ascii="宋体" w:hint="eastAsia"/>
          <w:color w:val="000000"/>
          <w:sz w:val="24"/>
        </w:rPr>
        <w:t>（七）乙方保证具备履行本合同的资质和能力，履行本合同不得损害甲方及任意第三方的合法权益，遵守法律法规及监管要求。</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第九条 培训</w:t>
      </w:r>
    </w:p>
    <w:p>
      <w:pPr>
        <w:pStyle w:val="11310"/>
        <w:spacing w:line="360" w:lineRule="auto"/>
        <w:ind w:firstLine="480" w:firstLineChars="200"/>
        <w:rPr>
          <w:rFonts w:ascii="宋体" w:hint="eastAsia"/>
          <w:b/>
          <w:bCs/>
          <w:color w:val="000000"/>
          <w:sz w:val="24"/>
        </w:rPr>
      </w:pPr>
      <w:r>
        <w:rPr>
          <w:rFonts w:ascii="宋体" w:hint="eastAsia"/>
          <w:bCs/>
          <w:color w:val="000000"/>
          <w:sz w:val="24"/>
        </w:rPr>
        <w:t>本合同所包括的培训详见附件培训方案。</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第十条 售后服务</w:t>
      </w:r>
    </w:p>
    <w:p>
      <w:pPr>
        <w:pStyle w:val="11310"/>
        <w:spacing w:line="360" w:lineRule="auto"/>
        <w:ind w:firstLine="480" w:firstLineChars="200"/>
        <w:rPr>
          <w:rFonts w:ascii="宋体" w:hint="eastAsia"/>
          <w:color w:val="000000"/>
          <w:sz w:val="24"/>
        </w:rPr>
      </w:pPr>
      <w:r>
        <w:rPr>
          <w:rFonts w:ascii="宋体" w:hint="eastAsia"/>
          <w:color w:val="000000"/>
          <w:sz w:val="24"/>
        </w:rPr>
        <w:t>（一）供应商（制造商）在质量保证期内免费提供</w:t>
      </w:r>
      <w:r>
        <w:rPr>
          <w:rFonts w:ascii="宋体" w:hint="eastAsia"/>
          <w:color w:val="000000"/>
          <w:sz w:val="24"/>
          <w:u w:val="single"/>
        </w:rPr>
        <w:t xml:space="preserve">    </w:t>
      </w:r>
      <w:r>
        <w:rPr>
          <w:rFonts w:ascii="宋体" w:hint="eastAsia"/>
          <w:color w:val="000000"/>
          <w:sz w:val="24"/>
        </w:rPr>
        <w:t>*</w:t>
      </w:r>
      <w:r>
        <w:rPr>
          <w:rFonts w:ascii="宋体" w:hint="eastAsia"/>
          <w:color w:val="000000"/>
          <w:sz w:val="24"/>
          <w:u w:val="single"/>
        </w:rPr>
        <w:t xml:space="preserve">   </w:t>
      </w:r>
      <w:r>
        <w:rPr>
          <w:rFonts w:ascii="宋体" w:hint="eastAsia"/>
          <w:color w:val="000000"/>
          <w:sz w:val="24"/>
        </w:rPr>
        <w:t>小时的技术支持与售后服务，提供专线电话支持服务，</w:t>
      </w:r>
      <w:r>
        <w:rPr>
          <w:rFonts w:ascii="宋体" w:hint="eastAsia"/>
          <w:color w:val="000000"/>
          <w:sz w:val="24"/>
          <w:u w:val="single"/>
        </w:rPr>
        <w:t xml:space="preserve">    </w:t>
      </w:r>
      <w:r>
        <w:rPr>
          <w:rFonts w:ascii="宋体" w:hint="eastAsia"/>
          <w:color w:val="000000"/>
          <w:sz w:val="24"/>
        </w:rPr>
        <w:t>小时内响应，保证</w:t>
      </w:r>
      <w:r>
        <w:rPr>
          <w:rFonts w:ascii="宋体" w:hint="eastAsia"/>
          <w:color w:val="000000"/>
          <w:sz w:val="24"/>
          <w:u w:val="single"/>
        </w:rPr>
        <w:t xml:space="preserve">     </w:t>
      </w:r>
      <w:r>
        <w:rPr>
          <w:rFonts w:ascii="宋体" w:hint="eastAsia"/>
          <w:color w:val="000000"/>
          <w:sz w:val="24"/>
        </w:rPr>
        <w:t>小时内到达现场并解决完毕故障。</w:t>
      </w:r>
    </w:p>
    <w:p>
      <w:pPr>
        <w:pStyle w:val="11310"/>
        <w:spacing w:line="360" w:lineRule="auto"/>
        <w:ind w:firstLine="480" w:firstLineChars="200"/>
        <w:rPr>
          <w:rFonts w:ascii="宋体" w:hint="eastAsia"/>
          <w:color w:val="000000"/>
          <w:sz w:val="24"/>
        </w:rPr>
      </w:pPr>
      <w:r>
        <w:rPr>
          <w:rFonts w:ascii="宋体" w:hint="eastAsia"/>
          <w:color w:val="000000"/>
          <w:sz w:val="24"/>
        </w:rPr>
        <w:t>（二）本合同所包含的售后服务，包含制造商售后服务和代理商售后服务，具体见附件技术支持及售后服务方案。</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第十一条 违约责任</w:t>
      </w:r>
    </w:p>
    <w:p>
      <w:pPr>
        <w:pStyle w:val="11310"/>
        <w:spacing w:line="360" w:lineRule="auto"/>
        <w:ind w:firstLine="480" w:firstLineChars="200"/>
        <w:rPr>
          <w:rFonts w:ascii="宋体" w:hint="eastAsia"/>
          <w:color w:val="000000"/>
          <w:sz w:val="24"/>
        </w:rPr>
      </w:pPr>
      <w:r>
        <w:rPr>
          <w:rFonts w:ascii="宋体" w:hint="eastAsia"/>
          <w:color w:val="000000"/>
          <w:sz w:val="24"/>
        </w:rPr>
        <w:t>（一）因乙方原因未能按照本合同要求交付合格的货物或提供相关服务的违约责任。</w:t>
      </w:r>
    </w:p>
    <w:p>
      <w:pPr>
        <w:pStyle w:val="11310"/>
        <w:spacing w:line="360" w:lineRule="auto"/>
        <w:ind w:firstLine="480" w:firstLineChars="200"/>
        <w:rPr>
          <w:rFonts w:ascii="宋体" w:hint="eastAsia"/>
          <w:color w:val="000000"/>
          <w:sz w:val="24"/>
        </w:rPr>
      </w:pPr>
      <w:r>
        <w:rPr>
          <w:rFonts w:ascii="宋体" w:hint="eastAsia"/>
          <w:color w:val="000000"/>
          <w:sz w:val="24"/>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pStyle w:val="11310"/>
        <w:spacing w:line="360" w:lineRule="auto"/>
        <w:ind w:firstLine="480" w:firstLineChars="200"/>
        <w:rPr>
          <w:rFonts w:ascii="宋体" w:hint="eastAsia"/>
          <w:color w:val="000000"/>
          <w:sz w:val="24"/>
        </w:rPr>
      </w:pPr>
      <w:r>
        <w:rPr>
          <w:rFonts w:ascii="宋体" w:hint="eastAsia"/>
          <w:color w:val="000000"/>
          <w:sz w:val="24"/>
        </w:rPr>
        <w:t>（1）退货：甲方将货物退回乙方，乙方将合同货款退还给甲方，并承担由此发生的一切损失和费用。</w:t>
      </w:r>
    </w:p>
    <w:p>
      <w:pPr>
        <w:pStyle w:val="11310"/>
        <w:spacing w:line="360" w:lineRule="auto"/>
        <w:ind w:firstLine="480" w:firstLineChars="200"/>
        <w:rPr>
          <w:rFonts w:ascii="宋体" w:hint="eastAsia"/>
          <w:color w:val="000000"/>
          <w:sz w:val="24"/>
        </w:rPr>
      </w:pPr>
      <w:r>
        <w:rPr>
          <w:rFonts w:ascii="宋体" w:hint="eastAsia"/>
          <w:color w:val="000000"/>
          <w:sz w:val="24"/>
        </w:rPr>
        <w:t>（2）退货重新制作：甲方将货物退回乙方，乙方按照技术标准要求重新制作，并承担由此发生的一切损失和费用。</w:t>
      </w:r>
    </w:p>
    <w:p>
      <w:pPr>
        <w:pStyle w:val="11310"/>
        <w:spacing w:line="360" w:lineRule="auto"/>
        <w:ind w:firstLine="480" w:firstLineChars="200"/>
        <w:rPr>
          <w:rFonts w:ascii="宋体" w:hint="eastAsia"/>
          <w:color w:val="000000"/>
          <w:sz w:val="24"/>
        </w:rPr>
      </w:pPr>
      <w:r>
        <w:rPr>
          <w:rFonts w:ascii="宋体" w:hint="eastAsia"/>
          <w:color w:val="000000"/>
          <w:sz w:val="24"/>
        </w:rPr>
        <w:t>（3）新货替换：乙方用满足技术标准要求的货物替换存在缺陷的产品，承担甲方蒙受的全部损失和费用，并承担由此引发的一切风险，且相应延长所换货物的质量保证期。</w:t>
      </w:r>
    </w:p>
    <w:p>
      <w:pPr>
        <w:pStyle w:val="11310"/>
        <w:spacing w:line="360" w:lineRule="auto"/>
        <w:ind w:firstLine="480" w:firstLineChars="200"/>
        <w:rPr>
          <w:rFonts w:ascii="宋体" w:hint="eastAsia"/>
          <w:color w:val="000000"/>
          <w:sz w:val="24"/>
        </w:rPr>
      </w:pPr>
      <w:r>
        <w:rPr>
          <w:rFonts w:ascii="宋体" w:hint="eastAsia"/>
          <w:color w:val="000000"/>
          <w:sz w:val="24"/>
        </w:rPr>
        <w:t>2.</w:t>
      </w:r>
      <w:r>
        <w:rPr>
          <w:rFonts w:ascii="宋体" w:hint="eastAsia"/>
          <w:bCs/>
          <w:color w:val="000000"/>
          <w:sz w:val="24"/>
        </w:rPr>
        <w:t>如果乙方</w:t>
      </w:r>
      <w:r>
        <w:rPr>
          <w:rFonts w:ascii="宋体" w:hint="eastAsia"/>
          <w:color w:val="000000"/>
          <w:sz w:val="24"/>
        </w:rPr>
        <w:t>未在甲方要求的10日内或甲方同意的期限内，按照上述任何一种方式采取补救措施，甲方有权解除合同，扣除全部履约保证金并要求乙方退回甲方已支付的货款，并视损失情况根据《中华人民共和国民法典》有关规定追究其相关责任，赔偿甲方的全部损失。</w:t>
      </w:r>
    </w:p>
    <w:p>
      <w:pPr>
        <w:pStyle w:val="130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3.对于未能按合同要求提供服务或被证实未提供应当承担的服务的，甲方有权要求限期整改。无合理理由不进行整改的视为根本违约。</w:t>
      </w:r>
    </w:p>
    <w:p>
      <w:pPr>
        <w:pStyle w:val="11310"/>
        <w:spacing w:line="360" w:lineRule="auto"/>
        <w:ind w:firstLine="480" w:firstLineChars="200"/>
        <w:rPr>
          <w:rFonts w:ascii="宋体" w:hint="eastAsia"/>
          <w:color w:val="000000"/>
          <w:sz w:val="24"/>
        </w:rPr>
      </w:pPr>
      <w:r>
        <w:rPr>
          <w:rFonts w:ascii="宋体" w:hint="eastAsia"/>
          <w:color w:val="000000"/>
          <w:sz w:val="24"/>
        </w:rPr>
        <w:t>（二）乙方未按照本合同规定的时间交货和提供服务的违约责任。</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1.若乙方未如期按照合同约定的任何或全部款项内容之要求交付合同货物或提供服务、补足或更换货物且符合要求，或乙方未能履行合同规定的任何其它义务时，甲方有权直接向乙方发出违约通知书，乙方应按照甲方选择的下列一种或多种方式承担赔偿责任及违约责任：</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(1）在甲方同意延长的期限内交付全部货物、提供服务并承担由此给甲方造成的直接损失及甲方因此产生的对第三方的责任。</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(2）在甲方规定的时间内，按照本合同相关条款的约定，完成相应的更换及／或修理以达到合同规定的各项要求，乙方应承担由此发生的各项相关费用并承担由此给甲方造成的损失及甲方因此产生的对第三方的责任。此时，相关货物的质量保修期及相关的其它期限也应相应顺延或重新起算。</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(3）根据货物低劣程度、损坏程度和使甲方所遭受的损失以及甲方因此产生的对第三方的责任，经双方商定降低货物的价格并由乙方承担赔偿甲方所遭受的损失及采购人因此产生的对第三方的责任。</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(4）按合同规定的同种货币将甲方所退货物的已支付货款全部退还给甲方，并由乙方承担甲方由此发生的损失和相关费用及甲方因此产生的对第三方的责任。</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(5）甲方有权部分或全部终止合同并由乙方赔偿由此造成的损失及承担甲方因此产生的对第三方的责任。</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此外，上述情形下甲方为采取必要的补救措施及／或因防止损失扩大而支出的合理费用应由乙方承担。</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2.若乙方在收到甲方的违约通知书或类似的其它书面通知之日起7日内未作答复也没有按照甲方选择的方式承担违约责任，则甲方有权直接从尚未支付的合同价款中扣留相当于甲方选择的方式计算的索赔金额包括违约金。若这些金额不足以补偿，乙方仍应承担不足部分的赔偿或支付责任。</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3.如乙方延期交货或甲方延期付款，每逾期一天，违约方应按延期交货所折合的金额成廷期付款金额每天2%。的比例向对方支付违约金，但该违约金累计不超过合同总金额的5%:</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上述逾期超过20天且成套集成的货物已交货套数未达合同约定套数90％的以及单套货物未能全部交足的，或非成套、非集成的货物已交货件数未达合同约定件数90％的，守约方有权解除合同，并要求违约方赔偿由此造成的损失。</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上述逾期超过20天但成套集成的货物已交货套数已达合同约定套数90％的，或非成套、非集成的货物已交货件数已达合同约定件数90％的，守约方不得要求解除合同已经履行的部分只有权决定解除尚未履行的部分，但违约方应当向对方支付按照中国人民银行规定的同期借款利息最高限额的两倍按日计算的违约金。</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4.如任何一方无故解除合同或有违反本合同规定的任何情形均属于违约行为，违约方应就每一单项违约向对方支付合同总金额5％的违约金。</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5.若货物为假冒伪劣产品，乙方应按照合同总金额的2倍向甲方支付惩罚性赔偿金，若该赔偿未达到给甲方造成损失的2倍，则乙方应当支付给甲方造成损失的2倍的惩罚性赔偿金，且并不当然免除其依法应受的其它处罚。</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6.任何一方由于不可抗力原因不能按约履行合同时，应在不可抗力事件结束后3天内向对方有效通报，以减轻可能给对方造成的损失，在取得有关机构的不可抗力证明或双方谅解并书面确认后，应当根据具体情况允许延期履行、修订或终止合同，并根据情况可部分或全部免于承担违约责任。</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7.除不可抗力及甲方原因外，整体项目出现延期，将扣除合同款10%；如果项目延期超过服务期限的20%，扣除合同款30%；</w:t>
      </w:r>
    </w:p>
    <w:p>
      <w:pPr>
        <w:pStyle w:val="11310"/>
        <w:spacing w:line="360" w:lineRule="auto"/>
        <w:ind w:firstLine="480" w:firstLineChars="200"/>
        <w:rPr>
          <w:rFonts w:ascii="宋体" w:hint="eastAsia"/>
          <w:iCs/>
          <w:snapToGrid w:val="0"/>
          <w:color w:val="000000"/>
          <w:sz w:val="24"/>
          <w:lang w:val="zh-CN" w:bidi="en-US"/>
        </w:rPr>
      </w:pPr>
      <w:r>
        <w:rPr>
          <w:rFonts w:ascii="宋体" w:hint="eastAsia"/>
          <w:snapToGrid w:val="0"/>
          <w:color w:val="000000"/>
          <w:sz w:val="24"/>
          <w:lang w:val="zh-CN" w:eastAsia="zh-CN" w:bidi="en-US"/>
        </w:rPr>
        <w:t>8.项目集成开发部分的千行代码缺陷率如超过1.0，甲方有权按千行代码缺陷率乘以10作为百分比扣除合同金额；如果超过3.0，除扣除相应违约金外，甲方有权解除合同；</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9.除不可抗力及采购人原因，乙方服务期间，引发三级及三级以上故障的，将扣除合同款10%；最后两周引发三级以下故障超过1次，单次故障业务恢复时长超过4小时的，将扣除合同款10%。</w:t>
      </w:r>
    </w:p>
    <w:p>
      <w:pPr>
        <w:pStyle w:val="11310"/>
        <w:spacing w:line="360" w:lineRule="auto"/>
        <w:ind w:firstLine="480" w:firstLineChars="200"/>
        <w:rPr>
          <w:rFonts w:ascii="宋体" w:hint="eastAsia"/>
          <w:snapToGrid w:val="0"/>
          <w:color w:val="000000"/>
          <w:sz w:val="24"/>
          <w:lang w:val="zh-CN" w:bidi="en-US"/>
        </w:rPr>
      </w:pPr>
      <w:r>
        <w:rPr>
          <w:rFonts w:ascii="宋体" w:hint="eastAsia"/>
          <w:snapToGrid w:val="0"/>
          <w:color w:val="000000"/>
          <w:sz w:val="24"/>
          <w:lang w:val="zh-CN" w:eastAsia="zh-CN" w:bidi="en-US"/>
        </w:rPr>
        <w:t>10.除不可抗力及甲方原因外，乙方未及时响应甲方故障处理或技术支持申请（电话3次未接且30分钟内未回复），或者未按要求完成服务，每次扣除合同款的1%；乙方未按上诉要求和时限完成服务达3次及以上，扣除合同款的5%；</w:t>
      </w:r>
    </w:p>
    <w:p>
      <w:pPr>
        <w:pStyle w:val="11310"/>
        <w:spacing w:line="360" w:lineRule="auto"/>
        <w:ind w:firstLine="480" w:firstLineChars="200"/>
        <w:rPr>
          <w:rFonts w:ascii="宋体" w:hint="eastAsia"/>
          <w:color w:val="000000"/>
          <w:sz w:val="24"/>
        </w:rPr>
      </w:pPr>
      <w:r>
        <w:rPr>
          <w:rFonts w:ascii="宋体" w:hint="eastAsia"/>
          <w:snapToGrid w:val="0"/>
          <w:color w:val="000000"/>
          <w:sz w:val="24"/>
          <w:lang w:val="zh-CN" w:eastAsia="zh-CN" w:bidi="en-US"/>
        </w:rPr>
        <w:t>11.乙方未按照相关安全规定作业，造成甲方服务器感染病毒，泄露相关敏感信息，造成重大影响，扣除合同款的30%。</w:t>
      </w:r>
    </w:p>
    <w:p>
      <w:pPr>
        <w:pStyle w:val="10113"/>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（三）因乙方或乙方工作人员或乙方相关方的作为或不作为行为致使甲方或第三方遭受人员人身伤害或财产损失的，乙方应承担全部赔偿责任，赔偿全部损失，且甲方有权以扣除全部履约保证金，解除本合同。</w:t>
      </w:r>
    </w:p>
    <w:p>
      <w:pPr>
        <w:pStyle w:val="217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217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（五）乙方违反本合同约定的其他任意义务的，甲方均有权采取下列措施：立即解除本合同；要求乙方立即支付本合同总金额30%的违约金；立即扣除履约保证金；要求乙方立即赔偿甲方损失。</w:t>
      </w:r>
    </w:p>
    <w:p>
      <w:pPr>
        <w:pStyle w:val="6012"/>
        <w:spacing w:line="360" w:lineRule="auto"/>
        <w:ind w:firstLine="480" w:firstLineChars="200"/>
        <w:rPr>
          <w:rFonts w:ascii="宋体" w:eastAsia="宋体" w:hint="eastAsia"/>
          <w:b/>
          <w:bCs/>
          <w:color w:val="000000"/>
          <w:sz w:val="24"/>
          <w:szCs w:val="24"/>
        </w:rPr>
      </w:pPr>
      <w:r>
        <w:rPr>
          <w:rFonts w:ascii="宋体" w:eastAsia="宋体" w:hint="eastAsia"/>
          <w:b/>
          <w:bCs/>
          <w:color w:val="000000"/>
          <w:sz w:val="24"/>
          <w:szCs w:val="24"/>
        </w:rPr>
        <w:t>第十二条 异议的处理</w:t>
      </w:r>
    </w:p>
    <w:p>
      <w:pPr>
        <w:pStyle w:val="6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乙方接到甲方异议及其处理意见后，应在10日内到甲方项目现场处理完毕。</w:t>
      </w:r>
    </w:p>
    <w:p>
      <w:pPr>
        <w:pStyle w:val="6012"/>
        <w:spacing w:line="360" w:lineRule="auto"/>
        <w:ind w:firstLine="480" w:firstLineChars="200"/>
        <w:rPr>
          <w:rFonts w:ascii="宋体" w:eastAsia="宋体" w:hint="eastAsia"/>
          <w:b/>
          <w:bCs/>
          <w:color w:val="000000"/>
          <w:sz w:val="24"/>
          <w:szCs w:val="24"/>
        </w:rPr>
      </w:pPr>
      <w:r>
        <w:rPr>
          <w:rFonts w:ascii="宋体" w:eastAsia="宋体" w:hint="eastAsia"/>
          <w:b/>
          <w:bCs/>
          <w:color w:val="000000"/>
          <w:sz w:val="24"/>
          <w:szCs w:val="24"/>
        </w:rPr>
        <w:t>第十三条 保密</w:t>
      </w:r>
    </w:p>
    <w:p>
      <w:pPr>
        <w:pStyle w:val="6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一）除非已经为公众知晓，乙方在本合同项下的服务中接触到的甲方的信息，包括但不限于客户资料、统计数据、计算机运行系统的资料等，均构成甲方的商业秘密。除非法律法规要求或取得甲方事先书面同意，乙方不得对外透漏。保密期限为长期。</w:t>
      </w:r>
    </w:p>
    <w:p>
      <w:pPr>
        <w:pStyle w:val="6012"/>
        <w:spacing w:line="360" w:lineRule="auto"/>
        <w:ind w:firstLine="480" w:firstLineChars="200"/>
        <w:rPr>
          <w:rFonts w:ascii="宋体" w:eastAsia="宋体" w:cs="Arial" w:hint="eastAsia"/>
          <w:color w:val="000000"/>
          <w:sz w:val="24"/>
          <w:szCs w:val="24"/>
        </w:rPr>
      </w:pPr>
      <w:r>
        <w:rPr>
          <w:rFonts w:ascii="宋体" w:eastAsia="宋体" w:cs="Arial" w:hint="eastAsia"/>
          <w:color w:val="000000"/>
          <w:sz w:val="24"/>
          <w:szCs w:val="24"/>
          <w:lang w:bidi="ar-SA"/>
        </w:rPr>
        <w:t>（二）</w:t>
      </w:r>
      <w:r>
        <w:rPr>
          <w:rFonts w:ascii="宋体" w:eastAsia="宋体" w:cs="宋体" w:hint="eastAsia"/>
          <w:bCs/>
          <w:iCs/>
          <w:snapToGrid w:val="0"/>
          <w:color w:val="000000"/>
          <w:sz w:val="24"/>
          <w:szCs w:val="24"/>
          <w:lang w:val="zh-CN" w:eastAsia="zh-CN" w:bidi="en-US"/>
        </w:rPr>
        <w:t>未经甲方和委托方允许，不能将本项目有关内容向第三方泄</w:t>
      </w:r>
      <w:r>
        <w:rPr>
          <w:rFonts w:ascii="宋体" w:eastAsia="宋体" w:cs="宋体" w:hint="eastAsia"/>
          <w:snapToGrid w:val="0"/>
          <w:color w:val="000000"/>
          <w:sz w:val="24"/>
          <w:szCs w:val="24"/>
          <w:lang w:val="zh-CN" w:eastAsia="zh-CN" w:bidi="en-US"/>
        </w:rPr>
        <w:t>露。</w:t>
      </w:r>
      <w:r>
        <w:rPr>
          <w:rFonts w:ascii="宋体" w:eastAsia="宋体" w:hint="eastAsia"/>
          <w:color w:val="000000"/>
          <w:sz w:val="24"/>
          <w:szCs w:val="24"/>
        </w:rPr>
        <w:t>保密期限为长期。</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第十四条 知识产权</w:t>
      </w:r>
    </w:p>
    <w:p>
      <w:pPr>
        <w:pStyle w:val="11310"/>
        <w:spacing w:line="360" w:lineRule="auto"/>
        <w:ind w:firstLine="480" w:firstLineChars="200"/>
        <w:rPr>
          <w:rFonts w:ascii="宋体" w:hint="eastAsia"/>
          <w:color w:val="000000"/>
          <w:sz w:val="24"/>
        </w:rPr>
      </w:pPr>
      <w:r>
        <w:rPr>
          <w:rFonts w:ascii="宋体" w:hint="eastAsia"/>
          <w:color w:val="000000"/>
          <w:sz w:val="24"/>
        </w:rPr>
        <w:t>（一）乙方</w:t>
      </w:r>
      <w:r>
        <w:rPr>
          <w:rFonts w:ascii="宋体" w:cs="宋体" w:hint="eastAsia"/>
          <w:bCs/>
          <w:iCs/>
          <w:snapToGrid w:val="0"/>
          <w:color w:val="000000"/>
          <w:sz w:val="24"/>
          <w:lang w:val="zh-CN" w:eastAsia="zh-CN" w:bidi="en-US"/>
        </w:rPr>
        <w:t>承诺所提供设备、软件</w:t>
      </w:r>
      <w:r>
        <w:rPr>
          <w:rFonts w:ascii="宋体" w:hint="eastAsia"/>
          <w:color w:val="000000"/>
          <w:sz w:val="24"/>
        </w:rPr>
        <w:t>及服务不侵犯任何第三方的知识产权(专利权、商标权、版权等)及其他任何合法权益。</w:t>
      </w:r>
      <w:r>
        <w:rPr>
          <w:rFonts w:ascii="宋体" w:cs="宋体" w:hint="eastAsia"/>
          <w:bCs/>
          <w:iCs/>
          <w:snapToGrid w:val="0"/>
          <w:color w:val="000000"/>
          <w:sz w:val="24"/>
          <w:lang w:val="zh-CN" w:eastAsia="zh-CN" w:bidi="en-US"/>
        </w:rPr>
        <w:t>中标后5日内需提交所有软件著作权登记证书、专利授权证明及第三方组件合规使用声明。</w:t>
      </w:r>
      <w:r>
        <w:rPr>
          <w:rFonts w:ascii="宋体" w:hint="eastAsia"/>
          <w:color w:val="000000"/>
          <w:sz w:val="24"/>
        </w:rPr>
        <w:t>如果甲方在使用乙方货物或服务的任何一部分过程中，遭致第三方索赔或主张权利的，乙方应当修正以避免侵权。</w:t>
      </w:r>
    </w:p>
    <w:p>
      <w:pPr>
        <w:pStyle w:val="11310"/>
        <w:spacing w:line="360" w:lineRule="auto"/>
        <w:ind w:firstLine="480" w:firstLineChars="200"/>
        <w:rPr>
          <w:rFonts w:ascii="宋体" w:hint="eastAsia"/>
          <w:color w:val="000000"/>
          <w:sz w:val="24"/>
        </w:rPr>
      </w:pPr>
      <w:r>
        <w:rPr>
          <w:rFonts w:ascii="宋体" w:hint="eastAsia"/>
          <w:color w:val="000000"/>
          <w:sz w:val="24"/>
        </w:rPr>
        <w:t>（二）如果甲方在使用乙方货物或货物的任何一部分过程中，因侵犯第三方合法权益（包括但不限于知识产权）而遭致第三方索赔或主张权利的，乙方将自费为甲方应诉，并支付法院最终判决的甲方应支付第三方的一切费用、并赔偿甲方由此遭受的全部损失及支出的合理费用。</w:t>
      </w:r>
    </w:p>
    <w:p>
      <w:pPr>
        <w:pStyle w:val="11310"/>
        <w:spacing w:line="360" w:lineRule="auto"/>
        <w:ind w:firstLine="480" w:firstLineChars="200"/>
        <w:rPr>
          <w:rFonts w:ascii="宋体" w:hint="eastAsia"/>
          <w:color w:val="000000"/>
          <w:sz w:val="24"/>
        </w:rPr>
      </w:pPr>
      <w:r>
        <w:rPr>
          <w:rFonts w:ascii="宋体" w:hint="eastAsia"/>
          <w:color w:val="000000"/>
          <w:sz w:val="24"/>
        </w:rPr>
        <w:t>（三）如乙方提供的货物或服务确实侵犯了第三方合法权益（包括但不限于知识产权）的，甲方有权解除合同，没收履约保证金，要求乙方退回已支付的全部货款，并赔偿甲方的全部损失及支出的合理费用。</w:t>
      </w:r>
    </w:p>
    <w:p>
      <w:pPr>
        <w:pStyle w:val="11310"/>
        <w:spacing w:line="360" w:lineRule="auto"/>
        <w:ind w:firstLine="480" w:firstLineChars="200"/>
        <w:rPr>
          <w:rFonts w:eastAsia="方正仿宋_GBK" w:cs="宋体"/>
          <w:b/>
          <w:bCs/>
          <w:iCs/>
          <w:snapToGrid w:val="0"/>
          <w:sz w:val="32"/>
          <w:szCs w:val="32"/>
          <w:lang w:val="zh-CN" w:bidi="en-US"/>
        </w:rPr>
      </w:pPr>
      <w:r>
        <w:rPr>
          <w:rFonts w:ascii="宋体" w:hint="eastAsia"/>
          <w:color w:val="000000"/>
          <w:sz w:val="24"/>
        </w:rPr>
        <w:t>（四）</w:t>
      </w:r>
      <w:r>
        <w:rPr>
          <w:rFonts w:ascii="宋体" w:cs="宋体" w:hint="eastAsia"/>
          <w:bCs/>
          <w:iCs/>
          <w:snapToGrid w:val="0"/>
          <w:color w:val="000000"/>
          <w:sz w:val="24"/>
          <w:lang w:val="zh-CN" w:eastAsia="zh-CN" w:bidi="en-US"/>
        </w:rPr>
        <w:t>成果归属</w:t>
      </w:r>
    </w:p>
    <w:p>
      <w:pPr>
        <w:pStyle w:val="11310"/>
        <w:spacing w:line="360" w:lineRule="auto"/>
        <w:ind w:firstLine="480" w:firstLineChars="200"/>
        <w:rPr>
          <w:rFonts w:ascii="宋体" w:cs="宋体" w:hint="eastAsia"/>
          <w:bCs/>
          <w:iCs/>
          <w:snapToGrid w:val="0"/>
          <w:color w:val="000000"/>
          <w:sz w:val="24"/>
          <w:lang w:val="zh-CN" w:bidi="en-US"/>
        </w:rPr>
      </w:pPr>
      <w:r>
        <w:rPr>
          <w:rFonts w:ascii="宋体" w:cs="宋体" w:hint="eastAsia"/>
          <w:bCs/>
          <w:iCs/>
          <w:snapToGrid w:val="0"/>
          <w:color w:val="000000"/>
          <w:sz w:val="24"/>
          <w:lang w:val="zh-CN" w:eastAsia="zh-CN" w:bidi="en-US"/>
        </w:rPr>
        <w:t>定制开发成果：本项目产生的软件著作权、专利权、商标权、知识产权申请权、全部源代码、不限次数的使用权以及二次开发权等知识产权归甲方独家所有，乙方需签署《知识产权归属确认函》。</w:t>
      </w:r>
    </w:p>
    <w:p>
      <w:pPr>
        <w:pStyle w:val="11310"/>
        <w:spacing w:line="360" w:lineRule="auto"/>
        <w:ind w:firstLine="480" w:firstLineChars="200"/>
        <w:rPr>
          <w:rFonts w:ascii="宋体" w:cs="宋体" w:hint="eastAsia"/>
          <w:bCs/>
          <w:iCs/>
          <w:snapToGrid w:val="0"/>
          <w:color w:val="000000"/>
          <w:sz w:val="24"/>
          <w:lang w:val="zh-CN" w:bidi="en-US"/>
        </w:rPr>
      </w:pPr>
      <w:r>
        <w:rPr>
          <w:rFonts w:ascii="宋体" w:cs="宋体" w:hint="eastAsia"/>
          <w:bCs/>
          <w:iCs/>
          <w:snapToGrid w:val="0"/>
          <w:color w:val="000000"/>
          <w:sz w:val="24"/>
          <w:lang w:val="zh-CN" w:eastAsia="zh-CN" w:bidi="en-US"/>
        </w:rPr>
        <w:t>背景知识产权：乙方自带技术需提供可商用授权证明，允许甲方永久无偿使用。任何第三方如果提出指控，乙方须与第三方交涉并承担可能发生的一切法律责任和费用。</w:t>
      </w:r>
    </w:p>
    <w:p>
      <w:pPr>
        <w:pStyle w:val="11310"/>
        <w:spacing w:line="360" w:lineRule="auto"/>
        <w:ind w:firstLine="480" w:firstLineChars="200"/>
        <w:rPr>
          <w:rFonts w:ascii="宋体" w:cs="宋体" w:hint="eastAsia"/>
          <w:bCs/>
          <w:iCs/>
          <w:snapToGrid w:val="0"/>
          <w:color w:val="000000"/>
          <w:sz w:val="24"/>
          <w:lang w:val="zh-CN" w:bidi="en-US"/>
        </w:rPr>
      </w:pPr>
      <w:r>
        <w:rPr>
          <w:rFonts w:ascii="宋体" w:cs="宋体" w:hint="eastAsia"/>
          <w:bCs/>
          <w:iCs/>
          <w:snapToGrid w:val="0"/>
          <w:color w:val="000000"/>
          <w:sz w:val="24"/>
          <w:lang w:val="zh-CN" w:eastAsia="zh-CN" w:bidi="en-US"/>
        </w:rPr>
        <w:t>开源组件：使用开源软件须明示清单并确保符合Apache、GPL等协议要求，禁止引入传染性开源条款。</w:t>
      </w:r>
    </w:p>
    <w:p>
      <w:pPr>
        <w:pStyle w:val="11310"/>
        <w:spacing w:line="360" w:lineRule="auto"/>
        <w:ind w:firstLine="480" w:firstLineChars="200"/>
        <w:rPr>
          <w:rFonts w:ascii="宋体" w:cs="宋体" w:hint="eastAsia"/>
          <w:bCs/>
          <w:iCs/>
          <w:snapToGrid w:val="0"/>
          <w:color w:val="000000"/>
          <w:sz w:val="24"/>
          <w:lang w:val="zh-CN" w:bidi="en-US"/>
        </w:rPr>
      </w:pPr>
      <w:r>
        <w:rPr>
          <w:rFonts w:ascii="宋体" w:cs="宋体" w:hint="eastAsia"/>
          <w:bCs/>
          <w:iCs/>
          <w:snapToGrid w:val="0"/>
          <w:color w:val="000000"/>
          <w:sz w:val="24"/>
          <w:lang w:val="zh-CN" w:eastAsia="zh-CN" w:bidi="en-US"/>
        </w:rPr>
        <w:t>（五）技术移交</w:t>
      </w:r>
    </w:p>
    <w:p>
      <w:pPr>
        <w:pStyle w:val="11310"/>
        <w:spacing w:line="360" w:lineRule="auto"/>
        <w:ind w:firstLine="480" w:firstLineChars="200"/>
        <w:rPr>
          <w:rFonts w:ascii="宋体" w:cs="宋体" w:hint="eastAsia"/>
          <w:bCs/>
          <w:iCs/>
          <w:snapToGrid w:val="0"/>
          <w:color w:val="000000"/>
          <w:sz w:val="24"/>
          <w:lang w:val="zh-CN" w:bidi="en-US"/>
        </w:rPr>
      </w:pPr>
      <w:r>
        <w:rPr>
          <w:rFonts w:ascii="宋体" w:cs="宋体" w:hint="eastAsia"/>
          <w:bCs/>
          <w:iCs/>
          <w:snapToGrid w:val="0"/>
          <w:color w:val="000000"/>
          <w:sz w:val="24"/>
          <w:lang w:val="zh-CN" w:eastAsia="zh-CN" w:bidi="en-US"/>
        </w:rPr>
        <w:t>验收后30日内，乙方须交付完整技术文档（含项目工程文档、系统架构图、接口规范、AI算法训练数据集），并提供为期3年的技术维护权。</w:t>
      </w:r>
    </w:p>
    <w:p>
      <w:pPr>
        <w:pStyle w:val="11310"/>
        <w:spacing w:line="360" w:lineRule="auto"/>
        <w:ind w:firstLine="480" w:firstLineChars="200"/>
        <w:rPr>
          <w:rFonts w:ascii="宋体" w:cs="宋体" w:hint="eastAsia"/>
          <w:bCs/>
          <w:iCs/>
          <w:snapToGrid w:val="0"/>
          <w:color w:val="000000"/>
          <w:sz w:val="24"/>
          <w:lang w:val="zh-CN" w:bidi="en-US"/>
        </w:rPr>
      </w:pPr>
      <w:r>
        <w:rPr>
          <w:rFonts w:ascii="宋体" w:cs="宋体" w:hint="eastAsia"/>
          <w:bCs/>
          <w:iCs/>
          <w:snapToGrid w:val="0"/>
          <w:color w:val="000000"/>
          <w:sz w:val="24"/>
          <w:lang w:val="zh-CN" w:eastAsia="zh-CN" w:bidi="en-US"/>
        </w:rPr>
        <w:t>（六）其他权属说明</w:t>
      </w:r>
    </w:p>
    <w:p>
      <w:pPr>
        <w:pStyle w:val="11310"/>
        <w:spacing w:line="360" w:lineRule="auto"/>
        <w:ind w:firstLine="480" w:firstLineChars="200"/>
        <w:rPr>
          <w:rFonts w:ascii="宋体" w:cs="宋体" w:hint="eastAsia"/>
          <w:bCs/>
          <w:iCs/>
          <w:snapToGrid w:val="0"/>
          <w:color w:val="000000"/>
          <w:sz w:val="24"/>
          <w:lang w:val="zh-CN" w:bidi="en-US"/>
        </w:rPr>
      </w:pPr>
      <w:r>
        <w:rPr>
          <w:rFonts w:ascii="宋体" w:cs="宋体" w:hint="eastAsia"/>
          <w:bCs/>
          <w:iCs/>
          <w:snapToGrid w:val="0"/>
          <w:color w:val="000000"/>
          <w:sz w:val="24"/>
          <w:lang w:val="zh-CN" w:eastAsia="zh-CN" w:bidi="en-US"/>
        </w:rPr>
        <w:t>甲方有权对工程涉及的所有成果在全国海关范围内进行推广应用，且不收取费用。</w:t>
      </w:r>
    </w:p>
    <w:p>
      <w:pPr>
        <w:pStyle w:val="11310"/>
        <w:spacing w:line="360" w:lineRule="auto"/>
        <w:ind w:firstLine="480" w:firstLineChars="200"/>
        <w:rPr>
          <w:rFonts w:ascii="宋体" w:hint="eastAsia"/>
          <w:color w:val="000000"/>
          <w:sz w:val="24"/>
        </w:rPr>
      </w:pPr>
      <w:r>
        <w:rPr>
          <w:rFonts w:ascii="宋体" w:cs="宋体" w:hint="eastAsia"/>
          <w:bCs/>
          <w:iCs/>
          <w:snapToGrid w:val="0"/>
          <w:color w:val="000000"/>
          <w:sz w:val="24"/>
          <w:lang w:val="zh-CN" w:eastAsia="zh-CN" w:bidi="en-US"/>
        </w:rPr>
        <w:t>甲方可安排海关骨干人员参与核心工作，工作结束后带回源代码并纳入甲方原版库管理，以便后续修改维护。</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第十五条 权利瑕疵担保</w:t>
      </w:r>
    </w:p>
    <w:p>
      <w:pPr>
        <w:pStyle w:val="11310"/>
        <w:spacing w:line="360" w:lineRule="auto"/>
        <w:ind w:firstLine="480" w:firstLineChars="200"/>
        <w:rPr>
          <w:rFonts w:ascii="宋体" w:hint="eastAsia"/>
          <w:color w:val="000000"/>
          <w:sz w:val="24"/>
        </w:rPr>
      </w:pPr>
      <w:r>
        <w:rPr>
          <w:rFonts w:ascii="宋体" w:hint="eastAsia"/>
          <w:color w:val="000000"/>
          <w:sz w:val="24"/>
        </w:rPr>
        <w:t>（一）乙方保证对其所提供的货物享有完全的所有权等合法权利，不存在任何未曾向甲方透露的担保物权（如抵押权、质押权、留置权等）或其他任何权利负担或争议。</w:t>
      </w:r>
    </w:p>
    <w:p>
      <w:pPr>
        <w:pStyle w:val="501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（二）乙方应保证所提供的货物免受第三方提出的任何权利主张，如因第三方提出权利主张给甲方造成损失的，乙方应予以赔偿。</w:t>
      </w:r>
    </w:p>
    <w:p>
      <w:pPr>
        <w:pStyle w:val="11310"/>
        <w:spacing w:line="360" w:lineRule="auto"/>
        <w:ind w:firstLine="480" w:firstLineChars="200"/>
        <w:rPr>
          <w:rFonts w:ascii="宋体" w:hint="eastAsia"/>
          <w:color w:val="000000"/>
          <w:sz w:val="24"/>
        </w:rPr>
      </w:pPr>
      <w:r>
        <w:rPr>
          <w:rFonts w:ascii="宋体" w:hint="eastAsia"/>
          <w:color w:val="000000"/>
          <w:sz w:val="24"/>
        </w:rPr>
        <w:t>（三）如乙方所提供的货物存在前述担保货物或权利负担，甲方有权解除合同、没收履约保证金，并要求乙方退还已支付的全部货款，赔偿甲方的全部损失及支出的合理费用。</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第十六条 不可抗力及其免责</w:t>
      </w:r>
    </w:p>
    <w:p>
      <w:pPr>
        <w:pStyle w:val="11310"/>
        <w:spacing w:line="360" w:lineRule="auto"/>
        <w:ind w:firstLine="480" w:firstLineChars="200"/>
        <w:rPr>
          <w:rFonts w:ascii="宋体" w:hint="eastAsia"/>
          <w:color w:val="000000"/>
          <w:sz w:val="24"/>
        </w:rPr>
      </w:pPr>
      <w:r>
        <w:rPr>
          <w:rFonts w:ascii="宋体" w:hint="eastAsia"/>
          <w:color w:val="000000"/>
          <w:sz w:val="24"/>
        </w:rPr>
        <w:t>（一）如果乙方因不可抗力而导致合同实施延误或不能履行合同义务时，在不可抗力影响的范围内不应该被没收履约保证金，也不应该承担误期赔偿或终止合同的责任。</w:t>
      </w:r>
    </w:p>
    <w:p>
      <w:pPr>
        <w:pStyle w:val="11310"/>
        <w:spacing w:line="360" w:lineRule="auto"/>
        <w:ind w:firstLine="480" w:firstLineChars="200"/>
        <w:rPr>
          <w:rFonts w:ascii="宋体" w:hint="eastAsia"/>
          <w:color w:val="000000"/>
          <w:sz w:val="24"/>
        </w:rPr>
      </w:pPr>
      <w:r>
        <w:rPr>
          <w:rFonts w:ascii="宋体" w:hint="eastAsia"/>
          <w:color w:val="000000"/>
          <w:sz w:val="24"/>
        </w:rPr>
        <w:t>（二）在不可抗力事件发生后，乙方应尽快以书面形式将不可抗力的情况和原因通知甲方，除甲方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pStyle w:val="11310"/>
        <w:spacing w:line="360" w:lineRule="auto"/>
        <w:ind w:firstLine="480" w:firstLineChars="200"/>
        <w:rPr>
          <w:rFonts w:ascii="宋体" w:hint="eastAsia"/>
          <w:color w:val="000000"/>
          <w:sz w:val="24"/>
        </w:rPr>
      </w:pPr>
      <w:r>
        <w:rPr>
          <w:rFonts w:ascii="宋体" w:hint="eastAsia"/>
          <w:color w:val="000000"/>
          <w:sz w:val="24"/>
        </w:rPr>
        <w:t>（三）乙方在延迟履行合同期间由于不可抗力而不能履行合同的，不能被免除责任。</w:t>
      </w:r>
    </w:p>
    <w:p>
      <w:pPr>
        <w:pStyle w:val="11310"/>
        <w:spacing w:line="360" w:lineRule="auto"/>
        <w:ind w:firstLine="480" w:firstLineChars="200"/>
        <w:rPr>
          <w:rFonts w:ascii="宋体" w:hint="eastAsia"/>
          <w:color w:val="000000"/>
          <w:sz w:val="24"/>
        </w:rPr>
      </w:pPr>
      <w:r>
        <w:rPr>
          <w:rFonts w:ascii="宋体" w:hint="eastAsia"/>
          <w:color w:val="000000"/>
          <w:sz w:val="24"/>
        </w:rPr>
        <w:t>（四）甲方如遇不可抗力，应尽快以书面形式通知乙方，并尽实际可能履行不受不可抗力影响的其他事项。甲方不承担因不可抗力不能履行合同所造成的损失。</w:t>
      </w:r>
    </w:p>
    <w:p>
      <w:pPr>
        <w:pStyle w:val="11310"/>
        <w:spacing w:line="360" w:lineRule="auto"/>
        <w:ind w:firstLine="480" w:firstLineChars="200"/>
        <w:rPr>
          <w:rFonts w:ascii="宋体" w:hint="eastAsia"/>
          <w:color w:val="000000"/>
          <w:sz w:val="24"/>
        </w:rPr>
      </w:pPr>
      <w:r>
        <w:rPr>
          <w:rFonts w:ascii="宋体" w:hint="eastAsia"/>
          <w:color w:val="000000"/>
          <w:sz w:val="24"/>
        </w:rPr>
        <w:t>（五）本条所述的“不可抗力”指那些不能预见、不能避免并不能克服的客观情况，包括但不限于战争、动乱、严重火灾、洪水、台风、地震等及其他双方同意的情况，但不包括违约或疏忽。</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第十七条 争议的解决</w:t>
      </w:r>
    </w:p>
    <w:p>
      <w:pPr>
        <w:pStyle w:val="11310"/>
        <w:spacing w:line="360" w:lineRule="auto"/>
        <w:ind w:firstLine="480" w:firstLineChars="200"/>
        <w:rPr>
          <w:rFonts w:ascii="宋体" w:hint="eastAsia"/>
          <w:color w:val="000000"/>
          <w:sz w:val="24"/>
        </w:rPr>
      </w:pPr>
      <w:r>
        <w:rPr>
          <w:rFonts w:ascii="宋体" w:hint="eastAsia"/>
          <w:color w:val="000000"/>
          <w:sz w:val="24"/>
        </w:rPr>
        <w:t>（一）合同实施或与合同有关的一切争议应通过双方友好协商解决。协商不成，争议应提交仲裁。</w:t>
      </w:r>
    </w:p>
    <w:p>
      <w:pPr>
        <w:pStyle w:val="11310"/>
        <w:spacing w:line="360" w:lineRule="auto"/>
        <w:ind w:firstLine="480" w:firstLineChars="200"/>
        <w:rPr>
          <w:rFonts w:ascii="宋体" w:hint="eastAsia"/>
          <w:color w:val="000000"/>
          <w:sz w:val="24"/>
        </w:rPr>
      </w:pPr>
      <w:r>
        <w:rPr>
          <w:rFonts w:ascii="宋体" w:hint="eastAsia"/>
          <w:color w:val="000000"/>
          <w:sz w:val="24"/>
        </w:rPr>
        <w:t>（二）仲裁应提交</w:t>
      </w:r>
      <w:r>
        <w:rPr>
          <w:rFonts w:ascii="宋体" w:hint="eastAsia"/>
          <w:color w:val="000000"/>
          <w:sz w:val="24"/>
          <w:u w:val="words"/>
        </w:rPr>
        <w:t>北京仲裁委员会</w:t>
      </w:r>
      <w:r>
        <w:rPr>
          <w:rFonts w:ascii="宋体" w:hint="eastAsia"/>
          <w:color w:val="000000"/>
          <w:sz w:val="24"/>
        </w:rPr>
        <w:t>进行，其仲裁裁决为最终裁决，对双方均有约束力。</w:t>
      </w:r>
    </w:p>
    <w:p>
      <w:pPr>
        <w:pStyle w:val="11310"/>
        <w:spacing w:line="360" w:lineRule="auto"/>
        <w:ind w:firstLine="480" w:firstLineChars="200"/>
        <w:rPr>
          <w:rFonts w:ascii="宋体" w:hint="eastAsia"/>
          <w:color w:val="000000"/>
          <w:sz w:val="24"/>
        </w:rPr>
      </w:pPr>
      <w:r>
        <w:rPr>
          <w:rFonts w:ascii="宋体" w:hint="eastAsia"/>
          <w:color w:val="000000"/>
          <w:sz w:val="24"/>
        </w:rPr>
        <w:t>（三）仲裁费除仲裁机关另有裁决外均应由败诉方负担。</w:t>
      </w:r>
    </w:p>
    <w:p>
      <w:pPr>
        <w:pStyle w:val="11310"/>
        <w:spacing w:line="360" w:lineRule="auto"/>
        <w:ind w:firstLine="480" w:firstLineChars="200"/>
        <w:rPr>
          <w:rFonts w:ascii="宋体" w:hint="eastAsia"/>
          <w:color w:val="000000"/>
          <w:sz w:val="24"/>
        </w:rPr>
      </w:pPr>
      <w:r>
        <w:rPr>
          <w:rFonts w:ascii="宋体" w:hint="eastAsia"/>
          <w:color w:val="000000"/>
          <w:sz w:val="24"/>
        </w:rPr>
        <w:t>（四）在仲裁期间，除正在进行仲裁的部分外，本合同其他部分应继续履行。</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第十八条 合同修改或变更</w:t>
      </w:r>
    </w:p>
    <w:p>
      <w:pPr>
        <w:pStyle w:val="11310"/>
        <w:spacing w:line="360" w:lineRule="auto"/>
        <w:ind w:firstLine="480" w:firstLineChars="200"/>
        <w:rPr>
          <w:rFonts w:ascii="宋体" w:hint="eastAsia"/>
          <w:color w:val="000000"/>
          <w:sz w:val="24"/>
        </w:rPr>
      </w:pPr>
      <w:r>
        <w:rPr>
          <w:rFonts w:ascii="宋体" w:hint="eastAsia"/>
          <w:color w:val="000000"/>
          <w:sz w:val="24"/>
        </w:rPr>
        <w:t>（一）如无重大变故，甲乙双方不得擅自变更合同。</w:t>
      </w:r>
    </w:p>
    <w:p>
      <w:pPr>
        <w:pStyle w:val="11310"/>
        <w:spacing w:line="360" w:lineRule="auto"/>
        <w:ind w:firstLine="480" w:firstLineChars="200"/>
        <w:rPr>
          <w:rFonts w:ascii="宋体" w:hint="eastAsia"/>
          <w:color w:val="000000"/>
          <w:sz w:val="24"/>
        </w:rPr>
      </w:pPr>
      <w:r>
        <w:rPr>
          <w:rFonts w:ascii="宋体" w:hint="eastAsia"/>
          <w:color w:val="000000"/>
          <w:sz w:val="24"/>
        </w:rPr>
        <w:t>（二）如确需变更合同，甲乙双方应签署书面变更协议。变更协议为本合同不可分割的一部分。</w:t>
      </w:r>
    </w:p>
    <w:p>
      <w:pPr>
        <w:pStyle w:val="11310"/>
        <w:spacing w:line="360" w:lineRule="auto"/>
        <w:ind w:firstLine="480" w:firstLineChars="200"/>
        <w:rPr>
          <w:rFonts w:ascii="宋体" w:hint="eastAsia"/>
          <w:color w:val="000000"/>
          <w:sz w:val="24"/>
        </w:rPr>
      </w:pPr>
      <w:r>
        <w:rPr>
          <w:rFonts w:ascii="宋体" w:hint="eastAsia"/>
          <w:color w:val="000000"/>
          <w:sz w:val="24"/>
        </w:rPr>
        <w:t>（三）在不改变合同其他条款的前提下，甲方有权在合同价款10%的范围内追加与合同标的相同的货物或服务，并就此与乙方签订补充合同，乙方不得拒绝。</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第十九条 合同中止</w:t>
      </w:r>
    </w:p>
    <w:p>
      <w:pPr>
        <w:pStyle w:val="11310"/>
        <w:spacing w:line="360" w:lineRule="auto"/>
        <w:ind w:firstLine="480" w:firstLineChars="200"/>
        <w:rPr>
          <w:rFonts w:ascii="宋体" w:hint="eastAsia"/>
          <w:color w:val="000000"/>
          <w:sz w:val="24"/>
        </w:rPr>
      </w:pPr>
      <w:r>
        <w:rPr>
          <w:rFonts w:ascii="宋体" w:hint="eastAsia"/>
          <w:color w:val="000000"/>
          <w:sz w:val="24"/>
        </w:rPr>
        <w:t>（一）合同在履行过程中，因采购计划调整，甲方可以要求中止履行，待计划确定后继续履行。</w:t>
      </w:r>
    </w:p>
    <w:p>
      <w:pPr>
        <w:pStyle w:val="11310"/>
        <w:spacing w:line="360" w:lineRule="auto"/>
        <w:ind w:firstLine="480" w:firstLineChars="200"/>
        <w:rPr>
          <w:rFonts w:ascii="宋体" w:hint="eastAsia"/>
          <w:color w:val="000000"/>
          <w:sz w:val="24"/>
        </w:rPr>
      </w:pPr>
      <w:r>
        <w:rPr>
          <w:rFonts w:ascii="宋体" w:hint="eastAsia"/>
          <w:color w:val="000000"/>
          <w:sz w:val="24"/>
        </w:rPr>
        <w:t>（二）合同签订或履行过程中因其他供应商就采购过程或结果提起质疑、投诉、行政复议、行政诉讼的，甲方认为有必要或财政部责令中止的，应当中止合同的履行。</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第二十条 合同解除</w:t>
      </w:r>
    </w:p>
    <w:p>
      <w:pPr>
        <w:pStyle w:val="11310"/>
        <w:spacing w:line="360" w:lineRule="auto"/>
        <w:ind w:firstLine="480" w:firstLineChars="200"/>
        <w:rPr>
          <w:rFonts w:ascii="宋体" w:hint="eastAsia"/>
          <w:color w:val="000000"/>
          <w:sz w:val="24"/>
        </w:rPr>
      </w:pPr>
      <w:r>
        <w:rPr>
          <w:rFonts w:ascii="宋体" w:hint="eastAsia"/>
          <w:color w:val="000000"/>
          <w:sz w:val="24"/>
        </w:rPr>
        <w:t>（一）因违约解除合同</w:t>
      </w:r>
    </w:p>
    <w:p>
      <w:pPr>
        <w:pStyle w:val="11310"/>
        <w:spacing w:line="360" w:lineRule="auto"/>
        <w:ind w:firstLine="480" w:firstLineChars="200"/>
        <w:rPr>
          <w:rFonts w:ascii="宋体" w:hint="eastAsia"/>
          <w:color w:val="000000"/>
          <w:sz w:val="24"/>
        </w:rPr>
      </w:pPr>
      <w:r>
        <w:rPr>
          <w:rFonts w:ascii="宋体" w:hint="eastAsia"/>
          <w:color w:val="000000"/>
          <w:sz w:val="24"/>
        </w:rPr>
        <w:t>1.在甲方对乙方违约而采取的任何补救措施不受影响的情况下，甲方可向乙方发出书面违约通知书，提出解除部分或全部合同：</w:t>
      </w:r>
    </w:p>
    <w:p>
      <w:pPr>
        <w:pStyle w:val="11310"/>
        <w:spacing w:line="360" w:lineRule="auto"/>
        <w:ind w:firstLine="480" w:firstLineChars="200"/>
        <w:rPr>
          <w:rFonts w:ascii="宋体" w:hint="eastAsia"/>
          <w:color w:val="000000"/>
          <w:sz w:val="24"/>
        </w:rPr>
      </w:pPr>
      <w:r>
        <w:rPr>
          <w:rFonts w:ascii="宋体" w:hint="eastAsia"/>
          <w:color w:val="000000"/>
          <w:sz w:val="24"/>
        </w:rPr>
        <w:t>（1）如果乙方未能在合同规定的期限或甲方根据合同条款的规定同意延长的限期内提供部分或全部的货物或服务，达到合同所规定的要求；</w:t>
      </w:r>
    </w:p>
    <w:p>
      <w:pPr>
        <w:pStyle w:val="661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（2）如果甲方发现乙方在本合同的竞争或实施中有欺诈行为。</w:t>
      </w:r>
    </w:p>
    <w:p>
      <w:pPr>
        <w:pStyle w:val="11310"/>
        <w:spacing w:line="360" w:lineRule="auto"/>
        <w:ind w:firstLine="480" w:firstLineChars="200"/>
        <w:rPr>
          <w:rFonts w:ascii="宋体" w:hint="eastAsia"/>
          <w:color w:val="000000"/>
          <w:sz w:val="24"/>
        </w:rPr>
      </w:pPr>
      <w:r>
        <w:rPr>
          <w:rFonts w:ascii="宋体" w:hint="eastAsia"/>
          <w:color w:val="000000"/>
          <w:sz w:val="24"/>
        </w:rPr>
        <w:t>（3）如果乙方未能履行合同规定的其他任何义务。</w:t>
      </w:r>
    </w:p>
    <w:p>
      <w:pPr>
        <w:pStyle w:val="11310"/>
        <w:spacing w:line="360" w:lineRule="auto"/>
        <w:ind w:firstLine="480" w:firstLineChars="200"/>
        <w:rPr>
          <w:rFonts w:ascii="宋体" w:hint="eastAsia"/>
          <w:color w:val="000000"/>
          <w:sz w:val="24"/>
        </w:rPr>
      </w:pPr>
      <w:r>
        <w:rPr>
          <w:rFonts w:ascii="宋体" w:hint="eastAsia"/>
          <w:color w:val="000000"/>
          <w:sz w:val="24"/>
        </w:rPr>
        <w:t>2.如果甲方根据上述规定与乙方全部或部分解除合同，</w:t>
      </w:r>
      <w:r>
        <w:rPr>
          <w:rFonts w:ascii="宋体" w:hint="eastAsia"/>
          <w:bCs/>
          <w:color w:val="000000"/>
          <w:sz w:val="24"/>
        </w:rPr>
        <w:t>甲方可以依其认为适当的条件和方法购买乙方未能提供的货物或服务，乙方应对甲方购买类似货物或服务所超出的费用负责</w:t>
      </w:r>
      <w:r>
        <w:rPr>
          <w:rFonts w:ascii="宋体" w:hint="eastAsia"/>
          <w:color w:val="000000"/>
          <w:sz w:val="24"/>
        </w:rPr>
        <w:t>。</w:t>
      </w:r>
      <w:r>
        <w:rPr>
          <w:rFonts w:ascii="宋体" w:hint="eastAsia"/>
          <w:bCs/>
          <w:color w:val="000000"/>
          <w:sz w:val="24"/>
        </w:rPr>
        <w:t>同时，乙方应继续执行合同中未解除的部分。</w:t>
      </w:r>
    </w:p>
    <w:p>
      <w:pPr>
        <w:pStyle w:val="11310"/>
        <w:spacing w:line="360" w:lineRule="auto"/>
        <w:ind w:firstLine="480" w:firstLineChars="200"/>
        <w:rPr>
          <w:rFonts w:ascii="宋体" w:hint="eastAsia"/>
          <w:color w:val="000000"/>
          <w:sz w:val="24"/>
        </w:rPr>
      </w:pPr>
      <w:r>
        <w:rPr>
          <w:rFonts w:ascii="宋体" w:hint="eastAsia"/>
          <w:color w:val="000000"/>
          <w:sz w:val="24"/>
        </w:rPr>
        <w:t>（二）因破产而解除合同</w:t>
      </w:r>
    </w:p>
    <w:p>
      <w:pPr>
        <w:pStyle w:val="11310"/>
        <w:spacing w:line="360" w:lineRule="auto"/>
        <w:ind w:firstLine="480" w:firstLineChars="200"/>
        <w:rPr>
          <w:rFonts w:ascii="宋体" w:hint="eastAsia"/>
          <w:color w:val="000000"/>
          <w:sz w:val="24"/>
        </w:rPr>
      </w:pPr>
      <w:r>
        <w:rPr>
          <w:rFonts w:ascii="宋体" w:hint="eastAsia"/>
          <w:color w:val="000000"/>
          <w:sz w:val="24"/>
        </w:rPr>
        <w:t>1.如果乙方破产或无清偿能力，甲方可在任何时候以书面形式通知乙方，提出解除合同而不给乙方补偿，并有权要求乙方退回甲方已支付的合同货款。</w:t>
      </w:r>
    </w:p>
    <w:p>
      <w:pPr>
        <w:pStyle w:val="11310"/>
        <w:spacing w:line="360" w:lineRule="auto"/>
        <w:ind w:firstLine="480" w:firstLineChars="200"/>
        <w:rPr>
          <w:rFonts w:ascii="宋体" w:hint="eastAsia"/>
          <w:color w:val="000000"/>
          <w:sz w:val="24"/>
        </w:rPr>
      </w:pPr>
      <w:r>
        <w:rPr>
          <w:rFonts w:ascii="宋体" w:hint="eastAsia"/>
          <w:color w:val="000000"/>
          <w:sz w:val="24"/>
        </w:rPr>
        <w:t>2.该解除合同将不损害或影响甲方已经采取或将要采取的任何行动或补救措施的权利。</w:t>
      </w:r>
    </w:p>
    <w:p>
      <w:pPr>
        <w:pStyle w:val="11310"/>
        <w:spacing w:line="360" w:lineRule="auto"/>
        <w:ind w:firstLine="480" w:firstLineChars="200"/>
        <w:rPr>
          <w:rFonts w:ascii="宋体" w:hint="eastAsia"/>
          <w:color w:val="000000"/>
          <w:sz w:val="24"/>
        </w:rPr>
      </w:pPr>
      <w:r>
        <w:rPr>
          <w:rFonts w:ascii="宋体" w:hint="eastAsia"/>
          <w:color w:val="000000"/>
          <w:sz w:val="24"/>
        </w:rPr>
        <w:t>（三）其他解除合同情况</w:t>
      </w:r>
    </w:p>
    <w:p>
      <w:pPr>
        <w:pStyle w:val="11310"/>
        <w:spacing w:line="360" w:lineRule="auto"/>
        <w:ind w:firstLine="480" w:firstLineChars="200"/>
        <w:rPr>
          <w:rFonts w:ascii="宋体" w:hint="eastAsia"/>
          <w:color w:val="000000"/>
          <w:sz w:val="24"/>
        </w:rPr>
      </w:pPr>
      <w:r>
        <w:rPr>
          <w:rFonts w:ascii="宋体" w:hint="eastAsia"/>
          <w:color w:val="000000"/>
          <w:sz w:val="24"/>
        </w:rPr>
        <w:t>1.若合同继续履行将给甲方造成重大损失的，甲方可以解除合同而不给予乙方任何补偿。</w:t>
      </w:r>
    </w:p>
    <w:p>
      <w:pPr>
        <w:pStyle w:val="11310"/>
        <w:spacing w:line="360" w:lineRule="auto"/>
        <w:ind w:firstLine="480" w:firstLineChars="200"/>
        <w:rPr>
          <w:rFonts w:ascii="宋体" w:hint="eastAsia"/>
          <w:color w:val="000000"/>
          <w:sz w:val="24"/>
        </w:rPr>
      </w:pPr>
      <w:r>
        <w:rPr>
          <w:rFonts w:ascii="宋体" w:hint="eastAsia"/>
          <w:color w:val="000000"/>
          <w:sz w:val="24"/>
        </w:rPr>
        <w:t>2.乙方在执行合同的过程中发生重大变故，对履行合同有影响的，甲方可以解除合同而不给予乙方任何补偿。</w:t>
      </w:r>
    </w:p>
    <w:p>
      <w:pPr>
        <w:pStyle w:val="11310"/>
        <w:spacing w:line="360" w:lineRule="auto"/>
        <w:ind w:firstLine="480" w:firstLineChars="200"/>
        <w:rPr>
          <w:rFonts w:ascii="宋体" w:hint="eastAsia"/>
          <w:color w:val="000000"/>
          <w:sz w:val="24"/>
        </w:rPr>
      </w:pPr>
      <w:r>
        <w:rPr>
          <w:rFonts w:ascii="宋体" w:hint="eastAsia"/>
          <w:color w:val="000000"/>
          <w:sz w:val="24"/>
        </w:rPr>
        <w:t>3.甲方因重大变故取消或部分取消原来的采购任务，导致合同全部或部分内容无需继续履行的，可以解除合同而不给予乙方任何补偿。</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第二十一条 合同终止</w:t>
      </w:r>
    </w:p>
    <w:p>
      <w:pPr>
        <w:pStyle w:val="119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（一）本合同因下列原因而终止：</w:t>
      </w:r>
    </w:p>
    <w:p>
      <w:pPr>
        <w:pStyle w:val="119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1.本合同正常履行完毕；</w:t>
      </w:r>
    </w:p>
    <w:p>
      <w:pPr>
        <w:pStyle w:val="119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2.合同双方协议终止本合同的履行；</w:t>
      </w:r>
    </w:p>
    <w:p>
      <w:pPr>
        <w:pStyle w:val="119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3.不可抗力事件导致本合同无法履行或履行不必要；</w:t>
      </w:r>
    </w:p>
    <w:p>
      <w:pPr>
        <w:pStyle w:val="119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4.任何一方行使解除权，解除本合同；</w:t>
      </w:r>
    </w:p>
    <w:p>
      <w:pPr>
        <w:pStyle w:val="119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（二）对本合同终止有过错的一方应赔偿另一方因合同终止而受到的损失。</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第二十二条 合同转让和分包</w:t>
      </w:r>
    </w:p>
    <w:p>
      <w:pPr>
        <w:pStyle w:val="11310"/>
        <w:spacing w:line="360" w:lineRule="auto"/>
        <w:ind w:firstLine="480" w:firstLineChars="200"/>
        <w:rPr>
          <w:rFonts w:ascii="宋体" w:hint="eastAsia"/>
          <w:color w:val="000000"/>
          <w:sz w:val="24"/>
        </w:rPr>
      </w:pPr>
      <w:r>
        <w:rPr>
          <w:rFonts w:ascii="宋体" w:hint="eastAsia"/>
          <w:color w:val="000000"/>
          <w:sz w:val="24"/>
        </w:rPr>
        <w:t>（一）乙方不得以任何形式将合同转包。</w:t>
      </w:r>
    </w:p>
    <w:p>
      <w:pPr>
        <w:pStyle w:val="11310"/>
        <w:spacing w:line="360" w:lineRule="auto"/>
        <w:ind w:firstLine="480" w:firstLineChars="200"/>
        <w:rPr>
          <w:rFonts w:ascii="宋体" w:hint="eastAsia"/>
          <w:color w:val="000000"/>
          <w:sz w:val="24"/>
        </w:rPr>
      </w:pPr>
      <w:r>
        <w:rPr>
          <w:rFonts w:ascii="宋体" w:hint="eastAsia"/>
          <w:color w:val="000000"/>
          <w:sz w:val="24"/>
        </w:rPr>
        <w:t>（二）除经甲方事先书面同意外，乙方不得以任何形式将合同分包。</w:t>
      </w:r>
    </w:p>
    <w:p>
      <w:pPr>
        <w:pStyle w:val="11310"/>
        <w:spacing w:line="360" w:lineRule="auto"/>
        <w:ind w:firstLine="480" w:firstLineChars="200"/>
        <w:rPr>
          <w:rFonts w:ascii="宋体" w:hint="eastAsia"/>
          <w:color w:val="000000"/>
          <w:sz w:val="24"/>
        </w:rPr>
      </w:pPr>
      <w:r>
        <w:rPr>
          <w:rFonts w:ascii="宋体" w:hint="eastAsia"/>
          <w:color w:val="000000"/>
          <w:sz w:val="24"/>
        </w:rPr>
        <w:t>乙方擅自转包或分包的，甲方有权解除本合同，没收履约保证金，并要求乙方退还已支付的全部货款，赔偿甲方全部损失及支出的合理费用。</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第二十三条 其他</w:t>
      </w:r>
    </w:p>
    <w:p>
      <w:pPr>
        <w:pStyle w:val="11310"/>
        <w:spacing w:line="360" w:lineRule="auto"/>
        <w:ind w:firstLine="480" w:firstLineChars="200"/>
        <w:rPr>
          <w:rFonts w:ascii="宋体" w:hint="eastAsia"/>
          <w:color w:val="000000"/>
          <w:sz w:val="24"/>
        </w:rPr>
      </w:pPr>
      <w:r>
        <w:rPr>
          <w:rFonts w:ascii="宋体" w:hint="eastAsia"/>
          <w:color w:val="000000"/>
          <w:sz w:val="24"/>
        </w:rPr>
        <w:t>（一）中标通知书、中标人的投标文件、招标文件、合同条款、合同附件是本合同不可分割的部分，与本合同具有同等法律效力。</w:t>
      </w:r>
    </w:p>
    <w:p>
      <w:pPr>
        <w:pStyle w:val="11310"/>
        <w:spacing w:line="360" w:lineRule="auto"/>
        <w:ind w:firstLine="480" w:firstLineChars="200"/>
        <w:rPr>
          <w:rFonts w:ascii="宋体" w:hint="eastAsia"/>
          <w:color w:val="000000"/>
          <w:sz w:val="24"/>
        </w:rPr>
      </w:pPr>
      <w:r>
        <w:rPr>
          <w:rFonts w:ascii="宋体" w:hint="eastAsia"/>
          <w:color w:val="000000"/>
          <w:sz w:val="24"/>
        </w:rPr>
        <w:t>（二）本合同适用中华人民共和国法律（为本合同目的，不包括香港特别行政区、澳门特别行政区及台湾地区法律）管辖和解释。</w:t>
      </w:r>
    </w:p>
    <w:p>
      <w:pPr>
        <w:pStyle w:val="11310"/>
        <w:spacing w:line="360" w:lineRule="auto"/>
        <w:ind w:firstLine="480" w:firstLineChars="200"/>
        <w:rPr>
          <w:rFonts w:ascii="宋体" w:hint="eastAsia"/>
          <w:b/>
          <w:bCs/>
          <w:color w:val="000000"/>
          <w:sz w:val="24"/>
        </w:rPr>
      </w:pPr>
      <w:r>
        <w:rPr>
          <w:rFonts w:ascii="宋体" w:hint="eastAsia"/>
          <w:b/>
          <w:bCs/>
          <w:color w:val="000000"/>
          <w:sz w:val="24"/>
        </w:rPr>
        <w:t>第二十四条 合同生效</w:t>
      </w:r>
    </w:p>
    <w:p>
      <w:pPr>
        <w:pStyle w:val="11310"/>
        <w:spacing w:line="360" w:lineRule="auto"/>
        <w:ind w:firstLine="480" w:firstLineChars="200"/>
        <w:rPr>
          <w:rFonts w:ascii="宋体" w:hint="eastAsia"/>
          <w:color w:val="000000"/>
          <w:sz w:val="24"/>
        </w:rPr>
      </w:pPr>
      <w:r>
        <w:rPr>
          <w:rFonts w:ascii="宋体" w:hint="eastAsia"/>
          <w:color w:val="000000"/>
          <w:sz w:val="24"/>
        </w:rPr>
        <w:t>（一）本合同一式4份，甲方执2份，乙方执2份；自甲乙双方签字盖章之日起生效。对本合同的任何更改及补充，均需双方共同协商，并以书面形式盖章确认。</w:t>
      </w:r>
    </w:p>
    <w:p>
      <w:pPr>
        <w:pStyle w:val="11310"/>
        <w:spacing w:line="360" w:lineRule="auto"/>
        <w:ind w:firstLine="480" w:firstLineChars="200"/>
        <w:rPr>
          <w:rFonts w:ascii="宋体" w:hint="eastAsia"/>
          <w:color w:val="000000"/>
          <w:sz w:val="24"/>
        </w:rPr>
      </w:pPr>
      <w:r>
        <w:rPr>
          <w:rFonts w:ascii="宋体" w:hint="eastAsia"/>
          <w:color w:val="000000"/>
          <w:sz w:val="24"/>
        </w:rPr>
        <w:t>本合同包含附件</w:t>
      </w:r>
      <w:r>
        <w:rPr>
          <w:rFonts w:ascii="宋体" w:hint="eastAsia"/>
          <w:color w:val="000000"/>
          <w:sz w:val="24"/>
          <w:u w:val="single"/>
        </w:rPr>
        <w:t xml:space="preserve">     </w:t>
      </w:r>
      <w:r>
        <w:rPr>
          <w:rFonts w:ascii="宋体" w:hint="eastAsia"/>
          <w:color w:val="000000"/>
          <w:sz w:val="24"/>
        </w:rPr>
        <w:t>份</w:t>
      </w:r>
    </w:p>
    <w:p>
      <w:pPr>
        <w:pStyle w:val="11310"/>
        <w:spacing w:line="360" w:lineRule="auto"/>
        <w:ind w:firstLine="480" w:firstLineChars="200"/>
        <w:rPr>
          <w:rFonts w:ascii="宋体" w:hint="eastAsia"/>
          <w:color w:val="000000"/>
          <w:sz w:val="24"/>
        </w:rPr>
      </w:pPr>
      <w:r>
        <w:rPr>
          <w:rFonts w:ascii="宋体" w:hint="eastAsia"/>
          <w:color w:val="000000"/>
          <w:sz w:val="24"/>
        </w:rPr>
        <w:t>附件一：分项报价表</w:t>
      </w:r>
    </w:p>
    <w:p>
      <w:pPr>
        <w:pStyle w:val="11310"/>
        <w:spacing w:line="360" w:lineRule="auto"/>
        <w:ind w:firstLine="480" w:firstLineChars="200"/>
        <w:rPr>
          <w:rFonts w:ascii="宋体" w:hint="eastAsia"/>
          <w:color w:val="000000"/>
          <w:sz w:val="24"/>
        </w:rPr>
      </w:pPr>
      <w:r>
        <w:rPr>
          <w:rFonts w:ascii="宋体" w:hint="eastAsia"/>
          <w:color w:val="000000"/>
          <w:sz w:val="24"/>
        </w:rPr>
        <w:t>附件二：设备配置清单</w:t>
      </w:r>
    </w:p>
    <w:p>
      <w:pPr>
        <w:pStyle w:val="11310"/>
        <w:spacing w:line="360" w:lineRule="auto"/>
        <w:ind w:firstLine="480" w:firstLineChars="200"/>
        <w:rPr>
          <w:rFonts w:ascii="宋体" w:hint="eastAsia"/>
          <w:color w:val="000000"/>
          <w:sz w:val="24"/>
        </w:rPr>
      </w:pPr>
      <w:r>
        <w:rPr>
          <w:rFonts w:ascii="宋体" w:hint="eastAsia"/>
          <w:color w:val="000000"/>
          <w:sz w:val="24"/>
        </w:rPr>
        <w:t>附件三：技术偏离表</w:t>
      </w:r>
    </w:p>
    <w:p>
      <w:pPr>
        <w:pStyle w:val="11310"/>
        <w:spacing w:line="360" w:lineRule="auto"/>
        <w:ind w:firstLine="480" w:firstLineChars="200"/>
        <w:rPr>
          <w:rFonts w:ascii="宋体" w:hint="eastAsia"/>
          <w:color w:val="000000"/>
          <w:sz w:val="24"/>
        </w:rPr>
      </w:pPr>
      <w:r>
        <w:rPr>
          <w:rFonts w:ascii="宋体" w:hint="eastAsia"/>
          <w:color w:val="000000"/>
          <w:sz w:val="24"/>
        </w:rPr>
        <w:t>附件四：货物分配清单</w:t>
      </w:r>
    </w:p>
    <w:p>
      <w:pPr>
        <w:pStyle w:val="11310"/>
        <w:spacing w:line="360" w:lineRule="auto"/>
        <w:ind w:firstLine="480" w:firstLineChars="200"/>
        <w:rPr>
          <w:rFonts w:ascii="宋体" w:hint="eastAsia"/>
          <w:color w:val="000000"/>
          <w:sz w:val="24"/>
        </w:rPr>
      </w:pPr>
      <w:r>
        <w:rPr>
          <w:rFonts w:ascii="宋体" w:hint="eastAsia"/>
          <w:color w:val="000000"/>
          <w:sz w:val="24"/>
        </w:rPr>
        <w:t>附件五：项目实施方案</w:t>
      </w:r>
    </w:p>
    <w:p>
      <w:pPr>
        <w:pStyle w:val="11310"/>
        <w:spacing w:line="360" w:lineRule="auto"/>
        <w:ind w:firstLine="480" w:firstLineChars="200"/>
        <w:rPr>
          <w:rFonts w:ascii="宋体" w:hint="eastAsia"/>
          <w:color w:val="000000"/>
          <w:sz w:val="24"/>
        </w:rPr>
      </w:pPr>
      <w:r>
        <w:rPr>
          <w:rFonts w:ascii="宋体" w:hint="eastAsia"/>
          <w:color w:val="000000"/>
          <w:sz w:val="24"/>
        </w:rPr>
        <w:t>附件六：技术培训方案</w:t>
      </w:r>
    </w:p>
    <w:p>
      <w:pPr>
        <w:pStyle w:val="11310"/>
        <w:spacing w:line="360" w:lineRule="auto"/>
        <w:ind w:firstLine="480" w:firstLineChars="200"/>
        <w:rPr>
          <w:rFonts w:ascii="宋体" w:hint="eastAsia"/>
          <w:color w:val="000000"/>
          <w:sz w:val="24"/>
        </w:rPr>
      </w:pPr>
      <w:r>
        <w:rPr>
          <w:rFonts w:ascii="宋体" w:hint="eastAsia"/>
          <w:color w:val="000000"/>
          <w:sz w:val="24"/>
        </w:rPr>
        <w:t>附件七：技术支持及售后服务方案</w:t>
      </w:r>
    </w:p>
    <w:p>
      <w:pPr>
        <w:pStyle w:val="11310"/>
        <w:spacing w:line="360" w:lineRule="auto"/>
        <w:ind w:firstLine="480" w:firstLineChars="200"/>
        <w:rPr>
          <w:rFonts w:ascii="宋体" w:hint="eastAsia"/>
          <w:color w:val="000000"/>
          <w:sz w:val="24"/>
        </w:rPr>
      </w:pPr>
      <w:r>
        <w:rPr>
          <w:rFonts w:ascii="宋体" w:hint="eastAsia"/>
          <w:color w:val="000000"/>
          <w:sz w:val="24"/>
        </w:rPr>
        <w:t>附件八：设备到货验收报告</w:t>
      </w:r>
    </w:p>
    <w:p>
      <w:pPr>
        <w:pStyle w:val="11310"/>
        <w:spacing w:line="360" w:lineRule="auto"/>
        <w:rPr>
          <w:rFonts w:ascii="宋体" w:hint="eastAsia"/>
          <w:color w:val="000000"/>
          <w:sz w:val="24"/>
        </w:rPr>
      </w:pPr>
    </w:p>
    <w:p>
      <w:pPr>
        <w:pStyle w:val="11310"/>
        <w:spacing w:line="360" w:lineRule="auto"/>
        <w:rPr>
          <w:rFonts w:ascii="宋体" w:hint="eastAsia"/>
          <w:color w:val="000000"/>
          <w:sz w:val="24"/>
        </w:rPr>
      </w:pPr>
    </w:p>
    <w:p>
      <w:pPr>
        <w:pStyle w:val="11310"/>
        <w:spacing w:line="360" w:lineRule="auto"/>
        <w:rPr>
          <w:rFonts w:ascii="宋体" w:hint="eastAsia"/>
          <w:color w:val="000000"/>
          <w:sz w:val="24"/>
        </w:rPr>
      </w:pPr>
      <w:r>
        <w:rPr>
          <w:rFonts w:ascii="宋体" w:hint="eastAsia"/>
          <w:color w:val="000000"/>
          <w:sz w:val="24"/>
        </w:rPr>
        <w:t>甲方（公章</w:t>
      </w:r>
      <w:r>
        <w:rPr>
          <w:rFonts w:ascii="宋体" w:hint="eastAsia"/>
          <w:snapToGrid w:val="0"/>
          <w:kern w:val="0"/>
          <w:sz w:val="24"/>
        </w:rPr>
        <w:t>或合同章</w:t>
      </w:r>
      <w:r>
        <w:rPr>
          <w:rFonts w:ascii="宋体" w:hint="eastAsia"/>
          <w:color w:val="000000"/>
          <w:sz w:val="24"/>
        </w:rPr>
        <w:t>）：             乙方（公章</w:t>
      </w:r>
      <w:r>
        <w:rPr>
          <w:rFonts w:ascii="宋体" w:hint="eastAsia"/>
          <w:snapToGrid w:val="0"/>
          <w:kern w:val="0"/>
          <w:sz w:val="24"/>
        </w:rPr>
        <w:t>或合同章</w:t>
      </w:r>
      <w:r>
        <w:rPr>
          <w:rFonts w:ascii="宋体" w:hint="eastAsia"/>
          <w:color w:val="000000"/>
          <w:sz w:val="24"/>
        </w:rPr>
        <w:t>）：</w:t>
      </w:r>
    </w:p>
    <w:p>
      <w:pPr>
        <w:pStyle w:val="11310"/>
        <w:spacing w:line="360" w:lineRule="auto"/>
        <w:rPr>
          <w:rFonts w:ascii="宋体" w:hint="eastAsia"/>
          <w:color w:val="000000"/>
          <w:sz w:val="24"/>
        </w:rPr>
      </w:pPr>
      <w:r>
        <w:rPr>
          <w:rFonts w:ascii="宋体" w:hint="eastAsia"/>
          <w:color w:val="000000"/>
          <w:sz w:val="24"/>
        </w:rPr>
        <w:t>法定代表人                        法定代表人</w:t>
      </w:r>
    </w:p>
    <w:p>
      <w:pPr>
        <w:pStyle w:val="11310"/>
        <w:spacing w:line="360" w:lineRule="auto"/>
        <w:rPr>
          <w:rFonts w:ascii="宋体" w:hint="eastAsia"/>
          <w:color w:val="000000"/>
          <w:sz w:val="24"/>
        </w:rPr>
      </w:pPr>
      <w:r>
        <w:rPr>
          <w:rFonts w:ascii="宋体" w:hint="eastAsia"/>
          <w:color w:val="000000"/>
          <w:sz w:val="24"/>
        </w:rPr>
        <w:t>或授权签字人（签字）：             或授权签字人（签字）：</w:t>
      </w:r>
    </w:p>
    <w:p>
      <w:pPr>
        <w:pStyle w:val="11310"/>
        <w:spacing w:line="360" w:lineRule="auto"/>
        <w:rPr>
          <w:rFonts w:ascii="宋体" w:hint="eastAsia"/>
          <w:color w:val="000000"/>
          <w:sz w:val="24"/>
        </w:rPr>
      </w:pPr>
    </w:p>
    <w:p>
      <w:pPr>
        <w:pStyle w:val="11310"/>
        <w:spacing w:line="360" w:lineRule="auto"/>
      </w:pPr>
      <w:r>
        <w:rPr>
          <w:rFonts w:ascii="宋体" w:hint="eastAsia"/>
          <w:color w:val="000000"/>
          <w:sz w:val="24"/>
        </w:rPr>
        <w:t xml:space="preserve">日期： 年  月  日                 日期：   年   月   日   </w:t>
      </w:r>
    </w:p>
    <w:p>
      <w:pPr>
        <w:pStyle w:val="49100"/>
        <w:rPr>
          <w:rFonts w:ascii="Times New Roman" w:eastAsia="方正仿宋_GBK" w:hAnsi="Times New Roman"/>
          <w:b/>
          <w:bCs/>
          <w:sz w:val="32"/>
          <w:szCs w:val="32"/>
        </w:rPr>
      </w:pPr>
      <w:bookmarkEnd w:id="71"/>
    </w:p>
    <w:p/>
    <w:p/>
    <w:p/>
    <w:p/>
    <w:p/>
    <w:p>
      <w:pPr>
        <w:pStyle w:val="Heading1"/>
        <w:rPr>
          <w:rFonts w:hint="eastAsia"/>
          <w:highlight w:val="white"/>
        </w:rPr>
      </w:pPr>
      <w:r>
        <w:rPr>
          <w:rFonts w:hint="eastAsia"/>
          <w:highlight w:val="white"/>
        </w:rPr>
        <w:br w:type="page"/>
      </w:r>
      <w:bookmarkStart w:id="72" w:name="_Toc47661360"/>
      <w:r>
        <w:rPr>
          <w:rFonts w:hint="eastAsia"/>
          <w:highlight w:val="white"/>
        </w:rPr>
        <w:t>第六部分  投标文件格式</w:t>
      </w:r>
      <w:bookmarkEnd w:id="72"/>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73"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14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74" w:name="_Toc499068169"/>
      <w:bookmarkStart w:id="75" w:name="_Toc46196323"/>
      <w:bookmarkStart w:id="76" w:name="_Toc485990833"/>
      <w:r>
        <w:rPr>
          <w:rFonts w:ascii="宋体" w:eastAsia="宋体" w:hint="eastAsia"/>
          <w:szCs w:val="32"/>
          <w:lang w:eastAsia="zh-CN"/>
        </w:rPr>
        <w:t>投标函</w:t>
      </w:r>
      <w:bookmarkEnd w:id="74"/>
      <w:bookmarkEnd w:id="75"/>
      <w:bookmarkEnd w:id="76"/>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77" w:name="_Toc499068185"/>
      <w:bookmarkStart w:id="78" w:name="_Toc485990851"/>
      <w:r>
        <w:rPr>
          <w:rFonts w:ascii="宋体" w:eastAsia="宋体" w:hint="eastAsia"/>
          <w:szCs w:val="32"/>
          <w:lang w:eastAsia="zh-CN"/>
        </w:rPr>
        <w:t>技术偏离表</w:t>
      </w:r>
      <w:bookmarkEnd w:id="77"/>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78"/>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79" w:name="_Toc499068185_0"/>
      <w:r>
        <w:rPr>
          <w:rFonts w:ascii="宋体" w:eastAsia="宋体" w:hint="eastAsia"/>
          <w:szCs w:val="32"/>
          <w:lang w:eastAsia="zh-CN"/>
        </w:rPr>
        <w:t>技术偏离表</w:t>
      </w:r>
      <w:bookmarkEnd w:id="79"/>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noWrap/>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r>
              <w:rPr>
                <w:rFonts w:ascii="宋体" w:eastAsia="宋体" w:hint="eastAsia"/>
                <w:sz w:val="24"/>
              </w:rPr>
              <w:t>序号</w:t>
            </w:r>
          </w:p>
        </w:tc>
        <w:tc>
          <w:tcPr>
            <w:tcW w:w="2511" w:type="dxa"/>
            <w:noWrap/>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noWrap/>
            <w:vAlign w:val="center"/>
          </w:tcPr>
          <w:p>
            <w:pPr>
              <w:pStyle w:val="3100"/>
              <w:jc w:val="center"/>
              <w:rPr>
                <w:rFonts w:ascii="宋体" w:eastAsia="宋体" w:hint="eastAsia"/>
                <w:sz w:val="24"/>
              </w:rPr>
            </w:pPr>
            <w:r>
              <w:rPr>
                <w:rFonts w:ascii="宋体" w:eastAsia="宋体" w:hint="eastAsia"/>
                <w:sz w:val="24"/>
              </w:rPr>
              <w:t>规格型号</w:t>
            </w:r>
          </w:p>
        </w:tc>
        <w:tc>
          <w:tcPr>
            <w:tcW w:w="543" w:type="dxa"/>
            <w:noWrap/>
            <w:vAlign w:val="center"/>
          </w:tcPr>
          <w:p>
            <w:pPr>
              <w:pStyle w:val="3100"/>
              <w:jc w:val="center"/>
              <w:rPr>
                <w:rFonts w:ascii="宋体" w:eastAsia="宋体" w:hint="eastAsia"/>
                <w:sz w:val="24"/>
              </w:rPr>
            </w:pPr>
            <w:r>
              <w:rPr>
                <w:rFonts w:ascii="宋体" w:eastAsia="宋体" w:hint="eastAsia"/>
                <w:sz w:val="24"/>
              </w:rPr>
              <w:t>品牌</w:t>
            </w:r>
          </w:p>
        </w:tc>
        <w:tc>
          <w:tcPr>
            <w:tcW w:w="1855" w:type="dxa"/>
            <w:noWrap/>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noWrap/>
            <w:vAlign w:val="center"/>
          </w:tcPr>
          <w:p>
            <w:pPr>
              <w:pStyle w:val="3100"/>
              <w:jc w:val="center"/>
              <w:rPr>
                <w:rFonts w:ascii="宋体" w:eastAsia="宋体" w:hint="eastAsia"/>
                <w:sz w:val="24"/>
              </w:rPr>
            </w:pPr>
            <w:r>
              <w:rPr>
                <w:rFonts w:ascii="宋体" w:eastAsia="宋体" w:hint="eastAsia"/>
                <w:sz w:val="24"/>
              </w:rPr>
              <w:t>数量</w:t>
            </w:r>
          </w:p>
        </w:tc>
        <w:tc>
          <w:tcPr>
            <w:tcW w:w="918" w:type="dxa"/>
            <w:noWrap/>
            <w:vAlign w:val="center"/>
          </w:tcPr>
          <w:p>
            <w:pPr>
              <w:pStyle w:val="3100"/>
              <w:jc w:val="center"/>
              <w:rPr>
                <w:rFonts w:ascii="宋体" w:eastAsia="宋体" w:hint="eastAsia"/>
                <w:sz w:val="24"/>
              </w:rPr>
            </w:pPr>
            <w:r>
              <w:rPr>
                <w:rFonts w:ascii="宋体" w:eastAsia="宋体" w:hint="eastAsia"/>
                <w:sz w:val="24"/>
              </w:rPr>
              <w:t>单价(元)</w:t>
            </w:r>
          </w:p>
        </w:tc>
        <w:tc>
          <w:tcPr>
            <w:tcW w:w="696" w:type="dxa"/>
            <w:noWrap/>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noWrap/>
            <w:vAlign w:val="center"/>
          </w:tcPr>
          <w:p>
            <w:pPr>
              <w:pStyle w:val="3100"/>
              <w:jc w:val="center"/>
              <w:rPr>
                <w:rFonts w:ascii="宋体" w:eastAsia="宋体" w:hint="eastAsia"/>
                <w:sz w:val="24"/>
              </w:rPr>
            </w:pPr>
            <w:r>
              <w:rPr>
                <w:rFonts w:ascii="宋体" w:eastAsia="宋体" w:hint="eastAsia"/>
                <w:sz w:val="24"/>
              </w:rPr>
              <w:t>总价（元）</w:t>
            </w:r>
          </w:p>
        </w:tc>
        <w:tc>
          <w:tcPr>
            <w:tcW w:w="696" w:type="dxa"/>
            <w:noWrap/>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w:t>
      </w:r>
      <w:r>
        <w:rPr>
          <w:rFonts w:ascii="宋体"/>
          <w:color w:val="000000"/>
          <w:sz w:val="22"/>
        </w:rPr>
        <w:t>自招标公告发布之月前（不含当月）六个月内任意一个月社保缴纳证明</w:t>
      </w:r>
      <w:r>
        <w:rPr>
          <w:rFonts w:ascii="宋体" w:hint="eastAsia"/>
          <w:color w:val="000000"/>
          <w:sz w:val="22"/>
        </w:rPr>
        <w:t xml:space="preserve">（未提供的不予认定）；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73"/>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方正黑体_GBK"/>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书宋_GBK"/>
    <w:panose1 w:val="02010600030101010101"/>
    <w:charset w:val="86"/>
    <w:family w:val="auto"/>
    <w:pitch w:val="variable"/>
    <w:sig w:usb0="A00002BF" w:usb1="38CF7CFA" w:usb2="00000016" w:usb3="00000000" w:csb0="0004000F" w:csb1="00000000"/>
  </w:font>
  <w:font w:name="微软雅黑">
    <w:altName w:val="方正黑体_GBK"/>
    <w:panose1 w:val="020B0503020204020204"/>
    <w:charset w:val="86"/>
    <w:family w:val="swiss"/>
    <w:pitch w:val="variable"/>
    <w:sig w:usb0="80000287" w:usb1="280F3C52" w:usb2="00000016" w:usb3="00000000" w:csb0="0004001F" w:csb1="00000000"/>
  </w:font>
  <w:font w:name="方正仿宋_GBK">
    <w:altName w:val="微软雅黑"/>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黑体_GBK">
    <w:altName w:val="微软雅黑"/>
    <w:panose1 w:val="03000509000000000000"/>
    <w:charset w:val="86"/>
    <w:family w:val="script"/>
    <w:pitch w:val="variable"/>
    <w:sig w:usb0="00000001" w:usb1="080E0000" w:usb2="00000000" w:usb3="00000000" w:csb0="00040000" w:csb1="00000000"/>
  </w:font>
  <w:font w:name="方正楷体_GBK">
    <w:altName w:val="微软雅黑"/>
    <w:panose1 w:val="03000509000000000000"/>
    <w:charset w:val="86"/>
    <w:family w:val="script"/>
    <w:pitch w:val="variable"/>
    <w:sig w:usb0="00000001" w:usb1="080E0000" w:usb2="00000010" w:usb3="00000000" w:csb0="00040000" w:csb1="00000000"/>
  </w:font>
  <w:font w:name="方正小标宋_GBK">
    <w:altName w:val="微软雅黑"/>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auto"/>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方正仿宋_GBK"/>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书宋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Wingdings">
    <w:altName w:val="DejaVu Sans"/>
    <w:panose1 w:val="05000000000000000000"/>
    <w:charset w:val="02"/>
    <w:family w:val="auto"/>
    <w:pitch w:val="variable"/>
    <w:sig w:usb0="00000000" w:usb1="00000000" w:usb2="00000000" w:usb3="00000000" w:csb0="80000001" w:csb1="00000000"/>
  </w:font>
  <w:font w:name="方正兰亭黑_GBK">
    <w:altName w:val="Arial Unicode MS"/>
    <w:panose1 w:val="02000000000000000000"/>
    <w:charset w:val="86"/>
    <w:family w:val="script"/>
    <w:pitch w:val="variable"/>
    <w:sig w:usb0="A00002BF" w:usb1="3ACF7CFA" w:usb2="0008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2395" distR="112395" simplePos="0" relativeHeight="251658240" behindDoc="0" locked="0" layoutInCell="1" allowOverlap="1">
              <wp:simplePos x="0" y="0"/>
              <wp:positionH relativeFrom="margin">
                <wp:align>center</wp:align>
              </wp:positionH>
              <wp:positionV relativeFrom="paragraph">
                <wp:posOffset>692149</wp:posOffset>
              </wp:positionV>
              <wp:extent cx="533018" cy="425774"/>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57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53pt;margin-top:54.5pt;margin-left:0;mso-position-horizontal:center;mso-position-horizontal-relative:margin;mso-wrap-distance-left:8.85pt;mso-wrap-distance-right:8.85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109730"/>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
    <w:nsid w:val="84A1416F"/>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2">
    <w:nsid w:val="853C8DBB"/>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3">
    <w:nsid w:val="89A94359"/>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4">
    <w:nsid w:val="8BD3CFE1"/>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5">
    <w:nsid w:val="8D645306"/>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6">
    <w:nsid w:val="8F29F8A8"/>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7">
    <w:nsid w:val="91943097"/>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8">
    <w:nsid w:val="920067EC"/>
    <w:multiLevelType w:val="hybrid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9">
    <w:nsid w:val="922871A7"/>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0">
    <w:nsid w:val="94C9C3B2"/>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1">
    <w:nsid w:val="96EF0BC1"/>
    <w:multiLevelType w:val="hybrid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12">
    <w:nsid w:val="971A4A1D"/>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3">
    <w:nsid w:val="98B7EA0A"/>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4">
    <w:nsid w:val="99300632"/>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5">
    <w:nsid w:val="9A1973A7"/>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6">
    <w:nsid w:val="9A4AEF9E"/>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7">
    <w:nsid w:val="9AD10915"/>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8">
    <w:nsid w:val="9D74E21F"/>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9">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A0A150BC"/>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1">
    <w:nsid w:val="A3FF2687"/>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22">
    <w:nsid w:val="A5E998E6"/>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23">
    <w:nsid w:val="A8874237"/>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24">
    <w:nsid w:val="ADB9734E"/>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25">
    <w:nsid w:val="B43865A6"/>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26">
    <w:nsid w:val="B6E0AB34"/>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27">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8">
    <w:nsid w:val="BA847B76"/>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29">
    <w:nsid w:val="BCF3B9B7"/>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30">
    <w:nsid w:val="BD5CCC74"/>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31">
    <w:nsid w:val="C122C647"/>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32">
    <w:nsid w:val="C2FBF54B"/>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33">
    <w:nsid w:val="C4571A57"/>
    <w:multiLevelType w:val="hybridMultilevel"/>
    <w:tmpl w:val="00000000"/>
    <w:lvl w:ilvl="0">
      <w:start w:val="1"/>
      <w:numFmt w:val="bullet"/>
      <w:lvlText w:val=""/>
      <w:lvlJc w:val="left"/>
      <w:pPr>
        <w:tabs>
          <w:tab w:val="num" w:pos="1060"/>
        </w:tabs>
        <w:ind w:left="1060" w:hanging="420"/>
      </w:pPr>
      <w:rPr>
        <w:rFonts w:ascii="Wingdings" w:hAnsi="Wingdings" w:hint="default"/>
      </w:rPr>
    </w:lvl>
    <w:lvl w:ilvl="1">
      <w:start w:val="1"/>
      <w:numFmt w:val="bullet"/>
      <w:lvlRestart w:val="0"/>
      <w:lvlText w:val=""/>
      <w:lvlJc w:val="left"/>
      <w:pPr>
        <w:tabs>
          <w:tab w:val="num" w:pos="1480"/>
        </w:tabs>
        <w:ind w:left="1480" w:hanging="420"/>
      </w:pPr>
      <w:rPr>
        <w:rFonts w:ascii="Wingdings" w:hAnsi="Wingdings" w:hint="default"/>
      </w:rPr>
    </w:lvl>
    <w:lvl w:ilvl="2">
      <w:start w:val="1"/>
      <w:numFmt w:val="bullet"/>
      <w:lvlRestart w:val="0"/>
      <w:lvlText w:val=""/>
      <w:lvlJc w:val="left"/>
      <w:pPr>
        <w:tabs>
          <w:tab w:val="num" w:pos="1900"/>
        </w:tabs>
        <w:ind w:left="1900" w:hanging="420"/>
      </w:pPr>
      <w:rPr>
        <w:rFonts w:ascii="Wingdings" w:hAnsi="Wingdings" w:hint="default"/>
      </w:rPr>
    </w:lvl>
    <w:lvl w:ilvl="3">
      <w:start w:val="1"/>
      <w:numFmt w:val="bullet"/>
      <w:lvlRestart w:val="0"/>
      <w:lvlText w:val=""/>
      <w:lvlJc w:val="left"/>
      <w:pPr>
        <w:tabs>
          <w:tab w:val="num" w:pos="2320"/>
        </w:tabs>
        <w:ind w:left="2320" w:hanging="420"/>
      </w:pPr>
      <w:rPr>
        <w:rFonts w:ascii="Wingdings" w:hAnsi="Wingdings" w:hint="default"/>
      </w:rPr>
    </w:lvl>
    <w:lvl w:ilvl="4">
      <w:start w:val="1"/>
      <w:numFmt w:val="bullet"/>
      <w:lvlRestart w:val="0"/>
      <w:lvlText w:val=""/>
      <w:lvlJc w:val="left"/>
      <w:pPr>
        <w:tabs>
          <w:tab w:val="num" w:pos="2740"/>
        </w:tabs>
        <w:ind w:left="2740" w:hanging="420"/>
      </w:pPr>
      <w:rPr>
        <w:rFonts w:ascii="Wingdings" w:hAnsi="Wingdings" w:hint="default"/>
      </w:rPr>
    </w:lvl>
    <w:lvl w:ilvl="5">
      <w:start w:val="1"/>
      <w:numFmt w:val="bullet"/>
      <w:lvlRestart w:val="0"/>
      <w:lvlText w:val=""/>
      <w:lvlJc w:val="left"/>
      <w:pPr>
        <w:tabs>
          <w:tab w:val="num" w:pos="3160"/>
        </w:tabs>
        <w:ind w:left="3160" w:hanging="420"/>
      </w:pPr>
      <w:rPr>
        <w:rFonts w:ascii="Wingdings" w:hAnsi="Wingdings" w:hint="default"/>
      </w:rPr>
    </w:lvl>
    <w:lvl w:ilvl="6">
      <w:start w:val="1"/>
      <w:numFmt w:val="bullet"/>
      <w:lvlRestart w:val="0"/>
      <w:lvlText w:val=""/>
      <w:lvlJc w:val="left"/>
      <w:pPr>
        <w:tabs>
          <w:tab w:val="num" w:pos="3580"/>
        </w:tabs>
        <w:ind w:left="3580" w:hanging="420"/>
      </w:pPr>
      <w:rPr>
        <w:rFonts w:ascii="Wingdings" w:hAnsi="Wingdings" w:hint="default"/>
      </w:rPr>
    </w:lvl>
    <w:lvl w:ilvl="7">
      <w:start w:val="1"/>
      <w:numFmt w:val="bullet"/>
      <w:lvlRestart w:val="0"/>
      <w:lvlText w:val=""/>
      <w:lvlJc w:val="left"/>
      <w:pPr>
        <w:tabs>
          <w:tab w:val="num" w:pos="4000"/>
        </w:tabs>
        <w:ind w:left="4000" w:hanging="420"/>
      </w:pPr>
      <w:rPr>
        <w:rFonts w:ascii="Wingdings" w:hAnsi="Wingdings" w:hint="default"/>
      </w:rPr>
    </w:lvl>
    <w:lvl w:ilvl="8">
      <w:start w:val="1"/>
      <w:numFmt w:val="bullet"/>
      <w:lvlRestart w:val="0"/>
      <w:lvlText w:val=""/>
      <w:lvlJc w:val="left"/>
      <w:pPr>
        <w:tabs>
          <w:tab w:val="num" w:pos="4420"/>
        </w:tabs>
        <w:ind w:left="4420" w:hanging="420"/>
      </w:pPr>
      <w:rPr>
        <w:rFonts w:ascii="Wingdings" w:hAnsi="Wingdings" w:hint="default"/>
      </w:rPr>
    </w:lvl>
  </w:abstractNum>
  <w:abstractNum w:abstractNumId="34">
    <w:nsid w:val="C7415338"/>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35">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6">
    <w:nsid w:val="C8AA7A98"/>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37">
    <w:nsid w:val="C93B53BA"/>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38">
    <w:nsid w:val="CB2FFFFD"/>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39">
    <w:nsid w:val="CBB8907C"/>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40">
    <w:nsid w:val="CF65824F"/>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41">
    <w:nsid w:val="CF728EFE"/>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42">
    <w:nsid w:val="D05A4CD0"/>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43">
    <w:nsid w:val="D1397FCF"/>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44">
    <w:nsid w:val="D3449D07"/>
    <w:multiLevelType w:val="singleLevel"/>
    <w:tmpl w:val="D3449D07"/>
    <w:lvl w:ilvl="0">
      <w:start w:val="1"/>
      <w:numFmt w:val="bullet"/>
      <w:lvlText w:val=""/>
      <w:lvlJc w:val="left"/>
      <w:pPr>
        <w:tabs>
          <w:tab w:val="num" w:pos="0"/>
        </w:tabs>
        <w:ind w:left="420" w:hanging="420"/>
      </w:pPr>
      <w:rPr>
        <w:rFonts w:ascii="Wingdings" w:hAnsi="Wingdings" w:hint="default"/>
      </w:rPr>
    </w:lvl>
  </w:abstractNum>
  <w:abstractNum w:abstractNumId="45">
    <w:nsid w:val="D3EDE71E"/>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46">
    <w:nsid w:val="D47C2629"/>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47">
    <w:nsid w:val="D5138D2E"/>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48">
    <w:nsid w:val="D6839473"/>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49">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0">
    <w:nsid w:val="D8F2FE01"/>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51">
    <w:nsid w:val="D90CA305"/>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52">
    <w:nsid w:val="D9E52F56"/>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53">
    <w:nsid w:val="DD901B18"/>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54">
    <w:nsid w:val="E144DAEA"/>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55">
    <w:nsid w:val="E196E2C4"/>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56">
    <w:nsid w:val="E51615A6"/>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57">
    <w:nsid w:val="E8813A98"/>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58">
    <w:nsid w:val="E941A1E0"/>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59">
    <w:nsid w:val="E9CD0464"/>
    <w:multiLevelType w:val="hybridMultilevel"/>
    <w:tmpl w:val="00000000"/>
    <w:lvl w:ilvl="0">
      <w:start w:val="1"/>
      <w:numFmt w:val="bullet"/>
      <w:lvlText w:val=""/>
      <w:lvlJc w:val="left"/>
      <w:pPr>
        <w:tabs>
          <w:tab w:val="num" w:pos="839"/>
        </w:tabs>
        <w:ind w:left="839" w:hanging="420"/>
      </w:pPr>
      <w:rPr>
        <w:rFonts w:ascii="Wingdings" w:hAnsi="Wingdings" w:hint="default"/>
      </w:rPr>
    </w:lvl>
    <w:lvl w:ilvl="1">
      <w:start w:val="1"/>
      <w:numFmt w:val="bullet"/>
      <w:lvlRestart w:val="0"/>
      <w:lvlText w:val=""/>
      <w:lvlJc w:val="left"/>
      <w:pPr>
        <w:tabs>
          <w:tab w:val="num" w:pos="1259"/>
        </w:tabs>
        <w:ind w:left="1259" w:hanging="420"/>
      </w:pPr>
      <w:rPr>
        <w:rFonts w:ascii="Wingdings" w:hAnsi="Wingdings" w:hint="default"/>
      </w:rPr>
    </w:lvl>
    <w:lvl w:ilvl="2">
      <w:start w:val="1"/>
      <w:numFmt w:val="bullet"/>
      <w:lvlRestart w:val="0"/>
      <w:lvlText w:val=""/>
      <w:lvlJc w:val="left"/>
      <w:pPr>
        <w:tabs>
          <w:tab w:val="num" w:pos="1679"/>
        </w:tabs>
        <w:ind w:left="1679" w:hanging="420"/>
      </w:pPr>
      <w:rPr>
        <w:rFonts w:ascii="Wingdings" w:hAnsi="Wingdings" w:hint="default"/>
      </w:rPr>
    </w:lvl>
    <w:lvl w:ilvl="3">
      <w:start w:val="1"/>
      <w:numFmt w:val="bullet"/>
      <w:lvlRestart w:val="0"/>
      <w:lvlText w:val=""/>
      <w:lvlJc w:val="left"/>
      <w:pPr>
        <w:tabs>
          <w:tab w:val="num" w:pos="2099"/>
        </w:tabs>
        <w:ind w:left="2099" w:hanging="420"/>
      </w:pPr>
      <w:rPr>
        <w:rFonts w:ascii="Wingdings" w:hAnsi="Wingdings" w:hint="default"/>
      </w:rPr>
    </w:lvl>
    <w:lvl w:ilvl="4">
      <w:start w:val="1"/>
      <w:numFmt w:val="bullet"/>
      <w:lvlRestart w:val="0"/>
      <w:lvlText w:val=""/>
      <w:lvlJc w:val="left"/>
      <w:pPr>
        <w:tabs>
          <w:tab w:val="num" w:pos="2519"/>
        </w:tabs>
        <w:ind w:left="2519" w:hanging="420"/>
      </w:pPr>
      <w:rPr>
        <w:rFonts w:ascii="Wingdings" w:hAnsi="Wingdings" w:hint="default"/>
      </w:rPr>
    </w:lvl>
    <w:lvl w:ilvl="5">
      <w:start w:val="1"/>
      <w:numFmt w:val="bullet"/>
      <w:lvlRestart w:val="0"/>
      <w:lvlText w:val=""/>
      <w:lvlJc w:val="left"/>
      <w:pPr>
        <w:tabs>
          <w:tab w:val="num" w:pos="2939"/>
        </w:tabs>
        <w:ind w:left="2939" w:hanging="420"/>
      </w:pPr>
      <w:rPr>
        <w:rFonts w:ascii="Wingdings" w:hAnsi="Wingdings" w:hint="default"/>
      </w:rPr>
    </w:lvl>
    <w:lvl w:ilvl="6">
      <w:start w:val="1"/>
      <w:numFmt w:val="bullet"/>
      <w:lvlRestart w:val="0"/>
      <w:lvlText w:val=""/>
      <w:lvlJc w:val="left"/>
      <w:pPr>
        <w:tabs>
          <w:tab w:val="num" w:pos="3359"/>
        </w:tabs>
        <w:ind w:left="3359" w:hanging="420"/>
      </w:pPr>
      <w:rPr>
        <w:rFonts w:ascii="Wingdings" w:hAnsi="Wingdings" w:hint="default"/>
      </w:rPr>
    </w:lvl>
    <w:lvl w:ilvl="7">
      <w:start w:val="1"/>
      <w:numFmt w:val="bullet"/>
      <w:lvlRestart w:val="0"/>
      <w:lvlText w:val=""/>
      <w:lvlJc w:val="left"/>
      <w:pPr>
        <w:tabs>
          <w:tab w:val="num" w:pos="3779"/>
        </w:tabs>
        <w:ind w:left="3779" w:hanging="420"/>
      </w:pPr>
      <w:rPr>
        <w:rFonts w:ascii="Wingdings" w:hAnsi="Wingdings" w:hint="default"/>
      </w:rPr>
    </w:lvl>
    <w:lvl w:ilvl="8">
      <w:start w:val="1"/>
      <w:numFmt w:val="bullet"/>
      <w:lvlRestart w:val="0"/>
      <w:lvlText w:val=""/>
      <w:lvlJc w:val="left"/>
      <w:pPr>
        <w:tabs>
          <w:tab w:val="num" w:pos="4199"/>
        </w:tabs>
        <w:ind w:left="4199" w:hanging="420"/>
      </w:pPr>
      <w:rPr>
        <w:rFonts w:ascii="Wingdings" w:hAnsi="Wingdings" w:hint="default"/>
      </w:rPr>
    </w:lvl>
  </w:abstractNum>
  <w:abstractNum w:abstractNumId="60">
    <w:nsid w:val="EAC727FD"/>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61">
    <w:nsid w:val="EC154AC4"/>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62">
    <w:nsid w:val="ED662442"/>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63">
    <w:nsid w:val="EEE7C684"/>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64">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5">
    <w:nsid w:val="EFDFB8B2"/>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66">
    <w:nsid w:val="F193CC83"/>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67">
    <w:nsid w:val="F45AED40"/>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68">
    <w:nsid w:val="F562185B"/>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69">
    <w:nsid w:val="FA7A98F5"/>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70">
    <w:nsid w:val="FD396DE0"/>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71">
    <w:nsid w:val="FD496D11"/>
    <w:multiLevelType w:val="hybrid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72">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3">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4">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75">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76">
    <w:nsid w:val="024C336B"/>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77">
    <w:nsid w:val="025EDD2E"/>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78">
    <w:nsid w:val="04A1A703"/>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79">
    <w:nsid w:val="05115AF4"/>
    <w:multiLevelType w:val="hybrid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80">
    <w:nsid w:val="08668456"/>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81">
    <w:nsid w:val="0A555930"/>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82">
    <w:nsid w:val="0CD6D48B"/>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83">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4">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85">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6">
    <w:nsid w:val="0FFFFF81"/>
    <w:multiLevelType w:val="singleLevel"/>
    <w:tmpl w:val="00000000"/>
    <w:lvl w:ilvl="0">
      <w:start w:val="1"/>
      <w:numFmt w:val="bullet"/>
      <w:pStyle w:val="ListNumber5"/>
      <w:lvlText w:val="●"/>
      <w:lvlJc w:val="left"/>
      <w:pPr>
        <w:tabs>
          <w:tab w:val="num" w:pos="1620"/>
        </w:tabs>
        <w:ind w:left="1620" w:hanging="360"/>
      </w:pPr>
      <w:rPr>
        <w:rFonts w:ascii="方正兰亭黑_GBK" w:hAnsi="方正兰亭黑_GBK" w:hint="default"/>
      </w:rPr>
    </w:lvl>
  </w:abstractNum>
  <w:abstractNum w:abstractNumId="87">
    <w:nsid w:val="0FFFFF82"/>
    <w:multiLevelType w:val="singleLevel"/>
    <w:tmpl w:val="00000000"/>
    <w:lvl w:ilvl="0">
      <w:start w:val="1"/>
      <w:numFmt w:val="bullet"/>
      <w:pStyle w:val="Subtitle"/>
      <w:lvlText w:val="●"/>
      <w:lvlJc w:val="left"/>
      <w:pPr>
        <w:tabs>
          <w:tab w:val="num" w:pos="1200"/>
        </w:tabs>
        <w:ind w:left="1200" w:hanging="360"/>
      </w:pPr>
      <w:rPr>
        <w:rFonts w:ascii="方正兰亭黑_GBK" w:hAnsi="方正兰亭黑_GBK" w:hint="default"/>
      </w:rPr>
    </w:lvl>
  </w:abstractNum>
  <w:abstractNum w:abstractNumId="88">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9">
    <w:nsid w:val="10116F04"/>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90">
    <w:nsid w:val="11786299"/>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91">
    <w:nsid w:val="12F75DAE"/>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92">
    <w:nsid w:val="133504A1"/>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93">
    <w:nsid w:val="1489627F"/>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94">
    <w:nsid w:val="14A81D13"/>
    <w:multiLevelType w:val="hybrid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95">
    <w:nsid w:val="14B32BE4"/>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96">
    <w:nsid w:val="1677AB1A"/>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97">
    <w:nsid w:val="198EE4D8"/>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98">
    <w:nsid w:val="1A154B87"/>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99">
    <w:nsid w:val="1A6CBEDE"/>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00">
    <w:nsid w:val="1C4A9BE7"/>
    <w:multiLevelType w:val="hybrid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101">
    <w:nsid w:val="1D2D6336"/>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02">
    <w:nsid w:val="21C5BD2C"/>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03">
    <w:nsid w:val="23D74D11"/>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104">
    <w:nsid w:val="24654DAA"/>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05">
    <w:nsid w:val="277D8F2B"/>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0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7">
    <w:nsid w:val="281A9EE0"/>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08">
    <w:nsid w:val="290DF240"/>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09">
    <w:nsid w:val="2B319AA3"/>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10">
    <w:nsid w:val="2D02BEB4"/>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11">
    <w:nsid w:val="2EF73EE5"/>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12">
    <w:nsid w:val="339CC2AD"/>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13">
    <w:nsid w:val="37AEF5BB"/>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14">
    <w:nsid w:val="3DA4977A"/>
    <w:multiLevelType w:val="hybridMultilevel"/>
    <w:tmpl w:val="00000000"/>
    <w:lvl w:ilvl="0">
      <w:start w:val="1"/>
      <w:numFmt w:val="bullet"/>
      <w:lvlText w:val=""/>
      <w:lvlJc w:val="left"/>
      <w:pPr>
        <w:tabs>
          <w:tab w:val="num" w:pos="891"/>
        </w:tabs>
        <w:ind w:left="891" w:hanging="420"/>
      </w:pPr>
      <w:rPr>
        <w:rFonts w:ascii="Wingdings" w:hAnsi="Wingdings" w:hint="default"/>
      </w:rPr>
    </w:lvl>
    <w:lvl w:ilvl="1">
      <w:start w:val="1"/>
      <w:numFmt w:val="bullet"/>
      <w:lvlRestart w:val="0"/>
      <w:lvlText w:val=""/>
      <w:lvlJc w:val="left"/>
      <w:pPr>
        <w:tabs>
          <w:tab w:val="num" w:pos="1311"/>
        </w:tabs>
        <w:ind w:left="1311" w:hanging="420"/>
      </w:pPr>
      <w:rPr>
        <w:rFonts w:ascii="Wingdings" w:hAnsi="Wingdings" w:hint="default"/>
      </w:rPr>
    </w:lvl>
    <w:lvl w:ilvl="2">
      <w:start w:val="1"/>
      <w:numFmt w:val="bullet"/>
      <w:lvlRestart w:val="0"/>
      <w:lvlText w:val=""/>
      <w:lvlJc w:val="left"/>
      <w:pPr>
        <w:tabs>
          <w:tab w:val="num" w:pos="1731"/>
        </w:tabs>
        <w:ind w:left="1731" w:hanging="420"/>
      </w:pPr>
      <w:rPr>
        <w:rFonts w:ascii="Wingdings" w:hAnsi="Wingdings" w:hint="default"/>
      </w:rPr>
    </w:lvl>
    <w:lvl w:ilvl="3">
      <w:start w:val="1"/>
      <w:numFmt w:val="bullet"/>
      <w:lvlRestart w:val="0"/>
      <w:lvlText w:val=""/>
      <w:lvlJc w:val="left"/>
      <w:pPr>
        <w:tabs>
          <w:tab w:val="num" w:pos="2151"/>
        </w:tabs>
        <w:ind w:left="2151" w:hanging="420"/>
      </w:pPr>
      <w:rPr>
        <w:rFonts w:ascii="Wingdings" w:hAnsi="Wingdings" w:hint="default"/>
      </w:rPr>
    </w:lvl>
    <w:lvl w:ilvl="4">
      <w:start w:val="1"/>
      <w:numFmt w:val="bullet"/>
      <w:lvlRestart w:val="0"/>
      <w:lvlText w:val=""/>
      <w:lvlJc w:val="left"/>
      <w:pPr>
        <w:tabs>
          <w:tab w:val="num" w:pos="2571"/>
        </w:tabs>
        <w:ind w:left="2571" w:hanging="420"/>
      </w:pPr>
      <w:rPr>
        <w:rFonts w:ascii="Wingdings" w:hAnsi="Wingdings" w:hint="default"/>
      </w:rPr>
    </w:lvl>
    <w:lvl w:ilvl="5">
      <w:start w:val="1"/>
      <w:numFmt w:val="bullet"/>
      <w:lvlRestart w:val="0"/>
      <w:lvlText w:val=""/>
      <w:lvlJc w:val="left"/>
      <w:pPr>
        <w:tabs>
          <w:tab w:val="num" w:pos="2991"/>
        </w:tabs>
        <w:ind w:left="2991" w:hanging="420"/>
      </w:pPr>
      <w:rPr>
        <w:rFonts w:ascii="Wingdings" w:hAnsi="Wingdings" w:hint="default"/>
      </w:rPr>
    </w:lvl>
    <w:lvl w:ilvl="6">
      <w:start w:val="1"/>
      <w:numFmt w:val="bullet"/>
      <w:lvlRestart w:val="0"/>
      <w:lvlText w:val=""/>
      <w:lvlJc w:val="left"/>
      <w:pPr>
        <w:tabs>
          <w:tab w:val="num" w:pos="3411"/>
        </w:tabs>
        <w:ind w:left="3411" w:hanging="420"/>
      </w:pPr>
      <w:rPr>
        <w:rFonts w:ascii="Wingdings" w:hAnsi="Wingdings" w:hint="default"/>
      </w:rPr>
    </w:lvl>
    <w:lvl w:ilvl="7">
      <w:start w:val="1"/>
      <w:numFmt w:val="bullet"/>
      <w:lvlRestart w:val="0"/>
      <w:lvlText w:val=""/>
      <w:lvlJc w:val="left"/>
      <w:pPr>
        <w:tabs>
          <w:tab w:val="num" w:pos="3831"/>
        </w:tabs>
        <w:ind w:left="3831" w:hanging="420"/>
      </w:pPr>
      <w:rPr>
        <w:rFonts w:ascii="Wingdings" w:hAnsi="Wingdings" w:hint="default"/>
      </w:rPr>
    </w:lvl>
    <w:lvl w:ilvl="8">
      <w:start w:val="1"/>
      <w:numFmt w:val="bullet"/>
      <w:lvlRestart w:val="0"/>
      <w:lvlText w:val=""/>
      <w:lvlJc w:val="left"/>
      <w:pPr>
        <w:tabs>
          <w:tab w:val="num" w:pos="4251"/>
        </w:tabs>
        <w:ind w:left="4251" w:hanging="420"/>
      </w:pPr>
      <w:rPr>
        <w:rFonts w:ascii="Wingdings" w:hAnsi="Wingdings" w:hint="default"/>
      </w:rPr>
    </w:lvl>
  </w:abstractNum>
  <w:abstractNum w:abstractNumId="115">
    <w:nsid w:val="41F6A147"/>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16">
    <w:nsid w:val="4533CBF1"/>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17">
    <w:nsid w:val="46F2B9C5"/>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18">
    <w:nsid w:val="46FE89B3"/>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19">
    <w:nsid w:val="470D6118"/>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20">
    <w:nsid w:val="4883216C"/>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21">
    <w:nsid w:val="4E4FDF62"/>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22">
    <w:nsid w:val="4E9D1788"/>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23">
    <w:nsid w:val="4F7BEC22"/>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24">
    <w:nsid w:val="518F9100"/>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25">
    <w:nsid w:val="53688148"/>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26">
    <w:nsid w:val="53B6D9B5"/>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27">
    <w:nsid w:val="53F645EC"/>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28">
    <w:nsid w:val="54041014"/>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29">
    <w:nsid w:val="5480DFAC"/>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30">
    <w:nsid w:val="54BBC619"/>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31">
    <w:nsid w:val="5500AFCE"/>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32">
    <w:nsid w:val="57A02F73"/>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33">
    <w:nsid w:val="5830C836"/>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34">
    <w:nsid w:val="5A73637D"/>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35">
    <w:nsid w:val="5ADE9F94"/>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36">
    <w:nsid w:val="5E89E6B6"/>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37">
    <w:nsid w:val="5F5945B7"/>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138">
    <w:nsid w:val="5FD01BA5"/>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39">
    <w:nsid w:val="60D97583"/>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40">
    <w:nsid w:val="635D55F6"/>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41">
    <w:nsid w:val="64814649"/>
    <w:multiLevelType w:val="singleLevel"/>
    <w:tmpl w:val="64814649"/>
    <w:lvl w:ilvl="0">
      <w:start w:val="2"/>
      <w:numFmt w:val="chineseCounting"/>
      <w:suff w:val="nothing"/>
      <w:lvlText w:val="%1、"/>
      <w:lvlJc w:val="left"/>
      <w:pPr>
        <w:ind w:left="0" w:firstLine="0"/>
      </w:pPr>
    </w:lvl>
  </w:abstractNum>
  <w:abstractNum w:abstractNumId="142">
    <w:nsid w:val="64BE5368"/>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43">
    <w:nsid w:val="6503BC94"/>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44">
    <w:nsid w:val="67FD180D"/>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5">
    <w:nsid w:val="6906F3CF"/>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46">
    <w:nsid w:val="69A5CA21"/>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47">
    <w:nsid w:val="6DF70959"/>
    <w:multiLevelType w:val="hybrid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148">
    <w:nsid w:val="6E527AB7"/>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49">
    <w:nsid w:val="6FDC83E7"/>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50">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51">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2">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3">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54">
    <w:nsid w:val="71B54CD8"/>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55">
    <w:nsid w:val="7355F0F8"/>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156">
    <w:nsid w:val="75065E4B"/>
    <w:multiLevelType w:val="hybrid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Restart w:val="0"/>
      <w:lvlText w:val=""/>
      <w:lvlJc w:val="left"/>
      <w:pPr>
        <w:tabs>
          <w:tab w:val="num" w:pos="840"/>
        </w:tabs>
        <w:ind w:left="840" w:hanging="420"/>
      </w:pPr>
      <w:rPr>
        <w:rFonts w:ascii="Wingdings" w:hAnsi="Wingdings" w:hint="default"/>
      </w:rPr>
    </w:lvl>
    <w:lvl w:ilvl="2">
      <w:start w:val="1"/>
      <w:numFmt w:val="bullet"/>
      <w:lvlRestart w:val="0"/>
      <w:lvlText w:val=""/>
      <w:lvlJc w:val="left"/>
      <w:pPr>
        <w:tabs>
          <w:tab w:val="num" w:pos="1260"/>
        </w:tabs>
        <w:ind w:left="1260" w:hanging="420"/>
      </w:pPr>
      <w:rPr>
        <w:rFonts w:ascii="Wingdings" w:hAnsi="Wingdings" w:hint="default"/>
      </w:rPr>
    </w:lvl>
    <w:lvl w:ilvl="3">
      <w:start w:val="1"/>
      <w:numFmt w:val="bullet"/>
      <w:lvlRestart w:val="0"/>
      <w:lvlText w:val=""/>
      <w:lvlJc w:val="left"/>
      <w:pPr>
        <w:tabs>
          <w:tab w:val="num" w:pos="1680"/>
        </w:tabs>
        <w:ind w:left="1680" w:hanging="420"/>
      </w:pPr>
      <w:rPr>
        <w:rFonts w:ascii="Wingdings" w:hAnsi="Wingdings" w:hint="default"/>
      </w:rPr>
    </w:lvl>
    <w:lvl w:ilvl="4">
      <w:start w:val="1"/>
      <w:numFmt w:val="bullet"/>
      <w:lvlRestart w:val="0"/>
      <w:lvlText w:val=""/>
      <w:lvlJc w:val="left"/>
      <w:pPr>
        <w:tabs>
          <w:tab w:val="num" w:pos="2100"/>
        </w:tabs>
        <w:ind w:left="2100" w:hanging="420"/>
      </w:pPr>
      <w:rPr>
        <w:rFonts w:ascii="Wingdings" w:hAnsi="Wingdings" w:hint="default"/>
      </w:rPr>
    </w:lvl>
    <w:lvl w:ilvl="5">
      <w:start w:val="1"/>
      <w:numFmt w:val="bullet"/>
      <w:lvlRestart w:val="0"/>
      <w:lvlText w:val=""/>
      <w:lvlJc w:val="left"/>
      <w:pPr>
        <w:tabs>
          <w:tab w:val="num" w:pos="2520"/>
        </w:tabs>
        <w:ind w:left="2520" w:hanging="420"/>
      </w:pPr>
      <w:rPr>
        <w:rFonts w:ascii="Wingdings" w:hAnsi="Wingdings" w:hint="default"/>
      </w:rPr>
    </w:lvl>
    <w:lvl w:ilvl="6">
      <w:start w:val="1"/>
      <w:numFmt w:val="bullet"/>
      <w:lvlRestart w:val="0"/>
      <w:lvlText w:val=""/>
      <w:lvlJc w:val="left"/>
      <w:pPr>
        <w:tabs>
          <w:tab w:val="num" w:pos="2940"/>
        </w:tabs>
        <w:ind w:left="2940" w:hanging="420"/>
      </w:pPr>
      <w:rPr>
        <w:rFonts w:ascii="Wingdings" w:hAnsi="Wingdings" w:hint="default"/>
      </w:rPr>
    </w:lvl>
    <w:lvl w:ilvl="7">
      <w:start w:val="1"/>
      <w:numFmt w:val="bullet"/>
      <w:lvlRestart w:val="0"/>
      <w:lvlText w:val=""/>
      <w:lvlJc w:val="left"/>
      <w:pPr>
        <w:tabs>
          <w:tab w:val="num" w:pos="3360"/>
        </w:tabs>
        <w:ind w:left="3360" w:hanging="420"/>
      </w:pPr>
      <w:rPr>
        <w:rFonts w:ascii="Wingdings" w:hAnsi="Wingdings" w:hint="default"/>
      </w:rPr>
    </w:lvl>
    <w:lvl w:ilvl="8">
      <w:start w:val="1"/>
      <w:numFmt w:val="bullet"/>
      <w:lvlRestart w:val="0"/>
      <w:lvlText w:val=""/>
      <w:lvlJc w:val="left"/>
      <w:pPr>
        <w:tabs>
          <w:tab w:val="num" w:pos="3780"/>
        </w:tabs>
        <w:ind w:left="3780" w:hanging="420"/>
      </w:pPr>
      <w:rPr>
        <w:rFonts w:ascii="Wingdings" w:hAnsi="Wingdings" w:hint="default"/>
      </w:rPr>
    </w:lvl>
  </w:abstractNum>
  <w:abstractNum w:abstractNumId="157">
    <w:nsid w:val="76EF5B7B"/>
    <w:multiLevelType w:val="hybridMultilevel"/>
    <w:tmpl w:val="00000000"/>
    <w:lvl w:ilvl="0">
      <w:start w:val="1"/>
      <w:numFmt w:val="bullet"/>
      <w:lvlText w:val=""/>
      <w:lvlJc w:val="left"/>
      <w:pPr>
        <w:tabs>
          <w:tab w:val="num" w:pos="840"/>
        </w:tabs>
        <w:ind w:left="840" w:hanging="420"/>
      </w:pPr>
      <w:rPr>
        <w:rFonts w:ascii="Wingdings" w:hAnsi="Wingdings" w:hint="default"/>
      </w:rPr>
    </w:lvl>
    <w:lvl w:ilvl="1">
      <w:start w:val="1"/>
      <w:numFmt w:val="bullet"/>
      <w:lvlRestart w:val="0"/>
      <w:lvlText w:val=""/>
      <w:lvlJc w:val="left"/>
      <w:pPr>
        <w:tabs>
          <w:tab w:val="num" w:pos="1260"/>
        </w:tabs>
        <w:ind w:left="1260" w:hanging="420"/>
      </w:pPr>
      <w:rPr>
        <w:rFonts w:ascii="Wingdings" w:hAnsi="Wingdings" w:hint="default"/>
      </w:rPr>
    </w:lvl>
    <w:lvl w:ilvl="2">
      <w:start w:val="1"/>
      <w:numFmt w:val="bullet"/>
      <w:lvlRestart w:val="0"/>
      <w:lvlText w:val=""/>
      <w:lvlJc w:val="left"/>
      <w:pPr>
        <w:tabs>
          <w:tab w:val="num" w:pos="1680"/>
        </w:tabs>
        <w:ind w:left="1680" w:hanging="420"/>
      </w:pPr>
      <w:rPr>
        <w:rFonts w:ascii="Wingdings" w:hAnsi="Wingdings" w:hint="default"/>
      </w:rPr>
    </w:lvl>
    <w:lvl w:ilvl="3">
      <w:start w:val="1"/>
      <w:numFmt w:val="bullet"/>
      <w:lvlRestart w:val="0"/>
      <w:lvlText w:val=""/>
      <w:lvlJc w:val="left"/>
      <w:pPr>
        <w:tabs>
          <w:tab w:val="num" w:pos="2100"/>
        </w:tabs>
        <w:ind w:left="2100" w:hanging="420"/>
      </w:pPr>
      <w:rPr>
        <w:rFonts w:ascii="Wingdings" w:hAnsi="Wingdings" w:hint="default"/>
      </w:rPr>
    </w:lvl>
    <w:lvl w:ilvl="4">
      <w:start w:val="1"/>
      <w:numFmt w:val="bullet"/>
      <w:lvlRestart w:val="0"/>
      <w:lvlText w:val=""/>
      <w:lvlJc w:val="left"/>
      <w:pPr>
        <w:tabs>
          <w:tab w:val="num" w:pos="2520"/>
        </w:tabs>
        <w:ind w:left="2520" w:hanging="420"/>
      </w:pPr>
      <w:rPr>
        <w:rFonts w:ascii="Wingdings" w:hAnsi="Wingdings" w:hint="default"/>
      </w:rPr>
    </w:lvl>
    <w:lvl w:ilvl="5">
      <w:start w:val="1"/>
      <w:numFmt w:val="bullet"/>
      <w:lvlRestart w:val="0"/>
      <w:lvlText w:val=""/>
      <w:lvlJc w:val="left"/>
      <w:pPr>
        <w:tabs>
          <w:tab w:val="num" w:pos="2940"/>
        </w:tabs>
        <w:ind w:left="2940" w:hanging="420"/>
      </w:pPr>
      <w:rPr>
        <w:rFonts w:ascii="Wingdings" w:hAnsi="Wingdings" w:hint="default"/>
      </w:rPr>
    </w:lvl>
    <w:lvl w:ilvl="6">
      <w:start w:val="1"/>
      <w:numFmt w:val="bullet"/>
      <w:lvlRestart w:val="0"/>
      <w:lvlText w:val=""/>
      <w:lvlJc w:val="left"/>
      <w:pPr>
        <w:tabs>
          <w:tab w:val="num" w:pos="3360"/>
        </w:tabs>
        <w:ind w:left="3360" w:hanging="420"/>
      </w:pPr>
      <w:rPr>
        <w:rFonts w:ascii="Wingdings" w:hAnsi="Wingdings" w:hint="default"/>
      </w:rPr>
    </w:lvl>
    <w:lvl w:ilvl="7">
      <w:start w:val="1"/>
      <w:numFmt w:val="bullet"/>
      <w:lvlRestart w:val="0"/>
      <w:lvlText w:val=""/>
      <w:lvlJc w:val="left"/>
      <w:pPr>
        <w:tabs>
          <w:tab w:val="num" w:pos="3780"/>
        </w:tabs>
        <w:ind w:left="3780" w:hanging="420"/>
      </w:pPr>
      <w:rPr>
        <w:rFonts w:ascii="Wingdings" w:hAnsi="Wingdings" w:hint="default"/>
      </w:rPr>
    </w:lvl>
    <w:lvl w:ilvl="8">
      <w:start w:val="1"/>
      <w:numFmt w:val="bullet"/>
      <w:lvlRestart w:val="0"/>
      <w:lvlText w:val=""/>
      <w:lvlJc w:val="left"/>
      <w:pPr>
        <w:tabs>
          <w:tab w:val="num" w:pos="4200"/>
        </w:tabs>
        <w:ind w:left="4200" w:hanging="420"/>
      </w:pPr>
      <w:rPr>
        <w:rFonts w:ascii="Wingdings" w:hAnsi="Wingdings" w:hint="default"/>
      </w:rPr>
    </w:lvl>
  </w:abstractNum>
  <w:abstractNum w:abstractNumId="158">
    <w:nsid w:val="789930AB"/>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59">
    <w:nsid w:val="7A1307D8"/>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60">
    <w:nsid w:val="7E58E7F3"/>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abstractNum w:abstractNumId="161">
    <w:nsid w:val="7E7222B0"/>
    <w:multiLevelType w:val="hybridMultilevel"/>
    <w:tmpl w:val="00000000"/>
    <w:lvl w:ilvl="0">
      <w:start w:val="1"/>
      <w:numFmt w:val="bullet"/>
      <w:lvlText w:val=""/>
      <w:lvlJc w:val="left"/>
      <w:pPr>
        <w:tabs>
          <w:tab w:val="num" w:pos="980"/>
        </w:tabs>
        <w:ind w:left="980" w:hanging="420"/>
      </w:pPr>
      <w:rPr>
        <w:rFonts w:ascii="Wingdings" w:hAnsi="Wingdings" w:hint="default"/>
      </w:rPr>
    </w:lvl>
    <w:lvl w:ilvl="1">
      <w:start w:val="1"/>
      <w:numFmt w:val="bullet"/>
      <w:lvlRestart w:val="0"/>
      <w:lvlText w:val=""/>
      <w:lvlJc w:val="left"/>
      <w:pPr>
        <w:tabs>
          <w:tab w:val="num" w:pos="1400"/>
        </w:tabs>
        <w:ind w:left="1400" w:hanging="420"/>
      </w:pPr>
      <w:rPr>
        <w:rFonts w:ascii="Wingdings" w:hAnsi="Wingdings" w:hint="default"/>
      </w:rPr>
    </w:lvl>
    <w:lvl w:ilvl="2">
      <w:start w:val="1"/>
      <w:numFmt w:val="bullet"/>
      <w:lvlRestart w:val="0"/>
      <w:lvlText w:val=""/>
      <w:lvlJc w:val="left"/>
      <w:pPr>
        <w:tabs>
          <w:tab w:val="num" w:pos="1820"/>
        </w:tabs>
        <w:ind w:left="1820" w:hanging="420"/>
      </w:pPr>
      <w:rPr>
        <w:rFonts w:ascii="Wingdings" w:hAnsi="Wingdings" w:hint="default"/>
      </w:rPr>
    </w:lvl>
    <w:lvl w:ilvl="3">
      <w:start w:val="1"/>
      <w:numFmt w:val="bullet"/>
      <w:lvlRestart w:val="0"/>
      <w:lvlText w:val=""/>
      <w:lvlJc w:val="left"/>
      <w:pPr>
        <w:tabs>
          <w:tab w:val="num" w:pos="2240"/>
        </w:tabs>
        <w:ind w:left="2240" w:hanging="420"/>
      </w:pPr>
      <w:rPr>
        <w:rFonts w:ascii="Wingdings" w:hAnsi="Wingdings" w:hint="default"/>
      </w:rPr>
    </w:lvl>
    <w:lvl w:ilvl="4">
      <w:start w:val="1"/>
      <w:numFmt w:val="bullet"/>
      <w:lvlRestart w:val="0"/>
      <w:lvlText w:val=""/>
      <w:lvlJc w:val="left"/>
      <w:pPr>
        <w:tabs>
          <w:tab w:val="num" w:pos="2660"/>
        </w:tabs>
        <w:ind w:left="2660" w:hanging="420"/>
      </w:pPr>
      <w:rPr>
        <w:rFonts w:ascii="Wingdings" w:hAnsi="Wingdings" w:hint="default"/>
      </w:rPr>
    </w:lvl>
    <w:lvl w:ilvl="5">
      <w:start w:val="1"/>
      <w:numFmt w:val="bullet"/>
      <w:lvlRestart w:val="0"/>
      <w:lvlText w:val=""/>
      <w:lvlJc w:val="left"/>
      <w:pPr>
        <w:tabs>
          <w:tab w:val="num" w:pos="3080"/>
        </w:tabs>
        <w:ind w:left="3080" w:hanging="420"/>
      </w:pPr>
      <w:rPr>
        <w:rFonts w:ascii="Wingdings" w:hAnsi="Wingdings" w:hint="default"/>
      </w:rPr>
    </w:lvl>
    <w:lvl w:ilvl="6">
      <w:start w:val="1"/>
      <w:numFmt w:val="bullet"/>
      <w:lvlRestart w:val="0"/>
      <w:lvlText w:val=""/>
      <w:lvlJc w:val="left"/>
      <w:pPr>
        <w:tabs>
          <w:tab w:val="num" w:pos="3500"/>
        </w:tabs>
        <w:ind w:left="3500" w:hanging="420"/>
      </w:pPr>
      <w:rPr>
        <w:rFonts w:ascii="Wingdings" w:hAnsi="Wingdings" w:hint="default"/>
      </w:rPr>
    </w:lvl>
    <w:lvl w:ilvl="7">
      <w:start w:val="1"/>
      <w:numFmt w:val="bullet"/>
      <w:lvlRestart w:val="0"/>
      <w:lvlText w:val=""/>
      <w:lvlJc w:val="left"/>
      <w:pPr>
        <w:tabs>
          <w:tab w:val="num" w:pos="3920"/>
        </w:tabs>
        <w:ind w:left="3920" w:hanging="420"/>
      </w:pPr>
      <w:rPr>
        <w:rFonts w:ascii="Wingdings" w:hAnsi="Wingdings" w:hint="default"/>
      </w:rPr>
    </w:lvl>
    <w:lvl w:ilvl="8">
      <w:start w:val="1"/>
      <w:numFmt w:val="bullet"/>
      <w:lvlRestart w:val="0"/>
      <w:lvlText w:val=""/>
      <w:lvlJc w:val="left"/>
      <w:pPr>
        <w:tabs>
          <w:tab w:val="num" w:pos="4340"/>
        </w:tabs>
        <w:ind w:left="4340" w:hanging="420"/>
      </w:pPr>
      <w:rPr>
        <w:rFonts w:ascii="Wingdings" w:hAnsi="Wingdings" w:hint="default"/>
      </w:rPr>
    </w:lvl>
  </w:abstractNum>
  <w:num w:numId="1">
    <w:abstractNumId w:val="75"/>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44"/>
  </w:num>
  <w:num w:numId="3">
    <w:abstractNumId w:val="15"/>
  </w:num>
  <w:num w:numId="4">
    <w:abstractNumId w:val="137"/>
  </w:num>
  <w:num w:numId="5">
    <w:abstractNumId w:val="61"/>
  </w:num>
  <w:num w:numId="6">
    <w:abstractNumId w:val="115"/>
  </w:num>
  <w:num w:numId="7">
    <w:abstractNumId w:val="155"/>
  </w:num>
  <w:num w:numId="8">
    <w:abstractNumId w:val="0"/>
  </w:num>
  <w:num w:numId="9">
    <w:abstractNumId w:val="28"/>
  </w:num>
  <w:num w:numId="10">
    <w:abstractNumId w:val="103"/>
  </w:num>
  <w:num w:numId="11">
    <w:abstractNumId w:val="18"/>
  </w:num>
  <w:num w:numId="12">
    <w:abstractNumId w:val="37"/>
  </w:num>
  <w:num w:numId="13">
    <w:abstractNumId w:val="145"/>
  </w:num>
  <w:num w:numId="14">
    <w:abstractNumId w:val="54"/>
  </w:num>
  <w:num w:numId="15">
    <w:abstractNumId w:val="108"/>
  </w:num>
  <w:num w:numId="16">
    <w:abstractNumId w:val="65"/>
  </w:num>
  <w:num w:numId="17">
    <w:abstractNumId w:val="94"/>
  </w:num>
  <w:num w:numId="18">
    <w:abstractNumId w:val="10"/>
  </w:num>
  <w:num w:numId="19">
    <w:abstractNumId w:val="8"/>
  </w:num>
  <w:num w:numId="20">
    <w:abstractNumId w:val="119"/>
  </w:num>
  <w:num w:numId="21">
    <w:abstractNumId w:val="21"/>
  </w:num>
  <w:num w:numId="22">
    <w:abstractNumId w:val="79"/>
  </w:num>
  <w:num w:numId="23">
    <w:abstractNumId w:val="128"/>
  </w:num>
  <w:num w:numId="24">
    <w:abstractNumId w:val="41"/>
  </w:num>
  <w:num w:numId="25">
    <w:abstractNumId w:val="154"/>
  </w:num>
  <w:num w:numId="26">
    <w:abstractNumId w:val="59"/>
  </w:num>
  <w:num w:numId="27">
    <w:abstractNumId w:val="56"/>
  </w:num>
  <w:num w:numId="28">
    <w:abstractNumId w:val="139"/>
  </w:num>
  <w:num w:numId="29">
    <w:abstractNumId w:val="63"/>
  </w:num>
  <w:num w:numId="30">
    <w:abstractNumId w:val="149"/>
  </w:num>
  <w:num w:numId="31">
    <w:abstractNumId w:val="30"/>
  </w:num>
  <w:num w:numId="32">
    <w:abstractNumId w:val="97"/>
  </w:num>
  <w:num w:numId="33">
    <w:abstractNumId w:val="62"/>
  </w:num>
  <w:num w:numId="34">
    <w:abstractNumId w:val="36"/>
  </w:num>
  <w:num w:numId="35">
    <w:abstractNumId w:val="51"/>
  </w:num>
  <w:num w:numId="36">
    <w:abstractNumId w:val="3"/>
  </w:num>
  <w:num w:numId="37">
    <w:abstractNumId w:val="24"/>
  </w:num>
  <w:num w:numId="38">
    <w:abstractNumId w:val="39"/>
  </w:num>
  <w:num w:numId="39">
    <w:abstractNumId w:val="22"/>
  </w:num>
  <w:num w:numId="40">
    <w:abstractNumId w:val="118"/>
  </w:num>
  <w:num w:numId="41">
    <w:abstractNumId w:val="6"/>
  </w:num>
  <w:num w:numId="42">
    <w:abstractNumId w:val="95"/>
  </w:num>
  <w:num w:numId="43">
    <w:abstractNumId w:val="45"/>
  </w:num>
  <w:num w:numId="44">
    <w:abstractNumId w:val="12"/>
  </w:num>
  <w:num w:numId="45">
    <w:abstractNumId w:val="81"/>
  </w:num>
  <w:num w:numId="46">
    <w:abstractNumId w:val="120"/>
  </w:num>
  <w:num w:numId="47">
    <w:abstractNumId w:val="33"/>
  </w:num>
  <w:num w:numId="48">
    <w:abstractNumId w:val="98"/>
  </w:num>
  <w:num w:numId="49">
    <w:abstractNumId w:val="135"/>
  </w:num>
  <w:num w:numId="50">
    <w:abstractNumId w:val="96"/>
  </w:num>
  <w:num w:numId="51">
    <w:abstractNumId w:val="132"/>
  </w:num>
  <w:num w:numId="52">
    <w:abstractNumId w:val="146"/>
  </w:num>
  <w:num w:numId="53">
    <w:abstractNumId w:val="4"/>
  </w:num>
  <w:num w:numId="54">
    <w:abstractNumId w:val="104"/>
  </w:num>
  <w:num w:numId="55">
    <w:abstractNumId w:val="158"/>
  </w:num>
  <w:num w:numId="56">
    <w:abstractNumId w:val="117"/>
  </w:num>
  <w:num w:numId="57">
    <w:abstractNumId w:val="160"/>
  </w:num>
  <w:num w:numId="58">
    <w:abstractNumId w:val="55"/>
  </w:num>
  <w:num w:numId="59">
    <w:abstractNumId w:val="99"/>
  </w:num>
  <w:num w:numId="60">
    <w:abstractNumId w:val="113"/>
  </w:num>
  <w:num w:numId="61">
    <w:abstractNumId w:val="133"/>
  </w:num>
  <w:num w:numId="62">
    <w:abstractNumId w:val="14"/>
  </w:num>
  <w:num w:numId="63">
    <w:abstractNumId w:val="17"/>
  </w:num>
  <w:num w:numId="64">
    <w:abstractNumId w:val="121"/>
  </w:num>
  <w:num w:numId="65">
    <w:abstractNumId w:val="9"/>
  </w:num>
  <w:num w:numId="66">
    <w:abstractNumId w:val="34"/>
  </w:num>
  <w:num w:numId="67">
    <w:abstractNumId w:val="38"/>
  </w:num>
  <w:num w:numId="68">
    <w:abstractNumId w:val="11"/>
  </w:num>
  <w:num w:numId="69">
    <w:abstractNumId w:val="46"/>
  </w:num>
  <w:num w:numId="70">
    <w:abstractNumId w:val="112"/>
  </w:num>
  <w:num w:numId="71">
    <w:abstractNumId w:val="123"/>
  </w:num>
  <w:num w:numId="72">
    <w:abstractNumId w:val="58"/>
  </w:num>
  <w:num w:numId="73">
    <w:abstractNumId w:val="60"/>
  </w:num>
  <w:num w:numId="74">
    <w:abstractNumId w:val="2"/>
  </w:num>
  <w:num w:numId="75">
    <w:abstractNumId w:val="57"/>
  </w:num>
  <w:num w:numId="76">
    <w:abstractNumId w:val="127"/>
  </w:num>
  <w:num w:numId="77">
    <w:abstractNumId w:val="78"/>
  </w:num>
  <w:num w:numId="78">
    <w:abstractNumId w:val="161"/>
  </w:num>
  <w:num w:numId="79">
    <w:abstractNumId w:val="76"/>
  </w:num>
  <w:num w:numId="80">
    <w:abstractNumId w:val="70"/>
  </w:num>
  <w:num w:numId="81">
    <w:abstractNumId w:val="159"/>
  </w:num>
  <w:num w:numId="82">
    <w:abstractNumId w:val="147"/>
  </w:num>
  <w:num w:numId="83">
    <w:abstractNumId w:val="67"/>
  </w:num>
  <w:num w:numId="84">
    <w:abstractNumId w:val="90"/>
  </w:num>
  <w:num w:numId="85">
    <w:abstractNumId w:val="7"/>
  </w:num>
  <w:num w:numId="86">
    <w:abstractNumId w:val="129"/>
  </w:num>
  <w:num w:numId="87">
    <w:abstractNumId w:val="89"/>
  </w:num>
  <w:num w:numId="88">
    <w:abstractNumId w:val="105"/>
  </w:num>
  <w:num w:numId="89">
    <w:abstractNumId w:val="5"/>
  </w:num>
  <w:num w:numId="90">
    <w:abstractNumId w:val="100"/>
  </w:num>
  <w:num w:numId="91">
    <w:abstractNumId w:val="156"/>
  </w:num>
  <w:num w:numId="92">
    <w:abstractNumId w:val="114"/>
  </w:num>
  <w:num w:numId="93">
    <w:abstractNumId w:val="44"/>
  </w:num>
  <w:num w:numId="94">
    <w:abstractNumId w:val="101"/>
  </w:num>
  <w:num w:numId="95">
    <w:abstractNumId w:val="110"/>
  </w:num>
  <w:num w:numId="96">
    <w:abstractNumId w:val="131"/>
  </w:num>
  <w:num w:numId="97">
    <w:abstractNumId w:val="50"/>
  </w:num>
  <w:num w:numId="98">
    <w:abstractNumId w:val="138"/>
  </w:num>
  <w:num w:numId="99">
    <w:abstractNumId w:val="93"/>
  </w:num>
  <w:num w:numId="100">
    <w:abstractNumId w:val="29"/>
  </w:num>
  <w:num w:numId="101">
    <w:abstractNumId w:val="82"/>
  </w:num>
  <w:num w:numId="102">
    <w:abstractNumId w:val="40"/>
  </w:num>
  <w:num w:numId="103">
    <w:abstractNumId w:val="134"/>
  </w:num>
  <w:num w:numId="104">
    <w:abstractNumId w:val="102"/>
  </w:num>
  <w:num w:numId="105">
    <w:abstractNumId w:val="148"/>
  </w:num>
  <w:num w:numId="106">
    <w:abstractNumId w:val="13"/>
  </w:num>
  <w:num w:numId="107">
    <w:abstractNumId w:val="42"/>
  </w:num>
  <w:num w:numId="108">
    <w:abstractNumId w:val="48"/>
  </w:num>
  <w:num w:numId="109">
    <w:abstractNumId w:val="107"/>
  </w:num>
  <w:num w:numId="110">
    <w:abstractNumId w:val="47"/>
  </w:num>
  <w:num w:numId="111">
    <w:abstractNumId w:val="53"/>
  </w:num>
  <w:num w:numId="112">
    <w:abstractNumId w:val="125"/>
  </w:num>
  <w:num w:numId="113">
    <w:abstractNumId w:val="91"/>
  </w:num>
  <w:num w:numId="114">
    <w:abstractNumId w:val="136"/>
  </w:num>
  <w:num w:numId="115">
    <w:abstractNumId w:val="1"/>
  </w:num>
  <w:num w:numId="116">
    <w:abstractNumId w:val="23"/>
  </w:num>
  <w:num w:numId="117">
    <w:abstractNumId w:val="43"/>
  </w:num>
  <w:num w:numId="118">
    <w:abstractNumId w:val="143"/>
  </w:num>
  <w:num w:numId="119">
    <w:abstractNumId w:val="52"/>
  </w:num>
  <w:num w:numId="120">
    <w:abstractNumId w:val="126"/>
  </w:num>
  <w:num w:numId="121">
    <w:abstractNumId w:val="26"/>
  </w:num>
  <w:num w:numId="122">
    <w:abstractNumId w:val="109"/>
  </w:num>
  <w:num w:numId="123">
    <w:abstractNumId w:val="130"/>
  </w:num>
  <w:num w:numId="124">
    <w:abstractNumId w:val="140"/>
  </w:num>
  <w:num w:numId="125">
    <w:abstractNumId w:val="116"/>
  </w:num>
  <w:num w:numId="126">
    <w:abstractNumId w:val="92"/>
  </w:num>
  <w:num w:numId="127">
    <w:abstractNumId w:val="157"/>
  </w:num>
  <w:num w:numId="128">
    <w:abstractNumId w:val="68"/>
  </w:num>
  <w:num w:numId="129">
    <w:abstractNumId w:val="80"/>
  </w:num>
  <w:num w:numId="130">
    <w:abstractNumId w:val="124"/>
  </w:num>
  <w:num w:numId="131">
    <w:abstractNumId w:val="25"/>
  </w:num>
  <w:num w:numId="132">
    <w:abstractNumId w:val="31"/>
  </w:num>
  <w:num w:numId="133">
    <w:abstractNumId w:val="142"/>
  </w:num>
  <w:num w:numId="134">
    <w:abstractNumId w:val="122"/>
  </w:num>
  <w:num w:numId="135">
    <w:abstractNumId w:val="111"/>
  </w:num>
  <w:num w:numId="136">
    <w:abstractNumId w:val="32"/>
  </w:num>
  <w:num w:numId="137">
    <w:abstractNumId w:val="16"/>
  </w:num>
  <w:num w:numId="138">
    <w:abstractNumId w:val="66"/>
  </w:num>
  <w:num w:numId="139">
    <w:abstractNumId w:val="69"/>
  </w:num>
  <w:num w:numId="140">
    <w:abstractNumId w:val="77"/>
  </w:num>
  <w:num w:numId="141">
    <w:abstractNumId w:val="71"/>
  </w:num>
  <w:num w:numId="142">
    <w:abstractNumId w:val="141"/>
  </w:num>
  <w:num w:numId="143">
    <w:abstractNumId w:val="49"/>
    <w:lvlOverride w:ilvl="0">
      <w:startOverride w:val="1"/>
      <w:lvl w:ilvl="0">
        <w:start w:val="1"/>
        <w:numFmt w:val="decimal"/>
        <w:lvlText w:val="（"/>
        <w:lvlJc w:val="left"/>
        <w:pPr>
          <w:tabs>
            <w:tab w:val="num" w:pos="1395"/>
          </w:tabs>
          <w:ind w:left="0" w:firstLine="0"/>
        </w:pPr>
      </w:lvl>
    </w:lvlOverride>
    <w:lvlOverride w:ilvl="1">
      <w:startOverride w:val="1"/>
      <w:lvl w:ilvl="1">
        <w:start w:val="1"/>
        <w:numFmt w:val="decimal"/>
        <w:lvlText w:val=")"/>
        <w:lvlJc w:val="left"/>
        <w:pPr>
          <w:tabs>
            <w:tab w:val="num" w:pos="1380"/>
          </w:tabs>
          <w:ind w:left="0" w:firstLine="0"/>
        </w:pPr>
      </w:lvl>
    </w:lvlOverride>
    <w:lvlOverride w:ilvl="2">
      <w:startOverride w:val="1"/>
      <w:lvl w:ilvl="2">
        <w:start w:val="1"/>
        <w:numFmt w:val="decimal"/>
        <w:lvlText w:val="."/>
        <w:lvlJc w:val="right"/>
        <w:pPr>
          <w:tabs>
            <w:tab w:val="num" w:pos="1800"/>
          </w:tabs>
          <w:ind w:left="0" w:firstLine="0"/>
        </w:pPr>
      </w:lvl>
    </w:lvlOverride>
    <w:lvlOverride w:ilvl="3">
      <w:startOverride w:val="1"/>
      <w:lvl w:ilvl="3">
        <w:start w:val="1"/>
        <w:numFmt w:val="decimal"/>
        <w:lvlText w:val="."/>
        <w:lvlJc w:val="left"/>
        <w:pPr>
          <w:tabs>
            <w:tab w:val="num" w:pos="2220"/>
          </w:tabs>
          <w:ind w:left="0" w:firstLine="0"/>
        </w:pPr>
      </w:lvl>
    </w:lvlOverride>
    <w:lvlOverride w:ilvl="4">
      <w:startOverride w:val="1"/>
      <w:lvl w:ilvl="4">
        <w:start w:val="1"/>
        <w:numFmt w:val="decimal"/>
        <w:lvlText w:val=")"/>
        <w:lvlJc w:val="left"/>
        <w:pPr>
          <w:tabs>
            <w:tab w:val="num" w:pos="2640"/>
          </w:tabs>
          <w:ind w:left="0" w:firstLine="0"/>
        </w:pPr>
      </w:lvl>
    </w:lvlOverride>
    <w:lvlOverride w:ilvl="5">
      <w:startOverride w:val="1"/>
      <w:lvl w:ilvl="5">
        <w:start w:val="1"/>
        <w:numFmt w:val="decimal"/>
        <w:lvlText w:val="."/>
        <w:lvlJc w:val="right"/>
        <w:pPr>
          <w:tabs>
            <w:tab w:val="num" w:pos="3060"/>
          </w:tabs>
          <w:ind w:left="0" w:firstLine="0"/>
        </w:pPr>
      </w:lvl>
    </w:lvlOverride>
    <w:lvlOverride w:ilvl="6">
      <w:startOverride w:val="1"/>
      <w:lvl w:ilvl="6">
        <w:start w:val="1"/>
        <w:numFmt w:val="decimal"/>
        <w:lvlText w:val="."/>
        <w:lvlJc w:val="left"/>
        <w:pPr>
          <w:tabs>
            <w:tab w:val="num" w:pos="3480"/>
          </w:tabs>
          <w:ind w:left="0" w:firstLine="0"/>
        </w:pPr>
      </w:lvl>
    </w:lvlOverride>
    <w:lvlOverride w:ilvl="7">
      <w:startOverride w:val="1"/>
      <w:lvl w:ilvl="7">
        <w:start w:val="1"/>
        <w:numFmt w:val="decimal"/>
        <w:lvlText w:val=")"/>
        <w:lvlJc w:val="left"/>
        <w:pPr>
          <w:tabs>
            <w:tab w:val="num" w:pos="3900"/>
          </w:tabs>
          <w:ind w:left="0" w:firstLine="0"/>
        </w:pPr>
      </w:lvl>
    </w:lvlOverride>
    <w:lvlOverride w:ilvl="8">
      <w:startOverride w:val="1"/>
      <w:lvl w:ilvl="8">
        <w:start w:val="1"/>
        <w:numFmt w:val="decimal"/>
        <w:lvlText w:val="."/>
        <w:lvlJc w:val="right"/>
        <w:pPr>
          <w:tabs>
            <w:tab w:val="num" w:pos="4320"/>
          </w:tabs>
          <w:ind w:left="0" w:firstLine="0"/>
        </w:pPr>
      </w:lvl>
    </w:lvlOverride>
  </w:num>
  <w:num w:numId="144">
    <w:abstractNumId w:val="152"/>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45">
    <w:abstractNumId w:val="151"/>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46">
    <w:abstractNumId w:val="87"/>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147">
    <w:abstractNumId w:val="84"/>
    <w:lvlOverride w:ilvl="0">
      <w:startOverride w:val="1"/>
      <w:lvl w:ilvl="0">
        <w:start w:val="1"/>
        <w:numFmt w:val="decimal"/>
        <w:lvlText w:val="%1."/>
        <w:lvlJc w:val="left"/>
        <w:pPr>
          <w:tabs>
            <w:tab w:val="num" w:pos="1200"/>
          </w:tabs>
          <w:ind w:left="1200" w:hanging="360"/>
        </w:pPr>
      </w:lvl>
    </w:lvlOverride>
  </w:num>
  <w:num w:numId="148">
    <w:abstractNumId w:val="85"/>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49">
    <w:abstractNumId w:val="20"/>
  </w:num>
  <w:num w:numId="150">
    <w:abstractNumId w:val="72"/>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51">
    <w:abstractNumId w:val="74"/>
    <w:lvlOverride w:ilvl="0">
      <w:startOverride w:val="1"/>
      <w:lvl w:ilvl="0">
        <w:start w:val="1"/>
        <w:numFmt w:val="bullet"/>
        <w:lvlText w:val="ü"/>
        <w:lvlJc w:val="left"/>
        <w:pPr>
          <w:tabs>
            <w:tab w:val="num" w:pos="980"/>
          </w:tabs>
          <w:ind w:left="980" w:hanging="420"/>
        </w:pPr>
        <w:rPr>
          <w:rFonts w:ascii="Wingdings" w:hAnsi="Wingdings" w:hint="default"/>
        </w:rPr>
      </w:lvl>
    </w:lvlOverride>
    <w:lvlOverride w:ilvl="1">
      <w:startOverride w:val="1"/>
      <w:lvl w:ilvl="1">
        <w:start w:val="1"/>
        <w:numFmt w:val="bullet"/>
        <w:lvlText w:val="n"/>
        <w:lvlJc w:val="left"/>
        <w:pPr>
          <w:tabs>
            <w:tab w:val="num" w:pos="1400"/>
          </w:tabs>
          <w:ind w:left="1400" w:hanging="420"/>
        </w:pPr>
        <w:rPr>
          <w:rFonts w:ascii="Wingdings" w:hAnsi="Wingdings" w:hint="default"/>
        </w:rPr>
      </w:lvl>
    </w:lvlOverride>
    <w:lvlOverride w:ilvl="2">
      <w:startOverride w:val="1"/>
      <w:lvl w:ilvl="2">
        <w:start w:val="1"/>
        <w:numFmt w:val="bullet"/>
        <w:lvlText w:val="u"/>
        <w:lvlJc w:val="left"/>
        <w:pPr>
          <w:tabs>
            <w:tab w:val="num" w:pos="1820"/>
          </w:tabs>
          <w:ind w:left="1820" w:hanging="420"/>
        </w:pPr>
        <w:rPr>
          <w:rFonts w:ascii="Wingdings" w:hAnsi="Wingdings" w:hint="default"/>
        </w:rPr>
      </w:lvl>
    </w:lvlOverride>
    <w:lvlOverride w:ilvl="3">
      <w:startOverride w:val="1"/>
      <w:lvl w:ilvl="3">
        <w:start w:val="1"/>
        <w:numFmt w:val="bullet"/>
        <w:lvlText w:val="l"/>
        <w:lvlJc w:val="left"/>
        <w:pPr>
          <w:tabs>
            <w:tab w:val="num" w:pos="2240"/>
          </w:tabs>
          <w:ind w:left="2240" w:hanging="420"/>
        </w:pPr>
        <w:rPr>
          <w:rFonts w:ascii="Wingdings" w:hAnsi="Wingdings" w:hint="default"/>
        </w:rPr>
      </w:lvl>
    </w:lvlOverride>
    <w:lvlOverride w:ilvl="4">
      <w:startOverride w:val="1"/>
      <w:lvl w:ilvl="4">
        <w:start w:val="1"/>
        <w:numFmt w:val="bullet"/>
        <w:lvlText w:val="n"/>
        <w:lvlJc w:val="left"/>
        <w:pPr>
          <w:tabs>
            <w:tab w:val="num" w:pos="2660"/>
          </w:tabs>
          <w:ind w:left="2660" w:hanging="420"/>
        </w:pPr>
        <w:rPr>
          <w:rFonts w:ascii="Wingdings" w:hAnsi="Wingdings" w:hint="default"/>
        </w:rPr>
      </w:lvl>
    </w:lvlOverride>
    <w:lvlOverride w:ilvl="5">
      <w:startOverride w:val="1"/>
      <w:lvl w:ilvl="5">
        <w:start w:val="1"/>
        <w:numFmt w:val="bullet"/>
        <w:lvlText w:val="u"/>
        <w:lvlJc w:val="left"/>
        <w:pPr>
          <w:tabs>
            <w:tab w:val="num" w:pos="3080"/>
          </w:tabs>
          <w:ind w:left="3080" w:hanging="420"/>
        </w:pPr>
        <w:rPr>
          <w:rFonts w:ascii="Wingdings" w:hAnsi="Wingdings" w:hint="default"/>
        </w:rPr>
      </w:lvl>
    </w:lvlOverride>
    <w:lvlOverride w:ilvl="6">
      <w:startOverride w:val="1"/>
      <w:lvl w:ilvl="6">
        <w:start w:val="1"/>
        <w:numFmt w:val="bullet"/>
        <w:lvlText w:val="l"/>
        <w:lvlJc w:val="left"/>
        <w:pPr>
          <w:tabs>
            <w:tab w:val="num" w:pos="3500"/>
          </w:tabs>
          <w:ind w:left="3500" w:hanging="420"/>
        </w:pPr>
        <w:rPr>
          <w:rFonts w:ascii="Wingdings" w:hAnsi="Wingdings" w:hint="default"/>
        </w:rPr>
      </w:lvl>
    </w:lvlOverride>
    <w:lvlOverride w:ilvl="7">
      <w:startOverride w:val="1"/>
      <w:lvl w:ilvl="7">
        <w:start w:val="1"/>
        <w:numFmt w:val="bullet"/>
        <w:lvlText w:val="n"/>
        <w:lvlJc w:val="left"/>
        <w:pPr>
          <w:tabs>
            <w:tab w:val="num" w:pos="3920"/>
          </w:tabs>
          <w:ind w:left="3920" w:hanging="420"/>
        </w:pPr>
        <w:rPr>
          <w:rFonts w:ascii="Wingdings" w:hAnsi="Wingdings" w:hint="default"/>
        </w:rPr>
      </w:lvl>
    </w:lvlOverride>
    <w:lvlOverride w:ilvl="8">
      <w:startOverride w:val="1"/>
      <w:lvl w:ilvl="8">
        <w:start w:val="1"/>
        <w:numFmt w:val="bullet"/>
        <w:lvlText w:val="u"/>
        <w:lvlJc w:val="left"/>
        <w:pPr>
          <w:tabs>
            <w:tab w:val="num" w:pos="4340"/>
          </w:tabs>
          <w:ind w:left="4340" w:hanging="420"/>
        </w:pPr>
        <w:rPr>
          <w:rFonts w:ascii="Wingdings" w:hAnsi="Wingdings" w:hint="default"/>
        </w:rPr>
      </w:lvl>
    </w:lvlOverride>
  </w:num>
  <w:num w:numId="152">
    <w:abstractNumId w:val="88"/>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53">
    <w:abstractNumId w:val="64"/>
  </w:num>
  <w:num w:numId="154">
    <w:abstractNumId w:val="27"/>
  </w:num>
  <w:num w:numId="155">
    <w:abstractNumId w:val="19"/>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56">
    <w:abstractNumId w:val="10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57">
    <w:abstractNumId w:val="153"/>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58">
    <w:abstractNumId w:val="35"/>
  </w:num>
  <w:num w:numId="159">
    <w:abstractNumId w:val="86"/>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160">
    <w:abstractNumId w:val="83"/>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61">
    <w:abstractNumId w:val="150"/>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162">
    <w:abstractNumId w:val="73"/>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14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14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14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14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14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14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14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link w:val="1Char"/>
    <w:pPr>
      <w:widowControl w:val="0"/>
      <w:spacing w:line="360" w:lineRule="auto"/>
      <w:jc w:val="both"/>
    </w:pPr>
    <w:rPr>
      <w:rFonts w:ascii="Times New Roman" w:eastAsia="宋体" w:hAnsi="Times New Roman" w:cs="Times New Roman"/>
      <w:kern w:val="2"/>
      <w:sz w:val="21"/>
      <w:szCs w:val="28"/>
      <w:lang w:val="en-US" w:eastAsia="zh-CN" w:bidi="ar-SA"/>
    </w:rPr>
  </w:style>
  <w:style w:type="character" w:customStyle="1" w:styleId="1Char">
    <w:name w:val="正文_1 Char"/>
    <w:basedOn w:val="DefaultParagraphFont"/>
    <w:link w:val="1"/>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14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14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14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link w:val="indexheadingChar"/>
    <w:rPr>
      <w:rFonts w:ascii="Calibri" w:eastAsia="宋体" w:hAnsi="Calibri" w:cs="Times New Roman"/>
      <w:szCs w:val="20"/>
      <w:lang w:bidi="ar-SA"/>
    </w:rPr>
  </w:style>
  <w:style w:type="character" w:customStyle="1" w:styleId="indexheadingChar">
    <w:name w:val="index heading Char"/>
    <w:basedOn w:val="DefaultParagraphFont"/>
    <w:link w:val="IndexHeading"/>
    <w:rPr>
      <w:rFonts w:ascii="Calibri" w:eastAsia="宋体" w:hAnsi="Calibri" w:cs="Times New Roman"/>
      <w:kern w:val="2"/>
      <w:sz w:val="21"/>
      <w:szCs w:val="20"/>
      <w:lang w:val="en-US" w:eastAsia="zh-CN"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4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0">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125">
    <w:name w:val="纯文本125"/>
    <w:pPr>
      <w:widowControl w:val="0"/>
      <w:jc w:val="both"/>
    </w:pPr>
    <w:rPr>
      <w:rFonts w:ascii="宋体" w:eastAsia="宋体" w:hAnsi="Times New Roman" w:cs="Courier New"/>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44010">
    <w:name w:val="样式 440 10 磅"/>
    <w:next w:val="111310"/>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zh-CN"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750">
    <w:name w:val="正文750"/>
    <w:pPr>
      <w:widowControl w:val="0"/>
      <w:jc w:val="both"/>
    </w:pPr>
    <w:rPr>
      <w:rFonts w:ascii="Calibri" w:eastAsia="宋体" w:hAnsi="Calibri"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601">
    <w:name w:val="正文601"/>
    <w:pPr>
      <w:widowControl w:val="0"/>
      <w:jc w:val="both"/>
    </w:pPr>
    <w:rPr>
      <w:rFonts w:ascii="Calibri" w:eastAsia="宋体" w:hAnsi="Calibri"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22">
    <w:name w:val="正文22"/>
    <w:pPr>
      <w:widowControl w:val="0"/>
      <w:jc w:val="both"/>
    </w:pPr>
    <w:rPr>
      <w:rFonts w:ascii="Calibri" w:eastAsia="宋体" w:hAnsi="Calibri" w:cs="Times New Roman"/>
      <w:kern w:val="2"/>
      <w:sz w:val="21"/>
      <w:szCs w:val="22"/>
      <w:lang w:val="en-US" w:eastAsia="zh-CN" w:bidi="ar-SA"/>
    </w:rPr>
  </w:style>
  <w:style w:type="paragraph" w:customStyle="1" w:styleId="628">
    <w:name w:val="正文628"/>
    <w:pPr>
      <w:widowControl w:val="0"/>
      <w:jc w:val="both"/>
    </w:pPr>
    <w:rPr>
      <w:rFonts w:ascii="Calibri" w:eastAsia="宋体" w:hAnsi="Calibri"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zh-CN"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118">
    <w:name w:val="纯文本118"/>
    <w:pPr>
      <w:widowControl w:val="0"/>
      <w:jc w:val="both"/>
    </w:pPr>
    <w:rPr>
      <w:rFonts w:ascii="宋体" w:eastAsia="宋体" w:hAnsi="Times New Roman" w:cs="Courier New"/>
      <w:kern w:val="2"/>
      <w:sz w:val="21"/>
      <w:szCs w:val="21"/>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534">
    <w:name w:val="正文53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552">
    <w:name w:val="正文552"/>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eastAsia="zh-CN" w:bidi="ar-SA"/>
    </w:rPr>
  </w:style>
  <w:style w:type="paragraph" w:customStyle="1" w:styleId="911">
    <w:name w:val="正文911"/>
    <w:pPr>
      <w:widowControl w:val="0"/>
      <w:jc w:val="both"/>
    </w:pPr>
    <w:rPr>
      <w:rFonts w:ascii="Calibri" w:eastAsia="宋体" w:hAnsi="Calibri" w:cs="Times New Roman"/>
      <w:kern w:val="2"/>
      <w:sz w:val="21"/>
      <w:szCs w:val="24"/>
      <w:lang w:val="en-US" w:eastAsia="zh-CN"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101">
    <w:name w:val="样式1_0"/>
    <w:basedOn w:val="3"/>
    <w:pPr>
      <w:numPr>
        <w:ilvl w:val="0"/>
        <w:numId w:val="15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zh-CN" w:bidi="ar-SA"/>
    </w:rPr>
  </w:style>
  <w:style w:type="paragraph" w:customStyle="1" w:styleId="1023">
    <w:name w:val="正文1023"/>
    <w:pPr>
      <w:widowControl w:val="0"/>
      <w:jc w:val="both"/>
    </w:pPr>
    <w:rPr>
      <w:rFonts w:ascii="Calibri" w:eastAsia="宋体" w:hAnsi="Calibri" w:cs="Times New Roman"/>
      <w:kern w:val="2"/>
      <w:sz w:val="21"/>
      <w:szCs w:val="24"/>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eastAsia="zh-CN" w:bidi="ar-SA"/>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401">
    <w:name w:val="正文401"/>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zh-CN" w:bidi="ar-SA"/>
    </w:rPr>
  </w:style>
  <w:style w:type="paragraph" w:customStyle="1" w:styleId="492">
    <w:name w:val="正文492"/>
    <w:pPr>
      <w:widowControl w:val="0"/>
      <w:jc w:val="both"/>
    </w:pPr>
    <w:rPr>
      <w:rFonts w:ascii="Calibri" w:eastAsia="宋体" w:hAnsi="Calibri"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468">
    <w:name w:val="正文468"/>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eastAsia="zh-CN"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eastAsia="zh-CN"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hAnsi="Times New Roman" w:cs="Times New Roman"/>
      <w:kern w:val="2"/>
      <w:sz w:val="21"/>
      <w:szCs w:val="21"/>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24">
    <w:name w:val="修订2"/>
    <w:next w:val="TOC7"/>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zh-CN"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1010">
    <w:name w:val="正文101"/>
    <w:pPr>
      <w:widowControl w:val="0"/>
      <w:jc w:val="both"/>
    </w:pPr>
    <w:rPr>
      <w:rFonts w:ascii="Calibri" w:eastAsia="宋体" w:hAnsi="Calibri"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zh-CN"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1110">
    <w:name w:val="正文1110"/>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60">
    <w:name w:val="纯文本16"/>
    <w:pPr>
      <w:widowControl w:val="0"/>
      <w:jc w:val="both"/>
    </w:pPr>
    <w:rPr>
      <w:rFonts w:ascii="宋体" w:eastAsia="宋体" w:hAnsi="Times New Roman" w:cs="Courier New"/>
      <w:kern w:val="2"/>
      <w:sz w:val="21"/>
      <w:szCs w:val="21"/>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270">
    <w:name w:val="正文270"/>
    <w:pPr>
      <w:widowControl w:val="0"/>
      <w:jc w:val="both"/>
    </w:pPr>
    <w:rPr>
      <w:rFonts w:ascii="Calibri" w:eastAsia="宋体" w:hAnsi="Calibri" w:cs="Times New Roman"/>
      <w:kern w:val="2"/>
      <w:sz w:val="21"/>
      <w:szCs w:val="24"/>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12">
    <w:name w:val="正文112"/>
    <w:pPr>
      <w:widowControl w:val="0"/>
      <w:jc w:val="both"/>
    </w:pPr>
    <w:rPr>
      <w:rFonts w:ascii="Calibri" w:eastAsia="宋体" w:hAnsi="Calibri" w:cs="Times New Roman"/>
      <w:kern w:val="2"/>
      <w:sz w:val="21"/>
      <w:szCs w:val="24"/>
      <w:lang w:val="en-US" w:eastAsia="zh-CN" w:bidi="ar-SA"/>
    </w:rPr>
  </w:style>
  <w:style w:type="paragraph" w:customStyle="1" w:styleId="606">
    <w:name w:val="正文606"/>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zh-CN" w:bidi="ar-SA"/>
    </w:rPr>
  </w:style>
  <w:style w:type="paragraph" w:customStyle="1" w:styleId="154">
    <w:name w:val="正文154"/>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zh-CN" w:bidi="ar-SA"/>
    </w:rPr>
  </w:style>
  <w:style w:type="paragraph" w:customStyle="1" w:styleId="29">
    <w:name w:val="正文29"/>
    <w:pPr>
      <w:widowControl w:val="0"/>
      <w:jc w:val="both"/>
    </w:pPr>
    <w:rPr>
      <w:rFonts w:ascii="Calibri" w:eastAsia="宋体" w:hAnsi="Calibri" w:cs="Times New Roman"/>
      <w:kern w:val="2"/>
      <w:sz w:val="21"/>
      <w:szCs w:val="22"/>
      <w:lang w:val="en-US" w:eastAsia="zh-CN"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6">
    <w:name w:val="正文6"/>
    <w:pPr>
      <w:widowControl w:val="0"/>
      <w:jc w:val="both"/>
    </w:pPr>
    <w:rPr>
      <w:rFonts w:ascii="Calibri" w:eastAsia="宋体" w:hAnsi="Calibri"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25">
    <w:name w:val="正文225"/>
    <w:pPr>
      <w:widowControl w:val="0"/>
      <w:jc w:val="both"/>
    </w:pPr>
    <w:rPr>
      <w:rFonts w:ascii="Calibri" w:eastAsia="宋体" w:hAnsi="Calibri" w:cs="Times New Roman"/>
      <w:kern w:val="2"/>
      <w:sz w:val="21"/>
      <w:szCs w:val="24"/>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521">
    <w:name w:val="正文521"/>
    <w:pPr>
      <w:widowControl w:val="0"/>
      <w:jc w:val="both"/>
    </w:pPr>
    <w:rPr>
      <w:rFonts w:ascii="Calibri" w:eastAsia="宋体" w:hAnsi="Calibri" w:cs="Times New Roman"/>
      <w:kern w:val="2"/>
      <w:sz w:val="21"/>
      <w:szCs w:val="24"/>
      <w:lang w:val="en-US" w:eastAsia="zh-CN"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91710">
    <w:name w:val="样式 1917 10 磅"/>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zh-CN"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517">
    <w:name w:val="正文517"/>
    <w:pPr>
      <w:widowControl w:val="0"/>
      <w:jc w:val="both"/>
    </w:pPr>
    <w:rPr>
      <w:rFonts w:ascii="Calibri" w:eastAsia="宋体" w:hAnsi="Calibri" w:cs="Times New Roman"/>
      <w:kern w:val="2"/>
      <w:sz w:val="21"/>
      <w:szCs w:val="24"/>
      <w:lang w:val="en-US" w:eastAsia="zh-CN" w:bidi="ar-SA"/>
    </w:rPr>
  </w:style>
  <w:style w:type="paragraph" w:customStyle="1" w:styleId="191610">
    <w:name w:val="样式 1916 10 磅"/>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zh-CN" w:bidi="ar-SA"/>
    </w:rPr>
  </w:style>
  <w:style w:type="paragraph" w:customStyle="1" w:styleId="159">
    <w:name w:val="正文159"/>
    <w:pPr>
      <w:widowControl w:val="0"/>
      <w:jc w:val="both"/>
    </w:pPr>
    <w:rPr>
      <w:rFonts w:ascii="Calibri" w:eastAsia="宋体" w:hAnsi="Calibri"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014">
    <w:name w:val="正文1014"/>
    <w:rPr>
      <w:rFonts w:ascii="Calibri" w:eastAsia="宋体" w:hAnsi="Calibri" w:cs="Times New Roman"/>
      <w:kern w:val="2"/>
      <w:sz w:val="21"/>
      <w:szCs w:val="21"/>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910">
    <w:name w:val="纯文本91"/>
    <w:pPr>
      <w:widowControl w:val="0"/>
      <w:jc w:val="both"/>
    </w:pPr>
    <w:rPr>
      <w:rFonts w:ascii="宋体" w:eastAsia="宋体" w:hAnsi="Times New Roman" w:cs="Courier New"/>
      <w:kern w:val="2"/>
      <w:sz w:val="21"/>
      <w:szCs w:val="21"/>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zh-CN"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670">
    <w:name w:val="正文670"/>
    <w:pPr>
      <w:widowControl w:val="0"/>
      <w:jc w:val="both"/>
    </w:pPr>
    <w:rPr>
      <w:rFonts w:ascii="Calibri" w:eastAsia="宋体" w:hAnsi="Calibri" w:cs="Times New Roman"/>
      <w:kern w:val="2"/>
      <w:sz w:val="21"/>
      <w:szCs w:val="24"/>
      <w:lang w:val="en-US" w:eastAsia="zh-CN" w:bidi="ar-SA"/>
    </w:rPr>
  </w:style>
  <w:style w:type="paragraph" w:customStyle="1" w:styleId="740">
    <w:name w:val="纯文本74"/>
    <w:pPr>
      <w:widowControl w:val="0"/>
      <w:jc w:val="both"/>
    </w:pPr>
    <w:rPr>
      <w:rFonts w:ascii="宋体" w:eastAsia="宋体" w:hAnsi="Times New Roman" w:cs="Courier New"/>
      <w:kern w:val="2"/>
      <w:sz w:val="21"/>
      <w:szCs w:val="21"/>
      <w:lang w:val="en-US" w:eastAsia="zh-CN"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18">
    <w:name w:val="列表1"/>
    <w:next w:val="3"/>
    <w:pPr>
      <w:widowControl w:val="0"/>
      <w:numPr>
        <w:ilvl w:val="0"/>
        <w:numId w:val="151"/>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zh-CN"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57">
    <w:name w:val="纯文本57"/>
    <w:pPr>
      <w:widowControl w:val="0"/>
      <w:jc w:val="both"/>
    </w:pPr>
    <w:rPr>
      <w:rFonts w:ascii="宋体" w:eastAsia="宋体" w:hAnsi="Times New Roman" w:cs="Courier New"/>
      <w:kern w:val="2"/>
      <w:sz w:val="21"/>
      <w:szCs w:val="21"/>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BodyText21">
    <w:name w:val="Body Text 21"/>
    <w:basedOn w:val="Normal"/>
    <w:pPr>
      <w:numPr>
        <w:ilvl w:val="0"/>
        <w:numId w:val="15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zh-CN"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eastAsia="zh-CN"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52">
    <w:name w:val="正文文本5"/>
    <w:pPr>
      <w:widowControl w:val="0"/>
      <w:jc w:val="both"/>
    </w:pPr>
    <w:rPr>
      <w:rFonts w:ascii="Calibri" w:eastAsia="宋体" w:hAnsi="Calibri" w:cs="Times New Roman"/>
      <w:kern w:val="2"/>
      <w:sz w:val="28"/>
      <w:szCs w:val="22"/>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
    <w:name w:val="纯文本106"/>
    <w:pPr>
      <w:widowControl w:val="0"/>
      <w:jc w:val="both"/>
    </w:pPr>
    <w:rPr>
      <w:rFonts w:ascii="宋体" w:eastAsia="宋体" w:hAnsi="Times New Roman" w:cs="Courier New"/>
      <w:kern w:val="2"/>
      <w:sz w:val="21"/>
      <w:szCs w:val="21"/>
      <w:lang w:val="en-US" w:eastAsia="zh-CN" w:bidi="ar-SA"/>
    </w:rPr>
  </w:style>
  <w:style w:type="paragraph" w:customStyle="1" w:styleId="184410">
    <w:name w:val="样式 1844 10 磅"/>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251">
    <w:name w:val="正文125"/>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730">
    <w:name w:val="正文730"/>
    <w:pPr>
      <w:widowControl w:val="0"/>
      <w:jc w:val="both"/>
    </w:pPr>
    <w:rPr>
      <w:rFonts w:ascii="Calibri" w:eastAsia="宋体" w:hAnsi="Calibri" w:cs="Times New Roman"/>
      <w:kern w:val="2"/>
      <w:sz w:val="21"/>
      <w:szCs w:val="24"/>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400">
    <w:name w:val="纯文本40"/>
    <w:pPr>
      <w:widowControl w:val="0"/>
      <w:jc w:val="both"/>
    </w:pPr>
    <w:rPr>
      <w:rFonts w:ascii="宋体" w:eastAsia="宋体" w:hAnsi="Times New Roman" w:cs="Courier New"/>
      <w:kern w:val="2"/>
      <w:sz w:val="21"/>
      <w:szCs w:val="21"/>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53">
    <w:name w:val="批注文字5"/>
    <w:pPr>
      <w:widowControl w:val="0"/>
      <w:jc w:val="both"/>
    </w:pPr>
    <w:rPr>
      <w:rFonts w:ascii="Calibri" w:eastAsia="宋体" w:hAnsi="Calibri" w:cs="Times New Roman"/>
      <w:kern w:val="2"/>
      <w:sz w:val="24"/>
      <w:szCs w:val="28"/>
      <w:lang w:val="en-US" w:eastAsia="zh-CN" w:bidi="ar-SA"/>
    </w:rPr>
  </w:style>
  <w:style w:type="paragraph" w:customStyle="1" w:styleId="625">
    <w:name w:val="正文625"/>
    <w:pPr>
      <w:widowControl w:val="0"/>
      <w:jc w:val="both"/>
    </w:pPr>
    <w:rPr>
      <w:rFonts w:ascii="Calibri" w:eastAsia="宋体" w:hAnsi="Calibri" w:cs="Times New Roman"/>
      <w:kern w:val="2"/>
      <w:sz w:val="21"/>
      <w:szCs w:val="24"/>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eastAsia="zh-CN" w:bidi="ar-SA"/>
    </w:rPr>
  </w:style>
  <w:style w:type="paragraph" w:customStyle="1" w:styleId="43910">
    <w:name w:val="样式 439 10 磅"/>
    <w:next w:val="57210"/>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eastAsia="zh-CN" w:bidi="ar-SA"/>
    </w:rPr>
  </w:style>
  <w:style w:type="paragraph" w:customStyle="1" w:styleId="1001">
    <w:name w:val="正文100"/>
    <w:pPr>
      <w:widowControl w:val="0"/>
      <w:jc w:val="both"/>
    </w:pPr>
    <w:rPr>
      <w:rFonts w:ascii="Calibri" w:eastAsia="宋体" w:hAnsi="Calibri"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lang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Calibri" w:eastAsia="宋体" w:hAnsi="Calibri" w:cs="Times New Roman"/>
      <w:kern w:val="2"/>
      <w:sz w:val="21"/>
      <w:szCs w:val="24"/>
      <w:lang w:val="en-US" w:eastAsia="zh-CN" w:bidi="ar-SA"/>
    </w:rPr>
  </w:style>
  <w:style w:type="paragraph" w:customStyle="1" w:styleId="602">
    <w:name w:val="纯文本60"/>
    <w:pPr>
      <w:widowControl w:val="0"/>
      <w:jc w:val="both"/>
    </w:pPr>
    <w:rPr>
      <w:rFonts w:ascii="宋体" w:eastAsia="宋体" w:hAnsi="Times New Roman" w:cs="Courier New"/>
      <w:kern w:val="2"/>
      <w:sz w:val="21"/>
      <w:szCs w:val="21"/>
      <w:lang w:val="en-US" w:eastAsia="zh-CN"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424">
    <w:name w:val="正文424"/>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正文250"/>
    <w:pPr>
      <w:widowControl w:val="0"/>
      <w:jc w:val="both"/>
    </w:pPr>
    <w:rPr>
      <w:rFonts w:ascii="Calibri" w:eastAsia="宋体" w:hAnsi="Calibri"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eastAsia="zh-CN" w:bidi="ar-SA"/>
    </w:rPr>
  </w:style>
  <w:style w:type="paragraph" w:customStyle="1" w:styleId="186">
    <w:name w:val="正文186"/>
    <w:pPr>
      <w:widowControl w:val="0"/>
      <w:jc w:val="both"/>
    </w:pPr>
    <w:rPr>
      <w:rFonts w:ascii="Calibri" w:eastAsia="宋体" w:hAnsi="Calibri" w:cs="Times New Roman"/>
      <w:kern w:val="2"/>
      <w:sz w:val="21"/>
      <w:szCs w:val="24"/>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900">
    <w:name w:val="纯文本90"/>
    <w:pPr>
      <w:widowControl w:val="0"/>
      <w:jc w:val="both"/>
    </w:pPr>
    <w:rPr>
      <w:rFonts w:ascii="宋体" w:eastAsia="宋体" w:hAnsi="Times New Roman" w:cs="Courier New"/>
      <w:kern w:val="2"/>
      <w:sz w:val="21"/>
      <w:szCs w:val="21"/>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231">
    <w:name w:val="正文23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zh-CN" w:bidi="ar-SA"/>
    </w:rPr>
  </w:style>
  <w:style w:type="paragraph" w:customStyle="1" w:styleId="360">
    <w:name w:val="正文360"/>
    <w:pPr>
      <w:widowControl w:val="0"/>
      <w:jc w:val="both"/>
    </w:pPr>
    <w:rPr>
      <w:rFonts w:ascii="Calibri" w:eastAsia="宋体" w:hAnsi="Calibri"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eastAsia="zh-CN"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5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eastAsia="zh-CN" w:bidi="ar-SA"/>
    </w:rPr>
  </w:style>
  <w:style w:type="paragraph" w:customStyle="1" w:styleId="1201">
    <w:name w:val="正文120"/>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hAnsi="Times New Roman" w:cs="宋体"/>
      <w:sz w:val="22"/>
      <w:szCs w:val="22"/>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1311">
    <w:name w:val="样式 13 11 磅"/>
    <w:next w:val="Caption"/>
    <w:rPr>
      <w:rFonts w:ascii="Calibri" w:eastAsia="宋体" w:hAnsi="Calibri" w:cs="Times New Roman"/>
      <w:sz w:val="22"/>
      <w:szCs w:val="22"/>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93">
    <w:name w:val="正文93"/>
    <w:pPr>
      <w:widowControl w:val="0"/>
      <w:jc w:val="both"/>
    </w:pPr>
    <w:rPr>
      <w:rFonts w:ascii="Calibri" w:eastAsia="宋体" w:hAnsi="Calibri" w:cs="Times New Roman"/>
      <w:kern w:val="2"/>
      <w:sz w:val="21"/>
      <w:szCs w:val="24"/>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681">
    <w:name w:val="正文681"/>
    <w:pPr>
      <w:widowControl w:val="0"/>
      <w:jc w:val="both"/>
    </w:pPr>
    <w:rPr>
      <w:rFonts w:ascii="Calibri" w:eastAsia="宋体" w:hAnsi="Calibri"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675">
    <w:name w:val="正文675"/>
    <w:pPr>
      <w:widowControl w:val="0"/>
      <w:jc w:val="both"/>
    </w:pPr>
    <w:rPr>
      <w:rFonts w:ascii="Calibri" w:eastAsia="宋体" w:hAnsi="Calibri" w:cs="Times New Roman"/>
      <w:kern w:val="2"/>
      <w:sz w:val="21"/>
      <w:szCs w:val="24"/>
      <w:lang w:val="en-US" w:eastAsia="zh-CN" w:bidi="ar-SA"/>
    </w:rPr>
  </w:style>
  <w:style w:type="paragraph" w:customStyle="1" w:styleId="940">
    <w:name w:val="正文940"/>
    <w:pPr>
      <w:widowControl w:val="0"/>
      <w:jc w:val="both"/>
    </w:pPr>
    <w:rPr>
      <w:rFonts w:ascii="Calibri" w:eastAsia="宋体" w:hAnsi="Calibri" w:cs="Times New Roman"/>
      <w:kern w:val="2"/>
      <w:sz w:val="21"/>
      <w:szCs w:val="24"/>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5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40910">
    <w:name w:val="样式 409 10 磅"/>
    <w:pPr>
      <w:widowControl w:val="0"/>
      <w:jc w:val="both"/>
    </w:pPr>
    <w:rPr>
      <w:rFonts w:ascii="宋体" w:eastAsia="宋体" w:hAnsi="Times New Roman" w:cs="Times New Roman"/>
      <w:kern w:val="2"/>
      <w:sz w:val="21"/>
      <w:szCs w:val="21"/>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2600">
    <w:name w:val="正文260"/>
    <w:pPr>
      <w:widowControl w:val="0"/>
      <w:jc w:val="both"/>
    </w:pPr>
    <w:rPr>
      <w:rFonts w:ascii="Calibri" w:eastAsia="宋体" w:hAnsi="Calibri" w:cs="Times New Roman"/>
      <w:kern w:val="2"/>
      <w:sz w:val="21"/>
      <w:szCs w:val="24"/>
      <w:lang w:val="en-US" w:eastAsia="zh-CN"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zh-CN"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330">
    <w:name w:val="正文330"/>
    <w:pPr>
      <w:widowControl w:val="0"/>
      <w:jc w:val="both"/>
    </w:pPr>
    <w:rPr>
      <w:rFonts w:ascii="Calibri" w:eastAsia="宋体" w:hAnsi="Calibri" w:cs="Times New Roman"/>
      <w:kern w:val="2"/>
      <w:sz w:val="21"/>
      <w:szCs w:val="24"/>
      <w:lang w:val="en-US" w:eastAsia="zh-CN"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zh-CN" w:bidi="ar-SA"/>
    </w:rPr>
  </w:style>
  <w:style w:type="paragraph" w:customStyle="1" w:styleId="197">
    <w:name w:val="正文19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a17">
    <w:name w:val="图案编号"/>
    <w:basedOn w:val="3"/>
    <w:pPr>
      <w:numPr>
        <w:ilvl w:val="0"/>
        <w:numId w:val="15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5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132">
    <w:name w:val="纯文本132"/>
    <w:pPr>
      <w:widowControl w:val="0"/>
      <w:jc w:val="both"/>
    </w:pPr>
    <w:rPr>
      <w:rFonts w:ascii="宋体" w:eastAsia="宋体" w:hAnsi="Times New Roman" w:cs="Courier New"/>
      <w:kern w:val="2"/>
      <w:sz w:val="21"/>
      <w:szCs w:val="21"/>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501">
    <w:name w:val="标题 5_0"/>
    <w:basedOn w:val="41"/>
    <w:pPr>
      <w:numPr>
        <w:ilvl w:val="4"/>
        <w:numId w:val="15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zh-CN" w:bidi="ar-SA"/>
    </w:rPr>
  </w:style>
  <w:style w:type="paragraph" w:customStyle="1" w:styleId="166">
    <w:name w:val="正文166"/>
    <w:pPr>
      <w:widowControl w:val="0"/>
      <w:jc w:val="both"/>
    </w:pPr>
    <w:rPr>
      <w:rFonts w:ascii="Calibri" w:eastAsia="宋体" w:hAnsi="Calibri"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hAnsi="Times New Roman" w:cs="Times New Roman"/>
      <w:kern w:val="2"/>
      <w:sz w:val="21"/>
      <w:szCs w:val="21"/>
      <w:lang w:val="en-US" w:eastAsia="zh-CN" w:bidi="ar-SA"/>
    </w:rPr>
  </w:style>
  <w:style w:type="paragraph" w:customStyle="1" w:styleId="1440">
    <w:name w:val="正文144"/>
    <w:pPr>
      <w:widowControl w:val="0"/>
      <w:jc w:val="both"/>
    </w:pPr>
    <w:rPr>
      <w:rFonts w:ascii="Calibri" w:eastAsia="宋体" w:hAnsi="Calibri" w:cs="Times New Roman"/>
      <w:kern w:val="2"/>
      <w:sz w:val="21"/>
      <w:szCs w:val="24"/>
      <w:lang w:val="en-US" w:eastAsia="zh-CN"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079">
    <w:name w:val="正文1079"/>
    <w:pPr>
      <w:widowControl w:val="0"/>
      <w:jc w:val="both"/>
    </w:pPr>
    <w:rPr>
      <w:rFonts w:ascii="Calibri" w:eastAsia="宋体" w:hAnsi="Calibri" w:cs="Times New Roman"/>
      <w:kern w:val="2"/>
      <w:sz w:val="21"/>
      <w:szCs w:val="22"/>
      <w:lang w:val="en-US" w:eastAsia="zh-CN" w:bidi="ar-SA"/>
    </w:rPr>
  </w:style>
  <w:style w:type="paragraph" w:customStyle="1" w:styleId="627">
    <w:name w:val="正文627"/>
    <w:pPr>
      <w:widowControl w:val="0"/>
      <w:jc w:val="both"/>
    </w:pPr>
    <w:rPr>
      <w:rFonts w:ascii="Calibri" w:eastAsia="宋体" w:hAnsi="Calibri" w:cs="Times New Roman"/>
      <w:kern w:val="2"/>
      <w:sz w:val="21"/>
      <w:szCs w:val="24"/>
      <w:lang w:val="en-US" w:eastAsia="zh-CN" w:bidi="ar-SA"/>
    </w:rPr>
  </w:style>
  <w:style w:type="paragraph" w:customStyle="1" w:styleId="317">
    <w:name w:val="正文317"/>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07">
    <w:name w:val="纯文本107"/>
    <w:pPr>
      <w:widowControl w:val="0"/>
      <w:jc w:val="both"/>
    </w:pPr>
    <w:rPr>
      <w:rFonts w:ascii="宋体" w:eastAsia="宋体" w:hAnsi="Times New Roman" w:cs="Courier New"/>
      <w:kern w:val="2"/>
      <w:sz w:val="21"/>
      <w:szCs w:val="21"/>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94">
    <w:name w:val="纯文本94"/>
    <w:pPr>
      <w:widowControl w:val="0"/>
      <w:jc w:val="both"/>
    </w:pPr>
    <w:rPr>
      <w:rFonts w:ascii="宋体" w:eastAsia="宋体" w:hAnsi="Times New Roman" w:cs="Courier New"/>
      <w:kern w:val="2"/>
      <w:sz w:val="21"/>
      <w:szCs w:val="21"/>
      <w:lang w:val="en-US" w:eastAsia="zh-CN"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zh-CN" w:bidi="ar-SA"/>
    </w:rPr>
  </w:style>
  <w:style w:type="paragraph" w:customStyle="1" w:styleId="1202">
    <w:name w:val="纯文本120"/>
    <w:pPr>
      <w:widowControl w:val="0"/>
      <w:jc w:val="both"/>
    </w:pPr>
    <w:rPr>
      <w:rFonts w:ascii="宋体" w:eastAsia="宋体" w:hAnsi="Times New Roman" w:cs="Courier New"/>
      <w:kern w:val="2"/>
      <w:sz w:val="21"/>
      <w:szCs w:val="21"/>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490">
    <w:name w:val="正文490"/>
    <w:pPr>
      <w:widowControl w:val="0"/>
      <w:jc w:val="both"/>
    </w:pPr>
    <w:rPr>
      <w:rFonts w:ascii="Calibri" w:eastAsia="宋体" w:hAnsi="Calibri" w:cs="Times New Roman"/>
      <w:kern w:val="2"/>
      <w:sz w:val="21"/>
      <w:szCs w:val="24"/>
      <w:lang w:val="en-US" w:eastAsia="zh-CN" w:bidi="ar-SA"/>
    </w:rPr>
  </w:style>
  <w:style w:type="paragraph" w:customStyle="1" w:styleId="36">
    <w:name w:val="纯文本36"/>
    <w:pPr>
      <w:widowControl w:val="0"/>
      <w:jc w:val="both"/>
    </w:pPr>
    <w:rPr>
      <w:rFonts w:ascii="宋体" w:eastAsia="宋体" w:hAnsi="Times New Roman" w:cs="Courier New"/>
      <w:kern w:val="2"/>
      <w:sz w:val="21"/>
      <w:szCs w:val="21"/>
      <w:lang w:val="en-US" w:eastAsia="zh-CN"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1911">
    <w:name w:val="样式 19 11 磅"/>
    <w:rPr>
      <w:rFonts w:ascii="Calibri" w:eastAsia="宋体" w:hAnsi="Calibri" w:cs="Times New Roman"/>
      <w:sz w:val="22"/>
      <w:szCs w:val="22"/>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95">
    <w:name w:val="纯文本95"/>
    <w:pPr>
      <w:widowControl w:val="0"/>
      <w:jc w:val="both"/>
    </w:pPr>
    <w:rPr>
      <w:rFonts w:ascii="宋体" w:eastAsia="宋体" w:hAnsi="Times New Roman" w:cs="Courier New"/>
      <w:kern w:val="2"/>
      <w:sz w:val="21"/>
      <w:szCs w:val="21"/>
      <w:lang w:val="en-US" w:eastAsia="zh-CN"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520">
    <w:name w:val="正文520"/>
    <w:pPr>
      <w:widowControl w:val="0"/>
      <w:jc w:val="both"/>
    </w:pPr>
    <w:rPr>
      <w:rFonts w:ascii="Calibri" w:eastAsia="宋体" w:hAnsi="Calibri"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zh-CN" w:bidi="ar-SA"/>
    </w:rPr>
  </w:style>
  <w:style w:type="paragraph" w:customStyle="1" w:styleId="511">
    <w:name w:val="样式 5 11 磅"/>
    <w:rPr>
      <w:rFonts w:ascii="Calibri" w:eastAsia="宋体" w:hAnsi="Calibri" w:cs="Times New Roman"/>
      <w:sz w:val="22"/>
      <w:szCs w:val="22"/>
      <w:lang w:val="en-US" w:eastAsia="zh-CN" w:bidi="ar-SA"/>
    </w:rPr>
  </w:style>
  <w:style w:type="paragraph" w:customStyle="1" w:styleId="1034">
    <w:name w:val="正文1034"/>
    <w:rPr>
      <w:rFonts w:ascii="Calibri" w:eastAsia="宋体" w:hAnsi="Calibri" w:cs="Times New Roman"/>
      <w:kern w:val="2"/>
      <w:sz w:val="21"/>
      <w:szCs w:val="21"/>
      <w:lang w:val="en-US" w:eastAsia="zh-CN"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298">
    <w:name w:val="正文298"/>
    <w:pPr>
      <w:widowControl w:val="0"/>
      <w:jc w:val="both"/>
    </w:pPr>
    <w:rPr>
      <w:rFonts w:ascii="Calibri" w:eastAsia="宋体" w:hAnsi="Calibri"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43710">
    <w:name w:val="样式 437 10 磅"/>
    <w:next w:val="12020"/>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zh-CN" w:bidi="ar-SA"/>
    </w:rPr>
  </w:style>
  <w:style w:type="paragraph" w:customStyle="1" w:styleId="820">
    <w:name w:val="正文82"/>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1044">
    <w:name w:val="正文1044"/>
    <w:pPr>
      <w:widowControl w:val="0"/>
      <w:jc w:val="both"/>
    </w:pPr>
    <w:rPr>
      <w:rFonts w:ascii="Calibri" w:eastAsia="宋体" w:hAnsi="Calibri" w:cs="Times New Roman"/>
      <w:kern w:val="2"/>
      <w:sz w:val="21"/>
      <w:szCs w:val="22"/>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eastAsia="zh-CN"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zh-CN"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zh-CN"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4510">
    <w:name w:val="正文451"/>
    <w:pPr>
      <w:widowControl w:val="0"/>
      <w:jc w:val="both"/>
    </w:pPr>
    <w:rPr>
      <w:rFonts w:ascii="Calibri" w:eastAsia="宋体" w:hAnsi="Calibri"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302">
    <w:name w:val="正文302"/>
    <w:pPr>
      <w:widowControl w:val="0"/>
      <w:jc w:val="both"/>
    </w:pPr>
    <w:rPr>
      <w:rFonts w:ascii="Calibri" w:eastAsia="宋体" w:hAnsi="Calibri" w:cs="Times New Roman"/>
      <w:kern w:val="2"/>
      <w:sz w:val="21"/>
      <w:szCs w:val="24"/>
      <w:lang w:val="en-US" w:eastAsia="zh-CN" w:bidi="ar-SA"/>
    </w:rPr>
  </w:style>
  <w:style w:type="paragraph" w:customStyle="1" w:styleId="97">
    <w:name w:val="纯文本97"/>
    <w:pPr>
      <w:widowControl w:val="0"/>
      <w:jc w:val="both"/>
    </w:pPr>
    <w:rPr>
      <w:rFonts w:ascii="宋体" w:eastAsia="宋体" w:hAnsi="Times New Roman" w:cs="Courier New"/>
      <w:kern w:val="2"/>
      <w:sz w:val="21"/>
      <w:szCs w:val="21"/>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44210">
    <w:name w:val="样式 442 10 磅"/>
    <w:next w:val="a21"/>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zh-CN"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44910">
    <w:name w:val="样式 449 10 磅"/>
    <w:next w:val="48010"/>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43510">
    <w:name w:val="样式 435 10 磅"/>
    <w:next w:val="1112"/>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zh-CN"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11">
    <w:name w:val="样式 12 11 磅"/>
    <w:next w:val="TOC3"/>
    <w:rPr>
      <w:rFonts w:ascii="Calibri" w:eastAsia="宋体" w:hAnsi="Calibri" w:cs="Times New Roman"/>
      <w:sz w:val="22"/>
      <w:szCs w:val="22"/>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eastAsia="zh-CN"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381">
    <w:name w:val="正文38"/>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15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1280">
    <w:name w:val="纯文本128"/>
    <w:pPr>
      <w:widowControl w:val="0"/>
      <w:jc w:val="both"/>
    </w:pPr>
    <w:rPr>
      <w:rFonts w:ascii="宋体" w:eastAsia="宋体" w:hAnsi="Times New Roman" w:cs="Courier New"/>
      <w:kern w:val="2"/>
      <w:sz w:val="21"/>
      <w:szCs w:val="21"/>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1040">
    <w:name w:val="正文1040"/>
    <w:pPr>
      <w:widowControl w:val="0"/>
      <w:jc w:val="both"/>
    </w:pPr>
    <w:rPr>
      <w:rFonts w:ascii="Calibri" w:eastAsia="宋体" w:hAnsi="Calibri" w:cs="Times New Roman"/>
      <w:kern w:val="2"/>
      <w:sz w:val="21"/>
      <w:szCs w:val="22"/>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zh-CN"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4100">
    <w:name w:val="正文410"/>
    <w:pPr>
      <w:widowControl w:val="0"/>
      <w:jc w:val="both"/>
    </w:pPr>
    <w:rPr>
      <w:rFonts w:ascii="Calibri" w:eastAsia="宋体" w:hAnsi="Calibri" w:cs="Times New Roman"/>
      <w:kern w:val="2"/>
      <w:sz w:val="21"/>
      <w:szCs w:val="24"/>
      <w:lang w:val="en-US" w:eastAsia="zh-CN"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eastAsia="zh-CN"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236">
    <w:name w:val="正文236"/>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eastAsia="zh-CN"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002">
    <w:name w:val="纯文本100"/>
    <w:pPr>
      <w:widowControl w:val="0"/>
      <w:jc w:val="both"/>
    </w:pPr>
    <w:rPr>
      <w:rFonts w:ascii="宋体" w:eastAsia="宋体" w:hAnsi="Times New Roman" w:cs="Courier New"/>
      <w:kern w:val="2"/>
      <w:sz w:val="21"/>
      <w:szCs w:val="21"/>
      <w:lang w:val="en-US" w:eastAsia="zh-CN" w:bidi="ar-SA"/>
    </w:rPr>
  </w:style>
  <w:style w:type="paragraph" w:customStyle="1" w:styleId="481">
    <w:name w:val="正文481"/>
    <w:pPr>
      <w:widowControl w:val="0"/>
      <w:jc w:val="both"/>
    </w:pPr>
    <w:rPr>
      <w:rFonts w:ascii="Calibri" w:eastAsia="宋体" w:hAnsi="Calibri"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243">
    <w:name w:val="正文243"/>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970">
    <w:name w:val="正文97"/>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zh-CN" w:bidi="ar-SA"/>
    </w:rPr>
  </w:style>
  <w:style w:type="paragraph" w:customStyle="1" w:styleId="171">
    <w:name w:val="正文171"/>
    <w:pPr>
      <w:widowControl w:val="0"/>
      <w:jc w:val="both"/>
    </w:pPr>
    <w:rPr>
      <w:rFonts w:ascii="Calibri" w:eastAsia="宋体" w:hAnsi="Calibri"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862">
    <w:name w:val="正文86"/>
    <w:pPr>
      <w:widowControl w:val="0"/>
      <w:jc w:val="both"/>
    </w:pPr>
    <w:rPr>
      <w:rFonts w:ascii="Calibri" w:eastAsia="宋体" w:hAnsi="Calibri"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hAnsi="Times New Roman"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90">
    <w:name w:val="正文290"/>
    <w:pPr>
      <w:widowControl w:val="0"/>
      <w:jc w:val="both"/>
    </w:pPr>
    <w:rPr>
      <w:rFonts w:ascii="Calibri" w:eastAsia="宋体" w:hAnsi="Calibri" w:cs="Times New Roman"/>
      <w:kern w:val="2"/>
      <w:sz w:val="21"/>
      <w:szCs w:val="24"/>
      <w:lang w:val="en-US" w:eastAsia="zh-CN" w:bidi="ar-SA"/>
    </w:rPr>
  </w:style>
  <w:style w:type="paragraph" w:customStyle="1" w:styleId="295">
    <w:name w:val="正文295"/>
    <w:pPr>
      <w:widowControl w:val="0"/>
      <w:jc w:val="both"/>
    </w:pPr>
    <w:rPr>
      <w:rFonts w:ascii="Calibri" w:eastAsia="宋体" w:hAnsi="Calibri"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eastAsia="zh-CN" w:bidi="ar-SA"/>
    </w:rPr>
  </w:style>
  <w:style w:type="paragraph" w:customStyle="1" w:styleId="190">
    <w:name w:val="正文19"/>
    <w:pPr>
      <w:widowControl w:val="0"/>
      <w:jc w:val="both"/>
    </w:pPr>
    <w:rPr>
      <w:rFonts w:ascii="Calibri" w:eastAsia="宋体" w:hAnsi="Calibri" w:cs="Times New Roman"/>
      <w:kern w:val="2"/>
      <w:sz w:val="21"/>
      <w:szCs w:val="22"/>
      <w:lang w:val="en-US" w:eastAsia="zh-CN" w:bidi="ar-SA"/>
    </w:rPr>
  </w:style>
  <w:style w:type="paragraph" w:customStyle="1" w:styleId="1121">
    <w:name w:val="纯文本112"/>
    <w:pPr>
      <w:widowControl w:val="0"/>
      <w:jc w:val="both"/>
    </w:pPr>
    <w:rPr>
      <w:rFonts w:ascii="宋体" w:eastAsia="宋体" w:hAnsi="Times New Roman" w:cs="Courier New"/>
      <w:kern w:val="2"/>
      <w:sz w:val="21"/>
      <w:szCs w:val="21"/>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2011">
    <w:name w:val="正文201"/>
    <w:pPr>
      <w:widowControl w:val="0"/>
      <w:jc w:val="both"/>
    </w:pPr>
    <w:rPr>
      <w:rFonts w:ascii="Calibri" w:eastAsia="宋体" w:hAnsi="Calibri"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eastAsia="zh-CN"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eastAsia="zh-CN" w:bidi="ar-SA"/>
    </w:rPr>
  </w:style>
  <w:style w:type="paragraph" w:customStyle="1" w:styleId="800">
    <w:name w:val="正文80"/>
    <w:pPr>
      <w:widowControl w:val="0"/>
      <w:jc w:val="both"/>
    </w:pPr>
    <w:rPr>
      <w:rFonts w:ascii="Calibri" w:eastAsia="宋体" w:hAnsi="Calibri" w:cs="Times New Roman"/>
      <w:kern w:val="2"/>
      <w:sz w:val="21"/>
      <w:szCs w:val="24"/>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133">
    <w:name w:val="无间隔1"/>
    <w:pPr>
      <w:spacing w:line="360" w:lineRule="auto"/>
    </w:pPr>
    <w:rPr>
      <w:rFonts w:ascii="Calibri" w:eastAsia="宋体" w:hAnsi="Calibri" w:cs="Times New Roman"/>
      <w:kern w:val="2"/>
      <w:sz w:val="22"/>
      <w:szCs w:val="28"/>
      <w:lang w:val="en-US" w:eastAsia="zh-CN"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eastAsia="zh-CN"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Char1CharCharChar">
    <w:name w:val="Char1 Char Char Char"/>
    <w:basedOn w:val="Normal"/>
    <w:pPr>
      <w:numPr>
        <w:ilvl w:val="0"/>
        <w:numId w:val="15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1110">
    <w:name w:val="正文1111"/>
    <w:pPr>
      <w:widowControl w:val="0"/>
      <w:jc w:val="both"/>
    </w:pPr>
    <w:rPr>
      <w:rFonts w:ascii="Calibri" w:eastAsia="宋体" w:hAnsi="Calibri" w:cs="Times New Roman"/>
      <w:kern w:val="2"/>
      <w:sz w:val="21"/>
      <w:szCs w:val="24"/>
      <w:lang w:val="en-US" w:eastAsia="zh-CN"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4551">
    <w:name w:val="正文455"/>
    <w:pPr>
      <w:widowControl w:val="0"/>
      <w:jc w:val="both"/>
    </w:pPr>
    <w:rPr>
      <w:rFonts w:ascii="Calibri" w:eastAsia="宋体" w:hAnsi="Calibri" w:cs="Times New Roman"/>
      <w:kern w:val="2"/>
      <w:sz w:val="21"/>
      <w:szCs w:val="24"/>
      <w:lang w:val="en-US" w:eastAsia="zh-CN"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3">
    <w:name w:val="正文523"/>
    <w:pPr>
      <w:widowControl w:val="0"/>
      <w:jc w:val="both"/>
    </w:pPr>
    <w:rPr>
      <w:rFonts w:ascii="Calibri" w:eastAsia="宋体" w:hAnsi="Calibri"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591">
    <w:name w:val="正文59"/>
    <w:pPr>
      <w:widowControl w:val="0"/>
      <w:jc w:val="both"/>
    </w:pPr>
    <w:rPr>
      <w:rFonts w:ascii="Calibri" w:eastAsia="宋体" w:hAnsi="Calibri" w:cs="Times New Roman"/>
      <w:kern w:val="2"/>
      <w:sz w:val="21"/>
      <w:szCs w:val="24"/>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zh-CN" w:bidi="ar-SA"/>
    </w:rPr>
  </w:style>
  <w:style w:type="paragraph" w:customStyle="1" w:styleId="621">
    <w:name w:val="正文621"/>
    <w:pPr>
      <w:widowControl w:val="0"/>
      <w:jc w:val="both"/>
    </w:pPr>
    <w:rPr>
      <w:rFonts w:ascii="Calibri" w:eastAsia="宋体" w:hAnsi="Calibri" w:cs="Times New Roman"/>
      <w:kern w:val="2"/>
      <w:sz w:val="21"/>
      <w:szCs w:val="24"/>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5130">
    <w:name w:val="正文513"/>
    <w:pPr>
      <w:widowControl w:val="0"/>
      <w:jc w:val="both"/>
    </w:pPr>
    <w:rPr>
      <w:rFonts w:ascii="Calibri" w:eastAsia="宋体" w:hAnsi="Calibri" w:cs="Times New Roman"/>
      <w:kern w:val="2"/>
      <w:sz w:val="21"/>
      <w:szCs w:val="24"/>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273">
    <w:name w:val="纯文本27"/>
    <w:pPr>
      <w:widowControl w:val="0"/>
      <w:jc w:val="both"/>
    </w:pPr>
    <w:rPr>
      <w:rFonts w:ascii="宋体" w:eastAsia="宋体" w:hAnsi="Times New Roman" w:cs="Courier New"/>
      <w:kern w:val="2"/>
      <w:sz w:val="21"/>
      <w:szCs w:val="21"/>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514">
    <w:name w:val="纯文本51"/>
    <w:pPr>
      <w:widowControl w:val="0"/>
      <w:jc w:val="both"/>
    </w:pPr>
    <w:rPr>
      <w:rFonts w:ascii="宋体" w:eastAsia="宋体" w:hAnsi="Times New Roman" w:cs="Courier New"/>
      <w:kern w:val="2"/>
      <w:sz w:val="21"/>
      <w:szCs w:val="21"/>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zh-CN"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062">
    <w:name w:val="正文106"/>
    <w:pPr>
      <w:widowControl w:val="0"/>
      <w:jc w:val="both"/>
    </w:pPr>
    <w:rPr>
      <w:rFonts w:ascii="Calibri" w:eastAsia="宋体" w:hAnsi="Calibri"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zh-CN" w:bidi="ar-SA"/>
    </w:rPr>
  </w:style>
  <w:style w:type="paragraph" w:customStyle="1" w:styleId="325">
    <w:name w:val="纯文本32"/>
    <w:pPr>
      <w:widowControl w:val="0"/>
      <w:jc w:val="both"/>
    </w:pPr>
    <w:rPr>
      <w:rFonts w:ascii="宋体" w:eastAsia="宋体" w:hAnsi="Times New Roman" w:cs="Courier New"/>
      <w:kern w:val="2"/>
      <w:sz w:val="21"/>
      <w:szCs w:val="21"/>
      <w:lang w:val="en-US" w:eastAsia="zh-CN" w:bidi="ar-SA"/>
    </w:rPr>
  </w:style>
  <w:style w:type="paragraph" w:customStyle="1" w:styleId="1183">
    <w:name w:val="正文118"/>
    <w:pPr>
      <w:widowControl w:val="0"/>
      <w:jc w:val="both"/>
    </w:pPr>
    <w:rPr>
      <w:rFonts w:ascii="Calibri" w:eastAsia="宋体" w:hAnsi="Calibri" w:cs="Times New Roman"/>
      <w:kern w:val="2"/>
      <w:sz w:val="21"/>
      <w:szCs w:val="24"/>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eastAsia="zh-CN" w:bidi="ar-SA"/>
    </w:rPr>
  </w:style>
  <w:style w:type="paragraph" w:customStyle="1" w:styleId="193">
    <w:name w:val="正文193"/>
    <w:pPr>
      <w:widowControl w:val="0"/>
      <w:jc w:val="both"/>
    </w:pPr>
    <w:rPr>
      <w:rFonts w:ascii="Calibri" w:eastAsia="宋体" w:hAnsi="Calibri" w:cs="Times New Roman"/>
      <w:kern w:val="2"/>
      <w:sz w:val="21"/>
      <w:szCs w:val="24"/>
      <w:lang w:val="en-US" w:eastAsia="zh-CN" w:bidi="ar-SA"/>
    </w:rPr>
  </w:style>
  <w:style w:type="paragraph" w:customStyle="1" w:styleId="a25">
    <w:name w:val="公式样式 变量"/>
    <w:rPr>
      <w:rFonts w:ascii="Calibri" w:eastAsia="宋体" w:hAnsi="Calibri" w:cs="Times New Roman"/>
      <w:i/>
      <w:iCs/>
      <w:kern w:val="2"/>
      <w:sz w:val="20"/>
      <w:szCs w:val="28"/>
      <w:lang w:val="en-US" w:eastAsia="zh-CN"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6030">
    <w:name w:val="正文603"/>
    <w:pPr>
      <w:widowControl w:val="0"/>
      <w:jc w:val="both"/>
    </w:pPr>
    <w:rPr>
      <w:rFonts w:ascii="Calibri" w:eastAsia="宋体" w:hAnsi="Calibri"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301">
    <w:name w:val="目录 3_0"/>
    <w:next w:val="3"/>
    <w:pPr>
      <w:widowControl w:val="0"/>
      <w:numPr>
        <w:ilvl w:val="0"/>
        <w:numId w:val="160"/>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zh-CN"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44710">
    <w:name w:val="样式 447 10 磅"/>
    <w:next w:val="604"/>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960">
    <w:name w:val="纯文本96"/>
    <w:pPr>
      <w:widowControl w:val="0"/>
      <w:jc w:val="both"/>
    </w:pPr>
    <w:rPr>
      <w:rFonts w:ascii="宋体" w:eastAsia="宋体" w:hAnsi="Times New Roman" w:cs="Courier New"/>
      <w:kern w:val="2"/>
      <w:sz w:val="21"/>
      <w:szCs w:val="21"/>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241">
    <w:name w:val="正文241"/>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zh-CN"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eastAsia="zh-CN" w:bidi="ar-SA"/>
    </w:rPr>
  </w:style>
  <w:style w:type="paragraph" w:customStyle="1" w:styleId="1171">
    <w:name w:val="纯文本117"/>
    <w:pPr>
      <w:widowControl w:val="0"/>
      <w:jc w:val="both"/>
    </w:pPr>
    <w:rPr>
      <w:rFonts w:ascii="宋体" w:eastAsia="宋体" w:hAnsi="Times New Roman" w:cs="Courier New"/>
      <w:kern w:val="2"/>
      <w:sz w:val="21"/>
      <w:szCs w:val="21"/>
      <w:lang w:val="en-US" w:eastAsia="zh-CN"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672">
    <w:name w:val="正文67"/>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5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1107">
    <w:name w:val="正文1107"/>
    <w:pPr>
      <w:widowControl w:val="0"/>
      <w:jc w:val="both"/>
    </w:pPr>
    <w:rPr>
      <w:rFonts w:ascii="Calibri" w:eastAsia="宋体" w:hAnsi="Calibri" w:cs="Times New Roman"/>
      <w:kern w:val="2"/>
      <w:sz w:val="21"/>
      <w:szCs w:val="24"/>
      <w:lang w:val="en-US" w:eastAsia="zh-CN" w:bidi="ar-SA"/>
    </w:rPr>
  </w:style>
  <w:style w:type="paragraph" w:customStyle="1" w:styleId="692">
    <w:name w:val="正文692"/>
    <w:pPr>
      <w:widowControl w:val="0"/>
      <w:jc w:val="both"/>
    </w:pPr>
    <w:rPr>
      <w:rFonts w:ascii="Calibri" w:eastAsia="宋体" w:hAnsi="Calibri" w:cs="Times New Roman"/>
      <w:kern w:val="2"/>
      <w:sz w:val="21"/>
      <w:szCs w:val="24"/>
      <w:lang w:val="en-US" w:eastAsia="zh-CN"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477">
    <w:name w:val="正文477"/>
    <w:pPr>
      <w:widowControl w:val="0"/>
      <w:jc w:val="both"/>
    </w:pPr>
    <w:rPr>
      <w:rFonts w:ascii="Calibri" w:eastAsia="宋体" w:hAnsi="Calibri"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eastAsia="zh-CN"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114">
    <w:name w:val="纯文本111"/>
    <w:pPr>
      <w:widowControl w:val="0"/>
      <w:jc w:val="both"/>
    </w:pPr>
    <w:rPr>
      <w:rFonts w:ascii="宋体" w:eastAsia="宋体" w:hAnsi="Times New Roman" w:cs="Courier New"/>
      <w:kern w:val="2"/>
      <w:sz w:val="21"/>
      <w:szCs w:val="21"/>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233">
    <w:name w:val="正文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91310">
    <w:name w:val="样式 1913 10 磅"/>
    <w:pPr>
      <w:widowControl w:val="0"/>
      <w:numPr>
        <w:ilvl w:val="0"/>
        <w:numId w:val="15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4400">
    <w:name w:val="正文440"/>
    <w:pPr>
      <w:widowControl w:val="0"/>
      <w:jc w:val="both"/>
    </w:pPr>
    <w:rPr>
      <w:rFonts w:ascii="Calibri" w:eastAsia="宋体" w:hAnsi="Calibri"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505">
    <w:name w:val="纯文本50"/>
    <w:pPr>
      <w:widowControl w:val="0"/>
      <w:jc w:val="both"/>
    </w:pPr>
    <w:rPr>
      <w:rFonts w:ascii="宋体" w:eastAsia="宋体" w:hAnsi="Times New Roman" w:cs="Courier New"/>
      <w:kern w:val="2"/>
      <w:sz w:val="21"/>
      <w:szCs w:val="21"/>
      <w:lang w:val="en-US" w:eastAsia="zh-CN" w:bidi="ar-SA"/>
    </w:rPr>
  </w:style>
  <w:style w:type="paragraph" w:customStyle="1" w:styleId="192">
    <w:name w:val="纯文本19"/>
    <w:pPr>
      <w:widowControl w:val="0"/>
      <w:jc w:val="both"/>
    </w:pPr>
    <w:rPr>
      <w:rFonts w:ascii="宋体" w:eastAsia="宋体" w:hAnsi="Times New Roman" w:cs="Courier New"/>
      <w:kern w:val="2"/>
      <w:sz w:val="21"/>
      <w:szCs w:val="21"/>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416">
    <w:name w:val="正文4"/>
    <w:pPr>
      <w:widowControl w:val="0"/>
      <w:jc w:val="both"/>
    </w:pPr>
    <w:rPr>
      <w:rFonts w:ascii="Calibri" w:eastAsia="宋体" w:hAnsi="Calibri" w:cs="Times New Roman"/>
      <w:kern w:val="2"/>
      <w:sz w:val="21"/>
      <w:szCs w:val="22"/>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zh-CN"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zh-CN"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zh-CN"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eastAsia="zh-CN"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43">
    <w:name w:val="正文74"/>
    <w:pPr>
      <w:widowControl w:val="0"/>
      <w:jc w:val="both"/>
    </w:pPr>
    <w:rPr>
      <w:rFonts w:ascii="Calibri" w:eastAsia="宋体" w:hAnsi="Calibri" w:cs="Times New Roman"/>
      <w:kern w:val="2"/>
      <w:sz w:val="21"/>
      <w:szCs w:val="24"/>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
    <w:name w:val="正文141"/>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zh-CN"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zh-CN" w:bidi="ar-SA"/>
    </w:rPr>
  </w:style>
  <w:style w:type="paragraph" w:customStyle="1" w:styleId="1140">
    <w:name w:val="纯文本114"/>
    <w:pPr>
      <w:widowControl w:val="0"/>
      <w:jc w:val="both"/>
    </w:pPr>
    <w:rPr>
      <w:rFonts w:ascii="宋体" w:eastAsia="宋体" w:hAnsi="Times New Roman" w:cs="Courier New"/>
      <w:kern w:val="2"/>
      <w:sz w:val="21"/>
      <w:szCs w:val="21"/>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zh-CN"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zh-CN" w:bidi="ar-SA"/>
    </w:rPr>
  </w:style>
  <w:style w:type="paragraph" w:customStyle="1" w:styleId="162">
    <w:name w:val="表格1"/>
    <w:pPr>
      <w:widowControl w:val="0"/>
      <w:jc w:val="center"/>
    </w:pPr>
    <w:rPr>
      <w:rFonts w:ascii="Calibri" w:eastAsia="宋体" w:hAnsi="Calibri" w:cs="Times New Roman"/>
      <w:kern w:val="2"/>
      <w:sz w:val="24"/>
      <w:szCs w:val="28"/>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080">
    <w:name w:val="纯文本108"/>
    <w:pPr>
      <w:widowControl w:val="0"/>
      <w:jc w:val="both"/>
    </w:pPr>
    <w:rPr>
      <w:rFonts w:ascii="宋体" w:eastAsia="宋体" w:hAnsi="Times New Roman" w:cs="Courier New"/>
      <w:kern w:val="2"/>
      <w:sz w:val="21"/>
      <w:szCs w:val="21"/>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174">
    <w:name w:val="正文17"/>
    <w:pPr>
      <w:widowControl w:val="0"/>
      <w:jc w:val="both"/>
    </w:pPr>
    <w:rPr>
      <w:rFonts w:ascii="Calibri" w:eastAsia="宋体" w:hAnsi="Calibri" w:cs="Times New Roman"/>
      <w:kern w:val="2"/>
      <w:sz w:val="21"/>
      <w:szCs w:val="22"/>
      <w:lang w:val="en-US" w:eastAsia="zh-CN" w:bidi="ar-SA"/>
    </w:rPr>
  </w:style>
  <w:style w:type="paragraph" w:customStyle="1" w:styleId="720">
    <w:name w:val="纯文本72"/>
    <w:pPr>
      <w:widowControl w:val="0"/>
      <w:jc w:val="both"/>
    </w:pPr>
    <w:rPr>
      <w:rFonts w:ascii="宋体" w:eastAsia="宋体" w:hAnsi="Times New Roman" w:cs="Courier New"/>
      <w:kern w:val="2"/>
      <w:sz w:val="21"/>
      <w:szCs w:val="21"/>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657">
    <w:name w:val="正文657"/>
    <w:pPr>
      <w:widowControl w:val="0"/>
      <w:jc w:val="both"/>
    </w:pPr>
    <w:rPr>
      <w:rFonts w:ascii="Calibri" w:eastAsia="宋体" w:hAnsi="Calibri" w:cs="Times New Roman"/>
      <w:kern w:val="2"/>
      <w:sz w:val="21"/>
      <w:szCs w:val="24"/>
      <w:lang w:val="en-US" w:eastAsia="zh-CN"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hAnsi="Times New Roman" w:cs="Courier New"/>
      <w:kern w:val="2"/>
      <w:sz w:val="21"/>
      <w:szCs w:val="21"/>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zh-CN" w:bidi="ar-SA"/>
    </w:rPr>
  </w:style>
  <w:style w:type="paragraph" w:customStyle="1" w:styleId="220">
    <w:name w:val="纯文本22"/>
    <w:pPr>
      <w:widowControl w:val="0"/>
      <w:jc w:val="both"/>
    </w:pPr>
    <w:rPr>
      <w:rFonts w:ascii="宋体" w:eastAsia="宋体" w:hAnsi="Times New Roman" w:cs="Courier New"/>
      <w:kern w:val="2"/>
      <w:sz w:val="21"/>
      <w:szCs w:val="21"/>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164">
    <w:name w:val="页码1"/>
    <w:rPr>
      <w:rFonts w:ascii="Calibri" w:eastAsia="微软雅黑" w:hAnsi="Calibri" w:cs="Times New Roman"/>
      <w:kern w:val="2"/>
      <w:sz w:val="20"/>
      <w:szCs w:val="28"/>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zh-CN"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153">
    <w:name w:val="纯文本115"/>
    <w:pPr>
      <w:widowControl w:val="0"/>
      <w:jc w:val="both"/>
    </w:pPr>
    <w:rPr>
      <w:rFonts w:ascii="宋体" w:eastAsia="宋体" w:hAnsi="Times New Roman" w:cs="Courier New"/>
      <w:kern w:val="2"/>
      <w:sz w:val="21"/>
      <w:szCs w:val="21"/>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
    <w:name w:val="纯文本38"/>
    <w:pPr>
      <w:widowControl w:val="0"/>
      <w:jc w:val="both"/>
    </w:pPr>
    <w:rPr>
      <w:rFonts w:ascii="宋体" w:eastAsia="宋体" w:hAnsi="Times New Roman" w:cs="Courier New"/>
      <w:kern w:val="2"/>
      <w:sz w:val="21"/>
      <w:szCs w:val="21"/>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zh-CN"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371">
    <w:name w:val="正文371"/>
    <w:pPr>
      <w:widowControl w:val="0"/>
      <w:jc w:val="both"/>
    </w:pPr>
    <w:rPr>
      <w:rFonts w:ascii="Calibri" w:eastAsia="宋体" w:hAnsi="Calibri" w:cs="Times New Roman"/>
      <w:kern w:val="2"/>
      <w:sz w:val="21"/>
      <w:szCs w:val="24"/>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965">
    <w:name w:val="正文96"/>
    <w:pPr>
      <w:widowControl w:val="0"/>
      <w:jc w:val="both"/>
    </w:pPr>
    <w:rPr>
      <w:rFonts w:ascii="Calibri" w:eastAsia="宋体" w:hAnsi="Calibri" w:cs="Times New Roman"/>
      <w:kern w:val="2"/>
      <w:sz w:val="21"/>
      <w:szCs w:val="24"/>
      <w:lang w:val="en-US" w:eastAsia="zh-CN" w:bidi="ar-SA"/>
    </w:rPr>
  </w:style>
  <w:style w:type="paragraph" w:customStyle="1" w:styleId="673">
    <w:name w:val="纯文本67"/>
    <w:pPr>
      <w:widowControl w:val="0"/>
      <w:jc w:val="both"/>
    </w:pPr>
    <w:rPr>
      <w:rFonts w:ascii="宋体" w:eastAsia="宋体" w:hAnsi="Times New Roman" w:cs="Courier New"/>
      <w:kern w:val="2"/>
      <w:sz w:val="21"/>
      <w:szCs w:val="21"/>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zh-CN"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425">
    <w:name w:val="正文425"/>
    <w:pPr>
      <w:widowControl w:val="0"/>
      <w:jc w:val="both"/>
    </w:pPr>
    <w:rPr>
      <w:rFonts w:ascii="Calibri" w:eastAsia="宋体" w:hAnsi="Calibri" w:cs="Times New Roman"/>
      <w:kern w:val="2"/>
      <w:sz w:val="21"/>
      <w:szCs w:val="24"/>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eastAsia="zh-CN"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990">
    <w:name w:val="正文990"/>
    <w:pPr>
      <w:widowControl w:val="0"/>
      <w:jc w:val="both"/>
    </w:pPr>
    <w:rPr>
      <w:rFonts w:ascii="Calibri" w:eastAsia="宋体" w:hAnsi="Calibri" w:cs="Times New Roman"/>
      <w:kern w:val="2"/>
      <w:sz w:val="21"/>
      <w:szCs w:val="22"/>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zh-CN"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1530">
    <w:name w:val="正文1153"/>
    <w:pPr>
      <w:widowControl w:val="0"/>
      <w:jc w:val="both"/>
    </w:pPr>
    <w:rPr>
      <w:rFonts w:ascii="Calibri" w:eastAsia="宋体" w:hAnsi="Calibri"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1090">
    <w:name w:val="纯文本109"/>
    <w:pPr>
      <w:widowControl w:val="0"/>
      <w:jc w:val="both"/>
    </w:pPr>
    <w:rPr>
      <w:rFonts w:ascii="宋体" w:eastAsia="宋体" w:hAnsi="Times New Roman" w:cs="Courier New"/>
      <w:kern w:val="2"/>
      <w:sz w:val="21"/>
      <w:szCs w:val="21"/>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zh-CN" w:bidi="ar-SA"/>
    </w:rPr>
  </w:style>
  <w:style w:type="paragraph" w:customStyle="1" w:styleId="616">
    <w:name w:val="样式 标题 6 + (西文) 宋体"/>
    <w:pPr>
      <w:keepNext/>
      <w:keepLines/>
      <w:widowControl w:val="0"/>
      <w:numPr>
        <w:ilvl w:val="5"/>
        <w:numId w:val="16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zh-CN" w:bidi="ar-SA"/>
    </w:rPr>
  </w:style>
  <w:style w:type="paragraph" w:customStyle="1" w:styleId="221">
    <w:name w:val="正文文本2"/>
    <w:pPr>
      <w:widowControl w:val="0"/>
      <w:jc w:val="both"/>
    </w:pPr>
    <w:rPr>
      <w:rFonts w:ascii="Calibri" w:eastAsia="宋体" w:hAnsi="Calibri" w:cs="Times New Roman"/>
      <w:kern w:val="2"/>
      <w:sz w:val="28"/>
      <w:szCs w:val="22"/>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zh-CN"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396">
    <w:name w:val="正文396"/>
    <w:pPr>
      <w:widowControl w:val="0"/>
      <w:jc w:val="both"/>
    </w:pPr>
    <w:rPr>
      <w:rFonts w:ascii="Calibri" w:eastAsia="宋体" w:hAnsi="Calibri"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zh-CN" w:bidi="ar-SA"/>
    </w:rPr>
  </w:style>
  <w:style w:type="paragraph" w:customStyle="1" w:styleId="4910">
    <w:name w:val="正文491"/>
    <w:pPr>
      <w:widowControl w:val="0"/>
      <w:jc w:val="both"/>
    </w:pPr>
    <w:rPr>
      <w:rFonts w:ascii="Calibri" w:eastAsia="宋体" w:hAnsi="Calibri" w:cs="Times New Roman"/>
      <w:kern w:val="2"/>
      <w:sz w:val="21"/>
      <w:szCs w:val="24"/>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zh-CN"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630">
    <w:name w:val="正文563"/>
    <w:pPr>
      <w:widowControl w:val="0"/>
      <w:jc w:val="both"/>
    </w:pPr>
    <w:rPr>
      <w:rFonts w:ascii="Calibri" w:eastAsia="宋体" w:hAnsi="Calibri" w:cs="Times New Roman"/>
      <w:kern w:val="2"/>
      <w:sz w:val="21"/>
      <w:szCs w:val="24"/>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zh-CN" w:bidi="ar-SA"/>
    </w:rPr>
  </w:style>
  <w:style w:type="paragraph" w:customStyle="1" w:styleId="6600">
    <w:name w:val="正文660"/>
    <w:pPr>
      <w:widowControl w:val="0"/>
      <w:jc w:val="both"/>
    </w:pPr>
    <w:rPr>
      <w:rFonts w:ascii="Calibri" w:eastAsia="宋体" w:hAnsi="Calibri" w:cs="Times New Roman"/>
      <w:kern w:val="2"/>
      <w:sz w:val="21"/>
      <w:szCs w:val="24"/>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0300">
    <w:name w:val="正文1030"/>
    <w:rPr>
      <w:rFonts w:ascii="Calibri" w:eastAsia="宋体" w:hAnsi="Calibri" w:cs="Times New Roman"/>
      <w:kern w:val="2"/>
      <w:sz w:val="21"/>
      <w:szCs w:val="21"/>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994">
    <w:name w:val="正文994"/>
    <w:pPr>
      <w:widowControl w:val="0"/>
      <w:jc w:val="both"/>
    </w:pPr>
    <w:rPr>
      <w:rFonts w:ascii="Calibri" w:eastAsia="宋体" w:hAnsi="Calibri" w:cs="Times New Roman"/>
      <w:kern w:val="2"/>
      <w:sz w:val="21"/>
      <w:szCs w:val="24"/>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25">
    <w:name w:val="正文725"/>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zh-CN"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1460">
    <w:name w:val="正文146"/>
    <w:pPr>
      <w:widowControl w:val="0"/>
      <w:jc w:val="both"/>
    </w:pPr>
    <w:rPr>
      <w:rFonts w:ascii="Calibri" w:eastAsia="宋体" w:hAnsi="Calibri" w:cs="Times New Roman"/>
      <w:kern w:val="2"/>
      <w:sz w:val="21"/>
      <w:szCs w:val="24"/>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3340">
    <w:name w:val="正文334"/>
    <w:pPr>
      <w:widowControl w:val="0"/>
      <w:jc w:val="both"/>
    </w:pPr>
    <w:rPr>
      <w:rFonts w:ascii="Calibri" w:eastAsia="宋体" w:hAnsi="Calibri"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874">
    <w:name w:val="正文87"/>
    <w:pPr>
      <w:widowControl w:val="0"/>
      <w:jc w:val="both"/>
    </w:pPr>
    <w:rPr>
      <w:rFonts w:ascii="Calibri" w:eastAsia="宋体" w:hAnsi="Calibri"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zh-CN"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Calibri" w:eastAsia="宋体" w:hAnsi="Calibri" w:cs="Times New Roman"/>
      <w:kern w:val="2"/>
      <w:sz w:val="21"/>
      <w:szCs w:val="21"/>
      <w:lang w:val="en-US" w:eastAsia="zh-CN"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zh-CN" w:bidi="ar-SA"/>
    </w:rPr>
  </w:style>
  <w:style w:type="paragraph" w:customStyle="1" w:styleId="294">
    <w:name w:val="纯文本29"/>
    <w:pPr>
      <w:widowControl w:val="0"/>
      <w:jc w:val="both"/>
    </w:pPr>
    <w:rPr>
      <w:rFonts w:ascii="宋体" w:eastAsia="宋体" w:hAnsi="Times New Roman" w:cs="Courier New"/>
      <w:kern w:val="2"/>
      <w:sz w:val="21"/>
      <w:szCs w:val="21"/>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5410">
    <w:name w:val="正文541"/>
    <w:pPr>
      <w:widowControl w:val="0"/>
      <w:jc w:val="both"/>
    </w:pPr>
    <w:rPr>
      <w:rFonts w:ascii="Calibri" w:eastAsia="宋体" w:hAnsi="Calibri"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4">
    <w:name w:val="纯文本10"/>
    <w:pPr>
      <w:widowControl w:val="0"/>
      <w:jc w:val="both"/>
    </w:pPr>
    <w:rPr>
      <w:rFonts w:ascii="宋体" w:eastAsia="宋体" w:hAnsi="Times New Roman" w:cs="Courier New"/>
      <w:kern w:val="2"/>
      <w:sz w:val="21"/>
      <w:szCs w:val="21"/>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zh-CN" w:bidi="ar-SA"/>
    </w:rPr>
  </w:style>
  <w:style w:type="paragraph" w:customStyle="1" w:styleId="263">
    <w:name w:val="正文263"/>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1210">
    <w:name w:val="正文1121"/>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47010">
    <w:name w:val="样式 470 10 磅"/>
    <w:pPr>
      <w:widowControl w:val="0"/>
      <w:jc w:val="both"/>
    </w:pPr>
    <w:rPr>
      <w:rFonts w:ascii="等线" w:eastAsia="等线" w:hAnsi="Times New Roman" w:cs="Arial"/>
      <w:kern w:val="2"/>
      <w:sz w:val="21"/>
      <w:szCs w:val="22"/>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eastAsia="zh-CN" w:bidi="ar-SA"/>
    </w:rPr>
  </w:style>
  <w:style w:type="paragraph" w:customStyle="1" w:styleId="1520">
    <w:name w:val="正文152"/>
    <w:pPr>
      <w:widowControl w:val="0"/>
      <w:jc w:val="both"/>
    </w:pPr>
    <w:rPr>
      <w:rFonts w:ascii="Calibri" w:eastAsia="宋体" w:hAnsi="Calibri" w:cs="Times New Roman"/>
      <w:kern w:val="2"/>
      <w:sz w:val="21"/>
      <w:szCs w:val="24"/>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eastAsia="zh-CN"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zh-CN"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123">
    <w:name w:val="正文1123"/>
    <w:pPr>
      <w:widowControl w:val="0"/>
      <w:jc w:val="both"/>
    </w:pPr>
    <w:rPr>
      <w:rFonts w:ascii="Calibri" w:eastAsia="宋体" w:hAnsi="Calibri" w:cs="Times New Roman"/>
      <w:kern w:val="2"/>
      <w:sz w:val="21"/>
      <w:szCs w:val="24"/>
      <w:lang w:val="en-US" w:eastAsia="zh-CN" w:bidi="ar-SA"/>
    </w:rPr>
  </w:style>
  <w:style w:type="paragraph" w:customStyle="1" w:styleId="186210">
    <w:name w:val="样式 1862 10 磅"/>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1370">
    <w:name w:val="正文137"/>
    <w:pPr>
      <w:widowControl w:val="0"/>
      <w:jc w:val="both"/>
    </w:pPr>
    <w:rPr>
      <w:rFonts w:ascii="Calibri" w:eastAsia="宋体" w:hAnsi="Calibri" w:cs="Times New Roman"/>
      <w:kern w:val="2"/>
      <w:sz w:val="21"/>
      <w:szCs w:val="24"/>
      <w:lang w:val="en-US" w:eastAsia="zh-CN" w:bidi="ar-SA"/>
    </w:rPr>
  </w:style>
  <w:style w:type="paragraph" w:customStyle="1" w:styleId="1420">
    <w:name w:val="正文142"/>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10620">
    <w:name w:val="正文1062"/>
    <w:pPr>
      <w:widowControl w:val="0"/>
      <w:jc w:val="both"/>
    </w:pPr>
    <w:rPr>
      <w:rFonts w:ascii="Calibri" w:eastAsia="宋体" w:hAnsi="Calibri" w:cs="Times New Roman"/>
      <w:kern w:val="2"/>
      <w:sz w:val="21"/>
      <w:szCs w:val="22"/>
      <w:lang w:val="en-US" w:eastAsia="zh-CN" w:bidi="ar-SA"/>
    </w:rPr>
  </w:style>
  <w:style w:type="paragraph" w:customStyle="1" w:styleId="779">
    <w:name w:val="纯文本77"/>
    <w:pPr>
      <w:widowControl w:val="0"/>
      <w:jc w:val="both"/>
    </w:pPr>
    <w:rPr>
      <w:rFonts w:ascii="宋体" w:eastAsia="宋体" w:hAnsi="Times New Roman" w:cs="Courier New"/>
      <w:kern w:val="2"/>
      <w:sz w:val="21"/>
      <w:szCs w:val="21"/>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3040">
    <w:name w:val="正文304"/>
    <w:pPr>
      <w:widowControl w:val="0"/>
      <w:jc w:val="both"/>
    </w:pPr>
    <w:rPr>
      <w:rFonts w:ascii="Calibri" w:eastAsia="宋体" w:hAnsi="Calibri" w:cs="Times New Roman"/>
      <w:kern w:val="2"/>
      <w:sz w:val="21"/>
      <w:szCs w:val="24"/>
      <w:lang w:val="en-US" w:eastAsia="zh-CN" w:bidi="ar-SA"/>
    </w:rPr>
  </w:style>
  <w:style w:type="paragraph" w:customStyle="1" w:styleId="923">
    <w:name w:val="纯文本9"/>
    <w:pPr>
      <w:widowControl w:val="0"/>
      <w:jc w:val="both"/>
    </w:pPr>
    <w:rPr>
      <w:rFonts w:ascii="宋体" w:eastAsia="宋体" w:hAnsi="Times New Roman" w:cs="Courier New"/>
      <w:kern w:val="2"/>
      <w:sz w:val="21"/>
      <w:szCs w:val="21"/>
      <w:lang w:val="en-US" w:eastAsia="zh-CN"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zh-CN" w:bidi="ar-SA"/>
    </w:rPr>
  </w:style>
  <w:style w:type="paragraph" w:customStyle="1" w:styleId="4311">
    <w:name w:val="正文431"/>
    <w:pPr>
      <w:widowControl w:val="0"/>
      <w:jc w:val="both"/>
    </w:pPr>
    <w:rPr>
      <w:rFonts w:ascii="Calibri" w:eastAsia="宋体" w:hAnsi="Calibri" w:cs="Times New Roman"/>
      <w:kern w:val="2"/>
      <w:sz w:val="21"/>
      <w:szCs w:val="24"/>
      <w:lang w:val="en-US" w:eastAsia="zh-CN" w:bidi="ar-SA"/>
    </w:rPr>
  </w:style>
  <w:style w:type="paragraph" w:customStyle="1" w:styleId="9600">
    <w:name w:val="正文960"/>
    <w:pPr>
      <w:widowControl w:val="0"/>
      <w:jc w:val="both"/>
    </w:pPr>
    <w:rPr>
      <w:rFonts w:ascii="Calibri" w:eastAsia="宋体" w:hAnsi="Calibri" w:cs="Times New Roman"/>
      <w:kern w:val="2"/>
      <w:sz w:val="21"/>
      <w:szCs w:val="22"/>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zh-CN"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zh-CN" w:bidi="ar-SA"/>
    </w:rPr>
  </w:style>
  <w:style w:type="paragraph" w:customStyle="1" w:styleId="10460">
    <w:name w:val="正文1046"/>
    <w:pPr>
      <w:widowControl w:val="0"/>
      <w:jc w:val="both"/>
    </w:pPr>
    <w:rPr>
      <w:rFonts w:ascii="Calibri" w:eastAsia="宋体" w:hAnsi="Calibri" w:cs="Times New Roman"/>
      <w:kern w:val="2"/>
      <w:sz w:val="21"/>
      <w:szCs w:val="24"/>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495">
    <w:name w:val="正文495"/>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9120">
    <w:name w:val="正文912"/>
    <w:pPr>
      <w:widowControl w:val="0"/>
      <w:jc w:val="both"/>
    </w:pPr>
    <w:rPr>
      <w:rFonts w:ascii="Calibri" w:eastAsia="宋体" w:hAnsi="Calibri"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852">
    <w:name w:val="纯文本85"/>
    <w:pPr>
      <w:widowControl w:val="0"/>
      <w:jc w:val="both"/>
    </w:pPr>
    <w:rPr>
      <w:rFonts w:ascii="宋体" w:eastAsia="宋体" w:hAnsi="Times New Roman" w:cs="Courier New"/>
      <w:kern w:val="2"/>
      <w:sz w:val="21"/>
      <w:szCs w:val="21"/>
      <w:lang w:val="en-US" w:eastAsia="zh-CN" w:bidi="ar-SA"/>
    </w:rPr>
  </w:style>
  <w:style w:type="paragraph" w:customStyle="1" w:styleId="264">
    <w:name w:val="正文26"/>
    <w:pPr>
      <w:widowControl w:val="0"/>
      <w:jc w:val="both"/>
    </w:pPr>
    <w:rPr>
      <w:rFonts w:ascii="Calibri" w:eastAsia="宋体" w:hAnsi="Calibri" w:cs="Times New Roman"/>
      <w:kern w:val="2"/>
      <w:sz w:val="21"/>
      <w:szCs w:val="22"/>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zh-CN" w:bidi="ar-SA"/>
    </w:rPr>
  </w:style>
  <w:style w:type="paragraph" w:customStyle="1" w:styleId="5350">
    <w:name w:val="正文535"/>
    <w:pPr>
      <w:widowControl w:val="0"/>
      <w:jc w:val="both"/>
    </w:pPr>
    <w:rPr>
      <w:rFonts w:ascii="Calibri" w:eastAsia="宋体" w:hAnsi="Calibri"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zh-CN" w:bidi="ar-SA"/>
    </w:rPr>
  </w:style>
  <w:style w:type="paragraph" w:customStyle="1" w:styleId="a36">
    <w:name w:val="公式样式 函数"/>
    <w:rPr>
      <w:rFonts w:ascii="Times New Roman" w:eastAsia="宋体" w:hAnsi="Times New Roman" w:cs="Times New Roman"/>
      <w:kern w:val="2"/>
      <w:sz w:val="20"/>
      <w:szCs w:val="28"/>
      <w:lang w:val="en-US" w:eastAsia="zh-CN" w:bidi="ar-SA"/>
    </w:rPr>
  </w:style>
  <w:style w:type="paragraph" w:customStyle="1" w:styleId="2640">
    <w:name w:val="正文264"/>
    <w:pPr>
      <w:widowControl w:val="0"/>
      <w:jc w:val="both"/>
    </w:pPr>
    <w:rPr>
      <w:rFonts w:ascii="Calibri" w:eastAsia="宋体" w:hAnsi="Calibri"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zh-CN" w:bidi="ar-SA"/>
    </w:rPr>
  </w:style>
  <w:style w:type="paragraph" w:customStyle="1" w:styleId="368">
    <w:name w:val="正文36"/>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zh-CN" w:bidi="ar-SA"/>
    </w:rPr>
  </w:style>
  <w:style w:type="paragraph" w:customStyle="1" w:styleId="662">
    <w:name w:val="正文662"/>
    <w:pPr>
      <w:widowControl w:val="0"/>
      <w:jc w:val="both"/>
    </w:pPr>
    <w:rPr>
      <w:rFonts w:ascii="Calibri" w:eastAsia="宋体" w:hAnsi="Calibri" w:cs="Times New Roman"/>
      <w:kern w:val="2"/>
      <w:sz w:val="21"/>
      <w:szCs w:val="24"/>
      <w:lang w:val="en-US" w:eastAsia="zh-CN" w:bidi="ar-SA"/>
    </w:rPr>
  </w:style>
  <w:style w:type="paragraph" w:customStyle="1" w:styleId="3950">
    <w:name w:val="正文395"/>
    <w:pPr>
      <w:widowControl w:val="0"/>
      <w:jc w:val="both"/>
    </w:pPr>
    <w:rPr>
      <w:rFonts w:ascii="Calibri" w:eastAsia="宋体" w:hAnsi="Calibri" w:cs="Times New Roman"/>
      <w:kern w:val="2"/>
      <w:sz w:val="21"/>
      <w:szCs w:val="24"/>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eastAsia="zh-CN"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zh-CN" w:bidi="ar-SA"/>
    </w:rPr>
  </w:style>
  <w:style w:type="paragraph" w:customStyle="1" w:styleId="50810">
    <w:name w:val="样式 508 10 磅"/>
    <w:pPr>
      <w:widowControl w:val="0"/>
      <w:jc w:val="both"/>
    </w:pPr>
    <w:rPr>
      <w:rFonts w:ascii="等线" w:eastAsia="等线" w:hAnsi="Times New Roman" w:cs="Arial"/>
      <w:kern w:val="2"/>
      <w:sz w:val="21"/>
      <w:szCs w:val="22"/>
      <w:lang w:val="en-US" w:eastAsia="zh-CN" w:bidi="ar-SA"/>
    </w:rPr>
  </w:style>
  <w:style w:type="paragraph" w:customStyle="1" w:styleId="45010">
    <w:name w:val="样式 450 10 磅"/>
    <w:next w:val="158"/>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2270">
    <w:name w:val="正文227"/>
    <w:pPr>
      <w:widowControl w:val="0"/>
      <w:jc w:val="both"/>
    </w:pPr>
    <w:rPr>
      <w:rFonts w:ascii="Calibri" w:eastAsia="宋体" w:hAnsi="Calibri" w:cs="Times New Roman"/>
      <w:kern w:val="2"/>
      <w:sz w:val="21"/>
      <w:szCs w:val="24"/>
      <w:lang w:val="en-US" w:eastAsia="zh-CN" w:bidi="ar-SA"/>
    </w:rPr>
  </w:style>
  <w:style w:type="paragraph" w:customStyle="1" w:styleId="11710">
    <w:name w:val="正文1171"/>
    <w:pPr>
      <w:widowControl w:val="0"/>
      <w:jc w:val="both"/>
    </w:pPr>
    <w:rPr>
      <w:rFonts w:ascii="Calibri" w:eastAsia="宋体" w:hAnsi="Calibri" w:cs="Times New Roman"/>
      <w:kern w:val="2"/>
      <w:sz w:val="21"/>
      <w:szCs w:val="24"/>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580">
    <w:name w:val="纯文本58"/>
    <w:pPr>
      <w:widowControl w:val="0"/>
      <w:jc w:val="both"/>
    </w:pPr>
    <w:rPr>
      <w:rFonts w:ascii="宋体" w:eastAsia="宋体" w:hAnsi="Times New Roman" w:cs="Courier New"/>
      <w:kern w:val="2"/>
      <w:sz w:val="21"/>
      <w:szCs w:val="21"/>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15">
    <w:name w:val="正文81"/>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8620">
    <w:name w:val="正文862"/>
    <w:pPr>
      <w:widowControl w:val="0"/>
      <w:jc w:val="both"/>
    </w:pPr>
    <w:rPr>
      <w:rFonts w:ascii="Calibri" w:eastAsia="宋体" w:hAnsi="Calibri" w:cs="Times New Roman"/>
      <w:kern w:val="2"/>
      <w:sz w:val="21"/>
      <w:szCs w:val="22"/>
      <w:lang w:val="en-US" w:eastAsia="zh-CN"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zh-CN" w:bidi="ar-SA"/>
    </w:rPr>
  </w:style>
  <w:style w:type="paragraph" w:customStyle="1" w:styleId="10011">
    <w:name w:val="正文1001"/>
    <w:pPr>
      <w:widowControl w:val="0"/>
      <w:jc w:val="both"/>
    </w:pPr>
    <w:rPr>
      <w:rFonts w:ascii="Calibri" w:eastAsia="宋体" w:hAnsi="Calibri"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zh-CN" w:bidi="ar-SA"/>
    </w:rPr>
  </w:style>
  <w:style w:type="paragraph" w:customStyle="1" w:styleId="a38">
    <w:name w:val="公式样式 符号"/>
    <w:rPr>
      <w:rFonts w:ascii="Calibri" w:eastAsia="宋体" w:hAnsi="Calibri" w:cs="Times New Roman"/>
      <w:kern w:val="2"/>
      <w:sz w:val="20"/>
      <w:szCs w:val="28"/>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5212">
    <w:name w:val="正文52"/>
    <w:pPr>
      <w:widowControl w:val="0"/>
      <w:jc w:val="both"/>
    </w:pPr>
    <w:rPr>
      <w:rFonts w:ascii="Calibri" w:eastAsia="宋体" w:hAnsi="Calibri" w:cs="Times New Roman"/>
      <w:kern w:val="2"/>
      <w:sz w:val="21"/>
      <w:szCs w:val="22"/>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07">
    <w:name w:val="纯文本70"/>
    <w:pPr>
      <w:widowControl w:val="0"/>
      <w:jc w:val="both"/>
    </w:pPr>
    <w:rPr>
      <w:rFonts w:ascii="宋体" w:eastAsia="宋体" w:hAnsi="Times New Roman"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5270">
    <w:name w:val="正文527"/>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eastAsia="zh-CN"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120">
    <w:name w:val="正文1112"/>
    <w:pPr>
      <w:widowControl w:val="0"/>
      <w:jc w:val="both"/>
    </w:pPr>
    <w:rPr>
      <w:rFonts w:ascii="Calibri" w:eastAsia="宋体" w:hAnsi="Calibri" w:cs="Times New Roman"/>
      <w:kern w:val="2"/>
      <w:sz w:val="21"/>
      <w:szCs w:val="24"/>
      <w:lang w:val="en-US" w:eastAsia="zh-CN"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5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1321">
    <w:name w:val="正文132"/>
    <w:pPr>
      <w:widowControl w:val="0"/>
      <w:jc w:val="both"/>
    </w:pPr>
    <w:rPr>
      <w:rFonts w:ascii="Calibri" w:eastAsia="宋体" w:hAnsi="Calibri" w:cs="Times New Roman"/>
      <w:kern w:val="2"/>
      <w:sz w:val="21"/>
      <w:szCs w:val="24"/>
      <w:lang w:val="en-US" w:eastAsia="zh-CN" w:bidi="ar-SA"/>
    </w:rPr>
  </w:style>
  <w:style w:type="paragraph" w:customStyle="1" w:styleId="4113">
    <w:name w:val="正文41"/>
    <w:pPr>
      <w:widowControl w:val="0"/>
      <w:jc w:val="both"/>
    </w:pPr>
    <w:rPr>
      <w:rFonts w:ascii="Calibri" w:eastAsia="宋体" w:hAnsi="Calibri" w:cs="Times New Roman"/>
      <w:kern w:val="2"/>
      <w:sz w:val="21"/>
      <w:szCs w:val="22"/>
      <w:lang w:val="en-US" w:eastAsia="zh-CN"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719">
    <w:name w:val="正文7"/>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zh-CN"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740">
    <w:name w:val="正文174"/>
    <w:pPr>
      <w:widowControl w:val="0"/>
      <w:jc w:val="both"/>
    </w:pPr>
    <w:rPr>
      <w:rFonts w:ascii="Calibri" w:eastAsia="宋体" w:hAnsi="Calibri" w:cs="Times New Roman"/>
      <w:kern w:val="2"/>
      <w:sz w:val="21"/>
      <w:szCs w:val="24"/>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2330">
    <w:name w:val="正文233"/>
    <w:pPr>
      <w:widowControl w:val="0"/>
      <w:jc w:val="both"/>
    </w:pPr>
    <w:rPr>
      <w:rFonts w:ascii="Calibri" w:eastAsia="宋体" w:hAnsi="Calibri" w:cs="Times New Roman"/>
      <w:kern w:val="2"/>
      <w:sz w:val="21"/>
      <w:szCs w:val="24"/>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723">
    <w:name w:val="正文723"/>
    <w:pPr>
      <w:widowControl w:val="0"/>
      <w:jc w:val="both"/>
    </w:pPr>
    <w:rPr>
      <w:rFonts w:ascii="Calibri" w:eastAsia="宋体" w:hAnsi="Calibri" w:cs="Times New Roman"/>
      <w:kern w:val="2"/>
      <w:sz w:val="21"/>
      <w:szCs w:val="24"/>
      <w:lang w:val="en-US" w:eastAsia="zh-CN" w:bidi="ar-SA"/>
    </w:rPr>
  </w:style>
  <w:style w:type="paragraph" w:customStyle="1" w:styleId="188">
    <w:name w:val="正文188"/>
    <w:pPr>
      <w:widowControl w:val="0"/>
      <w:jc w:val="both"/>
    </w:pPr>
    <w:rPr>
      <w:rFonts w:ascii="Calibri" w:eastAsia="宋体" w:hAnsi="Calibri" w:cs="Times New Roman"/>
      <w:kern w:val="2"/>
      <w:sz w:val="21"/>
      <w:szCs w:val="24"/>
      <w:lang w:val="en-US" w:eastAsia="zh-CN" w:bidi="ar-SA"/>
    </w:rPr>
  </w:style>
  <w:style w:type="paragraph" w:customStyle="1" w:styleId="1600">
    <w:name w:val="正文160"/>
    <w:pPr>
      <w:widowControl w:val="0"/>
      <w:jc w:val="both"/>
    </w:pPr>
    <w:rPr>
      <w:rFonts w:ascii="Calibri" w:eastAsia="宋体" w:hAnsi="Calibri" w:cs="Times New Roman"/>
      <w:kern w:val="2"/>
      <w:sz w:val="21"/>
      <w:szCs w:val="24"/>
      <w:lang w:val="en-US" w:eastAsia="zh-CN" w:bidi="ar-SA"/>
    </w:rPr>
  </w:style>
  <w:style w:type="paragraph" w:customStyle="1" w:styleId="7011">
    <w:name w:val="正文70"/>
    <w:pPr>
      <w:widowControl w:val="0"/>
      <w:jc w:val="both"/>
    </w:pPr>
    <w:rPr>
      <w:rFonts w:ascii="Calibri" w:eastAsia="宋体" w:hAnsi="Calibri" w:cs="Times New Roman"/>
      <w:kern w:val="2"/>
      <w:sz w:val="21"/>
      <w:szCs w:val="24"/>
      <w:lang w:val="en-US" w:eastAsia="zh-CN" w:bidi="ar-SA"/>
    </w:rPr>
  </w:style>
  <w:style w:type="paragraph" w:customStyle="1" w:styleId="5070">
    <w:name w:val="正文507"/>
    <w:pPr>
      <w:widowControl w:val="0"/>
      <w:jc w:val="both"/>
    </w:pPr>
    <w:rPr>
      <w:rFonts w:ascii="Calibri" w:eastAsia="宋体" w:hAnsi="Calibri"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0170">
    <w:name w:val="正文1017"/>
    <w:pPr>
      <w:widowControl w:val="0"/>
      <w:jc w:val="both"/>
    </w:pPr>
    <w:rPr>
      <w:rFonts w:ascii="Calibri" w:eastAsia="宋体" w:hAnsi="Calibri"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eastAsia="zh-CN" w:bidi="ar-SA"/>
    </w:rPr>
  </w:style>
  <w:style w:type="paragraph" w:customStyle="1" w:styleId="385">
    <w:name w:val="正文385"/>
    <w:pPr>
      <w:widowControl w:val="0"/>
      <w:jc w:val="both"/>
    </w:pPr>
    <w:rPr>
      <w:rFonts w:ascii="Calibri" w:eastAsia="宋体" w:hAnsi="Calibri" w:cs="Times New Roman"/>
      <w:kern w:val="2"/>
      <w:sz w:val="21"/>
      <w:szCs w:val="24"/>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a39">
    <w:name w:val="列项——"/>
    <w:pPr>
      <w:widowControl w:val="0"/>
      <w:numPr>
        <w:ilvl w:val="0"/>
        <w:numId w:val="162"/>
      </w:numPr>
      <w:tabs>
        <w:tab w:val="left" w:pos="420"/>
        <w:tab w:val="left" w:pos="4080"/>
      </w:tabs>
      <w:jc w:val="both"/>
    </w:pPr>
    <w:rPr>
      <w:rFonts w:ascii="宋体" w:eastAsia="宋体" w:hAnsi="Times New Roman" w:cs="Times New Roman"/>
      <w:kern w:val="2"/>
      <w:sz w:val="21"/>
      <w:szCs w:val="28"/>
      <w:lang w:val="en-US" w:eastAsia="zh-CN" w:bidi="ar-SA"/>
    </w:rPr>
  </w:style>
  <w:style w:type="paragraph" w:customStyle="1" w:styleId="5400">
    <w:name w:val="正文540"/>
    <w:pPr>
      <w:widowControl w:val="0"/>
      <w:jc w:val="both"/>
    </w:pPr>
    <w:rPr>
      <w:rFonts w:ascii="Calibri" w:eastAsia="宋体" w:hAnsi="Calibri"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lang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4080">
    <w:name w:val="正文408"/>
    <w:pPr>
      <w:widowControl w:val="0"/>
      <w:jc w:val="both"/>
    </w:pPr>
    <w:rPr>
      <w:rFonts w:ascii="Calibri" w:eastAsia="宋体" w:hAnsi="Calibri"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zh-CN" w:bidi="ar-SA"/>
    </w:rPr>
  </w:style>
  <w:style w:type="paragraph" w:customStyle="1" w:styleId="12210">
    <w:name w:val="纯文本122"/>
    <w:pPr>
      <w:widowControl w:val="0"/>
      <w:jc w:val="both"/>
    </w:pPr>
    <w:rPr>
      <w:rFonts w:ascii="宋体" w:eastAsia="宋体" w:hAnsi="Times New Roman" w:cs="Courier New"/>
      <w:kern w:val="2"/>
      <w:sz w:val="21"/>
      <w:szCs w:val="21"/>
      <w:lang w:val="en-US" w:eastAsia="zh-CN"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zh-CN"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7140">
    <w:name w:val="正文714"/>
    <w:pPr>
      <w:widowControl w:val="0"/>
      <w:jc w:val="both"/>
    </w:pPr>
    <w:rPr>
      <w:rFonts w:ascii="Calibri" w:eastAsia="宋体" w:hAnsi="Calibri" w:cs="Times New Roman"/>
      <w:kern w:val="2"/>
      <w:sz w:val="21"/>
      <w:szCs w:val="24"/>
      <w:lang w:val="en-US" w:eastAsia="zh-CN"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eastAsia="zh-CN"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eastAsia="zh-CN" w:bidi="ar-SA"/>
    </w:rPr>
  </w:style>
  <w:style w:type="paragraph" w:customStyle="1" w:styleId="10060">
    <w:name w:val="正文1006"/>
    <w:pPr>
      <w:widowControl w:val="0"/>
      <w:jc w:val="both"/>
    </w:pPr>
    <w:rPr>
      <w:rFonts w:ascii="Calibri" w:eastAsia="宋体" w:hAnsi="Calibri" w:cs="Times New Roman"/>
      <w:kern w:val="2"/>
      <w:sz w:val="21"/>
      <w:szCs w:val="22"/>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3320">
    <w:name w:val="正文332"/>
    <w:pPr>
      <w:widowControl w:val="0"/>
      <w:jc w:val="both"/>
    </w:pPr>
    <w:rPr>
      <w:rFonts w:ascii="Calibri" w:eastAsia="宋体" w:hAnsi="Calibri" w:cs="Times New Roman"/>
      <w:kern w:val="2"/>
      <w:sz w:val="21"/>
      <w:szCs w:val="24"/>
      <w:lang w:val="en-US" w:eastAsia="zh-CN"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zh-CN" w:bidi="ar-SA"/>
    </w:rPr>
  </w:style>
  <w:style w:type="paragraph" w:customStyle="1" w:styleId="7211">
    <w:name w:val="正文72"/>
    <w:pPr>
      <w:widowControl w:val="0"/>
      <w:jc w:val="both"/>
    </w:pPr>
    <w:rPr>
      <w:rFonts w:ascii="Calibri" w:eastAsia="宋体" w:hAnsi="Calibri"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zh-CN" w:bidi="ar-SA"/>
    </w:rPr>
  </w:style>
  <w:style w:type="paragraph" w:customStyle="1" w:styleId="546">
    <w:name w:val="正文5"/>
    <w:pPr>
      <w:widowControl w:val="0"/>
      <w:jc w:val="both"/>
    </w:pPr>
    <w:rPr>
      <w:rFonts w:ascii="Calibri" w:eastAsia="宋体" w:hAnsi="Calibri" w:cs="Times New Roman"/>
      <w:kern w:val="2"/>
      <w:sz w:val="21"/>
      <w:szCs w:val="24"/>
      <w:lang w:val="en-US" w:eastAsia="zh-CN" w:bidi="ar-SA"/>
    </w:rPr>
  </w:style>
  <w:style w:type="paragraph" w:customStyle="1" w:styleId="3611">
    <w:name w:val="正文361"/>
    <w:pPr>
      <w:widowControl w:val="0"/>
      <w:jc w:val="both"/>
    </w:pPr>
    <w:rPr>
      <w:rFonts w:ascii="Calibri" w:eastAsia="宋体" w:hAnsi="Calibri" w:cs="Times New Roman"/>
      <w:kern w:val="2"/>
      <w:sz w:val="21"/>
      <w:szCs w:val="24"/>
      <w:lang w:val="en-US" w:eastAsia="zh-CN" w:bidi="ar-SA"/>
    </w:rPr>
  </w:style>
  <w:style w:type="paragraph" w:customStyle="1" w:styleId="8411">
    <w:name w:val="正文84"/>
    <w:pPr>
      <w:widowControl w:val="0"/>
      <w:jc w:val="both"/>
    </w:pPr>
    <w:rPr>
      <w:rFonts w:ascii="Calibri" w:eastAsia="宋体" w:hAnsi="Calibri" w:cs="Times New Roman"/>
      <w:kern w:val="2"/>
      <w:sz w:val="21"/>
      <w:szCs w:val="24"/>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3050">
    <w:name w:val="正文305"/>
    <w:pPr>
      <w:widowControl w:val="0"/>
      <w:jc w:val="both"/>
    </w:pPr>
    <w:rPr>
      <w:rFonts w:ascii="Calibri" w:eastAsia="宋体" w:hAnsi="Calibri"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0360">
    <w:name w:val="正文1036"/>
    <w:rPr>
      <w:rFonts w:ascii="Calibri" w:eastAsia="宋体" w:hAnsi="Calibri" w:cs="Times New Roman"/>
      <w:kern w:val="2"/>
      <w:sz w:val="21"/>
      <w:szCs w:val="21"/>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133">
    <w:name w:val="正文1133"/>
    <w:pPr>
      <w:widowControl w:val="0"/>
      <w:jc w:val="both"/>
    </w:pPr>
    <w:rPr>
      <w:rFonts w:ascii="Calibri" w:eastAsia="宋体" w:hAnsi="Calibri" w:cs="Times New Roman"/>
      <w:kern w:val="2"/>
      <w:sz w:val="21"/>
      <w:szCs w:val="24"/>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5760">
    <w:name w:val="正文576"/>
    <w:pPr>
      <w:widowControl w:val="0"/>
      <w:jc w:val="both"/>
    </w:pPr>
    <w:rPr>
      <w:rFonts w:ascii="Calibri" w:eastAsia="宋体" w:hAnsi="Calibri" w:cs="Times New Roman"/>
      <w:kern w:val="2"/>
      <w:sz w:val="21"/>
      <w:szCs w:val="24"/>
      <w:lang w:val="en-US" w:eastAsia="zh-CN"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43810">
    <w:name w:val="样式 438 10 磅"/>
    <w:next w:val="1163"/>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509">
    <w:name w:val="正文509"/>
    <w:pPr>
      <w:widowControl w:val="0"/>
      <w:jc w:val="both"/>
    </w:pPr>
    <w:rPr>
      <w:rFonts w:ascii="Calibri" w:eastAsia="宋体" w:hAnsi="Calibri" w:cs="Times New Roman"/>
      <w:kern w:val="2"/>
      <w:sz w:val="21"/>
      <w:szCs w:val="24"/>
      <w:lang w:val="en-US" w:eastAsia="zh-CN"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zh-CN" w:bidi="ar-SA"/>
    </w:rPr>
  </w:style>
  <w:style w:type="paragraph" w:customStyle="1" w:styleId="995">
    <w:name w:val="正文99"/>
    <w:pPr>
      <w:widowControl w:val="0"/>
      <w:jc w:val="both"/>
    </w:pPr>
    <w:rPr>
      <w:rFonts w:ascii="Calibri" w:eastAsia="宋体" w:hAnsi="Calibri" w:cs="Times New Roman"/>
      <w:kern w:val="2"/>
      <w:sz w:val="21"/>
      <w:szCs w:val="24"/>
      <w:lang w:val="en-US" w:eastAsia="zh-CN"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lang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zh-CN" w:bidi="ar-SA"/>
    </w:rPr>
  </w:style>
  <w:style w:type="paragraph" w:customStyle="1" w:styleId="1712">
    <w:name w:val="纯文本17"/>
    <w:pPr>
      <w:widowControl w:val="0"/>
      <w:jc w:val="both"/>
    </w:pPr>
    <w:rPr>
      <w:rFonts w:ascii="宋体" w:eastAsia="宋体" w:hAnsi="Times New Roman" w:cs="Courier New"/>
      <w:kern w:val="2"/>
      <w:sz w:val="21"/>
      <w:szCs w:val="21"/>
      <w:lang w:val="en-US" w:eastAsia="zh-CN"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zh-CN"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zh-CN" w:bidi="ar-SA"/>
    </w:rPr>
  </w:style>
  <w:style w:type="paragraph" w:customStyle="1" w:styleId="467">
    <w:name w:val="纯文本46"/>
    <w:pPr>
      <w:widowControl w:val="0"/>
      <w:jc w:val="both"/>
    </w:pPr>
    <w:rPr>
      <w:rFonts w:ascii="宋体" w:eastAsia="宋体" w:hAnsi="Times New Roman" w:cs="Courier New"/>
      <w:kern w:val="2"/>
      <w:sz w:val="21"/>
      <w:szCs w:val="21"/>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9650">
    <w:name w:val="正文965"/>
    <w:pPr>
      <w:widowControl w:val="0"/>
      <w:jc w:val="both"/>
    </w:pPr>
    <w:rPr>
      <w:rFonts w:ascii="Calibri" w:eastAsia="宋体" w:hAnsi="Calibri" w:cs="Times New Roman"/>
      <w:kern w:val="2"/>
      <w:sz w:val="21"/>
      <w:szCs w:val="22"/>
      <w:lang w:val="en-US" w:eastAsia="zh-CN" w:bidi="ar-SA"/>
    </w:rPr>
  </w:style>
  <w:style w:type="paragraph" w:customStyle="1" w:styleId="2400">
    <w:name w:val="正文240"/>
    <w:pPr>
      <w:widowControl w:val="0"/>
      <w:jc w:val="both"/>
    </w:pPr>
    <w:rPr>
      <w:rFonts w:ascii="Calibri" w:eastAsia="宋体" w:hAnsi="Calibri" w:cs="Times New Roman"/>
      <w:kern w:val="2"/>
      <w:sz w:val="21"/>
      <w:szCs w:val="24"/>
      <w:lang w:val="en-US" w:eastAsia="zh-CN" w:bidi="ar-SA"/>
    </w:rPr>
  </w:style>
  <w:style w:type="paragraph" w:customStyle="1" w:styleId="9560">
    <w:name w:val="正文956"/>
    <w:pPr>
      <w:widowControl w:val="0"/>
      <w:jc w:val="both"/>
    </w:pPr>
    <w:rPr>
      <w:rFonts w:ascii="Calibri" w:eastAsia="宋体" w:hAnsi="Calibri" w:cs="Times New Roman"/>
      <w:kern w:val="2"/>
      <w:sz w:val="21"/>
      <w:szCs w:val="22"/>
      <w:lang w:val="en-US" w:eastAsia="zh-CN" w:bidi="ar-SA"/>
    </w:rPr>
  </w:style>
  <w:style w:type="paragraph" w:customStyle="1" w:styleId="41210">
    <w:name w:val="样式 412 10 磅"/>
    <w:pPr>
      <w:widowControl w:val="0"/>
      <w:jc w:val="both"/>
    </w:pPr>
    <w:rPr>
      <w:rFonts w:ascii="宋体" w:eastAsia="宋体" w:hAnsi="Times New Roman" w:cs="Times New Roman"/>
      <w:kern w:val="2"/>
      <w:sz w:val="21"/>
      <w:szCs w:val="21"/>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1137">
    <w:name w:val="1"/>
    <w:pPr>
      <w:ind w:firstLine="200"/>
      <w:jc w:val="both"/>
    </w:pPr>
    <w:rPr>
      <w:rFonts w:ascii="宋体" w:eastAsia="宋体" w:hAnsi="Times New Roman" w:cs="Calibri"/>
      <w:kern w:val="2"/>
      <w:sz w:val="28"/>
      <w:szCs w:val="28"/>
      <w:lang w:val="en-US" w:eastAsia="zh-CN" w:bidi="ar-SA"/>
    </w:rPr>
  </w:style>
  <w:style w:type="paragraph" w:customStyle="1" w:styleId="9950">
    <w:name w:val="正文995"/>
    <w:pPr>
      <w:widowControl w:val="0"/>
      <w:jc w:val="both"/>
    </w:pPr>
    <w:rPr>
      <w:rFonts w:ascii="Calibri" w:eastAsia="宋体" w:hAnsi="Calibri" w:cs="Times New Roman"/>
      <w:kern w:val="2"/>
      <w:sz w:val="21"/>
      <w:szCs w:val="24"/>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16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9180">
    <w:name w:val="正文918"/>
    <w:pPr>
      <w:widowControl w:val="0"/>
      <w:jc w:val="both"/>
    </w:pPr>
    <w:rPr>
      <w:rFonts w:ascii="Calibri" w:eastAsia="宋体" w:hAnsi="Calibri" w:cs="Times New Roman"/>
      <w:kern w:val="2"/>
      <w:sz w:val="21"/>
      <w:szCs w:val="24"/>
      <w:lang w:val="en-US" w:eastAsia="zh-CN" w:bidi="ar-SA"/>
    </w:rPr>
  </w:style>
  <w:style w:type="paragraph" w:customStyle="1" w:styleId="348">
    <w:name w:val="正文3"/>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zh-CN" w:bidi="ar-SA"/>
    </w:rPr>
  </w:style>
  <w:style w:type="paragraph" w:customStyle="1" w:styleId="6811">
    <w:name w:val="纯文本68"/>
    <w:pPr>
      <w:widowControl w:val="0"/>
      <w:jc w:val="both"/>
    </w:pPr>
    <w:rPr>
      <w:rFonts w:ascii="宋体" w:eastAsia="宋体" w:hAnsi="Times New Roman" w:cs="Courier New"/>
      <w:kern w:val="2"/>
      <w:sz w:val="21"/>
      <w:szCs w:val="21"/>
      <w:lang w:val="en-US" w:eastAsia="zh-CN" w:bidi="ar-SA"/>
    </w:rPr>
  </w:style>
  <w:style w:type="paragraph" w:customStyle="1" w:styleId="1315">
    <w:name w:val="纯文本13"/>
    <w:pPr>
      <w:widowControl w:val="0"/>
      <w:jc w:val="both"/>
    </w:pPr>
    <w:rPr>
      <w:rFonts w:ascii="宋体" w:eastAsia="宋体" w:hAnsi="Times New Roman" w:cs="Courier New"/>
      <w:kern w:val="2"/>
      <w:sz w:val="21"/>
      <w:szCs w:val="21"/>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zh-CN" w:bidi="ar-SA"/>
    </w:rPr>
  </w:style>
  <w:style w:type="paragraph" w:customStyle="1" w:styleId="997">
    <w:name w:val="纯文本99"/>
    <w:pPr>
      <w:widowControl w:val="0"/>
      <w:jc w:val="both"/>
    </w:pPr>
    <w:rPr>
      <w:rFonts w:ascii="宋体" w:eastAsia="宋体" w:hAnsi="Times New Roman" w:cs="Courier New"/>
      <w:kern w:val="2"/>
      <w:sz w:val="21"/>
      <w:szCs w:val="21"/>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eastAsia="zh-CN"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zh-CN"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eastAsia="zh-CN"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zh-CN"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eastAsia="zh-CN" w:bidi="ar-SA"/>
    </w:rPr>
  </w:style>
  <w:style w:type="paragraph" w:customStyle="1" w:styleId="1514">
    <w:name w:val="纯文本15"/>
    <w:pPr>
      <w:widowControl w:val="0"/>
      <w:jc w:val="both"/>
    </w:pPr>
    <w:rPr>
      <w:rFonts w:ascii="宋体" w:eastAsia="宋体" w:hAnsi="Times New Roman" w:cs="Courier New"/>
      <w:kern w:val="2"/>
      <w:sz w:val="21"/>
      <w:szCs w:val="21"/>
      <w:lang w:val="en-US" w:eastAsia="zh-CN"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eastAsia="zh-CN"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9330">
    <w:name w:val="正文933"/>
    <w:pPr>
      <w:widowControl w:val="0"/>
      <w:jc w:val="both"/>
    </w:pPr>
    <w:rPr>
      <w:rFonts w:ascii="Calibri" w:eastAsia="宋体" w:hAnsi="Calibri" w:cs="Times New Roman"/>
      <w:kern w:val="2"/>
      <w:sz w:val="21"/>
      <w:szCs w:val="24"/>
      <w:lang w:val="en-US" w:eastAsia="zh-CN" w:bidi="ar-SA"/>
    </w:rPr>
  </w:style>
  <w:style w:type="paragraph" w:customStyle="1" w:styleId="5311">
    <w:name w:val="纯文本53"/>
    <w:pPr>
      <w:widowControl w:val="0"/>
      <w:jc w:val="both"/>
    </w:pPr>
    <w:rPr>
      <w:rFonts w:ascii="宋体" w:eastAsia="宋体" w:hAnsi="Times New Roman" w:cs="Courier New"/>
      <w:kern w:val="2"/>
      <w:sz w:val="21"/>
      <w:szCs w:val="21"/>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zh-CN" w:bidi="ar-SA"/>
    </w:rPr>
  </w:style>
  <w:style w:type="paragraph" w:customStyle="1" w:styleId="11280">
    <w:name w:val="正文1128"/>
    <w:pPr>
      <w:widowControl w:val="0"/>
      <w:jc w:val="both"/>
    </w:pPr>
    <w:rPr>
      <w:rFonts w:ascii="Calibri" w:eastAsia="宋体" w:hAnsi="Calibri"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9000">
    <w:name w:val="正文900"/>
    <w:pPr>
      <w:widowControl w:val="0"/>
      <w:jc w:val="both"/>
    </w:pPr>
    <w:rPr>
      <w:rFonts w:ascii="Calibri" w:eastAsia="宋体" w:hAnsi="Calibri" w:cs="Times New Roman"/>
      <w:kern w:val="2"/>
      <w:sz w:val="21"/>
      <w:szCs w:val="22"/>
      <w:lang w:val="en-US" w:eastAsia="zh-CN"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eastAsia="zh-CN" w:bidi="ar-SA"/>
    </w:rPr>
  </w:style>
  <w:style w:type="paragraph" w:customStyle="1" w:styleId="1840">
    <w:name w:val="正文184"/>
    <w:pPr>
      <w:widowControl w:val="0"/>
      <w:jc w:val="both"/>
    </w:pPr>
    <w:rPr>
      <w:rFonts w:ascii="Calibri" w:eastAsia="宋体" w:hAnsi="Calibri"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zh-CN"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zh-CN" w:bidi="ar-SA"/>
    </w:rPr>
  </w:style>
  <w:style w:type="paragraph" w:customStyle="1" w:styleId="9230">
    <w:name w:val="正文923"/>
    <w:pPr>
      <w:widowControl w:val="0"/>
      <w:jc w:val="both"/>
    </w:pPr>
    <w:rPr>
      <w:rFonts w:ascii="Calibri" w:eastAsia="宋体" w:hAnsi="Calibri" w:cs="Times New Roman"/>
      <w:kern w:val="2"/>
      <w:sz w:val="21"/>
      <w:szCs w:val="24"/>
      <w:lang w:val="en-US" w:eastAsia="zh-CN" w:bidi="ar-SA"/>
    </w:rPr>
  </w:style>
  <w:style w:type="paragraph" w:customStyle="1" w:styleId="1185">
    <w:name w:val="正文11"/>
    <w:pPr>
      <w:widowControl w:val="0"/>
      <w:jc w:val="both"/>
    </w:pPr>
    <w:rPr>
      <w:rFonts w:ascii="Calibri" w:eastAsia="宋体" w:hAnsi="Calibri" w:cs="Times New Roman"/>
      <w:kern w:val="2"/>
      <w:sz w:val="21"/>
      <w:szCs w:val="22"/>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zh-CN"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zh-CN" w:bidi="ar-SA"/>
    </w:rPr>
  </w:style>
  <w:style w:type="paragraph" w:customStyle="1" w:styleId="6390">
    <w:name w:val="正文639"/>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zh-CN" w:bidi="ar-SA"/>
    </w:rPr>
  </w:style>
  <w:style w:type="paragraph" w:customStyle="1" w:styleId="5680">
    <w:name w:val="正文568"/>
    <w:pPr>
      <w:widowControl w:val="0"/>
      <w:jc w:val="both"/>
    </w:pPr>
    <w:rPr>
      <w:rFonts w:ascii="Calibri" w:eastAsia="宋体" w:hAnsi="Calibri" w:cs="Times New Roman"/>
      <w:kern w:val="2"/>
      <w:sz w:val="21"/>
      <w:szCs w:val="24"/>
      <w:lang w:val="en-US" w:eastAsia="zh-CN" w:bidi="ar-SA"/>
    </w:rPr>
  </w:style>
  <w:style w:type="paragraph" w:customStyle="1" w:styleId="7070">
    <w:name w:val="正文707"/>
    <w:pPr>
      <w:widowControl w:val="0"/>
      <w:jc w:val="both"/>
    </w:pPr>
    <w:rPr>
      <w:rFonts w:ascii="Calibri" w:eastAsia="宋体" w:hAnsi="Calibri"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zh-CN"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3520">
    <w:name w:val="正文352"/>
    <w:pPr>
      <w:widowControl w:val="0"/>
      <w:jc w:val="both"/>
    </w:pPr>
    <w:rPr>
      <w:rFonts w:ascii="Calibri" w:eastAsia="宋体" w:hAnsi="Calibri" w:cs="Times New Roman"/>
      <w:kern w:val="2"/>
      <w:sz w:val="21"/>
      <w:szCs w:val="24"/>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2540">
    <w:name w:val="正文254"/>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6630">
    <w:name w:val="正文663"/>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eastAsia="zh-CN" w:bidi="ar-SA"/>
    </w:rPr>
  </w:style>
  <w:style w:type="paragraph" w:customStyle="1" w:styleId="10540">
    <w:name w:val="正文1054"/>
    <w:rPr>
      <w:rFonts w:ascii="Calibri" w:eastAsia="宋体" w:hAnsi="Calibri" w:cs="Times New Roman"/>
      <w:kern w:val="2"/>
      <w:sz w:val="21"/>
      <w:szCs w:val="21"/>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410">
    <w:name w:val="样式 454 10 磅"/>
    <w:next w:val="169"/>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eastAsia="zh-CN" w:bidi="ar-SA"/>
    </w:rPr>
  </w:style>
  <w:style w:type="paragraph" w:customStyle="1" w:styleId="47110">
    <w:name w:val="样式 471 10 磅"/>
    <w:pPr>
      <w:widowControl w:val="0"/>
      <w:jc w:val="both"/>
    </w:pPr>
    <w:rPr>
      <w:rFonts w:ascii="等线" w:eastAsia="等线" w:hAnsi="Times New Roman" w:cs="Arial"/>
      <w:kern w:val="2"/>
      <w:sz w:val="21"/>
      <w:szCs w:val="22"/>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zh-CN" w:bidi="ar-SA"/>
    </w:rPr>
  </w:style>
  <w:style w:type="paragraph" w:customStyle="1" w:styleId="8870">
    <w:name w:val="正文887"/>
    <w:pPr>
      <w:widowControl w:val="0"/>
      <w:jc w:val="both"/>
    </w:pPr>
    <w:rPr>
      <w:rFonts w:ascii="Calibri" w:eastAsia="宋体" w:hAnsi="Calibri" w:cs="Times New Roman"/>
      <w:kern w:val="2"/>
      <w:sz w:val="21"/>
      <w:szCs w:val="22"/>
      <w:lang w:val="en-US" w:eastAsia="zh-CN"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eastAsia="zh-CN"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zh-CN" w:bidi="ar-SA"/>
    </w:rPr>
  </w:style>
  <w:style w:type="paragraph" w:customStyle="1" w:styleId="7611">
    <w:name w:val="正文761"/>
    <w:pPr>
      <w:widowControl w:val="0"/>
      <w:jc w:val="both"/>
    </w:pPr>
    <w:rPr>
      <w:rFonts w:ascii="Calibri" w:eastAsia="宋体" w:hAnsi="Calibri"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6411">
    <w:name w:val="纯文本64"/>
    <w:pPr>
      <w:widowControl w:val="0"/>
      <w:jc w:val="both"/>
    </w:pPr>
    <w:rPr>
      <w:rFonts w:ascii="宋体" w:eastAsia="宋体" w:hAnsi="Times New Roman" w:cs="Courier New"/>
      <w:kern w:val="2"/>
      <w:sz w:val="21"/>
      <w:szCs w:val="21"/>
      <w:lang w:val="en-US" w:eastAsia="zh-CN" w:bidi="ar-SA"/>
    </w:rPr>
  </w:style>
  <w:style w:type="paragraph" w:customStyle="1" w:styleId="7511">
    <w:name w:val="正文751"/>
    <w:pPr>
      <w:widowControl w:val="0"/>
      <w:jc w:val="both"/>
    </w:pPr>
    <w:rPr>
      <w:rFonts w:ascii="Calibri" w:eastAsia="宋体" w:hAnsi="Calibri" w:cs="Times New Roman"/>
      <w:kern w:val="2"/>
      <w:sz w:val="21"/>
      <w:szCs w:val="24"/>
      <w:lang w:val="en-US" w:eastAsia="zh-CN"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zh-CN" w:bidi="ar-SA"/>
    </w:rPr>
  </w:style>
  <w:style w:type="paragraph" w:customStyle="1" w:styleId="8112">
    <w:name w:val="纯文本81"/>
    <w:pPr>
      <w:widowControl w:val="0"/>
      <w:jc w:val="both"/>
    </w:pPr>
    <w:rPr>
      <w:rFonts w:ascii="宋体" w:eastAsia="宋体" w:hAnsi="Times New Roman" w:cs="Courier New"/>
      <w:kern w:val="2"/>
      <w:sz w:val="21"/>
      <w:szCs w:val="21"/>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eastAsia="zh-CN" w:bidi="ar-SA"/>
    </w:rPr>
  </w:style>
  <w:style w:type="paragraph" w:customStyle="1" w:styleId="8380">
    <w:name w:val="正文838"/>
    <w:pPr>
      <w:widowControl w:val="0"/>
      <w:jc w:val="both"/>
    </w:pPr>
    <w:rPr>
      <w:rFonts w:ascii="Calibri" w:eastAsia="宋体" w:hAnsi="Calibri" w:cs="Times New Roman"/>
      <w:kern w:val="2"/>
      <w:sz w:val="21"/>
      <w:szCs w:val="22"/>
      <w:lang w:val="en-US" w:eastAsia="zh-CN" w:bidi="ar-SA"/>
    </w:rPr>
  </w:style>
  <w:style w:type="paragraph" w:customStyle="1" w:styleId="11320">
    <w:name w:val="正文1132"/>
    <w:pPr>
      <w:widowControl w:val="0"/>
      <w:jc w:val="both"/>
    </w:pPr>
    <w:rPr>
      <w:rFonts w:ascii="Calibri" w:eastAsia="宋体" w:hAnsi="Calibri" w:cs="Times New Roman"/>
      <w:kern w:val="2"/>
      <w:sz w:val="21"/>
      <w:szCs w:val="24"/>
      <w:lang w:val="en-US" w:eastAsia="zh-CN"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zh-CN" w:bidi="ar-SA"/>
    </w:rPr>
  </w:style>
  <w:style w:type="paragraph" w:customStyle="1" w:styleId="6160">
    <w:name w:val="正文616"/>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470">
    <w:name w:val="正文1047"/>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7560">
    <w:name w:val="正文756"/>
    <w:pPr>
      <w:widowControl w:val="0"/>
      <w:jc w:val="both"/>
    </w:pPr>
    <w:rPr>
      <w:rFonts w:ascii="Calibri" w:eastAsia="宋体" w:hAnsi="Calibri" w:cs="Times New Roman"/>
      <w:kern w:val="2"/>
      <w:sz w:val="21"/>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7312">
    <w:name w:val="纯文本73"/>
    <w:pPr>
      <w:widowControl w:val="0"/>
      <w:jc w:val="both"/>
    </w:pPr>
    <w:rPr>
      <w:rFonts w:ascii="宋体" w:eastAsia="宋体" w:hAnsi="Times New Roman" w:cs="Courier New"/>
      <w:kern w:val="2"/>
      <w:sz w:val="21"/>
      <w:szCs w:val="21"/>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eastAsia="zh-CN" w:bidi="ar-SA"/>
    </w:rPr>
  </w:style>
  <w:style w:type="paragraph" w:customStyle="1" w:styleId="5800">
    <w:name w:val="正文580"/>
    <w:pPr>
      <w:widowControl w:val="0"/>
      <w:jc w:val="both"/>
    </w:pPr>
    <w:rPr>
      <w:rFonts w:ascii="Calibri" w:eastAsia="宋体" w:hAnsi="Calibri"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zh-CN"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zh-CN"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9111">
    <w:name w:val="样式 9 11 磅"/>
    <w:rPr>
      <w:rFonts w:ascii="Calibri" w:eastAsia="宋体" w:hAnsi="Calibri" w:cs="Times New Roman"/>
      <w:sz w:val="22"/>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zh-CN"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3115">
    <w:name w:val="正文文本 31"/>
    <w:rPr>
      <w:rFonts w:ascii="宋体" w:eastAsia="宋体" w:hAnsi="Times New Roman" w:cs="宋体"/>
      <w:kern w:val="2"/>
      <w:sz w:val="24"/>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eastAsia="zh-CN" w:bidi="ar-SA"/>
    </w:rPr>
  </w:style>
  <w:style w:type="paragraph" w:customStyle="1" w:styleId="299">
    <w:name w:val="正文299"/>
    <w:pPr>
      <w:widowControl w:val="0"/>
      <w:jc w:val="both"/>
    </w:pPr>
    <w:rPr>
      <w:rFonts w:ascii="Calibri" w:eastAsia="宋体" w:hAnsi="Calibri" w:cs="Times New Roman"/>
      <w:kern w:val="2"/>
      <w:sz w:val="21"/>
      <w:szCs w:val="24"/>
      <w:lang w:val="en-US" w:eastAsia="zh-CN" w:bidi="ar-SA"/>
    </w:rPr>
  </w:style>
  <w:style w:type="paragraph" w:customStyle="1" w:styleId="10911">
    <w:name w:val="正文109"/>
    <w:pPr>
      <w:widowControl w:val="0"/>
      <w:jc w:val="both"/>
    </w:pPr>
    <w:rPr>
      <w:rFonts w:ascii="Calibri" w:eastAsia="宋体" w:hAnsi="Calibri" w:cs="Times New Roman"/>
      <w:kern w:val="2"/>
      <w:sz w:val="21"/>
      <w:szCs w:val="24"/>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zh-CN" w:bidi="ar-SA"/>
    </w:rPr>
  </w:style>
  <w:style w:type="paragraph" w:customStyle="1" w:styleId="3330">
    <w:name w:val="正文333"/>
    <w:pPr>
      <w:widowControl w:val="0"/>
      <w:jc w:val="both"/>
    </w:pPr>
    <w:rPr>
      <w:rFonts w:ascii="Calibri" w:eastAsia="宋体" w:hAnsi="Calibri" w:cs="Times New Roman"/>
      <w:kern w:val="2"/>
      <w:sz w:val="21"/>
      <w:szCs w:val="24"/>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zh-CN" w:bidi="ar-SA"/>
    </w:rPr>
  </w:style>
  <w:style w:type="paragraph" w:customStyle="1" w:styleId="1820">
    <w:name w:val="正文182"/>
    <w:pPr>
      <w:widowControl w:val="0"/>
      <w:jc w:val="both"/>
    </w:pPr>
    <w:rPr>
      <w:rFonts w:ascii="Calibri" w:eastAsia="宋体" w:hAnsi="Calibri"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6413">
    <w:name w:val="正文64"/>
    <w:pPr>
      <w:widowControl w:val="0"/>
      <w:jc w:val="both"/>
    </w:pPr>
    <w:rPr>
      <w:rFonts w:ascii="Calibri" w:eastAsia="宋体" w:hAnsi="Calibri" w:cs="Times New Roman"/>
      <w:kern w:val="2"/>
      <w:sz w:val="21"/>
      <w:szCs w:val="24"/>
      <w:lang w:val="en-US" w:eastAsia="zh-CN"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zh-CN"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4114">
    <w:name w:val="正文_4_1"/>
    <w:next w:val="a8"/>
    <w:pPr>
      <w:widowControl w:val="0"/>
      <w:jc w:val="both"/>
    </w:pPr>
    <w:rPr>
      <w:rFonts w:ascii="Calibri" w:eastAsia="宋体" w:hAnsi="Calibri" w:cs="Times New Roman"/>
      <w:kern w:val="2"/>
      <w:sz w:val="21"/>
      <w:szCs w:val="22"/>
      <w:lang w:val="en-US" w:eastAsia="zh-CN" w:bidi="ar-SA"/>
    </w:rPr>
  </w:style>
  <w:style w:type="paragraph" w:customStyle="1" w:styleId="5880">
    <w:name w:val="正文588"/>
    <w:pPr>
      <w:widowControl w:val="0"/>
      <w:jc w:val="both"/>
    </w:pPr>
    <w:rPr>
      <w:rFonts w:ascii="Calibri" w:eastAsia="宋体" w:hAnsi="Calibri" w:cs="Times New Roman"/>
      <w:kern w:val="2"/>
      <w:sz w:val="21"/>
      <w:szCs w:val="24"/>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zh-CN" w:bidi="ar-SA"/>
    </w:rPr>
  </w:style>
  <w:style w:type="paragraph" w:customStyle="1" w:styleId="6330">
    <w:name w:val="正文633"/>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45210">
    <w:name w:val="样式 452 10 磅"/>
    <w:next w:val="1075"/>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91510">
    <w:name w:val="样式 1915 10 磅"/>
    <w:pPr>
      <w:widowControl w:val="0"/>
      <w:numPr>
        <w:ilvl w:val="0"/>
        <w:numId w:val="15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zh-CN" w:bidi="ar-SA"/>
    </w:rPr>
  </w:style>
  <w:style w:type="paragraph" w:customStyle="1" w:styleId="4211">
    <w:name w:val="纯文本42"/>
    <w:pPr>
      <w:widowControl w:val="0"/>
      <w:jc w:val="both"/>
    </w:pPr>
    <w:rPr>
      <w:rFonts w:ascii="宋体" w:eastAsia="宋体" w:hAnsi="Times New Roman" w:cs="Courier New"/>
      <w:kern w:val="2"/>
      <w:sz w:val="21"/>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4911">
    <w:name w:val="纯文本49"/>
    <w:pPr>
      <w:widowControl w:val="0"/>
      <w:jc w:val="both"/>
    </w:pPr>
    <w:rPr>
      <w:rFonts w:ascii="宋体" w:eastAsia="宋体" w:hAnsi="Times New Roman" w:cs="Courier New"/>
      <w:kern w:val="2"/>
      <w:sz w:val="21"/>
      <w:szCs w:val="21"/>
      <w:lang w:val="en-US" w:eastAsia="zh-CN" w:bidi="ar-SA"/>
    </w:rPr>
  </w:style>
  <w:style w:type="paragraph" w:customStyle="1" w:styleId="1650">
    <w:name w:val="正文165"/>
    <w:pPr>
      <w:widowControl w:val="0"/>
      <w:jc w:val="both"/>
    </w:pPr>
    <w:rPr>
      <w:rFonts w:ascii="Calibri" w:eastAsia="宋体" w:hAnsi="Calibri" w:cs="Times New Roman"/>
      <w:kern w:val="2"/>
      <w:sz w:val="21"/>
      <w:szCs w:val="24"/>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zh-CN"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317">
    <w:name w:val="纯文本131"/>
    <w:pPr>
      <w:widowControl w:val="0"/>
      <w:jc w:val="both"/>
    </w:pPr>
    <w:rPr>
      <w:rFonts w:ascii="宋体" w:eastAsia="宋体" w:hAnsi="Times New Roman" w:cs="Courier New"/>
      <w:kern w:val="2"/>
      <w:sz w:val="21"/>
      <w:szCs w:val="21"/>
      <w:lang w:val="en-US" w:eastAsia="zh-CN" w:bidi="ar-SA"/>
    </w:rPr>
  </w:style>
  <w:style w:type="paragraph" w:customStyle="1" w:styleId="4260">
    <w:name w:val="正文426"/>
    <w:pPr>
      <w:widowControl w:val="0"/>
      <w:jc w:val="both"/>
    </w:pPr>
    <w:rPr>
      <w:rFonts w:ascii="Calibri" w:eastAsia="宋体" w:hAnsi="Calibri" w:cs="Times New Roman"/>
      <w:kern w:val="2"/>
      <w:sz w:val="21"/>
      <w:szCs w:val="24"/>
      <w:lang w:val="en-US" w:eastAsia="zh-CN" w:bidi="ar-SA"/>
    </w:rPr>
  </w:style>
  <w:style w:type="paragraph" w:customStyle="1" w:styleId="3450">
    <w:name w:val="正文345"/>
    <w:pPr>
      <w:widowControl w:val="0"/>
      <w:jc w:val="both"/>
    </w:pPr>
    <w:rPr>
      <w:rFonts w:ascii="Calibri" w:eastAsia="宋体" w:hAnsi="Calibri" w:cs="Times New Roman"/>
      <w:kern w:val="2"/>
      <w:sz w:val="21"/>
      <w:szCs w:val="24"/>
      <w:lang w:val="en-US" w:eastAsia="zh-CN"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zh-CN"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3680">
    <w:name w:val="正文368"/>
    <w:pPr>
      <w:widowControl w:val="0"/>
      <w:jc w:val="both"/>
    </w:pPr>
    <w:rPr>
      <w:rFonts w:ascii="Calibri" w:eastAsia="宋体" w:hAnsi="Calibri" w:cs="Times New Roman"/>
      <w:kern w:val="2"/>
      <w:sz w:val="21"/>
      <w:szCs w:val="24"/>
      <w:lang w:val="en-US" w:eastAsia="zh-CN" w:bidi="ar-SA"/>
    </w:rPr>
  </w:style>
  <w:style w:type="paragraph" w:customStyle="1" w:styleId="3740">
    <w:name w:val="正文374"/>
    <w:pPr>
      <w:widowControl w:val="0"/>
      <w:jc w:val="both"/>
    </w:pPr>
    <w:rPr>
      <w:rFonts w:ascii="Calibri" w:eastAsia="宋体" w:hAnsi="Calibri"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14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4001">
    <w:name w:val="正文400"/>
    <w:pPr>
      <w:widowControl w:val="0"/>
      <w:jc w:val="both"/>
    </w:pPr>
    <w:rPr>
      <w:rFonts w:ascii="Calibri" w:eastAsia="宋体" w:hAnsi="Calibri"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8080">
    <w:name w:val="正文808"/>
    <w:pPr>
      <w:widowControl w:val="0"/>
      <w:jc w:val="both"/>
    </w:pPr>
    <w:rPr>
      <w:rFonts w:ascii="Calibri" w:eastAsia="宋体" w:hAnsi="Calibri" w:cs="Times New Roman"/>
      <w:kern w:val="2"/>
      <w:sz w:val="21"/>
      <w:szCs w:val="22"/>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eastAsia="zh-CN"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zh-CN" w:bidi="ar-SA"/>
    </w:rPr>
  </w:style>
  <w:style w:type="paragraph" w:customStyle="1" w:styleId="2105">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2810">
    <w:name w:val="样式 1928 10 磅"/>
    <w:pPr>
      <w:widowControl w:val="0"/>
      <w:jc w:val="both"/>
    </w:pPr>
    <w:rPr>
      <w:rFonts w:ascii="宋体" w:eastAsia="宋体" w:hAnsi="Times New Roman" w:cs="Courier New"/>
      <w:kern w:val="2"/>
      <w:sz w:val="21"/>
      <w:szCs w:val="21"/>
      <w:lang w:val="en-US" w:eastAsia="zh-CN" w:bidi="ar-SA"/>
    </w:rPr>
  </w:style>
  <w:style w:type="paragraph" w:customStyle="1" w:styleId="192910">
    <w:name w:val="样式 1929 10 磅"/>
    <w:pPr>
      <w:widowControl w:val="0"/>
      <w:jc w:val="both"/>
    </w:pPr>
    <w:rPr>
      <w:rFonts w:ascii="宋体" w:eastAsia="宋体" w:hAnsi="Times New Roman" w:cs="Times New Roman"/>
      <w:kern w:val="2"/>
      <w:sz w:val="21"/>
      <w:szCs w:val="21"/>
      <w:lang w:val="en-US" w:eastAsia="zh-CN" w:bidi="ar-SA"/>
    </w:rPr>
  </w:style>
  <w:style w:type="paragraph" w:customStyle="1" w:styleId="193010">
    <w:name w:val="样式 1930 10 磅"/>
    <w:pPr>
      <w:widowControl w:val="0"/>
      <w:jc w:val="both"/>
    </w:pPr>
    <w:rPr>
      <w:rFonts w:ascii="宋体" w:eastAsia="宋体" w:hAnsi="Times New Roman" w:cs="Times New Roman"/>
      <w:kern w:val="2"/>
      <w:sz w:val="21"/>
      <w:szCs w:val="21"/>
      <w:lang w:val="en-US" w:eastAsia="zh-CN" w:bidi="ar-SA"/>
    </w:rPr>
  </w:style>
  <w:style w:type="paragraph" w:customStyle="1" w:styleId="193110">
    <w:name w:val="样式 1931 10 磅"/>
    <w:pPr>
      <w:widowControl w:val="0"/>
      <w:jc w:val="both"/>
    </w:pPr>
    <w:rPr>
      <w:rFonts w:ascii="宋体" w:eastAsia="宋体" w:hAnsi="Times New Roman" w:cs="Times New Roman"/>
      <w:kern w:val="2"/>
      <w:sz w:val="21"/>
      <w:szCs w:val="21"/>
      <w:lang w:val="en-US" w:eastAsia="zh-CN" w:bidi="ar-SA"/>
    </w:rPr>
  </w:style>
  <w:style w:type="paragraph" w:customStyle="1" w:styleId="193210">
    <w:name w:val="样式 1932 10 磅"/>
    <w:pPr>
      <w:widowControl w:val="0"/>
      <w:jc w:val="both"/>
    </w:pPr>
    <w:rPr>
      <w:rFonts w:ascii="宋体" w:eastAsia="宋体" w:hAnsi="Times New Roman" w:cs="Times New Roman"/>
      <w:kern w:val="2"/>
      <w:sz w:val="21"/>
      <w:szCs w:val="21"/>
      <w:lang w:val="en-US" w:eastAsia="zh-CN" w:bidi="ar-SA"/>
    </w:rPr>
  </w:style>
  <w:style w:type="paragraph" w:customStyle="1" w:styleId="193310">
    <w:name w:val="样式 1933 10 磅"/>
    <w:pPr>
      <w:widowControl w:val="0"/>
      <w:jc w:val="both"/>
    </w:pPr>
    <w:rPr>
      <w:rFonts w:ascii="宋体" w:eastAsia="宋体" w:hAnsi="Times New Roman" w:cs="Times New Roman"/>
      <w:kern w:val="2"/>
      <w:sz w:val="21"/>
      <w:szCs w:val="21"/>
      <w:lang w:val="en-US" w:eastAsia="zh-CN" w:bidi="ar-SA"/>
    </w:rPr>
  </w:style>
  <w:style w:type="paragraph" w:customStyle="1" w:styleId="193410">
    <w:name w:val="样式 1934 10 磅"/>
    <w:pPr>
      <w:widowControl w:val="0"/>
      <w:jc w:val="both"/>
    </w:pPr>
    <w:rPr>
      <w:rFonts w:ascii="宋体" w:eastAsia="宋体" w:hAnsi="Times New Roman" w:cs="Times New Roman"/>
      <w:kern w:val="2"/>
      <w:sz w:val="21"/>
      <w:szCs w:val="21"/>
      <w:lang w:val="en-US" w:eastAsia="zh-CN" w:bidi="ar-SA"/>
    </w:rPr>
  </w:style>
  <w:style w:type="paragraph" w:customStyle="1" w:styleId="193510">
    <w:name w:val="样式 1935 10 磅"/>
    <w:pPr>
      <w:widowControl w:val="0"/>
      <w:jc w:val="both"/>
    </w:pPr>
    <w:rPr>
      <w:rFonts w:ascii="宋体" w:eastAsia="宋体" w:hAnsi="Times New Roman" w:cs="Times New Roman"/>
      <w:kern w:val="2"/>
      <w:sz w:val="21"/>
      <w:szCs w:val="21"/>
      <w:lang w:val="en-US" w:eastAsia="zh-CN" w:bidi="ar-SA"/>
    </w:rPr>
  </w:style>
  <w:style w:type="paragraph" w:customStyle="1" w:styleId="193610">
    <w:name w:val="样式 1936 10 磅"/>
    <w:pPr>
      <w:widowControl w:val="0"/>
      <w:jc w:val="both"/>
    </w:pPr>
    <w:rPr>
      <w:rFonts w:ascii="宋体" w:eastAsia="宋体" w:hAnsi="Times New Roman" w:cs="Times New Roman"/>
      <w:kern w:val="2"/>
      <w:sz w:val="21"/>
      <w:szCs w:val="21"/>
      <w:lang w:val="en-US" w:eastAsia="zh-CN" w:bidi="ar-SA"/>
    </w:rPr>
  </w:style>
  <w:style w:type="paragraph" w:customStyle="1" w:styleId="193710">
    <w:name w:val="样式 1937 10 磅"/>
    <w:pPr>
      <w:widowControl w:val="0"/>
      <w:jc w:val="both"/>
    </w:pPr>
    <w:rPr>
      <w:rFonts w:ascii="宋体" w:eastAsia="宋体" w:hAnsi="Times New Roman" w:cs="Times New Roman"/>
      <w:kern w:val="2"/>
      <w:sz w:val="21"/>
      <w:szCs w:val="21"/>
      <w:lang w:val="en-US" w:eastAsia="zh-CN" w:bidi="ar-SA"/>
    </w:rPr>
  </w:style>
  <w:style w:type="paragraph" w:customStyle="1" w:styleId="193810">
    <w:name w:val="样式 1938 10 磅"/>
    <w:pPr>
      <w:widowControl w:val="0"/>
      <w:jc w:val="both"/>
    </w:pPr>
    <w:rPr>
      <w:rFonts w:ascii="宋体" w:eastAsia="宋体" w:hAnsi="Times New Roman" w:cs="Times New Roman"/>
      <w:kern w:val="2"/>
      <w:sz w:val="21"/>
      <w:szCs w:val="21"/>
      <w:lang w:val="en-US" w:eastAsia="zh-CN" w:bidi="ar-SA"/>
    </w:rPr>
  </w:style>
  <w:style w:type="paragraph" w:customStyle="1" w:styleId="193910">
    <w:name w:val="样式 1939 10 磅"/>
    <w:pPr>
      <w:widowControl w:val="0"/>
      <w:jc w:val="both"/>
    </w:pPr>
    <w:rPr>
      <w:rFonts w:ascii="宋体" w:eastAsia="宋体" w:hAnsi="Times New Roman" w:cs="Times New Roman"/>
      <w:kern w:val="2"/>
      <w:sz w:val="21"/>
      <w:szCs w:val="21"/>
      <w:lang w:val="en-US" w:eastAsia="zh-CN" w:bidi="ar-SA"/>
    </w:rPr>
  </w:style>
  <w:style w:type="paragraph" w:customStyle="1" w:styleId="194010">
    <w:name w:val="样式 1940 10 磅"/>
    <w:pPr>
      <w:widowControl w:val="0"/>
      <w:jc w:val="both"/>
    </w:pPr>
    <w:rPr>
      <w:rFonts w:ascii="宋体" w:eastAsia="宋体" w:hAnsi="Times New Roman" w:cs="Times New Roman"/>
      <w:kern w:val="2"/>
      <w:sz w:val="21"/>
      <w:szCs w:val="21"/>
      <w:lang w:val="en-US" w:eastAsia="zh-CN" w:bidi="ar-SA"/>
    </w:rPr>
  </w:style>
  <w:style w:type="paragraph" w:customStyle="1" w:styleId="194110">
    <w:name w:val="样式 1941 10 磅"/>
    <w:pPr>
      <w:widowControl w:val="0"/>
      <w:jc w:val="both"/>
    </w:pPr>
    <w:rPr>
      <w:rFonts w:ascii="宋体" w:eastAsia="宋体" w:hAnsi="Times New Roman" w:cs="Times New Roman"/>
      <w:kern w:val="2"/>
      <w:sz w:val="21"/>
      <w:szCs w:val="21"/>
      <w:lang w:val="en-US" w:eastAsia="zh-CN" w:bidi="ar-SA"/>
    </w:rPr>
  </w:style>
  <w:style w:type="paragraph" w:customStyle="1" w:styleId="194210">
    <w:name w:val="样式 1942 10 磅"/>
    <w:pPr>
      <w:widowControl w:val="0"/>
      <w:jc w:val="both"/>
    </w:pPr>
    <w:rPr>
      <w:rFonts w:ascii="宋体" w:eastAsia="宋体" w:hAnsi="Times New Roman" w:cs="Times New Roman"/>
      <w:kern w:val="2"/>
      <w:sz w:val="21"/>
      <w:szCs w:val="21"/>
      <w:lang w:val="en-US" w:eastAsia="zh-CN" w:bidi="ar-SA"/>
    </w:rPr>
  </w:style>
  <w:style w:type="paragraph" w:customStyle="1" w:styleId="194310">
    <w:name w:val="样式 1943 10 磅"/>
    <w:pPr>
      <w:widowControl w:val="0"/>
      <w:jc w:val="both"/>
    </w:pPr>
    <w:rPr>
      <w:rFonts w:ascii="宋体" w:eastAsia="宋体" w:hAnsi="Times New Roman" w:cs="Times New Roman"/>
      <w:kern w:val="2"/>
      <w:sz w:val="21"/>
      <w:szCs w:val="21"/>
      <w:lang w:val="en-US" w:eastAsia="zh-CN" w:bidi="ar-SA"/>
    </w:rPr>
  </w:style>
  <w:style w:type="paragraph" w:customStyle="1" w:styleId="194410">
    <w:name w:val="样式 1944 10 磅"/>
    <w:pPr>
      <w:widowControl w:val="0"/>
      <w:jc w:val="both"/>
    </w:pPr>
    <w:rPr>
      <w:rFonts w:ascii="宋体"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宋体"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宋体" w:eastAsia="宋体" w:hAnsi="Times New Roman" w:cs="Times New Roman"/>
      <w:kern w:val="2"/>
      <w:sz w:val="21"/>
      <w:szCs w:val="21"/>
      <w:lang w:val="en-US" w:eastAsia="zh-CN" w:bidi="ar-SA"/>
    </w:rPr>
  </w:style>
  <w:style w:type="paragraph" w:customStyle="1" w:styleId="194710">
    <w:name w:val="样式 1947 10 磅"/>
    <w:pPr>
      <w:widowControl w:val="0"/>
      <w:jc w:val="both"/>
    </w:pPr>
    <w:rPr>
      <w:rFonts w:ascii="宋体" w:eastAsia="宋体" w:hAnsi="Times New Roman" w:cs="Times New Roman"/>
      <w:kern w:val="2"/>
      <w:sz w:val="21"/>
      <w:szCs w:val="21"/>
      <w:lang w:val="en-US" w:eastAsia="zh-CN" w:bidi="ar-SA"/>
    </w:rPr>
  </w:style>
  <w:style w:type="paragraph" w:customStyle="1" w:styleId="194810">
    <w:name w:val="样式 1948 10 磅"/>
    <w:pPr>
      <w:widowControl w:val="0"/>
      <w:jc w:val="both"/>
    </w:pPr>
    <w:rPr>
      <w:rFonts w:ascii="宋体" w:eastAsia="宋体" w:hAnsi="Times New Roman" w:cs="Times New Roman"/>
      <w:kern w:val="2"/>
      <w:sz w:val="21"/>
      <w:szCs w:val="21"/>
      <w:lang w:val="en-US" w:eastAsia="zh-CN" w:bidi="ar-SA"/>
    </w:rPr>
  </w:style>
  <w:style w:type="paragraph" w:customStyle="1" w:styleId="8102">
    <w:name w:val="样式 8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9103">
    <w:name w:val="样式 9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4910">
    <w:name w:val="样式 1949 10 磅"/>
    <w:pPr>
      <w:widowControl w:val="0"/>
      <w:jc w:val="both"/>
    </w:pPr>
    <w:rPr>
      <w:rFonts w:ascii="Times New Roman" w:eastAsia="宋体" w:hAnsi="Times New Roman" w:cs="Times New Roman"/>
      <w:kern w:val="2"/>
      <w:sz w:val="21"/>
      <w:szCs w:val="22"/>
      <w:lang w:val="en-US" w:eastAsia="zh-CN" w:bidi="ar-SA"/>
    </w:rPr>
  </w:style>
  <w:style w:type="paragraph" w:customStyle="1" w:styleId="10104">
    <w:name w:val="样式 10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5010">
    <w:name w:val="样式 1950 10 磅"/>
    <w:pPr>
      <w:widowControl w:val="0"/>
      <w:jc w:val="both"/>
    </w:pPr>
    <w:rPr>
      <w:rFonts w:ascii="Times New Roman" w:eastAsia="宋体" w:hAnsi="Times New Roman" w:cs="Times New Roman"/>
      <w:kern w:val="2"/>
      <w:sz w:val="21"/>
      <w:szCs w:val="22"/>
      <w:lang w:val="en-US" w:eastAsia="zh-CN" w:bidi="ar-SA"/>
    </w:rPr>
  </w:style>
  <w:style w:type="paragraph" w:customStyle="1" w:styleId="11102">
    <w:name w:val="样式 11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6">
    <w:name w:val="样式 1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318">
    <w:name w:val="样式 13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414">
    <w:name w:val="样式 14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515">
    <w:name w:val="样式 1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613">
    <w:name w:val="样式 16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713">
    <w:name w:val="样式 17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样式 18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12">
    <w:name w:val="样式 19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013">
    <w:name w:val="样式 20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7">
    <w:name w:val="样式 21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215">
    <w:name w:val="样式 2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样式 23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413">
    <w:name w:val="样式 24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513">
    <w:name w:val="样式 2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5110">
    <w:name w:val="样式 1951 10 磅"/>
    <w:pPr>
      <w:widowControl w:val="0"/>
      <w:jc w:val="both"/>
    </w:pPr>
    <w:rPr>
      <w:rFonts w:ascii="Times New Roman" w:eastAsia="宋体" w:hAnsi="Times New Roman" w:cs="Times New Roman"/>
      <w:kern w:val="2"/>
      <w:sz w:val="21"/>
      <w:szCs w:val="22"/>
      <w:lang w:val="en-US" w:eastAsia="zh-CN" w:bidi="ar-SA"/>
    </w:rPr>
  </w:style>
  <w:style w:type="paragraph" w:customStyle="1" w:styleId="195210">
    <w:name w:val="样式 1952 10 磅"/>
    <w:pPr>
      <w:widowControl w:val="0"/>
      <w:jc w:val="both"/>
    </w:pPr>
    <w:rPr>
      <w:rFonts w:ascii="Times New Roman" w:eastAsia="宋体" w:hAnsi="Times New Roman" w:cs="Times New Roman"/>
      <w:kern w:val="2"/>
      <w:sz w:val="21"/>
      <w:szCs w:val="22"/>
      <w:lang w:val="en-US" w:eastAsia="zh-CN" w:bidi="ar-SA"/>
    </w:rPr>
  </w:style>
  <w:style w:type="paragraph" w:customStyle="1" w:styleId="195310">
    <w:name w:val="样式 1953 10 磅"/>
    <w:pPr>
      <w:widowControl w:val="0"/>
      <w:jc w:val="both"/>
    </w:pPr>
    <w:rPr>
      <w:rFonts w:ascii="Times New Roman" w:eastAsia="宋体" w:hAnsi="Times New Roman" w:cs="Times New Roman"/>
      <w:kern w:val="2"/>
      <w:sz w:val="21"/>
      <w:szCs w:val="20"/>
      <w:lang w:val="en-US" w:eastAsia="zh-CN" w:bidi="ar-SA"/>
    </w:rPr>
  </w:style>
  <w:style w:type="paragraph" w:customStyle="1" w:styleId="195410">
    <w:name w:val="样式 1954 10 磅"/>
    <w:pPr>
      <w:widowControl w:val="0"/>
      <w:jc w:val="both"/>
    </w:pPr>
    <w:rPr>
      <w:rFonts w:ascii="Times New Roman" w:eastAsia="宋体" w:hAnsi="Times New Roman" w:cs="Times New Roman"/>
      <w:kern w:val="2"/>
      <w:sz w:val="21"/>
      <w:szCs w:val="20"/>
      <w:lang w:val="en-US" w:eastAsia="zh-CN" w:bidi="ar-SA"/>
    </w:rPr>
  </w:style>
  <w:style w:type="paragraph" w:customStyle="1" w:styleId="195510">
    <w:name w:val="样式 1955 10 磅"/>
    <w:pPr>
      <w:widowControl w:val="0"/>
      <w:jc w:val="both"/>
    </w:pPr>
    <w:rPr>
      <w:rFonts w:ascii="Times New Roman" w:eastAsia="宋体" w:hAnsi="Times New Roman" w:cs="Times New Roman"/>
      <w:kern w:val="2"/>
      <w:sz w:val="21"/>
      <w:szCs w:val="22"/>
      <w:lang w:val="en-US" w:eastAsia="zh-CN" w:bidi="ar-SA"/>
    </w:rPr>
  </w:style>
  <w:style w:type="paragraph" w:customStyle="1" w:styleId="195610">
    <w:name w:val="样式 1956 10 磅"/>
    <w:pPr>
      <w:widowControl w:val="0"/>
      <w:jc w:val="both"/>
    </w:pPr>
    <w:rPr>
      <w:rFonts w:ascii="Times New Roman" w:eastAsia="宋体" w:hAnsi="Times New Roman" w:cs="Times New Roman"/>
      <w:kern w:val="2"/>
      <w:sz w:val="21"/>
      <w:szCs w:val="20"/>
      <w:lang w:val="en-US" w:eastAsia="zh-CN" w:bidi="ar-SA"/>
    </w:rPr>
  </w:style>
  <w:style w:type="paragraph" w:customStyle="1" w:styleId="195710">
    <w:name w:val="样式 1957 10 磅"/>
    <w:pPr>
      <w:widowControl w:val="0"/>
      <w:jc w:val="both"/>
    </w:pPr>
    <w:rPr>
      <w:rFonts w:ascii="Times New Roman" w:eastAsia="宋体" w:hAnsi="Times New Roman" w:cs="Times New Roman"/>
      <w:kern w:val="2"/>
      <w:sz w:val="21"/>
      <w:szCs w:val="22"/>
      <w:lang w:val="en-US" w:eastAsia="zh-CN" w:bidi="ar-SA"/>
    </w:rPr>
  </w:style>
  <w:style w:type="paragraph" w:customStyle="1" w:styleId="195810">
    <w:name w:val="样式 1958 10 磅"/>
    <w:pPr>
      <w:widowControl w:val="0"/>
      <w:jc w:val="both"/>
    </w:pPr>
    <w:rPr>
      <w:rFonts w:ascii="Times New Roman" w:eastAsia="宋体" w:hAnsi="Times New Roman" w:cs="Times New Roman"/>
      <w:kern w:val="2"/>
      <w:sz w:val="21"/>
      <w:szCs w:val="22"/>
      <w:lang w:val="en-US" w:eastAsia="zh-CN" w:bidi="ar-SA"/>
    </w:rPr>
  </w:style>
  <w:style w:type="paragraph" w:customStyle="1" w:styleId="195910">
    <w:name w:val="样式 1959 10 磅"/>
    <w:pPr>
      <w:widowControl w:val="0"/>
      <w:jc w:val="both"/>
    </w:pPr>
    <w:rPr>
      <w:rFonts w:ascii="Times New Roman" w:eastAsia="宋体" w:hAnsi="Times New Roman" w:cs="Times New Roman"/>
      <w:kern w:val="2"/>
      <w:sz w:val="21"/>
      <w:szCs w:val="22"/>
      <w:lang w:val="en-US" w:eastAsia="zh-CN" w:bidi="ar-SA"/>
    </w:rPr>
  </w:style>
  <w:style w:type="paragraph" w:customStyle="1" w:styleId="196010">
    <w:name w:val="样式 1960 10 磅"/>
    <w:pPr>
      <w:widowControl w:val="0"/>
      <w:jc w:val="both"/>
    </w:pPr>
    <w:rPr>
      <w:rFonts w:ascii="Times New Roman" w:eastAsia="宋体" w:hAnsi="Times New Roman" w:cs="Times New Roman"/>
      <w:kern w:val="2"/>
      <w:sz w:val="21"/>
      <w:szCs w:val="22"/>
      <w:lang w:val="en-US" w:eastAsia="zh-CN" w:bidi="ar-SA"/>
    </w:rPr>
  </w:style>
  <w:style w:type="paragraph" w:customStyle="1" w:styleId="196110">
    <w:name w:val="样式 1961 10 磅"/>
    <w:pPr>
      <w:widowControl w:val="0"/>
      <w:jc w:val="both"/>
    </w:pPr>
    <w:rPr>
      <w:rFonts w:ascii="Times New Roman" w:eastAsia="宋体" w:hAnsi="Times New Roman" w:cs="Times New Roman"/>
      <w:kern w:val="2"/>
      <w:sz w:val="21"/>
      <w:szCs w:val="22"/>
      <w:lang w:val="en-US" w:eastAsia="zh-CN" w:bidi="ar-SA"/>
    </w:rPr>
  </w:style>
  <w:style w:type="paragraph" w:customStyle="1" w:styleId="196210">
    <w:name w:val="样式 1962 10 磅"/>
    <w:pPr>
      <w:widowControl w:val="0"/>
      <w:jc w:val="both"/>
    </w:pPr>
    <w:rPr>
      <w:rFonts w:ascii="Times New Roman" w:eastAsia="宋体" w:hAnsi="Times New Roman" w:cs="Times New Roman"/>
      <w:kern w:val="2"/>
      <w:sz w:val="21"/>
      <w:szCs w:val="22"/>
      <w:lang w:val="en-US" w:eastAsia="zh-CN" w:bidi="ar-SA"/>
    </w:rPr>
  </w:style>
  <w:style w:type="paragraph" w:customStyle="1" w:styleId="196310">
    <w:name w:val="样式 1963 10 磅"/>
    <w:pPr>
      <w:widowControl w:val="0"/>
      <w:jc w:val="both"/>
    </w:pPr>
    <w:rPr>
      <w:rFonts w:ascii="Times New Roman" w:eastAsia="宋体"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宋体" w:hAnsi="Times New Roman" w:cs="Times New Roman"/>
      <w:kern w:val="2"/>
      <w:sz w:val="21"/>
      <w:szCs w:val="22"/>
      <w:lang w:val="en-US" w:eastAsia="zh-CN" w:bidi="ar-SA"/>
    </w:rPr>
  </w:style>
  <w:style w:type="paragraph" w:customStyle="1" w:styleId="196510">
    <w:name w:val="样式 1965 10 磅"/>
    <w:pPr>
      <w:widowControl w:val="0"/>
      <w:jc w:val="both"/>
    </w:pPr>
    <w:rPr>
      <w:rFonts w:ascii="Times New Roman" w:eastAsia="宋体" w:hAnsi="Times New Roman" w:cs="Times New Roman"/>
      <w:kern w:val="2"/>
      <w:sz w:val="21"/>
      <w:szCs w:val="22"/>
      <w:lang w:val="en-US" w:eastAsia="zh-CN" w:bidi="ar-SA"/>
    </w:rPr>
  </w:style>
  <w:style w:type="paragraph" w:customStyle="1" w:styleId="196610">
    <w:name w:val="样式 1966 10 磅"/>
    <w:pPr>
      <w:widowControl w:val="0"/>
      <w:jc w:val="both"/>
    </w:pPr>
    <w:rPr>
      <w:rFonts w:ascii="Times New Roman" w:eastAsia="宋体" w:hAnsi="Times New Roman" w:cs="Times New Roman"/>
      <w:kern w:val="2"/>
      <w:sz w:val="21"/>
      <w:szCs w:val="22"/>
      <w:lang w:val="en-US" w:eastAsia="zh-CN" w:bidi="ar-SA"/>
    </w:rPr>
  </w:style>
  <w:style w:type="paragraph" w:customStyle="1" w:styleId="20111">
    <w:name w:val="样式 20 11 磅"/>
    <w:pPr>
      <w:widowControl w:val="0"/>
      <w:spacing w:after="160" w:line="278" w:lineRule="auto"/>
    </w:pPr>
    <w:rPr>
      <w:rFonts w:ascii="等线" w:eastAsia="等线" w:hAnsi="Times New Roman" w:cs="Arial"/>
      <w:kern w:val="2"/>
      <w:sz w:val="22"/>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2">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3">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196710">
    <w:name w:val="样式 1967 10 磅"/>
    <w:pPr>
      <w:widowControl w:val="0"/>
      <w:jc w:val="both"/>
    </w:pPr>
    <w:rPr>
      <w:rFonts w:ascii="Calibri" w:eastAsia="宋体" w:hAnsi="Calibri" w:cs="Times New Roman"/>
      <w:kern w:val="2"/>
      <w:sz w:val="21"/>
      <w:szCs w:val="24"/>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A1085EAE-B3C1-4297-B341-0B257FC426DB}">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157256173</TotalTime>
  <Pages>150</Pages>
  <Words>0</Words>
  <Characters>67712</Characters>
  <Application>Microsoft Office Word</Application>
  <DocSecurity>0</DocSecurity>
  <Lines>0</Lines>
  <Paragraphs>2487</Paragraphs>
  <ScaleCrop>false</ScaleCrop>
  <Company>ms</Company>
  <LinksUpToDate>false</LinksUpToDate>
  <CharactersWithSpaces>90283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杨柳</cp:lastModifiedBy>
  <cp:revision>6</cp:revision>
  <cp:lastPrinted>2020-06-24T09:06:00Z</cp:lastPrinted>
  <dcterms:created xsi:type="dcterms:W3CDTF">2021-11-24T16:33:00Z</dcterms:created>
  <dcterms:modified xsi:type="dcterms:W3CDTF">2025-07-22T09:01:19Z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5F29A9649DA740169E7A2B7081BD0CF9</vt:lpwstr>
  </property>
  <property fmtid="{D5CDD505-2E9C-101B-9397-08002B2CF9AE}" pid="3" name="KSOProductBuildVer">
    <vt:lpwstr>2052-11.8.2.12085</vt:lpwstr>
  </property>
  <property fmtid="{D5CDD505-2E9C-101B-9397-08002B2CF9AE}" pid="4" name="_">
    <vt:lpwstr>(3)GD6ZmeRqwa7+W95hfsqdFOYw1NcFIGYMiMyhNT5YIWbNw8ayLAYSVfJVfhQuWY2qi0t5Um4P
ROupOSS1s3HS8YBWXEw4MsjTlD18T6rbPhvRZ5wPZHfLdeEmSfxfaOYrWzMRK4TZ2NXV+H5g
u9ghUF7R7Oj2eigk6RQsTBfUF9TIgAYfMWYWyEIliHJJLg75SQBiySxnc5RM3c/o2JB8cbg6
zzqbx4AQgmrFKtFwyq</vt:lpwstr>
  </property>
</Properties>
</file>