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CG2024-BJ-GK-HW-002</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海关总署2024年缉私局海关智慧监管平台全国打私整体联动支撑系统升级采购项目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2024年06月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海关总署2024年缉私局海关智慧监管平台全国打私整体联动支撑系统升级采购项目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CG2024-BJ-GK-HW-002</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海关总署2024年缉私局海关智慧监管平台全国打私整体联动支撑系统升级采购项目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本项目预算金额合计总金额人民币71,786,000.00元，其中包1人民币26,660,000.00元，包2人民币45,126,000.00元。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海关智慧监管平台缉私全域扁平化实战指挥体系升级采购项目</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26,660,000.00</w:t>
            </w:r>
          </w:p>
        </w:tc>
        <w:tc>
          <w:tcPr>
            <w:tcW w:w="1271" w:type="dxa"/>
            <w:vMerge w:val="restart"/>
            <w:vAlign w:val="center"/>
          </w:tcPr>
          <w:p>
            <w:pPr>
              <w:spacing w:after="120" w:line="240" w:lineRule="auto"/>
              <w:rPr>
                <w:rFonts w:ascii="宋体"/>
                <w:b/>
                <w:color w:val="0000FF"/>
                <w:sz w:val="24"/>
                <w:highlight w:val="white"/>
              </w:rPr>
            </w:pPr>
            <w:r>
              <w:t>签订合同后90天内（具体要求见招标文件）</w:t>
            </w:r>
          </w:p>
        </w:tc>
        <w:tc>
          <w:tcPr>
            <w:tcW w:w="1073" w:type="dxa"/>
            <w:vMerge w:val="restart"/>
            <w:vAlign w:val="center"/>
          </w:tcPr>
          <w:p>
            <w:pPr>
              <w:spacing w:after="120" w:line="240" w:lineRule="auto"/>
              <w:rPr>
                <w:rFonts w:ascii="宋体"/>
                <w:b/>
                <w:color w:val="0000FF"/>
                <w:sz w:val="24"/>
                <w:highlight w:val="white"/>
              </w:rPr>
            </w:pPr>
            <w:r>
              <w:t>海关指定地点</w:t>
            </w:r>
          </w:p>
        </w:tc>
        <w:tc>
          <w:tcPr>
            <w:tcW w:w="1037" w:type="dxa"/>
            <w:vMerge w:val="restart"/>
            <w:vAlign w:val="center"/>
          </w:tcPr>
          <w:p>
            <w:pPr>
              <w:spacing w:after="120" w:line="240" w:lineRule="auto"/>
              <w:rPr>
                <w:rFonts w:ascii="宋体" w:hint="eastAsia"/>
                <w:b/>
                <w:color w:val="0000FF"/>
                <w:sz w:val="24"/>
                <w:highlight w:val="white"/>
              </w:rPr>
            </w:pPr>
            <w:r>
              <w:t>经用户验收合格后的当日算起，免费质保期为五年（具体要求见招标文件）</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海关智慧监管平台缉私视频指挥与视频值守体系升级采购项目</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45,126,000.00</w:t>
            </w:r>
          </w:p>
        </w:tc>
        <w:tc>
          <w:tcPr>
            <w:tcW w:w="0" w:type="dxa"/>
            <w:vMerge/>
            <w:vAlign w:val="center"/>
          </w:tcPr>
          <w:p>
            <w:pPr>
              <w:spacing w:after="120" w:line="240" w:lineRule="auto"/>
              <w:rPr>
                <w:rFonts w:ascii="宋体"/>
                <w:b/>
                <w:color w:val="0000FF"/>
                <w:sz w:val="24"/>
                <w:highlight w:val="white"/>
              </w:rPr>
            </w:pPr>
            <w:r>
              <w:t>签订合同后90天内（具体要求见招标文件）</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经用户验收合格后的当日算起，免费质保期为五年（具体要求见招标文件）</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2024-06-21 00:00:00</w:t>
      </w:r>
      <w:bookmarkEnd w:id="20"/>
      <w:r>
        <w:rPr>
          <w:rFonts w:ascii="宋体" w:hint="eastAsia"/>
          <w:sz w:val="24"/>
        </w:rPr>
        <w:t>至</w:t>
      </w:r>
      <w:bookmarkStart w:id="21" w:name="公告_signUpLastTime"/>
      <w:r>
        <w:rPr>
          <w:rFonts w:ascii="宋体" w:hint="eastAsia"/>
          <w:sz w:val="24"/>
        </w:rPr>
        <w:t>2024-06-28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2024-07-12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2024-07-12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地址：北京市东城区金宝街63号鑫海锦江大酒店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联系方式：010-65194838（平台技术支持）</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65195831（项目询问）</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本项目于</w:t>
      </w:r>
      <w:bookmarkStart w:id="27" w:name="任务单_publicDate"/>
      <w:r>
        <w:rPr>
          <w:rFonts w:ascii="宋体" w:hint="eastAsia"/>
          <w:b/>
          <w:color w:val="0000FF"/>
          <w:sz w:val="24"/>
          <w:highlight w:val="white"/>
        </w:rPr>
        <w:t>2023-12-28</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海关总署</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本项目预算金额合计总金额人民币71,786,000.00元，其中包1人民币26,660,000.00元，包2人民币45,126,000.00元。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71,786,000.00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 第一包（作战单元调度指挥设备），第二包（高清多点会商平台A、高清多点会商平台B、高清多点会商平台C）为核心产品。</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海关总署</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color w:val="0000FF"/>
          <w:sz w:val="24"/>
        </w:rPr>
      </w:pPr>
      <w:r>
        <w:rPr>
          <w:rFonts w:ascii="宋体" w:hint="eastAsia"/>
          <w:color w:val="0000FF"/>
          <w:sz w:val="24"/>
        </w:rPr>
        <w:t>（4）证明投标人满足投标人资格标准的其他必要资格证明文件（如有）（加盖投标人电子签章）。</w:t>
      </w:r>
      <w:bookmarkEnd w:id="37"/>
    </w:p>
    <w:p>
      <w:pPr>
        <w:tabs>
          <w:tab w:val="left" w:pos="588"/>
        </w:tabs>
        <w:autoSpaceDN w:val="0"/>
        <w:spacing w:line="360" w:lineRule="auto"/>
        <w:rPr>
          <w:rFonts w:ascii="宋体" w:hint="eastAsia"/>
          <w:color w:val="0000FF"/>
          <w:sz w:val="24"/>
        </w:rPr>
      </w:pPr>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（4）★投标人提供投标产品满足项目需求书中所有星号（★）技术指标或配置的要求的证明材料（详见项目需求书）。</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（5）投标人提供符合评分标准中技术部分要求的证明材料（详见项目需求书）。</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（2）★投标人提供符合项目需求书中所有星号（★）服务部分要求的证明材料（详见项目需求书）。</w:t>
      </w:r>
    </w:p>
    <w:p>
      <w:pPr>
        <w:tabs>
          <w:tab w:val="left" w:pos="588"/>
        </w:tabs>
        <w:autoSpaceDN w:val="0"/>
        <w:spacing w:line="360" w:lineRule="auto"/>
        <w:rPr>
          <w:rFonts w:ascii="宋体" w:hint="eastAsia"/>
          <w:color w:val="0000FF"/>
          <w:sz w:val="24"/>
        </w:rPr>
      </w:pPr>
      <w:r>
        <w:rPr>
          <w:rFonts w:ascii="宋体" w:hint="eastAsia"/>
          <w:color w:val="0000FF"/>
          <w:sz w:val="24"/>
        </w:rPr>
        <w:t>（3）所投产品制造商质保期外的售后服务承诺（如有）（上传原件的扫描件，加盖投标人电子签章）。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（4）投标人需在投标文件中报出质保期外的售后服务方案及报价，其中投标产品的维修服务标准须等同于保修期内的标准（包括原厂保修服务）（加盖投标人电子签章）。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（5）投标人认为应该提供的其他证明材料（如有）（加盖投标人电子签章）。</w:t>
      </w: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18210"/>
        <w:spacing w:line="360" w:lineRule="auto"/>
        <w:ind w:firstLine="480" w:firstLineChars="200"/>
        <w:rPr>
          <w:rFonts w:ascii="宋体"/>
          <w:sz w:val="24"/>
          <w:szCs w:val="24"/>
        </w:rPr>
      </w:pPr>
      <w:bookmarkStart w:id="42" w:name="插入_采购需求书"/>
      <w:r>
        <w:rPr>
          <w:rFonts w:ascii="宋体" w:hint="eastAsia"/>
          <w:sz w:val="24"/>
          <w:szCs w:val="24"/>
        </w:rPr>
        <w:t>重要提示：本项目需求书属内部资料，投标人负有保密义务，未经采购人或采购机构同意，不得向任何与此项目无关的第三方透露。</w:t>
      </w:r>
    </w:p>
    <w:p>
      <w:pPr>
        <w:pStyle w:val="18210"/>
        <w:spacing w:line="360" w:lineRule="auto"/>
        <w:ind w:firstLine="480" w:firstLineChars="200"/>
        <w:rPr>
          <w:rFonts w:ascii="宋体"/>
          <w:sz w:val="24"/>
          <w:szCs w:val="24"/>
        </w:rPr>
      </w:pPr>
      <w:r>
        <w:rPr>
          <w:rFonts w:ascii="宋体" w:hint="eastAsia"/>
          <w:sz w:val="24"/>
          <w:szCs w:val="24"/>
        </w:rPr>
        <w:t>带“★”的为必须满足内容，否则作为无效投标处理，不予接受；带“</w:t>
      </w:r>
      <w:r>
        <w:rPr>
          <w:rFonts w:ascii="宋体" w:cs="宋体" w:hint="eastAsia"/>
          <w:sz w:val="24"/>
          <w:szCs w:val="24"/>
        </w:rPr>
        <w:t>▲</w:t>
      </w:r>
      <w:r>
        <w:rPr>
          <w:rFonts w:ascii="宋体" w:hint="eastAsia"/>
          <w:sz w:val="24"/>
          <w:szCs w:val="24"/>
        </w:rPr>
        <w:t>”的为重要内容，不满足将严重影响评分；其他技术或服务内容不满足的将影响一般评分。</w:t>
      </w:r>
    </w:p>
    <w:p>
      <w:pPr>
        <w:pStyle w:val="BP"/>
        <w:rPr>
          <w:rFonts w:ascii="宋体" w:eastAsia="宋体"/>
          <w:sz w:val="24"/>
          <w:szCs w:val="24"/>
        </w:rPr>
      </w:pPr>
      <w:r>
        <w:rPr>
          <w:rFonts w:ascii="宋体" w:eastAsia="宋体" w:hint="eastAsia"/>
          <w:sz w:val="24"/>
          <w:szCs w:val="24"/>
        </w:rPr>
        <w:t>一</w:t>
      </w:r>
      <w:r>
        <w:rPr>
          <w:rStyle w:val="BPChar"/>
          <w:rFonts w:ascii="宋体" w:eastAsia="宋体" w:hint="eastAsia"/>
          <w:b w:val="0"/>
          <w:sz w:val="24"/>
          <w:szCs w:val="24"/>
        </w:rPr>
        <w:t>、项目背景介绍</w:t>
      </w:r>
    </w:p>
    <w:p>
      <w:pPr>
        <w:pStyle w:val="BP0"/>
        <w:rPr>
          <w:rFonts w:ascii="宋体" w:eastAsia="宋体"/>
          <w:sz w:val="24"/>
          <w:szCs w:val="24"/>
        </w:rPr>
      </w:pPr>
      <w:r>
        <w:rPr>
          <w:rFonts w:ascii="宋体" w:eastAsia="宋体" w:hint="eastAsia"/>
          <w:sz w:val="24"/>
          <w:szCs w:val="24"/>
        </w:rPr>
        <w:t>1.项目基本情况</w:t>
      </w:r>
    </w:p>
    <w:p>
      <w:pPr>
        <w:pStyle w:val="BP3"/>
        <w:rPr>
          <w:rFonts w:ascii="宋体" w:eastAsia="宋体"/>
          <w:sz w:val="24"/>
          <w:szCs w:val="24"/>
        </w:rPr>
      </w:pPr>
      <w:r>
        <w:rPr>
          <w:rFonts w:ascii="宋体" w:eastAsia="宋体" w:hint="eastAsia"/>
          <w:sz w:val="24"/>
          <w:szCs w:val="24"/>
        </w:rPr>
        <w:t>1.1项目名称和预算金额</w:t>
      </w:r>
    </w:p>
    <w:p>
      <w:pPr>
        <w:pStyle w:val="BP1"/>
        <w:autoSpaceDN/>
      </w:pPr>
      <w:r>
        <w:rPr>
          <w:rFonts w:hint="eastAsia"/>
        </w:rPr>
        <w:t>项目名称：</w:t>
      </w:r>
      <w:r>
        <w:t>海关总署2024年缉私局</w:t>
      </w:r>
      <w:r>
        <w:rPr>
          <w:rFonts w:hint="eastAsia"/>
        </w:rPr>
        <w:t>海关智慧监管平台缉私全域扁平化实战指挥体系升级采购项目</w:t>
      </w:r>
    </w:p>
    <w:p>
      <w:pPr>
        <w:pStyle w:val="BP1"/>
        <w:autoSpaceDN/>
      </w:pPr>
      <w:r>
        <w:rPr>
          <w:rFonts w:hint="eastAsia"/>
        </w:rPr>
        <w:t>预算金额：本项目预算金额合计总金额人民币26,660,000元。</w:t>
      </w:r>
    </w:p>
    <w:p>
      <w:pPr>
        <w:pStyle w:val="BP3"/>
        <w:rPr>
          <w:rFonts w:ascii="宋体" w:eastAsia="宋体"/>
          <w:sz w:val="24"/>
          <w:szCs w:val="24"/>
        </w:rPr>
      </w:pPr>
      <w:r>
        <w:rPr>
          <w:rFonts w:ascii="宋体" w:eastAsia="宋体" w:hint="eastAsia"/>
          <w:sz w:val="24"/>
          <w:szCs w:val="24"/>
        </w:rPr>
        <w:t>1.2采购项目的功能和目标</w:t>
      </w:r>
    </w:p>
    <w:p>
      <w:pPr>
        <w:pStyle w:val="BP1"/>
        <w:autoSpaceDN/>
      </w:pPr>
      <w:r>
        <w:rPr>
          <w:rFonts w:hint="eastAsia"/>
        </w:rPr>
        <w:t>功能：为解决当前缉私实战中的痛点堵点，构建移动锦囊、信息交互、跨网通讯交换、安全加固、扩展场景等新的应用功能，根据缉私工作处置场景、模式的不同，对原3G/4G单警数字化装备管控平台软硬件进行换代改造，对终端、平台联网联动机制升级，构建缉私全域扁平化实战指挥体系。</w:t>
      </w:r>
    </w:p>
    <w:p>
      <w:pPr>
        <w:pStyle w:val="BP1"/>
        <w:autoSpaceDN/>
      </w:pPr>
      <w:r>
        <w:rPr>
          <w:rFonts w:hint="eastAsia"/>
        </w:rPr>
        <w:t>目标：全域扁平化实战指挥体系建设, 通过新建作战单元调度指挥设备、通讯互联交换设备、通讯通道加固设备及移动指挥创新应用等内容，充分利旧各局现有存量3G/4G单警数字化装备终端及系统平台，通过运营商专用有线网络和3G/4G/5G无线网络进行连接，实现所属指挥体系内语音、视频、数据通联，现场指挥与图上指挥相结合，指令精确、行动高效、符合实战要求。</w:t>
      </w:r>
    </w:p>
    <w:p>
      <w:pPr>
        <w:pStyle w:val="BP3"/>
        <w:rPr>
          <w:rFonts w:ascii="宋体" w:eastAsia="宋体"/>
          <w:sz w:val="24"/>
          <w:szCs w:val="24"/>
        </w:rPr>
      </w:pPr>
      <w:r>
        <w:rPr>
          <w:rFonts w:ascii="宋体" w:eastAsia="宋体" w:hint="eastAsia"/>
          <w:sz w:val="24"/>
          <w:szCs w:val="24"/>
        </w:rPr>
        <w:t>1.3采购项目需实现的政府采购政策目标</w:t>
      </w:r>
    </w:p>
    <w:p>
      <w:pPr>
        <w:pStyle w:val="BP1"/>
        <w:autoSpaceDN/>
      </w:pPr>
      <w:r>
        <w:rPr>
          <w:rFonts w:hint="eastAsia"/>
        </w:rPr>
        <w:t>符合《中华人民共和国政府采购法》《中华人民共和国招标投标法》《中华人民共和国政府采购法实施条例》《中华人民共和国招标投标法实施条例》《中华人民共和国政府采购监督管理办法》《海关政府采购需求管理办法》等法律法规相关要求。</w:t>
      </w:r>
    </w:p>
    <w:p>
      <w:pPr>
        <w:pStyle w:val="BP3"/>
        <w:rPr>
          <w:rFonts w:ascii="宋体" w:eastAsia="宋体"/>
          <w:sz w:val="24"/>
          <w:szCs w:val="24"/>
        </w:rPr>
      </w:pPr>
      <w:r>
        <w:rPr>
          <w:rFonts w:ascii="宋体" w:eastAsia="宋体" w:hint="eastAsia"/>
          <w:sz w:val="24"/>
          <w:szCs w:val="24"/>
        </w:rPr>
        <w:t>1.4预算绩效目标等内容</w:t>
      </w:r>
    </w:p>
    <w:p>
      <w:pPr>
        <w:pStyle w:val="BP1"/>
        <w:autoSpaceDN/>
      </w:pPr>
      <w:r>
        <w:rPr>
          <w:rFonts w:hint="eastAsia"/>
        </w:rPr>
        <w:t>各直属局作战单元调度指挥设备配备率达到100%。</w:t>
      </w:r>
    </w:p>
    <w:p>
      <w:pPr>
        <w:pStyle w:val="BP1"/>
        <w:autoSpaceDN/>
      </w:pPr>
      <w:r>
        <w:rPr>
          <w:rFonts w:hint="eastAsia"/>
        </w:rPr>
        <w:t>各直属局通讯互联交换设备配备率达到100%。</w:t>
      </w:r>
    </w:p>
    <w:p>
      <w:pPr>
        <w:pStyle w:val="BP1"/>
        <w:autoSpaceDN/>
      </w:pPr>
      <w:r>
        <w:rPr>
          <w:rFonts w:hint="eastAsia"/>
        </w:rPr>
        <w:t>指挥调度水平进一步增强。</w:t>
      </w:r>
    </w:p>
    <w:p>
      <w:pPr>
        <w:pStyle w:val="BP0"/>
        <w:rPr>
          <w:rFonts w:ascii="宋体" w:eastAsia="宋体"/>
          <w:sz w:val="24"/>
          <w:szCs w:val="24"/>
        </w:rPr>
      </w:pPr>
      <w:r>
        <w:rPr>
          <w:rFonts w:ascii="宋体" w:eastAsia="宋体" w:hint="eastAsia"/>
          <w:sz w:val="24"/>
          <w:szCs w:val="24"/>
        </w:rPr>
        <w:t>2.需求调查情况</w:t>
      </w:r>
    </w:p>
    <w:p>
      <w:pPr>
        <w:pStyle w:val="BP1"/>
        <w:autoSpaceDN/>
      </w:pPr>
      <w:r>
        <w:rPr>
          <w:rFonts w:hint="eastAsia"/>
        </w:rPr>
        <w:t>是否进行需求调查：是。</w:t>
      </w:r>
    </w:p>
    <w:p>
      <w:pPr>
        <w:pStyle w:val="BP0"/>
        <w:rPr>
          <w:rFonts w:ascii="宋体" w:eastAsia="宋体"/>
          <w:sz w:val="24"/>
          <w:szCs w:val="24"/>
        </w:rPr>
      </w:pPr>
      <w:r>
        <w:rPr>
          <w:rFonts w:ascii="宋体" w:eastAsia="宋体" w:hint="eastAsia"/>
          <w:sz w:val="24"/>
          <w:szCs w:val="24"/>
        </w:rPr>
        <w:t>3.公开征求意见情况</w:t>
      </w:r>
    </w:p>
    <w:p>
      <w:pPr>
        <w:pStyle w:val="BP1"/>
        <w:autoSpaceDN/>
      </w:pPr>
      <w:r>
        <w:rPr>
          <w:rFonts w:hint="eastAsia"/>
        </w:rPr>
        <w:t>是否公开征求意见：否。</w:t>
      </w:r>
    </w:p>
    <w:p>
      <w:pPr>
        <w:pStyle w:val="BP0"/>
        <w:rPr>
          <w:rFonts w:ascii="宋体" w:eastAsia="宋体"/>
          <w:sz w:val="24"/>
          <w:szCs w:val="24"/>
        </w:rPr>
      </w:pPr>
      <w:r>
        <w:rPr>
          <w:rFonts w:ascii="宋体" w:eastAsia="宋体" w:hint="eastAsia"/>
          <w:sz w:val="24"/>
          <w:szCs w:val="24"/>
        </w:rPr>
        <w:t>4.需求审查情况</w:t>
      </w:r>
    </w:p>
    <w:p>
      <w:pPr>
        <w:pStyle w:val="BP1"/>
      </w:pPr>
      <w:r>
        <w:rPr>
          <w:rFonts w:hint="eastAsia"/>
        </w:rPr>
        <w:t>是否对采购需求进行审查：是。</w:t>
      </w:r>
    </w:p>
    <w:p>
      <w:pPr>
        <w:pStyle w:val="BP"/>
        <w:rPr>
          <w:rFonts w:ascii="宋体" w:eastAsia="宋体"/>
          <w:sz w:val="24"/>
          <w:szCs w:val="24"/>
        </w:rPr>
      </w:pPr>
      <w:r>
        <w:rPr>
          <w:rFonts w:ascii="宋体" w:eastAsia="宋体" w:hint="eastAsia"/>
          <w:sz w:val="24"/>
          <w:szCs w:val="24"/>
        </w:rPr>
        <w:t>二、核心产品</w:t>
      </w:r>
    </w:p>
    <w:p>
      <w:pPr>
        <w:pStyle w:val="BP1"/>
        <w:rPr>
          <w:strike/>
          <w:dstrike w:val="0"/>
        </w:rPr>
      </w:pPr>
      <w:r>
        <w:rPr>
          <w:rFonts w:hint="eastAsia"/>
        </w:rPr>
        <w:t>核心产品：作战单元调度指挥设备。</w:t>
      </w:r>
    </w:p>
    <w:p>
      <w:pPr>
        <w:pStyle w:val="BP"/>
        <w:spacing w:before="156" w:beforeLines="50" w:after="156" w:afterLines="50"/>
        <w:rPr>
          <w:rFonts w:ascii="宋体" w:eastAsia="宋体"/>
          <w:sz w:val="24"/>
          <w:szCs w:val="24"/>
        </w:rPr>
      </w:pPr>
      <w:r>
        <w:rPr>
          <w:rFonts w:ascii="宋体" w:eastAsia="宋体" w:hint="eastAsia"/>
          <w:sz w:val="24"/>
          <w:szCs w:val="24"/>
        </w:rPr>
        <w:t>三、采购需求</w:t>
      </w:r>
    </w:p>
    <w:p>
      <w:pPr>
        <w:pStyle w:val="BP1"/>
        <w:autoSpaceDN/>
      </w:pPr>
      <w:r>
        <w:rPr>
          <w:rFonts w:hint="eastAsia"/>
        </w:rPr>
        <w:t>采购需求总表及数量：</w:t>
      </w:r>
    </w:p>
    <w:tbl>
      <w:tblPr>
        <w:tblW w:w="5966" w:type="pct"/>
        <w:jc w:val="left"/>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1560"/>
        <w:gridCol w:w="3969"/>
        <w:gridCol w:w="1842"/>
        <w:gridCol w:w="2552"/>
      </w:tblGrid>
      <w:tr>
        <w:tblPrEx>
          <w:tblW w:w="5966" w:type="pct"/>
          <w:jc w:val="left"/>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rPr>
          <w:trHeight w:val="20"/>
          <w:tblHeader/>
          <w:jc w:val="left"/>
        </w:trPr>
        <w:tc>
          <w:tcPr>
            <w:tcW w:w="786" w:type="pct"/>
            <w:vAlign w:val="center"/>
          </w:tcPr>
          <w:p>
            <w:pPr>
              <w:pStyle w:val="BP1"/>
              <w:spacing w:line="360" w:lineRule="auto"/>
              <w:jc w:val="left"/>
              <w:textAlignment w:val="auto"/>
            </w:pPr>
            <w:r>
              <w:rPr>
                <w:rFonts w:hint="eastAsia"/>
              </w:rPr>
              <w:t>品目</w:t>
            </w:r>
          </w:p>
        </w:tc>
        <w:tc>
          <w:tcPr>
            <w:tcW w:w="2000" w:type="pct"/>
            <w:vAlign w:val="center"/>
          </w:tcPr>
          <w:p>
            <w:pPr>
              <w:pStyle w:val="BP1"/>
              <w:spacing w:line="360" w:lineRule="auto"/>
              <w:jc w:val="left"/>
              <w:textAlignment w:val="auto"/>
            </w:pPr>
            <w:r>
              <w:rPr>
                <w:rFonts w:hint="eastAsia"/>
              </w:rPr>
              <w:t>建设内容</w:t>
            </w:r>
          </w:p>
        </w:tc>
        <w:tc>
          <w:tcPr>
            <w:tcW w:w="928" w:type="pct"/>
            <w:vAlign w:val="center"/>
          </w:tcPr>
          <w:p>
            <w:pPr>
              <w:pStyle w:val="BP1"/>
              <w:spacing w:line="360" w:lineRule="auto"/>
              <w:jc w:val="left"/>
              <w:textAlignment w:val="auto"/>
            </w:pPr>
            <w:r>
              <w:rPr>
                <w:rFonts w:hint="eastAsia"/>
              </w:rPr>
              <w:t>数量</w:t>
            </w:r>
          </w:p>
        </w:tc>
        <w:tc>
          <w:tcPr>
            <w:tcW w:w="1286" w:type="pct"/>
            <w:vAlign w:val="center"/>
          </w:tcPr>
          <w:p>
            <w:pPr>
              <w:pStyle w:val="BP1"/>
              <w:spacing w:line="360" w:lineRule="auto"/>
              <w:jc w:val="left"/>
              <w:textAlignment w:val="auto"/>
            </w:pPr>
            <w:r>
              <w:rPr>
                <w:rFonts w:hint="eastAsia"/>
              </w:rPr>
              <w:t>单位</w:t>
            </w:r>
          </w:p>
        </w:tc>
      </w:tr>
      <w:tr>
        <w:tblPrEx>
          <w:tblW w:w="5966" w:type="pct"/>
          <w:jc w:val="left"/>
          <w:tblInd w:w="-704" w:type="dxa"/>
          <w:tblCellMar>
            <w:top w:w="0" w:type="dxa"/>
            <w:left w:w="0" w:type="dxa"/>
            <w:bottom w:w="0" w:type="dxa"/>
            <w:right w:w="0" w:type="dxa"/>
          </w:tblCellMar>
        </w:tblPrEx>
        <w:trPr>
          <w:trHeight w:val="20"/>
          <w:jc w:val="left"/>
        </w:trPr>
        <w:tc>
          <w:tcPr>
            <w:tcW w:w="786" w:type="pct"/>
            <w:vAlign w:val="center"/>
          </w:tcPr>
          <w:p>
            <w:pPr>
              <w:pStyle w:val="BP1"/>
              <w:spacing w:line="360" w:lineRule="auto"/>
              <w:jc w:val="left"/>
              <w:textAlignment w:val="auto"/>
            </w:pPr>
            <w:r>
              <w:rPr>
                <w:rFonts w:hint="eastAsia"/>
              </w:rPr>
              <w:t>1</w:t>
            </w:r>
          </w:p>
        </w:tc>
        <w:tc>
          <w:tcPr>
            <w:tcW w:w="2000" w:type="pct"/>
            <w:tcBorders>
              <w:top w:val="single" w:sz="4" w:space="0" w:color="auto"/>
              <w:left w:val="single" w:sz="4" w:space="0" w:color="auto"/>
              <w:right w:val="single" w:sz="4" w:space="0" w:color="auto"/>
            </w:tcBorders>
            <w:vAlign w:val="center"/>
          </w:tcPr>
          <w:p>
            <w:pPr>
              <w:pStyle w:val="BP1"/>
              <w:spacing w:line="360" w:lineRule="auto"/>
              <w:jc w:val="left"/>
              <w:textAlignment w:val="auto"/>
            </w:pPr>
            <w:r>
              <w:rPr>
                <w:rFonts w:hint="eastAsia"/>
              </w:rPr>
              <w:t>作战单元调度指挥设备</w:t>
            </w:r>
          </w:p>
        </w:tc>
        <w:tc>
          <w:tcPr>
            <w:tcW w:w="928" w:type="pct"/>
            <w:tcBorders>
              <w:top w:val="single" w:sz="4" w:space="0" w:color="auto"/>
              <w:left w:val="single" w:sz="4" w:space="0" w:color="auto"/>
              <w:right w:val="single" w:sz="4" w:space="0" w:color="auto"/>
            </w:tcBorders>
            <w:vAlign w:val="center"/>
          </w:tcPr>
          <w:p>
            <w:pPr>
              <w:pStyle w:val="BP1"/>
              <w:spacing w:line="360" w:lineRule="auto"/>
              <w:jc w:val="left"/>
              <w:textAlignment w:val="auto"/>
            </w:pPr>
            <w:r>
              <w:rPr>
                <w:rFonts w:hint="eastAsia"/>
              </w:rPr>
              <w:t>43</w:t>
            </w:r>
          </w:p>
        </w:tc>
        <w:tc>
          <w:tcPr>
            <w:tcW w:w="1286" w:type="pct"/>
            <w:vAlign w:val="center"/>
          </w:tcPr>
          <w:p>
            <w:pPr>
              <w:pStyle w:val="BP1"/>
              <w:spacing w:line="360" w:lineRule="auto"/>
              <w:jc w:val="left"/>
              <w:textAlignment w:val="auto"/>
            </w:pPr>
            <w:r>
              <w:rPr>
                <w:rFonts w:hint="eastAsia"/>
              </w:rPr>
              <w:t>套</w:t>
            </w:r>
          </w:p>
        </w:tc>
      </w:tr>
      <w:tr>
        <w:tblPrEx>
          <w:tblW w:w="5966" w:type="pct"/>
          <w:jc w:val="left"/>
          <w:tblInd w:w="-704" w:type="dxa"/>
          <w:tblCellMar>
            <w:top w:w="0" w:type="dxa"/>
            <w:left w:w="0" w:type="dxa"/>
            <w:bottom w:w="0" w:type="dxa"/>
            <w:right w:w="0" w:type="dxa"/>
          </w:tblCellMar>
        </w:tblPrEx>
        <w:trPr>
          <w:trHeight w:val="20"/>
          <w:jc w:val="left"/>
        </w:trPr>
        <w:tc>
          <w:tcPr>
            <w:tcW w:w="786" w:type="pct"/>
            <w:vAlign w:val="center"/>
          </w:tcPr>
          <w:p>
            <w:pPr>
              <w:pStyle w:val="BP1"/>
              <w:spacing w:line="360" w:lineRule="auto"/>
              <w:jc w:val="left"/>
              <w:textAlignment w:val="auto"/>
            </w:pPr>
            <w:r>
              <w:rPr>
                <w:rFonts w:hint="eastAsia"/>
              </w:rPr>
              <w:t>2</w:t>
            </w:r>
          </w:p>
        </w:tc>
        <w:tc>
          <w:tcPr>
            <w:tcW w:w="2000" w:type="pct"/>
            <w:tcBorders>
              <w:top w:val="single" w:sz="4" w:space="0" w:color="auto"/>
              <w:left w:val="single" w:sz="4" w:space="0" w:color="auto"/>
              <w:right w:val="single" w:sz="4" w:space="0" w:color="auto"/>
            </w:tcBorders>
            <w:vAlign w:val="center"/>
          </w:tcPr>
          <w:p>
            <w:pPr>
              <w:pStyle w:val="BP1"/>
              <w:spacing w:line="360" w:lineRule="auto"/>
              <w:jc w:val="left"/>
              <w:textAlignment w:val="auto"/>
            </w:pPr>
            <w:r>
              <w:rPr>
                <w:rFonts w:hint="eastAsia"/>
              </w:rPr>
              <w:t>通讯互联交换设备</w:t>
            </w:r>
          </w:p>
        </w:tc>
        <w:tc>
          <w:tcPr>
            <w:tcW w:w="928" w:type="pct"/>
            <w:tcBorders>
              <w:top w:val="single" w:sz="4" w:space="0" w:color="auto"/>
              <w:left w:val="single" w:sz="4" w:space="0" w:color="auto"/>
              <w:right w:val="single" w:sz="4" w:space="0" w:color="auto"/>
            </w:tcBorders>
            <w:vAlign w:val="center"/>
          </w:tcPr>
          <w:p>
            <w:pPr>
              <w:pStyle w:val="BP1"/>
              <w:spacing w:line="360" w:lineRule="auto"/>
              <w:jc w:val="left"/>
              <w:textAlignment w:val="auto"/>
            </w:pPr>
            <w:r>
              <w:rPr>
                <w:rFonts w:hint="eastAsia"/>
              </w:rPr>
              <w:t>43</w:t>
            </w:r>
          </w:p>
        </w:tc>
        <w:tc>
          <w:tcPr>
            <w:tcW w:w="1286" w:type="pct"/>
            <w:vAlign w:val="center"/>
          </w:tcPr>
          <w:p>
            <w:pPr>
              <w:pStyle w:val="BP1"/>
              <w:spacing w:line="360" w:lineRule="auto"/>
              <w:jc w:val="left"/>
              <w:textAlignment w:val="auto"/>
            </w:pPr>
            <w:r>
              <w:rPr>
                <w:rFonts w:hint="eastAsia"/>
              </w:rPr>
              <w:t>套</w:t>
            </w:r>
          </w:p>
        </w:tc>
      </w:tr>
      <w:tr>
        <w:tblPrEx>
          <w:tblW w:w="5966" w:type="pct"/>
          <w:jc w:val="left"/>
          <w:tblInd w:w="-704" w:type="dxa"/>
          <w:tblCellMar>
            <w:top w:w="0" w:type="dxa"/>
            <w:left w:w="0" w:type="dxa"/>
            <w:bottom w:w="0" w:type="dxa"/>
            <w:right w:w="0" w:type="dxa"/>
          </w:tblCellMar>
        </w:tblPrEx>
        <w:trPr>
          <w:trHeight w:val="20"/>
          <w:jc w:val="left"/>
        </w:trPr>
        <w:tc>
          <w:tcPr>
            <w:tcW w:w="786" w:type="pct"/>
            <w:vAlign w:val="center"/>
          </w:tcPr>
          <w:p>
            <w:pPr>
              <w:pStyle w:val="BP1"/>
              <w:spacing w:line="360" w:lineRule="auto"/>
              <w:jc w:val="left"/>
              <w:textAlignment w:val="auto"/>
            </w:pPr>
            <w:r>
              <w:rPr>
                <w:rFonts w:hint="eastAsia"/>
              </w:rPr>
              <w:t>3</w:t>
            </w:r>
          </w:p>
        </w:tc>
        <w:tc>
          <w:tcPr>
            <w:tcW w:w="2000" w:type="pct"/>
            <w:tcBorders>
              <w:top w:val="single" w:sz="4" w:space="0" w:color="auto"/>
              <w:left w:val="single" w:sz="4" w:space="0" w:color="auto"/>
              <w:right w:val="single" w:sz="4" w:space="0" w:color="auto"/>
            </w:tcBorders>
            <w:vAlign w:val="center"/>
          </w:tcPr>
          <w:p>
            <w:pPr>
              <w:pStyle w:val="BP1"/>
              <w:spacing w:line="360" w:lineRule="auto"/>
              <w:jc w:val="left"/>
              <w:textAlignment w:val="auto"/>
            </w:pPr>
            <w:r>
              <w:rPr>
                <w:rFonts w:hint="eastAsia"/>
              </w:rPr>
              <w:t>通讯通道加固设备</w:t>
            </w:r>
          </w:p>
        </w:tc>
        <w:tc>
          <w:tcPr>
            <w:tcW w:w="928" w:type="pct"/>
            <w:tcBorders>
              <w:top w:val="single" w:sz="4" w:space="0" w:color="auto"/>
              <w:left w:val="single" w:sz="4" w:space="0" w:color="auto"/>
              <w:right w:val="single" w:sz="4" w:space="0" w:color="auto"/>
            </w:tcBorders>
            <w:vAlign w:val="center"/>
          </w:tcPr>
          <w:p>
            <w:pPr>
              <w:pStyle w:val="BP1"/>
              <w:spacing w:line="360" w:lineRule="auto"/>
              <w:jc w:val="left"/>
              <w:textAlignment w:val="auto"/>
            </w:pPr>
            <w:r>
              <w:rPr>
                <w:rFonts w:hint="eastAsia"/>
              </w:rPr>
              <w:t>43</w:t>
            </w:r>
          </w:p>
        </w:tc>
        <w:tc>
          <w:tcPr>
            <w:tcW w:w="1286" w:type="pct"/>
            <w:vAlign w:val="center"/>
          </w:tcPr>
          <w:p>
            <w:pPr>
              <w:pStyle w:val="BP1"/>
              <w:spacing w:line="360" w:lineRule="auto"/>
              <w:jc w:val="left"/>
              <w:textAlignment w:val="auto"/>
            </w:pPr>
            <w:r>
              <w:rPr>
                <w:rFonts w:hint="eastAsia"/>
              </w:rPr>
              <w:t>套</w:t>
            </w:r>
          </w:p>
        </w:tc>
      </w:tr>
      <w:tr>
        <w:tblPrEx>
          <w:tblW w:w="5966" w:type="pct"/>
          <w:jc w:val="left"/>
          <w:tblInd w:w="-704" w:type="dxa"/>
          <w:tblCellMar>
            <w:top w:w="0" w:type="dxa"/>
            <w:left w:w="0" w:type="dxa"/>
            <w:bottom w:w="0" w:type="dxa"/>
            <w:right w:w="0" w:type="dxa"/>
          </w:tblCellMar>
        </w:tblPrEx>
        <w:trPr>
          <w:trHeight w:val="20"/>
          <w:jc w:val="left"/>
        </w:trPr>
        <w:tc>
          <w:tcPr>
            <w:tcW w:w="786" w:type="pct"/>
            <w:vAlign w:val="center"/>
          </w:tcPr>
          <w:p>
            <w:pPr>
              <w:pStyle w:val="BP1"/>
              <w:spacing w:line="360" w:lineRule="auto"/>
              <w:jc w:val="left"/>
              <w:textAlignment w:val="auto"/>
            </w:pPr>
            <w:r>
              <w:rPr>
                <w:rFonts w:hint="eastAsia"/>
              </w:rPr>
              <w:t>4</w:t>
            </w:r>
          </w:p>
        </w:tc>
        <w:tc>
          <w:tcPr>
            <w:tcW w:w="2000" w:type="pct"/>
            <w:tcBorders>
              <w:top w:val="single" w:sz="4" w:space="0" w:color="auto"/>
              <w:left w:val="single" w:sz="4" w:space="0" w:color="auto"/>
              <w:right w:val="single" w:sz="4" w:space="0" w:color="auto"/>
            </w:tcBorders>
            <w:vAlign w:val="center"/>
          </w:tcPr>
          <w:p>
            <w:pPr>
              <w:pStyle w:val="BP1"/>
              <w:spacing w:line="360" w:lineRule="auto"/>
              <w:jc w:val="left"/>
              <w:textAlignment w:val="auto"/>
            </w:pPr>
            <w:r>
              <w:rPr>
                <w:rFonts w:hint="eastAsia"/>
              </w:rPr>
              <w:t>海关总署缉私局</w:t>
            </w:r>
          </w:p>
          <w:p>
            <w:pPr>
              <w:pStyle w:val="BP1"/>
              <w:spacing w:line="360" w:lineRule="auto"/>
              <w:jc w:val="left"/>
              <w:textAlignment w:val="auto"/>
            </w:pPr>
            <w:r>
              <w:rPr>
                <w:rFonts w:hint="eastAsia"/>
              </w:rPr>
              <w:t>通讯通道加固设备</w:t>
            </w:r>
          </w:p>
        </w:tc>
        <w:tc>
          <w:tcPr>
            <w:tcW w:w="928" w:type="pct"/>
            <w:tcBorders>
              <w:top w:val="single" w:sz="4" w:space="0" w:color="auto"/>
              <w:left w:val="single" w:sz="4" w:space="0" w:color="auto"/>
              <w:right w:val="single" w:sz="4" w:space="0" w:color="auto"/>
            </w:tcBorders>
            <w:vAlign w:val="center"/>
          </w:tcPr>
          <w:p>
            <w:pPr>
              <w:pStyle w:val="BP1"/>
              <w:spacing w:line="360" w:lineRule="auto"/>
              <w:jc w:val="left"/>
              <w:textAlignment w:val="auto"/>
            </w:pPr>
            <w:r>
              <w:rPr>
                <w:rFonts w:hint="eastAsia"/>
              </w:rPr>
              <w:t>1</w:t>
            </w:r>
          </w:p>
        </w:tc>
        <w:tc>
          <w:tcPr>
            <w:tcW w:w="1286" w:type="pct"/>
            <w:vAlign w:val="center"/>
          </w:tcPr>
          <w:p>
            <w:pPr>
              <w:pStyle w:val="BP1"/>
              <w:spacing w:line="360" w:lineRule="auto"/>
              <w:jc w:val="left"/>
              <w:textAlignment w:val="auto"/>
            </w:pPr>
            <w:r>
              <w:rPr>
                <w:rFonts w:hint="eastAsia"/>
              </w:rPr>
              <w:t>套</w:t>
            </w:r>
          </w:p>
        </w:tc>
      </w:tr>
      <w:tr>
        <w:tblPrEx>
          <w:tblW w:w="5966" w:type="pct"/>
          <w:jc w:val="left"/>
          <w:tblInd w:w="-704" w:type="dxa"/>
          <w:tblCellMar>
            <w:top w:w="0" w:type="dxa"/>
            <w:left w:w="0" w:type="dxa"/>
            <w:bottom w:w="0" w:type="dxa"/>
            <w:right w:w="0" w:type="dxa"/>
          </w:tblCellMar>
        </w:tblPrEx>
        <w:trPr>
          <w:trHeight w:val="20"/>
          <w:jc w:val="left"/>
        </w:trPr>
        <w:tc>
          <w:tcPr>
            <w:tcW w:w="786" w:type="pct"/>
            <w:vAlign w:val="center"/>
          </w:tcPr>
          <w:p>
            <w:pPr>
              <w:pStyle w:val="BP1"/>
              <w:spacing w:line="360" w:lineRule="auto"/>
              <w:jc w:val="left"/>
              <w:textAlignment w:val="auto"/>
            </w:pPr>
            <w:r>
              <w:rPr>
                <w:rFonts w:hint="eastAsia"/>
              </w:rPr>
              <w:t>5</w:t>
            </w:r>
          </w:p>
        </w:tc>
        <w:tc>
          <w:tcPr>
            <w:tcW w:w="2000" w:type="pct"/>
            <w:tcBorders>
              <w:top w:val="single" w:sz="4" w:space="0" w:color="auto"/>
              <w:left w:val="single" w:sz="4" w:space="0" w:color="auto"/>
              <w:right w:val="single" w:sz="4" w:space="0" w:color="auto"/>
            </w:tcBorders>
            <w:vAlign w:val="center"/>
          </w:tcPr>
          <w:p>
            <w:pPr>
              <w:pStyle w:val="BP1"/>
              <w:spacing w:line="360" w:lineRule="auto"/>
              <w:jc w:val="left"/>
              <w:textAlignment w:val="auto"/>
            </w:pPr>
            <w:r>
              <w:rPr>
                <w:rFonts w:hint="eastAsia"/>
              </w:rPr>
              <w:t>全国联网控制器</w:t>
            </w:r>
          </w:p>
        </w:tc>
        <w:tc>
          <w:tcPr>
            <w:tcW w:w="928" w:type="pct"/>
            <w:tcBorders>
              <w:top w:val="single" w:sz="4" w:space="0" w:color="auto"/>
              <w:left w:val="single" w:sz="4" w:space="0" w:color="auto"/>
              <w:right w:val="single" w:sz="4" w:space="0" w:color="auto"/>
            </w:tcBorders>
            <w:vAlign w:val="center"/>
          </w:tcPr>
          <w:p>
            <w:pPr>
              <w:pStyle w:val="BP1"/>
              <w:spacing w:line="360" w:lineRule="auto"/>
              <w:jc w:val="left"/>
              <w:textAlignment w:val="auto"/>
            </w:pPr>
            <w:r>
              <w:rPr>
                <w:rFonts w:hint="eastAsia"/>
              </w:rPr>
              <w:t>1</w:t>
            </w:r>
          </w:p>
        </w:tc>
        <w:tc>
          <w:tcPr>
            <w:tcW w:w="1286" w:type="pct"/>
            <w:vAlign w:val="center"/>
          </w:tcPr>
          <w:p>
            <w:pPr>
              <w:pStyle w:val="BP1"/>
              <w:spacing w:line="360" w:lineRule="auto"/>
              <w:jc w:val="left"/>
              <w:textAlignment w:val="auto"/>
            </w:pPr>
            <w:r>
              <w:rPr>
                <w:rFonts w:hint="eastAsia"/>
              </w:rPr>
              <w:t>套</w:t>
            </w:r>
          </w:p>
        </w:tc>
      </w:tr>
    </w:tbl>
    <w:p>
      <w:pPr>
        <w:pStyle w:val="BP0"/>
        <w:spacing w:before="156" w:beforeLines="50" w:after="156" w:afterLines="50"/>
        <w:jc w:val="left"/>
        <w:rPr>
          <w:rFonts w:ascii="宋体" w:eastAsia="宋体"/>
          <w:sz w:val="24"/>
          <w:szCs w:val="24"/>
        </w:rPr>
      </w:pPr>
      <w:r>
        <w:rPr>
          <w:rFonts w:ascii="宋体" w:eastAsia="宋体" w:hint="eastAsia"/>
          <w:sz w:val="24"/>
          <w:szCs w:val="24"/>
        </w:rPr>
        <w:t>（一）品目1（作战单元调度指挥设备）</w:t>
      </w:r>
    </w:p>
    <w:p>
      <w:pPr>
        <w:pStyle w:val="BP3"/>
        <w:rPr>
          <w:rFonts w:ascii="宋体" w:eastAsia="宋体"/>
          <w:sz w:val="24"/>
          <w:szCs w:val="24"/>
        </w:rPr>
      </w:pPr>
      <w:r>
        <w:rPr>
          <w:rFonts w:ascii="宋体" w:eastAsia="宋体" w:hint="eastAsia"/>
          <w:sz w:val="24"/>
          <w:szCs w:val="24"/>
        </w:rPr>
        <w:t>1.主要用途</w:t>
      </w:r>
    </w:p>
    <w:p>
      <w:pPr>
        <w:pStyle w:val="BP1"/>
      </w:pPr>
      <w:r>
        <w:rPr>
          <w:rFonts w:hint="eastAsia"/>
        </w:rPr>
        <w:t>作战单元调度指挥设备主要用于移动作战指挥，支持抓捕方案制定、任务管理、嫌疑人标注与查找、电子资料显示、到案情况展示与统计等功能。该设备须与前期已建的3G/4G单警数字化装备管控平台上下级互联互通，确保已有终端可以通过新老平台级联方式在该设备上使用音视频通讯和位置定位等基础功能。</w:t>
      </w:r>
    </w:p>
    <w:p>
      <w:pPr>
        <w:pStyle w:val="BP3"/>
        <w:rPr>
          <w:rFonts w:ascii="宋体" w:eastAsia="宋体"/>
          <w:sz w:val="24"/>
          <w:szCs w:val="24"/>
        </w:rPr>
      </w:pPr>
      <w:r>
        <w:rPr>
          <w:rFonts w:ascii="宋体" w:eastAsia="宋体" w:hint="eastAsia"/>
          <w:sz w:val="24"/>
          <w:szCs w:val="24"/>
        </w:rPr>
        <w:t>2.特殊资质要求</w:t>
      </w:r>
    </w:p>
    <w:p>
      <w:pPr>
        <w:pStyle w:val="BP1"/>
      </w:pPr>
      <w:r>
        <w:rPr>
          <w:rFonts w:hint="eastAsia"/>
        </w:rPr>
        <w:t>无。</w:t>
      </w:r>
    </w:p>
    <w:p>
      <w:pPr>
        <w:pStyle w:val="BP3"/>
        <w:rPr>
          <w:rFonts w:ascii="宋体" w:eastAsia="宋体"/>
          <w:sz w:val="24"/>
          <w:szCs w:val="24"/>
        </w:rPr>
      </w:pPr>
      <w:r>
        <w:rPr>
          <w:rFonts w:ascii="宋体" w:eastAsia="宋体" w:hint="eastAsia"/>
          <w:sz w:val="24"/>
          <w:szCs w:val="24"/>
        </w:rPr>
        <w:t>3.主要技术参数</w:t>
      </w:r>
    </w:p>
    <w:tbl>
      <w:tblPr>
        <w:tblW w:w="5218" w:type="pct"/>
        <w:jc w:val="lef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6"/>
        <w:gridCol w:w="1757"/>
        <w:gridCol w:w="4952"/>
        <w:gridCol w:w="1309"/>
      </w:tblGrid>
      <w:tr>
        <w:tblPrEx>
          <w:tblW w:w="5218" w:type="pct"/>
          <w:jc w:val="lef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69"/>
          <w:tblHeader/>
          <w:jc w:val="left"/>
        </w:trPr>
        <w:tc>
          <w:tcPr>
            <w:tcW w:w="492" w:type="pct"/>
            <w:vAlign w:val="center"/>
          </w:tcPr>
          <w:p>
            <w:pPr>
              <w:pStyle w:val="305"/>
              <w:rPr>
                <w:rFonts w:ascii="宋体"/>
                <w:b/>
                <w:bCs/>
                <w:szCs w:val="24"/>
                <w:highlight w:val="none"/>
              </w:rPr>
            </w:pPr>
            <w:r>
              <w:rPr>
                <w:rFonts w:ascii="宋体" w:hint="eastAsia"/>
                <w:b/>
                <w:bCs/>
                <w:szCs w:val="24"/>
                <w:highlight w:val="none"/>
              </w:rPr>
              <w:t>序号</w:t>
            </w:r>
          </w:p>
        </w:tc>
        <w:tc>
          <w:tcPr>
            <w:tcW w:w="988" w:type="pct"/>
            <w:vAlign w:val="center"/>
          </w:tcPr>
          <w:p>
            <w:pPr>
              <w:pStyle w:val="324"/>
              <w:widowControl/>
              <w:jc w:val="center"/>
              <w:rPr>
                <w:rFonts w:ascii="宋体"/>
                <w:b/>
                <w:bCs/>
                <w:kern w:val="0"/>
                <w:szCs w:val="24"/>
                <w:highlight w:val="none"/>
              </w:rPr>
            </w:pPr>
            <w:r>
              <w:rPr>
                <w:rFonts w:ascii="宋体" w:hint="eastAsia"/>
                <w:b/>
                <w:bCs/>
                <w:kern w:val="0"/>
                <w:szCs w:val="24"/>
                <w:highlight w:val="none"/>
              </w:rPr>
              <w:t>指标项</w:t>
            </w:r>
          </w:p>
        </w:tc>
        <w:tc>
          <w:tcPr>
            <w:tcW w:w="2784" w:type="pct"/>
            <w:vAlign w:val="center"/>
          </w:tcPr>
          <w:p>
            <w:pPr>
              <w:pStyle w:val="334"/>
              <w:widowControl/>
              <w:jc w:val="center"/>
              <w:rPr>
                <w:rFonts w:ascii="宋体"/>
                <w:b/>
                <w:bCs/>
                <w:kern w:val="0"/>
                <w:szCs w:val="24"/>
                <w:highlight w:val="none"/>
              </w:rPr>
            </w:pPr>
            <w:r>
              <w:rPr>
                <w:rFonts w:ascii="宋体" w:hint="eastAsia"/>
                <w:b/>
                <w:bCs/>
                <w:kern w:val="0"/>
                <w:szCs w:val="24"/>
                <w:highlight w:val="none"/>
              </w:rPr>
              <w:t>指标要求</w:t>
            </w:r>
          </w:p>
        </w:tc>
        <w:tc>
          <w:tcPr>
            <w:tcW w:w="736" w:type="pct"/>
            <w:vAlign w:val="center"/>
          </w:tcPr>
          <w:p>
            <w:pPr>
              <w:pStyle w:val="361"/>
              <w:widowControl/>
              <w:jc w:val="center"/>
              <w:rPr>
                <w:rFonts w:ascii="宋体"/>
                <w:b/>
                <w:bCs/>
                <w:kern w:val="0"/>
                <w:szCs w:val="24"/>
                <w:highlight w:val="none"/>
              </w:rPr>
            </w:pPr>
            <w:r>
              <w:rPr>
                <w:rFonts w:ascii="宋体" w:hint="eastAsia"/>
                <w:b/>
                <w:bCs/>
                <w:kern w:val="0"/>
                <w:szCs w:val="24"/>
                <w:highlight w:val="none"/>
              </w:rPr>
              <w:t>证明材料要求</w:t>
            </w:r>
          </w:p>
        </w:tc>
      </w:tr>
      <w:tr>
        <w:tblPrEx>
          <w:tblW w:w="5218" w:type="pct"/>
          <w:jc w:val="left"/>
          <w:tblInd w:w="-714" w:type="dxa"/>
          <w:tblLayout w:type="fixed"/>
          <w:tblCellMar>
            <w:top w:w="0" w:type="dxa"/>
            <w:left w:w="108" w:type="dxa"/>
            <w:bottom w:w="0" w:type="dxa"/>
            <w:right w:w="108" w:type="dxa"/>
          </w:tblCellMar>
        </w:tblPrEx>
        <w:trPr>
          <w:trHeight w:val="855"/>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★3.1</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规格</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整机一体化机框设计，独立板卡，支持机房机架安装。</w:t>
            </w:r>
          </w:p>
          <w:p>
            <w:pPr>
              <w:rPr>
                <w:rFonts w:ascii="宋体" w:eastAsia="宋体"/>
                <w:kern w:val="0"/>
                <w:highlight w:val="none"/>
              </w:rPr>
            </w:pPr>
            <w:r>
              <w:rPr>
                <w:rFonts w:ascii="宋体" w:eastAsia="宋体" w:hint="eastAsia"/>
                <w:sz w:val="24"/>
                <w:szCs w:val="24"/>
                <w:highlight w:val="none"/>
              </w:rPr>
              <w:t>（提供实物图）</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★3.2</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双计算板卡</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板卡一：CPU配置不低于8核3.0GHz、内存大小不低于32GB、硬盘容量不低于1T SSD固态硬盘；</w:t>
            </w:r>
          </w:p>
          <w:p>
            <w:pPr>
              <w:rPr>
                <w:rFonts w:ascii="宋体" w:eastAsia="宋体"/>
                <w:highlight w:val="none"/>
              </w:rPr>
            </w:pPr>
            <w:r>
              <w:rPr>
                <w:rFonts w:ascii="宋体" w:eastAsia="宋体" w:hint="eastAsia"/>
                <w:sz w:val="24"/>
                <w:szCs w:val="24"/>
                <w:highlight w:val="none"/>
              </w:rPr>
              <w:t>板卡二：CPU配置不低于16核2.3GHz、内存大小不低于64GB、硬盘容量不低于2T SSD固态硬盘。</w:t>
            </w:r>
          </w:p>
          <w:p>
            <w:pPr>
              <w:rPr>
                <w:rFonts w:ascii="宋体" w:eastAsia="宋体"/>
                <w:highlight w:val="none"/>
              </w:rPr>
            </w:pPr>
            <w:r>
              <w:rPr>
                <w:rFonts w:ascii="宋体" w:eastAsia="宋体" w:hint="eastAsia"/>
                <w:sz w:val="24"/>
                <w:szCs w:val="24"/>
                <w:highlight w:val="none"/>
              </w:rPr>
              <w:t>（提供技术指标及配置清单</w:t>
            </w:r>
            <w:r>
              <w:rPr>
                <w:rFonts w:ascii="宋体" w:eastAsia="宋体" w:hint="eastAsia"/>
                <w:sz w:val="24"/>
                <w:szCs w:val="24"/>
                <w:highlight w:val="none"/>
                <w:shd w:val="clear" w:color="FFFFFF" w:fill="auto"/>
              </w:rPr>
              <w:t>）</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71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3.3</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kern w:val="0"/>
                <w:highlight w:val="none"/>
              </w:rPr>
            </w:pPr>
            <w:r>
              <w:rPr>
                <w:rFonts w:ascii="宋体" w:eastAsia="宋体" w:hint="eastAsia"/>
                <w:sz w:val="24"/>
                <w:szCs w:val="24"/>
                <w:highlight w:val="none"/>
              </w:rPr>
              <w:t>接口</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HDMI接口不低于4，具备交流双电源，确保系统稳定供电。</w:t>
            </w:r>
          </w:p>
          <w:p>
            <w:pPr>
              <w:rPr>
                <w:rFonts w:ascii="宋体" w:eastAsia="宋体"/>
                <w:kern w:val="0"/>
                <w:highlight w:val="none"/>
              </w:rPr>
            </w:pPr>
            <w:r>
              <w:rPr>
                <w:rFonts w:ascii="宋体" w:eastAsia="宋体" w:hint="eastAsia"/>
                <w:sz w:val="24"/>
                <w:szCs w:val="24"/>
                <w:highlight w:val="none"/>
              </w:rPr>
              <w:t>（提供实物图，加盖</w:t>
            </w:r>
            <w:r>
              <w:rPr>
                <w:rFonts w:ascii="宋体" w:eastAsia="宋体"/>
                <w:sz w:val="24"/>
                <w:szCs w:val="24"/>
                <w:highlight w:val="none"/>
              </w:rPr>
              <w:t>产品</w:t>
            </w:r>
            <w:r>
              <w:rPr>
                <w:rFonts w:ascii="宋体" w:eastAsia="宋体" w:hint="eastAsia"/>
                <w:sz w:val="24"/>
                <w:szCs w:val="24"/>
                <w:highlight w:val="none"/>
              </w:rPr>
              <w:t>制造商公章）</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▲3.4</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kern w:val="0"/>
                <w:highlight w:val="none"/>
              </w:rPr>
            </w:pPr>
            <w:r>
              <w:rPr>
                <w:rFonts w:ascii="宋体" w:eastAsia="宋体" w:hint="eastAsia"/>
                <w:sz w:val="24"/>
                <w:szCs w:val="24"/>
                <w:highlight w:val="none"/>
              </w:rPr>
              <w:t>状态显示屏</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不小于50mm*70mm LCD，须实时显示设备主控板IP地址、CPU占比、内存占比、磁盘空间状态、实时温度等状态数据。</w:t>
            </w:r>
          </w:p>
          <w:p>
            <w:pPr>
              <w:rPr>
                <w:rFonts w:ascii="宋体" w:eastAsia="宋体"/>
                <w:highlight w:val="none"/>
              </w:rPr>
            </w:pPr>
            <w:r>
              <w:rPr>
                <w:rFonts w:ascii="宋体" w:eastAsia="宋体" w:hint="eastAsia"/>
                <w:sz w:val="24"/>
                <w:szCs w:val="24"/>
                <w:highlight w:val="none"/>
              </w:rPr>
              <w:t>（提供实物图并提供具有CNAS检测资质的检测（检验）机构出具的检测（检验）报告复印件，加盖产品制造商公章）</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3.5</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硬件DSP</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支持硬件DSP计算功能，能进行硬件级的人像处理。</w:t>
            </w:r>
          </w:p>
        </w:tc>
        <w:tc>
          <w:tcPr>
            <w:tcW w:w="736" w:type="pct"/>
            <w:vAlign w:val="center"/>
          </w:tcPr>
          <w:p>
            <w:pPr>
              <w:jc w:val="center"/>
              <w:rPr>
                <w:rFonts w:ascii="宋体" w:eastAsia="宋体"/>
                <w:highlight w:val="none"/>
              </w:rPr>
            </w:pPr>
            <w:r>
              <w:rPr>
                <w:rFonts w:ascii="宋体" w:eastAsia="宋体" w:hint="eastAsia"/>
                <w:sz w:val="24"/>
                <w:szCs w:val="24"/>
                <w:highlight w:val="none"/>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▲3.6</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编解码</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具备不低于16路高清流媒体编码与解码；具备不少于16个高清视频接口。（提供实物图，加盖产品制造商公章）</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★3.7</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基本功能</w:t>
            </w:r>
          </w:p>
          <w:p>
            <w:pPr>
              <w:ind w:firstLine="0"/>
              <w:jc w:val="center"/>
              <w:rPr>
                <w:rFonts w:ascii="宋体" w:eastAsia="宋体"/>
                <w:highlight w:val="none"/>
              </w:rPr>
            </w:pPr>
            <w:r>
              <w:rPr>
                <w:rFonts w:ascii="宋体" w:eastAsia="宋体" w:hint="eastAsia"/>
                <w:sz w:val="24"/>
                <w:szCs w:val="24"/>
                <w:highlight w:val="none"/>
              </w:rPr>
              <w:t>要求</w:t>
            </w:r>
          </w:p>
        </w:tc>
        <w:tc>
          <w:tcPr>
            <w:tcW w:w="2784" w:type="pct"/>
            <w:tcBorders>
              <w:top w:val="single" w:sz="4" w:space="0" w:color="auto"/>
              <w:left w:val="single" w:sz="4" w:space="0" w:color="auto"/>
              <w:right w:val="single" w:sz="4" w:space="0" w:color="auto"/>
            </w:tcBorders>
            <w:shd w:val="clear" w:color="auto" w:fill="auto"/>
            <w:vAlign w:val="center"/>
          </w:tcPr>
          <w:p>
            <w:pPr>
              <w:rPr>
                <w:rFonts w:ascii="宋体" w:eastAsia="宋体"/>
                <w:highlight w:val="none"/>
              </w:rPr>
            </w:pPr>
            <w:r>
              <w:rPr>
                <w:rFonts w:ascii="宋体" w:eastAsia="宋体" w:hint="eastAsia"/>
                <w:sz w:val="24"/>
                <w:szCs w:val="24"/>
                <w:highlight w:val="none"/>
              </w:rPr>
              <w:t>系统应符合指挥实战应用需求，具备预案管理、任务管理、行动管理、战场展示等主要功能，在实战过程中，指挥中心可与一线民警进行音视频通联、移动会商，实时掌握现场情况。</w:t>
            </w:r>
          </w:p>
          <w:p>
            <w:pPr>
              <w:rPr>
                <w:rFonts w:ascii="宋体" w:eastAsia="宋体"/>
                <w:highlight w:val="none"/>
              </w:rPr>
            </w:pPr>
            <w:r>
              <w:rPr>
                <w:rFonts w:ascii="宋体" w:eastAsia="宋体" w:hint="eastAsia"/>
                <w:sz w:val="24"/>
                <w:szCs w:val="24"/>
                <w:highlight w:val="none"/>
              </w:rPr>
              <w:t>（提供</w:t>
            </w:r>
            <w:r>
              <w:rPr>
                <w:rFonts w:ascii="宋体" w:eastAsia="宋体" w:hint="eastAsia"/>
                <w:sz w:val="24"/>
                <w:szCs w:val="24"/>
                <w:highlight w:val="none"/>
                <w:shd w:val="clear" w:color="FFFFFF" w:fill="auto"/>
              </w:rPr>
              <w:t>投标人承诺函</w:t>
            </w:r>
            <w:r>
              <w:rPr>
                <w:rFonts w:ascii="宋体" w:eastAsia="宋体" w:hint="eastAsia"/>
                <w:sz w:val="24"/>
                <w:szCs w:val="24"/>
                <w:highlight w:val="none"/>
              </w:rPr>
              <w:t>）</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▲3.8</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预案管理功能要求</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预案生成：具备多并发预案生成模式，并发数不低于50；具备基础信息录入、查询和修订、预案制作、预案审核等功能。</w:t>
            </w:r>
          </w:p>
          <w:p>
            <w:pPr>
              <w:rPr>
                <w:rFonts w:ascii="宋体" w:eastAsia="宋体"/>
                <w:highlight w:val="none"/>
              </w:rPr>
            </w:pPr>
            <w:r>
              <w:rPr>
                <w:rFonts w:ascii="宋体" w:eastAsia="宋体" w:hint="eastAsia"/>
                <w:sz w:val="24"/>
                <w:szCs w:val="24"/>
                <w:highlight w:val="none"/>
              </w:rPr>
              <w:t>预案应用：具备预案查询、预案演示、预案调整、预案调用、预案更新等功能。</w:t>
            </w:r>
          </w:p>
          <w:p>
            <w:pPr>
              <w:rPr>
                <w:rFonts w:ascii="宋体" w:eastAsia="宋体"/>
                <w:highlight w:val="none"/>
              </w:rPr>
            </w:pPr>
            <w:r>
              <w:rPr>
                <w:rFonts w:ascii="宋体" w:eastAsia="宋体" w:hint="eastAsia"/>
                <w:sz w:val="24"/>
                <w:szCs w:val="24"/>
                <w:highlight w:val="none"/>
              </w:rPr>
              <w:t>预案维护：可按授权对预案进行调整修订，可记录调整过程和内容。</w:t>
            </w:r>
          </w:p>
          <w:p>
            <w:pPr>
              <w:rPr>
                <w:rFonts w:ascii="宋体" w:eastAsia="宋体"/>
                <w:highlight w:val="none"/>
              </w:rPr>
            </w:pPr>
            <w:r>
              <w:rPr>
                <w:rFonts w:ascii="宋体" w:eastAsia="宋体" w:hint="eastAsia"/>
                <w:sz w:val="24"/>
                <w:szCs w:val="24"/>
                <w:highlight w:val="none"/>
              </w:rPr>
              <w:t>模板管理：预案模板包括基本信息、目录结构、目录类型，使用人员可对预案模板进行添加、修改、删除，并根据模板编制预案。</w:t>
            </w:r>
          </w:p>
          <w:p>
            <w:pPr>
              <w:rPr>
                <w:rFonts w:ascii="宋体" w:eastAsia="宋体"/>
                <w:highlight w:val="none"/>
              </w:rPr>
            </w:pPr>
            <w:r>
              <w:rPr>
                <w:rFonts w:ascii="宋体" w:eastAsia="宋体" w:hint="eastAsia"/>
                <w:sz w:val="24"/>
                <w:szCs w:val="24"/>
                <w:highlight w:val="none"/>
              </w:rPr>
              <w:t>（</w:t>
            </w:r>
            <w:r>
              <w:rPr>
                <w:rFonts w:ascii="宋体" w:eastAsia="宋体" w:hint="eastAsia"/>
                <w:sz w:val="24"/>
                <w:szCs w:val="24"/>
                <w:highlight w:val="none"/>
                <w:shd w:val="clear" w:color="FFFFFF" w:fill="auto"/>
              </w:rPr>
              <w:t>按上述小项逐条提供功能软件界面截图并提供具有CNAS检测资质的检测（检验）机构出具的检测（检验）报告，</w:t>
            </w:r>
            <w:r>
              <w:rPr>
                <w:rFonts w:ascii="宋体" w:eastAsia="宋体" w:hint="eastAsia"/>
                <w:sz w:val="24"/>
                <w:szCs w:val="24"/>
                <w:highlight w:val="none"/>
              </w:rPr>
              <w:t>加盖产品制造商公章）</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▲3.9</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任务管理功能要求</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任务导入：提供模板文件，用于任务编辑。可以导入文件的方式实现行动信息批量导入功能。模板文件字段包含：序号、姓名、照片、地址、行动组长、组长号码等。</w:t>
            </w:r>
          </w:p>
          <w:p>
            <w:pPr>
              <w:rPr>
                <w:rFonts w:ascii="宋体" w:eastAsia="宋体"/>
                <w:highlight w:val="none"/>
              </w:rPr>
            </w:pPr>
            <w:r>
              <w:rPr>
                <w:rFonts w:ascii="宋体" w:eastAsia="宋体" w:hint="eastAsia"/>
                <w:sz w:val="24"/>
                <w:szCs w:val="24"/>
                <w:highlight w:val="none"/>
              </w:rPr>
              <w:t>任务加载：须支持任务自建以及通过标准excel表格导入等方式建立任务，可添加行动和行动下任务，建立任务后，任务信息可在图上进行可视化显示。</w:t>
            </w:r>
          </w:p>
          <w:p>
            <w:pPr>
              <w:rPr>
                <w:rFonts w:ascii="宋体" w:eastAsia="宋体"/>
                <w:highlight w:val="none"/>
              </w:rPr>
            </w:pPr>
            <w:r>
              <w:rPr>
                <w:rFonts w:ascii="宋体" w:eastAsia="宋体" w:hint="eastAsia"/>
                <w:sz w:val="24"/>
                <w:szCs w:val="24"/>
                <w:highlight w:val="none"/>
              </w:rPr>
              <w:t>任务部署：具备用户添加任务、执行任务步骤的功能，步骤内容包含：集结、出发、到位、行动、返回等。</w:t>
            </w:r>
          </w:p>
          <w:p>
            <w:pPr>
              <w:rPr>
                <w:rFonts w:ascii="宋体" w:eastAsia="宋体"/>
                <w:highlight w:val="none"/>
              </w:rPr>
            </w:pPr>
            <w:r>
              <w:rPr>
                <w:rFonts w:ascii="宋体" w:eastAsia="宋体" w:hint="eastAsia"/>
                <w:sz w:val="24"/>
                <w:szCs w:val="24"/>
                <w:highlight w:val="none"/>
              </w:rPr>
              <w:t>任务绑定：支持将目标与对应行动小组进行绑定。</w:t>
            </w:r>
          </w:p>
          <w:p>
            <w:pPr>
              <w:rPr>
                <w:rFonts w:ascii="宋体" w:eastAsia="宋体"/>
                <w:highlight w:val="none"/>
              </w:rPr>
            </w:pPr>
            <w:r>
              <w:rPr>
                <w:rFonts w:ascii="宋体" w:eastAsia="宋体" w:hint="eastAsia"/>
                <w:sz w:val="24"/>
                <w:szCs w:val="24"/>
                <w:highlight w:val="none"/>
              </w:rPr>
              <w:t>任务编辑：支持直接修改任务信息，如战区、目标、警力、位置、详细信息等，并支持二次部署。</w:t>
            </w:r>
          </w:p>
          <w:p>
            <w:pPr>
              <w:rPr>
                <w:rFonts w:ascii="宋体" w:eastAsia="宋体"/>
                <w:highlight w:val="none"/>
              </w:rPr>
            </w:pPr>
            <w:r>
              <w:rPr>
                <w:rFonts w:ascii="宋体" w:eastAsia="宋体" w:hint="eastAsia"/>
                <w:sz w:val="24"/>
                <w:szCs w:val="24"/>
                <w:highlight w:val="none"/>
              </w:rPr>
              <w:t>任务下发：支持将任务下发到对应民警移动指挥终端，且任务下发时延不超过2s。</w:t>
            </w:r>
          </w:p>
          <w:p>
            <w:pPr>
              <w:rPr>
                <w:rFonts w:ascii="宋体" w:eastAsia="宋体"/>
                <w:highlight w:val="none"/>
              </w:rPr>
            </w:pPr>
            <w:r>
              <w:rPr>
                <w:rFonts w:ascii="宋体" w:eastAsia="宋体" w:hint="eastAsia"/>
                <w:sz w:val="24"/>
                <w:szCs w:val="24"/>
                <w:highlight w:val="none"/>
              </w:rPr>
              <w:t>任务执行：支持用户为不同行动设置不同任务执行步骤，并能实时查看每个任务的进度流程和状态。</w:t>
            </w:r>
          </w:p>
          <w:p>
            <w:pPr>
              <w:rPr>
                <w:rFonts w:ascii="宋体" w:eastAsia="宋体"/>
                <w:highlight w:val="none"/>
              </w:rPr>
            </w:pPr>
            <w:r>
              <w:rPr>
                <w:rFonts w:ascii="宋体" w:eastAsia="宋体" w:hint="eastAsia"/>
                <w:sz w:val="24"/>
                <w:szCs w:val="24"/>
                <w:highlight w:val="none"/>
              </w:rPr>
              <w:t>锦囊下发：具备下发锦囊及文件的功能，终端侧收到锦囊及文件后提示用户收到并打开，支持加水印，不允许复制与截屏。</w:t>
            </w:r>
          </w:p>
          <w:p>
            <w:pPr>
              <w:rPr>
                <w:rFonts w:ascii="宋体" w:eastAsia="宋体"/>
                <w:highlight w:val="none"/>
              </w:rPr>
            </w:pPr>
            <w:r>
              <w:rPr>
                <w:rFonts w:ascii="宋体" w:eastAsia="宋体" w:hint="eastAsia"/>
                <w:sz w:val="24"/>
                <w:szCs w:val="24"/>
                <w:highlight w:val="none"/>
              </w:rPr>
              <w:t>任务状态交互：可在地图上实时展示现场警员反馈的任务步骤状态，指挥中心也可根据实际状态进行修改。</w:t>
            </w:r>
          </w:p>
          <w:p>
            <w:pPr>
              <w:rPr>
                <w:rFonts w:ascii="宋体" w:eastAsia="宋体"/>
                <w:highlight w:val="none"/>
              </w:rPr>
            </w:pPr>
            <w:r>
              <w:rPr>
                <w:rFonts w:ascii="宋体" w:eastAsia="宋体" w:hint="eastAsia"/>
                <w:sz w:val="24"/>
                <w:szCs w:val="24"/>
                <w:highlight w:val="none"/>
              </w:rPr>
              <w:t>（</w:t>
            </w:r>
            <w:r>
              <w:rPr>
                <w:rFonts w:ascii="宋体" w:eastAsia="宋体" w:hint="eastAsia"/>
                <w:sz w:val="24"/>
                <w:szCs w:val="24"/>
                <w:highlight w:val="none"/>
                <w:shd w:val="clear" w:color="FFFFFF" w:fill="auto"/>
              </w:rPr>
              <w:t>按上述小项逐条提供功能软件界面截图并提供具有CNAS检测资质的检测（检验）机构出具的检测（检验）报告复印件，加盖产品制造商公章</w:t>
            </w:r>
            <w:r>
              <w:rPr>
                <w:rFonts w:ascii="宋体" w:eastAsia="宋体" w:hint="eastAsia"/>
                <w:sz w:val="24"/>
                <w:szCs w:val="24"/>
                <w:highlight w:val="none"/>
              </w:rPr>
              <w:t>）</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▲3.10</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行动管理功能要求</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地图展示：支持已导入的任务在地图使用二维矢量图展示；支持不低于2种地图显示模式，适应于白天和夜间的图上展示。</w:t>
            </w:r>
          </w:p>
          <w:p>
            <w:pPr>
              <w:rPr>
                <w:rFonts w:ascii="宋体" w:eastAsia="宋体"/>
                <w:highlight w:val="none"/>
              </w:rPr>
            </w:pPr>
            <w:r>
              <w:rPr>
                <w:rFonts w:ascii="宋体" w:eastAsia="宋体" w:hint="eastAsia"/>
                <w:sz w:val="24"/>
                <w:szCs w:val="24"/>
                <w:highlight w:val="none"/>
              </w:rPr>
              <w:t>地址反向定位：支持在地图上填写位置名称进行定位。</w:t>
            </w:r>
          </w:p>
          <w:p>
            <w:pPr>
              <w:rPr>
                <w:rFonts w:ascii="宋体" w:eastAsia="宋体"/>
                <w:highlight w:val="none"/>
              </w:rPr>
            </w:pPr>
            <w:r>
              <w:rPr>
                <w:rFonts w:ascii="宋体" w:eastAsia="宋体" w:hint="eastAsia"/>
                <w:sz w:val="24"/>
                <w:szCs w:val="24"/>
                <w:highlight w:val="none"/>
              </w:rPr>
              <w:t>行动列表：支持显示任务信息和任务当前状态，在一张图自动化展现。</w:t>
            </w:r>
          </w:p>
          <w:p>
            <w:pPr>
              <w:rPr>
                <w:rFonts w:ascii="宋体" w:eastAsia="宋体"/>
                <w:highlight w:val="none"/>
              </w:rPr>
            </w:pPr>
            <w:r>
              <w:rPr>
                <w:rFonts w:ascii="宋体" w:eastAsia="宋体" w:hint="eastAsia"/>
                <w:sz w:val="24"/>
                <w:szCs w:val="24"/>
                <w:highlight w:val="none"/>
              </w:rPr>
              <w:t>任务状态监控：支持在一个界面上显示多个任务小组目前任务状态，实时了解当前各小组行动进度。</w:t>
            </w:r>
          </w:p>
          <w:p>
            <w:pPr>
              <w:rPr>
                <w:rFonts w:ascii="宋体" w:eastAsia="宋体"/>
                <w:highlight w:val="none"/>
              </w:rPr>
            </w:pPr>
            <w:r>
              <w:rPr>
                <w:rFonts w:ascii="宋体" w:eastAsia="宋体" w:hint="eastAsia"/>
                <w:sz w:val="24"/>
                <w:szCs w:val="24"/>
                <w:highlight w:val="none"/>
              </w:rPr>
              <w:t>潜伏圈及抓捕圈：支持在地图上展示目标位置信息（目标代号）、范围（抓捕圈、潜伏圈等，在后台系统中可设置圈半径范围）、组长和目标连线，可隐藏某些任务连线。</w:t>
            </w:r>
          </w:p>
          <w:p>
            <w:pPr>
              <w:rPr>
                <w:rFonts w:ascii="宋体" w:eastAsia="宋体"/>
                <w:highlight w:val="none"/>
              </w:rPr>
            </w:pPr>
            <w:r>
              <w:rPr>
                <w:rFonts w:ascii="宋体" w:eastAsia="宋体" w:hint="eastAsia"/>
                <w:sz w:val="24"/>
                <w:szCs w:val="24"/>
                <w:highlight w:val="none"/>
              </w:rPr>
              <w:t>警员地图：支持在地图上展示警员的位置和实时在线状态信息，并提供锦囊下发、语音、视频、文本等功能的快捷按钮。</w:t>
            </w:r>
          </w:p>
          <w:p>
            <w:pPr>
              <w:rPr>
                <w:rFonts w:ascii="宋体" w:eastAsia="宋体"/>
                <w:highlight w:val="none"/>
              </w:rPr>
            </w:pPr>
            <w:r>
              <w:rPr>
                <w:rFonts w:ascii="宋体" w:eastAsia="宋体" w:hint="eastAsia"/>
                <w:sz w:val="24"/>
                <w:szCs w:val="24"/>
                <w:highlight w:val="none"/>
              </w:rPr>
              <w:t>警员目标连线：支持在地图上展示任务警员和任务目标位置以及两者之间的连线，连线支持可选择隐藏或者展示。</w:t>
            </w:r>
          </w:p>
          <w:p>
            <w:pPr>
              <w:rPr>
                <w:rFonts w:ascii="宋体" w:eastAsia="宋体"/>
                <w:highlight w:val="none"/>
              </w:rPr>
            </w:pPr>
            <w:r>
              <w:rPr>
                <w:rFonts w:ascii="宋体" w:eastAsia="宋体" w:hint="eastAsia"/>
                <w:sz w:val="24"/>
                <w:szCs w:val="24"/>
                <w:highlight w:val="none"/>
              </w:rPr>
              <w:t>行动加载：支持手动加载历史行动，并在地图上显示。</w:t>
            </w:r>
          </w:p>
          <w:p>
            <w:pPr>
              <w:rPr>
                <w:rFonts w:ascii="宋体" w:eastAsia="宋体"/>
                <w:highlight w:val="none"/>
              </w:rPr>
            </w:pPr>
            <w:r>
              <w:rPr>
                <w:rFonts w:ascii="宋体" w:eastAsia="宋体" w:hint="eastAsia"/>
                <w:sz w:val="24"/>
                <w:szCs w:val="24"/>
                <w:highlight w:val="none"/>
              </w:rPr>
              <w:t>图标自定义：支持对警员、组长、目标等在地图上显示自定义图标。</w:t>
            </w:r>
          </w:p>
          <w:p>
            <w:pPr>
              <w:rPr>
                <w:rFonts w:ascii="宋体" w:eastAsia="宋体"/>
                <w:highlight w:val="none"/>
              </w:rPr>
            </w:pPr>
            <w:r>
              <w:rPr>
                <w:rFonts w:ascii="宋体" w:eastAsia="宋体" w:hint="eastAsia"/>
                <w:sz w:val="24"/>
                <w:szCs w:val="24"/>
                <w:highlight w:val="none"/>
              </w:rPr>
              <w:t>（</w:t>
            </w:r>
            <w:r>
              <w:rPr>
                <w:rFonts w:ascii="宋体" w:eastAsia="宋体" w:hint="eastAsia"/>
                <w:sz w:val="24"/>
                <w:szCs w:val="24"/>
                <w:highlight w:val="none"/>
                <w:shd w:val="clear" w:color="FFFFFF" w:fill="auto"/>
              </w:rPr>
              <w:t>按上述小项逐条提供功能软件界面截图并提供具有CNAS检测资质的检测（检验）机构出具的检测（检验）报告复印件，加盖产品制造商公章</w:t>
            </w:r>
            <w:r>
              <w:rPr>
                <w:rFonts w:ascii="宋体" w:eastAsia="宋体" w:hint="eastAsia"/>
                <w:sz w:val="24"/>
                <w:szCs w:val="24"/>
                <w:highlight w:val="none"/>
              </w:rPr>
              <w:t>）</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▲3.11</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战场展示功能要求</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行动任务展示：支持在地图上展示单个或全部任务的当前任务状态。</w:t>
            </w:r>
          </w:p>
          <w:p>
            <w:pPr>
              <w:rPr>
                <w:rFonts w:ascii="宋体" w:eastAsia="宋体"/>
                <w:highlight w:val="none"/>
              </w:rPr>
            </w:pPr>
            <w:r>
              <w:rPr>
                <w:rFonts w:ascii="宋体" w:eastAsia="宋体" w:hint="eastAsia"/>
                <w:sz w:val="24"/>
                <w:szCs w:val="24"/>
                <w:highlight w:val="none"/>
              </w:rPr>
              <w:t>多战区展示：支持在执行大型行动任务时，地图上多屏展示不同任务地点的任务信息。</w:t>
            </w:r>
          </w:p>
          <w:p>
            <w:pPr>
              <w:rPr>
                <w:rFonts w:ascii="宋体" w:eastAsia="宋体"/>
                <w:highlight w:val="none"/>
              </w:rPr>
            </w:pPr>
            <w:r>
              <w:rPr>
                <w:rFonts w:ascii="宋体" w:eastAsia="宋体" w:hint="eastAsia"/>
                <w:sz w:val="24"/>
                <w:szCs w:val="24"/>
                <w:highlight w:val="none"/>
              </w:rPr>
              <w:t>文字图片信息展示：支持在地图界面展示单人或群组的交互信息和图片。</w:t>
            </w:r>
          </w:p>
          <w:p>
            <w:pPr>
              <w:rPr>
                <w:rFonts w:ascii="宋体" w:eastAsia="宋体"/>
                <w:highlight w:val="none"/>
              </w:rPr>
            </w:pPr>
            <w:r>
              <w:rPr>
                <w:rFonts w:ascii="宋体" w:eastAsia="宋体" w:hint="eastAsia"/>
                <w:sz w:val="24"/>
                <w:szCs w:val="24"/>
                <w:highlight w:val="none"/>
              </w:rPr>
              <w:t>视频展示：支持在地图上展示行动警员的实时视频画面。</w:t>
            </w:r>
          </w:p>
          <w:p>
            <w:pPr>
              <w:rPr>
                <w:rFonts w:ascii="宋体" w:eastAsia="宋体"/>
                <w:highlight w:val="none"/>
              </w:rPr>
            </w:pPr>
            <w:r>
              <w:rPr>
                <w:rFonts w:ascii="宋体" w:eastAsia="宋体" w:hint="eastAsia"/>
                <w:sz w:val="24"/>
                <w:szCs w:val="24"/>
                <w:highlight w:val="none"/>
              </w:rPr>
              <w:t>目标状态展示：支持在目标到案后，在地图上展示目标人员位置，并同时打开任务详细信息、抓捕人照片、抓捕人员实时视频。</w:t>
            </w:r>
          </w:p>
          <w:p>
            <w:pPr>
              <w:rPr>
                <w:rFonts w:ascii="宋体" w:eastAsia="宋体"/>
                <w:highlight w:val="none"/>
              </w:rPr>
            </w:pPr>
            <w:r>
              <w:rPr>
                <w:rFonts w:ascii="宋体" w:eastAsia="宋体" w:hint="eastAsia"/>
                <w:sz w:val="24"/>
                <w:szCs w:val="24"/>
                <w:highlight w:val="none"/>
              </w:rPr>
              <w:t>到案战果统计：支持将到案目标各类状态统一展示。</w:t>
            </w:r>
          </w:p>
          <w:p>
            <w:pPr>
              <w:rPr>
                <w:rFonts w:ascii="宋体" w:eastAsia="宋体"/>
                <w:highlight w:val="none"/>
              </w:rPr>
            </w:pPr>
            <w:r>
              <w:rPr>
                <w:rFonts w:ascii="宋体" w:eastAsia="宋体" w:hint="eastAsia"/>
                <w:sz w:val="24"/>
                <w:szCs w:val="24"/>
                <w:highlight w:val="none"/>
              </w:rPr>
              <w:t>战场回放：支持对任务过程中的录音、录像、轨迹、抓捕状态等内容进行统一查询、回放。</w:t>
            </w:r>
          </w:p>
          <w:p>
            <w:pPr>
              <w:rPr>
                <w:rFonts w:ascii="宋体" w:eastAsia="宋体"/>
                <w:highlight w:val="none"/>
              </w:rPr>
            </w:pPr>
            <w:r>
              <w:rPr>
                <w:rFonts w:ascii="宋体" w:eastAsia="宋体" w:hint="eastAsia"/>
                <w:sz w:val="24"/>
                <w:szCs w:val="24"/>
                <w:highlight w:val="none"/>
              </w:rPr>
              <w:t>（</w:t>
            </w:r>
            <w:r>
              <w:rPr>
                <w:rFonts w:ascii="宋体" w:eastAsia="宋体" w:hint="eastAsia"/>
                <w:sz w:val="24"/>
                <w:szCs w:val="24"/>
                <w:highlight w:val="none"/>
                <w:shd w:val="clear" w:color="FFFFFF" w:fill="auto"/>
              </w:rPr>
              <w:t>按上述小项逐条提供功能软件界面截图并提供具有CNAS检测资质的检测（检验）机构出具的检测（检验）报告复印件，加盖产品制造商公章</w:t>
            </w:r>
            <w:r>
              <w:rPr>
                <w:rFonts w:ascii="宋体" w:eastAsia="宋体" w:hint="eastAsia"/>
                <w:sz w:val="24"/>
                <w:szCs w:val="24"/>
                <w:highlight w:val="none"/>
              </w:rPr>
              <w:t>）</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3.12</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集群对讲</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可通过终端实现点对点单呼、点对多点集群对讲、选组通信（终端可在多个通讯组内进行切换）。</w:t>
            </w:r>
          </w:p>
        </w:tc>
        <w:tc>
          <w:tcPr>
            <w:tcW w:w="736" w:type="pct"/>
            <w:vAlign w:val="center"/>
          </w:tcPr>
          <w:p>
            <w:pPr>
              <w:jc w:val="center"/>
              <w:rPr>
                <w:rFonts w:ascii="宋体" w:eastAsia="宋体"/>
                <w:highlight w:val="none"/>
              </w:rPr>
            </w:pPr>
            <w:r>
              <w:rPr>
                <w:rFonts w:ascii="宋体" w:eastAsia="宋体" w:hint="eastAsia"/>
                <w:sz w:val="24"/>
                <w:szCs w:val="24"/>
                <w:highlight w:val="none"/>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3.13</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媒体传输</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可通过终端实现由终端主动进行实时视频上传、终端被动实时视频上传、终端主动实时视频下载、终端被动实时视频下载，终端拍摄媒体（照片、录像）上传。</w:t>
            </w:r>
          </w:p>
        </w:tc>
        <w:tc>
          <w:tcPr>
            <w:tcW w:w="736" w:type="pct"/>
            <w:vAlign w:val="center"/>
          </w:tcPr>
          <w:p>
            <w:pPr>
              <w:jc w:val="center"/>
              <w:rPr>
                <w:rFonts w:ascii="宋体" w:eastAsia="宋体"/>
                <w:highlight w:val="none"/>
              </w:rPr>
            </w:pPr>
            <w:r>
              <w:rPr>
                <w:rFonts w:ascii="宋体" w:eastAsia="宋体" w:hint="eastAsia"/>
                <w:sz w:val="24"/>
                <w:szCs w:val="24"/>
                <w:highlight w:val="none"/>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3.14</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信息传输</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可通过终端实现接收文本、彩信、即时消息，也支持通过终端发送文本、彩信、即时消息。</w:t>
            </w:r>
          </w:p>
        </w:tc>
        <w:tc>
          <w:tcPr>
            <w:tcW w:w="736" w:type="pct"/>
            <w:vAlign w:val="center"/>
          </w:tcPr>
          <w:p>
            <w:pPr>
              <w:jc w:val="center"/>
              <w:rPr>
                <w:rFonts w:ascii="宋体" w:eastAsia="宋体"/>
                <w:highlight w:val="none"/>
              </w:rPr>
            </w:pPr>
            <w:r>
              <w:rPr>
                <w:rFonts w:ascii="宋体" w:eastAsia="宋体" w:hint="eastAsia"/>
                <w:sz w:val="24"/>
                <w:szCs w:val="24"/>
                <w:highlight w:val="none"/>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3.15</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容量及时延要求</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最大用户数不低于10000 ；最大组数不低于2000 ；单组用户容量不低于500 ；组呼呼叫时延不大于1s ；广播呼叫时延不大于1s ；端到端视频时延不大于1s 。</w:t>
            </w:r>
          </w:p>
          <w:p>
            <w:pPr>
              <w:rPr>
                <w:rFonts w:ascii="宋体" w:eastAsia="宋体"/>
                <w:highlight w:val="none"/>
              </w:rPr>
            </w:pPr>
            <w:r>
              <w:rPr>
                <w:rFonts w:ascii="宋体" w:eastAsia="宋体" w:hint="eastAsia"/>
                <w:sz w:val="24"/>
                <w:szCs w:val="24"/>
                <w:highlight w:val="none"/>
              </w:rPr>
              <w:t>（提供技术指标及配置清单，加盖产品制造商公章）</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3.16</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终端管理</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支持查询终端是否在线及当前业务状态（通话状态、视频传输状态）、终端位置实时定位、智能流量控制、系统对终端远程管理（进行视频参数调整、视频传输开闭、定位状态开闭、定位参数调整、定位参数上传频率、环境监听开闭、强插、强拆、动态分组、终端版本升级）。</w:t>
            </w:r>
          </w:p>
        </w:tc>
        <w:tc>
          <w:tcPr>
            <w:tcW w:w="736" w:type="pct"/>
            <w:vAlign w:val="center"/>
          </w:tcPr>
          <w:p>
            <w:pPr>
              <w:jc w:val="center"/>
              <w:rPr>
                <w:rFonts w:ascii="宋体" w:eastAsia="宋体"/>
                <w:highlight w:val="none"/>
              </w:rPr>
            </w:pPr>
            <w:r>
              <w:rPr>
                <w:rFonts w:ascii="宋体" w:eastAsia="宋体" w:hint="eastAsia"/>
                <w:sz w:val="24"/>
                <w:szCs w:val="24"/>
                <w:highlight w:val="none"/>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3.17</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移动会商功能要求</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支持调度台可选择视频会议终端、移动指挥终端、指挥平板等进行视频作战会商，同时可通过语音方式加入固话坐席、移动电话等，在会商过程中可选择现场摄像头、移动布控球的实时画面加入到会场中; 支持多种等分布局不少于36分屏；支持不少于6种1+N布局模式；支持2+8布局；支持视频巡视功能，行动过程中，调度台可查看任意进行中视频会商的实时音视频流情况，成员无感知。</w:t>
            </w:r>
          </w:p>
          <w:p>
            <w:pPr>
              <w:rPr>
                <w:rFonts w:ascii="宋体" w:eastAsia="宋体"/>
                <w:highlight w:val="none"/>
              </w:rPr>
            </w:pPr>
            <w:r>
              <w:rPr>
                <w:rFonts w:ascii="宋体" w:eastAsia="宋体" w:hint="eastAsia"/>
                <w:sz w:val="24"/>
                <w:szCs w:val="24"/>
                <w:highlight w:val="none"/>
              </w:rPr>
              <w:t>（提供具有CNAS检测资质的检测（检验）机构出具的检测（检验）报告复印件，加盖产品制造商公章）</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3.18</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移动会商性能要求</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应支持4K、1080P60、1080P30、720P60、720P30、4CIF等多种视频分辨率，应兼容H.265、H.264HP、H.264BP、H.263等多种视频编解码协议。</w:t>
            </w:r>
          </w:p>
          <w:p>
            <w:pPr>
              <w:rPr>
                <w:rFonts w:ascii="宋体" w:eastAsia="宋体"/>
                <w:highlight w:val="none"/>
              </w:rPr>
            </w:pPr>
            <w:r>
              <w:rPr>
                <w:rFonts w:ascii="宋体" w:eastAsia="宋体" w:hint="eastAsia"/>
                <w:sz w:val="24"/>
                <w:szCs w:val="24"/>
                <w:highlight w:val="none"/>
              </w:rPr>
              <w:t>（提供具有CNAS检测资质的检测（检验）机构出具的检测（检验）报告复印件，加盖产品制造商公章）</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3.19</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移动会商其他要求</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应具备注册穿透、地址簿、设备管理、SIP中继、GK&amp;H.460、协作服务、行动视频录制等功能。</w:t>
            </w:r>
          </w:p>
          <w:p>
            <w:pPr>
              <w:rPr>
                <w:rFonts w:ascii="宋体" w:eastAsia="宋体"/>
                <w:highlight w:val="none"/>
              </w:rPr>
            </w:pPr>
            <w:r>
              <w:rPr>
                <w:rFonts w:ascii="宋体" w:eastAsia="宋体" w:hint="eastAsia"/>
                <w:sz w:val="24"/>
                <w:szCs w:val="24"/>
                <w:highlight w:val="none"/>
              </w:rPr>
              <w:t>（提供具有CNAS检测资质的检测（检验）机构出具的检测（检验）报告复印件，加盖产品制造商公章）</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3.20</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开放性</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须提供开放的SDK开发包与文档等二次开发接口，并按海关缉私相关规定进行定制、开发。</w:t>
            </w:r>
          </w:p>
          <w:p>
            <w:pPr>
              <w:rPr>
                <w:rFonts w:ascii="宋体" w:eastAsia="宋体"/>
                <w:highlight w:val="none"/>
              </w:rPr>
            </w:pPr>
            <w:r>
              <w:rPr>
                <w:rFonts w:ascii="宋体" w:eastAsia="宋体" w:hint="eastAsia"/>
                <w:sz w:val="24"/>
                <w:szCs w:val="24"/>
                <w:highlight w:val="none"/>
              </w:rPr>
              <w:t>开发包功能包括但不限于：鉴权、注册、状态、呼叫、视频、定位等内容。</w:t>
            </w:r>
          </w:p>
          <w:p>
            <w:pPr>
              <w:rPr>
                <w:rFonts w:ascii="宋体" w:eastAsia="宋体"/>
                <w:highlight w:val="none"/>
              </w:rPr>
            </w:pPr>
            <w:r>
              <w:rPr>
                <w:rFonts w:ascii="宋体" w:eastAsia="宋体" w:hint="eastAsia"/>
                <w:sz w:val="24"/>
                <w:szCs w:val="24"/>
                <w:highlight w:val="none"/>
              </w:rPr>
              <w:t>（同时提供投标人承诺函及产品制造商承诺函）</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3.21</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接入能力</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具备借助已建的移动警务安全边界接入平台，实现缉私作战电子资料由公安移动信息网中发给移动警务终端，开展刑事案件移动指挥的能力。</w:t>
            </w:r>
          </w:p>
          <w:p>
            <w:pPr>
              <w:rPr>
                <w:rFonts w:ascii="宋体" w:eastAsia="宋体"/>
                <w:highlight w:val="none"/>
              </w:rPr>
            </w:pPr>
            <w:r>
              <w:rPr>
                <w:rFonts w:ascii="宋体" w:eastAsia="宋体" w:hint="eastAsia"/>
                <w:sz w:val="24"/>
                <w:szCs w:val="24"/>
                <w:highlight w:val="none"/>
              </w:rPr>
              <w:t>（提供投标人及产品制造商承诺函）</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3.22</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著作权要求</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提供设备主机软件指挥管控类相关软件著作权。</w:t>
            </w:r>
          </w:p>
          <w:p>
            <w:pPr>
              <w:rPr>
                <w:rFonts w:ascii="宋体" w:eastAsia="宋体"/>
                <w:highlight w:val="none"/>
              </w:rPr>
            </w:pPr>
            <w:r>
              <w:rPr>
                <w:rFonts w:ascii="宋体" w:eastAsia="宋体" w:hint="eastAsia"/>
                <w:sz w:val="24"/>
                <w:szCs w:val="24"/>
                <w:highlight w:val="none"/>
              </w:rPr>
              <w:t>（提供证书复印件，加盖产品制造商公章）</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3.23</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信息安全性</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符合GB/T 25000.51-2016相关信息安全性等质量要求和测试细则。</w:t>
            </w:r>
          </w:p>
          <w:p>
            <w:pPr>
              <w:rPr>
                <w:rFonts w:ascii="宋体" w:eastAsia="宋体"/>
                <w:highlight w:val="none"/>
              </w:rPr>
            </w:pPr>
            <w:r>
              <w:rPr>
                <w:rFonts w:ascii="宋体" w:eastAsia="宋体" w:hint="eastAsia"/>
                <w:sz w:val="24"/>
                <w:szCs w:val="24"/>
                <w:highlight w:val="none"/>
              </w:rPr>
              <w:t>（提供具有CNAS检测资质的检测（检验）机构出具的检测（检验）报告复印件，加盖产品制造商公章）</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★3.24</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兼容性要求</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作战单元调度指挥设备须无缝接入海关缉私部门已建成的3G/4G单警数字化装备管理控制系统，业务上实现互连互通，方便操作人员统一管理。</w:t>
            </w:r>
          </w:p>
          <w:p>
            <w:pPr>
              <w:rPr>
                <w:rFonts w:ascii="宋体" w:eastAsia="宋体"/>
                <w:highlight w:val="none"/>
              </w:rPr>
            </w:pPr>
            <w:r>
              <w:rPr>
                <w:rFonts w:ascii="宋体" w:eastAsia="宋体" w:hint="eastAsia"/>
                <w:sz w:val="24"/>
                <w:szCs w:val="24"/>
                <w:highlight w:val="none"/>
              </w:rPr>
              <w:t>（提供投标人承诺函，并在技术解决方案中提供详细对接方案设计、对接流程图、对接优化建议等内容）</w:t>
            </w:r>
          </w:p>
          <w:p>
            <w:pPr>
              <w:rPr>
                <w:rFonts w:ascii="宋体" w:eastAsia="宋体"/>
                <w:highlight w:val="none"/>
              </w:rPr>
            </w:pPr>
            <w:r>
              <w:rPr>
                <w:rFonts w:ascii="宋体" w:eastAsia="宋体" w:hint="eastAsia"/>
                <w:sz w:val="24"/>
                <w:szCs w:val="24"/>
                <w:highlight w:val="none"/>
              </w:rPr>
              <w:t>注：现有系统接口详见《缉私3G/4G单警数字化装备管理控制系统终端接入接口说明》文档。本文档为缉私内部工作资料，须在相关机构处授权领取。</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3.25</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适应性改造</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须对交付的设备业务应用软件功能，在合同保修期内，按照不同直属局最终用户的实际业务规则和业务需求进行功能性和适应性改造。</w:t>
            </w:r>
          </w:p>
          <w:p>
            <w:pPr>
              <w:rPr>
                <w:rFonts w:ascii="宋体" w:eastAsia="宋体"/>
                <w:highlight w:val="none"/>
              </w:rPr>
            </w:pPr>
            <w:r>
              <w:rPr>
                <w:rFonts w:ascii="宋体" w:eastAsia="宋体" w:hint="eastAsia"/>
                <w:sz w:val="24"/>
                <w:szCs w:val="24"/>
                <w:highlight w:val="none"/>
              </w:rPr>
              <w:t>（同时提供投标人承诺函及产品制造商承诺函）</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highlight w:val="none"/>
              </w:rPr>
            </w:pPr>
            <w:r>
              <w:rPr>
                <w:rFonts w:ascii="宋体" w:eastAsia="宋体" w:hint="eastAsia"/>
                <w:sz w:val="24"/>
                <w:szCs w:val="24"/>
                <w:highlight w:val="none"/>
              </w:rPr>
              <w:t>★3.26</w:t>
            </w:r>
          </w:p>
        </w:tc>
        <w:tc>
          <w:tcPr>
            <w:tcW w:w="988" w:type="pct"/>
            <w:tcBorders>
              <w:top w:val="single" w:sz="4" w:space="0" w:color="auto"/>
              <w:left w:val="single" w:sz="4" w:space="0" w:color="auto"/>
              <w:right w:val="single" w:sz="4" w:space="0" w:color="auto"/>
            </w:tcBorders>
            <w:vAlign w:val="center"/>
          </w:tcPr>
          <w:p>
            <w:pPr>
              <w:ind w:firstLine="0"/>
              <w:jc w:val="center"/>
              <w:rPr>
                <w:rFonts w:ascii="宋体" w:eastAsia="宋体"/>
                <w:highlight w:val="none"/>
              </w:rPr>
            </w:pPr>
            <w:r>
              <w:rPr>
                <w:rFonts w:ascii="宋体" w:eastAsia="宋体" w:hint="eastAsia"/>
                <w:sz w:val="24"/>
                <w:szCs w:val="24"/>
                <w:highlight w:val="none"/>
              </w:rPr>
              <w:t>单套配置</w:t>
            </w:r>
          </w:p>
        </w:tc>
        <w:tc>
          <w:tcPr>
            <w:tcW w:w="2784" w:type="pct"/>
            <w:tcBorders>
              <w:top w:val="single" w:sz="4" w:space="0" w:color="auto"/>
              <w:left w:val="single" w:sz="4" w:space="0" w:color="auto"/>
              <w:right w:val="single" w:sz="4" w:space="0" w:color="auto"/>
            </w:tcBorders>
            <w:vAlign w:val="center"/>
          </w:tcPr>
          <w:p>
            <w:pPr>
              <w:rPr>
                <w:rFonts w:ascii="宋体" w:eastAsia="宋体"/>
                <w:highlight w:val="none"/>
              </w:rPr>
            </w:pPr>
            <w:r>
              <w:rPr>
                <w:rFonts w:ascii="宋体" w:eastAsia="宋体" w:hint="eastAsia"/>
                <w:sz w:val="24"/>
                <w:szCs w:val="24"/>
                <w:highlight w:val="none"/>
              </w:rPr>
              <w:t>主机1</w:t>
              <w:tab/>
              <w:t>套（包含软硬件）、电源线2根、网线2根。</w:t>
            </w:r>
          </w:p>
          <w:p>
            <w:pPr>
              <w:rPr>
                <w:rFonts w:ascii="宋体" w:eastAsia="宋体"/>
                <w:highlight w:val="none"/>
              </w:rPr>
            </w:pPr>
            <w:r>
              <w:rPr>
                <w:rFonts w:ascii="宋体" w:eastAsia="宋体" w:hint="eastAsia"/>
                <w:sz w:val="24"/>
                <w:szCs w:val="24"/>
                <w:highlight w:val="none"/>
              </w:rPr>
              <w:t>（提供技术指标及配置清单）</w:t>
            </w:r>
          </w:p>
        </w:tc>
        <w:tc>
          <w:tcPr>
            <w:tcW w:w="736" w:type="pct"/>
            <w:vAlign w:val="center"/>
          </w:tcPr>
          <w:p>
            <w:pPr>
              <w:jc w:val="center"/>
              <w:rPr>
                <w:rFonts w:ascii="宋体" w:eastAsia="宋体"/>
                <w:highlight w:val="none"/>
              </w:rPr>
            </w:pPr>
            <w:r>
              <w:rPr>
                <w:rFonts w:ascii="宋体" w:eastAsia="宋体" w:hint="eastAsia"/>
                <w:sz w:val="24"/>
                <w:szCs w:val="24"/>
                <w:highlight w:val="none"/>
              </w:rPr>
              <w:t>是</w:t>
            </w:r>
          </w:p>
        </w:tc>
      </w:tr>
    </w:tbl>
    <w:p>
      <w:pPr>
        <w:pStyle w:val="BP3"/>
        <w:rPr>
          <w:rFonts w:ascii="宋体" w:eastAsia="宋体"/>
          <w:sz w:val="24"/>
          <w:szCs w:val="24"/>
        </w:rPr>
      </w:pPr>
      <w:bookmarkStart w:id="43" w:name="_Hlk167398771"/>
      <w:r>
        <w:rPr>
          <w:rFonts w:ascii="宋体" w:eastAsia="宋体" w:hint="eastAsia"/>
          <w:sz w:val="24"/>
          <w:szCs w:val="24"/>
        </w:rPr>
        <w:t>4.主要配置</w:t>
      </w:r>
    </w:p>
    <w:p>
      <w:pPr>
        <w:rPr>
          <w:rFonts w:ascii="宋体" w:eastAsia="宋体"/>
        </w:rPr>
      </w:pPr>
      <w:r>
        <w:rPr>
          <w:rFonts w:ascii="宋体" w:eastAsia="宋体" w:hint="eastAsia"/>
          <w:sz w:val="24"/>
          <w:szCs w:val="24"/>
        </w:rPr>
        <w:t>无特殊配置。</w:t>
      </w:r>
    </w:p>
    <w:p>
      <w:pPr>
        <w:rPr>
          <w:rFonts w:ascii="宋体" w:eastAsia="宋体"/>
        </w:rPr>
      </w:pPr>
      <w:bookmarkEnd w:id="43"/>
    </w:p>
    <w:p>
      <w:pPr>
        <w:spacing w:before="156" w:beforeLines="50" w:after="156" w:afterLines="50" w:line="360" w:lineRule="auto"/>
        <w:jc w:val="left"/>
        <w:rPr>
          <w:rFonts w:ascii="宋体" w:eastAsia="宋体"/>
        </w:rPr>
      </w:pPr>
    </w:p>
    <w:p>
      <w:pPr>
        <w:spacing w:before="156" w:beforeLines="50" w:after="156" w:afterLines="50" w:line="360" w:lineRule="auto"/>
        <w:jc w:val="left"/>
        <w:rPr>
          <w:rFonts w:ascii="宋体" w:eastAsia="宋体"/>
        </w:rPr>
      </w:pPr>
    </w:p>
    <w:p>
      <w:pPr>
        <w:spacing w:before="156" w:beforeLines="50" w:after="156" w:afterLines="50" w:line="360" w:lineRule="auto"/>
        <w:jc w:val="left"/>
        <w:rPr>
          <w:rFonts w:ascii="宋体" w:eastAsia="宋体"/>
        </w:rPr>
        <w:sectPr>
          <w:footerReference w:type="default" r:id="rId8"/>
          <w:pgSz w:w="11906" w:h="16838"/>
          <w:pgMar w:top="1440" w:right="1800" w:bottom="1440" w:left="1800" w:header="851" w:footer="992" w:gutter="0"/>
          <w:cols w:num="1" w:space="720"/>
          <w:docGrid w:type="lines" w:linePitch="312" w:charSpace="0"/>
        </w:sectPr>
      </w:pPr>
    </w:p>
    <w:p>
      <w:pPr>
        <w:pStyle w:val="BP0"/>
        <w:spacing w:before="156" w:beforeLines="50" w:after="156" w:afterLines="50"/>
        <w:jc w:val="left"/>
        <w:rPr>
          <w:rFonts w:ascii="宋体" w:eastAsia="宋体"/>
          <w:sz w:val="24"/>
          <w:szCs w:val="24"/>
        </w:rPr>
      </w:pPr>
      <w:r>
        <w:rPr>
          <w:rFonts w:ascii="宋体" w:eastAsia="宋体" w:hint="eastAsia"/>
          <w:sz w:val="24"/>
          <w:szCs w:val="24"/>
        </w:rPr>
        <w:t>（二）品目2（通讯互联交换设备）</w:t>
      </w:r>
    </w:p>
    <w:p>
      <w:pPr>
        <w:pStyle w:val="BP3"/>
        <w:rPr>
          <w:rFonts w:ascii="宋体" w:eastAsia="宋体"/>
          <w:sz w:val="24"/>
          <w:szCs w:val="24"/>
        </w:rPr>
      </w:pPr>
      <w:r>
        <w:rPr>
          <w:rFonts w:ascii="宋体" w:eastAsia="宋体" w:hint="eastAsia"/>
          <w:sz w:val="24"/>
          <w:szCs w:val="24"/>
        </w:rPr>
        <w:t>1.主要用途</w:t>
      </w:r>
    </w:p>
    <w:p>
      <w:pPr>
        <w:pStyle w:val="4110"/>
        <w:spacing w:line="360" w:lineRule="auto"/>
        <w:rPr>
          <w:rFonts w:ascii="宋体" w:eastAsia="宋体"/>
          <w:strike/>
          <w:dstrike w:val="0"/>
          <w:sz w:val="24"/>
          <w:szCs w:val="24"/>
        </w:rPr>
      </w:pPr>
      <w:r>
        <w:rPr>
          <w:rFonts w:ascii="宋体" w:eastAsia="宋体" w:hint="eastAsia"/>
          <w:sz w:val="24"/>
          <w:szCs w:val="24"/>
        </w:rPr>
        <w:t xml:space="preserve">    通讯互联交换设备用于缉私业务系统的通讯连接，对缉私作战中应用的各类通信手段进行接入、汇聚、融合，实现单警数字化装备终端与对讲机、固定电话、手机、执法仪、布控球等终端语音互通、视频通话、实时定位、行动轨迹等功能，并进行统一展现。</w:t>
      </w:r>
    </w:p>
    <w:p>
      <w:pPr>
        <w:pStyle w:val="BP3"/>
        <w:rPr>
          <w:rFonts w:ascii="宋体" w:eastAsia="宋体"/>
          <w:sz w:val="24"/>
          <w:szCs w:val="24"/>
        </w:rPr>
      </w:pPr>
      <w:r>
        <w:rPr>
          <w:rFonts w:ascii="宋体" w:eastAsia="宋体" w:hint="eastAsia"/>
          <w:sz w:val="24"/>
          <w:szCs w:val="24"/>
        </w:rPr>
        <w:t>2.特殊资质要求</w:t>
      </w:r>
    </w:p>
    <w:p>
      <w:pPr>
        <w:pStyle w:val="BP1"/>
      </w:pPr>
      <w:r>
        <w:rPr>
          <w:rFonts w:hint="eastAsia"/>
          <w:bCs/>
        </w:rPr>
        <w:t>无。</w:t>
      </w:r>
      <w:r>
        <w:rPr>
          <w:rFonts w:hint="eastAsia"/>
        </w:rPr>
        <w:t xml:space="preserve">   </w:t>
      </w:r>
    </w:p>
    <w:p>
      <w:pPr>
        <w:pStyle w:val="BP3"/>
        <w:rPr>
          <w:rFonts w:ascii="宋体" w:eastAsia="宋体"/>
          <w:sz w:val="24"/>
          <w:szCs w:val="24"/>
        </w:rPr>
      </w:pPr>
      <w:r>
        <w:rPr>
          <w:rFonts w:ascii="宋体" w:eastAsia="宋体" w:hint="eastAsia"/>
          <w:sz w:val="24"/>
          <w:szCs w:val="24"/>
        </w:rPr>
        <w:t>3.主要技术参数</w:t>
      </w:r>
    </w:p>
    <w:tbl>
      <w:tblPr>
        <w:tblW w:w="5218" w:type="pct"/>
        <w:jc w:val="lef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20"/>
        <w:gridCol w:w="1903"/>
        <w:gridCol w:w="4662"/>
        <w:gridCol w:w="1309"/>
      </w:tblGrid>
      <w:tr>
        <w:tblPrEx>
          <w:tblW w:w="5218" w:type="pct"/>
          <w:jc w:val="lef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69"/>
          <w:tblHeader/>
          <w:jc w:val="left"/>
        </w:trPr>
        <w:tc>
          <w:tcPr>
            <w:tcW w:w="573" w:type="pct"/>
            <w:vAlign w:val="center"/>
          </w:tcPr>
          <w:p>
            <w:pPr>
              <w:pStyle w:val="305"/>
              <w:rPr>
                <w:rFonts w:ascii="宋体"/>
                <w:b/>
                <w:bCs/>
                <w:szCs w:val="24"/>
              </w:rPr>
            </w:pPr>
            <w:r>
              <w:rPr>
                <w:rFonts w:ascii="宋体" w:hint="eastAsia"/>
                <w:b/>
                <w:bCs/>
                <w:szCs w:val="24"/>
              </w:rPr>
              <w:t>序号</w:t>
            </w:r>
          </w:p>
        </w:tc>
        <w:tc>
          <w:tcPr>
            <w:tcW w:w="1070" w:type="pct"/>
            <w:vAlign w:val="center"/>
          </w:tcPr>
          <w:p>
            <w:pPr>
              <w:pStyle w:val="324"/>
              <w:widowControl/>
              <w:jc w:val="center"/>
              <w:rPr>
                <w:rFonts w:ascii="宋体"/>
                <w:b/>
                <w:bCs/>
                <w:kern w:val="0"/>
                <w:szCs w:val="24"/>
              </w:rPr>
            </w:pPr>
            <w:r>
              <w:rPr>
                <w:rFonts w:ascii="宋体" w:hint="eastAsia"/>
                <w:b/>
                <w:bCs/>
                <w:kern w:val="0"/>
                <w:szCs w:val="24"/>
              </w:rPr>
              <w:t>指标项</w:t>
            </w:r>
          </w:p>
        </w:tc>
        <w:tc>
          <w:tcPr>
            <w:tcW w:w="2621" w:type="pct"/>
            <w:vAlign w:val="center"/>
          </w:tcPr>
          <w:p>
            <w:pPr>
              <w:pStyle w:val="334"/>
              <w:widowControl/>
              <w:jc w:val="center"/>
              <w:rPr>
                <w:rFonts w:ascii="宋体"/>
                <w:b/>
                <w:bCs/>
                <w:kern w:val="0"/>
                <w:szCs w:val="24"/>
              </w:rPr>
            </w:pPr>
            <w:r>
              <w:rPr>
                <w:rFonts w:ascii="宋体" w:hint="eastAsia"/>
                <w:b/>
                <w:bCs/>
                <w:kern w:val="0"/>
                <w:szCs w:val="24"/>
              </w:rPr>
              <w:t>指标要求</w:t>
            </w:r>
          </w:p>
        </w:tc>
        <w:tc>
          <w:tcPr>
            <w:tcW w:w="736" w:type="pct"/>
            <w:vAlign w:val="center"/>
          </w:tcPr>
          <w:p>
            <w:pPr>
              <w:pStyle w:val="361"/>
              <w:widowControl/>
              <w:jc w:val="center"/>
              <w:rPr>
                <w:rFonts w:ascii="宋体"/>
                <w:b/>
                <w:bCs/>
                <w:kern w:val="0"/>
                <w:szCs w:val="24"/>
              </w:rPr>
            </w:pPr>
            <w:r>
              <w:rPr>
                <w:rFonts w:ascii="宋体" w:hint="eastAsia"/>
                <w:b/>
                <w:bCs/>
                <w:kern w:val="0"/>
                <w:szCs w:val="24"/>
              </w:rPr>
              <w:t>证明材料要求</w:t>
            </w:r>
          </w:p>
        </w:tc>
      </w:tr>
      <w:tr>
        <w:tblPrEx>
          <w:tblW w:w="5218" w:type="pct"/>
          <w:jc w:val="left"/>
          <w:tblInd w:w="-714" w:type="dxa"/>
          <w:tblLayout w:type="fixed"/>
          <w:tblCellMar>
            <w:top w:w="0" w:type="dxa"/>
            <w:left w:w="108" w:type="dxa"/>
            <w:bottom w:w="0" w:type="dxa"/>
            <w:right w:w="108" w:type="dxa"/>
          </w:tblCellMar>
        </w:tblPrEx>
        <w:trPr>
          <w:trHeight w:val="855"/>
          <w:jc w:val="left"/>
        </w:trPr>
        <w:tc>
          <w:tcPr>
            <w:tcW w:w="573" w:type="pct"/>
            <w:vAlign w:val="center"/>
          </w:tcPr>
          <w:p>
            <w:pPr>
              <w:ind w:firstLine="0"/>
              <w:jc w:val="center"/>
              <w:rPr>
                <w:rFonts w:ascii="宋体" w:eastAsia="宋体"/>
              </w:rPr>
            </w:pPr>
            <w:r>
              <w:rPr>
                <w:rFonts w:ascii="宋体" w:eastAsia="宋体" w:hint="eastAsia"/>
                <w:sz w:val="24"/>
                <w:szCs w:val="24"/>
              </w:rPr>
              <w:t>★3.1</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规格</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整机一体化机框设计，独立板卡，支持机房机架安装。</w:t>
            </w:r>
          </w:p>
          <w:p>
            <w:pPr>
              <w:rPr>
                <w:rFonts w:ascii="宋体" w:eastAsia="宋体"/>
                <w:kern w:val="0"/>
              </w:rPr>
            </w:pPr>
            <w:r>
              <w:rPr>
                <w:rFonts w:ascii="宋体" w:eastAsia="宋体" w:hint="eastAsia"/>
                <w:sz w:val="24"/>
                <w:szCs w:val="24"/>
              </w:rPr>
              <w:t>（提供实物图）</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★3.2</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硬件基本要求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CPU配置不低于4核8线程3.4GHz、内存大小不低于32G 、硬盘容量不低于2T SSD固态硬盘。</w:t>
            </w:r>
          </w:p>
          <w:p>
            <w:pPr>
              <w:rPr>
                <w:rFonts w:ascii="宋体" w:eastAsia="宋体"/>
              </w:rPr>
            </w:pPr>
            <w:r>
              <w:rPr>
                <w:rFonts w:ascii="宋体" w:eastAsia="宋体" w:hint="eastAsia"/>
                <w:sz w:val="24"/>
                <w:szCs w:val="24"/>
              </w:rPr>
              <w:t>（提供技术指标及配置清单</w:t>
            </w:r>
            <w:r>
              <w:rPr>
                <w:rFonts w:ascii="宋体" w:eastAsia="宋体" w:hint="eastAsia"/>
                <w:sz w:val="24"/>
                <w:szCs w:val="24"/>
                <w:highlight w:val="none"/>
              </w:rPr>
              <w:t>）</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284"/>
          <w:jc w:val="left"/>
        </w:trPr>
        <w:tc>
          <w:tcPr>
            <w:tcW w:w="573" w:type="pct"/>
            <w:vAlign w:val="center"/>
          </w:tcPr>
          <w:p>
            <w:pPr>
              <w:ind w:firstLine="0"/>
              <w:jc w:val="center"/>
              <w:rPr>
                <w:rFonts w:ascii="宋体" w:eastAsia="宋体"/>
              </w:rPr>
            </w:pPr>
            <w:r>
              <w:rPr>
                <w:rFonts w:ascii="宋体" w:eastAsia="宋体" w:hint="eastAsia"/>
                <w:sz w:val="24"/>
                <w:szCs w:val="24"/>
              </w:rPr>
              <w:t>★3.3</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状态指示灯</w:t>
            </w:r>
          </w:p>
          <w:p>
            <w:pPr>
              <w:ind w:firstLine="0"/>
              <w:jc w:val="center"/>
              <w:rPr>
                <w:rFonts w:ascii="宋体" w:eastAsia="宋体"/>
                <w:kern w:val="0"/>
              </w:rPr>
            </w:pPr>
            <w:r>
              <w:rPr>
                <w:rFonts w:ascii="宋体" w:eastAsia="宋体" w:hint="eastAsia"/>
                <w:sz w:val="24"/>
                <w:szCs w:val="24"/>
              </w:rPr>
              <w:t>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具备各种状态指示灯，应包括主控板电源指示灯，每一个业务板卡均具备工作状态指示灯。</w:t>
            </w:r>
          </w:p>
          <w:p>
            <w:pPr>
              <w:rPr>
                <w:rFonts w:ascii="宋体" w:eastAsia="宋体"/>
                <w:kern w:val="0"/>
              </w:rPr>
            </w:pPr>
            <w:r>
              <w:rPr>
                <w:rFonts w:ascii="宋体" w:eastAsia="宋体" w:hint="eastAsia"/>
                <w:sz w:val="24"/>
                <w:szCs w:val="24"/>
              </w:rPr>
              <w:t>（提供实物图）</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3.4</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接口要求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具备不少于2个千兆电口；具备HDMI接口；具备交流双电源，确保系统稳定供电。</w:t>
            </w:r>
          </w:p>
          <w:p>
            <w:pPr>
              <w:rPr>
                <w:rFonts w:ascii="宋体" w:eastAsia="宋体"/>
                <w:kern w:val="0"/>
              </w:rPr>
            </w:pPr>
            <w:r>
              <w:rPr>
                <w:rFonts w:ascii="宋体" w:eastAsia="宋体" w:hint="eastAsia"/>
                <w:sz w:val="24"/>
                <w:szCs w:val="24"/>
              </w:rPr>
              <w:t>（提供实物图，加盖产品制造商公章）</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▲3.5</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状态显示屏</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不小于50mm*70mm LCD，须实时显示设备主控板IP地址、CPU占比、内存占比、磁盘空间状态、实时温度等状态数据。</w:t>
            </w:r>
          </w:p>
          <w:p>
            <w:pPr>
              <w:rPr>
                <w:rFonts w:ascii="宋体" w:eastAsia="宋体"/>
                <w:kern w:val="0"/>
              </w:rPr>
            </w:pPr>
            <w:r>
              <w:rPr>
                <w:rFonts w:ascii="宋体" w:eastAsia="宋体" w:hint="eastAsia"/>
                <w:sz w:val="24"/>
                <w:szCs w:val="24"/>
              </w:rPr>
              <w:t>（</w:t>
            </w:r>
            <w:r>
              <w:rPr>
                <w:rFonts w:ascii="宋体" w:eastAsia="宋体" w:hint="eastAsia"/>
                <w:sz w:val="24"/>
                <w:szCs w:val="24"/>
                <w:highlight w:val="none"/>
              </w:rPr>
              <w:t>提供实物图并提供具有CNAS检测资质的检测（检验）机构出具的检测（检验）报告复印件，加盖产品制造商公章）</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★3.6</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通讯融合要求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需具备宽带（LTE FDD/LTE TDD）和窄带（模拟集群、TETRA数字集群）、公网（联通、移动、电信）和专网（600MHz/1.4GHz/1.8GHz）接入功能；具备模拟电话、IP电话、常规对讲机、车台、手机、集群终端互连互通功能；具备第三方通讯系统可通过通迅互联交换设备实现通信控制功能。</w:t>
            </w:r>
          </w:p>
          <w:p>
            <w:pPr>
              <w:rPr>
                <w:rFonts w:ascii="宋体" w:eastAsia="宋体"/>
                <w:kern w:val="0"/>
              </w:rPr>
            </w:pPr>
            <w:r>
              <w:rPr>
                <w:rFonts w:ascii="宋体" w:eastAsia="宋体" w:hint="eastAsia"/>
                <w:sz w:val="24"/>
                <w:szCs w:val="24"/>
              </w:rPr>
              <w:t>（提供技术指标及配置清单</w:t>
            </w:r>
            <w:r>
              <w:rPr>
                <w:rFonts w:ascii="宋体" w:eastAsia="宋体" w:hint="eastAsia"/>
                <w:sz w:val="24"/>
                <w:szCs w:val="24"/>
                <w:highlight w:val="none"/>
              </w:rPr>
              <w:t>）</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★3.7</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板卡基本要求</w:t>
            </w:r>
          </w:p>
        </w:tc>
        <w:tc>
          <w:tcPr>
            <w:tcW w:w="2621" w:type="pct"/>
            <w:tcBorders>
              <w:top w:val="single" w:sz="4" w:space="0" w:color="auto"/>
              <w:left w:val="single" w:sz="4" w:space="0" w:color="auto"/>
              <w:right w:val="single" w:sz="4" w:space="0" w:color="auto"/>
            </w:tcBorders>
            <w:vAlign w:val="center"/>
          </w:tcPr>
          <w:p>
            <w:pPr>
              <w:rPr>
                <w:rFonts w:ascii="宋体" w:eastAsia="宋体"/>
                <w:kern w:val="0"/>
              </w:rPr>
            </w:pPr>
            <w:r>
              <w:rPr>
                <w:rFonts w:ascii="宋体" w:eastAsia="宋体" w:hint="eastAsia"/>
                <w:sz w:val="24"/>
                <w:szCs w:val="24"/>
              </w:rPr>
              <w:t>主机需具备至少6个业务板板卡插槽，并配备无线板卡、电话板卡、PTT集群板卡、音频板卡、语音激励板卡。（提供实物图）</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3.8</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无线板卡要求</w:t>
            </w:r>
          </w:p>
        </w:tc>
        <w:tc>
          <w:tcPr>
            <w:tcW w:w="2621" w:type="pct"/>
            <w:tcBorders>
              <w:top w:val="single" w:sz="4" w:space="0" w:color="auto"/>
              <w:left w:val="single" w:sz="4" w:space="0" w:color="auto"/>
              <w:right w:val="single" w:sz="4" w:space="0" w:color="auto"/>
            </w:tcBorders>
            <w:vAlign w:val="center"/>
          </w:tcPr>
          <w:p>
            <w:pPr>
              <w:rPr>
                <w:rFonts w:ascii="宋体" w:eastAsia="宋体"/>
                <w:kern w:val="0"/>
              </w:rPr>
            </w:pPr>
            <w:r>
              <w:rPr>
                <w:rFonts w:ascii="宋体" w:eastAsia="宋体" w:hint="eastAsia"/>
                <w:sz w:val="24"/>
                <w:szCs w:val="24"/>
              </w:rPr>
              <w:t>至少具备4路，可以同时插入4张SIM卡，支持语音和短信。</w:t>
            </w:r>
          </w:p>
        </w:tc>
        <w:tc>
          <w:tcPr>
            <w:tcW w:w="736" w:type="pct"/>
            <w:vAlign w:val="center"/>
          </w:tcPr>
          <w:p>
            <w:pPr>
              <w:jc w:val="center"/>
              <w:rPr>
                <w:rFonts w:ascii="宋体" w:eastAsia="宋体"/>
              </w:rPr>
            </w:pPr>
            <w:r>
              <w:rPr>
                <w:rFonts w:ascii="宋体" w:eastAsia="宋体" w:hint="eastAsia"/>
                <w:sz w:val="24"/>
                <w:szCs w:val="24"/>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3.9</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电话板卡要求</w:t>
            </w:r>
          </w:p>
        </w:tc>
        <w:tc>
          <w:tcPr>
            <w:tcW w:w="2621" w:type="pct"/>
            <w:tcBorders>
              <w:top w:val="single" w:sz="4" w:space="0" w:color="auto"/>
              <w:left w:val="single" w:sz="4" w:space="0" w:color="auto"/>
              <w:right w:val="single" w:sz="4" w:space="0" w:color="auto"/>
            </w:tcBorders>
            <w:vAlign w:val="center"/>
          </w:tcPr>
          <w:p>
            <w:pPr>
              <w:rPr>
                <w:rFonts w:ascii="宋体" w:eastAsia="宋体"/>
                <w:kern w:val="0"/>
              </w:rPr>
            </w:pPr>
            <w:r>
              <w:rPr>
                <w:rFonts w:ascii="宋体" w:eastAsia="宋体" w:hint="eastAsia"/>
                <w:sz w:val="24"/>
                <w:szCs w:val="24"/>
              </w:rPr>
              <w:t>单块环路中继业务板支持16FXS/16FXO/8FXS+8FXO三种可选配置。</w:t>
            </w:r>
          </w:p>
        </w:tc>
        <w:tc>
          <w:tcPr>
            <w:tcW w:w="736" w:type="pct"/>
            <w:vAlign w:val="center"/>
          </w:tcPr>
          <w:p>
            <w:pPr>
              <w:jc w:val="center"/>
              <w:rPr>
                <w:rFonts w:ascii="宋体" w:eastAsia="宋体"/>
              </w:rPr>
            </w:pPr>
            <w:r>
              <w:rPr>
                <w:rFonts w:ascii="宋体" w:eastAsia="宋体" w:hint="eastAsia"/>
                <w:sz w:val="24"/>
                <w:szCs w:val="24"/>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3.10</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PTT集群板卡要求</w:t>
            </w:r>
          </w:p>
        </w:tc>
        <w:tc>
          <w:tcPr>
            <w:tcW w:w="2621" w:type="pct"/>
            <w:tcBorders>
              <w:top w:val="single" w:sz="4" w:space="0" w:color="auto"/>
              <w:left w:val="single" w:sz="4" w:space="0" w:color="auto"/>
              <w:right w:val="single" w:sz="4" w:space="0" w:color="auto"/>
            </w:tcBorders>
            <w:vAlign w:val="center"/>
          </w:tcPr>
          <w:p>
            <w:pPr>
              <w:rPr>
                <w:rFonts w:ascii="宋体" w:eastAsia="宋体"/>
                <w:kern w:val="0"/>
              </w:rPr>
            </w:pPr>
            <w:r>
              <w:rPr>
                <w:rFonts w:ascii="宋体" w:eastAsia="宋体" w:hint="eastAsia"/>
                <w:sz w:val="24"/>
                <w:szCs w:val="24"/>
              </w:rPr>
              <w:t>至少具备4路，可以接对讲机、短波/超短波设备，可实现和地方公安350M、400M、800M等集群系统语音互通。</w:t>
            </w:r>
          </w:p>
        </w:tc>
        <w:tc>
          <w:tcPr>
            <w:tcW w:w="736" w:type="pct"/>
            <w:vAlign w:val="center"/>
          </w:tcPr>
          <w:p>
            <w:pPr>
              <w:jc w:val="center"/>
              <w:rPr>
                <w:rFonts w:ascii="宋体" w:eastAsia="宋体"/>
              </w:rPr>
            </w:pPr>
            <w:r>
              <w:rPr>
                <w:rFonts w:ascii="宋体" w:eastAsia="宋体" w:hint="eastAsia"/>
                <w:sz w:val="24"/>
                <w:szCs w:val="24"/>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3.11</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音频板卡要求</w:t>
            </w:r>
          </w:p>
        </w:tc>
        <w:tc>
          <w:tcPr>
            <w:tcW w:w="2621" w:type="pct"/>
            <w:tcBorders>
              <w:top w:val="single" w:sz="4" w:space="0" w:color="auto"/>
              <w:left w:val="single" w:sz="4" w:space="0" w:color="auto"/>
              <w:right w:val="single" w:sz="4" w:space="0" w:color="auto"/>
            </w:tcBorders>
            <w:vAlign w:val="center"/>
          </w:tcPr>
          <w:p>
            <w:pPr>
              <w:rPr>
                <w:rFonts w:ascii="宋体" w:eastAsia="宋体"/>
                <w:kern w:val="0"/>
              </w:rPr>
            </w:pPr>
            <w:r>
              <w:rPr>
                <w:rFonts w:ascii="宋体" w:eastAsia="宋体" w:hint="eastAsia"/>
                <w:sz w:val="24"/>
                <w:szCs w:val="24"/>
              </w:rPr>
              <w:t>至少具备4路，支持3.5mm麦克风接口、调音台接口、音箱接口，可实现与会议室调音台/音频矩阵/扩音系统/麦克风对接。</w:t>
            </w:r>
          </w:p>
        </w:tc>
        <w:tc>
          <w:tcPr>
            <w:tcW w:w="736" w:type="pct"/>
            <w:vAlign w:val="center"/>
          </w:tcPr>
          <w:p>
            <w:pPr>
              <w:jc w:val="center"/>
              <w:rPr>
                <w:rFonts w:ascii="宋体" w:eastAsia="宋体"/>
              </w:rPr>
            </w:pPr>
            <w:r>
              <w:rPr>
                <w:rFonts w:ascii="宋体" w:eastAsia="宋体" w:hint="eastAsia"/>
                <w:sz w:val="24"/>
                <w:szCs w:val="24"/>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3.12</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语音激励板卡要求</w:t>
            </w:r>
          </w:p>
        </w:tc>
        <w:tc>
          <w:tcPr>
            <w:tcW w:w="2621" w:type="pct"/>
            <w:tcBorders>
              <w:top w:val="single" w:sz="4" w:space="0" w:color="auto"/>
              <w:left w:val="single" w:sz="4" w:space="0" w:color="auto"/>
              <w:right w:val="single" w:sz="4" w:space="0" w:color="auto"/>
            </w:tcBorders>
            <w:vAlign w:val="center"/>
          </w:tcPr>
          <w:p>
            <w:pPr>
              <w:rPr>
                <w:rFonts w:ascii="宋体" w:eastAsia="宋体"/>
                <w:kern w:val="0"/>
              </w:rPr>
            </w:pPr>
            <w:r>
              <w:rPr>
                <w:rFonts w:ascii="宋体" w:eastAsia="宋体" w:hint="eastAsia"/>
                <w:sz w:val="24"/>
                <w:szCs w:val="24"/>
              </w:rPr>
              <w:t>至少具备4路语音激励，可实现对4路语音的同步呼通。</w:t>
            </w:r>
          </w:p>
        </w:tc>
        <w:tc>
          <w:tcPr>
            <w:tcW w:w="736" w:type="pct"/>
            <w:vAlign w:val="center"/>
          </w:tcPr>
          <w:p>
            <w:pPr>
              <w:jc w:val="center"/>
              <w:rPr>
                <w:rFonts w:ascii="宋体" w:eastAsia="宋体"/>
              </w:rPr>
            </w:pPr>
            <w:r>
              <w:rPr>
                <w:rFonts w:ascii="宋体" w:eastAsia="宋体" w:hint="eastAsia"/>
                <w:sz w:val="24"/>
                <w:szCs w:val="24"/>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3.13</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控制要求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须支持网络管理，对通道状态实时监控。</w:t>
            </w:r>
          </w:p>
          <w:p>
            <w:pPr>
              <w:rPr>
                <w:rFonts w:ascii="宋体" w:eastAsia="宋体"/>
                <w:kern w:val="0"/>
              </w:rPr>
            </w:pPr>
            <w:r>
              <w:rPr>
                <w:rFonts w:ascii="宋体" w:eastAsia="宋体" w:hint="eastAsia"/>
                <w:sz w:val="24"/>
                <w:szCs w:val="24"/>
              </w:rPr>
              <w:t>（</w:t>
            </w:r>
            <w:r>
              <w:rPr>
                <w:rFonts w:ascii="宋体" w:eastAsia="宋体" w:hint="eastAsia"/>
                <w:sz w:val="24"/>
                <w:szCs w:val="24"/>
                <w:highlight w:val="none"/>
              </w:rPr>
              <w:t>提供具有CNAS检测资质的检测（检验）机构出具的检测（检验）报告复印件，加盖产品制造商公章）</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▲3.14</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扩展要求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具备联网接入通道扩展坞，通过板卡插入扩展坞的方式实现无线通道远程部署。</w:t>
            </w:r>
          </w:p>
          <w:p>
            <w:pPr>
              <w:rPr>
                <w:rFonts w:ascii="宋体" w:eastAsia="宋体"/>
                <w:kern w:val="0"/>
              </w:rPr>
            </w:pPr>
            <w:r>
              <w:rPr>
                <w:rFonts w:ascii="宋体" w:eastAsia="宋体" w:hint="eastAsia"/>
                <w:sz w:val="24"/>
                <w:szCs w:val="24"/>
              </w:rPr>
              <w:t>（须提供实物连接图，加盖产品制造商公章）</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3.15</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语音调度功能</w:t>
            </w:r>
          </w:p>
        </w:tc>
        <w:tc>
          <w:tcPr>
            <w:tcW w:w="2621" w:type="pct"/>
            <w:tcBorders>
              <w:top w:val="single" w:sz="4" w:space="0" w:color="auto"/>
              <w:left w:val="single" w:sz="4" w:space="0" w:color="auto"/>
              <w:right w:val="single" w:sz="4" w:space="0" w:color="auto"/>
            </w:tcBorders>
            <w:vAlign w:val="center"/>
          </w:tcPr>
          <w:p>
            <w:pPr>
              <w:rPr>
                <w:rFonts w:ascii="宋体" w:eastAsia="宋体"/>
                <w:kern w:val="0"/>
              </w:rPr>
            </w:pPr>
            <w:r>
              <w:rPr>
                <w:rFonts w:ascii="宋体" w:eastAsia="宋体" w:hint="eastAsia"/>
                <w:sz w:val="24"/>
                <w:szCs w:val="24"/>
              </w:rPr>
              <w:t>须支持组呼、广播、多优先级呼叫、强插强拆、动态重组、迟后进入、呼叫限时、环境监测等，可以实现指挥中心调度台与对讲机、电话 、电台的多方语音通联功能。</w:t>
            </w:r>
          </w:p>
        </w:tc>
        <w:tc>
          <w:tcPr>
            <w:tcW w:w="736" w:type="pct"/>
            <w:vAlign w:val="center"/>
          </w:tcPr>
          <w:p>
            <w:pPr>
              <w:jc w:val="center"/>
              <w:rPr>
                <w:rFonts w:ascii="宋体" w:eastAsia="宋体"/>
              </w:rPr>
            </w:pPr>
            <w:r>
              <w:rPr>
                <w:rFonts w:ascii="宋体" w:eastAsia="宋体" w:hint="eastAsia"/>
                <w:sz w:val="24"/>
                <w:szCs w:val="24"/>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3.16</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视频调度功能</w:t>
            </w:r>
          </w:p>
        </w:tc>
        <w:tc>
          <w:tcPr>
            <w:tcW w:w="2621" w:type="pct"/>
            <w:tcBorders>
              <w:top w:val="single" w:sz="4" w:space="0" w:color="auto"/>
              <w:left w:val="single" w:sz="4" w:space="0" w:color="auto"/>
              <w:right w:val="single" w:sz="4" w:space="0" w:color="auto"/>
            </w:tcBorders>
            <w:vAlign w:val="center"/>
          </w:tcPr>
          <w:p>
            <w:pPr>
              <w:rPr>
                <w:rFonts w:ascii="宋体" w:eastAsia="宋体"/>
                <w:kern w:val="0"/>
              </w:rPr>
            </w:pPr>
            <w:r>
              <w:rPr>
                <w:rFonts w:ascii="宋体" w:eastAsia="宋体" w:hint="eastAsia"/>
                <w:sz w:val="24"/>
                <w:szCs w:val="24"/>
              </w:rPr>
              <w:t>须支持视频呼叫、实时视频调用、视频转发、视频会议、视频窗口分屏显示、云台控制、远程视频参数设置、视频监控、视频上墙等，可以实现指挥中心调度台实时查看单警数字化装备终端、移动布控球视频功能。</w:t>
            </w:r>
          </w:p>
        </w:tc>
        <w:tc>
          <w:tcPr>
            <w:tcW w:w="736" w:type="pct"/>
            <w:vAlign w:val="center"/>
          </w:tcPr>
          <w:p>
            <w:pPr>
              <w:jc w:val="center"/>
              <w:rPr>
                <w:rFonts w:ascii="宋体" w:eastAsia="宋体"/>
              </w:rPr>
            </w:pPr>
            <w:r>
              <w:rPr>
                <w:rFonts w:ascii="宋体" w:eastAsia="宋体" w:hint="eastAsia"/>
                <w:sz w:val="24"/>
                <w:szCs w:val="24"/>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3.17</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定位功能</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支持位置跟踪、地图切换、实时定位、实时轨迹、历史轨迹查询、电子围栏、一键调度、进入告警、离开告警、地图图选创建临时组、标点管理、跟踪任务等，可以实现指挥中心调度台实时定位单警数字化装备终端、移动布控球实时位置功能。</w:t>
            </w:r>
          </w:p>
        </w:tc>
        <w:tc>
          <w:tcPr>
            <w:tcW w:w="736" w:type="pct"/>
            <w:vAlign w:val="center"/>
          </w:tcPr>
          <w:p>
            <w:pPr>
              <w:jc w:val="center"/>
              <w:rPr>
                <w:rFonts w:ascii="宋体" w:eastAsia="宋体"/>
              </w:rPr>
            </w:pPr>
            <w:r>
              <w:rPr>
                <w:rFonts w:ascii="宋体" w:eastAsia="宋体" w:hint="eastAsia"/>
                <w:sz w:val="24"/>
                <w:szCs w:val="24"/>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3.18</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信令要求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须支持7号SS7、PRI、一号R2、CAS、Q.SIG、V5.2、DPNSS。</w:t>
            </w:r>
          </w:p>
        </w:tc>
        <w:tc>
          <w:tcPr>
            <w:tcW w:w="736" w:type="pct"/>
            <w:vAlign w:val="center"/>
          </w:tcPr>
          <w:p>
            <w:pPr>
              <w:jc w:val="center"/>
              <w:rPr>
                <w:rFonts w:ascii="宋体" w:eastAsia="宋体"/>
              </w:rPr>
            </w:pPr>
            <w:r>
              <w:rPr>
                <w:rFonts w:ascii="宋体" w:eastAsia="宋体" w:hint="eastAsia"/>
                <w:sz w:val="24"/>
                <w:szCs w:val="24"/>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3.19</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协议要求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须支持 SIP 协议、RTP 协议，支持通过 SIP 协议接入 SIP 设备；支持ONVIF协议；支持RTSP协议。</w:t>
            </w:r>
          </w:p>
        </w:tc>
        <w:tc>
          <w:tcPr>
            <w:tcW w:w="736" w:type="pct"/>
            <w:vAlign w:val="center"/>
          </w:tcPr>
          <w:p>
            <w:pPr>
              <w:jc w:val="center"/>
              <w:rPr>
                <w:rFonts w:ascii="宋体" w:eastAsia="宋体"/>
              </w:rPr>
            </w:pPr>
            <w:r>
              <w:rPr>
                <w:rFonts w:ascii="宋体" w:eastAsia="宋体" w:hint="eastAsia"/>
                <w:sz w:val="24"/>
                <w:szCs w:val="24"/>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3.20</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编码格式要求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须支持 H.264 及 H.265 视频编码格式， 支持 QCIF、 CIF、 D1、 720P及 1080P 分辨率视频。</w:t>
            </w:r>
          </w:p>
        </w:tc>
        <w:tc>
          <w:tcPr>
            <w:tcW w:w="736" w:type="pct"/>
            <w:vAlign w:val="center"/>
          </w:tcPr>
          <w:p>
            <w:pPr>
              <w:jc w:val="center"/>
              <w:rPr>
                <w:rFonts w:ascii="宋体" w:eastAsia="宋体"/>
              </w:rPr>
            </w:pPr>
            <w:r>
              <w:rPr>
                <w:rFonts w:ascii="宋体" w:eastAsia="宋体" w:hint="eastAsia"/>
                <w:sz w:val="24"/>
                <w:szCs w:val="24"/>
              </w:rPr>
              <w:t>否</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▲3.21</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性能与其它要求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流量控制要求：接入终端将视频上传至通迅互联交换设备，当设备不调阅终端视频时，具备定时自动关闭接入终端视频的能力。</w:t>
            </w:r>
          </w:p>
          <w:p>
            <w:pPr>
              <w:rPr>
                <w:rFonts w:ascii="宋体" w:eastAsia="宋体"/>
              </w:rPr>
            </w:pPr>
            <w:r>
              <w:rPr>
                <w:rFonts w:ascii="宋体" w:eastAsia="宋体" w:hint="eastAsia"/>
                <w:sz w:val="24"/>
                <w:szCs w:val="24"/>
              </w:rPr>
              <w:t>前端接入要求：支持DVR、NVR、IPC等前端设备通过SDK方式接入。</w:t>
            </w:r>
          </w:p>
          <w:p>
            <w:pPr>
              <w:rPr>
                <w:rFonts w:ascii="宋体" w:eastAsia="宋体"/>
              </w:rPr>
            </w:pPr>
            <w:r>
              <w:rPr>
                <w:rFonts w:ascii="宋体" w:eastAsia="宋体" w:hint="eastAsia"/>
                <w:sz w:val="24"/>
                <w:szCs w:val="24"/>
              </w:rPr>
              <w:t>架构要求：需支持C/S和B/S架构，应提供C/S和B/S开发包，B/S应支持IE、谷歌、火狐、edge、Opera等浏览器。</w:t>
            </w:r>
          </w:p>
          <w:p>
            <w:pPr>
              <w:rPr>
                <w:rFonts w:ascii="宋体" w:eastAsia="宋体"/>
              </w:rPr>
            </w:pPr>
            <w:r>
              <w:rPr>
                <w:rFonts w:ascii="宋体" w:eastAsia="宋体" w:hint="eastAsia"/>
                <w:sz w:val="24"/>
                <w:szCs w:val="24"/>
              </w:rPr>
              <w:t>多级级联要求：在需要的情况下，当设备需接入上级平台或其他当地第三方平台时，可通过节点管理配置或指定端口，与上级平台或当地第三方平台实现互联互通与级联通迅；支持开户数据按层次进行分级管理；支持最大层次深度不低于 5 级，支持最大群组数不低于1000; 支持终端、用户、群组按照节点进行管理，支持管理员管理节点；节点管理员可在其管理范围内管理终端、用户及群组开户数据。</w:t>
            </w:r>
          </w:p>
          <w:p>
            <w:pPr>
              <w:rPr>
                <w:rFonts w:ascii="宋体" w:eastAsia="宋体"/>
              </w:rPr>
            </w:pPr>
            <w:r>
              <w:rPr>
                <w:rFonts w:ascii="宋体" w:eastAsia="宋体" w:hint="eastAsia"/>
                <w:sz w:val="24"/>
                <w:szCs w:val="24"/>
              </w:rPr>
              <w:t>时延要求：从主叫建立呼叫（拨出被叫组号码）到得到系统提示可说话时间：不超过0.5秒；从按下PTT按键到收到允许讲话提示的时间：不超过0.3秒。</w:t>
            </w:r>
          </w:p>
          <w:p>
            <w:pPr>
              <w:rPr>
                <w:rFonts w:ascii="宋体" w:eastAsia="宋体"/>
              </w:rPr>
            </w:pPr>
            <w:r>
              <w:rPr>
                <w:rFonts w:ascii="宋体" w:eastAsia="宋体" w:hint="eastAsia"/>
                <w:sz w:val="24"/>
                <w:szCs w:val="24"/>
              </w:rPr>
              <w:t>系统软件需具备通过国标GB/T 28181认证的软件测试报告。</w:t>
            </w:r>
          </w:p>
          <w:p>
            <w:pPr>
              <w:rPr>
                <w:rFonts w:ascii="宋体" w:eastAsia="宋体"/>
              </w:rPr>
            </w:pPr>
            <w:r>
              <w:rPr>
                <w:rFonts w:ascii="宋体" w:eastAsia="宋体" w:hint="eastAsia"/>
                <w:sz w:val="24"/>
                <w:szCs w:val="24"/>
              </w:rPr>
              <w:t>（</w:t>
            </w:r>
            <w:r>
              <w:rPr>
                <w:rFonts w:ascii="宋体" w:eastAsia="宋体" w:hint="eastAsia"/>
                <w:sz w:val="24"/>
                <w:szCs w:val="24"/>
                <w:highlight w:val="none"/>
              </w:rPr>
              <w:t>须提供具有CNAS检测资质的检测（检验）机构出具的检测（检验）报告复印件，加盖产品制造商公章）</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3.22</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开放性</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须提供开放的SDK开发包与文档等二次开发接口，并按海关缉私相关规定进行定制、开发。</w:t>
            </w:r>
          </w:p>
          <w:p>
            <w:pPr>
              <w:rPr>
                <w:rFonts w:ascii="宋体" w:eastAsia="宋体"/>
              </w:rPr>
            </w:pPr>
            <w:r>
              <w:rPr>
                <w:rFonts w:ascii="宋体" w:eastAsia="宋体" w:hint="eastAsia"/>
                <w:sz w:val="24"/>
                <w:szCs w:val="24"/>
              </w:rPr>
              <w:t>开发包功能包括但不限于：鉴权、注册、状态、呼叫、视频、定位等内容。</w:t>
            </w:r>
          </w:p>
          <w:p>
            <w:pPr>
              <w:rPr>
                <w:rFonts w:ascii="宋体" w:eastAsia="宋体"/>
              </w:rPr>
            </w:pPr>
            <w:r>
              <w:rPr>
                <w:rFonts w:ascii="宋体" w:eastAsia="宋体" w:hint="eastAsia"/>
                <w:sz w:val="24"/>
                <w:szCs w:val="24"/>
              </w:rPr>
              <w:t>（同时提供投标人承诺函及产品制造商承诺函）</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3.23</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著作权要求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提供设备主机软件融合通信类软件著作权。</w:t>
            </w:r>
          </w:p>
          <w:p>
            <w:pPr>
              <w:rPr>
                <w:rFonts w:ascii="宋体" w:eastAsia="宋体"/>
              </w:rPr>
            </w:pPr>
            <w:r>
              <w:rPr>
                <w:rFonts w:ascii="宋体" w:eastAsia="宋体" w:hint="eastAsia"/>
                <w:sz w:val="24"/>
                <w:szCs w:val="24"/>
              </w:rPr>
              <w:t>（提供证书复印件，加盖产品制造商公章）</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3.24</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设备证书要求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须提供工业和信息化部颁发的《电信设备进网许可证》。</w:t>
            </w:r>
          </w:p>
          <w:p>
            <w:pPr>
              <w:rPr>
                <w:rFonts w:ascii="宋体" w:eastAsia="宋体"/>
              </w:rPr>
            </w:pPr>
            <w:r>
              <w:rPr>
                <w:rFonts w:ascii="宋体" w:eastAsia="宋体" w:hint="eastAsia"/>
                <w:sz w:val="24"/>
                <w:szCs w:val="24"/>
              </w:rPr>
              <w:t>（提供证书复印件，加盖产品制造商公章）</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3.25</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信息安全性</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符合GB/T 25000.51-2016相关信息安全性等质量要求和测试细则。（提供该相关功能CNAS认证的检验（检测）机构出具的检验（检测）报告复印件，加盖产品制造商公章）</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★3.26</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兼容性要求</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通讯互联交换设备须无缝接入海关缉私部门已建成的3G/4G单警数字化装备管理控制系统，业务上实现互连互通，方便操作人员统一管理。</w:t>
            </w:r>
          </w:p>
          <w:p>
            <w:pPr>
              <w:pStyle w:val="9101"/>
              <w:spacing w:line="360" w:lineRule="auto"/>
              <w:rPr>
                <w:rFonts w:ascii="宋体" w:eastAsia="宋体"/>
                <w:bCs/>
                <w:sz w:val="24"/>
                <w:szCs w:val="24"/>
              </w:rPr>
            </w:pPr>
            <w:r>
              <w:rPr>
                <w:rFonts w:ascii="宋体" w:eastAsia="宋体" w:hint="eastAsia"/>
                <w:sz w:val="24"/>
                <w:szCs w:val="24"/>
              </w:rPr>
              <w:t>（提供投标人</w:t>
            </w:r>
            <w:r>
              <w:rPr>
                <w:rFonts w:ascii="宋体" w:eastAsia="宋体" w:cs="Times New Roman" w:hint="eastAsia"/>
                <w:kern w:val="2"/>
                <w:sz w:val="24"/>
                <w:szCs w:val="24"/>
                <w:highlight w:val="none"/>
                <w:lang w:val="en-US" w:eastAsia="zh-CN" w:bidi="ar-SA"/>
              </w:rPr>
              <w:t>承诺函，</w:t>
            </w:r>
            <w:r>
              <w:rPr>
                <w:rFonts w:ascii="宋体" w:eastAsia="宋体" w:hint="eastAsia"/>
                <w:sz w:val="24"/>
                <w:szCs w:val="24"/>
              </w:rPr>
              <w:t>并在技术解决方案中提供详细对接方案设计、对接流程图、对接优化建议等内容）</w:t>
            </w:r>
          </w:p>
          <w:p>
            <w:pPr>
              <w:rPr>
                <w:rFonts w:ascii="宋体" w:eastAsia="宋体"/>
              </w:rPr>
            </w:pPr>
            <w:r>
              <w:rPr>
                <w:rFonts w:ascii="宋体" w:eastAsia="宋体" w:hint="eastAsia"/>
                <w:sz w:val="24"/>
                <w:szCs w:val="24"/>
              </w:rPr>
              <w:t>注：现有系统接口详见《缉私3G/4G单警数字化装备管理控制系统终端接入接口说明》文档。本文档为缉私内部工作资料，须在相关机构处授权领取。</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center"/>
              <w:rPr>
                <w:rFonts w:ascii="宋体" w:eastAsia="宋体"/>
              </w:rPr>
            </w:pPr>
            <w:r>
              <w:rPr>
                <w:rFonts w:ascii="宋体" w:eastAsia="宋体" w:hint="eastAsia"/>
                <w:sz w:val="24"/>
                <w:szCs w:val="24"/>
              </w:rPr>
              <w:t>3.27</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适应性改造</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须对交付的设备业务应用软件功能，在合同保修期内，按照不同直属局最终用户的实际业务规则和业务需求进行功能性和适应性改造。</w:t>
            </w:r>
          </w:p>
          <w:p>
            <w:pPr>
              <w:rPr>
                <w:rFonts w:ascii="宋体" w:eastAsia="宋体"/>
              </w:rPr>
            </w:pPr>
            <w:r>
              <w:rPr>
                <w:rFonts w:ascii="宋体" w:eastAsia="宋体" w:hint="eastAsia"/>
                <w:sz w:val="24"/>
                <w:szCs w:val="24"/>
              </w:rPr>
              <w:t>（同时提供投标人承诺函及产品制造商承诺函）</w:t>
            </w:r>
          </w:p>
        </w:tc>
        <w:tc>
          <w:tcPr>
            <w:tcW w:w="736" w:type="pct"/>
            <w:vAlign w:val="center"/>
          </w:tcPr>
          <w:p>
            <w:pPr>
              <w:jc w:val="center"/>
              <w:rPr>
                <w:rFonts w:ascii="宋体" w:eastAsia="宋体"/>
              </w:rPr>
            </w:pPr>
            <w:r>
              <w:rPr>
                <w:rFonts w:ascii="宋体" w:eastAsia="宋体" w:hint="eastAsia"/>
                <w:sz w:val="24"/>
                <w:szCs w:val="24"/>
              </w:rPr>
              <w:t>是</w:t>
            </w:r>
          </w:p>
        </w:tc>
      </w:tr>
      <w:tr>
        <w:tblPrEx>
          <w:tblW w:w="5218" w:type="pct"/>
          <w:jc w:val="left"/>
          <w:tblInd w:w="-714" w:type="dxa"/>
          <w:tblLayout w:type="fixed"/>
          <w:tblCellMar>
            <w:top w:w="0" w:type="dxa"/>
            <w:left w:w="108" w:type="dxa"/>
            <w:bottom w:w="0" w:type="dxa"/>
            <w:right w:w="108" w:type="dxa"/>
          </w:tblCellMar>
        </w:tblPrEx>
        <w:trPr>
          <w:trHeight w:val="1140"/>
          <w:jc w:val="left"/>
        </w:trPr>
        <w:tc>
          <w:tcPr>
            <w:tcW w:w="573" w:type="pct"/>
            <w:vAlign w:val="center"/>
          </w:tcPr>
          <w:p>
            <w:pPr>
              <w:ind w:firstLine="0"/>
              <w:jc w:val="both"/>
              <w:rPr>
                <w:rFonts w:ascii="宋体" w:eastAsia="宋体"/>
              </w:rPr>
            </w:pPr>
            <w:r>
              <w:rPr>
                <w:rFonts w:ascii="宋体" w:eastAsia="宋体" w:hint="eastAsia"/>
                <w:sz w:val="24"/>
                <w:szCs w:val="24"/>
              </w:rPr>
              <w:t>★3.28</w:t>
            </w:r>
          </w:p>
        </w:tc>
        <w:tc>
          <w:tcPr>
            <w:tcW w:w="1070"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单套配置</w:t>
            </w:r>
          </w:p>
        </w:tc>
        <w:tc>
          <w:tcPr>
            <w:tcW w:w="2621"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主机1</w:t>
              <w:tab/>
              <w:t>套（包含软硬件）、天线4根、电源线2根、网线2根。</w:t>
            </w:r>
          </w:p>
          <w:p>
            <w:pPr>
              <w:rPr>
                <w:rFonts w:ascii="宋体" w:eastAsia="宋体"/>
              </w:rPr>
            </w:pPr>
            <w:r>
              <w:rPr>
                <w:rFonts w:ascii="宋体" w:eastAsia="宋体" w:hint="eastAsia"/>
                <w:sz w:val="24"/>
                <w:szCs w:val="24"/>
              </w:rPr>
              <w:t>（提供技术指标及配置清单</w:t>
            </w:r>
            <w:r>
              <w:rPr>
                <w:rFonts w:ascii="宋体" w:eastAsia="宋体" w:hint="eastAsia"/>
                <w:sz w:val="24"/>
                <w:szCs w:val="24"/>
                <w:highlight w:val="none"/>
              </w:rPr>
              <w:t>）</w:t>
            </w:r>
          </w:p>
        </w:tc>
        <w:tc>
          <w:tcPr>
            <w:tcW w:w="736" w:type="pct"/>
            <w:vAlign w:val="center"/>
          </w:tcPr>
          <w:p>
            <w:pPr>
              <w:jc w:val="center"/>
              <w:rPr>
                <w:rFonts w:ascii="宋体" w:eastAsia="宋体"/>
              </w:rPr>
            </w:pPr>
            <w:r>
              <w:rPr>
                <w:rFonts w:ascii="宋体" w:eastAsia="宋体" w:hint="eastAsia"/>
                <w:sz w:val="24"/>
                <w:szCs w:val="24"/>
              </w:rPr>
              <w:t>是</w:t>
            </w:r>
          </w:p>
        </w:tc>
      </w:tr>
    </w:tbl>
    <w:p>
      <w:pPr>
        <w:pStyle w:val="BP3"/>
        <w:rPr>
          <w:rFonts w:ascii="宋体" w:eastAsia="宋体"/>
          <w:sz w:val="24"/>
          <w:szCs w:val="24"/>
        </w:rPr>
      </w:pPr>
      <w:r>
        <w:rPr>
          <w:rFonts w:ascii="宋体" w:eastAsia="宋体" w:hint="eastAsia"/>
          <w:sz w:val="24"/>
          <w:szCs w:val="24"/>
        </w:rPr>
        <w:t>4.主要配置</w:t>
      </w:r>
    </w:p>
    <w:p>
      <w:pPr>
        <w:rPr>
          <w:rFonts w:ascii="宋体" w:eastAsia="宋体"/>
        </w:rPr>
      </w:pPr>
      <w:r>
        <w:rPr>
          <w:rFonts w:ascii="宋体" w:eastAsia="宋体" w:hint="eastAsia"/>
          <w:sz w:val="24"/>
          <w:szCs w:val="24"/>
        </w:rPr>
        <w:t>无特殊配置。</w:t>
      </w:r>
    </w:p>
    <w:p>
      <w:pPr>
        <w:spacing w:before="156" w:beforeLines="50" w:after="156" w:afterLines="50" w:line="360" w:lineRule="auto"/>
        <w:jc w:val="left"/>
        <w:rPr>
          <w:rFonts w:ascii="宋体" w:eastAsia="宋体"/>
        </w:rPr>
      </w:pPr>
    </w:p>
    <w:p>
      <w:pPr>
        <w:spacing w:before="156" w:beforeLines="50" w:after="156" w:afterLines="50" w:line="360" w:lineRule="auto"/>
        <w:jc w:val="left"/>
        <w:rPr>
          <w:rFonts w:ascii="宋体" w:eastAsia="宋体"/>
        </w:rPr>
        <w:sectPr>
          <w:pgSz w:w="11906" w:h="16838"/>
          <w:pgMar w:top="1440" w:right="1800" w:bottom="1440" w:left="1800" w:header="851" w:footer="992" w:gutter="0"/>
          <w:cols w:num="1" w:space="720"/>
          <w:docGrid w:type="lines" w:linePitch="312" w:charSpace="0"/>
        </w:sectPr>
      </w:pPr>
    </w:p>
    <w:p>
      <w:pPr>
        <w:pStyle w:val="BP0"/>
        <w:spacing w:before="156" w:beforeLines="50" w:after="156" w:afterLines="50"/>
        <w:jc w:val="left"/>
        <w:rPr>
          <w:rFonts w:ascii="宋体" w:eastAsia="宋体"/>
          <w:sz w:val="24"/>
          <w:szCs w:val="24"/>
        </w:rPr>
      </w:pPr>
      <w:r>
        <w:rPr>
          <w:rFonts w:ascii="宋体" w:eastAsia="宋体" w:hint="eastAsia"/>
          <w:sz w:val="24"/>
          <w:szCs w:val="24"/>
        </w:rPr>
        <w:t>（三）品目3（通讯通道加固设备）</w:t>
      </w:r>
    </w:p>
    <w:p>
      <w:pPr>
        <w:pStyle w:val="BP3"/>
        <w:rPr>
          <w:rFonts w:ascii="宋体" w:eastAsia="宋体"/>
          <w:sz w:val="24"/>
          <w:szCs w:val="24"/>
        </w:rPr>
      </w:pPr>
      <w:r>
        <w:rPr>
          <w:rFonts w:ascii="宋体" w:eastAsia="宋体" w:hint="eastAsia"/>
          <w:sz w:val="24"/>
          <w:szCs w:val="24"/>
        </w:rPr>
        <w:t>1.主要用途</w:t>
      </w:r>
    </w:p>
    <w:p>
      <w:pPr>
        <w:pStyle w:val="BP1"/>
      </w:pPr>
      <w:r>
        <w:rPr>
          <w:rFonts w:hint="eastAsia"/>
        </w:rPr>
        <w:t>直属海关缉私局通讯通道加固设备立足安全防护及通信加密要求，具备面向音视频通讯的安全防护、智能选路、链路优化等功能，能动态进行音视频加速与优化，保障直属局单警通讯链路的安全、稳定、可靠。</w:t>
      </w:r>
    </w:p>
    <w:p>
      <w:pPr>
        <w:pStyle w:val="BP3"/>
        <w:rPr>
          <w:rFonts w:ascii="宋体" w:eastAsia="宋体"/>
          <w:sz w:val="24"/>
          <w:szCs w:val="24"/>
        </w:rPr>
      </w:pPr>
      <w:r>
        <w:rPr>
          <w:rFonts w:ascii="宋体" w:eastAsia="宋体" w:hint="eastAsia"/>
          <w:sz w:val="24"/>
          <w:szCs w:val="24"/>
        </w:rPr>
        <w:t>2.特殊资质要求</w:t>
      </w:r>
    </w:p>
    <w:p>
      <w:pPr>
        <w:rPr>
          <w:rFonts w:ascii="宋体" w:eastAsia="宋体"/>
        </w:rPr>
      </w:pPr>
      <w:r>
        <w:rPr>
          <w:rFonts w:ascii="宋体" w:eastAsia="宋体" w:hint="eastAsia"/>
          <w:sz w:val="24"/>
          <w:szCs w:val="24"/>
        </w:rPr>
        <w:t>无。</w:t>
      </w:r>
    </w:p>
    <w:p>
      <w:pPr>
        <w:pStyle w:val="BP3"/>
        <w:rPr>
          <w:rFonts w:ascii="宋体" w:eastAsia="宋体"/>
          <w:sz w:val="24"/>
          <w:szCs w:val="24"/>
        </w:rPr>
      </w:pPr>
      <w:r>
        <w:rPr>
          <w:rFonts w:ascii="宋体" w:eastAsia="宋体" w:hint="eastAsia"/>
          <w:sz w:val="24"/>
          <w:szCs w:val="24"/>
        </w:rPr>
        <w:t>3.主要技术参数</w:t>
      </w:r>
    </w:p>
    <w:tbl>
      <w:tblPr>
        <w:tblW w:w="5219" w:type="pct"/>
        <w:jc w:val="lef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49"/>
        <w:gridCol w:w="754"/>
        <w:gridCol w:w="5083"/>
        <w:gridCol w:w="1309"/>
      </w:tblGrid>
      <w:tr>
        <w:tblPrEx>
          <w:tblW w:w="5219" w:type="pct"/>
          <w:jc w:val="lef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69"/>
          <w:tblHeader/>
          <w:jc w:val="left"/>
        </w:trPr>
        <w:tc>
          <w:tcPr>
            <w:tcW w:w="983" w:type="pct"/>
            <w:vAlign w:val="center"/>
          </w:tcPr>
          <w:p>
            <w:pPr>
              <w:pStyle w:val="305"/>
              <w:rPr>
                <w:rFonts w:ascii="宋体"/>
                <w:b/>
                <w:bCs/>
                <w:szCs w:val="24"/>
              </w:rPr>
            </w:pPr>
            <w:r>
              <w:rPr>
                <w:rFonts w:ascii="宋体" w:hint="eastAsia"/>
                <w:b/>
                <w:bCs/>
                <w:szCs w:val="24"/>
              </w:rPr>
              <w:t>序号</w:t>
            </w:r>
          </w:p>
        </w:tc>
        <w:tc>
          <w:tcPr>
            <w:tcW w:w="424" w:type="pct"/>
            <w:vAlign w:val="center"/>
          </w:tcPr>
          <w:p>
            <w:pPr>
              <w:pStyle w:val="324"/>
              <w:widowControl/>
              <w:jc w:val="center"/>
              <w:rPr>
                <w:rFonts w:ascii="宋体"/>
                <w:b/>
                <w:bCs/>
                <w:kern w:val="0"/>
                <w:szCs w:val="24"/>
              </w:rPr>
            </w:pPr>
            <w:r>
              <w:rPr>
                <w:rFonts w:ascii="宋体" w:hint="eastAsia"/>
                <w:b/>
                <w:bCs/>
                <w:kern w:val="0"/>
                <w:szCs w:val="24"/>
              </w:rPr>
              <w:t>指标项</w:t>
            </w:r>
          </w:p>
        </w:tc>
        <w:tc>
          <w:tcPr>
            <w:tcW w:w="2857" w:type="pct"/>
            <w:vAlign w:val="center"/>
          </w:tcPr>
          <w:p>
            <w:pPr>
              <w:pStyle w:val="334"/>
              <w:widowControl/>
              <w:jc w:val="center"/>
              <w:rPr>
                <w:rFonts w:ascii="宋体"/>
                <w:b/>
                <w:bCs/>
                <w:kern w:val="0"/>
                <w:szCs w:val="24"/>
              </w:rPr>
            </w:pPr>
            <w:r>
              <w:rPr>
                <w:rFonts w:ascii="宋体" w:hint="eastAsia"/>
                <w:b/>
                <w:bCs/>
                <w:kern w:val="0"/>
                <w:szCs w:val="24"/>
              </w:rPr>
              <w:t>指标要求</w:t>
            </w:r>
          </w:p>
        </w:tc>
        <w:tc>
          <w:tcPr>
            <w:tcW w:w="736" w:type="pct"/>
            <w:vAlign w:val="center"/>
          </w:tcPr>
          <w:p>
            <w:pPr>
              <w:pStyle w:val="361"/>
              <w:widowControl/>
              <w:jc w:val="center"/>
              <w:rPr>
                <w:rFonts w:ascii="宋体"/>
                <w:b/>
                <w:bCs/>
                <w:kern w:val="0"/>
                <w:szCs w:val="24"/>
              </w:rPr>
            </w:pPr>
            <w:r>
              <w:rPr>
                <w:rFonts w:ascii="宋体" w:hint="eastAsia"/>
                <w:b/>
                <w:bCs/>
                <w:kern w:val="0"/>
                <w:szCs w:val="24"/>
              </w:rPr>
              <w:t>证明材料要求</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★3.1</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基本要求</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硬件要求：标准机架设备，支持机架安装，配置冗余电源。具备并配置2块1T硬盘，硬盘模式支持RAID1；配置万兆光口≥2个，千兆光口≥4个，千兆电口≥12个，业务板卡扩展插槽≥2个，配置2个万兆多模光模块，4个千兆多模光模块。</w:t>
            </w:r>
          </w:p>
          <w:p>
            <w:pPr>
              <w:rPr>
                <w:rFonts w:ascii="宋体" w:eastAsia="宋体" w:hint="eastAsia"/>
                <w:highlight w:val="none"/>
              </w:rPr>
            </w:pPr>
            <w:r>
              <w:rPr>
                <w:rFonts w:ascii="宋体" w:eastAsia="宋体" w:hint="eastAsia"/>
                <w:sz w:val="24"/>
                <w:szCs w:val="24"/>
              </w:rPr>
              <w:t>（提供产品实物图、技术指标及配置清单</w:t>
            </w:r>
            <w:r>
              <w:rPr>
                <w:rFonts w:ascii="宋体" w:eastAsia="宋体" w:hint="eastAsia"/>
                <w:sz w:val="24"/>
                <w:szCs w:val="24"/>
                <w:highlight w:val="none"/>
              </w:rPr>
              <w:t>）</w:t>
            </w:r>
          </w:p>
          <w:p>
            <w:pPr>
              <w:rPr>
                <w:rFonts w:ascii="宋体" w:eastAsia="宋体" w:hint="eastAsia"/>
                <w:highlight w:val="none"/>
              </w:rPr>
            </w:pPr>
            <w:r>
              <w:rPr>
                <w:rFonts w:ascii="宋体" w:eastAsia="宋体" w:hint="eastAsia"/>
                <w:sz w:val="24"/>
                <w:szCs w:val="24"/>
                <w:highlight w:val="none"/>
              </w:rPr>
              <w:t>功能要求：系统应符合缉私全域扁平化实战指挥体系建设需求，具备智能组网、智能选路、音视频加速、安全防护等主要功能。设备应支持网桥、路由、旁路模式部署。</w:t>
            </w:r>
          </w:p>
          <w:p>
            <w:pPr>
              <w:rPr>
                <w:rFonts w:ascii="宋体" w:eastAsia="宋体"/>
              </w:rPr>
            </w:pPr>
            <w:r>
              <w:rPr>
                <w:rFonts w:ascii="宋体" w:eastAsia="宋体" w:hint="eastAsia"/>
                <w:sz w:val="24"/>
                <w:szCs w:val="24"/>
                <w:highlight w:val="none"/>
              </w:rPr>
              <w:t>（提供投标人承诺函）</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717"/>
          <w:jc w:val="left"/>
        </w:trPr>
        <w:tc>
          <w:tcPr>
            <w:tcW w:w="983" w:type="pct"/>
            <w:vAlign w:val="center"/>
          </w:tcPr>
          <w:p>
            <w:pPr>
              <w:ind w:firstLine="0"/>
              <w:jc w:val="both"/>
              <w:rPr>
                <w:rFonts w:ascii="宋体" w:eastAsia="宋体"/>
              </w:rPr>
            </w:pPr>
            <w:r>
              <w:rPr>
                <w:rFonts w:ascii="宋体" w:eastAsia="宋体" w:hint="eastAsia"/>
                <w:sz w:val="24"/>
                <w:szCs w:val="24"/>
              </w:rPr>
              <w:t>3.2</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性能参数要求</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防火墙吞吐性能：6Gbps；</w:t>
            </w:r>
          </w:p>
          <w:p>
            <w:pPr>
              <w:rPr>
                <w:rFonts w:ascii="宋体" w:eastAsia="宋体"/>
              </w:rPr>
            </w:pPr>
            <w:r>
              <w:rPr>
                <w:rFonts w:ascii="宋体" w:eastAsia="宋体" w:hint="eastAsia"/>
                <w:sz w:val="24"/>
                <w:szCs w:val="24"/>
              </w:rPr>
              <w:t>VPN加密性能：2Gbps；</w:t>
            </w:r>
          </w:p>
          <w:p>
            <w:pPr>
              <w:rPr>
                <w:rFonts w:ascii="宋体" w:eastAsia="宋体"/>
              </w:rPr>
            </w:pPr>
            <w:r>
              <w:rPr>
                <w:rFonts w:ascii="宋体" w:eastAsia="宋体" w:hint="eastAsia"/>
                <w:sz w:val="24"/>
                <w:szCs w:val="24"/>
              </w:rPr>
              <w:t>VPN隧道数：8000；</w:t>
            </w:r>
          </w:p>
          <w:p>
            <w:pPr>
              <w:rPr>
                <w:rFonts w:ascii="宋体" w:eastAsia="宋体"/>
              </w:rPr>
            </w:pPr>
            <w:r>
              <w:rPr>
                <w:rFonts w:ascii="宋体" w:eastAsia="宋体" w:hint="eastAsia"/>
                <w:sz w:val="24"/>
                <w:szCs w:val="24"/>
              </w:rPr>
              <w:t>实配500个IPsec VPN授权，1000个SSL VPN授权；</w:t>
            </w:r>
          </w:p>
          <w:p>
            <w:pPr>
              <w:rPr>
                <w:rFonts w:ascii="宋体" w:eastAsia="宋体"/>
              </w:rPr>
            </w:pPr>
            <w:r>
              <w:rPr>
                <w:rFonts w:ascii="宋体" w:eastAsia="宋体" w:hint="eastAsia"/>
                <w:sz w:val="24"/>
                <w:szCs w:val="24"/>
              </w:rPr>
              <w:t>并发连接数：800w；</w:t>
            </w:r>
          </w:p>
          <w:p>
            <w:pPr>
              <w:rPr>
                <w:rFonts w:ascii="宋体" w:eastAsia="宋体"/>
              </w:rPr>
            </w:pPr>
            <w:r>
              <w:rPr>
                <w:rFonts w:ascii="宋体" w:eastAsia="宋体" w:hint="eastAsia"/>
                <w:sz w:val="24"/>
                <w:szCs w:val="24"/>
              </w:rPr>
              <w:t>每秒新建连接数：15w；</w:t>
            </w:r>
          </w:p>
          <w:p>
            <w:pPr>
              <w:rPr>
                <w:rFonts w:ascii="宋体" w:eastAsia="宋体"/>
              </w:rPr>
            </w:pPr>
            <w:r>
              <w:rPr>
                <w:rFonts w:ascii="宋体" w:eastAsia="宋体" w:hint="eastAsia"/>
                <w:sz w:val="24"/>
                <w:szCs w:val="24"/>
              </w:rPr>
              <w:t>开启应用识别吞吐量：3.5Gbps；</w:t>
            </w:r>
          </w:p>
          <w:p>
            <w:pPr>
              <w:rPr>
                <w:rFonts w:ascii="宋体" w:eastAsia="宋体"/>
              </w:rPr>
            </w:pPr>
            <w:r>
              <w:rPr>
                <w:rFonts w:ascii="宋体" w:eastAsia="宋体" w:hint="eastAsia"/>
                <w:sz w:val="24"/>
                <w:szCs w:val="24"/>
              </w:rPr>
              <w:t>开启IPS吞吐量：2.5Gbps；</w:t>
            </w:r>
          </w:p>
          <w:p>
            <w:pPr>
              <w:rPr>
                <w:rFonts w:ascii="宋体" w:eastAsia="宋体"/>
              </w:rPr>
            </w:pPr>
            <w:r>
              <w:rPr>
                <w:rFonts w:ascii="宋体" w:eastAsia="宋体" w:hint="eastAsia"/>
                <w:sz w:val="24"/>
                <w:szCs w:val="24"/>
              </w:rPr>
              <w:t>配置URL数据库、应用分类库、地址库、内容审计特征库5年免费升级授权。</w:t>
            </w:r>
          </w:p>
          <w:p>
            <w:pPr>
              <w:rPr>
                <w:rFonts w:ascii="宋体" w:eastAsia="宋体"/>
                <w:kern w:val="0"/>
              </w:rPr>
            </w:pPr>
            <w:r>
              <w:rPr>
                <w:rFonts w:ascii="宋体" w:eastAsia="宋体" w:hint="eastAsia"/>
                <w:sz w:val="24"/>
                <w:szCs w:val="24"/>
              </w:rPr>
              <w:t>（提供技术指标及配置清单，加盖产品制造商公章）</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▲3.3</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智能组网功能</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支持静态路由、RIP(V1/V2)、RIPng、OSPFv2等多种路由协议进行组网。</w:t>
            </w:r>
          </w:p>
          <w:p>
            <w:pPr>
              <w:rPr>
                <w:rFonts w:ascii="宋体" w:eastAsia="宋体"/>
              </w:rPr>
            </w:pPr>
            <w:r>
              <w:rPr>
                <w:rFonts w:ascii="宋体" w:eastAsia="宋体" w:hint="eastAsia"/>
                <w:sz w:val="24"/>
                <w:szCs w:val="24"/>
              </w:rPr>
              <w:t>支持智能开局功能，可通过U盘开局、手机开局等多种方式来实现远程零配置开局，无需到现场配置设备。</w:t>
            </w:r>
          </w:p>
          <w:p>
            <w:pPr>
              <w:rPr>
                <w:rFonts w:ascii="宋体" w:eastAsia="宋体"/>
              </w:rPr>
            </w:pPr>
            <w:r>
              <w:rPr>
                <w:rFonts w:ascii="宋体" w:eastAsia="宋体" w:hint="eastAsia"/>
                <w:sz w:val="24"/>
                <w:szCs w:val="24"/>
              </w:rPr>
              <w:t>支持批量导入设备，配置备份、设备替换，以及批量的设备升级和设备配置下发。</w:t>
            </w:r>
          </w:p>
          <w:p>
            <w:pPr>
              <w:rPr>
                <w:rFonts w:ascii="宋体" w:eastAsia="宋体"/>
              </w:rPr>
            </w:pPr>
            <w:r>
              <w:rPr>
                <w:rFonts w:ascii="宋体" w:eastAsia="宋体" w:hint="eastAsia"/>
                <w:sz w:val="24"/>
                <w:szCs w:val="24"/>
              </w:rPr>
              <w:t>VPN支持国密算法SM2、SM3、SM4。</w:t>
            </w:r>
          </w:p>
          <w:p>
            <w:pPr>
              <w:rPr>
                <w:rFonts w:ascii="宋体" w:eastAsia="宋体"/>
              </w:rPr>
            </w:pPr>
            <w:r>
              <w:rPr>
                <w:rFonts w:ascii="宋体" w:eastAsia="宋体" w:hint="eastAsia"/>
                <w:sz w:val="24"/>
                <w:szCs w:val="24"/>
              </w:rPr>
              <w:t>（以上要求须提供产品制造商官网可下载的技术白皮书及对应网址链接）</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3.4</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智能选路功能</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智能选路：支持根据线路的质量，对不同应用/应用组设定不同的调度策略，包括最优质量线路选路，指定线路选路，以及多条线路负载等。</w:t>
            </w:r>
          </w:p>
          <w:p>
            <w:pPr>
              <w:rPr>
                <w:rFonts w:ascii="宋体" w:eastAsia="宋体"/>
              </w:rPr>
            </w:pPr>
            <w:r>
              <w:rPr>
                <w:rFonts w:ascii="宋体" w:eastAsia="宋体" w:hint="eastAsia"/>
                <w:sz w:val="24"/>
                <w:szCs w:val="24"/>
              </w:rPr>
              <w:t>链路评价：支持实时对链路的质量进行度量，能够通过icmp和http的方式进行探测，并根据丢包、延迟、抖动等结果给出对应链路的质量评价。</w:t>
            </w:r>
          </w:p>
          <w:p>
            <w:pPr>
              <w:rPr>
                <w:rFonts w:ascii="宋体" w:eastAsia="宋体"/>
              </w:rPr>
            </w:pPr>
            <w:r>
              <w:rPr>
                <w:rFonts w:ascii="宋体" w:eastAsia="宋体" w:hint="eastAsia"/>
                <w:sz w:val="24"/>
                <w:szCs w:val="24"/>
              </w:rPr>
              <w:t>应用路由：支持基于通讯、视频等应用进行路由选择，效果可通过图表呈现。</w:t>
            </w:r>
          </w:p>
          <w:p>
            <w:pPr>
              <w:rPr>
                <w:rFonts w:ascii="宋体" w:eastAsia="宋体"/>
              </w:rPr>
            </w:pPr>
            <w:r>
              <w:rPr>
                <w:rFonts w:ascii="宋体" w:eastAsia="宋体" w:hint="eastAsia"/>
                <w:sz w:val="24"/>
                <w:szCs w:val="24"/>
              </w:rPr>
              <w:t>（以上要求须提供产品制造商官网可下载的技术白皮书及对应网址链接）</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3.5</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音视频加速功能</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支持视频优化功能，通过快速重传恢复丢失的数据包，有效解决视频出现马赛克和卡顿现象。</w:t>
            </w:r>
          </w:p>
          <w:p>
            <w:pPr>
              <w:rPr>
                <w:rFonts w:ascii="宋体" w:eastAsia="宋体"/>
              </w:rPr>
            </w:pPr>
            <w:r>
              <w:rPr>
                <w:rFonts w:ascii="宋体" w:eastAsia="宋体" w:hint="eastAsia"/>
                <w:sz w:val="24"/>
                <w:szCs w:val="24"/>
              </w:rPr>
              <w:t>支持应用缓存加速，可将业务使用所需的应用缓存到本地，供其他访问相同应用的用户在本地下载。</w:t>
            </w:r>
          </w:p>
          <w:p>
            <w:pPr>
              <w:rPr>
                <w:rFonts w:ascii="宋体" w:eastAsia="宋体"/>
              </w:rPr>
            </w:pPr>
            <w:r>
              <w:rPr>
                <w:rFonts w:ascii="宋体" w:eastAsia="宋体" w:hint="eastAsia"/>
                <w:sz w:val="24"/>
                <w:szCs w:val="24"/>
              </w:rPr>
              <w:t>支持网络资源加速，可通过定时、实时、立即缓存等多种方式进行缓存同步。</w:t>
            </w:r>
          </w:p>
          <w:p>
            <w:pPr>
              <w:rPr>
                <w:rFonts w:ascii="宋体" w:eastAsia="宋体"/>
              </w:rPr>
            </w:pPr>
            <w:r>
              <w:rPr>
                <w:rFonts w:ascii="宋体" w:eastAsia="宋体" w:hint="eastAsia"/>
                <w:sz w:val="24"/>
                <w:szCs w:val="24"/>
              </w:rPr>
              <w:t>（以上要求须提供产品制造商官网可下载的技术白皮书及对应网址链接）</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▲3.6</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安全防护功能</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支持状态检测防火墙功能，支持TCP/UDP/ICMP/IP分片包等报文过滤。</w:t>
            </w:r>
          </w:p>
          <w:p>
            <w:pPr>
              <w:rPr>
                <w:rFonts w:ascii="宋体" w:eastAsia="宋体"/>
              </w:rPr>
            </w:pPr>
            <w:r>
              <w:rPr>
                <w:rFonts w:ascii="宋体" w:eastAsia="宋体" w:hint="eastAsia"/>
                <w:sz w:val="24"/>
                <w:szCs w:val="24"/>
              </w:rPr>
              <w:t>支持入侵防御功能，支持SQL注入攻击、XSS注入攻击、webshell攻击；支持防御挖矿木马恶意样本通信、僵尸家族恶意样本通信（紫狐、双枪、独狼等）、APT32组织恶意样本通信、海莲花组织恶意样本通信、勒索病毒恶意样本通信等。</w:t>
            </w:r>
          </w:p>
          <w:p>
            <w:pPr>
              <w:rPr>
                <w:rFonts w:ascii="宋体" w:eastAsia="宋体"/>
              </w:rPr>
            </w:pPr>
            <w:r>
              <w:rPr>
                <w:rFonts w:ascii="宋体" w:eastAsia="宋体" w:hint="eastAsia"/>
                <w:sz w:val="24"/>
                <w:szCs w:val="24"/>
              </w:rPr>
              <w:t>支持应用识别和流量管理，设备内置多种流控模型，包括办公模版，专家模板等以实现一键开启智能流量控制。</w:t>
            </w:r>
          </w:p>
          <w:p>
            <w:pPr>
              <w:rPr>
                <w:rFonts w:ascii="宋体" w:eastAsia="宋体"/>
              </w:rPr>
            </w:pPr>
            <w:r>
              <w:rPr>
                <w:rFonts w:ascii="宋体" w:eastAsia="宋体" w:hint="eastAsia"/>
                <w:sz w:val="24"/>
                <w:szCs w:val="24"/>
              </w:rPr>
              <w:t>支持流量识别保障功能，能够精确识别网络应用，保障关键业务的系统带宽，具备完善的应用协议库，协议识别数量不少于3500种。</w:t>
            </w:r>
          </w:p>
          <w:p>
            <w:pPr>
              <w:rPr>
                <w:rFonts w:ascii="宋体" w:eastAsia="宋体"/>
              </w:rPr>
            </w:pPr>
            <w:r>
              <w:rPr>
                <w:rFonts w:ascii="宋体" w:eastAsia="宋体" w:hint="eastAsia"/>
                <w:sz w:val="24"/>
                <w:szCs w:val="24"/>
              </w:rPr>
              <w:t>支持对通讯通道的防威胁攻击功能，支持防land攻击、防 Teardrop 攻击、防 Smurf 攻击、防异常TCP Flag 攻击、防Ping of Death 攻击、防SYN Flood 攻击、防UDP Flood 攻击、防ICMP Flood 攻击、防Fraggle攻击、防超长ICMP报文攻击、防Winnuke攻击、防ARP Flood报文攻击等。</w:t>
            </w:r>
          </w:p>
          <w:p>
            <w:pPr>
              <w:rPr>
                <w:rFonts w:ascii="宋体" w:eastAsia="宋体"/>
              </w:rPr>
            </w:pPr>
            <w:r>
              <w:rPr>
                <w:rFonts w:ascii="宋体" w:eastAsia="宋体" w:hint="eastAsia"/>
                <w:sz w:val="24"/>
                <w:szCs w:val="24"/>
              </w:rPr>
              <w:t>（以上要求须提供产品制造商官网可下载的技术白皮书及对应网址链接）</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3.7</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生成拓扑图</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整网IPSec VPN隧道建立后能够自动生成拓扑图，便于监控各级单位设备及通道的状态信息。</w:t>
            </w:r>
          </w:p>
          <w:p>
            <w:pPr>
              <w:rPr>
                <w:rFonts w:ascii="宋体" w:eastAsia="宋体"/>
              </w:rPr>
            </w:pPr>
            <w:r>
              <w:rPr>
                <w:rFonts w:ascii="宋体" w:eastAsia="宋体" w:hint="eastAsia"/>
                <w:sz w:val="24"/>
                <w:szCs w:val="24"/>
              </w:rPr>
              <w:t>（以上要求须提供产品制造商官网可下载的技术白皮书及对应网址链接）</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3.8</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终端迁移告警</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支持终端迁移告警，可显示迁移终端IP及MAC，终端迁移时间，迁移前后接入设备IP及MAC，迁移前后VLAN及端口。</w:t>
            </w:r>
          </w:p>
          <w:p>
            <w:pPr>
              <w:rPr>
                <w:rFonts w:ascii="宋体" w:eastAsia="宋体"/>
              </w:rPr>
            </w:pPr>
            <w:r>
              <w:rPr>
                <w:rFonts w:ascii="宋体" w:eastAsia="宋体" w:hint="eastAsia"/>
                <w:sz w:val="24"/>
                <w:szCs w:val="24"/>
              </w:rPr>
              <w:t>（以上要求须提供产品制造商官网可下载的技术白皮书及对应网址链接）</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3.9</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移动客户端</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具备缉私单警数字化装备终端的SSLVPN客户端软件，能够实现多种类型终端的接入需求，满足全域指挥体系的移动网络接入。</w:t>
            </w:r>
          </w:p>
          <w:p>
            <w:pPr>
              <w:rPr>
                <w:rFonts w:ascii="宋体" w:eastAsia="宋体"/>
              </w:rPr>
            </w:pPr>
            <w:r>
              <w:rPr>
                <w:rFonts w:ascii="宋体" w:eastAsia="宋体" w:hint="eastAsia"/>
                <w:sz w:val="24"/>
                <w:szCs w:val="24"/>
              </w:rPr>
              <w:t>（提供产品制造商官网可下载的技术白皮书及对应网址链接）</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3.10</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设备资质要求</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须具备中国质量认证中心颁发的CQC证书复印件。</w:t>
            </w:r>
          </w:p>
          <w:p>
            <w:pPr>
              <w:rPr>
                <w:rFonts w:ascii="宋体" w:eastAsia="宋体"/>
              </w:rPr>
            </w:pPr>
            <w:r>
              <w:rPr>
                <w:rFonts w:ascii="宋体" w:eastAsia="宋体" w:hint="eastAsia"/>
                <w:sz w:val="24"/>
                <w:szCs w:val="24"/>
              </w:rPr>
              <w:t>（提供证书复印件，加盖产品制造商公章）</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★3.11</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设备证书要求</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须提供工业和信息化部颁发的《电信设备进网许可证》。</w:t>
            </w:r>
          </w:p>
          <w:p>
            <w:pPr>
              <w:rPr>
                <w:rFonts w:ascii="宋体" w:eastAsia="宋体"/>
              </w:rPr>
            </w:pPr>
            <w:r>
              <w:rPr>
                <w:rFonts w:ascii="宋体" w:eastAsia="宋体" w:hint="eastAsia"/>
                <w:sz w:val="24"/>
                <w:szCs w:val="24"/>
              </w:rPr>
              <w:t>（提供证书复印件）。</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3.12</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开放性</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须提供开放的SDK开发包与文档等二次开发接口，并按海关缉私相关规定进行定制、开发。</w:t>
            </w:r>
          </w:p>
          <w:p>
            <w:pPr>
              <w:rPr>
                <w:rFonts w:ascii="宋体" w:eastAsia="宋体"/>
              </w:rPr>
            </w:pPr>
            <w:r>
              <w:rPr>
                <w:rFonts w:ascii="宋体" w:eastAsia="宋体" w:hint="eastAsia"/>
                <w:sz w:val="24"/>
                <w:szCs w:val="24"/>
              </w:rPr>
              <w:t>开发包功能包括但不限于：配置、状态、统计、通知、管理等内容。</w:t>
            </w:r>
          </w:p>
          <w:p>
            <w:pPr>
              <w:rPr>
                <w:rFonts w:ascii="宋体" w:eastAsia="宋体"/>
              </w:rPr>
            </w:pPr>
            <w:r>
              <w:rPr>
                <w:rFonts w:ascii="宋体" w:eastAsia="宋体" w:hint="eastAsia"/>
                <w:sz w:val="24"/>
                <w:szCs w:val="24"/>
              </w:rPr>
              <w:t>（同时提供投标人承诺函及产品制造商承诺函）</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3.13</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适应性改造</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须对交付的设备业务应用软件功能，在合同保修期内，按照不同直属局最终用户的实际业务规则和业务需求进行功能性和适应性改造。</w:t>
            </w:r>
          </w:p>
          <w:p>
            <w:pPr>
              <w:rPr>
                <w:rFonts w:ascii="宋体" w:eastAsia="宋体"/>
              </w:rPr>
            </w:pPr>
            <w:r>
              <w:rPr>
                <w:rFonts w:ascii="宋体" w:eastAsia="宋体" w:hint="eastAsia"/>
                <w:sz w:val="24"/>
                <w:szCs w:val="24"/>
              </w:rPr>
              <w:t>（同时提供投标人承诺函及产品制造商承诺函）</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983" w:type="pct"/>
            <w:vAlign w:val="center"/>
          </w:tcPr>
          <w:p>
            <w:pPr>
              <w:ind w:firstLine="0"/>
              <w:jc w:val="both"/>
              <w:rPr>
                <w:rFonts w:ascii="宋体" w:eastAsia="宋体"/>
              </w:rPr>
            </w:pPr>
            <w:r>
              <w:rPr>
                <w:rFonts w:ascii="宋体" w:eastAsia="宋体" w:hint="eastAsia"/>
                <w:sz w:val="24"/>
                <w:szCs w:val="24"/>
              </w:rPr>
              <w:t>★3.14</w:t>
            </w:r>
          </w:p>
        </w:tc>
        <w:tc>
          <w:tcPr>
            <w:tcW w:w="424"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单套配置</w:t>
            </w:r>
          </w:p>
        </w:tc>
        <w:tc>
          <w:tcPr>
            <w:tcW w:w="2857"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主机1</w:t>
              <w:tab/>
              <w:t>套（包含软硬件）、电源线2根、网线2根。</w:t>
            </w:r>
          </w:p>
          <w:p>
            <w:pPr>
              <w:rPr>
                <w:rFonts w:ascii="宋体" w:eastAsia="宋体"/>
              </w:rPr>
            </w:pPr>
            <w:r>
              <w:rPr>
                <w:rFonts w:ascii="宋体" w:eastAsia="宋体" w:hint="eastAsia"/>
                <w:sz w:val="24"/>
                <w:szCs w:val="24"/>
              </w:rPr>
              <w:t>（提供技术指标及配置清单</w:t>
            </w:r>
            <w:r>
              <w:rPr>
                <w:rFonts w:ascii="宋体" w:eastAsia="宋体" w:hint="eastAsia"/>
                <w:sz w:val="24"/>
                <w:szCs w:val="24"/>
                <w:highlight w:val="none"/>
              </w:rPr>
              <w:t>）</w:t>
            </w:r>
          </w:p>
        </w:tc>
        <w:tc>
          <w:tcPr>
            <w:tcW w:w="736" w:type="pct"/>
            <w:vAlign w:val="center"/>
          </w:tcPr>
          <w:p>
            <w:pPr>
              <w:jc w:val="center"/>
              <w:rPr>
                <w:rFonts w:ascii="宋体" w:eastAsia="宋体"/>
              </w:rPr>
            </w:pPr>
            <w:r>
              <w:rPr>
                <w:rFonts w:ascii="宋体" w:eastAsia="宋体" w:hint="eastAsia"/>
                <w:sz w:val="24"/>
                <w:szCs w:val="24"/>
              </w:rPr>
              <w:t>是</w:t>
            </w:r>
          </w:p>
        </w:tc>
      </w:tr>
    </w:tbl>
    <w:p>
      <w:pPr>
        <w:pStyle w:val="BP3"/>
        <w:rPr>
          <w:rFonts w:ascii="宋体" w:eastAsia="宋体"/>
          <w:sz w:val="24"/>
          <w:szCs w:val="24"/>
        </w:rPr>
      </w:pPr>
      <w:r>
        <w:rPr>
          <w:rFonts w:ascii="宋体" w:eastAsia="宋体" w:hint="eastAsia"/>
          <w:sz w:val="24"/>
          <w:szCs w:val="24"/>
        </w:rPr>
        <w:t>4.主要配置</w:t>
      </w:r>
    </w:p>
    <w:p>
      <w:pPr>
        <w:rPr>
          <w:rFonts w:ascii="宋体" w:eastAsia="宋体"/>
        </w:rPr>
      </w:pPr>
      <w:r>
        <w:rPr>
          <w:rFonts w:ascii="宋体" w:eastAsia="宋体" w:hint="eastAsia"/>
          <w:sz w:val="24"/>
          <w:szCs w:val="24"/>
        </w:rPr>
        <w:t>无特殊配置。</w:t>
      </w:r>
    </w:p>
    <w:p>
      <w:pPr>
        <w:rPr>
          <w:rFonts w:ascii="宋体" w:eastAsia="宋体"/>
        </w:rPr>
      </w:pPr>
    </w:p>
    <w:p>
      <w:pPr>
        <w:spacing w:line="360" w:lineRule="auto"/>
        <w:rPr>
          <w:rFonts w:ascii="宋体" w:eastAsia="宋体"/>
        </w:rPr>
        <w:sectPr>
          <w:pgSz w:w="11906" w:h="16838"/>
          <w:pgMar w:top="1440" w:right="1800" w:bottom="1440" w:left="1800" w:header="851" w:footer="992" w:gutter="0"/>
          <w:cols w:num="1" w:space="720"/>
          <w:docGrid w:type="lines" w:linePitch="312" w:charSpace="0"/>
        </w:sectPr>
      </w:pPr>
    </w:p>
    <w:p>
      <w:pPr>
        <w:pStyle w:val="BP0"/>
        <w:rPr>
          <w:rFonts w:ascii="宋体" w:eastAsia="宋体"/>
          <w:sz w:val="24"/>
          <w:szCs w:val="24"/>
        </w:rPr>
      </w:pPr>
      <w:r>
        <w:rPr>
          <w:rFonts w:ascii="宋体" w:eastAsia="宋体" w:hint="eastAsia"/>
          <w:sz w:val="24"/>
          <w:szCs w:val="24"/>
        </w:rPr>
        <w:t>（四）品目4（海关总署缉私局通讯通道加固设备）</w:t>
      </w:r>
    </w:p>
    <w:p>
      <w:pPr>
        <w:pStyle w:val="BP3"/>
        <w:rPr>
          <w:rFonts w:ascii="宋体" w:eastAsia="宋体"/>
          <w:sz w:val="24"/>
          <w:szCs w:val="24"/>
        </w:rPr>
      </w:pPr>
      <w:r>
        <w:rPr>
          <w:rFonts w:ascii="宋体" w:eastAsia="宋体" w:hint="eastAsia"/>
          <w:sz w:val="24"/>
          <w:szCs w:val="24"/>
        </w:rPr>
        <w:t>1.主要用途</w:t>
      </w:r>
    </w:p>
    <w:p>
      <w:pPr>
        <w:pStyle w:val="BP1"/>
      </w:pPr>
      <w:bookmarkStart w:id="44" w:name="_Hlk154689169"/>
      <w:r>
        <w:rPr>
          <w:rFonts w:hint="eastAsia"/>
        </w:rPr>
        <w:t>海关总署缉私局通讯通道加固设备通过建立加密隧道来保障海关总署缉私局系统与各直属海关缉私局系统之间的安全联接，具备面向音视频通讯的安全防护、智能选路、链路优化等功能。</w:t>
      </w:r>
    </w:p>
    <w:p>
      <w:pPr>
        <w:pStyle w:val="BP3"/>
        <w:rPr>
          <w:rFonts w:ascii="宋体" w:eastAsia="宋体"/>
          <w:sz w:val="24"/>
          <w:szCs w:val="24"/>
        </w:rPr>
      </w:pPr>
      <w:bookmarkEnd w:id="44"/>
      <w:r>
        <w:rPr>
          <w:rFonts w:ascii="宋体" w:eastAsia="宋体" w:hint="eastAsia"/>
          <w:sz w:val="24"/>
          <w:szCs w:val="24"/>
        </w:rPr>
        <w:t>2.特殊资质要求</w:t>
      </w:r>
    </w:p>
    <w:p>
      <w:pPr>
        <w:pStyle w:val="BP1"/>
      </w:pPr>
      <w:r>
        <w:rPr>
          <w:rFonts w:hint="eastAsia"/>
        </w:rPr>
        <w:t>无。</w:t>
      </w:r>
    </w:p>
    <w:p>
      <w:pPr>
        <w:pStyle w:val="BP3"/>
        <w:rPr>
          <w:rFonts w:ascii="宋体" w:eastAsia="宋体"/>
          <w:sz w:val="24"/>
          <w:szCs w:val="24"/>
        </w:rPr>
      </w:pPr>
      <w:r>
        <w:rPr>
          <w:rFonts w:ascii="宋体" w:eastAsia="宋体" w:hint="eastAsia"/>
          <w:sz w:val="24"/>
          <w:szCs w:val="24"/>
        </w:rPr>
        <w:t>3.主要技术参数</w:t>
      </w:r>
    </w:p>
    <w:tbl>
      <w:tblPr>
        <w:tblW w:w="5219" w:type="pct"/>
        <w:jc w:val="lef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5"/>
        <w:gridCol w:w="1630"/>
        <w:gridCol w:w="5081"/>
        <w:gridCol w:w="1309"/>
      </w:tblGrid>
      <w:tr>
        <w:tblPrEx>
          <w:tblW w:w="5219" w:type="pct"/>
          <w:jc w:val="lef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69"/>
          <w:tblHeader/>
          <w:jc w:val="left"/>
        </w:trPr>
        <w:tc>
          <w:tcPr>
            <w:tcW w:w="492" w:type="pct"/>
            <w:vAlign w:val="center"/>
          </w:tcPr>
          <w:p>
            <w:pPr>
              <w:pStyle w:val="305"/>
              <w:rPr>
                <w:rFonts w:ascii="宋体"/>
                <w:b/>
                <w:bCs/>
                <w:szCs w:val="24"/>
              </w:rPr>
            </w:pPr>
            <w:r>
              <w:rPr>
                <w:rFonts w:ascii="宋体" w:hint="eastAsia"/>
                <w:b/>
                <w:bCs/>
                <w:szCs w:val="24"/>
              </w:rPr>
              <w:t>序号</w:t>
            </w:r>
          </w:p>
        </w:tc>
        <w:tc>
          <w:tcPr>
            <w:tcW w:w="916" w:type="pct"/>
            <w:vAlign w:val="center"/>
          </w:tcPr>
          <w:p>
            <w:pPr>
              <w:pStyle w:val="324"/>
              <w:widowControl/>
              <w:jc w:val="center"/>
              <w:rPr>
                <w:rFonts w:ascii="宋体"/>
                <w:b/>
                <w:bCs/>
                <w:kern w:val="0"/>
                <w:szCs w:val="24"/>
              </w:rPr>
            </w:pPr>
            <w:r>
              <w:rPr>
                <w:rFonts w:ascii="宋体" w:hint="eastAsia"/>
                <w:b/>
                <w:bCs/>
                <w:kern w:val="0"/>
                <w:szCs w:val="24"/>
              </w:rPr>
              <w:t>指标项</w:t>
            </w:r>
          </w:p>
        </w:tc>
        <w:tc>
          <w:tcPr>
            <w:tcW w:w="2856" w:type="pct"/>
            <w:vAlign w:val="center"/>
          </w:tcPr>
          <w:p>
            <w:pPr>
              <w:pStyle w:val="334"/>
              <w:widowControl/>
              <w:jc w:val="center"/>
              <w:rPr>
                <w:rFonts w:ascii="宋体"/>
                <w:b/>
                <w:bCs/>
                <w:kern w:val="0"/>
                <w:szCs w:val="24"/>
              </w:rPr>
            </w:pPr>
            <w:r>
              <w:rPr>
                <w:rFonts w:ascii="宋体" w:hint="eastAsia"/>
                <w:b/>
                <w:bCs/>
                <w:kern w:val="0"/>
                <w:szCs w:val="24"/>
              </w:rPr>
              <w:t>指标要求</w:t>
            </w:r>
          </w:p>
        </w:tc>
        <w:tc>
          <w:tcPr>
            <w:tcW w:w="736" w:type="pct"/>
            <w:vAlign w:val="center"/>
          </w:tcPr>
          <w:p>
            <w:pPr>
              <w:pStyle w:val="361"/>
              <w:widowControl/>
              <w:jc w:val="center"/>
              <w:rPr>
                <w:rFonts w:ascii="宋体"/>
                <w:b/>
                <w:bCs/>
                <w:kern w:val="0"/>
                <w:szCs w:val="24"/>
              </w:rPr>
            </w:pPr>
            <w:r>
              <w:rPr>
                <w:rFonts w:ascii="宋体" w:hint="eastAsia"/>
                <w:b/>
                <w:bCs/>
                <w:kern w:val="0"/>
                <w:szCs w:val="24"/>
              </w:rPr>
              <w:t>证明材料要求</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both"/>
              <w:rPr>
                <w:rFonts w:ascii="宋体" w:eastAsia="宋体"/>
              </w:rPr>
            </w:pPr>
            <w:bookmarkStart w:id="45" w:name="_Hlk154689433"/>
            <w:r>
              <w:rPr>
                <w:rFonts w:ascii="宋体" w:eastAsia="宋体" w:hint="eastAsia"/>
                <w:sz w:val="24"/>
                <w:szCs w:val="24"/>
              </w:rPr>
              <w:t>★3.1</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基本要求</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硬件要求：标准机架设备，支持机架安装，配置冗余电源。具备并配置2块1T硬盘，硬盘模式支持RAID1；配置万兆光口≥8个，千兆光口≥8个，千兆电口≥8个，配置4个万兆多模光模块，4个千兆多模光模块。</w:t>
            </w:r>
          </w:p>
          <w:p>
            <w:pPr>
              <w:rPr>
                <w:rFonts w:ascii="宋体" w:eastAsia="宋体"/>
              </w:rPr>
            </w:pPr>
            <w:r>
              <w:rPr>
                <w:rFonts w:ascii="宋体" w:eastAsia="宋体" w:hint="eastAsia"/>
                <w:sz w:val="24"/>
                <w:szCs w:val="24"/>
              </w:rPr>
              <w:t>（提供产品实物图、技术指标及配置清单）</w:t>
            </w:r>
          </w:p>
          <w:p>
            <w:pPr>
              <w:rPr>
                <w:rFonts w:ascii="宋体" w:eastAsia="宋体"/>
              </w:rPr>
            </w:pPr>
            <w:r>
              <w:rPr>
                <w:rFonts w:ascii="宋体" w:eastAsia="宋体" w:hint="eastAsia"/>
                <w:sz w:val="24"/>
                <w:szCs w:val="24"/>
              </w:rPr>
              <w:t>功能要求：系统应符合缉私全域扁平化实战指挥体系建设需求，具备智能组网、智能选路、音视频加速、安全防护等主要功能。设备应支持网桥、路由、旁路模式部署。</w:t>
            </w:r>
          </w:p>
          <w:p>
            <w:pPr>
              <w:rPr>
                <w:rFonts w:ascii="宋体" w:eastAsia="宋体"/>
              </w:rPr>
            </w:pPr>
            <w:r>
              <w:rPr>
                <w:rFonts w:ascii="宋体" w:eastAsia="宋体" w:hint="eastAsia"/>
                <w:sz w:val="24"/>
                <w:szCs w:val="24"/>
              </w:rPr>
              <w:t>（提供投标人</w:t>
            </w:r>
            <w:r>
              <w:rPr>
                <w:rFonts w:ascii="宋体" w:eastAsia="宋体" w:hint="eastAsia"/>
                <w:sz w:val="24"/>
                <w:szCs w:val="24"/>
                <w:highlight w:val="none"/>
              </w:rPr>
              <w:t>承诺函</w:t>
            </w:r>
            <w:r>
              <w:rPr>
                <w:rFonts w:ascii="宋体" w:eastAsia="宋体" w:hint="eastAsia"/>
                <w:sz w:val="24"/>
                <w:szCs w:val="24"/>
              </w:rPr>
              <w:t>）</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717"/>
          <w:jc w:val="left"/>
        </w:trPr>
        <w:tc>
          <w:tcPr>
            <w:tcW w:w="492" w:type="pct"/>
            <w:vAlign w:val="center"/>
          </w:tcPr>
          <w:p>
            <w:pPr>
              <w:ind w:firstLine="0"/>
              <w:jc w:val="both"/>
              <w:rPr>
                <w:rFonts w:ascii="宋体" w:eastAsia="宋体"/>
              </w:rPr>
            </w:pPr>
            <w:r>
              <w:rPr>
                <w:rFonts w:ascii="宋体" w:eastAsia="宋体" w:hint="eastAsia"/>
                <w:sz w:val="24"/>
                <w:szCs w:val="24"/>
              </w:rPr>
              <w:t>3.2</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性能参数要求</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开启NAT功能后网络吞吐≥30Gbps，防火墙吞吐≥8Gbps，VPN隧道数：配置2000个IPsec VPN授权，2000个SSL VPN授权，并发会话数≥800万，新建会话数≥12万，配置URL数据库、应用分类库、地址库、内容审计特征库5年免费升级授权。</w:t>
            </w:r>
          </w:p>
          <w:p>
            <w:pPr>
              <w:rPr>
                <w:rFonts w:ascii="宋体" w:eastAsia="宋体"/>
                <w:kern w:val="0"/>
              </w:rPr>
            </w:pPr>
            <w:r>
              <w:rPr>
                <w:rFonts w:ascii="宋体" w:eastAsia="宋体" w:hint="eastAsia"/>
                <w:sz w:val="24"/>
                <w:szCs w:val="24"/>
              </w:rPr>
              <w:t>（提供技术指标及配置清单，加盖产品制造商公章）</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both"/>
              <w:rPr>
                <w:rFonts w:ascii="宋体" w:eastAsia="宋体"/>
              </w:rPr>
            </w:pPr>
            <w:r>
              <w:rPr>
                <w:rFonts w:ascii="宋体" w:eastAsia="宋体" w:hint="eastAsia"/>
                <w:sz w:val="24"/>
                <w:szCs w:val="24"/>
              </w:rPr>
              <w:t>3.3</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开放性</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须提供开放的SDK开发包与文档等二次开发接口，并按海关缉私相关规定进行定制、开发。</w:t>
            </w:r>
          </w:p>
          <w:p>
            <w:pPr>
              <w:rPr>
                <w:rFonts w:ascii="宋体" w:eastAsia="宋体"/>
              </w:rPr>
            </w:pPr>
            <w:r>
              <w:rPr>
                <w:rFonts w:ascii="宋体" w:eastAsia="宋体" w:hint="eastAsia"/>
                <w:sz w:val="24"/>
                <w:szCs w:val="24"/>
              </w:rPr>
              <w:t>开发包功能包括但不限于：配置、状态、统计、通知、管理等内容。</w:t>
            </w:r>
          </w:p>
          <w:p>
            <w:pPr>
              <w:rPr>
                <w:rFonts w:ascii="宋体" w:eastAsia="宋体"/>
              </w:rPr>
            </w:pPr>
            <w:r>
              <w:rPr>
                <w:rFonts w:ascii="宋体" w:eastAsia="宋体" w:hint="eastAsia"/>
                <w:sz w:val="24"/>
                <w:szCs w:val="24"/>
              </w:rPr>
              <w:t>（同时提供投标人承诺函及产品制造商承诺函）</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717"/>
          <w:jc w:val="left"/>
        </w:trPr>
        <w:tc>
          <w:tcPr>
            <w:tcW w:w="492" w:type="pct"/>
            <w:vAlign w:val="center"/>
          </w:tcPr>
          <w:p>
            <w:pPr>
              <w:ind w:firstLine="0"/>
              <w:jc w:val="both"/>
              <w:rPr>
                <w:rFonts w:ascii="宋体" w:eastAsia="宋体"/>
              </w:rPr>
            </w:pPr>
            <w:r>
              <w:rPr>
                <w:rFonts w:ascii="宋体" w:eastAsia="宋体" w:hint="eastAsia"/>
                <w:sz w:val="24"/>
                <w:szCs w:val="24"/>
              </w:rPr>
              <w:t>3.4</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适应性改造</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适应性改造：须对交付的设备业务应用软件功能，在合同保修期内，按照海关总署缉私局最终用户的实际业务规则和业务需求进行功能性和适应性改造。</w:t>
            </w:r>
          </w:p>
          <w:p>
            <w:pPr>
              <w:rPr>
                <w:rFonts w:ascii="宋体" w:eastAsia="宋体"/>
                <w:bCs/>
              </w:rPr>
            </w:pPr>
            <w:r>
              <w:rPr>
                <w:rFonts w:ascii="宋体" w:eastAsia="宋体" w:hint="eastAsia"/>
                <w:sz w:val="24"/>
                <w:szCs w:val="24"/>
              </w:rPr>
              <w:t>（同时提供投标人承诺函及产品制造商承诺函）</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717"/>
          <w:jc w:val="left"/>
        </w:trPr>
        <w:tc>
          <w:tcPr>
            <w:tcW w:w="492" w:type="pct"/>
            <w:vAlign w:val="center"/>
          </w:tcPr>
          <w:p>
            <w:pPr>
              <w:ind w:firstLine="0"/>
              <w:jc w:val="both"/>
              <w:rPr>
                <w:rFonts w:ascii="宋体" w:eastAsia="宋体"/>
              </w:rPr>
            </w:pPr>
            <w:r>
              <w:rPr>
                <w:rFonts w:ascii="宋体" w:eastAsia="宋体" w:hint="eastAsia"/>
                <w:sz w:val="24"/>
                <w:szCs w:val="24"/>
              </w:rPr>
              <w:t>★3.5</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单套配置</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主机1</w:t>
              <w:tab/>
              <w:t>套（包含软硬件）、电源线2根、网线2根。</w:t>
            </w:r>
          </w:p>
          <w:p>
            <w:pPr>
              <w:rPr>
                <w:rFonts w:ascii="宋体" w:eastAsia="宋体"/>
              </w:rPr>
            </w:pPr>
            <w:r>
              <w:rPr>
                <w:rFonts w:ascii="宋体" w:eastAsia="宋体" w:hint="eastAsia"/>
                <w:sz w:val="24"/>
                <w:szCs w:val="24"/>
              </w:rPr>
              <w:t>（提供技术指标及配置清单</w:t>
            </w:r>
            <w:r>
              <w:rPr>
                <w:rFonts w:ascii="宋体" w:eastAsia="宋体" w:hint="eastAsia"/>
                <w:sz w:val="24"/>
                <w:szCs w:val="24"/>
                <w:highlight w:val="none"/>
              </w:rPr>
              <w:t>）</w:t>
            </w:r>
          </w:p>
        </w:tc>
        <w:tc>
          <w:tcPr>
            <w:tcW w:w="736" w:type="pct"/>
            <w:vAlign w:val="center"/>
          </w:tcPr>
          <w:p>
            <w:pPr>
              <w:jc w:val="center"/>
              <w:rPr>
                <w:rFonts w:ascii="宋体" w:eastAsia="宋体"/>
              </w:rPr>
            </w:pPr>
            <w:r>
              <w:rPr>
                <w:rFonts w:ascii="宋体" w:eastAsia="宋体" w:hint="eastAsia"/>
                <w:sz w:val="24"/>
                <w:szCs w:val="24"/>
              </w:rPr>
              <w:t>是</w:t>
            </w:r>
          </w:p>
        </w:tc>
      </w:tr>
    </w:tbl>
    <w:p>
      <w:pPr>
        <w:pStyle w:val="BP3"/>
        <w:rPr>
          <w:rFonts w:ascii="宋体" w:eastAsia="宋体"/>
          <w:sz w:val="24"/>
          <w:szCs w:val="24"/>
        </w:rPr>
      </w:pPr>
      <w:bookmarkEnd w:id="45"/>
      <w:r>
        <w:rPr>
          <w:rFonts w:ascii="宋体" w:eastAsia="宋体" w:hint="eastAsia"/>
          <w:sz w:val="24"/>
          <w:szCs w:val="24"/>
        </w:rPr>
        <w:t>4.主要配置</w:t>
      </w:r>
    </w:p>
    <w:p>
      <w:pPr>
        <w:rPr>
          <w:rFonts w:ascii="宋体" w:eastAsia="宋体"/>
        </w:rPr>
      </w:pPr>
      <w:r>
        <w:rPr>
          <w:rFonts w:ascii="宋体" w:eastAsia="宋体" w:hint="eastAsia"/>
          <w:sz w:val="24"/>
          <w:szCs w:val="24"/>
        </w:rPr>
        <w:t>无特殊配置。</w:t>
      </w:r>
    </w:p>
    <w:p>
      <w:pPr>
        <w:pStyle w:val="9101"/>
        <w:spacing w:line="360" w:lineRule="auto"/>
        <w:jc w:val="left"/>
        <w:rPr>
          <w:rFonts w:ascii="宋体" w:eastAsia="宋体"/>
          <w:sz w:val="24"/>
          <w:szCs w:val="24"/>
        </w:rPr>
      </w:pPr>
    </w:p>
    <w:p>
      <w:pPr>
        <w:spacing w:line="360" w:lineRule="auto"/>
        <w:rPr>
          <w:rFonts w:ascii="宋体" w:eastAsia="宋体"/>
        </w:rPr>
        <w:sectPr>
          <w:pgSz w:w="11906" w:h="16838"/>
          <w:pgMar w:top="1440" w:right="1800" w:bottom="1440" w:left="1800" w:header="851" w:footer="992" w:gutter="0"/>
          <w:cols w:num="1" w:space="720"/>
          <w:docGrid w:type="lines" w:linePitch="312" w:charSpace="0"/>
        </w:sectPr>
      </w:pPr>
    </w:p>
    <w:p>
      <w:pPr>
        <w:pStyle w:val="BP0"/>
        <w:rPr>
          <w:rFonts w:ascii="宋体" w:eastAsia="宋体"/>
          <w:sz w:val="24"/>
          <w:szCs w:val="24"/>
        </w:rPr>
      </w:pPr>
      <w:r>
        <w:rPr>
          <w:rFonts w:ascii="宋体" w:eastAsia="宋体" w:hint="eastAsia"/>
          <w:sz w:val="24"/>
          <w:szCs w:val="24"/>
        </w:rPr>
        <w:t>（五）品目5（全国联网控制器）</w:t>
      </w:r>
    </w:p>
    <w:p>
      <w:pPr>
        <w:pStyle w:val="BP3"/>
        <w:rPr>
          <w:rFonts w:ascii="宋体" w:eastAsia="宋体"/>
          <w:sz w:val="24"/>
          <w:szCs w:val="24"/>
        </w:rPr>
      </w:pPr>
      <w:r>
        <w:rPr>
          <w:rFonts w:ascii="宋体" w:eastAsia="宋体" w:hint="eastAsia"/>
          <w:sz w:val="24"/>
          <w:szCs w:val="24"/>
        </w:rPr>
        <w:t>1.主要用途</w:t>
      </w:r>
    </w:p>
    <w:p>
      <w:pPr>
        <w:pStyle w:val="BP1"/>
      </w:pPr>
      <w:bookmarkStart w:id="46" w:name="_Hlk154689537"/>
      <w:r>
        <w:rPr>
          <w:rFonts w:hint="eastAsia"/>
        </w:rPr>
        <w:t>海关总署缉私局全国联网控制器专门用于全国网络汇聚管理，实现全网可视化呈现。</w:t>
      </w:r>
    </w:p>
    <w:p>
      <w:pPr>
        <w:pStyle w:val="BP3"/>
        <w:rPr>
          <w:rFonts w:ascii="宋体" w:eastAsia="宋体"/>
          <w:sz w:val="24"/>
          <w:szCs w:val="24"/>
        </w:rPr>
      </w:pPr>
      <w:bookmarkEnd w:id="46"/>
      <w:r>
        <w:rPr>
          <w:rFonts w:ascii="宋体" w:eastAsia="宋体" w:hint="eastAsia"/>
          <w:sz w:val="24"/>
          <w:szCs w:val="24"/>
        </w:rPr>
        <w:t>2.特殊资质要求</w:t>
      </w:r>
    </w:p>
    <w:p>
      <w:pPr>
        <w:pStyle w:val="BP1"/>
      </w:pPr>
      <w:r>
        <w:rPr>
          <w:rFonts w:hint="eastAsia"/>
        </w:rPr>
        <w:t>无。</w:t>
      </w:r>
    </w:p>
    <w:p>
      <w:pPr>
        <w:pStyle w:val="BP3"/>
        <w:rPr>
          <w:rFonts w:ascii="宋体" w:eastAsia="宋体"/>
          <w:sz w:val="24"/>
          <w:szCs w:val="24"/>
        </w:rPr>
      </w:pPr>
      <w:r>
        <w:rPr>
          <w:rFonts w:ascii="宋体" w:eastAsia="宋体" w:hint="eastAsia"/>
          <w:sz w:val="24"/>
          <w:szCs w:val="24"/>
        </w:rPr>
        <w:t>3.主要技术参数</w:t>
      </w:r>
    </w:p>
    <w:tbl>
      <w:tblPr>
        <w:tblW w:w="5219" w:type="pct"/>
        <w:jc w:val="lef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5"/>
        <w:gridCol w:w="1630"/>
        <w:gridCol w:w="5081"/>
        <w:gridCol w:w="1309"/>
      </w:tblGrid>
      <w:tr>
        <w:tblPrEx>
          <w:tblW w:w="5219" w:type="pct"/>
          <w:jc w:val="lef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69"/>
          <w:tblHeader/>
          <w:jc w:val="left"/>
        </w:trPr>
        <w:tc>
          <w:tcPr>
            <w:tcW w:w="492" w:type="pct"/>
            <w:vAlign w:val="center"/>
          </w:tcPr>
          <w:p>
            <w:pPr>
              <w:pStyle w:val="305"/>
              <w:rPr>
                <w:rFonts w:ascii="宋体"/>
                <w:b/>
                <w:bCs/>
                <w:szCs w:val="24"/>
              </w:rPr>
            </w:pPr>
            <w:r>
              <w:rPr>
                <w:rFonts w:ascii="宋体" w:hint="eastAsia"/>
                <w:b/>
                <w:bCs/>
                <w:szCs w:val="24"/>
              </w:rPr>
              <w:t>序号</w:t>
            </w:r>
          </w:p>
        </w:tc>
        <w:tc>
          <w:tcPr>
            <w:tcW w:w="916" w:type="pct"/>
            <w:vAlign w:val="center"/>
          </w:tcPr>
          <w:p>
            <w:pPr>
              <w:pStyle w:val="324"/>
              <w:widowControl/>
              <w:jc w:val="center"/>
              <w:rPr>
                <w:rFonts w:ascii="宋体"/>
                <w:b/>
                <w:bCs/>
                <w:kern w:val="0"/>
                <w:szCs w:val="24"/>
              </w:rPr>
            </w:pPr>
            <w:r>
              <w:rPr>
                <w:rFonts w:ascii="宋体" w:hint="eastAsia"/>
                <w:b/>
                <w:bCs/>
                <w:kern w:val="0"/>
                <w:szCs w:val="24"/>
              </w:rPr>
              <w:t>指标项</w:t>
            </w:r>
          </w:p>
        </w:tc>
        <w:tc>
          <w:tcPr>
            <w:tcW w:w="2856" w:type="pct"/>
            <w:vAlign w:val="center"/>
          </w:tcPr>
          <w:p>
            <w:pPr>
              <w:pStyle w:val="334"/>
              <w:widowControl/>
              <w:jc w:val="center"/>
              <w:rPr>
                <w:rFonts w:ascii="宋体"/>
                <w:b/>
                <w:bCs/>
                <w:kern w:val="0"/>
                <w:szCs w:val="24"/>
              </w:rPr>
            </w:pPr>
            <w:r>
              <w:rPr>
                <w:rFonts w:ascii="宋体" w:hint="eastAsia"/>
                <w:b/>
                <w:bCs/>
                <w:kern w:val="0"/>
                <w:szCs w:val="24"/>
              </w:rPr>
              <w:t>指标要求</w:t>
            </w:r>
          </w:p>
        </w:tc>
        <w:tc>
          <w:tcPr>
            <w:tcW w:w="736" w:type="pct"/>
            <w:vAlign w:val="center"/>
          </w:tcPr>
          <w:p>
            <w:pPr>
              <w:pStyle w:val="361"/>
              <w:widowControl/>
              <w:jc w:val="center"/>
              <w:rPr>
                <w:rFonts w:ascii="宋体"/>
                <w:b/>
                <w:bCs/>
                <w:kern w:val="0"/>
                <w:szCs w:val="24"/>
              </w:rPr>
            </w:pPr>
            <w:r>
              <w:rPr>
                <w:rFonts w:ascii="宋体" w:hint="eastAsia"/>
                <w:b/>
                <w:bCs/>
                <w:kern w:val="0"/>
                <w:szCs w:val="24"/>
              </w:rPr>
              <w:t>证明材料要求</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rPr>
            </w:pPr>
            <w:bookmarkStart w:id="47" w:name="_Hlk154689893"/>
            <w:r>
              <w:rPr>
                <w:rFonts w:ascii="宋体" w:eastAsia="宋体" w:hint="eastAsia"/>
                <w:sz w:val="24"/>
                <w:szCs w:val="24"/>
              </w:rPr>
              <w:t>★3.1</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基本要求</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硬件要求：标准2U机架设备，支持机架安装，配置冗余电源。</w:t>
            </w:r>
          </w:p>
          <w:p>
            <w:pPr>
              <w:rPr>
                <w:rFonts w:ascii="宋体" w:eastAsia="宋体"/>
              </w:rPr>
            </w:pPr>
            <w:r>
              <w:rPr>
                <w:rFonts w:ascii="宋体" w:eastAsia="宋体" w:hint="eastAsia"/>
                <w:sz w:val="24"/>
                <w:szCs w:val="24"/>
              </w:rPr>
              <w:t>每个计算节点配置8核及以上处理器，64GB及以上DDR4内存，具备并配置2块1.8TB 10000转 2.5寸企业级硬盘；配置万兆光口≥2个，千兆电口≥2个，配置2个万兆多模光模块，配置1个IPMI口，1个VGA口。</w:t>
            </w:r>
          </w:p>
          <w:p>
            <w:pPr>
              <w:rPr>
                <w:rFonts w:ascii="宋体" w:eastAsia="宋体"/>
              </w:rPr>
            </w:pPr>
            <w:r>
              <w:rPr>
                <w:rFonts w:ascii="宋体" w:eastAsia="宋体" w:hint="eastAsia"/>
                <w:sz w:val="24"/>
                <w:szCs w:val="24"/>
              </w:rPr>
              <w:t>（提供产品实物图、技术指标及配置清单）</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717"/>
          <w:jc w:val="left"/>
        </w:trPr>
        <w:tc>
          <w:tcPr>
            <w:tcW w:w="492" w:type="pct"/>
            <w:vAlign w:val="center"/>
          </w:tcPr>
          <w:p>
            <w:pPr>
              <w:ind w:firstLine="0"/>
              <w:jc w:val="center"/>
              <w:rPr>
                <w:rFonts w:ascii="宋体" w:eastAsia="宋体"/>
              </w:rPr>
            </w:pPr>
            <w:r>
              <w:rPr>
                <w:rFonts w:ascii="宋体" w:eastAsia="宋体" w:hint="eastAsia"/>
                <w:sz w:val="24"/>
                <w:szCs w:val="24"/>
              </w:rPr>
              <w:t>▲3.2</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kern w:val="0"/>
              </w:rPr>
            </w:pPr>
            <w:r>
              <w:rPr>
                <w:rFonts w:ascii="宋体" w:eastAsia="宋体" w:hint="eastAsia"/>
                <w:sz w:val="24"/>
                <w:szCs w:val="24"/>
              </w:rPr>
              <w:t>高效运维</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实现对本次网络建设部署的所有通讯通道加固设备的纳管，对设备进行全景呈现，包括设备面板、端口信息、告警、性能等信息，完成海关缉私全域扁平化实战指挥体系网络的智能化控制。</w:t>
            </w:r>
          </w:p>
          <w:p>
            <w:pPr>
              <w:rPr>
                <w:rFonts w:ascii="宋体" w:eastAsia="宋体"/>
              </w:rPr>
            </w:pPr>
            <w:r>
              <w:rPr>
                <w:rFonts w:ascii="宋体" w:eastAsia="宋体" w:hint="eastAsia"/>
                <w:sz w:val="24"/>
                <w:szCs w:val="24"/>
              </w:rPr>
              <w:t>支持通过全国联网控制器对纳管设备的业务应用进行允许和阻止，如视频、指挥应用等管控操作。</w:t>
            </w:r>
          </w:p>
          <w:p>
            <w:pPr>
              <w:rPr>
                <w:rFonts w:ascii="宋体" w:eastAsia="宋体"/>
                <w:kern w:val="0"/>
              </w:rPr>
            </w:pPr>
            <w:r>
              <w:rPr>
                <w:rFonts w:ascii="宋体" w:eastAsia="宋体" w:hint="eastAsia"/>
                <w:sz w:val="24"/>
                <w:szCs w:val="24"/>
              </w:rPr>
              <w:t>（以上要求须提供产品制造商官网可下载的技术白皮书及对应网址链接）</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717"/>
          <w:jc w:val="left"/>
        </w:trPr>
        <w:tc>
          <w:tcPr>
            <w:tcW w:w="492" w:type="pct"/>
            <w:vAlign w:val="center"/>
          </w:tcPr>
          <w:p>
            <w:pPr>
              <w:ind w:firstLine="0"/>
              <w:jc w:val="center"/>
              <w:rPr>
                <w:rFonts w:ascii="宋体" w:eastAsia="宋体"/>
              </w:rPr>
            </w:pPr>
            <w:r>
              <w:rPr>
                <w:rFonts w:ascii="宋体" w:eastAsia="宋体" w:hint="eastAsia"/>
                <w:sz w:val="24"/>
                <w:szCs w:val="24"/>
              </w:rPr>
              <w:t>3.3</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大屏显示</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设备应支持大屏展示功能，能够更直观的展现全国各局通讯通道加固设备的整体运转情况。</w:t>
            </w:r>
          </w:p>
        </w:tc>
        <w:tc>
          <w:tcPr>
            <w:tcW w:w="736" w:type="pct"/>
            <w:vAlign w:val="center"/>
          </w:tcPr>
          <w:p>
            <w:pPr>
              <w:jc w:val="center"/>
              <w:rPr>
                <w:rFonts w:ascii="宋体" w:eastAsia="宋体"/>
              </w:rPr>
            </w:pPr>
            <w:r>
              <w:rPr>
                <w:rFonts w:ascii="宋体" w:eastAsia="宋体" w:hint="eastAsia"/>
                <w:sz w:val="24"/>
                <w:szCs w:val="24"/>
              </w:rPr>
              <w:t>否</w:t>
            </w:r>
          </w:p>
        </w:tc>
      </w:tr>
      <w:tr>
        <w:tblPrEx>
          <w:tblW w:w="5219" w:type="pct"/>
          <w:jc w:val="left"/>
          <w:tblInd w:w="-714" w:type="dxa"/>
          <w:tblLayout w:type="fixed"/>
          <w:tblCellMar>
            <w:top w:w="0" w:type="dxa"/>
            <w:left w:w="108" w:type="dxa"/>
            <w:bottom w:w="0" w:type="dxa"/>
            <w:right w:w="108" w:type="dxa"/>
          </w:tblCellMar>
        </w:tblPrEx>
        <w:trPr>
          <w:trHeight w:val="717"/>
          <w:jc w:val="left"/>
        </w:trPr>
        <w:tc>
          <w:tcPr>
            <w:tcW w:w="492" w:type="pct"/>
            <w:vAlign w:val="center"/>
          </w:tcPr>
          <w:p>
            <w:pPr>
              <w:ind w:firstLine="0"/>
              <w:jc w:val="center"/>
              <w:rPr>
                <w:rFonts w:ascii="宋体" w:eastAsia="宋体"/>
              </w:rPr>
            </w:pPr>
            <w:r>
              <w:rPr>
                <w:rFonts w:ascii="宋体" w:eastAsia="宋体" w:hint="eastAsia"/>
                <w:sz w:val="24"/>
                <w:szCs w:val="24"/>
              </w:rPr>
              <w:t>3.4</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网络编排</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支持网络编排功能，进行自定义显示内容编排，包括网络拓扑、分区监控分布，设备状态图等。</w:t>
            </w:r>
          </w:p>
        </w:tc>
        <w:tc>
          <w:tcPr>
            <w:tcW w:w="736" w:type="pct"/>
            <w:vAlign w:val="center"/>
          </w:tcPr>
          <w:p>
            <w:pPr>
              <w:jc w:val="center"/>
              <w:rPr>
                <w:rFonts w:ascii="宋体" w:eastAsia="宋体"/>
              </w:rPr>
            </w:pPr>
            <w:r>
              <w:rPr>
                <w:rFonts w:ascii="宋体" w:eastAsia="宋体" w:hint="eastAsia"/>
                <w:sz w:val="24"/>
                <w:szCs w:val="24"/>
              </w:rPr>
              <w:t>否</w:t>
            </w:r>
          </w:p>
        </w:tc>
      </w:tr>
      <w:tr>
        <w:tblPrEx>
          <w:tblW w:w="5219" w:type="pct"/>
          <w:jc w:val="left"/>
          <w:tblInd w:w="-714" w:type="dxa"/>
          <w:tblLayout w:type="fixed"/>
          <w:tblCellMar>
            <w:top w:w="0" w:type="dxa"/>
            <w:left w:w="108" w:type="dxa"/>
            <w:bottom w:w="0" w:type="dxa"/>
            <w:right w:w="108" w:type="dxa"/>
          </w:tblCellMar>
        </w:tblPrEx>
        <w:trPr>
          <w:trHeight w:val="717"/>
          <w:jc w:val="left"/>
        </w:trPr>
        <w:tc>
          <w:tcPr>
            <w:tcW w:w="492" w:type="pct"/>
            <w:vAlign w:val="center"/>
          </w:tcPr>
          <w:p>
            <w:pPr>
              <w:ind w:firstLine="0"/>
              <w:jc w:val="center"/>
              <w:rPr>
                <w:rFonts w:ascii="宋体" w:eastAsia="宋体"/>
              </w:rPr>
            </w:pPr>
            <w:r>
              <w:rPr>
                <w:rFonts w:ascii="宋体" w:eastAsia="宋体" w:hint="eastAsia"/>
                <w:sz w:val="24"/>
                <w:szCs w:val="24"/>
              </w:rPr>
              <w:t>3.5</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状态监控</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支持对整网应用/应用组的上下线速率和流量进行排名，方便整体观察整网流量分布。</w:t>
            </w:r>
          </w:p>
          <w:p>
            <w:pPr>
              <w:rPr>
                <w:rFonts w:ascii="宋体" w:eastAsia="宋体"/>
              </w:rPr>
            </w:pPr>
            <w:r>
              <w:rPr>
                <w:rFonts w:ascii="宋体" w:eastAsia="宋体" w:hint="eastAsia"/>
                <w:sz w:val="24"/>
                <w:szCs w:val="24"/>
              </w:rPr>
              <w:t>支持对通讯通道加固设备的在线/离线数量进行统计，并呈现VPN隧道的实时状态，包括源目的IP、上线时间、流量可视化和流量控制等。</w:t>
            </w:r>
          </w:p>
          <w:p>
            <w:pPr>
              <w:rPr>
                <w:rFonts w:ascii="宋体" w:eastAsia="宋体"/>
              </w:rPr>
            </w:pPr>
            <w:r>
              <w:rPr>
                <w:rFonts w:ascii="宋体" w:eastAsia="宋体" w:hint="eastAsia"/>
                <w:sz w:val="24"/>
                <w:szCs w:val="24"/>
              </w:rPr>
              <w:t>支持根据纳管设备的CPU利用率、内存使用率、端口离线的数量等多种信息来对设备健康度进行评分。</w:t>
            </w:r>
          </w:p>
          <w:p>
            <w:pPr>
              <w:rPr>
                <w:rFonts w:ascii="宋体" w:eastAsia="宋体"/>
              </w:rPr>
            </w:pPr>
            <w:r>
              <w:rPr>
                <w:rFonts w:ascii="宋体" w:eastAsia="宋体" w:hint="eastAsia"/>
                <w:sz w:val="24"/>
                <w:szCs w:val="24"/>
              </w:rPr>
              <w:t>（以上要求须提供产品制造商官网可下载的技术白皮书及对应网址链接）</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1140"/>
          <w:jc w:val="left"/>
        </w:trPr>
        <w:tc>
          <w:tcPr>
            <w:tcW w:w="492" w:type="pct"/>
            <w:vAlign w:val="center"/>
          </w:tcPr>
          <w:p>
            <w:pPr>
              <w:ind w:firstLine="0"/>
              <w:jc w:val="center"/>
              <w:rPr>
                <w:rFonts w:ascii="宋体" w:eastAsia="宋体"/>
              </w:rPr>
            </w:pPr>
            <w:r>
              <w:rPr>
                <w:rFonts w:ascii="宋体" w:eastAsia="宋体" w:hint="eastAsia"/>
                <w:sz w:val="24"/>
                <w:szCs w:val="24"/>
              </w:rPr>
              <w:t>3.6</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开放性</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须提供开放的SDK开发包与文档等二次开发接口，并按海关缉私相关规定进行定制、开发。</w:t>
            </w:r>
          </w:p>
          <w:p>
            <w:pPr>
              <w:rPr>
                <w:rFonts w:ascii="宋体" w:eastAsia="宋体"/>
              </w:rPr>
            </w:pPr>
            <w:r>
              <w:rPr>
                <w:rFonts w:ascii="宋体" w:eastAsia="宋体" w:hint="eastAsia"/>
                <w:sz w:val="24"/>
                <w:szCs w:val="24"/>
              </w:rPr>
              <w:t>开发包功能包括但不限于：配置、状态、统计、通知、管理等内容。</w:t>
            </w:r>
          </w:p>
          <w:p>
            <w:pPr>
              <w:rPr>
                <w:rFonts w:ascii="宋体" w:eastAsia="宋体"/>
              </w:rPr>
            </w:pPr>
            <w:r>
              <w:rPr>
                <w:rFonts w:ascii="宋体" w:eastAsia="宋体" w:hint="eastAsia"/>
                <w:sz w:val="24"/>
                <w:szCs w:val="24"/>
              </w:rPr>
              <w:t>（同时提供投标人承诺函及产品制造商承诺函）</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717"/>
          <w:jc w:val="left"/>
        </w:trPr>
        <w:tc>
          <w:tcPr>
            <w:tcW w:w="492" w:type="pct"/>
            <w:vAlign w:val="center"/>
          </w:tcPr>
          <w:p>
            <w:pPr>
              <w:ind w:firstLine="0"/>
              <w:jc w:val="center"/>
              <w:rPr>
                <w:rFonts w:ascii="宋体" w:eastAsia="宋体"/>
              </w:rPr>
            </w:pPr>
            <w:r>
              <w:rPr>
                <w:rFonts w:ascii="宋体" w:eastAsia="宋体" w:hint="eastAsia"/>
                <w:sz w:val="24"/>
                <w:szCs w:val="24"/>
              </w:rPr>
              <w:t>3.7</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适应性改造</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适应性改造：须对交付的设备业务应用软件功能，在合同保修期内，按照海关总署缉私局最终用户的实际业务规则和业务需求进行功能性和适应性改造。</w:t>
            </w:r>
          </w:p>
          <w:p>
            <w:pPr>
              <w:rPr>
                <w:rFonts w:ascii="宋体" w:eastAsia="宋体"/>
                <w:bCs/>
              </w:rPr>
            </w:pPr>
            <w:r>
              <w:rPr>
                <w:rFonts w:ascii="宋体" w:eastAsia="宋体" w:hint="eastAsia"/>
                <w:sz w:val="24"/>
                <w:szCs w:val="24"/>
              </w:rPr>
              <w:t>（同时提供投标人承诺函及产品制造商承诺函）</w:t>
            </w:r>
          </w:p>
        </w:tc>
        <w:tc>
          <w:tcPr>
            <w:tcW w:w="736" w:type="pct"/>
            <w:vAlign w:val="center"/>
          </w:tcPr>
          <w:p>
            <w:pPr>
              <w:jc w:val="center"/>
              <w:rPr>
                <w:rFonts w:ascii="宋体" w:eastAsia="宋体"/>
              </w:rPr>
            </w:pPr>
            <w:r>
              <w:rPr>
                <w:rFonts w:ascii="宋体" w:eastAsia="宋体" w:hint="eastAsia"/>
                <w:sz w:val="24"/>
                <w:szCs w:val="24"/>
              </w:rPr>
              <w:t>是</w:t>
            </w:r>
          </w:p>
        </w:tc>
      </w:tr>
      <w:tr>
        <w:tblPrEx>
          <w:tblW w:w="5219" w:type="pct"/>
          <w:jc w:val="left"/>
          <w:tblInd w:w="-714" w:type="dxa"/>
          <w:tblLayout w:type="fixed"/>
          <w:tblCellMar>
            <w:top w:w="0" w:type="dxa"/>
            <w:left w:w="108" w:type="dxa"/>
            <w:bottom w:w="0" w:type="dxa"/>
            <w:right w:w="108" w:type="dxa"/>
          </w:tblCellMar>
        </w:tblPrEx>
        <w:trPr>
          <w:trHeight w:val="717"/>
          <w:jc w:val="left"/>
        </w:trPr>
        <w:tc>
          <w:tcPr>
            <w:tcW w:w="492" w:type="pct"/>
            <w:vAlign w:val="center"/>
          </w:tcPr>
          <w:p>
            <w:pPr>
              <w:ind w:firstLine="0"/>
              <w:jc w:val="center"/>
              <w:rPr>
                <w:rFonts w:ascii="宋体" w:eastAsia="宋体"/>
              </w:rPr>
            </w:pPr>
            <w:r>
              <w:rPr>
                <w:rFonts w:ascii="宋体" w:eastAsia="宋体" w:hint="eastAsia"/>
                <w:sz w:val="24"/>
                <w:szCs w:val="24"/>
              </w:rPr>
              <w:t>★3.8</w:t>
            </w:r>
          </w:p>
        </w:tc>
        <w:tc>
          <w:tcPr>
            <w:tcW w:w="916" w:type="pct"/>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sz w:val="24"/>
                <w:szCs w:val="24"/>
              </w:rPr>
              <w:t>单套配置</w:t>
            </w:r>
          </w:p>
        </w:tc>
        <w:tc>
          <w:tcPr>
            <w:tcW w:w="2856" w:type="pct"/>
            <w:tcBorders>
              <w:top w:val="single" w:sz="4" w:space="0" w:color="auto"/>
              <w:left w:val="single" w:sz="4" w:space="0" w:color="auto"/>
              <w:right w:val="single" w:sz="4" w:space="0" w:color="auto"/>
            </w:tcBorders>
            <w:vAlign w:val="center"/>
          </w:tcPr>
          <w:p>
            <w:pPr>
              <w:rPr>
                <w:rFonts w:ascii="宋体" w:eastAsia="宋体"/>
              </w:rPr>
            </w:pPr>
            <w:r>
              <w:rPr>
                <w:rFonts w:ascii="宋体" w:eastAsia="宋体" w:hint="eastAsia"/>
                <w:sz w:val="24"/>
                <w:szCs w:val="24"/>
              </w:rPr>
              <w:t>主机1</w:t>
              <w:tab/>
              <w:t>套（包含软硬件）、电源线2根、网线2根。</w:t>
            </w:r>
          </w:p>
          <w:p>
            <w:pPr>
              <w:rPr>
                <w:rFonts w:ascii="宋体" w:eastAsia="宋体"/>
              </w:rPr>
            </w:pPr>
            <w:r>
              <w:rPr>
                <w:rFonts w:ascii="宋体" w:eastAsia="宋体" w:hint="eastAsia"/>
                <w:sz w:val="24"/>
                <w:szCs w:val="24"/>
              </w:rPr>
              <w:t>（提供技术指标及配置清单</w:t>
            </w:r>
            <w:r>
              <w:rPr>
                <w:rFonts w:ascii="宋体" w:eastAsia="宋体" w:hint="eastAsia"/>
                <w:sz w:val="24"/>
                <w:szCs w:val="24"/>
                <w:highlight w:val="none"/>
              </w:rPr>
              <w:t>）</w:t>
            </w:r>
          </w:p>
        </w:tc>
        <w:tc>
          <w:tcPr>
            <w:tcW w:w="736" w:type="pct"/>
            <w:vAlign w:val="center"/>
          </w:tcPr>
          <w:p>
            <w:pPr>
              <w:jc w:val="center"/>
              <w:rPr>
                <w:rFonts w:ascii="宋体" w:eastAsia="宋体"/>
              </w:rPr>
            </w:pPr>
            <w:r>
              <w:rPr>
                <w:rFonts w:ascii="宋体" w:eastAsia="宋体" w:hint="eastAsia"/>
                <w:sz w:val="24"/>
                <w:szCs w:val="24"/>
              </w:rPr>
              <w:t>是</w:t>
            </w:r>
          </w:p>
        </w:tc>
      </w:tr>
    </w:tbl>
    <w:p>
      <w:pPr>
        <w:pStyle w:val="BP3"/>
        <w:rPr>
          <w:rFonts w:ascii="宋体" w:eastAsia="宋体"/>
          <w:sz w:val="24"/>
          <w:szCs w:val="24"/>
        </w:rPr>
      </w:pPr>
      <w:bookmarkEnd w:id="47"/>
      <w:r>
        <w:rPr>
          <w:rFonts w:ascii="宋体" w:eastAsia="宋体" w:hint="eastAsia"/>
          <w:sz w:val="24"/>
          <w:szCs w:val="24"/>
        </w:rPr>
        <w:t>4.主要配置</w:t>
      </w:r>
    </w:p>
    <w:p>
      <w:pPr>
        <w:rPr>
          <w:rFonts w:ascii="宋体" w:eastAsia="宋体"/>
        </w:rPr>
      </w:pPr>
      <w:r>
        <w:rPr>
          <w:rFonts w:ascii="宋体" w:eastAsia="宋体" w:hint="eastAsia"/>
          <w:sz w:val="24"/>
          <w:szCs w:val="24"/>
        </w:rPr>
        <w:t>无特殊配置。</w:t>
      </w:r>
    </w:p>
    <w:p>
      <w:pPr>
        <w:rPr>
          <w:rFonts w:ascii="宋体" w:eastAsia="宋体"/>
        </w:rPr>
      </w:pPr>
    </w:p>
    <w:p>
      <w:pPr>
        <w:spacing w:line="360" w:lineRule="auto"/>
        <w:jc w:val="left"/>
        <w:rPr>
          <w:rFonts w:ascii="宋体" w:eastAsia="宋体"/>
        </w:rPr>
        <w:sectPr>
          <w:pgSz w:w="11906" w:h="16838"/>
          <w:pgMar w:top="1440" w:right="1800" w:bottom="1440" w:left="1800" w:header="851" w:footer="992" w:gutter="0"/>
          <w:cols w:num="1" w:space="720"/>
          <w:docGrid w:type="lines" w:linePitch="312" w:charSpace="0"/>
        </w:sectPr>
      </w:pPr>
    </w:p>
    <w:p>
      <w:pPr>
        <w:pStyle w:val="BP"/>
        <w:rPr>
          <w:rFonts w:ascii="宋体" w:eastAsia="宋体"/>
          <w:sz w:val="24"/>
          <w:szCs w:val="24"/>
        </w:rPr>
      </w:pPr>
      <w:r>
        <w:rPr>
          <w:rFonts w:ascii="宋体" w:eastAsia="宋体" w:cs="Arial" w:hint="eastAsia"/>
          <w:bCs/>
          <w:sz w:val="24"/>
          <w:szCs w:val="24"/>
        </w:rPr>
        <w:t>★</w:t>
      </w:r>
      <w:r>
        <w:rPr>
          <w:rFonts w:ascii="宋体" w:eastAsia="宋体" w:hint="eastAsia"/>
          <w:sz w:val="24"/>
          <w:szCs w:val="24"/>
        </w:rPr>
        <w:t>四、交货期</w:t>
      </w:r>
    </w:p>
    <w:p>
      <w:pPr>
        <w:pStyle w:val="BP1"/>
      </w:pPr>
      <w:r>
        <w:rPr>
          <w:rFonts w:hint="eastAsia"/>
        </w:rPr>
        <w:t>产品合同签订后90日内交货。</w:t>
      </w:r>
    </w:p>
    <w:p>
      <w:pPr>
        <w:pStyle w:val="BP"/>
        <w:rPr>
          <w:rFonts w:ascii="宋体" w:eastAsia="宋体"/>
          <w:sz w:val="24"/>
          <w:szCs w:val="24"/>
        </w:rPr>
      </w:pPr>
      <w:r>
        <w:rPr>
          <w:rFonts w:ascii="宋体" w:eastAsia="宋体" w:cs="Arial" w:hint="eastAsia"/>
          <w:bCs/>
          <w:sz w:val="24"/>
          <w:szCs w:val="24"/>
        </w:rPr>
        <w:t>★</w:t>
      </w:r>
      <w:r>
        <w:rPr>
          <w:rFonts w:ascii="宋体" w:eastAsia="宋体" w:hint="eastAsia"/>
          <w:sz w:val="24"/>
          <w:szCs w:val="24"/>
        </w:rPr>
        <w:t>五、质保期</w:t>
      </w:r>
    </w:p>
    <w:p>
      <w:pPr>
        <w:pStyle w:val="BP1"/>
      </w:pPr>
      <w:r>
        <w:rPr>
          <w:rFonts w:hint="eastAsia"/>
        </w:rPr>
        <w:t>设备（整机及配件）应提供自安装调试</w:t>
      </w:r>
      <w:r>
        <w:t>并</w:t>
      </w:r>
      <w:r>
        <w:rPr>
          <w:rFonts w:hint="eastAsia"/>
        </w:rPr>
        <w:t>经用户验收合格当日起计算不少于5年</w:t>
      </w:r>
      <w:r>
        <w:t>的</w:t>
      </w:r>
      <w:r>
        <w:rPr>
          <w:rFonts w:hint="eastAsia"/>
        </w:rPr>
        <w:t>质保（免费维修及维护期）。</w:t>
      </w:r>
    </w:p>
    <w:p>
      <w:pPr>
        <w:pStyle w:val="BP"/>
        <w:rPr>
          <w:rFonts w:ascii="宋体" w:eastAsia="宋体"/>
          <w:sz w:val="24"/>
          <w:szCs w:val="24"/>
        </w:rPr>
      </w:pPr>
      <w:r>
        <w:rPr>
          <w:rFonts w:ascii="宋体" w:eastAsia="宋体" w:hint="eastAsia"/>
          <w:sz w:val="24"/>
          <w:szCs w:val="24"/>
        </w:rPr>
        <w:t>▲六、售后服务要求</w:t>
      </w:r>
    </w:p>
    <w:p>
      <w:pPr>
        <w:pStyle w:val="BP1"/>
        <w:rPr>
          <w:rFonts w:hint="eastAsia"/>
          <w:lang w:val="en-US" w:bidi="ar-SA"/>
        </w:rPr>
      </w:pPr>
      <w:r>
        <w:rPr>
          <w:rFonts w:hint="eastAsia"/>
        </w:rPr>
        <w:t>1.</w:t>
      </w:r>
      <w:r>
        <w:rPr>
          <w:rFonts w:ascii="方正仿宋_GBK" w:eastAsia="方正仿宋_GBK" w:hint="eastAsia"/>
          <w:kern w:val="2"/>
          <w:sz w:val="28"/>
          <w:szCs w:val="28"/>
          <w:lang w:val="en-US" w:eastAsia="zh-CN" w:bidi="ar-SA"/>
        </w:rPr>
        <w:t>投标人应联合产品制造商免费提供投标产品的所有版本升级和技术支持服务。5年后每年服务费按不高于产品投标金额的8%。在合同验收通过并进入正式运行后，投标人必须提供至少5年的免费版本升级、技术支持和产品制造商质保及售后服务。</w:t>
      </w:r>
    </w:p>
    <w:p>
      <w:pPr>
        <w:pStyle w:val="BP1"/>
        <w:outlineLvl w:val="9"/>
      </w:pPr>
      <w:r>
        <w:rPr>
          <w:rFonts w:hint="eastAsia"/>
        </w:rPr>
        <w:t>2.中标方及产品制造商有责任提供以下形式的技术服务：</w:t>
      </w:r>
    </w:p>
    <w:p>
      <w:pPr>
        <w:pStyle w:val="BP1"/>
      </w:pPr>
      <w:r>
        <w:rPr>
          <w:rFonts w:hint="eastAsia"/>
        </w:rPr>
        <w:t>电话咨询：免费提供咨询电话技术支持服务，解答用户在系统使用中遇到的问题，及时提出解决问题的建议和操作方法。</w:t>
      </w:r>
    </w:p>
    <w:p>
      <w:pPr>
        <w:pStyle w:val="BP1"/>
      </w:pPr>
      <w:r>
        <w:rPr>
          <w:rFonts w:hint="eastAsia"/>
        </w:rPr>
        <w:t>现场响应：自收到用户的服务请求起2小时内，如中标方或产品制造商技术支持人员不能解决故障，中标方或产品制造商应指派技术人员赶赴现场进行故障处理。质保期内凡因产品质量问题引起的不能正常使用的，一般情况不超过24小时排除故障，如需到现场维修时不超过72小时。</w:t>
      </w:r>
    </w:p>
    <w:p>
      <w:pPr>
        <w:pStyle w:val="BP1"/>
      </w:pPr>
      <w:r>
        <w:rPr>
          <w:rFonts w:hint="eastAsia"/>
        </w:rPr>
        <w:t>3.验收：按供应方的技术资料、合同资料和招标文件指标验收。</w:t>
      </w:r>
    </w:p>
    <w:p>
      <w:pPr>
        <w:pStyle w:val="BP1"/>
      </w:pPr>
      <w:r>
        <w:rPr>
          <w:rFonts w:hint="eastAsia"/>
        </w:rPr>
        <w:t>4.交货地点：按分配表中的需求单位要求交货。</w:t>
      </w:r>
    </w:p>
    <w:p>
      <w:pPr>
        <w:pStyle w:val="BP1"/>
      </w:pPr>
      <w:r>
        <w:rPr>
          <w:rFonts w:hint="eastAsia"/>
        </w:rPr>
        <w:t>5.投标人应设立7×24小时售后服务热线，第一时间对用户报修的故障进行响应，及时提供维修和技术咨询。</w:t>
      </w:r>
    </w:p>
    <w:p>
      <w:pPr>
        <w:pStyle w:val="BP1"/>
      </w:pPr>
      <w:r>
        <w:rPr>
          <w:rFonts w:hint="eastAsia"/>
        </w:rPr>
        <w:t>6.投标人须在投标文件中报出质保期外的售后服务方案及售后服务承诺，质保期外如设备发生故障后，投标人维修工程师应于48小时内到达设备最终用户所在地进行维修。</w:t>
      </w:r>
    </w:p>
    <w:p>
      <w:pPr>
        <w:pStyle w:val="BP1"/>
      </w:pPr>
      <w:r>
        <w:rPr>
          <w:rFonts w:hint="eastAsia"/>
        </w:rPr>
        <w:t>7.对设备进行维修时，投标人应当对其中存储的信息有保密义务，且应提供本项目包含的所有存储介质不返还及硬盘免回收服务。</w:t>
      </w:r>
    </w:p>
    <w:p>
      <w:pPr>
        <w:pStyle w:val="BP1"/>
      </w:pPr>
      <w:r>
        <w:rPr>
          <w:rFonts w:hint="eastAsia"/>
        </w:rPr>
        <w:t>8.投标人应主动或配合海关缉私局对设备的管理，为设备免费提供软件升级服务，提升客户使用体验。</w:t>
      </w:r>
    </w:p>
    <w:p>
      <w:pPr>
        <w:pStyle w:val="BP1"/>
      </w:pPr>
      <w:r>
        <w:rPr>
          <w:rFonts w:hint="eastAsia"/>
        </w:rPr>
        <w:t>9.投标人应提供具体的售后服务方案，提供售后服务响应时间及方式、应急措施以及组织机构等。投标人能针对甲方长期运行维护需求提出可行性的后续运维建议。</w:t>
      </w:r>
    </w:p>
    <w:p>
      <w:pPr>
        <w:pStyle w:val="BP"/>
        <w:rPr>
          <w:rFonts w:ascii="宋体" w:eastAsia="宋体"/>
          <w:sz w:val="24"/>
          <w:szCs w:val="24"/>
        </w:rPr>
      </w:pPr>
      <w:bookmarkStart w:id="48" w:name="_Hlk139796896"/>
      <w:r>
        <w:rPr>
          <w:rFonts w:ascii="宋体" w:eastAsia="宋体" w:hint="eastAsia"/>
          <w:sz w:val="24"/>
          <w:szCs w:val="24"/>
        </w:rPr>
        <w:t>▲七、培训要求</w:t>
      </w:r>
    </w:p>
    <w:p>
      <w:pPr>
        <w:pStyle w:val="BP1"/>
      </w:pPr>
      <w:r>
        <w:rPr>
          <w:rFonts w:hint="eastAsia"/>
        </w:rPr>
        <w:t>1.供应商应提供本项目不低于132人天（44*3）的培训，培训形式可以多样，培训内容包括但不限于软硬件安装、配置、管理、维护等内容。</w:t>
      </w:r>
    </w:p>
    <w:p>
      <w:pPr>
        <w:pStyle w:val="BP1"/>
      </w:pPr>
      <w:r>
        <w:rPr>
          <w:rFonts w:hint="eastAsia"/>
        </w:rPr>
        <w:t>2.供应商必须按采购人要求对设备、应用系统操作管理及维护人员进行免费培训，达到熟练掌握产品性能，能及时排除一般故障的程度。</w:t>
      </w:r>
    </w:p>
    <w:p>
      <w:pPr>
        <w:pStyle w:val="BP1"/>
      </w:pPr>
      <w:r>
        <w:rPr>
          <w:rFonts w:hint="eastAsia"/>
        </w:rPr>
        <w:t>3.供应商须为所有被培训人员提供培训用文字资料和讲义等相关用品。</w:t>
      </w:r>
    </w:p>
    <w:p>
      <w:pPr>
        <w:pStyle w:val="BP1"/>
        <w:outlineLvl w:val="9"/>
      </w:pPr>
      <w:r>
        <w:rPr>
          <w:rFonts w:hint="eastAsia"/>
        </w:rPr>
        <w:t>4.供应商须免费提供培训所需师资和课件。</w:t>
      </w:r>
    </w:p>
    <w:p>
      <w:pPr>
        <w:pStyle w:val="BP1"/>
        <w:sectPr>
          <w:pgSz w:w="11906" w:h="16838"/>
          <w:pgMar w:top="1440" w:right="1800" w:bottom="1440" w:left="1800" w:header="851" w:footer="992" w:gutter="0"/>
          <w:cols w:num="1" w:space="720"/>
          <w:docGrid w:type="lines" w:linePitch="312" w:charSpace="0"/>
        </w:sectPr>
      </w:pPr>
      <w:r>
        <w:rPr>
          <w:rFonts w:hint="eastAsia"/>
        </w:rPr>
        <w:t xml:space="preserve">5.所有培训费用由供应商承担，被培训人员因参加培训产生的差旅、食宿费用按出差有关规定办理。培训场地费用由双方协商确定。  </w:t>
      </w:r>
    </w:p>
    <w:p>
      <w:pPr>
        <w:rPr>
          <w:rFonts w:ascii="宋体" w:eastAsia="宋体"/>
        </w:rPr>
      </w:pPr>
    </w:p>
    <w:p>
      <w:pPr>
        <w:pStyle w:val="BP"/>
        <w:rPr>
          <w:rFonts w:ascii="宋体" w:eastAsia="宋体"/>
          <w:sz w:val="24"/>
          <w:szCs w:val="24"/>
        </w:rPr>
      </w:pPr>
      <w:r>
        <w:rPr>
          <w:rFonts w:ascii="宋体" w:eastAsia="宋体" w:hint="eastAsia"/>
          <w:sz w:val="24"/>
          <w:szCs w:val="24"/>
        </w:rPr>
        <w:t>八、分配表</w:t>
      </w:r>
    </w:p>
    <w:p>
      <w:pPr>
        <w:pStyle w:val="BP1"/>
        <w:jc w:val="left"/>
        <w:rPr>
          <w:bCs/>
        </w:rPr>
      </w:pPr>
      <w:r>
        <w:rPr>
          <w:rFonts w:hint="eastAsia"/>
        </w:rPr>
        <w:t>货物分配表</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98"/>
        <w:gridCol w:w="2466"/>
        <w:gridCol w:w="1111"/>
        <w:gridCol w:w="1018"/>
        <w:gridCol w:w="1018"/>
        <w:gridCol w:w="1004"/>
        <w:gridCol w:w="1004"/>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076"/>
          <w:jc w:val="left"/>
        </w:trPr>
        <w:tc>
          <w:tcPr>
            <w:tcW w:w="527" w:type="pct"/>
            <w:vMerge w:val="restart"/>
            <w:noWrap/>
            <w:vAlign w:val="center"/>
          </w:tcPr>
          <w:p>
            <w:pPr>
              <w:ind w:firstLine="0"/>
              <w:rPr>
                <w:rFonts w:ascii="宋体" w:eastAsia="宋体"/>
                <w:b/>
                <w:bCs/>
              </w:rPr>
            </w:pPr>
            <w:r>
              <w:rPr>
                <w:rFonts w:ascii="宋体" w:eastAsia="宋体" w:hint="eastAsia"/>
                <w:b/>
                <w:bCs/>
                <w:sz w:val="24"/>
                <w:szCs w:val="24"/>
              </w:rPr>
              <w:t>序号</w:t>
            </w:r>
          </w:p>
        </w:tc>
        <w:tc>
          <w:tcPr>
            <w:tcW w:w="1447" w:type="pct"/>
            <w:vMerge w:val="restart"/>
            <w:noWrap/>
            <w:vAlign w:val="center"/>
          </w:tcPr>
          <w:p>
            <w:pPr>
              <w:ind w:firstLine="0"/>
              <w:rPr>
                <w:rFonts w:ascii="宋体" w:eastAsia="宋体"/>
                <w:b/>
                <w:bCs/>
              </w:rPr>
            </w:pPr>
            <w:r>
              <w:rPr>
                <w:rFonts w:ascii="宋体" w:eastAsia="宋体" w:hint="eastAsia"/>
                <w:b/>
                <w:bCs/>
                <w:sz w:val="24"/>
                <w:szCs w:val="24"/>
              </w:rPr>
              <w:t>需求单位</w:t>
            </w:r>
          </w:p>
        </w:tc>
        <w:tc>
          <w:tcPr>
            <w:tcW w:w="3024" w:type="pct"/>
            <w:gridSpan w:val="5"/>
            <w:vAlign w:val="center"/>
          </w:tcPr>
          <w:p>
            <w:pPr>
              <w:rPr>
                <w:rFonts w:ascii="宋体" w:eastAsia="宋体"/>
                <w:b/>
                <w:bCs/>
              </w:rPr>
            </w:pPr>
            <w:r>
              <w:rPr>
                <w:rFonts w:ascii="宋体" w:eastAsia="宋体" w:hint="eastAsia"/>
                <w:b/>
                <w:bCs/>
                <w:sz w:val="24"/>
                <w:szCs w:val="24"/>
              </w:rPr>
              <w:t>品名及数量</w:t>
            </w:r>
          </w:p>
        </w:tc>
      </w:tr>
      <w:tr>
        <w:tblPrEx>
          <w:tblW w:w="5000" w:type="pct"/>
          <w:jc w:val="left"/>
          <w:tblInd w:w="0" w:type="dxa"/>
          <w:tblCellMar>
            <w:top w:w="0" w:type="dxa"/>
            <w:left w:w="108" w:type="dxa"/>
            <w:bottom w:w="0" w:type="dxa"/>
            <w:right w:w="108" w:type="dxa"/>
          </w:tblCellMar>
        </w:tblPrEx>
        <w:trPr>
          <w:trHeight w:val="683"/>
          <w:jc w:val="left"/>
        </w:trPr>
        <w:tc>
          <w:tcPr>
            <w:tcW w:w="527" w:type="pct"/>
            <w:vMerge/>
            <w:vAlign w:val="center"/>
          </w:tcPr>
          <w:p/>
        </w:tc>
        <w:tc>
          <w:tcPr>
            <w:tcW w:w="1447" w:type="pct"/>
            <w:vMerge/>
            <w:tcBorders>
              <w:top w:val="single" w:sz="4" w:space="0" w:color="auto"/>
              <w:left w:val="single" w:sz="4" w:space="0" w:color="auto"/>
              <w:right w:val="single" w:sz="4" w:space="0" w:color="auto"/>
            </w:tcBorders>
            <w:vAlign w:val="center"/>
          </w:tcPr>
          <w:p/>
        </w:tc>
        <w:tc>
          <w:tcPr>
            <w:tcW w:w="652" w:type="pct"/>
            <w:tcBorders>
              <w:top w:val="single" w:sz="4" w:space="0" w:color="auto"/>
              <w:left w:val="single" w:sz="4" w:space="0" w:color="auto"/>
              <w:right w:val="single" w:sz="4" w:space="0" w:color="auto"/>
            </w:tcBorders>
            <w:vAlign w:val="center"/>
          </w:tcPr>
          <w:p>
            <w:pPr>
              <w:ind w:firstLine="0"/>
              <w:rPr>
                <w:rFonts w:ascii="宋体" w:eastAsia="宋体"/>
                <w:b/>
                <w:bCs/>
              </w:rPr>
            </w:pPr>
            <w:r>
              <w:rPr>
                <w:rFonts w:ascii="宋体" w:eastAsia="宋体" w:hint="eastAsia"/>
                <w:b/>
                <w:bCs/>
                <w:sz w:val="24"/>
                <w:szCs w:val="24"/>
              </w:rPr>
              <w:t>作战单元调度指挥设备</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b/>
                <w:bCs/>
              </w:rPr>
            </w:pPr>
            <w:r>
              <w:rPr>
                <w:rFonts w:ascii="宋体" w:eastAsia="宋体" w:hint="eastAsia"/>
                <w:b/>
                <w:bCs/>
                <w:sz w:val="24"/>
                <w:szCs w:val="24"/>
              </w:rPr>
              <w:t>通讯互联交换设备</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b/>
                <w:bCs/>
              </w:rPr>
            </w:pPr>
            <w:r>
              <w:rPr>
                <w:rFonts w:ascii="宋体" w:eastAsia="宋体" w:hint="eastAsia"/>
                <w:b/>
                <w:bCs/>
                <w:sz w:val="24"/>
                <w:szCs w:val="24"/>
              </w:rPr>
              <w:t>通讯通道加固设备</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b/>
                <w:bCs/>
              </w:rPr>
            </w:pPr>
            <w:r>
              <w:rPr>
                <w:rFonts w:ascii="宋体" w:eastAsia="宋体" w:hint="eastAsia"/>
                <w:b/>
                <w:bCs/>
                <w:sz w:val="24"/>
                <w:szCs w:val="24"/>
              </w:rPr>
              <w:t>海关总署缉私局通讯通道加固设备</w:t>
            </w:r>
          </w:p>
        </w:tc>
        <w:tc>
          <w:tcPr>
            <w:tcW w:w="589" w:type="pct"/>
            <w:vAlign w:val="center"/>
          </w:tcPr>
          <w:p>
            <w:pPr>
              <w:ind w:firstLine="0"/>
              <w:rPr>
                <w:rFonts w:ascii="宋体" w:eastAsia="宋体"/>
                <w:b/>
                <w:bCs/>
              </w:rPr>
            </w:pPr>
            <w:r>
              <w:rPr>
                <w:rFonts w:ascii="宋体" w:eastAsia="宋体" w:hint="eastAsia"/>
                <w:b/>
                <w:bCs/>
                <w:sz w:val="24"/>
                <w:szCs w:val="24"/>
              </w:rPr>
              <w:t>全国联网控制器</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海关总署缉私局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1</w:t>
            </w:r>
          </w:p>
        </w:tc>
        <w:tc>
          <w:tcPr>
            <w:tcW w:w="589" w:type="pct"/>
            <w:vAlign w:val="center"/>
          </w:tcPr>
          <w:p>
            <w:pPr>
              <w:ind w:firstLine="0"/>
              <w:rPr>
                <w:rFonts w:ascii="宋体" w:eastAsia="宋体"/>
              </w:rPr>
            </w:pPr>
            <w:r>
              <w:rPr>
                <w:rFonts w:ascii="宋体" w:eastAsia="宋体" w:hint="eastAsia"/>
                <w:sz w:val="24"/>
                <w:szCs w:val="24"/>
              </w:rPr>
              <w:t>1</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广东分署缉私局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北京海关缉私局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天津海关缉私局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石家庄海关缉私局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太原海关缉私局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呼和浩特海关缉私局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满洲里海关缉私局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大连海关缉私局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沈阳海关缉私局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长春海关缉私局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哈尔滨海关缉私局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bookmarkStart w:id="49" w:name="RANGE!E13"/>
            <w:r>
              <w:rPr>
                <w:rFonts w:ascii="宋体" w:eastAsia="宋体" w:hint="eastAsia"/>
                <w:sz w:val="24"/>
                <w:szCs w:val="24"/>
              </w:rPr>
              <w:t xml:space="preserve">1 </w:t>
            </w:r>
            <w:bookmarkEnd w:id="49"/>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上海海关缉私局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南京海关缉私局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杭州海关缉私局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宁波海关缉私局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合肥海关缉私局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福州海关缉私局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厦门海关缉私局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南昌海关缉私局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青岛海关缉私局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济南海关缉私局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郑州海关缉私局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武汉海关缉私局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长沙海关缉私局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广州海关缉私局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深圳海关缉私局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拱北海关缉私局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汕头海关缉私局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黄埔海关缉私局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江门海关缉私局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湛江海关缉私局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南宁海关缉私局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海口海关缉私局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重庆海关缉私局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 </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成都海关缉私局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贵阳海关缉私局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昆明海关缉私局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拉萨海关缉私局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西安海关缉私局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兰州海关缉私局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西宁海关缉私局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银川海关缉私局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pStyle w:val="14"/>
              <w:numPr>
                <w:ilvl w:val="0"/>
                <w:numId w:val="2"/>
              </w:numPr>
              <w:ind w:left="440" w:firstLine="0" w:firstLineChars="0"/>
              <w:jc w:val="right"/>
              <w:rPr>
                <w:rFonts w:ascii="宋体" w:eastAsia="宋体"/>
                <w:sz w:val="24"/>
                <w:szCs w:val="24"/>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乌鲁木齐海关缉私局</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 xml:space="preserve">1 </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w:t>
            </w:r>
          </w:p>
        </w:tc>
        <w:tc>
          <w:tcPr>
            <w:tcW w:w="589" w:type="pct"/>
            <w:vAlign w:val="center"/>
          </w:tcPr>
          <w:p>
            <w:pPr>
              <w:ind w:firstLine="0"/>
              <w:rPr>
                <w:rFonts w:ascii="宋体" w:eastAsia="宋体"/>
              </w:rPr>
            </w:pPr>
            <w:r>
              <w:rPr>
                <w:rFonts w:ascii="宋体" w:eastAsia="宋体" w:hint="eastAsia"/>
                <w:sz w:val="24"/>
                <w:szCs w:val="24"/>
              </w:rPr>
              <w:t xml:space="preserve">/ </w:t>
            </w:r>
          </w:p>
        </w:tc>
      </w:tr>
      <w:tr>
        <w:tblPrEx>
          <w:tblW w:w="5000" w:type="pct"/>
          <w:jc w:val="left"/>
          <w:tblInd w:w="0" w:type="dxa"/>
          <w:tblCellMar>
            <w:top w:w="0" w:type="dxa"/>
            <w:left w:w="108" w:type="dxa"/>
            <w:bottom w:w="0" w:type="dxa"/>
            <w:right w:w="108" w:type="dxa"/>
          </w:tblCellMar>
        </w:tblPrEx>
        <w:trPr>
          <w:trHeight w:val="450"/>
          <w:jc w:val="left"/>
        </w:trPr>
        <w:tc>
          <w:tcPr>
            <w:tcW w:w="527" w:type="pct"/>
            <w:shd w:val="clear" w:color="000000" w:fill="FFFFFF"/>
            <w:vAlign w:val="center"/>
          </w:tcPr>
          <w:p>
            <w:pPr>
              <w:rPr>
                <w:rFonts w:ascii="宋体" w:eastAsia="宋体"/>
              </w:rPr>
            </w:pPr>
          </w:p>
        </w:tc>
        <w:tc>
          <w:tcPr>
            <w:tcW w:w="1447" w:type="pct"/>
            <w:tcBorders>
              <w:top w:val="single" w:sz="4" w:space="0" w:color="auto"/>
              <w:left w:val="single" w:sz="4" w:space="0" w:color="auto"/>
              <w:right w:val="single" w:sz="4" w:space="0" w:color="auto"/>
            </w:tcBorders>
            <w:shd w:val="clear" w:color="000000" w:fill="FFFFFF"/>
            <w:vAlign w:val="center"/>
          </w:tcPr>
          <w:p>
            <w:pPr>
              <w:ind w:firstLine="0"/>
              <w:rPr>
                <w:rFonts w:ascii="宋体" w:eastAsia="宋体"/>
              </w:rPr>
            </w:pPr>
            <w:r>
              <w:rPr>
                <w:rFonts w:ascii="宋体" w:eastAsia="宋体" w:hint="eastAsia"/>
                <w:sz w:val="24"/>
                <w:szCs w:val="24"/>
              </w:rPr>
              <w:t>合计</w:t>
            </w:r>
          </w:p>
        </w:tc>
        <w:tc>
          <w:tcPr>
            <w:tcW w:w="652"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43</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43</w:t>
            </w:r>
          </w:p>
        </w:tc>
        <w:tc>
          <w:tcPr>
            <w:tcW w:w="597"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43</w:t>
            </w:r>
          </w:p>
        </w:tc>
        <w:tc>
          <w:tcPr>
            <w:tcW w:w="589" w:type="pct"/>
            <w:tcBorders>
              <w:top w:val="single" w:sz="4" w:space="0" w:color="auto"/>
              <w:left w:val="single" w:sz="4" w:space="0" w:color="auto"/>
              <w:right w:val="single" w:sz="4" w:space="0" w:color="auto"/>
            </w:tcBorders>
            <w:vAlign w:val="center"/>
          </w:tcPr>
          <w:p>
            <w:pPr>
              <w:ind w:firstLine="0"/>
              <w:rPr>
                <w:rFonts w:ascii="宋体" w:eastAsia="宋体"/>
              </w:rPr>
            </w:pPr>
            <w:r>
              <w:rPr>
                <w:rFonts w:ascii="宋体" w:eastAsia="宋体" w:hint="eastAsia"/>
                <w:sz w:val="24"/>
                <w:szCs w:val="24"/>
              </w:rPr>
              <w:t>1</w:t>
            </w:r>
          </w:p>
        </w:tc>
        <w:tc>
          <w:tcPr>
            <w:tcW w:w="589" w:type="pct"/>
            <w:vAlign w:val="center"/>
          </w:tcPr>
          <w:p>
            <w:pPr>
              <w:ind w:firstLine="0"/>
              <w:rPr>
                <w:rFonts w:ascii="宋体" w:eastAsia="宋体"/>
              </w:rPr>
            </w:pPr>
            <w:r>
              <w:rPr>
                <w:rFonts w:ascii="宋体" w:eastAsia="宋体" w:hint="eastAsia"/>
                <w:sz w:val="24"/>
                <w:szCs w:val="24"/>
              </w:rPr>
              <w:t>1</w:t>
            </w:r>
          </w:p>
        </w:tc>
      </w:tr>
    </w:tbl>
    <w:p>
      <w:pPr>
        <w:pStyle w:val="1510"/>
        <w:widowControl/>
        <w:spacing w:line="360" w:lineRule="auto"/>
        <w:jc w:val="left"/>
        <w:rPr>
          <w:rFonts w:ascii="宋体" w:eastAsia="宋体"/>
          <w:b/>
          <w:sz w:val="24"/>
          <w:szCs w:val="24"/>
        </w:rPr>
        <w:sectPr>
          <w:pgSz w:w="11906" w:h="16838"/>
          <w:pgMar w:top="1440" w:right="1800" w:bottom="1440" w:left="1800" w:header="851" w:footer="992" w:gutter="0"/>
          <w:cols w:num="1" w:space="720"/>
          <w:docGrid w:type="lines" w:linePitch="312" w:charSpace="0"/>
        </w:sectPr>
      </w:pPr>
    </w:p>
    <w:p>
      <w:pPr>
        <w:pStyle w:val="1510"/>
        <w:widowControl/>
        <w:spacing w:line="360" w:lineRule="auto"/>
        <w:jc w:val="left"/>
        <w:rPr>
          <w:rFonts w:ascii="宋体" w:eastAsia="宋体"/>
          <w:b/>
          <w:sz w:val="24"/>
          <w:szCs w:val="24"/>
        </w:rPr>
      </w:pPr>
    </w:p>
    <w:p>
      <w:pPr>
        <w:pStyle w:val="BP"/>
        <w:rPr>
          <w:rFonts w:ascii="宋体" w:eastAsia="宋体"/>
          <w:sz w:val="24"/>
          <w:szCs w:val="24"/>
        </w:rPr>
      </w:pPr>
      <w:r>
        <w:rPr>
          <w:rFonts w:ascii="宋体" w:eastAsia="宋体" w:hint="eastAsia"/>
          <w:sz w:val="24"/>
          <w:szCs w:val="24"/>
        </w:rPr>
        <w:t>九、主要技术参数及配置条目数量统计</w:t>
      </w:r>
    </w:p>
    <w:tbl>
      <w:tblPr>
        <w:tblW w:w="857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20"/>
        <w:gridCol w:w="2880"/>
        <w:gridCol w:w="4071"/>
      </w:tblGrid>
      <w:tr>
        <w:tblPrEx>
          <w:tblW w:w="857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20" w:type="dxa"/>
            <w:vAlign w:val="center"/>
          </w:tcPr>
          <w:p>
            <w:pPr>
              <w:pStyle w:val="1510"/>
              <w:widowControl/>
              <w:spacing w:line="360" w:lineRule="auto"/>
              <w:jc w:val="center"/>
              <w:rPr>
                <w:rFonts w:ascii="宋体" w:eastAsia="宋体"/>
                <w:b/>
                <w:sz w:val="24"/>
                <w:szCs w:val="24"/>
              </w:rPr>
            </w:pPr>
            <w:r>
              <w:rPr>
                <w:rFonts w:ascii="宋体" w:eastAsia="宋体" w:hint="eastAsia"/>
                <w:b/>
                <w:sz w:val="24"/>
                <w:szCs w:val="24"/>
              </w:rPr>
              <w:t>包号</w:t>
            </w:r>
          </w:p>
        </w:tc>
        <w:tc>
          <w:tcPr>
            <w:tcW w:w="2880" w:type="dxa"/>
            <w:vAlign w:val="center"/>
          </w:tcPr>
          <w:p>
            <w:pPr>
              <w:pStyle w:val="1510"/>
              <w:widowControl/>
              <w:spacing w:line="360" w:lineRule="auto"/>
              <w:jc w:val="center"/>
              <w:rPr>
                <w:rFonts w:ascii="宋体" w:eastAsia="宋体"/>
                <w:b/>
                <w:sz w:val="24"/>
                <w:szCs w:val="24"/>
              </w:rPr>
            </w:pPr>
            <w:r>
              <w:rPr>
                <w:rFonts w:ascii="宋体" w:eastAsia="宋体" w:hint="eastAsia"/>
                <w:b/>
                <w:sz w:val="24"/>
                <w:szCs w:val="24"/>
              </w:rPr>
              <w:t>指标类型</w:t>
            </w:r>
          </w:p>
        </w:tc>
        <w:tc>
          <w:tcPr>
            <w:tcW w:w="4071" w:type="dxa"/>
            <w:vAlign w:val="center"/>
          </w:tcPr>
          <w:p>
            <w:pPr>
              <w:pStyle w:val="1510"/>
              <w:widowControl/>
              <w:spacing w:line="360" w:lineRule="auto"/>
              <w:jc w:val="center"/>
              <w:rPr>
                <w:rFonts w:ascii="宋体" w:eastAsia="宋体"/>
                <w:b/>
                <w:sz w:val="24"/>
                <w:szCs w:val="24"/>
              </w:rPr>
            </w:pPr>
            <w:r>
              <w:rPr>
                <w:rFonts w:ascii="宋体" w:eastAsia="宋体" w:hint="eastAsia"/>
                <w:b/>
                <w:sz w:val="24"/>
                <w:szCs w:val="24"/>
              </w:rPr>
              <w:t>条目数量（个）</w:t>
            </w:r>
          </w:p>
        </w:tc>
      </w:tr>
      <w:tr>
        <w:tblPrEx>
          <w:tblW w:w="8571" w:type="dxa"/>
          <w:jc w:val="left"/>
          <w:tblInd w:w="-93" w:type="dxa"/>
          <w:tblCellMar>
            <w:top w:w="0" w:type="dxa"/>
            <w:left w:w="108" w:type="dxa"/>
            <w:bottom w:w="0" w:type="dxa"/>
            <w:right w:w="108" w:type="dxa"/>
          </w:tblCellMar>
        </w:tblPrEx>
        <w:trPr>
          <w:trHeight w:val="389"/>
          <w:jc w:val="left"/>
        </w:trPr>
        <w:tc>
          <w:tcPr>
            <w:tcW w:w="1620" w:type="dxa"/>
            <w:vMerge w:val="restart"/>
            <w:vAlign w:val="center"/>
          </w:tcPr>
          <w:p>
            <w:pPr>
              <w:rPr>
                <w:rFonts w:ascii="宋体" w:eastAsia="宋体"/>
              </w:rPr>
            </w:pPr>
            <w:r>
              <w:rPr>
                <w:rFonts w:ascii="宋体" w:eastAsia="宋体" w:hint="eastAsia"/>
                <w:sz w:val="24"/>
                <w:szCs w:val="24"/>
              </w:rPr>
              <w:t>01包</w:t>
            </w:r>
          </w:p>
        </w:tc>
        <w:tc>
          <w:tcPr>
            <w:tcW w:w="2880" w:type="dxa"/>
            <w:tcBorders>
              <w:top w:val="single" w:sz="4" w:space="0" w:color="auto"/>
              <w:left w:val="single" w:sz="4" w:space="0" w:color="auto"/>
              <w:right w:val="single" w:sz="4" w:space="0" w:color="auto"/>
            </w:tcBorders>
            <w:vAlign w:val="center"/>
          </w:tcPr>
          <w:p>
            <w:pPr>
              <w:pStyle w:val="1510"/>
              <w:widowControl/>
              <w:spacing w:line="360" w:lineRule="auto"/>
              <w:jc w:val="center"/>
              <w:rPr>
                <w:rFonts w:ascii="宋体" w:eastAsia="宋体"/>
                <w:b/>
                <w:sz w:val="24"/>
                <w:szCs w:val="24"/>
              </w:rPr>
            </w:pPr>
            <w:r>
              <w:rPr>
                <w:rFonts w:ascii="宋体" w:eastAsia="宋体" w:cs="Arial" w:hint="eastAsia"/>
                <w:b/>
                <w:bCs/>
                <w:sz w:val="24"/>
                <w:szCs w:val="24"/>
              </w:rPr>
              <w:t>★指标</w:t>
            </w:r>
          </w:p>
        </w:tc>
        <w:tc>
          <w:tcPr>
            <w:tcW w:w="4071" w:type="dxa"/>
            <w:vAlign w:val="center"/>
          </w:tcPr>
          <w:p>
            <w:pPr>
              <w:pStyle w:val="1510"/>
              <w:widowControl/>
              <w:spacing w:line="360" w:lineRule="auto"/>
              <w:jc w:val="center"/>
              <w:rPr>
                <w:rFonts w:ascii="宋体" w:eastAsia="宋体"/>
                <w:b/>
                <w:sz w:val="24"/>
                <w:szCs w:val="24"/>
              </w:rPr>
            </w:pPr>
            <w:r>
              <w:rPr>
                <w:rFonts w:ascii="宋体" w:eastAsia="宋体" w:hint="eastAsia"/>
                <w:b/>
                <w:sz w:val="24"/>
                <w:szCs w:val="24"/>
              </w:rPr>
              <w:t>19</w:t>
            </w:r>
          </w:p>
        </w:tc>
      </w:tr>
      <w:tr>
        <w:tblPrEx>
          <w:tblW w:w="8571"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360" w:lineRule="auto"/>
              <w:jc w:val="center"/>
              <w:rPr>
                <w:rFonts w:ascii="宋体" w:eastAsia="宋体"/>
                <w:b/>
                <w:sz w:val="24"/>
                <w:szCs w:val="24"/>
              </w:rPr>
            </w:pPr>
            <w:r>
              <w:rPr>
                <w:rFonts w:ascii="宋体" w:eastAsia="宋体" w:hint="eastAsia"/>
                <w:sz w:val="24"/>
                <w:szCs w:val="24"/>
              </w:rPr>
              <w:t>▲指标</w:t>
            </w:r>
          </w:p>
        </w:tc>
        <w:tc>
          <w:tcPr>
            <w:tcW w:w="4071" w:type="dxa"/>
            <w:vAlign w:val="center"/>
          </w:tcPr>
          <w:p>
            <w:pPr>
              <w:pStyle w:val="1510"/>
              <w:widowControl/>
              <w:spacing w:line="360" w:lineRule="auto"/>
              <w:jc w:val="center"/>
              <w:rPr>
                <w:rFonts w:ascii="宋体" w:eastAsia="宋体"/>
                <w:b/>
                <w:sz w:val="24"/>
                <w:szCs w:val="24"/>
              </w:rPr>
            </w:pPr>
            <w:r>
              <w:rPr>
                <w:rFonts w:ascii="宋体" w:eastAsia="宋体" w:hint="eastAsia"/>
                <w:b/>
                <w:sz w:val="24"/>
                <w:szCs w:val="24"/>
              </w:rPr>
              <w:t>12</w:t>
            </w:r>
          </w:p>
        </w:tc>
      </w:tr>
      <w:tr>
        <w:tblPrEx>
          <w:tblW w:w="8571"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360" w:lineRule="auto"/>
              <w:jc w:val="center"/>
              <w:rPr>
                <w:rFonts w:ascii="宋体" w:eastAsia="宋体"/>
                <w:b/>
                <w:sz w:val="24"/>
                <w:szCs w:val="24"/>
              </w:rPr>
            </w:pPr>
            <w:r>
              <w:rPr>
                <w:rFonts w:ascii="宋体" w:eastAsia="宋体" w:hint="eastAsia"/>
                <w:sz w:val="24"/>
                <w:szCs w:val="24"/>
              </w:rPr>
              <w:t>一般指标</w:t>
            </w:r>
          </w:p>
        </w:tc>
        <w:tc>
          <w:tcPr>
            <w:tcW w:w="4071" w:type="dxa"/>
            <w:vAlign w:val="center"/>
          </w:tcPr>
          <w:p>
            <w:pPr>
              <w:pStyle w:val="1510"/>
              <w:widowControl/>
              <w:spacing w:line="360" w:lineRule="auto"/>
              <w:jc w:val="center"/>
              <w:rPr>
                <w:rFonts w:ascii="宋体" w:eastAsia="宋体"/>
                <w:b/>
                <w:sz w:val="24"/>
                <w:szCs w:val="24"/>
              </w:rPr>
            </w:pPr>
            <w:r>
              <w:rPr>
                <w:rFonts w:ascii="宋体" w:eastAsia="宋体" w:hint="eastAsia"/>
                <w:b/>
                <w:sz w:val="24"/>
                <w:szCs w:val="24"/>
              </w:rPr>
              <w:t>50</w:t>
            </w:r>
          </w:p>
        </w:tc>
      </w:tr>
    </w:tbl>
    <w:p>
      <w:pPr>
        <w:pStyle w:val="1510"/>
        <w:widowControl/>
        <w:spacing w:line="360" w:lineRule="auto"/>
        <w:jc w:val="left"/>
        <w:rPr>
          <w:rFonts w:ascii="宋体" w:eastAsia="宋体"/>
          <w:b/>
          <w:strike/>
          <w:dstrike w:val="0"/>
          <w:sz w:val="24"/>
          <w:szCs w:val="24"/>
        </w:rPr>
      </w:pPr>
    </w:p>
    <w:p>
      <w:pPr>
        <w:pStyle w:val="BP"/>
        <w:rPr>
          <w:rFonts w:ascii="宋体" w:eastAsia="宋体"/>
          <w:sz w:val="24"/>
          <w:szCs w:val="24"/>
        </w:rPr>
      </w:pPr>
      <w:r>
        <w:rPr>
          <w:rFonts w:ascii="宋体" w:eastAsia="宋体" w:hint="eastAsia"/>
          <w:sz w:val="24"/>
          <w:szCs w:val="24"/>
        </w:rPr>
        <w:t>十、付款办法</w:t>
      </w:r>
    </w:p>
    <w:p>
      <w:pPr>
        <w:rPr>
          <w:rFonts w:ascii="宋体" w:eastAsia="宋体"/>
        </w:rPr>
      </w:pPr>
      <w:r>
        <w:rPr>
          <w:rFonts w:ascii="宋体" w:eastAsia="宋体" w:hint="eastAsia"/>
          <w:sz w:val="24"/>
          <w:szCs w:val="24"/>
        </w:rPr>
        <w:t xml:space="preserve">                           </w:t>
      </w:r>
    </w:p>
    <w:p>
      <w:pPr>
        <w:pStyle w:val="BP1"/>
      </w:pPr>
      <w:r>
        <w:rPr>
          <w:rFonts w:hint="eastAsia"/>
        </w:rPr>
        <w:t>1.乙方（指供应商，下同）向甲方（指采购人，下同）交付履约保证金（合同金额的5%），并提交下列单据之日起10个工作日内，甲方向乙方支付合同总价</w:t>
      </w:r>
      <w:r>
        <w:rPr>
          <w:rFonts w:hint="eastAsia"/>
          <w:u w:val="single"/>
        </w:rPr>
        <w:t xml:space="preserve">  30  </w:t>
      </w:r>
      <w:r>
        <w:rPr>
          <w:rFonts w:hint="eastAsia"/>
        </w:rPr>
        <w:t>%合同款（金额）。</w:t>
      </w:r>
    </w:p>
    <w:p>
      <w:pPr>
        <w:pStyle w:val="BP1"/>
      </w:pPr>
      <w:r>
        <w:rPr>
          <w:rFonts w:hint="eastAsia"/>
        </w:rPr>
        <w:t>乙方提交单据：合同（正文部分复印件）、中标通知书（或成交通知书）、发票（原件）、履约保证金单据。</w:t>
      </w:r>
    </w:p>
    <w:p>
      <w:pPr>
        <w:pStyle w:val="BP1"/>
      </w:pPr>
    </w:p>
    <w:p>
      <w:pPr>
        <w:pStyle w:val="BP1"/>
      </w:pPr>
      <w:r>
        <w:rPr>
          <w:rFonts w:hint="eastAsia"/>
        </w:rPr>
        <w:t>2.设备全部到货并全部安装调试，经甲方（用户）验收合格后，乙方向甲方提交下列单据之日起10个工作日内，甲方向乙方支付合同总价</w:t>
      </w:r>
      <w:r>
        <w:rPr>
          <w:rFonts w:hint="eastAsia"/>
          <w:u w:val="single"/>
        </w:rPr>
        <w:t xml:space="preserve">  60  </w:t>
      </w:r>
      <w:r>
        <w:rPr>
          <w:rFonts w:hint="eastAsia"/>
        </w:rPr>
        <w:t>%合同款（金额）。</w:t>
      </w:r>
    </w:p>
    <w:p>
      <w:pPr>
        <w:pStyle w:val="BP1"/>
      </w:pPr>
      <w:r>
        <w:rPr>
          <w:rFonts w:hint="eastAsia"/>
        </w:rPr>
        <w:t>乙方提交单据：合同(正文部分复印件）、中标通知书（或成交通知书）、发票（原件）、设备到货验收合格签收单（须装订成册）（复印件）、安装调试验收合格报告（须装订成册）（复印件）。</w:t>
      </w:r>
    </w:p>
    <w:p>
      <w:pPr>
        <w:pStyle w:val="BP1"/>
      </w:pPr>
    </w:p>
    <w:p>
      <w:pPr>
        <w:pStyle w:val="BP1"/>
      </w:pPr>
      <w:r>
        <w:rPr>
          <w:rFonts w:hint="eastAsia"/>
        </w:rPr>
        <w:t>3.项目合同验收合格后，乙方向甲方提交下列单据之日起10个工作日内，甲方向乙方支付合同总价</w:t>
      </w:r>
      <w:r>
        <w:rPr>
          <w:rFonts w:hint="eastAsia"/>
          <w:u w:val="single"/>
        </w:rPr>
        <w:t xml:space="preserve">  10  </w:t>
      </w:r>
      <w:r>
        <w:rPr>
          <w:rFonts w:hint="eastAsia"/>
        </w:rPr>
        <w:t>%合同款（金额）。</w:t>
      </w:r>
    </w:p>
    <w:p>
      <w:pPr>
        <w:pStyle w:val="BP1"/>
      </w:pPr>
      <w:r>
        <w:rPr>
          <w:rFonts w:hint="eastAsia"/>
        </w:rPr>
        <w:t>乙方提交单据：合同（正文部分复印件）、中标通知书（或成交通知书）、发票（原件）、合同验收报告。</w:t>
      </w:r>
    </w:p>
    <w:p>
      <w:pPr>
        <w:pStyle w:val="BP1"/>
      </w:pPr>
    </w:p>
    <w:p>
      <w:pPr>
        <w:pStyle w:val="BP1"/>
      </w:pPr>
      <w:r>
        <w:rPr>
          <w:rFonts w:hint="eastAsia"/>
        </w:rPr>
        <w:t>4.因财政集中支付延误时间不计算在内，乙方提交付款单据延迟、缺失及账户信息错误的，甲方有权相应顺延付款期限，且甲方不承担延误付款责任。</w:t>
      </w:r>
    </w:p>
    <w:p>
      <w:pPr>
        <w:pStyle w:val="BP1"/>
      </w:pPr>
    </w:p>
    <w:p>
      <w:pPr>
        <w:pStyle w:val="BP1"/>
      </w:pPr>
      <w:r>
        <w:rPr>
          <w:rFonts w:hint="eastAsia"/>
        </w:rPr>
        <w:t>5.履约保证金有效期从提交保证金之日起至合同验收合格后30个日历日止。履约保证金有效期满后，甲方凭乙方提交的退还履约保证金申请，在 10 个工作日内无息退还。</w:t>
      </w:r>
    </w:p>
    <w:p>
      <w:pPr>
        <w:rPr>
          <w:rFonts w:ascii="宋体" w:eastAsia="宋体"/>
        </w:rPr>
      </w:pPr>
    </w:p>
    <w:p>
      <w:pPr>
        <w:rPr>
          <w:rFonts w:ascii="宋体" w:eastAsia="宋体"/>
        </w:rPr>
      </w:pPr>
    </w:p>
    <w:p>
      <w:pPr>
        <w:pStyle w:val="BP"/>
        <w:rPr>
          <w:rFonts w:ascii="宋体" w:eastAsia="宋体"/>
          <w:sz w:val="24"/>
          <w:szCs w:val="24"/>
        </w:rPr>
      </w:pPr>
      <w:r>
        <w:rPr>
          <w:rFonts w:ascii="宋体" w:eastAsia="宋体" w:hint="eastAsia"/>
          <w:sz w:val="24"/>
          <w:szCs w:val="24"/>
        </w:rPr>
        <w:t>十一、其他</w:t>
      </w:r>
    </w:p>
    <w:p>
      <w:pPr>
        <w:pStyle w:val="BP0"/>
        <w:jc w:val="left"/>
        <w:rPr>
          <w:rFonts w:ascii="宋体" w:eastAsia="宋体"/>
          <w:sz w:val="24"/>
          <w:szCs w:val="24"/>
        </w:rPr>
      </w:pPr>
      <w:r>
        <w:rPr>
          <w:rFonts w:ascii="宋体" w:eastAsia="宋体" w:hint="eastAsia"/>
          <w:sz w:val="24"/>
          <w:szCs w:val="24"/>
        </w:rPr>
        <w:t>▲（一）项目团队配置要求</w:t>
      </w:r>
    </w:p>
    <w:p>
      <w:pPr>
        <w:pStyle w:val="BP1"/>
      </w:pPr>
      <w:r>
        <w:rPr>
          <w:rFonts w:ascii="方正仿宋_GBK" w:eastAsia="方正仿宋_GBK" w:hint="eastAsia"/>
          <w:kern w:val="2"/>
          <w:sz w:val="28"/>
          <w:szCs w:val="28"/>
          <w:lang w:val="en-US" w:eastAsia="zh-CN" w:bidi="ar-SA"/>
        </w:rPr>
        <w:t>投标人及产品制造商须建立相关项目团队，以确保项目交付符合质量标准和要求。项目经理及团队成员须具有类似项目的相关工作经验，具备一定的技术能力及项目管理能力，项目经理应取得中华人民共和国人力资源和社会保障部、工业和信息化部批准颁发的信息系统高级项目管理师资格</w:t>
      </w:r>
      <w:r>
        <w:rPr>
          <w:rFonts w:hint="eastAsia"/>
        </w:rPr>
        <w:t>证书。</w:t>
      </w:r>
    </w:p>
    <w:p>
      <w:pPr>
        <w:pStyle w:val="BP1"/>
      </w:pPr>
      <w:r>
        <w:rPr>
          <w:rFonts w:hint="eastAsia"/>
        </w:rPr>
        <w:t>项目人员工作要求：严格遵守项目进度及海关、公安项目管理制度、信息化合作企业管理等规定要求；应签署项目相关保密协议并严格执行，规范内部安全管理；为保证项目正常进行，须保证项目人员相对固定，除采购方批准外，不得更换项目经理、核心技术人员。</w:t>
      </w:r>
    </w:p>
    <w:p>
      <w:pPr>
        <w:pStyle w:val="BP0"/>
        <w:jc w:val="left"/>
        <w:rPr>
          <w:rFonts w:ascii="宋体" w:eastAsia="宋体"/>
          <w:sz w:val="24"/>
          <w:szCs w:val="24"/>
        </w:rPr>
      </w:pPr>
      <w:r>
        <w:rPr>
          <w:rFonts w:ascii="宋体" w:eastAsia="宋体" w:hint="eastAsia"/>
          <w:sz w:val="24"/>
          <w:szCs w:val="24"/>
        </w:rPr>
        <w:t>▲（二）项目实施要求</w:t>
      </w:r>
    </w:p>
    <w:p>
      <w:pPr>
        <w:pStyle w:val="BP1"/>
        <w:outlineLvl w:val="9"/>
      </w:pPr>
      <w:r>
        <w:rPr>
          <w:rFonts w:hint="eastAsia"/>
        </w:rPr>
        <w:t>1.实施方案要求</w:t>
      </w:r>
    </w:p>
    <w:p>
      <w:pPr>
        <w:pStyle w:val="BP1"/>
        <w:rPr>
          <w:b/>
        </w:rPr>
      </w:pPr>
      <w:r>
        <w:rPr>
          <w:rFonts w:hint="eastAsia"/>
        </w:rPr>
        <w:t>须提供项目整体实施方案，内容包括详细的项目计划和进度安排、项目组织和人员配置、风险管理和应对策略、质量保证和质量控制、沟通和协调机制、变更管理和配置管理、系统安全和保密措施等。</w:t>
      </w:r>
    </w:p>
    <w:p>
      <w:pPr>
        <w:pStyle w:val="BP1"/>
        <w:outlineLvl w:val="9"/>
      </w:pPr>
      <w:r>
        <w:rPr>
          <w:rFonts w:hint="eastAsia"/>
        </w:rPr>
        <w:t>2.安装调试要求</w:t>
      </w:r>
    </w:p>
    <w:p>
      <w:pPr>
        <w:pStyle w:val="BP1"/>
      </w:pPr>
      <w:r>
        <w:rPr>
          <w:rFonts w:hint="eastAsia"/>
        </w:rPr>
        <w:t>（1）在到货后90日内完成设备安装和调试，按合同要求逐项测试，具备全国联网运行条件，直至达到各项验收要求，确保设备投入实际应用。</w:t>
      </w:r>
    </w:p>
    <w:p>
      <w:pPr>
        <w:pStyle w:val="BP1"/>
      </w:pPr>
      <w:r>
        <w:rPr>
          <w:rFonts w:hint="eastAsia"/>
        </w:rPr>
        <w:t>（2）投标人负责完成系统安装施工地点的现场勘察工作，提供工程施工和相关安装资料，并负责指导海关缉私人员掌握和使用以上技术资料，投标人应负责提供下列详细资料：设备外型尺寸、重量、设备所需电源种类、功耗、电压、地线要求；设备安装方式；操作使用方法、维护管理技术。</w:t>
      </w:r>
    </w:p>
    <w:p>
      <w:pPr>
        <w:pStyle w:val="BP1"/>
      </w:pPr>
      <w:r>
        <w:rPr>
          <w:rFonts w:hint="eastAsia"/>
        </w:rPr>
        <w:t>（3）设备调试由投标人负责，投标人调试前应提出完整的调试计划并经海关缉私局确认，包括设备调试的内容、项目、指标、方法和进度。投标人有责任对海关缉私局的技术人员提出的问题做出解答。调试应进行详细记录，系统调试结束后，由双方技术人员签字后交给海关缉私局验收。</w:t>
      </w:r>
    </w:p>
    <w:p>
      <w:pPr>
        <w:pStyle w:val="BP1"/>
        <w:outlineLvl w:val="9"/>
      </w:pPr>
      <w:r>
        <w:rPr>
          <w:rFonts w:hint="eastAsia"/>
        </w:rPr>
        <w:t>（4）投标人负责设备现场安装、调试等工作，承担相应的全部费用。</w:t>
      </w:r>
    </w:p>
    <w:p>
      <w:pPr>
        <w:pStyle w:val="BP1"/>
      </w:pPr>
      <w:r>
        <w:rPr>
          <w:rFonts w:hint="eastAsia"/>
        </w:rPr>
        <w:t>（5）在实施过程中，投标人提供设备安装所需的各类连接电缆和接插件，其价格均已包含在合同总价中，如有短缺则由投标人免费提供。</w:t>
      </w:r>
    </w:p>
    <w:p>
      <w:pPr>
        <w:pStyle w:val="BP1"/>
        <w:outlineLvl w:val="9"/>
      </w:pPr>
      <w:r>
        <w:rPr>
          <w:rFonts w:hint="eastAsia"/>
        </w:rPr>
        <w:t>（6）投标人在工程实施过程中必须按照海关缉私的需求和进度要求。</w:t>
      </w:r>
    </w:p>
    <w:p>
      <w:pPr>
        <w:pStyle w:val="BP1"/>
      </w:pPr>
      <w:r>
        <w:rPr>
          <w:rFonts w:hint="eastAsia"/>
        </w:rPr>
        <w:t>（7）投标人未经海关缉私局许可不得更改任何设备的配置、软件和各类配件。</w:t>
      </w:r>
    </w:p>
    <w:p>
      <w:pPr>
        <w:pStyle w:val="BP1"/>
      </w:pPr>
      <w:r>
        <w:rPr>
          <w:rFonts w:hint="eastAsia"/>
        </w:rPr>
        <w:t>（8）投标人接受建设单位聘请的总集成单位、监理单位的集成管理和监理工作。投标人提供兼职或专职的档案管理人员，配合完成档案的收集、整理、组卷、归档等工作，直至项目通过竣工验收。</w:t>
      </w:r>
    </w:p>
    <w:p>
      <w:pPr>
        <w:pStyle w:val="BP1"/>
        <w:outlineLvl w:val="9"/>
      </w:pPr>
      <w:r>
        <w:rPr>
          <w:rFonts w:hint="eastAsia"/>
        </w:rPr>
        <w:t>3.对接方案要求</w:t>
      </w:r>
    </w:p>
    <w:p>
      <w:pPr>
        <w:pStyle w:val="BP1"/>
      </w:pPr>
      <w:r>
        <w:rPr>
          <w:rFonts w:hint="eastAsia"/>
        </w:rPr>
        <w:t>参照《缉私3G/4G单警数字化装备管理控制系统终端接入接口说明》文档，按要求提供详细的对接方案。内容包括对接方案设计、对接流程图、对接优化建议等。</w:t>
      </w:r>
    </w:p>
    <w:p>
      <w:pPr>
        <w:pStyle w:val="BP1"/>
        <w:outlineLvl w:val="9"/>
      </w:pPr>
      <w:r>
        <w:rPr>
          <w:rFonts w:hint="eastAsia"/>
        </w:rPr>
        <w:t>4.技术连通应用方案要求</w:t>
      </w:r>
    </w:p>
    <w:p>
      <w:pPr>
        <w:pStyle w:val="BP1"/>
      </w:pPr>
      <w:r>
        <w:rPr>
          <w:rFonts w:hint="eastAsia"/>
        </w:rPr>
        <w:t>须提供技术连通应用方案，包括整体设计方案、架构及拓扑图，连通应用方法和流程等，要求方案完善、科学、合理，具备先进性、稳定性、安全性及可操作性，能够很好满足海关缉私相关部门实战应用，具备良好兼容性与扩展性，满足技术连通应用方案要求。</w:t>
      </w:r>
    </w:p>
    <w:p>
      <w:pPr>
        <w:pStyle w:val="BP0"/>
        <w:jc w:val="left"/>
        <w:rPr>
          <w:rFonts w:ascii="宋体" w:eastAsia="宋体"/>
          <w:sz w:val="24"/>
          <w:szCs w:val="24"/>
        </w:rPr>
      </w:pPr>
      <w:r>
        <w:rPr>
          <w:rFonts w:ascii="宋体" w:eastAsia="宋体" w:hint="eastAsia"/>
          <w:sz w:val="24"/>
          <w:szCs w:val="24"/>
        </w:rPr>
        <w:t>▲（三）验收要求</w:t>
      </w:r>
    </w:p>
    <w:p>
      <w:pPr>
        <w:pStyle w:val="BP1"/>
      </w:pPr>
      <w:r>
        <w:rPr>
          <w:rFonts w:hint="eastAsia"/>
        </w:rPr>
        <w:t>1.项目建设应符合预期的功能、性能和质量要求，最终验收标准依据投标文件及合同内容。</w:t>
      </w:r>
    </w:p>
    <w:p>
      <w:pPr>
        <w:pStyle w:val="BP1"/>
      </w:pPr>
      <w:r>
        <w:rPr>
          <w:rFonts w:hint="eastAsia"/>
        </w:rPr>
        <w:t>2.功能验收：按照项目需求书，对建设内容的各部分功能进行验证和确认，确保系统能够按照需求文档中规定的功能正常运行。要求中标方提供功能测试用例、测试结果和功能验收报告。</w:t>
      </w:r>
    </w:p>
    <w:p>
      <w:pPr>
        <w:pStyle w:val="BP1"/>
      </w:pPr>
      <w:r>
        <w:rPr>
          <w:rFonts w:hint="eastAsia"/>
        </w:rPr>
        <w:t>3.性能验收：按照项目需求书，对建设内容的各部分性能进行测试和评估，以验证信息系统在负载、响应时间、并发性等方面的性能是否符合要求。要求中标方提供性能测试计划、测试数据或第三方测试报告。</w:t>
      </w:r>
    </w:p>
    <w:p>
      <w:pPr>
        <w:pStyle w:val="BP1"/>
      </w:pPr>
      <w:r>
        <w:rPr>
          <w:rFonts w:hint="eastAsia"/>
        </w:rPr>
        <w:t>4.兼容性验收：按照项目需求书，对建设内容的各部分兼容性要求进行验收，以验证建设内容与前期已建系统的相关硬件设备、软件系统或网络环境的兼容性。要求中标方提供兼容性测试方案、测试结果和兼容性验收报告。</w:t>
      </w:r>
    </w:p>
    <w:p>
      <w:pPr>
        <w:pStyle w:val="BP1"/>
      </w:pPr>
      <w:r>
        <w:rPr>
          <w:rFonts w:hint="eastAsia"/>
        </w:rPr>
        <w:t>5.文档验收：中标方应提交完整、准确的建设文档，包括但不限于系统设计文档、用户手册、操作指南等。</w:t>
      </w:r>
    </w:p>
    <w:p>
      <w:pPr>
        <w:pStyle w:val="BP1"/>
        <w:outlineLvl w:val="9"/>
      </w:pPr>
      <w:r>
        <w:rPr>
          <w:rFonts w:hint="eastAsia"/>
        </w:rPr>
        <w:t>6.采购人有权委托第三方检验测试机构对产品进行抽检。</w:t>
      </w:r>
    </w:p>
    <w:p>
      <w:pPr>
        <w:pStyle w:val="BP0"/>
        <w:jc w:val="left"/>
        <w:rPr>
          <w:rFonts w:ascii="宋体" w:eastAsia="宋体"/>
          <w:sz w:val="24"/>
          <w:szCs w:val="24"/>
        </w:rPr>
      </w:pPr>
      <w:bookmarkEnd w:id="48"/>
      <w:r>
        <w:rPr>
          <w:rFonts w:ascii="宋体" w:eastAsia="宋体" w:hint="eastAsia"/>
          <w:sz w:val="24"/>
          <w:szCs w:val="24"/>
        </w:rPr>
        <w:t>▲（四）商务资质</w:t>
      </w:r>
    </w:p>
    <w:p>
      <w:pPr>
        <w:pStyle w:val="BP1"/>
      </w:pPr>
      <w:r>
        <w:rPr>
          <w:rFonts w:hint="eastAsia"/>
        </w:rPr>
        <w:t>在满足《中华人民共和国政府采购法》及国家相关政策要求基础条件上，对投标人履约、服务能力的非强制资质要求：</w:t>
      </w:r>
    </w:p>
    <w:p>
      <w:pPr>
        <w:pStyle w:val="BP1"/>
      </w:pPr>
      <w:r>
        <w:rPr>
          <w:rFonts w:hint="eastAsia"/>
        </w:rPr>
        <w:t>提供投标人的信息系统建设和服务能力评价体系CS4级证书</w:t>
      </w:r>
      <w:bookmarkStart w:id="50" w:name="_Hlk167346024"/>
      <w:r>
        <w:rPr>
          <w:rFonts w:hint="eastAsia"/>
        </w:rPr>
        <w:t>复印件</w:t>
      </w:r>
      <w:bookmarkEnd w:id="50"/>
      <w:r>
        <w:rPr>
          <w:rFonts w:hint="eastAsia"/>
        </w:rPr>
        <w:t>。</w:t>
      </w:r>
    </w:p>
    <w:p>
      <w:pPr>
        <w:pStyle w:val="BP1"/>
      </w:pPr>
      <w:r>
        <w:rPr>
          <w:rFonts w:hint="eastAsia"/>
        </w:rPr>
        <w:t>提供投标人的ITSS信息技术服务运行维护标准符合性证书复印件。</w:t>
      </w:r>
    </w:p>
    <w:p>
      <w:pPr>
        <w:pStyle w:val="BP1"/>
      </w:pPr>
      <w:r>
        <w:rPr>
          <w:rFonts w:hint="eastAsia"/>
        </w:rPr>
        <w:t>提供投标人的《商品售后服务评价体系》五星认证证书复印件。</w:t>
      </w:r>
    </w:p>
    <w:p>
      <w:pPr>
        <w:pStyle w:val="BP0"/>
        <w:rPr>
          <w:rFonts w:ascii="宋体" w:eastAsia="宋体"/>
          <w:sz w:val="24"/>
          <w:szCs w:val="24"/>
        </w:rPr>
      </w:pPr>
      <w:r>
        <w:rPr>
          <w:rFonts w:ascii="宋体" w:eastAsia="宋体" w:hint="eastAsia"/>
          <w:sz w:val="24"/>
          <w:szCs w:val="24"/>
        </w:rPr>
        <w:t>▲（五）功能实现视频演示</w:t>
      </w:r>
    </w:p>
    <w:p>
      <w:pPr>
        <w:pStyle w:val="BP1"/>
      </w:pPr>
      <w:r>
        <w:rPr>
          <w:rFonts w:hint="eastAsia"/>
        </w:rPr>
        <w:t>投标人须现场对所投核心产品的全部▲号主要技术指标及配置进行视频功能展示，限时5分钟，采用MP4格式（展示机型必须与投标产品型号一致)。</w:t>
      </w:r>
    </w:p>
    <w:p>
      <w:pPr>
        <w:pStyle w:val="BP0"/>
        <w:jc w:val="left"/>
        <w:rPr>
          <w:rFonts w:ascii="宋体" w:eastAsia="宋体"/>
          <w:sz w:val="24"/>
          <w:szCs w:val="24"/>
        </w:rPr>
      </w:pPr>
      <w:r>
        <w:rPr>
          <w:rFonts w:ascii="宋体" w:eastAsia="宋体" w:hint="eastAsia"/>
          <w:sz w:val="24"/>
          <w:szCs w:val="24"/>
        </w:rPr>
        <w:t>★（六）兼容性要求</w:t>
      </w:r>
    </w:p>
    <w:p>
      <w:pPr>
        <w:pStyle w:val="BP1"/>
      </w:pPr>
      <w:r>
        <w:rPr>
          <w:rFonts w:hint="eastAsia"/>
        </w:rPr>
        <w:t>作战单元调度指挥设备及通讯互联交换设备装备须无缝接入海关缉私已建成的3G/4G单警数字化装备管理控制系统，业务上实现互连互通，方便操作人员统一管理。（须提供投标人承诺函）</w:t>
      </w:r>
    </w:p>
    <w:p>
      <w:pPr>
        <w:pStyle w:val="BP1"/>
      </w:pPr>
      <w:r>
        <w:rPr>
          <w:rFonts w:hint="eastAsia"/>
        </w:rPr>
        <w:t>注：现有系统接口详见《缉私3G/4G单警数字化装备管理控制系统终端接入接口说明》文档。因本文档涉及缉私</w:t>
      </w:r>
      <w:r>
        <w:t>内部</w:t>
      </w:r>
      <w:r>
        <w:rPr>
          <w:rFonts w:hint="eastAsia"/>
        </w:rPr>
        <w:t>工作，</w:t>
      </w:r>
      <w:r>
        <w:t>投标人</w:t>
      </w:r>
      <w:r>
        <w:rPr>
          <w:rFonts w:hint="eastAsia"/>
        </w:rPr>
        <w:t>如有需要，</w:t>
      </w:r>
      <w:r>
        <w:rPr>
          <w:rFonts w:ascii="方正仿宋_GBK" w:eastAsia="方正仿宋_GBK" w:hint="eastAsia"/>
          <w:kern w:val="2"/>
          <w:sz w:val="28"/>
          <w:szCs w:val="28"/>
          <w:lang w:val="en-US" w:eastAsia="zh-CN" w:bidi="ar-SA"/>
        </w:rPr>
        <w:t>请提供下列材料，</w:t>
      </w:r>
      <w:r>
        <w:rPr>
          <w:rFonts w:ascii="方正仿宋_GBK" w:eastAsia="方正仿宋_GBK"/>
          <w:kern w:val="2"/>
          <w:sz w:val="28"/>
          <w:szCs w:val="28"/>
          <w:lang w:val="en-US" w:eastAsia="zh-CN" w:bidi="ar-SA"/>
        </w:rPr>
        <w:t>最晚</w:t>
      </w:r>
      <w:r>
        <w:rPr>
          <w:rFonts w:ascii="方正仿宋_GBK" w:eastAsia="方正仿宋_GBK" w:hint="eastAsia"/>
          <w:kern w:val="2"/>
          <w:sz w:val="28"/>
          <w:szCs w:val="28"/>
          <w:lang w:val="en-US" w:eastAsia="zh-CN" w:bidi="ar-SA"/>
        </w:rPr>
        <w:t>于项目开标</w:t>
      </w:r>
      <w:r>
        <w:rPr>
          <w:rFonts w:ascii="方正仿宋_GBK" w:eastAsia="方正仿宋_GBK"/>
          <w:kern w:val="2"/>
          <w:sz w:val="28"/>
          <w:szCs w:val="28"/>
          <w:lang w:val="en-US" w:eastAsia="zh-CN" w:bidi="ar-SA"/>
        </w:rPr>
        <w:t>时间的</w:t>
      </w:r>
      <w:r>
        <w:rPr>
          <w:rFonts w:ascii="方正仿宋_GBK" w:eastAsia="方正仿宋_GBK" w:hint="eastAsia"/>
          <w:kern w:val="2"/>
          <w:sz w:val="28"/>
          <w:szCs w:val="28"/>
          <w:lang w:val="en-US" w:eastAsia="zh-CN" w:bidi="ar-SA"/>
        </w:rPr>
        <w:t>5日前，联系文档管理部门，领取《缉</w:t>
      </w:r>
      <w:r>
        <w:rPr>
          <w:rFonts w:hint="eastAsia"/>
        </w:rPr>
        <w:t>私3G/4G单警数字化装备管理控制系统终端接入接口说明》文档：</w:t>
      </w:r>
    </w:p>
    <w:p>
      <w:pPr>
        <w:pStyle w:val="BP1"/>
      </w:pPr>
      <w:r>
        <w:rPr>
          <w:rFonts w:hint="eastAsia"/>
        </w:rPr>
        <w:t>（1）营业执照三证合一复印件（加盖投标人公章）；</w:t>
      </w:r>
    </w:p>
    <w:p>
      <w:pPr>
        <w:pStyle w:val="BP1"/>
      </w:pPr>
      <w:r>
        <w:rPr>
          <w:rFonts w:hint="eastAsia"/>
        </w:rPr>
        <w:t>（2）领取《缉私3G/4G单警数字化装备管理控制系统终端接入接口说明》文件授权书（格式自拟，加盖投标人公章）；</w:t>
      </w:r>
    </w:p>
    <w:p>
      <w:pPr>
        <w:pStyle w:val="BP1"/>
      </w:pPr>
      <w:r>
        <w:rPr>
          <w:rFonts w:hint="eastAsia"/>
        </w:rPr>
        <w:t>（3）保密承诺书(格式自拟，加盖投标人公章)；</w:t>
      </w:r>
    </w:p>
    <w:p>
      <w:pPr>
        <w:pStyle w:val="BP1"/>
      </w:pPr>
      <w:r>
        <w:rPr>
          <w:rFonts w:hint="eastAsia"/>
        </w:rPr>
        <w:t>（4）投标人法定代表人或其授权代表的身份证复印件及法人证明书或法人授权书。</w:t>
      </w:r>
    </w:p>
    <w:p>
      <w:pPr>
        <w:pStyle w:val="BP1"/>
      </w:pPr>
      <w:r>
        <w:rPr>
          <w:rFonts w:hint="eastAsia"/>
        </w:rPr>
        <w:t>（5）获取招标文件证明（包含项目名称、包号、公司名称、下载招标文件字眼的截图）。</w:t>
      </w:r>
    </w:p>
    <w:p>
      <w:pPr>
        <w:pStyle w:val="BP1"/>
      </w:pPr>
      <w:r>
        <w:rPr>
          <w:rFonts w:hint="eastAsia"/>
        </w:rPr>
        <w:t>已获取文档的</w:t>
      </w:r>
      <w:r>
        <w:t>投标人，</w:t>
      </w:r>
      <w:r>
        <w:rPr>
          <w:rFonts w:hint="eastAsia"/>
        </w:rPr>
        <w:t>请于</w:t>
      </w:r>
      <w:r>
        <w:t>项目</w:t>
      </w:r>
      <w:r>
        <w:rPr>
          <w:rFonts w:hint="eastAsia"/>
        </w:rPr>
        <w:t>开标前</w:t>
      </w:r>
      <w:r>
        <w:t>1日17时前</w:t>
      </w:r>
      <w:r>
        <w:rPr>
          <w:rFonts w:hint="eastAsia"/>
        </w:rPr>
        <w:t>，</w:t>
      </w:r>
      <w:r>
        <w:t>将该文档</w:t>
      </w:r>
      <w:r>
        <w:rPr>
          <w:rFonts w:hint="eastAsia"/>
        </w:rPr>
        <w:t>交回</w:t>
      </w:r>
      <w:r>
        <w:t>领取处（</w:t>
      </w:r>
      <w:r>
        <w:rPr>
          <w:rFonts w:hint="eastAsia"/>
        </w:rPr>
        <w:t>不参加投标的也必须将此件送回</w:t>
      </w:r>
      <w:r>
        <w:t>）</w:t>
      </w:r>
      <w:r>
        <w:rPr>
          <w:rFonts w:hint="eastAsia"/>
        </w:rPr>
        <w:t>，</w:t>
      </w:r>
      <w:r>
        <w:t>没有收到交回文档的投标人将不予认可投标资格。投标人</w:t>
      </w:r>
      <w:r>
        <w:rPr>
          <w:rFonts w:hint="eastAsia"/>
        </w:rPr>
        <w:t>不得将此文档擅自扫描、复印</w:t>
      </w:r>
      <w:r>
        <w:t>、拍照、人为誊纂</w:t>
      </w:r>
      <w:r>
        <w:rPr>
          <w:rFonts w:hint="eastAsia"/>
        </w:rPr>
        <w:t>或以其他</w:t>
      </w:r>
      <w:r>
        <w:t>任何</w:t>
      </w:r>
      <w:r>
        <w:rPr>
          <w:rFonts w:hint="eastAsia"/>
        </w:rPr>
        <w:t>形式留存、传播等，</w:t>
      </w:r>
      <w:r>
        <w:t>不得将该文档用于该项目投标以外的任何用途。如有违反，将依法</w:t>
      </w:r>
      <w:r>
        <w:rPr>
          <w:rFonts w:hint="eastAsia"/>
        </w:rPr>
        <w:t>追究法律责任。</w:t>
      </w:r>
    </w:p>
    <w:p>
      <w:pPr>
        <w:pStyle w:val="BP1"/>
      </w:pPr>
      <w:r>
        <w:t>文档领取联系人：徐警官，电话：010-65194693，请于工作日的工作时间（8:00-17:00）联系领取。</w:t>
      </w:r>
    </w:p>
    <w:p>
      <w:pPr>
        <w:pStyle w:val="BP0"/>
        <w:jc w:val="left"/>
        <w:rPr>
          <w:rFonts w:ascii="宋体" w:eastAsia="宋体"/>
          <w:sz w:val="24"/>
          <w:szCs w:val="24"/>
        </w:rPr>
      </w:pPr>
      <w:r>
        <w:rPr>
          <w:rFonts w:ascii="宋体" w:eastAsia="宋体" w:hint="eastAsia"/>
          <w:sz w:val="24"/>
          <w:szCs w:val="24"/>
        </w:rPr>
        <w:t>★（七）知识产权</w:t>
      </w:r>
    </w:p>
    <w:p>
      <w:pPr>
        <w:pStyle w:val="BP1"/>
      </w:pPr>
      <w:r>
        <w:rPr>
          <w:rFonts w:hint="eastAsia"/>
        </w:rPr>
        <w:t>1.投标人须保证招标人及其用户对投标人所提供的软件产品享有合法的使用权。</w:t>
      </w:r>
    </w:p>
    <w:p>
      <w:pPr>
        <w:pStyle w:val="BP1"/>
      </w:pPr>
      <w:r>
        <w:rPr>
          <w:rFonts w:hint="eastAsia"/>
        </w:rPr>
        <w:t>2.投标人须保证招标人及其用户单位在使用过程中不受到第三方关于侵犯专利权等知识产权的指控。任何第三方如果提出指控，投标人须与第三方交涉并承担可能发生的一切法律责任和费用。</w:t>
      </w:r>
    </w:p>
    <w:p>
      <w:pPr>
        <w:pStyle w:val="BP1"/>
      </w:pPr>
      <w:r>
        <w:rPr>
          <w:rFonts w:hint="eastAsia"/>
        </w:rPr>
        <w:t>3.投标人就本项目开发的软件，应向招标人提供全部源代码和不限次数的使用权以及二次开发权，本项目所开发软件的知识产权归招标人所有。</w:t>
      </w:r>
    </w:p>
    <w:p>
      <w:pPr>
        <w:pStyle w:val="BP1"/>
      </w:pPr>
      <w:r>
        <w:rPr>
          <w:rFonts w:hint="eastAsia"/>
        </w:rPr>
        <w:t>4.投标人的具有自主知识产权的第三方软件，如需要在本项目中使用，须在投标文件中明确指出和说明。如出现因引入第三方软件而引出的知识产权纠纷，由投标人负责，与招标人无关。</w:t>
      </w:r>
    </w:p>
    <w:p>
      <w:pPr>
        <w:pStyle w:val="BP0"/>
        <w:jc w:val="left"/>
        <w:rPr>
          <w:rFonts w:ascii="宋体" w:eastAsia="宋体"/>
          <w:sz w:val="24"/>
          <w:szCs w:val="24"/>
        </w:rPr>
      </w:pPr>
      <w:r>
        <w:rPr>
          <w:rFonts w:ascii="宋体" w:eastAsia="宋体" w:hint="eastAsia"/>
          <w:sz w:val="24"/>
          <w:szCs w:val="24"/>
        </w:rPr>
        <w:t>（八）乙方配合工作：</w:t>
      </w:r>
    </w:p>
    <w:p>
      <w:pPr>
        <w:pStyle w:val="BP1"/>
      </w:pPr>
      <w:r>
        <w:rPr>
          <w:rFonts w:hint="eastAsia"/>
        </w:rPr>
        <w:t>等级保护的系统定级、评审、备案等系列工作；竣工验收前配合做好第三方验收测试、各类审计等工作。为满足项目安全要求，需要投标人配合商用密码应用测评、网络安全等保测评，竣工验收前按照测评要求完成整改工作。在质保期内配合完成档案移交、资产转固等工作。</w:t>
      </w:r>
    </w:p>
    <w:p>
      <w:pPr>
        <w:rPr>
          <w:rFonts w:eastAsia="宋体"/>
          <w:color w:val="0000FF"/>
          <w:sz w:val="28"/>
          <w:szCs w:val="36"/>
          <w:highlight w:val="white"/>
          <w:lang w:val="en-US" w:eastAsia="zh-CN"/>
        </w:rPr>
      </w:pPr>
      <w:bookmarkEnd w:id="42"/>
    </w:p>
    <w:p>
      <w:pPr>
        <w:pStyle w:val="Heading1"/>
      </w:pPr>
      <w:r>
        <w:rPr>
          <w:highlight w:val="white"/>
        </w:rPr>
        <w:br w:type="page"/>
      </w:r>
      <w:bookmarkStart w:id="51"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51"/>
    </w:p>
    <w:p>
      <w:bookmarkStart w:id="52"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6"/>
        <w:gridCol w:w="727"/>
        <w:gridCol w:w="7248"/>
        <w:gridCol w:w="308"/>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6" w:type="dxa"/>
          </w:tcPr>
          <w:p>
            <w:r>
              <w:t>主客观项</w:t>
            </w:r>
          </w:p>
        </w:tc>
        <w:tc>
          <w:tcPr>
            <w:tcW w:w="727" w:type="dxa"/>
          </w:tcPr>
          <w:p>
            <w:r>
              <w:t>评审因素</w:t>
            </w:r>
          </w:p>
        </w:tc>
        <w:tc>
          <w:tcPr>
            <w:tcW w:w="7248" w:type="dxa"/>
          </w:tcPr>
          <w:p>
            <w:r>
              <w:t>评分标准说明</w:t>
            </w:r>
          </w:p>
        </w:tc>
        <w:tc>
          <w:tcPr>
            <w:tcW w:w="308"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46" w:type="dxa"/>
          </w:tcPr>
          <w:p>
            <w:r>
              <w:t>价格分</w:t>
            </w:r>
          </w:p>
        </w:tc>
        <w:tc>
          <w:tcPr>
            <w:tcW w:w="727" w:type="dxa"/>
            <w:tcBorders>
              <w:top w:val="single" w:sz="4" w:space="0" w:color="auto"/>
              <w:left w:val="single" w:sz="4" w:space="0" w:color="auto"/>
              <w:right w:val="single" w:sz="4" w:space="0" w:color="auto"/>
            </w:tcBorders>
          </w:tcPr>
          <w:p>
            <w:r>
              <w:t>价格评审</w:t>
            </w:r>
          </w:p>
        </w:tc>
        <w:tc>
          <w:tcPr>
            <w:tcW w:w="7248"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308"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6" w:type="dxa"/>
            <w:vMerge w:val="restart"/>
          </w:tcPr>
          <w:p>
            <w:r>
              <w:t>商务部分</w:t>
            </w:r>
          </w:p>
        </w:tc>
        <w:tc>
          <w:tcPr>
            <w:tcW w:w="727" w:type="dxa"/>
            <w:tcBorders>
              <w:top w:val="single" w:sz="4" w:space="0" w:color="auto"/>
              <w:left w:val="single" w:sz="4" w:space="0" w:color="auto"/>
              <w:right w:val="single" w:sz="4" w:space="0" w:color="auto"/>
            </w:tcBorders>
          </w:tcPr>
          <w:p>
            <w:r>
              <w:t>投标人综合实力</w:t>
            </w:r>
          </w:p>
        </w:tc>
        <w:tc>
          <w:tcPr>
            <w:tcW w:w="7248" w:type="dxa"/>
            <w:tcBorders>
              <w:top w:val="single" w:sz="4" w:space="0" w:color="auto"/>
              <w:left w:val="single" w:sz="4" w:space="0" w:color="auto"/>
              <w:right w:val="single" w:sz="4" w:space="0" w:color="auto"/>
            </w:tcBorders>
          </w:tcPr>
          <w:p>
            <w:r>
              <w:t>1.提供投标人的《商品售后服务评价体系》五星认证证书的得1分，否则得0分；  2.提供投标人的信息系统建设和服务能力评价体系CS4级证书及以上的得1分，否则得0分；3.提供投标人的ITSS信息技术服务运行维护标准符合性证书的得1分，否则得0分。</w:t>
            </w:r>
          </w:p>
        </w:tc>
        <w:tc>
          <w:tcPr>
            <w:tcW w:w="308"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6" w:type="dxa"/>
            <w:vMerge/>
          </w:tcPr>
          <w:p/>
        </w:tc>
        <w:tc>
          <w:tcPr>
            <w:tcW w:w="727" w:type="dxa"/>
            <w:tcBorders>
              <w:top w:val="single" w:sz="4" w:space="0" w:color="auto"/>
              <w:left w:val="single" w:sz="4" w:space="0" w:color="auto"/>
              <w:right w:val="single" w:sz="4" w:space="0" w:color="auto"/>
            </w:tcBorders>
          </w:tcPr>
          <w:p>
            <w:r>
              <w:t>投标人业绩</w:t>
            </w:r>
          </w:p>
        </w:tc>
        <w:tc>
          <w:tcPr>
            <w:tcW w:w="7248" w:type="dxa"/>
            <w:tcBorders>
              <w:top w:val="single" w:sz="4" w:space="0" w:color="auto"/>
              <w:left w:val="single" w:sz="4" w:space="0" w:color="auto"/>
              <w:right w:val="single" w:sz="4" w:space="0" w:color="auto"/>
            </w:tcBorders>
          </w:tcPr>
          <w:p>
            <w:r>
              <w:t>1.投标人提供与核心产品同品牌同型号产品的销售业绩 ，提供一份有效合同得1分，最多得3分。注1.合同签订时间须为2021年6月1日起至本项目招标公告发布之日止。  注2.合同不得遮挡且销售业绩合同中必须至少包含合同双方印章、签字、设备名称、型号、数量、合同金额、签订时间、合同履行第一笔付款乙方开具的发票复印件等信息内容（以上内容缺少一项，案例不予承认）。  注3.提供销售业绩合同复印件须字迹清晰，辨识无误。  注4.合同买方（甲方）须为实际使用单位，如买方为销售或经销类公司（平台），则该业绩不予认可。 不符合上述要求或未按要求提供有效证明文件的业绩在评审时将不予以承认。</w:t>
            </w:r>
          </w:p>
        </w:tc>
        <w:tc>
          <w:tcPr>
            <w:tcW w:w="308"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6" w:type="dxa"/>
            <w:vMerge/>
          </w:tcPr>
          <w:p/>
        </w:tc>
        <w:tc>
          <w:tcPr>
            <w:tcW w:w="727" w:type="dxa"/>
            <w:tcBorders>
              <w:top w:val="single" w:sz="4" w:space="0" w:color="auto"/>
              <w:left w:val="single" w:sz="4" w:space="0" w:color="auto"/>
              <w:right w:val="single" w:sz="4" w:space="0" w:color="auto"/>
            </w:tcBorders>
          </w:tcPr>
          <w:p>
            <w:r>
              <w:t>质量保证书</w:t>
            </w:r>
          </w:p>
        </w:tc>
        <w:tc>
          <w:tcPr>
            <w:tcW w:w="7248" w:type="dxa"/>
            <w:tcBorders>
              <w:top w:val="single" w:sz="4" w:space="0" w:color="auto"/>
              <w:left w:val="single" w:sz="4" w:space="0" w:color="auto"/>
              <w:right w:val="single" w:sz="4" w:space="0" w:color="auto"/>
            </w:tcBorders>
          </w:tcPr>
          <w:p>
            <w:r>
              <w:t>提供所投核心产品制造商出具的质量保证书（须保证所提供产品为制造商原产正品并对产品品质做出承诺和保证）的得1分，否则得0分。</w:t>
            </w:r>
          </w:p>
        </w:tc>
        <w:tc>
          <w:tcPr>
            <w:tcW w:w="308"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6" w:type="dxa"/>
            <w:vMerge/>
          </w:tcPr>
          <w:p/>
        </w:tc>
        <w:tc>
          <w:tcPr>
            <w:tcW w:w="727" w:type="dxa"/>
            <w:tcBorders>
              <w:top w:val="single" w:sz="4" w:space="0" w:color="auto"/>
              <w:left w:val="single" w:sz="4" w:space="0" w:color="auto"/>
              <w:right w:val="single" w:sz="4" w:space="0" w:color="auto"/>
            </w:tcBorders>
          </w:tcPr>
          <w:p>
            <w:r>
              <w:t>投标文件制作质量</w:t>
            </w:r>
          </w:p>
        </w:tc>
        <w:tc>
          <w:tcPr>
            <w:tcW w:w="7248" w:type="dxa"/>
            <w:tcBorders>
              <w:top w:val="single" w:sz="4" w:space="0" w:color="auto"/>
              <w:left w:val="single" w:sz="4" w:space="0" w:color="auto"/>
              <w:right w:val="single" w:sz="4" w:space="0" w:color="auto"/>
            </w:tcBorders>
          </w:tcPr>
          <w:p>
            <w:r>
              <w:t>投标文件内容详实、编排有序、结构合理、应答明确、对招标文件响应程度好的得1分；内容较完整、编写质量一般得0.5分；否则得0分。</w:t>
            </w:r>
          </w:p>
        </w:tc>
        <w:tc>
          <w:tcPr>
            <w:tcW w:w="308" w:type="dxa"/>
          </w:tcPr>
          <w:p>
            <w:r>
              <w:t>勾选打分(0;0.5;1)</w:t>
            </w:r>
          </w:p>
        </w:tc>
      </w:tr>
      <w:tr>
        <w:tblPrEx>
          <w:tblW w:w="5000" w:type="pct"/>
          <w:jc w:val="left"/>
          <w:tblInd w:w="0" w:type="dxa"/>
          <w:tblCellMar>
            <w:top w:w="0" w:type="dxa"/>
            <w:left w:w="108" w:type="dxa"/>
            <w:bottom w:w="0" w:type="dxa"/>
            <w:right w:w="108" w:type="dxa"/>
          </w:tblCellMar>
        </w:tblPrEx>
        <w:trPr>
          <w:jc w:val="left"/>
        </w:trPr>
        <w:tc>
          <w:tcPr>
            <w:tcW w:w="246" w:type="dxa"/>
            <w:vMerge w:val="restart"/>
          </w:tcPr>
          <w:p>
            <w:r>
              <w:t>技术部分</w:t>
            </w:r>
          </w:p>
        </w:tc>
        <w:tc>
          <w:tcPr>
            <w:tcW w:w="727" w:type="dxa"/>
            <w:tcBorders>
              <w:top w:val="single" w:sz="4" w:space="0" w:color="auto"/>
              <w:left w:val="single" w:sz="4" w:space="0" w:color="auto"/>
              <w:right w:val="single" w:sz="4" w:space="0" w:color="auto"/>
            </w:tcBorders>
          </w:tcPr>
          <w:p>
            <w:r>
              <w:t>一般技术指标及配置响应情况</w:t>
            </w:r>
          </w:p>
        </w:tc>
        <w:tc>
          <w:tcPr>
            <w:tcW w:w="7248" w:type="dxa"/>
            <w:tcBorders>
              <w:top w:val="single" w:sz="4" w:space="0" w:color="auto"/>
              <w:left w:val="single" w:sz="4" w:space="0" w:color="auto"/>
              <w:right w:val="single" w:sz="4" w:space="0" w:color="auto"/>
            </w:tcBorders>
          </w:tcPr>
          <w:p>
            <w:r>
              <w:t>投标人的一般主要技术指标及配置响应完全满足招标文件技术要求，应答无负偏离的得15分，每有1项不满足的扣0.3分。  注：一般指标中有要求提供佐证材料的，必须按照要求提供相关证明材料，并在技术偏离表中标明一般“主要技术参数” 对应证明材料在投标文件中的页码。未按要求提供证明材料的，评审委员会将对其响应不予认可。</w:t>
            </w:r>
          </w:p>
        </w:tc>
        <w:tc>
          <w:tcPr>
            <w:tcW w:w="308" w:type="dxa"/>
          </w:tcPr>
          <w:p>
            <w:r>
              <w:t>区间打分(0-15)</w:t>
            </w:r>
          </w:p>
        </w:tc>
      </w:tr>
      <w:tr>
        <w:tblPrEx>
          <w:tblW w:w="5000" w:type="pct"/>
          <w:jc w:val="left"/>
          <w:tblInd w:w="0" w:type="dxa"/>
          <w:tblCellMar>
            <w:top w:w="0" w:type="dxa"/>
            <w:left w:w="108" w:type="dxa"/>
            <w:bottom w:w="0" w:type="dxa"/>
            <w:right w:w="108" w:type="dxa"/>
          </w:tblCellMar>
        </w:tblPrEx>
        <w:trPr>
          <w:jc w:val="left"/>
        </w:trPr>
        <w:tc>
          <w:tcPr>
            <w:tcW w:w="246" w:type="dxa"/>
            <w:vMerge/>
          </w:tcPr>
          <w:p/>
        </w:tc>
        <w:tc>
          <w:tcPr>
            <w:tcW w:w="727" w:type="dxa"/>
            <w:tcBorders>
              <w:top w:val="single" w:sz="4" w:space="0" w:color="auto"/>
              <w:left w:val="single" w:sz="4" w:space="0" w:color="auto"/>
              <w:right w:val="single" w:sz="4" w:space="0" w:color="auto"/>
            </w:tcBorders>
          </w:tcPr>
          <w:p>
            <w:r>
              <w:t>▲技术指标及配置响应情况和功能视频展示</w:t>
            </w:r>
          </w:p>
        </w:tc>
        <w:tc>
          <w:tcPr>
            <w:tcW w:w="7248" w:type="dxa"/>
            <w:tcBorders>
              <w:top w:val="single" w:sz="4" w:space="0" w:color="auto"/>
              <w:left w:val="single" w:sz="4" w:space="0" w:color="auto"/>
              <w:right w:val="single" w:sz="4" w:space="0" w:color="auto"/>
            </w:tcBorders>
          </w:tcPr>
          <w:p>
            <w:r>
              <w:t>投标人的▲号“主要技术指标及配置”响应完全满足招标文件技术要求，应答无负偏离的得30分，每有1项不满足的扣2.5分。   （证明材料要求及格式详见项目需求书，未按要求提供证明材料的，评审委员会将对其响应不予认可。）注：投标人需上传视频对所投核心产品的全部▲号主要技术指标及配置进行真机视频功能展示，限时5分钟，采用MP4格式。▲号指标有具体演示要求的，必须按照演示要求进行详细演示；▲号指标没有具体演示要求的，须进行真实性、功能性演示。（展示机型必须与投标核心产品型号一致，如相关指标未进行演示或演示结果不符合技术指标要求或视频中只进行语音、字幕解说，未进行实质性功能演示的，评审委员会将对其▲号响应不予认可）。</w:t>
            </w:r>
          </w:p>
        </w:tc>
        <w:tc>
          <w:tcPr>
            <w:tcW w:w="308"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6" w:type="dxa"/>
            <w:vMerge w:val="restart"/>
          </w:tcPr>
          <w:p>
            <w:r>
              <w:t>服务部分</w:t>
            </w:r>
          </w:p>
        </w:tc>
        <w:tc>
          <w:tcPr>
            <w:tcW w:w="727" w:type="dxa"/>
            <w:tcBorders>
              <w:top w:val="single" w:sz="4" w:space="0" w:color="auto"/>
              <w:left w:val="single" w:sz="4" w:space="0" w:color="auto"/>
              <w:right w:val="single" w:sz="4" w:space="0" w:color="auto"/>
            </w:tcBorders>
          </w:tcPr>
          <w:p>
            <w:r>
              <w:t>项目整体实施方案</w:t>
            </w:r>
          </w:p>
        </w:tc>
        <w:tc>
          <w:tcPr>
            <w:tcW w:w="7248" w:type="dxa"/>
            <w:tcBorders>
              <w:top w:val="single" w:sz="4" w:space="0" w:color="auto"/>
              <w:left w:val="single" w:sz="4" w:space="0" w:color="auto"/>
              <w:right w:val="single" w:sz="4" w:space="0" w:color="auto"/>
            </w:tcBorders>
          </w:tcPr>
          <w:p>
            <w:r>
              <w:t>需提供项目整体实施方案包括但不限于：实施计划，进度安排，交货安排，组织结构，人员配置，质量保证，风险应急处理、技术实施方案、技术支持服务流程和规范，沟通和协调机制，变更管理和配置管理，系统安全和保密措施等内容。 实施方案（包括安装调试要求、对接方案要求、技术连通应用方案要求等）措施具体详细，完善，合理，思路清晰优于采购需求，得6分；  实施方案（包括安装调试要求、对接方案要求、技术连通应用方案要求等）思路清晰，措施较详细，完善，合理，满足采购需求，得3分；  实施方案（包括安装调试要求、对接方案要求、技术连通应用方案要求等）思路清晰，措施欠合理，基本满足采购需求，得1分；  未提供或完全不满足采购需求，得0分。</w:t>
            </w:r>
          </w:p>
        </w:tc>
        <w:tc>
          <w:tcPr>
            <w:tcW w:w="308" w:type="dxa"/>
          </w:tcPr>
          <w:p>
            <w:r>
              <w:t>勾选打分(0;1;3;6)</w:t>
            </w:r>
          </w:p>
        </w:tc>
      </w:tr>
      <w:tr>
        <w:tblPrEx>
          <w:tblW w:w="5000" w:type="pct"/>
          <w:jc w:val="left"/>
          <w:tblInd w:w="0" w:type="dxa"/>
          <w:tblCellMar>
            <w:top w:w="0" w:type="dxa"/>
            <w:left w:w="108" w:type="dxa"/>
            <w:bottom w:w="0" w:type="dxa"/>
            <w:right w:w="108" w:type="dxa"/>
          </w:tblCellMar>
        </w:tblPrEx>
        <w:trPr>
          <w:jc w:val="left"/>
        </w:trPr>
        <w:tc>
          <w:tcPr>
            <w:tcW w:w="246" w:type="dxa"/>
            <w:vMerge/>
          </w:tcPr>
          <w:p/>
        </w:tc>
        <w:tc>
          <w:tcPr>
            <w:tcW w:w="727" w:type="dxa"/>
            <w:tcBorders>
              <w:top w:val="single" w:sz="4" w:space="0" w:color="auto"/>
              <w:left w:val="single" w:sz="4" w:space="0" w:color="auto"/>
              <w:right w:val="single" w:sz="4" w:space="0" w:color="auto"/>
            </w:tcBorders>
          </w:tcPr>
          <w:p>
            <w:r>
              <w:t>售后服务承诺函</w:t>
            </w:r>
          </w:p>
        </w:tc>
        <w:tc>
          <w:tcPr>
            <w:tcW w:w="7248" w:type="dxa"/>
            <w:tcBorders>
              <w:top w:val="single" w:sz="4" w:space="0" w:color="auto"/>
              <w:left w:val="single" w:sz="4" w:space="0" w:color="auto"/>
              <w:right w:val="single" w:sz="4" w:space="0" w:color="auto"/>
            </w:tcBorders>
          </w:tcPr>
          <w:p>
            <w:r>
              <w:t>提供针对本项目的售后服务承诺函（函中内容包括但不限于项目名称、项目编号、承诺内容等要素，加盖核心产品制造商公章和投标人公章），且承诺完全满足招标文件规定的售后服务要求的，得2分。承诺函要素不全或承诺内容不完全覆盖招标文件要求的，得0分。</w:t>
            </w:r>
          </w:p>
        </w:tc>
        <w:tc>
          <w:tcPr>
            <w:tcW w:w="308" w:type="dxa"/>
          </w:tcPr>
          <w:p>
            <w:r>
              <w:t>勾选打分(0;2)</w:t>
            </w:r>
          </w:p>
        </w:tc>
      </w:tr>
      <w:tr>
        <w:tblPrEx>
          <w:tblW w:w="5000" w:type="pct"/>
          <w:jc w:val="left"/>
          <w:tblInd w:w="0" w:type="dxa"/>
          <w:tblCellMar>
            <w:top w:w="0" w:type="dxa"/>
            <w:left w:w="108" w:type="dxa"/>
            <w:bottom w:w="0" w:type="dxa"/>
            <w:right w:w="108" w:type="dxa"/>
          </w:tblCellMar>
        </w:tblPrEx>
        <w:trPr>
          <w:jc w:val="left"/>
        </w:trPr>
        <w:tc>
          <w:tcPr>
            <w:tcW w:w="246" w:type="dxa"/>
            <w:vMerge/>
          </w:tcPr>
          <w:p/>
        </w:tc>
        <w:tc>
          <w:tcPr>
            <w:tcW w:w="727" w:type="dxa"/>
            <w:tcBorders>
              <w:top w:val="single" w:sz="4" w:space="0" w:color="auto"/>
              <w:left w:val="single" w:sz="4" w:space="0" w:color="auto"/>
              <w:right w:val="single" w:sz="4" w:space="0" w:color="auto"/>
            </w:tcBorders>
          </w:tcPr>
          <w:p>
            <w:r>
              <w:t>售后服务方案</w:t>
            </w:r>
          </w:p>
        </w:tc>
        <w:tc>
          <w:tcPr>
            <w:tcW w:w="7248" w:type="dxa"/>
            <w:tcBorders>
              <w:top w:val="single" w:sz="4" w:space="0" w:color="auto"/>
              <w:left w:val="single" w:sz="4" w:space="0" w:color="auto"/>
              <w:right w:val="single" w:sz="4" w:space="0" w:color="auto"/>
            </w:tcBorders>
          </w:tcPr>
          <w:p>
            <w:r>
              <w:t>根据售后服务体系、安装调试及免费保修服务承诺、应用技术支持、以及质保期外服务方案及服务网点、人员、备品备件、易损配件及主要消耗品的备件情况等方面。  售后服务方案和承诺优于项目需求，质保期外服务费优于项目要求，技术支持及售后服务内容全面，可行性强，针对性强，得4分；售后服务方案和承诺基本满足项目需求，质保期外服务费满足项目要求，技术支持及售后服务内容完整，有一定的可行性和针对性，得2分；有方案但内容缺失多、可行性差的得1分；未提供方案的得0分。</w:t>
            </w:r>
          </w:p>
        </w:tc>
        <w:tc>
          <w:tcPr>
            <w:tcW w:w="308" w:type="dxa"/>
          </w:tcPr>
          <w:p>
            <w:r>
              <w:t>区间打分(0-4)</w:t>
            </w:r>
          </w:p>
        </w:tc>
      </w:tr>
      <w:tr>
        <w:tblPrEx>
          <w:tblW w:w="5000" w:type="pct"/>
          <w:jc w:val="left"/>
          <w:tblInd w:w="0" w:type="dxa"/>
          <w:tblCellMar>
            <w:top w:w="0" w:type="dxa"/>
            <w:left w:w="108" w:type="dxa"/>
            <w:bottom w:w="0" w:type="dxa"/>
            <w:right w:w="108" w:type="dxa"/>
          </w:tblCellMar>
        </w:tblPrEx>
        <w:trPr>
          <w:jc w:val="left"/>
        </w:trPr>
        <w:tc>
          <w:tcPr>
            <w:tcW w:w="246" w:type="dxa"/>
            <w:vMerge/>
          </w:tcPr>
          <w:p/>
        </w:tc>
        <w:tc>
          <w:tcPr>
            <w:tcW w:w="727" w:type="dxa"/>
            <w:tcBorders>
              <w:top w:val="single" w:sz="4" w:space="0" w:color="auto"/>
              <w:left w:val="single" w:sz="4" w:space="0" w:color="auto"/>
              <w:right w:val="single" w:sz="4" w:space="0" w:color="auto"/>
            </w:tcBorders>
          </w:tcPr>
          <w:p>
            <w:r>
              <w:t>技术培训方案及培训服务承诺函</w:t>
            </w:r>
          </w:p>
        </w:tc>
        <w:tc>
          <w:tcPr>
            <w:tcW w:w="7248" w:type="dxa"/>
            <w:tcBorders>
              <w:top w:val="single" w:sz="4" w:space="0" w:color="auto"/>
              <w:left w:val="single" w:sz="4" w:space="0" w:color="auto"/>
              <w:right w:val="single" w:sz="4" w:space="0" w:color="auto"/>
            </w:tcBorders>
          </w:tcPr>
          <w:p>
            <w:r>
              <w:t>对于承诺的技术培训服务，应提供相应的技术培训服务承诺函。 根据培训方式、培训内容、培训水平、培训人数及项目需求书中的培训要求等制定有针对性的技术培训方案。  培训方案优于项目需求，详实合理，内容全面，方式灵活，层次分明，能切实保障培训效率和效果得2分； 方案基本满足项目需求，内容合理性、可操作性一般，培训方式比较单一得1分； 其余得0.5分； 此项缺失得0分。</w:t>
            </w:r>
          </w:p>
        </w:tc>
        <w:tc>
          <w:tcPr>
            <w:tcW w:w="308" w:type="dxa"/>
          </w:tcPr>
          <w:p>
            <w:r>
              <w:t>勾选打分(0;0.5;1;2)</w:t>
            </w:r>
          </w:p>
        </w:tc>
      </w:tr>
      <w:tr>
        <w:tblPrEx>
          <w:tblW w:w="5000" w:type="pct"/>
          <w:jc w:val="left"/>
          <w:tblInd w:w="0" w:type="dxa"/>
          <w:tblCellMar>
            <w:top w:w="0" w:type="dxa"/>
            <w:left w:w="108" w:type="dxa"/>
            <w:bottom w:w="0" w:type="dxa"/>
            <w:right w:w="108" w:type="dxa"/>
          </w:tblCellMar>
        </w:tblPrEx>
        <w:trPr>
          <w:jc w:val="left"/>
        </w:trPr>
        <w:tc>
          <w:tcPr>
            <w:tcW w:w="246" w:type="dxa"/>
            <w:vMerge/>
          </w:tcPr>
          <w:p/>
        </w:tc>
        <w:tc>
          <w:tcPr>
            <w:tcW w:w="727" w:type="dxa"/>
            <w:tcBorders>
              <w:top w:val="single" w:sz="4" w:space="0" w:color="auto"/>
              <w:left w:val="single" w:sz="4" w:space="0" w:color="auto"/>
              <w:right w:val="single" w:sz="4" w:space="0" w:color="auto"/>
            </w:tcBorders>
          </w:tcPr>
          <w:p>
            <w:r>
              <w:t>项目团队配置</w:t>
            </w:r>
          </w:p>
        </w:tc>
        <w:tc>
          <w:tcPr>
            <w:tcW w:w="7248" w:type="dxa"/>
            <w:tcBorders>
              <w:top w:val="single" w:sz="4" w:space="0" w:color="auto"/>
              <w:left w:val="single" w:sz="4" w:space="0" w:color="auto"/>
              <w:right w:val="single" w:sz="4" w:space="0" w:color="auto"/>
            </w:tcBorders>
          </w:tcPr>
          <w:p>
            <w:r>
              <w:t>1.投标人提供项目经理一名，且满足项目需求书中要求的得2分，未提供或证明材料不全、不符合规定的得0分。（需提供相关资格证书复印件，并提供项目经理在投标人所在公司距离开标日期前近6个月内任意一次缴纳社保证明，信息系统高级项目管理师资格证书，其中相关工作能力体现证明材料仅限于同类型项目的合同关键页复印件，关键页包括合同首页、合同名称、产品名称、数量、合同双方印章、签字、签订时间、项目实施人员的合同页或项目实施方案人员组成页)；2.投标人提供团队人员符合需求书中要求的得1分，未提供或证明材料不全、不符合规定的得0分。（提供团队人员在投标人所在公司距离开标日期前近6个月内任意一次缴纳社保证明，其中相关工作能力体现证明材料仅限于同类型项目的合同关键页复印件，关键页包括合同首页、合同名称、产品名称、数量、合同双方印章、签字、签订时间、项目实施人员的合同页或项目实施方案人员组成页并加盖投标人公章)。注：以上人员证明材料未提供或提供材料不全、不符合规定的，评审时将不予以承认。</w:t>
            </w:r>
          </w:p>
        </w:tc>
        <w:tc>
          <w:tcPr>
            <w:tcW w:w="308" w:type="dxa"/>
          </w:tcPr>
          <w:p>
            <w:r>
              <w:t>区间打分(0-3)</w:t>
            </w:r>
          </w:p>
        </w:tc>
      </w:tr>
    </w:tbl>
    <w:p>
      <w:bookmarkEnd w:id="52"/>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9"/>
          <w:headerReference w:type="default" r:id="rId10"/>
          <w:footerReference w:type="even" r:id="rId11"/>
          <w:headerReference w:type="first" r:id="rId12"/>
          <w:footerReference w:type="first" r:id="rId13"/>
          <w:pgSz w:w="11907" w:h="16840"/>
          <w:pgMar w:top="1440" w:right="1797" w:bottom="1440" w:left="1797" w:header="851" w:footer="851" w:gutter="0"/>
          <w:cols w:num="1" w:space="720"/>
          <w:docGrid w:linePitch="312" w:charSpace="0"/>
        </w:sectPr>
      </w:pPr>
    </w:p>
    <w:p>
      <w:pPr>
        <w:pStyle w:val="Heading1"/>
        <w:ind w:firstLine="3000" w:firstLineChars="1000"/>
        <w:jc w:val="both"/>
        <w:rPr>
          <w:highlight w:val="white"/>
        </w:rPr>
      </w:pPr>
      <w:bookmarkStart w:id="53"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53"/>
    </w:p>
    <w:p>
      <w:pPr>
        <w:jc w:val="center"/>
        <w:rPr>
          <w:rFonts w:eastAsia="方正小标宋_GBK"/>
          <w:color w:val="000000"/>
          <w:sz w:val="36"/>
          <w:szCs w:val="36"/>
        </w:rPr>
      </w:pPr>
      <w:r>
        <w:rPr>
          <w:rFonts w:eastAsia="方正小标宋_GBK"/>
          <w:color w:val="000000"/>
          <w:sz w:val="44"/>
        </w:rPr>
        <w:t xml:space="preserve">     </w:t>
      </w:r>
      <w:bookmarkStart w:id="54"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之日起____</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52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55" w:name="孔子"/>
      <w:bookmarkEnd w:id="55"/>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00"/>
          <w:sz w:val="36"/>
          <w:szCs w:val="36"/>
        </w:rPr>
      </w:pPr>
      <w:bookmarkEnd w:id="54"/>
    </w:p>
    <w:p/>
    <w:p/>
    <w:p/>
    <w:p/>
    <w:p/>
    <w:p>
      <w:pPr>
        <w:pStyle w:val="Heading1"/>
        <w:rPr>
          <w:rFonts w:hint="eastAsia"/>
          <w:highlight w:val="white"/>
        </w:rPr>
      </w:pPr>
      <w:r>
        <w:rPr>
          <w:rFonts w:hint="eastAsia"/>
          <w:highlight w:val="white"/>
        </w:rPr>
        <w:br w:type="page"/>
      </w:r>
      <w:bookmarkStart w:id="56" w:name="_Toc47661360"/>
      <w:r>
        <w:rPr>
          <w:rFonts w:hint="eastAsia"/>
          <w:highlight w:val="white"/>
        </w:rPr>
        <w:t>第六部分  投标文件格式</w:t>
      </w:r>
      <w:bookmarkEnd w:id="56"/>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7"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8" w:name="_Ref462505451"/>
      <w:bookmarkStart w:id="59"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8"/>
      <w:bookmarkEnd w:id="59"/>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top w:val="single" w:sz="4" w:space="0" w:color="auto"/>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3"/>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60" w:name="_Toc499068169"/>
      <w:bookmarkStart w:id="61" w:name="_Toc46196323"/>
      <w:bookmarkStart w:id="62" w:name="_Toc485990833"/>
      <w:r>
        <w:rPr>
          <w:rFonts w:ascii="宋体" w:eastAsia="宋体" w:hint="eastAsia"/>
          <w:szCs w:val="32"/>
          <w:lang w:eastAsia="zh-CN"/>
        </w:rPr>
        <w:t>投标函</w:t>
      </w:r>
      <w:bookmarkEnd w:id="60"/>
      <w:bookmarkEnd w:id="61"/>
      <w:bookmarkEnd w:id="62"/>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63" w:name="_Toc499068185"/>
      <w:bookmarkStart w:id="64" w:name="_Toc485990851"/>
      <w:r>
        <w:rPr>
          <w:rFonts w:ascii="宋体" w:eastAsia="宋体" w:hint="eastAsia"/>
          <w:szCs w:val="32"/>
          <w:lang w:eastAsia="zh-CN"/>
        </w:rPr>
        <w:t>技术偏离表</w:t>
      </w:r>
      <w:bookmarkEnd w:id="63"/>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64"/>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65" w:name="_Toc499068185_0"/>
      <w:r>
        <w:rPr>
          <w:rFonts w:ascii="宋体" w:eastAsia="宋体" w:hint="eastAsia"/>
          <w:szCs w:val="32"/>
          <w:lang w:eastAsia="zh-CN"/>
        </w:rPr>
        <w:t>技术偏离表</w:t>
      </w:r>
      <w:bookmarkEnd w:id="65"/>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r>
              <w:rPr>
                <w:rFonts w:ascii="宋体" w:eastAsia="宋体" w:hint="eastAsia"/>
                <w:sz w:val="24"/>
              </w:rPr>
              <w:t>序号</w:t>
            </w:r>
          </w:p>
        </w:tc>
        <w:tc>
          <w:tcPr>
            <w:tcW w:w="2511" w:type="dxa"/>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vAlign w:val="center"/>
          </w:tcPr>
          <w:p>
            <w:pPr>
              <w:pStyle w:val="3100"/>
              <w:jc w:val="center"/>
              <w:rPr>
                <w:rFonts w:ascii="宋体" w:eastAsia="宋体" w:hint="eastAsia"/>
                <w:sz w:val="24"/>
              </w:rPr>
            </w:pPr>
            <w:r>
              <w:rPr>
                <w:rFonts w:ascii="宋体" w:eastAsia="宋体" w:hint="eastAsia"/>
                <w:sz w:val="24"/>
              </w:rPr>
              <w:t>规格型号</w:t>
            </w:r>
          </w:p>
        </w:tc>
        <w:tc>
          <w:tcPr>
            <w:tcW w:w="543" w:type="dxa"/>
            <w:vAlign w:val="center"/>
          </w:tcPr>
          <w:p>
            <w:pPr>
              <w:pStyle w:val="3100"/>
              <w:jc w:val="center"/>
              <w:rPr>
                <w:rFonts w:ascii="宋体" w:eastAsia="宋体" w:hint="eastAsia"/>
                <w:sz w:val="24"/>
              </w:rPr>
            </w:pPr>
            <w:r>
              <w:rPr>
                <w:rFonts w:ascii="宋体" w:eastAsia="宋体" w:hint="eastAsia"/>
                <w:sz w:val="24"/>
              </w:rPr>
              <w:t>品牌</w:t>
            </w:r>
          </w:p>
        </w:tc>
        <w:tc>
          <w:tcPr>
            <w:tcW w:w="1855" w:type="dxa"/>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vAlign w:val="center"/>
          </w:tcPr>
          <w:p>
            <w:pPr>
              <w:pStyle w:val="3100"/>
              <w:jc w:val="center"/>
              <w:rPr>
                <w:rFonts w:ascii="宋体" w:eastAsia="宋体" w:hint="eastAsia"/>
                <w:sz w:val="24"/>
              </w:rPr>
            </w:pPr>
            <w:r>
              <w:rPr>
                <w:rFonts w:ascii="宋体" w:eastAsia="宋体" w:hint="eastAsia"/>
                <w:sz w:val="24"/>
              </w:rPr>
              <w:t>数量</w:t>
            </w:r>
          </w:p>
        </w:tc>
        <w:tc>
          <w:tcPr>
            <w:tcW w:w="918" w:type="dxa"/>
            <w:vAlign w:val="center"/>
          </w:tcPr>
          <w:p>
            <w:pPr>
              <w:pStyle w:val="3100"/>
              <w:jc w:val="center"/>
              <w:rPr>
                <w:rFonts w:ascii="宋体" w:eastAsia="宋体" w:hint="eastAsia"/>
                <w:sz w:val="24"/>
              </w:rPr>
            </w:pPr>
            <w:r>
              <w:rPr>
                <w:rFonts w:ascii="宋体" w:eastAsia="宋体" w:hint="eastAsia"/>
                <w:sz w:val="24"/>
              </w:rPr>
              <w:t>单价(元)</w:t>
            </w:r>
          </w:p>
        </w:tc>
        <w:tc>
          <w:tcPr>
            <w:tcW w:w="696" w:type="dxa"/>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vAlign w:val="center"/>
          </w:tcPr>
          <w:p>
            <w:pPr>
              <w:pStyle w:val="3100"/>
              <w:jc w:val="center"/>
              <w:rPr>
                <w:rFonts w:ascii="宋体" w:eastAsia="宋体" w:hint="eastAsia"/>
                <w:sz w:val="24"/>
              </w:rPr>
            </w:pPr>
            <w:r>
              <w:rPr>
                <w:rFonts w:ascii="宋体" w:eastAsia="宋体" w:hint="eastAsia"/>
                <w:sz w:val="24"/>
              </w:rPr>
              <w:t>总价（元）</w:t>
            </w:r>
          </w:p>
        </w:tc>
        <w:tc>
          <w:tcPr>
            <w:tcW w:w="696" w:type="dxa"/>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六</w:t>
      </w:r>
      <w:r>
        <w:rPr>
          <w:rFonts w:ascii="宋体" w:hint="eastAsia"/>
          <w:color w:val="000000"/>
          <w:sz w:val="22"/>
        </w:rPr>
        <w:t xml:space="preserve">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7"/>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黑体_GBK"/>
    <w:panose1 w:val="02010600030101010101"/>
    <w:charset w:val="86"/>
    <w:family w:val="auto"/>
    <w:pitch w:val="variable"/>
    <w:sig w:usb0="A00002BF" w:usb1="38CF7CFA" w:usb2="00000016" w:usb3="00000000" w:csb0="0004000F" w:csb1="00000000"/>
  </w:font>
  <w:font w:name="微软雅黑">
    <w:altName w:val="华文细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小标宋_GBK">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auto"/>
    <w:pitch w:val="variable"/>
    <w:sig w:usb0="00000001" w:usb1="080E0000" w:usb2="00000000" w:usb3="00000000" w:csb0="00040000" w:csb1="0000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黑体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DejaVu Sans">
    <w:panose1 w:val="020B0603030804020204"/>
    <w:charset w:val="00"/>
    <w:family w:val="auto"/>
    <w:pitch w:val="variable"/>
    <w:sig w:usb0="E7006EFF" w:usb1="D200FDFF" w:usb2="0A246029" w:usb3="0400200C" w:csb0="600001FF" w:csb1="DFFF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608965</wp:posOffset>
              </wp:positionV>
              <wp:extent cx="452246" cy="427174"/>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52246" cy="427174"/>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35.61pt;height:33.64pt;margin-top:47.95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pPr>
  </w:p>
  <w:p>
    <w:pPr>
      <w:pStyle w:val="Footer"/>
      <w:tabs>
        <w:tab w:val="center" w:pos="4153"/>
        <w:tab w:val="right" w:pos="830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58474F0"/>
    <w:multiLevelType w:val="multilevel"/>
    <w:tmpl w:val="258474F0"/>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7">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64814649"/>
    <w:multiLevelType w:val="singleLevel"/>
    <w:tmpl w:val="64814649"/>
    <w:lvl w:ilvl="0">
      <w:start w:val="2"/>
      <w:numFmt w:val="chineseCounting"/>
      <w:suff w:val="nothing"/>
      <w:lvlText w:val="%1、"/>
      <w:lvlJc w:val="left"/>
    </w:lvl>
  </w:abstractNum>
  <w:abstractNum w:abstractNumId="19">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lvl w:ilvl="0">
        <w:start w:val="1"/>
        <w:numFmt w:val="decimal"/>
        <w:lvlText w:val="%1."/>
        <w:lvlJc w:val="left"/>
        <w:pPr>
          <w:tabs>
            <w:tab w:val="num" w:pos="360"/>
          </w:tabs>
          <w:ind w:left="0" w:firstLine="0"/>
        </w:pPr>
      </w:lvl>
    </w:lvlOverride>
    <w:lvlOverride w:ilvl="1">
      <w:lvl w:ilvl="1">
        <w:start w:val="1"/>
        <w:numFmt w:val="decimal"/>
        <w:lvlText w:val="%1.%2"/>
        <w:lvlJc w:val="left"/>
        <w:pPr>
          <w:tabs>
            <w:tab w:val="num" w:pos="360"/>
          </w:tabs>
          <w:ind w:left="0" w:firstLine="0"/>
        </w:pPr>
      </w:lvl>
    </w:lvlOverride>
    <w:lvlOverride w:ilvl="2">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lvl w:ilvl="4">
        <w:start w:val="1"/>
        <w:numFmt w:val="decimal"/>
        <w:lvlText w:val="%1.%2.%3.%4.%5."/>
        <w:lvlJc w:val="right"/>
        <w:pPr>
          <w:tabs>
            <w:tab w:val="num" w:pos="0"/>
          </w:tabs>
          <w:ind w:left="992" w:hanging="992"/>
        </w:pPr>
      </w:lvl>
    </w:lvlOverride>
    <w:lvlOverride w:ilvl="5">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6"/>
  </w:num>
  <w:num w:numId="3">
    <w:abstractNumId w:val="18"/>
  </w:num>
  <w:num w:numId="4">
    <w:abstractNumId w:val="4"/>
    <w:lvlOverride w:ilvl="0">
      <w:lvl w:ilvl="0">
        <w:start w:val="1"/>
        <w:numFmt w:val="decimal"/>
        <w:lvlText w:val="（"/>
        <w:lvlJc w:val="left"/>
        <w:pPr>
          <w:tabs>
            <w:tab w:val="num" w:pos="0"/>
          </w:tabs>
          <w:ind w:left="0" w:firstLine="0"/>
        </w:pPr>
      </w:lvl>
    </w:lvlOverride>
    <w:lvlOverride w:ilvl="1">
      <w:lvl w:ilvl="1">
        <w:start w:val="1"/>
        <w:numFmt w:val="decimal"/>
        <w:lvlText w:val=")"/>
        <w:lvlJc w:val="left"/>
        <w:pPr>
          <w:tabs>
            <w:tab w:val="num" w:pos="0"/>
          </w:tabs>
          <w:ind w:left="0" w:firstLine="0"/>
        </w:pPr>
      </w:lvl>
    </w:lvlOverride>
    <w:lvlOverride w:ilvl="2">
      <w:lvl w:ilvl="2">
        <w:start w:val="1"/>
        <w:numFmt w:val="decimal"/>
        <w:lvlText w:val="."/>
        <w:lvlJc w:val="right"/>
        <w:pPr>
          <w:tabs>
            <w:tab w:val="num" w:pos="0"/>
          </w:tabs>
          <w:ind w:left="0" w:firstLine="0"/>
        </w:pPr>
      </w:lvl>
    </w:lvlOverride>
    <w:lvlOverride w:ilvl="3">
      <w:lvl w:ilvl="3">
        <w:start w:val="1"/>
        <w:numFmt w:val="decimal"/>
        <w:lvlText w:val="."/>
        <w:lvlJc w:val="left"/>
        <w:pPr>
          <w:tabs>
            <w:tab w:val="num" w:pos="0"/>
          </w:tabs>
          <w:ind w:left="0" w:firstLine="0"/>
        </w:pPr>
      </w:lvl>
    </w:lvlOverride>
    <w:lvlOverride w:ilvl="4">
      <w:lvl w:ilvl="4">
        <w:start w:val="1"/>
        <w:numFmt w:val="decimal"/>
        <w:lvlText w:val=")"/>
        <w:lvlJc w:val="left"/>
        <w:pPr>
          <w:tabs>
            <w:tab w:val="num" w:pos="0"/>
          </w:tabs>
          <w:ind w:left="0" w:firstLine="0"/>
        </w:pPr>
      </w:lvl>
    </w:lvlOverride>
    <w:lvlOverride w:ilvl="5">
      <w:lvl w:ilvl="5">
        <w:start w:val="1"/>
        <w:numFmt w:val="decimal"/>
        <w:lvlText w:val="."/>
        <w:lvlJc w:val="right"/>
        <w:pPr>
          <w:tabs>
            <w:tab w:val="num" w:pos="0"/>
          </w:tabs>
          <w:ind w:left="0" w:firstLine="0"/>
        </w:pPr>
      </w:lvl>
    </w:lvlOverride>
    <w:lvlOverride w:ilvl="6">
      <w:lvl w:ilvl="6">
        <w:start w:val="1"/>
        <w:numFmt w:val="decimal"/>
        <w:lvlText w:val="."/>
        <w:lvlJc w:val="left"/>
        <w:pPr>
          <w:tabs>
            <w:tab w:val="num" w:pos="0"/>
          </w:tabs>
          <w:ind w:left="0" w:firstLine="0"/>
        </w:pPr>
      </w:lvl>
    </w:lvlOverride>
    <w:lvlOverride w:ilvl="7">
      <w:lvl w:ilvl="7">
        <w:start w:val="1"/>
        <w:numFmt w:val="decimal"/>
        <w:lvlText w:val=")"/>
        <w:lvlJc w:val="left"/>
        <w:pPr>
          <w:tabs>
            <w:tab w:val="num" w:pos="0"/>
          </w:tabs>
          <w:ind w:left="0" w:firstLine="0"/>
        </w:pPr>
      </w:lvl>
    </w:lvlOverride>
    <w:lvlOverride w:ilvl="8">
      <w:lvl w:ilvl="8">
        <w:start w:val="1"/>
        <w:numFmt w:val="decimal"/>
        <w:lvlText w:val="."/>
        <w:lvlJc w:val="right"/>
        <w:pPr>
          <w:tabs>
            <w:tab w:val="num" w:pos="0"/>
          </w:tabs>
          <w:ind w:left="0" w:firstLine="0"/>
        </w:pPr>
      </w:lvl>
    </w:lvlOverride>
  </w:num>
  <w:num w:numId="5">
    <w:abstractNumId w:val="21"/>
    <w:lvlOverride w:ilvl="0">
      <w:lvl w:ilvl="0">
        <w:start w:val="1"/>
        <w:numFmt w:val="decimal"/>
        <w:lvlText w:val="（%1）"/>
        <w:lvlJc w:val="left"/>
        <w:pPr>
          <w:tabs>
            <w:tab w:val="num" w:pos="420"/>
          </w:tabs>
          <w:ind w:left="420" w:hanging="42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6">
    <w:abstractNumId w:val="20"/>
    <w:lvlOverride w:ilvl="0">
      <w:lvl w:ilvl="0">
        <w:start w:val="1"/>
        <w:numFmt w:val="decimal"/>
        <w:lvlText w:val="（%1）"/>
        <w:lvlJc w:val="left"/>
        <w:pPr>
          <w:tabs>
            <w:tab w:val="num" w:pos="1200"/>
          </w:tabs>
          <w:ind w:left="1200" w:hanging="720"/>
        </w:pPr>
      </w:lvl>
    </w:lvlOverride>
    <w:lvlOverride w:ilvl="1">
      <w:lvl w:ilvl="1">
        <w:start w:val="10"/>
        <w:numFmt w:val="japaneseCounting"/>
        <w:lvlText w:val="%2、"/>
        <w:lvlJc w:val="left"/>
        <w:pPr>
          <w:tabs>
            <w:tab w:val="num" w:pos="855"/>
          </w:tabs>
          <w:ind w:left="855" w:hanging="435"/>
        </w:pPr>
      </w:lvl>
    </w:lvlOverride>
    <w:lvlOverride w:ilvl="2">
      <w:lvl w:ilvl="2">
        <w:start w:val="3"/>
        <w:numFmt w:val="japaneseCounting"/>
        <w:lvlText w:val="（%3）"/>
        <w:lvlJc w:val="left"/>
        <w:pPr>
          <w:tabs>
            <w:tab w:val="num" w:pos="1560"/>
          </w:tabs>
          <w:ind w:left="1560" w:hanging="720"/>
        </w:pPr>
      </w:lvl>
    </w:lvlOverride>
    <w:lvlOverride w:ilvl="3">
      <w:lvl w:ilvl="3">
        <w:start w:val="1"/>
        <w:numFmt w:val="decimal"/>
        <w:lvlText w:val="%4）"/>
        <w:lvlJc w:val="left"/>
        <w:pPr>
          <w:tabs>
            <w:tab w:val="num" w:pos="1620"/>
          </w:tabs>
          <w:ind w:left="1620" w:hanging="360"/>
        </w:pPr>
      </w:lvl>
    </w:lvlOverride>
    <w:lvlOverride w:ilvl="4">
      <w:lvl w:ilvl="4">
        <w:start w:val="1"/>
        <w:numFmt w:val="decimal"/>
        <w:lvlText w:val="%5、"/>
        <w:lvlJc w:val="left"/>
        <w:pPr>
          <w:tabs>
            <w:tab w:val="num" w:pos="2040"/>
          </w:tabs>
          <w:ind w:left="2040" w:hanging="36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7">
    <w:abstractNumId w:val="14"/>
    <w:lvlOverride w:ilvl="0">
      <w:lvl w:ilvl="0">
        <w:start w:val="1"/>
        <w:numFmt w:val="bullet"/>
        <w:lvlText w:val="l"/>
        <w:lvlJc w:val="left"/>
        <w:pPr>
          <w:tabs>
            <w:tab w:val="num" w:pos="1200"/>
          </w:tabs>
          <w:ind w:left="1200" w:hanging="360"/>
        </w:pPr>
        <w:rPr>
          <w:rFonts w:ascii="Wingdings" w:hAnsi="Wingdings" w:hint="default"/>
        </w:rPr>
      </w:lvl>
    </w:lvlOverride>
  </w:num>
  <w:num w:numId="8">
    <w:abstractNumId w:val="11"/>
    <w:lvlOverride w:ilvl="0">
      <w:lvl w:ilvl="0">
        <w:start w:val="1"/>
        <w:numFmt w:val="decimal"/>
        <w:lvlText w:val="%1."/>
        <w:lvlJc w:val="left"/>
        <w:pPr>
          <w:tabs>
            <w:tab w:val="num" w:pos="1200"/>
          </w:tabs>
          <w:ind w:left="1200" w:hanging="360"/>
        </w:pPr>
      </w:lvl>
    </w:lvlOverride>
  </w:num>
  <w:num w:numId="9">
    <w:abstractNumId w:val="12"/>
    <w:lvlOverride w:ilvl="0">
      <w:lvl w:ilvl="0">
        <w:start w:val="1"/>
        <w:numFmt w:val="bullet"/>
        <w:lvlText w:val="l"/>
        <w:lvlJc w:val="left"/>
        <w:pPr>
          <w:tabs>
            <w:tab w:val="num" w:pos="2040"/>
          </w:tabs>
          <w:ind w:left="204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10">
    <w:abstractNumId w:val="2"/>
  </w:num>
  <w:num w:numId="11">
    <w:abstractNumId w:val="6"/>
    <w:lvlOverride w:ilvl="0">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2">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3">
    <w:abstractNumId w:val="15"/>
    <w:lvlOverride w:ilvl="0">
      <w:lvl w:ilvl="0">
        <w:start w:val="1"/>
        <w:numFmt w:val="bullet"/>
        <w:lvlText w:val="l"/>
        <w:lvlJc w:val="left"/>
        <w:pPr>
          <w:tabs>
            <w:tab w:val="num" w:pos="360"/>
          </w:tabs>
          <w:ind w:left="36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14">
    <w:abstractNumId w:val="5"/>
  </w:num>
  <w:num w:numId="15">
    <w:abstractNumId w:val="1"/>
  </w:num>
  <w:num w:numId="16">
    <w:abstractNumId w:val="0"/>
    <w:lvlOverride w:ilvl="0">
      <w:lvl w:ilvl="0">
        <w:start w:val="1"/>
        <w:numFmt w:val="decimal"/>
        <w:lvlText w:val="图%1."/>
        <w:lvlJc w:val="left"/>
        <w:pPr>
          <w:tabs>
            <w:tab w:val="num" w:pos="0"/>
          </w:tabs>
          <w:ind w:left="420" w:hanging="420"/>
        </w:pPr>
      </w:lvl>
    </w:lvlOverride>
    <w:lvlOverride w:ilvl="1">
      <w:lvl w:ilvl="1">
        <w:start w:val="1"/>
        <w:numFmt w:val="bullet"/>
        <w:lvlText w:val="l"/>
        <w:lvlJc w:val="left"/>
        <w:pPr>
          <w:tabs>
            <w:tab w:val="num" w:pos="840"/>
          </w:tabs>
          <w:ind w:left="840" w:hanging="420"/>
        </w:pPr>
        <w:rPr>
          <w:rFonts w:ascii="Wingdings" w:hAnsi="Wingdings" w:hint="default"/>
        </w:r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7">
    <w:abstractNumId w:val="17"/>
    <w:lvlOverride w:ilvl="0">
      <w:lvl w:ilvl="0">
        <w:start w:val="1"/>
        <w:numFmt w:val="decimal"/>
        <w:lvlText w:val="表%1."/>
        <w:lvlJc w:val="left"/>
        <w:pPr>
          <w:tabs>
            <w:tab w:val="num" w:pos="0"/>
          </w:tabs>
          <w:ind w:left="0" w:firstLine="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8">
    <w:abstractNumId w:val="22"/>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9">
    <w:abstractNumId w:val="3"/>
  </w:num>
  <w:num w:numId="20">
    <w:abstractNumId w:val="13"/>
    <w:lvlOverride w:ilvl="0">
      <w:lvl w:ilvl="0">
        <w:start w:val="1"/>
        <w:numFmt w:val="bullet"/>
        <w:lvlText w:val="l"/>
        <w:lvlJc w:val="left"/>
        <w:pPr>
          <w:tabs>
            <w:tab w:val="num" w:pos="1620"/>
          </w:tabs>
          <w:ind w:left="1620" w:hanging="360"/>
        </w:pPr>
        <w:rPr>
          <w:rFonts w:ascii="Wingdings" w:hAnsi="Wingdings" w:hint="default"/>
        </w:rPr>
      </w:lvl>
    </w:lvlOverride>
  </w:num>
  <w:num w:numId="21">
    <w:abstractNumId w:val="10"/>
    <w:lvlOverride w:ilvl="0">
      <w:lvl w:ilvl="0">
        <w:start w:val="1"/>
        <w:numFmt w:val="decimal"/>
        <w:lvlText w:val="%1."/>
        <w:lvlJc w:val="left"/>
        <w:pPr>
          <w:tabs>
            <w:tab w:val="num" w:pos="2040"/>
          </w:tabs>
          <w:ind w:left="2040" w:hanging="360"/>
        </w:p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22">
    <w:abstractNumId w:val="19"/>
    <w:lvlOverride w:ilvl="0">
      <w:lvl w:ilvl="0">
        <w:start w:val="1"/>
        <w:numFmt w:val="none"/>
        <w:isLgl/>
        <w:lvlJc w:val="left"/>
        <w:pPr>
          <w:tabs>
            <w:tab w:val="num" w:pos="425"/>
          </w:tabs>
          <w:ind w:left="425" w:hanging="425"/>
        </w:pPr>
      </w:lvl>
    </w:lvlOverride>
    <w:lvlOverride w:ilvl="1">
      <w:lvl w:ilvl="1">
        <w:start w:val="1"/>
        <w:numFmt w:val="decimal"/>
        <w:lvlText w:val="%2、"/>
        <w:lvlJc w:val="left"/>
        <w:pPr>
          <w:tabs>
            <w:tab w:val="num" w:pos="567"/>
          </w:tabs>
          <w:ind w:left="567" w:hanging="567"/>
        </w:pPr>
      </w:lvl>
    </w:lvlOverride>
    <w:lvlOverride w:ilvl="2">
      <w:lvl w:ilvl="2">
        <w:start w:val="1"/>
        <w:numFmt w:val="decimal"/>
        <w:isLgl/>
        <w:lvlText w:val="%1.%2.%3."/>
        <w:lvlJc w:val="left"/>
        <w:pPr>
          <w:tabs>
            <w:tab w:val="num" w:pos="709"/>
          </w:tabs>
          <w:ind w:left="709" w:hanging="709"/>
        </w:pPr>
      </w:lvl>
    </w:lvlOverride>
    <w:lvlOverride w:ilvl="3">
      <w:lvl w:ilvl="3">
        <w:start w:val="1"/>
        <w:numFmt w:val="decimal"/>
        <w:isLgl/>
        <w:lvlText w:val="%1.%2.%3.%4."/>
        <w:lvlJc w:val="left"/>
        <w:pPr>
          <w:tabs>
            <w:tab w:val="num" w:pos="851"/>
          </w:tabs>
          <w:ind w:left="851" w:hanging="851"/>
        </w:pPr>
      </w:lvl>
    </w:lvlOverride>
    <w:lvlOverride w:ilvl="4">
      <w:lvl w:ilvl="4">
        <w:start w:val="1"/>
        <w:numFmt w:val="decimal"/>
        <w:isLgl/>
        <w:lvlText w:val="%1.%2.%3.%4.%5."/>
        <w:lvlJc w:val="left"/>
        <w:pPr>
          <w:tabs>
            <w:tab w:val="num" w:pos="992"/>
          </w:tabs>
          <w:ind w:left="992" w:hanging="992"/>
        </w:pPr>
        <w:rPr>
          <w:color w:val="auto"/>
        </w:rPr>
      </w:lvl>
    </w:lvlOverride>
    <w:lvlOverride w:ilvl="5">
      <w:lvl w:ilvl="5">
        <w:start w:val="1"/>
        <w:numFmt w:val="decimal"/>
        <w:isLgl/>
        <w:lvlText w:val="%1%2.%3.%4.%5.%6."/>
        <w:lvlJc w:val="left"/>
        <w:pPr>
          <w:tabs>
            <w:tab w:val="num" w:pos="2754"/>
          </w:tabs>
          <w:ind w:left="2754" w:hanging="1134"/>
        </w:pPr>
        <w:rPr>
          <w:color w:val="auto"/>
        </w:rPr>
      </w:lvl>
    </w:lvlOverride>
    <w:lvlOverride w:ilvl="6">
      <w:lvl w:ilvl="6">
        <w:start w:val="1"/>
        <w:numFmt w:val="decimal"/>
        <w:lvlText w:val="%1.%2.%3.%4.%5.%6.%7."/>
        <w:lvlJc w:val="left"/>
        <w:pPr>
          <w:tabs>
            <w:tab w:val="num" w:pos="1276"/>
          </w:tabs>
          <w:ind w:left="1276" w:hanging="1276"/>
        </w:pPr>
      </w:lvl>
    </w:lvlOverride>
    <w:lvlOverride w:ilvl="7">
      <w:lvl w:ilvl="7">
        <w:start w:val="1"/>
        <w:numFmt w:val="decimal"/>
        <w:lvlText w:val="%1.%2.%3.%4.%5.%6.%7.%8."/>
        <w:lvlJc w:val="left"/>
        <w:pPr>
          <w:tabs>
            <w:tab w:val="num" w:pos="1418"/>
          </w:tabs>
          <w:ind w:left="1418" w:hanging="1418"/>
        </w:pPr>
      </w:lvl>
    </w:lvlOverride>
    <w:lvlOverride w:ilvl="8">
      <w:lvl w:ilvl="8">
        <w:start w:val="1"/>
        <w:numFmt w:val="decimal"/>
        <w:lvlText w:val="%1.%2.%3.%4.%5.%6.%7.%8.%9."/>
        <w:lvlJc w:val="left"/>
        <w:pPr>
          <w:tabs>
            <w:tab w:val="num" w:pos="1559"/>
          </w:tabs>
          <w:ind w:left="1559" w:hanging="1559"/>
        </w:pPr>
      </w:lvl>
    </w:lvlOverride>
  </w:num>
  <w:num w:numId="23">
    <w:abstractNumId w:val="7"/>
    <w:lvlOverride w:ilvl="0">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40"/>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4"/>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4"/>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4"/>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4"/>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4"/>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4"/>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5"/>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6"/>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7"/>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8"/>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9"/>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125">
    <w:name w:val="纯文本125"/>
    <w:pPr>
      <w:widowControl w:val="0"/>
      <w:jc w:val="both"/>
    </w:pPr>
    <w:rPr>
      <w:rFonts w:ascii="宋体" w:eastAsia="宋体" w:hAnsi="Times New Roman" w:cs="Courier New"/>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44010">
    <w:name w:val="样式 440 10 磅"/>
    <w:next w:val="111310"/>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eastAsia="zh-CN"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750">
    <w:name w:val="正文750"/>
    <w:pPr>
      <w:widowControl w:val="0"/>
      <w:jc w:val="both"/>
    </w:pPr>
    <w:rPr>
      <w:rFonts w:ascii="Calibri" w:eastAsia="宋体" w:hAnsi="Calibri"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bdr w:val="none" w:sz="0" w:space="0" w:color="auto"/>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601">
    <w:name w:val="正文601"/>
    <w:pPr>
      <w:widowControl w:val="0"/>
      <w:jc w:val="both"/>
    </w:pPr>
    <w:rPr>
      <w:rFonts w:ascii="Calibri" w:eastAsia="宋体" w:hAnsi="Calibri"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22">
    <w:name w:val="正文22"/>
    <w:pPr>
      <w:widowControl w:val="0"/>
      <w:jc w:val="both"/>
    </w:pPr>
    <w:rPr>
      <w:rFonts w:ascii="Calibri" w:eastAsia="宋体" w:hAnsi="Calibri" w:cs="Times New Roman"/>
      <w:kern w:val="2"/>
      <w:sz w:val="21"/>
      <w:szCs w:val="22"/>
      <w:lang w:val="en-US" w:eastAsia="zh-CN" w:bidi="ar-SA"/>
    </w:rPr>
  </w:style>
  <w:style w:type="paragraph" w:customStyle="1" w:styleId="628">
    <w:name w:val="正文628"/>
    <w:pPr>
      <w:widowControl w:val="0"/>
      <w:jc w:val="both"/>
    </w:pPr>
    <w:rPr>
      <w:rFonts w:ascii="Calibri" w:eastAsia="宋体" w:hAnsi="Calibri"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zh-CN"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118">
    <w:name w:val="纯文本118"/>
    <w:pPr>
      <w:widowControl w:val="0"/>
      <w:jc w:val="both"/>
    </w:pPr>
    <w:rPr>
      <w:rFonts w:ascii="宋体" w:eastAsia="宋体" w:hAnsi="Times New Roman" w:cs="Courier New"/>
      <w:kern w:val="2"/>
      <w:sz w:val="21"/>
      <w:szCs w:val="21"/>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534">
    <w:name w:val="正文53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552">
    <w:name w:val="正文552"/>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eastAsia="zh-CN" w:bidi="ar-SA"/>
    </w:rPr>
  </w:style>
  <w:style w:type="paragraph" w:customStyle="1" w:styleId="911">
    <w:name w:val="正文911"/>
    <w:pPr>
      <w:widowControl w:val="0"/>
      <w:jc w:val="both"/>
    </w:pPr>
    <w:rPr>
      <w:rFonts w:ascii="Calibri" w:eastAsia="宋体" w:hAnsi="Calibri" w:cs="Times New Roman"/>
      <w:kern w:val="2"/>
      <w:sz w:val="21"/>
      <w:szCs w:val="24"/>
      <w:lang w:val="en-US" w:eastAsia="zh-CN"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101">
    <w:name w:val="样式1_0"/>
    <w:basedOn w:val="3"/>
    <w:pPr>
      <w:numPr>
        <w:ilvl w:val="0"/>
        <w:numId w:val="11"/>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zh-CN" w:bidi="ar-SA"/>
    </w:rPr>
  </w:style>
  <w:style w:type="paragraph" w:customStyle="1" w:styleId="1023">
    <w:name w:val="正文1023"/>
    <w:pPr>
      <w:widowControl w:val="0"/>
      <w:jc w:val="both"/>
    </w:pPr>
    <w:rPr>
      <w:rFonts w:ascii="Calibri" w:eastAsia="宋体" w:hAnsi="Calibri" w:cs="Times New Roman"/>
      <w:kern w:val="2"/>
      <w:sz w:val="21"/>
      <w:szCs w:val="24"/>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eastAsia="zh-CN" w:bidi="ar-SA"/>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401">
    <w:name w:val="正文401"/>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zh-CN" w:bidi="ar-SA"/>
    </w:rPr>
  </w:style>
  <w:style w:type="paragraph" w:customStyle="1" w:styleId="492">
    <w:name w:val="正文492"/>
    <w:pPr>
      <w:widowControl w:val="0"/>
      <w:jc w:val="both"/>
    </w:pPr>
    <w:rPr>
      <w:rFonts w:ascii="Calibri" w:eastAsia="宋体" w:hAnsi="Calibri"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468">
    <w:name w:val="正文468"/>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eastAsia="zh-CN"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eastAsia="zh-CN"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zh-CN" w:bidi="ar-SA"/>
    </w:rPr>
  </w:style>
  <w:style w:type="paragraph" w:customStyle="1" w:styleId="590">
    <w:name w:val="正文590"/>
    <w:pPr>
      <w:widowControl w:val="0"/>
      <w:jc w:val="both"/>
    </w:pPr>
    <w:rPr>
      <w:rFonts w:ascii="Calibri" w:eastAsia="宋体" w:hAnsi="Calibri" w:cs="Times New Roman"/>
      <w:kern w:val="2"/>
      <w:sz w:val="21"/>
      <w:szCs w:val="24"/>
      <w:lang w:val="en-US" w:eastAsia="zh-CN"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hAnsi="Times New Roman" w:cs="Times New Roman"/>
      <w:kern w:val="2"/>
      <w:sz w:val="21"/>
      <w:szCs w:val="21"/>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24">
    <w:name w:val="修订2"/>
    <w:next w:val="TOC7"/>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eastAsia="zh-CN"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1010">
    <w:name w:val="正文101"/>
    <w:pPr>
      <w:widowControl w:val="0"/>
      <w:jc w:val="both"/>
    </w:pPr>
    <w:rPr>
      <w:rFonts w:ascii="Calibri" w:eastAsia="宋体" w:hAnsi="Calibri"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zh-CN"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1110">
    <w:name w:val="正文1110"/>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60">
    <w:name w:val="纯文本16"/>
    <w:pPr>
      <w:widowControl w:val="0"/>
      <w:jc w:val="both"/>
    </w:pPr>
    <w:rPr>
      <w:rFonts w:ascii="宋体" w:eastAsia="宋体" w:hAnsi="Times New Roman" w:cs="Courier New"/>
      <w:kern w:val="2"/>
      <w:sz w:val="21"/>
      <w:szCs w:val="21"/>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270">
    <w:name w:val="正文270"/>
    <w:pPr>
      <w:widowControl w:val="0"/>
      <w:jc w:val="both"/>
    </w:pPr>
    <w:rPr>
      <w:rFonts w:ascii="Calibri" w:eastAsia="宋体" w:hAnsi="Calibri" w:cs="Times New Roman"/>
      <w:kern w:val="2"/>
      <w:sz w:val="21"/>
      <w:szCs w:val="24"/>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12">
    <w:name w:val="正文112"/>
    <w:pPr>
      <w:widowControl w:val="0"/>
      <w:jc w:val="both"/>
    </w:pPr>
    <w:rPr>
      <w:rFonts w:ascii="Calibri" w:eastAsia="宋体" w:hAnsi="Calibri" w:cs="Times New Roman"/>
      <w:kern w:val="2"/>
      <w:sz w:val="21"/>
      <w:szCs w:val="24"/>
      <w:lang w:val="en-US" w:eastAsia="zh-CN" w:bidi="ar-SA"/>
    </w:rPr>
  </w:style>
  <w:style w:type="paragraph" w:customStyle="1" w:styleId="606">
    <w:name w:val="正文606"/>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zh-CN" w:bidi="ar-SA"/>
    </w:rPr>
  </w:style>
  <w:style w:type="paragraph" w:customStyle="1" w:styleId="154">
    <w:name w:val="正文154"/>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eastAsia="zh-CN" w:bidi="ar-SA"/>
    </w:rPr>
  </w:style>
  <w:style w:type="paragraph" w:customStyle="1" w:styleId="29">
    <w:name w:val="正文29"/>
    <w:pPr>
      <w:widowControl w:val="0"/>
      <w:jc w:val="both"/>
    </w:pPr>
    <w:rPr>
      <w:rFonts w:ascii="Calibri" w:eastAsia="宋体" w:hAnsi="Calibri" w:cs="Times New Roman"/>
      <w:kern w:val="2"/>
      <w:sz w:val="21"/>
      <w:szCs w:val="22"/>
      <w:lang w:val="en-US" w:eastAsia="zh-CN"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6">
    <w:name w:val="正文6"/>
    <w:pPr>
      <w:widowControl w:val="0"/>
      <w:jc w:val="both"/>
    </w:pPr>
    <w:rPr>
      <w:rFonts w:ascii="Calibri" w:eastAsia="宋体" w:hAnsi="Calibri"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25">
    <w:name w:val="正文225"/>
    <w:pPr>
      <w:widowControl w:val="0"/>
      <w:jc w:val="both"/>
    </w:pPr>
    <w:rPr>
      <w:rFonts w:ascii="Calibri" w:eastAsia="宋体" w:hAnsi="Calibri" w:cs="Times New Roman"/>
      <w:kern w:val="2"/>
      <w:sz w:val="21"/>
      <w:szCs w:val="24"/>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521">
    <w:name w:val="正文521"/>
    <w:pPr>
      <w:widowControl w:val="0"/>
      <w:jc w:val="both"/>
    </w:pPr>
    <w:rPr>
      <w:rFonts w:ascii="Calibri" w:eastAsia="宋体" w:hAnsi="Calibri" w:cs="Times New Roman"/>
      <w:kern w:val="2"/>
      <w:sz w:val="21"/>
      <w:szCs w:val="24"/>
      <w:lang w:val="en-US" w:eastAsia="zh-CN"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91710">
    <w:name w:val="样式 1917 10 磅"/>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eastAsia="zh-CN"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517">
    <w:name w:val="正文517"/>
    <w:pPr>
      <w:widowControl w:val="0"/>
      <w:jc w:val="both"/>
    </w:pPr>
    <w:rPr>
      <w:rFonts w:ascii="Calibri" w:eastAsia="宋体" w:hAnsi="Calibri" w:cs="Times New Roman"/>
      <w:kern w:val="2"/>
      <w:sz w:val="21"/>
      <w:szCs w:val="24"/>
      <w:lang w:val="en-US" w:eastAsia="zh-CN" w:bidi="ar-SA"/>
    </w:rPr>
  </w:style>
  <w:style w:type="paragraph" w:customStyle="1" w:styleId="191610">
    <w:name w:val="样式 1916 10 磅"/>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zh-CN" w:bidi="ar-SA"/>
    </w:rPr>
  </w:style>
  <w:style w:type="paragraph" w:customStyle="1" w:styleId="159">
    <w:name w:val="正文159"/>
    <w:pPr>
      <w:widowControl w:val="0"/>
      <w:jc w:val="both"/>
    </w:pPr>
    <w:rPr>
      <w:rFonts w:ascii="Calibri" w:eastAsia="宋体" w:hAnsi="Calibri"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014">
    <w:name w:val="正文1014"/>
    <w:rPr>
      <w:rFonts w:ascii="Calibri" w:eastAsia="宋体" w:hAnsi="Calibri" w:cs="Times New Roman"/>
      <w:kern w:val="2"/>
      <w:sz w:val="21"/>
      <w:szCs w:val="21"/>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910">
    <w:name w:val="纯文本91"/>
    <w:pPr>
      <w:widowControl w:val="0"/>
      <w:jc w:val="both"/>
    </w:pPr>
    <w:rPr>
      <w:rFonts w:ascii="宋体" w:eastAsia="宋体" w:hAnsi="Times New Roman" w:cs="Courier New"/>
      <w:kern w:val="2"/>
      <w:sz w:val="21"/>
      <w:szCs w:val="21"/>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zh-CN"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670">
    <w:name w:val="正文670"/>
    <w:pPr>
      <w:widowControl w:val="0"/>
      <w:jc w:val="both"/>
    </w:pPr>
    <w:rPr>
      <w:rFonts w:ascii="Calibri" w:eastAsia="宋体" w:hAnsi="Calibri" w:cs="Times New Roman"/>
      <w:kern w:val="2"/>
      <w:sz w:val="21"/>
      <w:szCs w:val="24"/>
      <w:lang w:val="en-US" w:eastAsia="zh-CN" w:bidi="ar-SA"/>
    </w:rPr>
  </w:style>
  <w:style w:type="paragraph" w:customStyle="1" w:styleId="740">
    <w:name w:val="纯文本74"/>
    <w:pPr>
      <w:widowControl w:val="0"/>
      <w:jc w:val="both"/>
    </w:pPr>
    <w:rPr>
      <w:rFonts w:ascii="宋体" w:eastAsia="宋体" w:hAnsi="Times New Roman" w:cs="Courier New"/>
      <w:kern w:val="2"/>
      <w:sz w:val="21"/>
      <w:szCs w:val="21"/>
      <w:lang w:val="en-US" w:eastAsia="zh-CN"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18">
    <w:name w:val="列表1"/>
    <w:next w:val="3"/>
    <w:pPr>
      <w:widowControl w:val="0"/>
      <w:numPr>
        <w:ilvl w:val="0"/>
        <w:numId w:val="12"/>
      </w:numPr>
      <w:tabs>
        <w:tab w:val="left" w:pos="980"/>
      </w:tabs>
      <w:spacing w:line="180" w:lineRule="atLeast"/>
      <w:jc w:val="both"/>
    </w:pPr>
    <w:rPr>
      <w:rFonts w:ascii="Times New Roman" w:eastAsia="宋体" w:hAnsi="Times New Roman" w:cs="Times New Roman"/>
      <w:kern w:val="2"/>
      <w:sz w:val="28"/>
      <w:szCs w:val="28"/>
      <w:lang w:val="en-US" w:eastAsia="zh-CN"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eastAsia="zh-CN"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57">
    <w:name w:val="纯文本57"/>
    <w:pPr>
      <w:widowControl w:val="0"/>
      <w:jc w:val="both"/>
    </w:pPr>
    <w:rPr>
      <w:rFonts w:ascii="宋体" w:eastAsia="宋体" w:hAnsi="Times New Roman" w:cs="Courier New"/>
      <w:kern w:val="2"/>
      <w:sz w:val="21"/>
      <w:szCs w:val="21"/>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BodyText21">
    <w:name w:val="Body Text 21"/>
    <w:basedOn w:val="Normal"/>
    <w:pPr>
      <w:numPr>
        <w:ilvl w:val="0"/>
        <w:numId w:val="13"/>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zh-CN"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eastAsia="zh-CN"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52">
    <w:name w:val="正文文本5"/>
    <w:pPr>
      <w:widowControl w:val="0"/>
      <w:jc w:val="both"/>
    </w:pPr>
    <w:rPr>
      <w:rFonts w:ascii="Calibri" w:eastAsia="宋体" w:hAnsi="Calibri" w:cs="Times New Roman"/>
      <w:kern w:val="2"/>
      <w:sz w:val="28"/>
      <w:szCs w:val="22"/>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6">
    <w:name w:val="纯文本106"/>
    <w:pPr>
      <w:widowControl w:val="0"/>
      <w:jc w:val="both"/>
    </w:pPr>
    <w:rPr>
      <w:rFonts w:ascii="宋体" w:eastAsia="宋体" w:hAnsi="Times New Roman" w:cs="Courier New"/>
      <w:kern w:val="2"/>
      <w:sz w:val="21"/>
      <w:szCs w:val="21"/>
      <w:lang w:val="en-US" w:eastAsia="zh-CN" w:bidi="ar-SA"/>
    </w:rPr>
  </w:style>
  <w:style w:type="paragraph" w:customStyle="1" w:styleId="184410">
    <w:name w:val="样式 1844 10 磅"/>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251">
    <w:name w:val="正文125"/>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850">
    <w:name w:val="正文850"/>
    <w:pPr>
      <w:widowControl w:val="0"/>
      <w:jc w:val="both"/>
    </w:pPr>
    <w:rPr>
      <w:rFonts w:ascii="Calibri" w:eastAsia="宋体" w:hAnsi="Calibri" w:cs="Times New Roman"/>
      <w:kern w:val="2"/>
      <w:sz w:val="21"/>
      <w:szCs w:val="22"/>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730">
    <w:name w:val="正文730"/>
    <w:pPr>
      <w:widowControl w:val="0"/>
      <w:jc w:val="both"/>
    </w:pPr>
    <w:rPr>
      <w:rFonts w:ascii="Calibri" w:eastAsia="宋体" w:hAnsi="Calibri" w:cs="Times New Roman"/>
      <w:kern w:val="2"/>
      <w:sz w:val="21"/>
      <w:szCs w:val="24"/>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400">
    <w:name w:val="纯文本40"/>
    <w:pPr>
      <w:widowControl w:val="0"/>
      <w:jc w:val="both"/>
    </w:pPr>
    <w:rPr>
      <w:rFonts w:ascii="宋体" w:eastAsia="宋体" w:hAnsi="Times New Roman" w:cs="Courier New"/>
      <w:kern w:val="2"/>
      <w:sz w:val="21"/>
      <w:szCs w:val="21"/>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53">
    <w:name w:val="批注文字5"/>
    <w:pPr>
      <w:widowControl w:val="0"/>
      <w:jc w:val="both"/>
    </w:pPr>
    <w:rPr>
      <w:rFonts w:ascii="Calibri" w:eastAsia="宋体" w:hAnsi="Calibri" w:cs="Times New Roman"/>
      <w:kern w:val="2"/>
      <w:sz w:val="24"/>
      <w:szCs w:val="28"/>
      <w:lang w:val="en-US" w:eastAsia="zh-CN" w:bidi="ar-SA"/>
    </w:rPr>
  </w:style>
  <w:style w:type="paragraph" w:customStyle="1" w:styleId="625">
    <w:name w:val="正文625"/>
    <w:pPr>
      <w:widowControl w:val="0"/>
      <w:jc w:val="both"/>
    </w:pPr>
    <w:rPr>
      <w:rFonts w:ascii="Calibri" w:eastAsia="宋体" w:hAnsi="Calibri" w:cs="Times New Roman"/>
      <w:kern w:val="2"/>
      <w:sz w:val="21"/>
      <w:szCs w:val="24"/>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eastAsia="zh-CN" w:bidi="ar-SA"/>
    </w:rPr>
  </w:style>
  <w:style w:type="paragraph" w:customStyle="1" w:styleId="43910">
    <w:name w:val="样式 439 10 磅"/>
    <w:next w:val="57210"/>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eastAsia="zh-CN" w:bidi="ar-SA"/>
    </w:rPr>
  </w:style>
  <w:style w:type="paragraph" w:customStyle="1" w:styleId="1001">
    <w:name w:val="正文100"/>
    <w:pPr>
      <w:widowControl w:val="0"/>
      <w:jc w:val="both"/>
    </w:pPr>
    <w:rPr>
      <w:rFonts w:ascii="Calibri" w:eastAsia="宋体" w:hAnsi="Calibri"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bdr w:val="none" w:sz="0" w:space="0" w:color="auto"/>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Calibri" w:eastAsia="宋体" w:hAnsi="Calibri" w:cs="Times New Roman"/>
      <w:kern w:val="2"/>
      <w:sz w:val="21"/>
      <w:szCs w:val="24"/>
      <w:lang w:val="en-US" w:eastAsia="zh-CN" w:bidi="ar-SA"/>
    </w:rPr>
  </w:style>
  <w:style w:type="paragraph" w:customStyle="1" w:styleId="602">
    <w:name w:val="纯文本60"/>
    <w:pPr>
      <w:widowControl w:val="0"/>
      <w:jc w:val="both"/>
    </w:pPr>
    <w:rPr>
      <w:rFonts w:ascii="宋体" w:eastAsia="宋体" w:hAnsi="Times New Roman" w:cs="Courier New"/>
      <w:kern w:val="2"/>
      <w:sz w:val="21"/>
      <w:szCs w:val="21"/>
      <w:lang w:val="en-US" w:eastAsia="zh-CN"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424">
    <w:name w:val="正文424"/>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正文250"/>
    <w:pPr>
      <w:widowControl w:val="0"/>
      <w:jc w:val="both"/>
    </w:pPr>
    <w:rPr>
      <w:rFonts w:ascii="Calibri" w:eastAsia="宋体" w:hAnsi="Calibri" w:cs="Times New Roman"/>
      <w:kern w:val="2"/>
      <w:sz w:val="21"/>
      <w:szCs w:val="24"/>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eastAsia="zh-CN" w:bidi="ar-SA"/>
    </w:rPr>
  </w:style>
  <w:style w:type="paragraph" w:customStyle="1" w:styleId="186">
    <w:name w:val="正文186"/>
    <w:pPr>
      <w:widowControl w:val="0"/>
      <w:jc w:val="both"/>
    </w:pPr>
    <w:rPr>
      <w:rFonts w:ascii="Calibri" w:eastAsia="宋体" w:hAnsi="Calibri" w:cs="Times New Roman"/>
      <w:kern w:val="2"/>
      <w:sz w:val="21"/>
      <w:szCs w:val="24"/>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900">
    <w:name w:val="纯文本90"/>
    <w:pPr>
      <w:widowControl w:val="0"/>
      <w:jc w:val="both"/>
    </w:pPr>
    <w:rPr>
      <w:rFonts w:ascii="宋体" w:eastAsia="宋体" w:hAnsi="Times New Roman" w:cs="Courier New"/>
      <w:kern w:val="2"/>
      <w:sz w:val="21"/>
      <w:szCs w:val="21"/>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231">
    <w:name w:val="正文23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eastAsia="zh-CN" w:bidi="ar-SA"/>
    </w:rPr>
  </w:style>
  <w:style w:type="paragraph" w:customStyle="1" w:styleId="360">
    <w:name w:val="正文360"/>
    <w:pPr>
      <w:widowControl w:val="0"/>
      <w:jc w:val="both"/>
    </w:pPr>
    <w:rPr>
      <w:rFonts w:ascii="Calibri" w:eastAsia="宋体" w:hAnsi="Calibri"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eastAsia="zh-CN"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eastAsia="zh-CN"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4"/>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eastAsia="zh-CN" w:bidi="ar-SA"/>
    </w:rPr>
  </w:style>
  <w:style w:type="paragraph" w:customStyle="1" w:styleId="1201">
    <w:name w:val="正文120"/>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hAnsi="Times New Roman" w:cs="宋体"/>
      <w:sz w:val="22"/>
      <w:szCs w:val="22"/>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1311">
    <w:name w:val="样式 13 11 磅"/>
    <w:next w:val="Caption"/>
    <w:rPr>
      <w:rFonts w:ascii="Calibri" w:eastAsia="宋体" w:hAnsi="Calibri" w:cs="Times New Roman"/>
      <w:sz w:val="22"/>
      <w:szCs w:val="22"/>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93">
    <w:name w:val="正文93"/>
    <w:pPr>
      <w:widowControl w:val="0"/>
      <w:jc w:val="both"/>
    </w:pPr>
    <w:rPr>
      <w:rFonts w:ascii="Calibri" w:eastAsia="宋体" w:hAnsi="Calibri" w:cs="Times New Roman"/>
      <w:kern w:val="2"/>
      <w:sz w:val="21"/>
      <w:szCs w:val="24"/>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681">
    <w:name w:val="正文681"/>
    <w:pPr>
      <w:widowControl w:val="0"/>
      <w:jc w:val="both"/>
    </w:pPr>
    <w:rPr>
      <w:rFonts w:ascii="Calibri" w:eastAsia="宋体" w:hAnsi="Calibri"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675">
    <w:name w:val="正文675"/>
    <w:pPr>
      <w:widowControl w:val="0"/>
      <w:jc w:val="both"/>
    </w:pPr>
    <w:rPr>
      <w:rFonts w:ascii="Calibri" w:eastAsia="宋体" w:hAnsi="Calibri" w:cs="Times New Roman"/>
      <w:kern w:val="2"/>
      <w:sz w:val="21"/>
      <w:szCs w:val="24"/>
      <w:lang w:val="en-US" w:eastAsia="zh-CN" w:bidi="ar-SA"/>
    </w:rPr>
  </w:style>
  <w:style w:type="paragraph" w:customStyle="1" w:styleId="940">
    <w:name w:val="正文940"/>
    <w:pPr>
      <w:widowControl w:val="0"/>
      <w:jc w:val="both"/>
    </w:pPr>
    <w:rPr>
      <w:rFonts w:ascii="Calibri" w:eastAsia="宋体" w:hAnsi="Calibri" w:cs="Times New Roman"/>
      <w:kern w:val="2"/>
      <w:sz w:val="21"/>
      <w:szCs w:val="24"/>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5"/>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40910">
    <w:name w:val="样式 409 10 磅"/>
    <w:pPr>
      <w:widowControl w:val="0"/>
      <w:jc w:val="both"/>
    </w:pPr>
    <w:rPr>
      <w:rFonts w:ascii="宋体" w:eastAsia="宋体" w:hAnsi="Times New Roman" w:cs="Times New Roman"/>
      <w:kern w:val="2"/>
      <w:sz w:val="21"/>
      <w:szCs w:val="21"/>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2600">
    <w:name w:val="正文260"/>
    <w:pPr>
      <w:widowControl w:val="0"/>
      <w:jc w:val="both"/>
    </w:pPr>
    <w:rPr>
      <w:rFonts w:ascii="Calibri" w:eastAsia="宋体" w:hAnsi="Calibri" w:cs="Times New Roman"/>
      <w:kern w:val="2"/>
      <w:sz w:val="21"/>
      <w:szCs w:val="24"/>
      <w:lang w:val="en-US" w:eastAsia="zh-CN"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zh-CN"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330">
    <w:name w:val="正文330"/>
    <w:pPr>
      <w:widowControl w:val="0"/>
      <w:jc w:val="both"/>
    </w:pPr>
    <w:rPr>
      <w:rFonts w:ascii="Calibri" w:eastAsia="宋体" w:hAnsi="Calibri" w:cs="Times New Roman"/>
      <w:kern w:val="2"/>
      <w:sz w:val="21"/>
      <w:szCs w:val="24"/>
      <w:lang w:val="en-US" w:eastAsia="zh-CN"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zh-CN" w:bidi="ar-SA"/>
    </w:rPr>
  </w:style>
  <w:style w:type="paragraph" w:customStyle="1" w:styleId="197">
    <w:name w:val="正文19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a17">
    <w:name w:val="图案编号"/>
    <w:basedOn w:val="3"/>
    <w:pPr>
      <w:numPr>
        <w:ilvl w:val="0"/>
        <w:numId w:val="16"/>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7"/>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132">
    <w:name w:val="纯文本132"/>
    <w:pPr>
      <w:widowControl w:val="0"/>
      <w:jc w:val="both"/>
    </w:pPr>
    <w:rPr>
      <w:rFonts w:ascii="宋体" w:eastAsia="宋体" w:hAnsi="Times New Roman" w:cs="Courier New"/>
      <w:kern w:val="2"/>
      <w:sz w:val="21"/>
      <w:szCs w:val="21"/>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501">
    <w:name w:val="标题 5_0"/>
    <w:basedOn w:val="41"/>
    <w:pPr>
      <w:numPr>
        <w:ilvl w:val="4"/>
        <w:numId w:val="18"/>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eastAsia="zh-CN" w:bidi="ar-SA"/>
    </w:rPr>
  </w:style>
  <w:style w:type="paragraph" w:customStyle="1" w:styleId="166">
    <w:name w:val="正文166"/>
    <w:pPr>
      <w:widowControl w:val="0"/>
      <w:jc w:val="both"/>
    </w:pPr>
    <w:rPr>
      <w:rFonts w:ascii="Calibri" w:eastAsia="宋体" w:hAnsi="Calibri"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hAnsi="Times New Roman" w:cs="Times New Roman"/>
      <w:kern w:val="2"/>
      <w:sz w:val="21"/>
      <w:szCs w:val="21"/>
      <w:lang w:val="en-US" w:eastAsia="zh-CN" w:bidi="ar-SA"/>
    </w:rPr>
  </w:style>
  <w:style w:type="paragraph" w:customStyle="1" w:styleId="1440">
    <w:name w:val="正文144"/>
    <w:pPr>
      <w:widowControl w:val="0"/>
      <w:jc w:val="both"/>
    </w:pPr>
    <w:rPr>
      <w:rFonts w:ascii="Calibri" w:eastAsia="宋体" w:hAnsi="Calibri" w:cs="Times New Roman"/>
      <w:kern w:val="2"/>
      <w:sz w:val="21"/>
      <w:szCs w:val="24"/>
      <w:lang w:val="en-US" w:eastAsia="zh-CN"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079">
    <w:name w:val="正文1079"/>
    <w:pPr>
      <w:widowControl w:val="0"/>
      <w:jc w:val="both"/>
    </w:pPr>
    <w:rPr>
      <w:rFonts w:ascii="Calibri" w:eastAsia="宋体" w:hAnsi="Calibri" w:cs="Times New Roman"/>
      <w:kern w:val="2"/>
      <w:sz w:val="21"/>
      <w:szCs w:val="22"/>
      <w:lang w:val="en-US" w:eastAsia="zh-CN" w:bidi="ar-SA"/>
    </w:rPr>
  </w:style>
  <w:style w:type="paragraph" w:customStyle="1" w:styleId="627">
    <w:name w:val="正文627"/>
    <w:pPr>
      <w:widowControl w:val="0"/>
      <w:jc w:val="both"/>
    </w:pPr>
    <w:rPr>
      <w:rFonts w:ascii="Calibri" w:eastAsia="宋体" w:hAnsi="Calibri" w:cs="Times New Roman"/>
      <w:kern w:val="2"/>
      <w:sz w:val="21"/>
      <w:szCs w:val="24"/>
      <w:lang w:val="en-US" w:eastAsia="zh-CN" w:bidi="ar-SA"/>
    </w:rPr>
  </w:style>
  <w:style w:type="paragraph" w:customStyle="1" w:styleId="317">
    <w:name w:val="正文317"/>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07">
    <w:name w:val="纯文本107"/>
    <w:pPr>
      <w:widowControl w:val="0"/>
      <w:jc w:val="both"/>
    </w:pPr>
    <w:rPr>
      <w:rFonts w:ascii="宋体" w:eastAsia="宋体" w:hAnsi="Times New Roman" w:cs="Courier New"/>
      <w:kern w:val="2"/>
      <w:sz w:val="21"/>
      <w:szCs w:val="21"/>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94">
    <w:name w:val="纯文本94"/>
    <w:pPr>
      <w:widowControl w:val="0"/>
      <w:jc w:val="both"/>
    </w:pPr>
    <w:rPr>
      <w:rFonts w:ascii="宋体" w:eastAsia="宋体" w:hAnsi="Times New Roman" w:cs="Courier New"/>
      <w:kern w:val="2"/>
      <w:sz w:val="21"/>
      <w:szCs w:val="21"/>
      <w:lang w:val="en-US" w:eastAsia="zh-CN"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zh-CN" w:bidi="ar-SA"/>
    </w:rPr>
  </w:style>
  <w:style w:type="paragraph" w:customStyle="1" w:styleId="1202">
    <w:name w:val="纯文本120"/>
    <w:pPr>
      <w:widowControl w:val="0"/>
      <w:jc w:val="both"/>
    </w:pPr>
    <w:rPr>
      <w:rFonts w:ascii="宋体" w:eastAsia="宋体" w:hAnsi="Times New Roman" w:cs="Courier New"/>
      <w:kern w:val="2"/>
      <w:sz w:val="21"/>
      <w:szCs w:val="21"/>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490">
    <w:name w:val="正文490"/>
    <w:pPr>
      <w:widowControl w:val="0"/>
      <w:jc w:val="both"/>
    </w:pPr>
    <w:rPr>
      <w:rFonts w:ascii="Calibri" w:eastAsia="宋体" w:hAnsi="Calibri" w:cs="Times New Roman"/>
      <w:kern w:val="2"/>
      <w:sz w:val="21"/>
      <w:szCs w:val="24"/>
      <w:lang w:val="en-US" w:eastAsia="zh-CN" w:bidi="ar-SA"/>
    </w:rPr>
  </w:style>
  <w:style w:type="paragraph" w:customStyle="1" w:styleId="36">
    <w:name w:val="纯文本36"/>
    <w:pPr>
      <w:widowControl w:val="0"/>
      <w:jc w:val="both"/>
    </w:pPr>
    <w:rPr>
      <w:rFonts w:ascii="宋体" w:eastAsia="宋体" w:hAnsi="Times New Roman" w:cs="Courier New"/>
      <w:kern w:val="2"/>
      <w:sz w:val="21"/>
      <w:szCs w:val="21"/>
      <w:lang w:val="en-US" w:eastAsia="zh-CN"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zh-CN"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1911">
    <w:name w:val="样式 19 11 磅"/>
    <w:rPr>
      <w:rFonts w:ascii="Calibri" w:eastAsia="宋体" w:hAnsi="Calibri" w:cs="Times New Roman"/>
      <w:sz w:val="22"/>
      <w:szCs w:val="22"/>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95">
    <w:name w:val="纯文本95"/>
    <w:pPr>
      <w:widowControl w:val="0"/>
      <w:jc w:val="both"/>
    </w:pPr>
    <w:rPr>
      <w:rFonts w:ascii="宋体" w:eastAsia="宋体" w:hAnsi="Times New Roman" w:cs="Courier New"/>
      <w:kern w:val="2"/>
      <w:sz w:val="21"/>
      <w:szCs w:val="21"/>
      <w:lang w:val="en-US" w:eastAsia="zh-CN"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520">
    <w:name w:val="正文520"/>
    <w:pPr>
      <w:widowControl w:val="0"/>
      <w:jc w:val="both"/>
    </w:pPr>
    <w:rPr>
      <w:rFonts w:ascii="Calibri" w:eastAsia="宋体" w:hAnsi="Calibri" w:cs="Times New Roman"/>
      <w:kern w:val="2"/>
      <w:sz w:val="21"/>
      <w:szCs w:val="24"/>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zh-CN" w:bidi="ar-SA"/>
    </w:rPr>
  </w:style>
  <w:style w:type="paragraph" w:customStyle="1" w:styleId="511">
    <w:name w:val="样式 5 11 磅"/>
    <w:rPr>
      <w:rFonts w:ascii="Calibri" w:eastAsia="宋体" w:hAnsi="Calibri" w:cs="Times New Roman"/>
      <w:sz w:val="22"/>
      <w:szCs w:val="22"/>
      <w:lang w:val="en-US" w:eastAsia="zh-CN" w:bidi="ar-SA"/>
    </w:rPr>
  </w:style>
  <w:style w:type="paragraph" w:customStyle="1" w:styleId="1034">
    <w:name w:val="正文1034"/>
    <w:rPr>
      <w:rFonts w:ascii="Calibri" w:eastAsia="宋体" w:hAnsi="Calibri" w:cs="Times New Roman"/>
      <w:kern w:val="2"/>
      <w:sz w:val="21"/>
      <w:szCs w:val="21"/>
      <w:lang w:val="en-US" w:eastAsia="zh-CN"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zh-CN"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298">
    <w:name w:val="正文298"/>
    <w:pPr>
      <w:widowControl w:val="0"/>
      <w:jc w:val="both"/>
    </w:pPr>
    <w:rPr>
      <w:rFonts w:ascii="Calibri" w:eastAsia="宋体" w:hAnsi="Calibri"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43710">
    <w:name w:val="样式 437 10 磅"/>
    <w:next w:val="12020"/>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eastAsia="zh-CN" w:bidi="ar-SA"/>
    </w:rPr>
  </w:style>
  <w:style w:type="paragraph" w:customStyle="1" w:styleId="820">
    <w:name w:val="正文82"/>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1044">
    <w:name w:val="正文1044"/>
    <w:pPr>
      <w:widowControl w:val="0"/>
      <w:jc w:val="both"/>
    </w:pPr>
    <w:rPr>
      <w:rFonts w:ascii="Calibri" w:eastAsia="宋体" w:hAnsi="Calibri" w:cs="Times New Roman"/>
      <w:kern w:val="2"/>
      <w:sz w:val="21"/>
      <w:szCs w:val="22"/>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eastAsia="zh-CN"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eastAsia="zh-CN"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zh-CN" w:bidi="ar-SA"/>
    </w:rPr>
  </w:style>
  <w:style w:type="paragraph" w:customStyle="1" w:styleId="15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4510">
    <w:name w:val="正文451"/>
    <w:pPr>
      <w:widowControl w:val="0"/>
      <w:jc w:val="both"/>
    </w:pPr>
    <w:rPr>
      <w:rFonts w:ascii="Calibri" w:eastAsia="宋体" w:hAnsi="Calibri"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302">
    <w:name w:val="正文302"/>
    <w:pPr>
      <w:widowControl w:val="0"/>
      <w:jc w:val="both"/>
    </w:pPr>
    <w:rPr>
      <w:rFonts w:ascii="Calibri" w:eastAsia="宋体" w:hAnsi="Calibri" w:cs="Times New Roman"/>
      <w:kern w:val="2"/>
      <w:sz w:val="21"/>
      <w:szCs w:val="24"/>
      <w:lang w:val="en-US" w:eastAsia="zh-CN" w:bidi="ar-SA"/>
    </w:rPr>
  </w:style>
  <w:style w:type="paragraph" w:customStyle="1" w:styleId="97">
    <w:name w:val="纯文本97"/>
    <w:pPr>
      <w:widowControl w:val="0"/>
      <w:jc w:val="both"/>
    </w:pPr>
    <w:rPr>
      <w:rFonts w:ascii="宋体" w:eastAsia="宋体" w:hAnsi="Times New Roman" w:cs="Courier New"/>
      <w:kern w:val="2"/>
      <w:sz w:val="21"/>
      <w:szCs w:val="21"/>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44210">
    <w:name w:val="样式 442 10 磅"/>
    <w:next w:val="a21"/>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zh-CN"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44910">
    <w:name w:val="样式 449 10 磅"/>
    <w:next w:val="48010"/>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43510">
    <w:name w:val="样式 435 10 磅"/>
    <w:next w:val="1112"/>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eastAsia="zh-CN" w:bidi="ar-SA"/>
    </w:rPr>
  </w:style>
  <w:style w:type="paragraph" w:customStyle="1" w:styleId="000">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bdr w:val="none" w:sz="0" w:space="0" w:color="auto"/>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11">
    <w:name w:val="样式 12 11 磅"/>
    <w:next w:val="TOC3"/>
    <w:rPr>
      <w:rFonts w:ascii="Calibri" w:eastAsia="宋体" w:hAnsi="Calibri" w:cs="Times New Roman"/>
      <w:sz w:val="22"/>
      <w:szCs w:val="22"/>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eastAsia="zh-CN"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381">
    <w:name w:val="正文38"/>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numPr>
        <w:ilvl w:val="0"/>
        <w:numId w:val="19"/>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1280">
    <w:name w:val="纯文本128"/>
    <w:pPr>
      <w:widowControl w:val="0"/>
      <w:jc w:val="both"/>
    </w:pPr>
    <w:rPr>
      <w:rFonts w:ascii="宋体" w:eastAsia="宋体" w:hAnsi="Times New Roman" w:cs="Courier New"/>
      <w:kern w:val="2"/>
      <w:sz w:val="21"/>
      <w:szCs w:val="21"/>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1040">
    <w:name w:val="正文1040"/>
    <w:pPr>
      <w:widowControl w:val="0"/>
      <w:jc w:val="both"/>
    </w:pPr>
    <w:rPr>
      <w:rFonts w:ascii="Calibri" w:eastAsia="宋体" w:hAnsi="Calibri" w:cs="Times New Roman"/>
      <w:kern w:val="2"/>
      <w:sz w:val="21"/>
      <w:szCs w:val="22"/>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eastAsia="zh-CN"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4100">
    <w:name w:val="正文410"/>
    <w:pPr>
      <w:widowControl w:val="0"/>
      <w:jc w:val="both"/>
    </w:pPr>
    <w:rPr>
      <w:rFonts w:ascii="Calibri" w:eastAsia="宋体" w:hAnsi="Calibri" w:cs="Times New Roman"/>
      <w:kern w:val="2"/>
      <w:sz w:val="21"/>
      <w:szCs w:val="24"/>
      <w:lang w:val="en-US" w:eastAsia="zh-CN"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eastAsia="zh-CN"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236">
    <w:name w:val="正文236"/>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eastAsia="zh-CN"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002">
    <w:name w:val="纯文本100"/>
    <w:pPr>
      <w:widowControl w:val="0"/>
      <w:jc w:val="both"/>
    </w:pPr>
    <w:rPr>
      <w:rFonts w:ascii="宋体" w:eastAsia="宋体" w:hAnsi="Times New Roman" w:cs="Courier New"/>
      <w:kern w:val="2"/>
      <w:sz w:val="21"/>
      <w:szCs w:val="21"/>
      <w:lang w:val="en-US" w:eastAsia="zh-CN" w:bidi="ar-SA"/>
    </w:rPr>
  </w:style>
  <w:style w:type="paragraph" w:customStyle="1" w:styleId="481">
    <w:name w:val="正文481"/>
    <w:pPr>
      <w:widowControl w:val="0"/>
      <w:jc w:val="both"/>
    </w:pPr>
    <w:rPr>
      <w:rFonts w:ascii="Calibri" w:eastAsia="宋体" w:hAnsi="Calibri"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243">
    <w:name w:val="正文243"/>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970">
    <w:name w:val="正文97"/>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eastAsia="zh-CN" w:bidi="ar-SA"/>
    </w:rPr>
  </w:style>
  <w:style w:type="paragraph" w:customStyle="1" w:styleId="171">
    <w:name w:val="正文171"/>
    <w:pPr>
      <w:widowControl w:val="0"/>
      <w:jc w:val="both"/>
    </w:pPr>
    <w:rPr>
      <w:rFonts w:ascii="Calibri" w:eastAsia="宋体" w:hAnsi="Calibri"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bdr w:val="none" w:sz="0" w:space="0" w:color="auto"/>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862">
    <w:name w:val="正文86"/>
    <w:pPr>
      <w:widowControl w:val="0"/>
      <w:jc w:val="both"/>
    </w:pPr>
    <w:rPr>
      <w:rFonts w:ascii="Calibri" w:eastAsia="宋体" w:hAnsi="Calibri"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hAnsi="Times New Roman"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90">
    <w:name w:val="正文290"/>
    <w:pPr>
      <w:widowControl w:val="0"/>
      <w:jc w:val="both"/>
    </w:pPr>
    <w:rPr>
      <w:rFonts w:ascii="Calibri" w:eastAsia="宋体" w:hAnsi="Calibri" w:cs="Times New Roman"/>
      <w:kern w:val="2"/>
      <w:sz w:val="21"/>
      <w:szCs w:val="24"/>
      <w:lang w:val="en-US" w:eastAsia="zh-CN" w:bidi="ar-SA"/>
    </w:rPr>
  </w:style>
  <w:style w:type="paragraph" w:customStyle="1" w:styleId="295">
    <w:name w:val="正文295"/>
    <w:pPr>
      <w:widowControl w:val="0"/>
      <w:jc w:val="both"/>
    </w:pPr>
    <w:rPr>
      <w:rFonts w:ascii="Calibri" w:eastAsia="宋体" w:hAnsi="Calibri" w:cs="Times New Roman"/>
      <w:kern w:val="2"/>
      <w:sz w:val="21"/>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eastAsia="zh-CN" w:bidi="ar-SA"/>
    </w:rPr>
  </w:style>
  <w:style w:type="paragraph" w:customStyle="1" w:styleId="190">
    <w:name w:val="正文19"/>
    <w:pPr>
      <w:widowControl w:val="0"/>
      <w:jc w:val="both"/>
    </w:pPr>
    <w:rPr>
      <w:rFonts w:ascii="Calibri" w:eastAsia="宋体" w:hAnsi="Calibri" w:cs="Times New Roman"/>
      <w:kern w:val="2"/>
      <w:sz w:val="21"/>
      <w:szCs w:val="22"/>
      <w:lang w:val="en-US" w:eastAsia="zh-CN" w:bidi="ar-SA"/>
    </w:rPr>
  </w:style>
  <w:style w:type="paragraph" w:customStyle="1" w:styleId="1121">
    <w:name w:val="纯文本112"/>
    <w:pPr>
      <w:widowControl w:val="0"/>
      <w:jc w:val="both"/>
    </w:pPr>
    <w:rPr>
      <w:rFonts w:ascii="宋体" w:eastAsia="宋体" w:hAnsi="Times New Roman" w:cs="Courier New"/>
      <w:kern w:val="2"/>
      <w:sz w:val="21"/>
      <w:szCs w:val="21"/>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2011">
    <w:name w:val="正文201"/>
    <w:pPr>
      <w:widowControl w:val="0"/>
      <w:jc w:val="both"/>
    </w:pPr>
    <w:rPr>
      <w:rFonts w:ascii="Calibri" w:eastAsia="宋体" w:hAnsi="Calibri"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eastAsia="zh-CN"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eastAsia="zh-CN" w:bidi="ar-SA"/>
    </w:rPr>
  </w:style>
  <w:style w:type="paragraph" w:customStyle="1" w:styleId="800">
    <w:name w:val="正文80"/>
    <w:pPr>
      <w:widowControl w:val="0"/>
      <w:jc w:val="both"/>
    </w:pPr>
    <w:rPr>
      <w:rFonts w:ascii="Calibri" w:eastAsia="宋体" w:hAnsi="Calibri" w:cs="Times New Roman"/>
      <w:kern w:val="2"/>
      <w:sz w:val="21"/>
      <w:szCs w:val="24"/>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133">
    <w:name w:val="无间隔1"/>
    <w:pPr>
      <w:spacing w:line="360" w:lineRule="auto"/>
    </w:pPr>
    <w:rPr>
      <w:rFonts w:ascii="Calibri" w:eastAsia="宋体" w:hAnsi="Calibri" w:cs="Times New Roman"/>
      <w:kern w:val="2"/>
      <w:sz w:val="22"/>
      <w:szCs w:val="28"/>
      <w:lang w:val="en-US" w:eastAsia="zh-CN"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eastAsia="zh-CN" w:bidi="ar-SA"/>
    </w:rPr>
  </w:style>
  <w:style w:type="paragraph" w:customStyle="1" w:styleId="68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bdr w:val="none" w:sz="0" w:space="0" w:color="auto"/>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Char1CharCharChar">
    <w:name w:val="Char1 Char Char Char"/>
    <w:basedOn w:val="Normal"/>
    <w:pPr>
      <w:numPr>
        <w:ilvl w:val="0"/>
        <w:numId w:val="20"/>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11110">
    <w:name w:val="正文1111"/>
    <w:pPr>
      <w:widowControl w:val="0"/>
      <w:jc w:val="both"/>
    </w:pPr>
    <w:rPr>
      <w:rFonts w:ascii="Calibri" w:eastAsia="宋体" w:hAnsi="Calibri" w:cs="Times New Roman"/>
      <w:kern w:val="2"/>
      <w:sz w:val="21"/>
      <w:szCs w:val="24"/>
      <w:lang w:val="en-US" w:eastAsia="zh-CN" w:bidi="ar-SA"/>
    </w:rPr>
  </w:style>
  <w:style w:type="paragraph" w:customStyle="1" w:styleId="513">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4551">
    <w:name w:val="正文455"/>
    <w:pPr>
      <w:widowControl w:val="0"/>
      <w:jc w:val="both"/>
    </w:pPr>
    <w:rPr>
      <w:rFonts w:ascii="Calibri" w:eastAsia="宋体" w:hAnsi="Calibri" w:cs="Times New Roman"/>
      <w:kern w:val="2"/>
      <w:sz w:val="21"/>
      <w:szCs w:val="24"/>
      <w:lang w:val="en-US" w:eastAsia="zh-CN"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3">
    <w:name w:val="正文523"/>
    <w:pPr>
      <w:widowControl w:val="0"/>
      <w:jc w:val="both"/>
    </w:pPr>
    <w:rPr>
      <w:rFonts w:ascii="Calibri" w:eastAsia="宋体" w:hAnsi="Calibri"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591">
    <w:name w:val="正文59"/>
    <w:pPr>
      <w:widowControl w:val="0"/>
      <w:jc w:val="both"/>
    </w:pPr>
    <w:rPr>
      <w:rFonts w:ascii="Calibri" w:eastAsia="宋体" w:hAnsi="Calibri" w:cs="Times New Roman"/>
      <w:kern w:val="2"/>
      <w:sz w:val="21"/>
      <w:szCs w:val="24"/>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zh-CN" w:bidi="ar-SA"/>
    </w:rPr>
  </w:style>
  <w:style w:type="paragraph" w:customStyle="1" w:styleId="621">
    <w:name w:val="正文621"/>
    <w:pPr>
      <w:widowControl w:val="0"/>
      <w:jc w:val="both"/>
    </w:pPr>
    <w:rPr>
      <w:rFonts w:ascii="Calibri" w:eastAsia="宋体" w:hAnsi="Calibri" w:cs="Times New Roman"/>
      <w:kern w:val="2"/>
      <w:sz w:val="21"/>
      <w:szCs w:val="24"/>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5130">
    <w:name w:val="正文513"/>
    <w:pPr>
      <w:widowControl w:val="0"/>
      <w:jc w:val="both"/>
    </w:pPr>
    <w:rPr>
      <w:rFonts w:ascii="Calibri" w:eastAsia="宋体" w:hAnsi="Calibri" w:cs="Times New Roman"/>
      <w:kern w:val="2"/>
      <w:sz w:val="21"/>
      <w:szCs w:val="24"/>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273">
    <w:name w:val="纯文本27"/>
    <w:pPr>
      <w:widowControl w:val="0"/>
      <w:jc w:val="both"/>
    </w:pPr>
    <w:rPr>
      <w:rFonts w:ascii="宋体" w:eastAsia="宋体" w:hAnsi="Times New Roman" w:cs="Courier New"/>
      <w:kern w:val="2"/>
      <w:sz w:val="21"/>
      <w:szCs w:val="21"/>
      <w:lang w:val="en-US" w:eastAsia="zh-CN"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514">
    <w:name w:val="纯文本51"/>
    <w:pPr>
      <w:widowControl w:val="0"/>
      <w:jc w:val="both"/>
    </w:pPr>
    <w:rPr>
      <w:rFonts w:ascii="宋体" w:eastAsia="宋体" w:hAnsi="Times New Roman" w:cs="Courier New"/>
      <w:kern w:val="2"/>
      <w:sz w:val="21"/>
      <w:szCs w:val="21"/>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eastAsia="zh-CN"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062">
    <w:name w:val="正文106"/>
    <w:pPr>
      <w:widowControl w:val="0"/>
      <w:jc w:val="both"/>
    </w:pPr>
    <w:rPr>
      <w:rFonts w:ascii="Calibri" w:eastAsia="宋体" w:hAnsi="Calibri"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eastAsia="zh-CN" w:bidi="ar-SA"/>
    </w:rPr>
  </w:style>
  <w:style w:type="paragraph" w:customStyle="1" w:styleId="325">
    <w:name w:val="纯文本32"/>
    <w:pPr>
      <w:widowControl w:val="0"/>
      <w:jc w:val="both"/>
    </w:pPr>
    <w:rPr>
      <w:rFonts w:ascii="宋体" w:eastAsia="宋体" w:hAnsi="Times New Roman" w:cs="Courier New"/>
      <w:kern w:val="2"/>
      <w:sz w:val="21"/>
      <w:szCs w:val="21"/>
      <w:lang w:val="en-US" w:eastAsia="zh-CN" w:bidi="ar-SA"/>
    </w:rPr>
  </w:style>
  <w:style w:type="paragraph" w:customStyle="1" w:styleId="1183">
    <w:name w:val="正文118"/>
    <w:pPr>
      <w:widowControl w:val="0"/>
      <w:jc w:val="both"/>
    </w:pPr>
    <w:rPr>
      <w:rFonts w:ascii="Calibri" w:eastAsia="宋体" w:hAnsi="Calibri" w:cs="Times New Roman"/>
      <w:kern w:val="2"/>
      <w:sz w:val="21"/>
      <w:szCs w:val="24"/>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eastAsia="zh-CN" w:bidi="ar-SA"/>
    </w:rPr>
  </w:style>
  <w:style w:type="paragraph" w:customStyle="1" w:styleId="193">
    <w:name w:val="正文193"/>
    <w:pPr>
      <w:widowControl w:val="0"/>
      <w:jc w:val="both"/>
    </w:pPr>
    <w:rPr>
      <w:rFonts w:ascii="Calibri" w:eastAsia="宋体" w:hAnsi="Calibri" w:cs="Times New Roman"/>
      <w:kern w:val="2"/>
      <w:sz w:val="21"/>
      <w:szCs w:val="24"/>
      <w:lang w:val="en-US" w:eastAsia="zh-CN" w:bidi="ar-SA"/>
    </w:rPr>
  </w:style>
  <w:style w:type="paragraph" w:customStyle="1" w:styleId="a25">
    <w:name w:val="公式样式 变量"/>
    <w:rPr>
      <w:rFonts w:ascii="Calibri" w:eastAsia="宋体" w:hAnsi="Calibri" w:cs="Times New Roman"/>
      <w:i/>
      <w:iCs/>
      <w:kern w:val="2"/>
      <w:sz w:val="20"/>
      <w:szCs w:val="28"/>
      <w:lang w:val="en-US" w:eastAsia="zh-CN"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6030">
    <w:name w:val="正文603"/>
    <w:pPr>
      <w:widowControl w:val="0"/>
      <w:jc w:val="both"/>
    </w:pPr>
    <w:rPr>
      <w:rFonts w:ascii="Calibri" w:eastAsia="宋体" w:hAnsi="Calibri"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301">
    <w:name w:val="目录 3_0"/>
    <w:next w:val="3"/>
    <w:pPr>
      <w:widowControl w:val="0"/>
      <w:numPr>
        <w:ilvl w:val="0"/>
        <w:numId w:val="21"/>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eastAsia="zh-CN"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313">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44710">
    <w:name w:val="样式 447 10 磅"/>
    <w:next w:val="604"/>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960">
    <w:name w:val="纯文本96"/>
    <w:pPr>
      <w:widowControl w:val="0"/>
      <w:jc w:val="both"/>
    </w:pPr>
    <w:rPr>
      <w:rFonts w:ascii="宋体" w:eastAsia="宋体" w:hAnsi="Times New Roman" w:cs="Courier New"/>
      <w:kern w:val="2"/>
      <w:sz w:val="21"/>
      <w:szCs w:val="21"/>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241">
    <w:name w:val="正文241"/>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eastAsia="zh-CN"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eastAsia="zh-CN" w:bidi="ar-SA"/>
    </w:rPr>
  </w:style>
  <w:style w:type="paragraph" w:customStyle="1" w:styleId="1171">
    <w:name w:val="纯文本117"/>
    <w:pPr>
      <w:widowControl w:val="0"/>
      <w:jc w:val="both"/>
    </w:pPr>
    <w:rPr>
      <w:rFonts w:ascii="宋体" w:eastAsia="宋体" w:hAnsi="Times New Roman" w:cs="Courier New"/>
      <w:kern w:val="2"/>
      <w:sz w:val="21"/>
      <w:szCs w:val="21"/>
      <w:lang w:val="en-US" w:eastAsia="zh-CN"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672">
    <w:name w:val="正文67"/>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20"/>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1107">
    <w:name w:val="正文1107"/>
    <w:pPr>
      <w:widowControl w:val="0"/>
      <w:jc w:val="both"/>
    </w:pPr>
    <w:rPr>
      <w:rFonts w:ascii="Calibri" w:eastAsia="宋体" w:hAnsi="Calibri" w:cs="Times New Roman"/>
      <w:kern w:val="2"/>
      <w:sz w:val="21"/>
      <w:szCs w:val="24"/>
      <w:lang w:val="en-US" w:eastAsia="zh-CN" w:bidi="ar-SA"/>
    </w:rPr>
  </w:style>
  <w:style w:type="paragraph" w:customStyle="1" w:styleId="692">
    <w:name w:val="正文692"/>
    <w:pPr>
      <w:widowControl w:val="0"/>
      <w:jc w:val="both"/>
    </w:pPr>
    <w:rPr>
      <w:rFonts w:ascii="Calibri" w:eastAsia="宋体" w:hAnsi="Calibri" w:cs="Times New Roman"/>
      <w:kern w:val="2"/>
      <w:sz w:val="21"/>
      <w:szCs w:val="24"/>
      <w:lang w:val="en-US" w:eastAsia="zh-CN"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477">
    <w:name w:val="正文477"/>
    <w:pPr>
      <w:widowControl w:val="0"/>
      <w:jc w:val="both"/>
    </w:pPr>
    <w:rPr>
      <w:rFonts w:ascii="Calibri" w:eastAsia="宋体" w:hAnsi="Calibri"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eastAsia="zh-CN" w:bidi="ar-SA"/>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114">
    <w:name w:val="纯文本111"/>
    <w:pPr>
      <w:widowControl w:val="0"/>
      <w:jc w:val="both"/>
    </w:pPr>
    <w:rPr>
      <w:rFonts w:ascii="宋体" w:eastAsia="宋体" w:hAnsi="Times New Roman" w:cs="Courier New"/>
      <w:kern w:val="2"/>
      <w:sz w:val="21"/>
      <w:szCs w:val="21"/>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233">
    <w:name w:val="正文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91310">
    <w:name w:val="样式 1913 10 磅"/>
    <w:pPr>
      <w:widowControl w:val="0"/>
      <w:numPr>
        <w:ilvl w:val="0"/>
        <w:numId w:val="19"/>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4400">
    <w:name w:val="正文440"/>
    <w:pPr>
      <w:widowControl w:val="0"/>
      <w:jc w:val="both"/>
    </w:pPr>
    <w:rPr>
      <w:rFonts w:ascii="Calibri" w:eastAsia="宋体" w:hAnsi="Calibri"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505">
    <w:name w:val="纯文本50"/>
    <w:pPr>
      <w:widowControl w:val="0"/>
      <w:jc w:val="both"/>
    </w:pPr>
    <w:rPr>
      <w:rFonts w:ascii="宋体" w:eastAsia="宋体" w:hAnsi="Times New Roman" w:cs="Courier New"/>
      <w:kern w:val="2"/>
      <w:sz w:val="21"/>
      <w:szCs w:val="21"/>
      <w:lang w:val="en-US" w:eastAsia="zh-CN" w:bidi="ar-SA"/>
    </w:rPr>
  </w:style>
  <w:style w:type="paragraph" w:customStyle="1" w:styleId="192">
    <w:name w:val="纯文本19"/>
    <w:pPr>
      <w:widowControl w:val="0"/>
      <w:jc w:val="both"/>
    </w:pPr>
    <w:rPr>
      <w:rFonts w:ascii="宋体" w:eastAsia="宋体" w:hAnsi="Times New Roman" w:cs="Courier New"/>
      <w:kern w:val="2"/>
      <w:sz w:val="21"/>
      <w:szCs w:val="21"/>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416">
    <w:name w:val="正文4"/>
    <w:pPr>
      <w:widowControl w:val="0"/>
      <w:jc w:val="both"/>
    </w:pPr>
    <w:rPr>
      <w:rFonts w:ascii="Calibri" w:eastAsia="宋体" w:hAnsi="Calibri" w:cs="Times New Roman"/>
      <w:kern w:val="2"/>
      <w:sz w:val="21"/>
      <w:szCs w:val="22"/>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zh-CN"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eastAsia="zh-CN"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eastAsia="zh-CN"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eastAsia="zh-CN"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43">
    <w:name w:val="正文74"/>
    <w:pPr>
      <w:widowControl w:val="0"/>
      <w:jc w:val="both"/>
    </w:pPr>
    <w:rPr>
      <w:rFonts w:ascii="Calibri" w:eastAsia="宋体" w:hAnsi="Calibri" w:cs="Times New Roman"/>
      <w:kern w:val="2"/>
      <w:sz w:val="21"/>
      <w:szCs w:val="24"/>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
    <w:name w:val="正文141"/>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eastAsia="zh-CN"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zh-CN" w:bidi="ar-SA"/>
    </w:rPr>
  </w:style>
  <w:style w:type="paragraph" w:customStyle="1" w:styleId="1140">
    <w:name w:val="纯文本114"/>
    <w:pPr>
      <w:widowControl w:val="0"/>
      <w:jc w:val="both"/>
    </w:pPr>
    <w:rPr>
      <w:rFonts w:ascii="宋体" w:eastAsia="宋体" w:hAnsi="Times New Roman" w:cs="Courier New"/>
      <w:kern w:val="2"/>
      <w:sz w:val="21"/>
      <w:szCs w:val="21"/>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zh-CN"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zh-CN" w:bidi="ar-SA"/>
    </w:rPr>
  </w:style>
  <w:style w:type="paragraph" w:customStyle="1" w:styleId="162">
    <w:name w:val="表格1"/>
    <w:pPr>
      <w:widowControl w:val="0"/>
      <w:jc w:val="center"/>
    </w:pPr>
    <w:rPr>
      <w:rFonts w:ascii="Calibri" w:eastAsia="宋体" w:hAnsi="Calibri" w:cs="Times New Roman"/>
      <w:kern w:val="2"/>
      <w:sz w:val="24"/>
      <w:szCs w:val="28"/>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080">
    <w:name w:val="纯文本108"/>
    <w:pPr>
      <w:widowControl w:val="0"/>
      <w:jc w:val="both"/>
    </w:pPr>
    <w:rPr>
      <w:rFonts w:ascii="宋体" w:eastAsia="宋体" w:hAnsi="Times New Roman" w:cs="Courier New"/>
      <w:kern w:val="2"/>
      <w:sz w:val="21"/>
      <w:szCs w:val="21"/>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174">
    <w:name w:val="正文17"/>
    <w:pPr>
      <w:widowControl w:val="0"/>
      <w:jc w:val="both"/>
    </w:pPr>
    <w:rPr>
      <w:rFonts w:ascii="Calibri" w:eastAsia="宋体" w:hAnsi="Calibri" w:cs="Times New Roman"/>
      <w:kern w:val="2"/>
      <w:sz w:val="21"/>
      <w:szCs w:val="22"/>
      <w:lang w:val="en-US" w:eastAsia="zh-CN" w:bidi="ar-SA"/>
    </w:rPr>
  </w:style>
  <w:style w:type="paragraph" w:customStyle="1" w:styleId="720">
    <w:name w:val="纯文本72"/>
    <w:pPr>
      <w:widowControl w:val="0"/>
      <w:jc w:val="both"/>
    </w:pPr>
    <w:rPr>
      <w:rFonts w:ascii="宋体" w:eastAsia="宋体" w:hAnsi="Times New Roman" w:cs="Courier New"/>
      <w:kern w:val="2"/>
      <w:sz w:val="21"/>
      <w:szCs w:val="21"/>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eastAsia="zh-CN" w:bidi="ar-SA"/>
    </w:rPr>
  </w:style>
  <w:style w:type="paragraph" w:customStyle="1" w:styleId="242">
    <w:name w:val="正文242"/>
    <w:pPr>
      <w:widowControl w:val="0"/>
      <w:jc w:val="both"/>
    </w:pPr>
    <w:rPr>
      <w:rFonts w:ascii="Calibri" w:eastAsia="宋体" w:hAnsi="Calibri"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657">
    <w:name w:val="正文657"/>
    <w:pPr>
      <w:widowControl w:val="0"/>
      <w:jc w:val="both"/>
    </w:pPr>
    <w:rPr>
      <w:rFonts w:ascii="Calibri" w:eastAsia="宋体" w:hAnsi="Calibri" w:cs="Times New Roman"/>
      <w:kern w:val="2"/>
      <w:sz w:val="21"/>
      <w:szCs w:val="24"/>
      <w:lang w:val="en-US" w:eastAsia="zh-CN"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443">
    <w:name w:val="纯文本44"/>
    <w:pPr>
      <w:widowControl w:val="0"/>
      <w:jc w:val="both"/>
    </w:pPr>
    <w:rPr>
      <w:rFonts w:ascii="宋体" w:eastAsia="宋体" w:hAnsi="Times New Roman" w:cs="Courier New"/>
      <w:kern w:val="2"/>
      <w:sz w:val="21"/>
      <w:szCs w:val="21"/>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zh-CN" w:bidi="ar-SA"/>
    </w:rPr>
  </w:style>
  <w:style w:type="paragraph" w:customStyle="1" w:styleId="220">
    <w:name w:val="纯文本22"/>
    <w:pPr>
      <w:widowControl w:val="0"/>
      <w:jc w:val="both"/>
    </w:pPr>
    <w:rPr>
      <w:rFonts w:ascii="宋体" w:eastAsia="宋体" w:hAnsi="Times New Roman" w:cs="Courier New"/>
      <w:kern w:val="2"/>
      <w:sz w:val="21"/>
      <w:szCs w:val="21"/>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164">
    <w:name w:val="页码1"/>
    <w:rPr>
      <w:rFonts w:ascii="Calibri" w:eastAsia="微软雅黑" w:hAnsi="Calibri" w:cs="Times New Roman"/>
      <w:kern w:val="2"/>
      <w:sz w:val="20"/>
      <w:szCs w:val="28"/>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eastAsia="zh-CN" w:bidi="ar-SA"/>
    </w:rPr>
  </w:style>
  <w:style w:type="paragraph" w:customStyle="1" w:styleId="2114">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153">
    <w:name w:val="纯文本115"/>
    <w:pPr>
      <w:widowControl w:val="0"/>
      <w:jc w:val="both"/>
    </w:pPr>
    <w:rPr>
      <w:rFonts w:ascii="宋体" w:eastAsia="宋体" w:hAnsi="Times New Roman" w:cs="Courier New"/>
      <w:kern w:val="2"/>
      <w:sz w:val="21"/>
      <w:szCs w:val="21"/>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
    <w:name w:val="纯文本38"/>
    <w:pPr>
      <w:widowControl w:val="0"/>
      <w:jc w:val="both"/>
    </w:pPr>
    <w:rPr>
      <w:rFonts w:ascii="宋体" w:eastAsia="宋体" w:hAnsi="Times New Roman" w:cs="Courier New"/>
      <w:kern w:val="2"/>
      <w:sz w:val="21"/>
      <w:szCs w:val="21"/>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zh-CN"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371">
    <w:name w:val="正文371"/>
    <w:pPr>
      <w:widowControl w:val="0"/>
      <w:jc w:val="both"/>
    </w:pPr>
    <w:rPr>
      <w:rFonts w:ascii="Calibri" w:eastAsia="宋体" w:hAnsi="Calibri" w:cs="Times New Roman"/>
      <w:kern w:val="2"/>
      <w:sz w:val="21"/>
      <w:szCs w:val="24"/>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965">
    <w:name w:val="正文96"/>
    <w:pPr>
      <w:widowControl w:val="0"/>
      <w:jc w:val="both"/>
    </w:pPr>
    <w:rPr>
      <w:rFonts w:ascii="Calibri" w:eastAsia="宋体" w:hAnsi="Calibri" w:cs="Times New Roman"/>
      <w:kern w:val="2"/>
      <w:sz w:val="21"/>
      <w:szCs w:val="24"/>
      <w:lang w:val="en-US" w:eastAsia="zh-CN" w:bidi="ar-SA"/>
    </w:rPr>
  </w:style>
  <w:style w:type="paragraph" w:customStyle="1" w:styleId="673">
    <w:name w:val="纯文本67"/>
    <w:pPr>
      <w:widowControl w:val="0"/>
      <w:jc w:val="both"/>
    </w:pPr>
    <w:rPr>
      <w:rFonts w:ascii="宋体" w:eastAsia="宋体" w:hAnsi="Times New Roman" w:cs="Courier New"/>
      <w:kern w:val="2"/>
      <w:sz w:val="21"/>
      <w:szCs w:val="21"/>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876">
    <w:name w:val="正文876"/>
    <w:pPr>
      <w:widowControl w:val="0"/>
      <w:jc w:val="both"/>
    </w:pPr>
    <w:rPr>
      <w:rFonts w:ascii="Calibri" w:eastAsia="宋体" w:hAnsi="Calibri" w:cs="Times New Roman"/>
      <w:kern w:val="2"/>
      <w:sz w:val="21"/>
      <w:szCs w:val="22"/>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zh-CN"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zh-CN"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425">
    <w:name w:val="正文425"/>
    <w:pPr>
      <w:widowControl w:val="0"/>
      <w:jc w:val="both"/>
    </w:pPr>
    <w:rPr>
      <w:rFonts w:ascii="Calibri" w:eastAsia="宋体" w:hAnsi="Calibri" w:cs="Times New Roman"/>
      <w:kern w:val="2"/>
      <w:sz w:val="21"/>
      <w:szCs w:val="24"/>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eastAsia="zh-CN"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990">
    <w:name w:val="正文990"/>
    <w:pPr>
      <w:widowControl w:val="0"/>
      <w:jc w:val="both"/>
    </w:pPr>
    <w:rPr>
      <w:rFonts w:ascii="Calibri" w:eastAsia="宋体" w:hAnsi="Calibri" w:cs="Times New Roman"/>
      <w:kern w:val="2"/>
      <w:sz w:val="21"/>
      <w:szCs w:val="22"/>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eastAsia="zh-CN"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1530">
    <w:name w:val="正文1153"/>
    <w:pPr>
      <w:widowControl w:val="0"/>
      <w:jc w:val="both"/>
    </w:pPr>
    <w:rPr>
      <w:rFonts w:ascii="Calibri" w:eastAsia="宋体" w:hAnsi="Calibri"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1090">
    <w:name w:val="纯文本109"/>
    <w:pPr>
      <w:widowControl w:val="0"/>
      <w:jc w:val="both"/>
    </w:pPr>
    <w:rPr>
      <w:rFonts w:ascii="宋体" w:eastAsia="宋体" w:hAnsi="Times New Roman" w:cs="Courier New"/>
      <w:kern w:val="2"/>
      <w:sz w:val="21"/>
      <w:szCs w:val="21"/>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eastAsia="zh-CN" w:bidi="ar-SA"/>
    </w:rPr>
  </w:style>
  <w:style w:type="paragraph" w:customStyle="1" w:styleId="616">
    <w:name w:val="样式 标题 6 + (西文) 宋体"/>
    <w:pPr>
      <w:keepNext/>
      <w:keepLines/>
      <w:widowControl w:val="0"/>
      <w:numPr>
        <w:ilvl w:val="5"/>
        <w:numId w:val="22"/>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eastAsia="zh-CN" w:bidi="ar-SA"/>
    </w:rPr>
  </w:style>
  <w:style w:type="paragraph" w:customStyle="1" w:styleId="221">
    <w:name w:val="正文文本2"/>
    <w:pPr>
      <w:widowControl w:val="0"/>
      <w:jc w:val="both"/>
    </w:pPr>
    <w:rPr>
      <w:rFonts w:ascii="Calibri" w:eastAsia="宋体" w:hAnsi="Calibri" w:cs="Times New Roman"/>
      <w:kern w:val="2"/>
      <w:sz w:val="28"/>
      <w:szCs w:val="22"/>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eastAsia="zh-CN"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396">
    <w:name w:val="正文396"/>
    <w:pPr>
      <w:widowControl w:val="0"/>
      <w:jc w:val="both"/>
    </w:pPr>
    <w:rPr>
      <w:rFonts w:ascii="Calibri" w:eastAsia="宋体" w:hAnsi="Calibri"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zh-CN" w:bidi="ar-SA"/>
    </w:rPr>
  </w:style>
  <w:style w:type="paragraph" w:customStyle="1" w:styleId="4910">
    <w:name w:val="正文491"/>
    <w:pPr>
      <w:widowControl w:val="0"/>
      <w:jc w:val="both"/>
    </w:pPr>
    <w:rPr>
      <w:rFonts w:ascii="Calibri" w:eastAsia="宋体" w:hAnsi="Calibri" w:cs="Times New Roman"/>
      <w:kern w:val="2"/>
      <w:sz w:val="21"/>
      <w:szCs w:val="24"/>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zh-CN"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630">
    <w:name w:val="正文563"/>
    <w:pPr>
      <w:widowControl w:val="0"/>
      <w:jc w:val="both"/>
    </w:pPr>
    <w:rPr>
      <w:rFonts w:ascii="Calibri" w:eastAsia="宋体" w:hAnsi="Calibri" w:cs="Times New Roman"/>
      <w:kern w:val="2"/>
      <w:sz w:val="21"/>
      <w:szCs w:val="24"/>
      <w:lang w:val="en-US" w:eastAsia="zh-CN" w:bidi="ar-SA"/>
    </w:rPr>
  </w:style>
  <w:style w:type="paragraph" w:customStyle="1" w:styleId="14111">
    <w:name w:val="样式 14 11 磅"/>
    <w:next w:val="Char"/>
    <w:rPr>
      <w:rFonts w:ascii="Calibri" w:eastAsia="宋体" w:hAnsi="Calibri" w:cs="Times New Roman"/>
      <w:sz w:val="22"/>
      <w:szCs w:val="22"/>
      <w:lang w:val="en-US" w:eastAsia="zh-CN"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eastAsia="zh-CN" w:bidi="ar-SA"/>
    </w:rPr>
  </w:style>
  <w:style w:type="paragraph" w:customStyle="1" w:styleId="6600">
    <w:name w:val="正文660"/>
    <w:pPr>
      <w:widowControl w:val="0"/>
      <w:jc w:val="both"/>
    </w:pPr>
    <w:rPr>
      <w:rFonts w:ascii="Calibri" w:eastAsia="宋体" w:hAnsi="Calibri" w:cs="Times New Roman"/>
      <w:kern w:val="2"/>
      <w:sz w:val="21"/>
      <w:szCs w:val="24"/>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0300">
    <w:name w:val="正文1030"/>
    <w:rPr>
      <w:rFonts w:ascii="Calibri" w:eastAsia="宋体" w:hAnsi="Calibri" w:cs="Times New Roman"/>
      <w:kern w:val="2"/>
      <w:sz w:val="21"/>
      <w:szCs w:val="21"/>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994">
    <w:name w:val="正文994"/>
    <w:pPr>
      <w:widowControl w:val="0"/>
      <w:jc w:val="both"/>
    </w:pPr>
    <w:rPr>
      <w:rFonts w:ascii="Calibri" w:eastAsia="宋体" w:hAnsi="Calibri" w:cs="Times New Roman"/>
      <w:kern w:val="2"/>
      <w:sz w:val="21"/>
      <w:szCs w:val="24"/>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zh-CN"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25">
    <w:name w:val="正文725"/>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eastAsia="zh-CN"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1460">
    <w:name w:val="正文146"/>
    <w:pPr>
      <w:widowControl w:val="0"/>
      <w:jc w:val="both"/>
    </w:pPr>
    <w:rPr>
      <w:rFonts w:ascii="Calibri" w:eastAsia="宋体" w:hAnsi="Calibri" w:cs="Times New Roman"/>
      <w:kern w:val="2"/>
      <w:sz w:val="21"/>
      <w:szCs w:val="24"/>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3340">
    <w:name w:val="正文334"/>
    <w:pPr>
      <w:widowControl w:val="0"/>
      <w:jc w:val="both"/>
    </w:pPr>
    <w:rPr>
      <w:rFonts w:ascii="Calibri" w:eastAsia="宋体" w:hAnsi="Calibri"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874">
    <w:name w:val="正文87"/>
    <w:pPr>
      <w:widowControl w:val="0"/>
      <w:jc w:val="both"/>
    </w:pPr>
    <w:rPr>
      <w:rFonts w:ascii="Calibri" w:eastAsia="宋体" w:hAnsi="Calibri"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eastAsia="zh-CN" w:bidi="ar-SA"/>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Calibri" w:eastAsia="宋体" w:hAnsi="Calibri" w:cs="Times New Roman"/>
      <w:kern w:val="2"/>
      <w:sz w:val="21"/>
      <w:szCs w:val="21"/>
      <w:lang w:val="en-US" w:eastAsia="zh-CN"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eastAsia="zh-CN" w:bidi="ar-SA"/>
    </w:rPr>
  </w:style>
  <w:style w:type="paragraph" w:customStyle="1" w:styleId="294">
    <w:name w:val="纯文本29"/>
    <w:pPr>
      <w:widowControl w:val="0"/>
      <w:jc w:val="both"/>
    </w:pPr>
    <w:rPr>
      <w:rFonts w:ascii="宋体" w:eastAsia="宋体" w:hAnsi="Times New Roman" w:cs="Courier New"/>
      <w:kern w:val="2"/>
      <w:sz w:val="21"/>
      <w:szCs w:val="21"/>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5410">
    <w:name w:val="正文541"/>
    <w:pPr>
      <w:widowControl w:val="0"/>
      <w:jc w:val="both"/>
    </w:pPr>
    <w:rPr>
      <w:rFonts w:ascii="Calibri" w:eastAsia="宋体" w:hAnsi="Calibri"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4">
    <w:name w:val="纯文本10"/>
    <w:pPr>
      <w:widowControl w:val="0"/>
      <w:jc w:val="both"/>
    </w:pPr>
    <w:rPr>
      <w:rFonts w:ascii="宋体" w:eastAsia="宋体" w:hAnsi="Times New Roman" w:cs="Courier New"/>
      <w:kern w:val="2"/>
      <w:sz w:val="21"/>
      <w:szCs w:val="21"/>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zh-CN" w:bidi="ar-SA"/>
    </w:rPr>
  </w:style>
  <w:style w:type="paragraph" w:customStyle="1" w:styleId="263">
    <w:name w:val="正文263"/>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1210">
    <w:name w:val="正文1121"/>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47010">
    <w:name w:val="样式 470 10 磅"/>
    <w:pPr>
      <w:widowControl w:val="0"/>
      <w:jc w:val="both"/>
    </w:pPr>
    <w:rPr>
      <w:rFonts w:ascii="等线" w:eastAsia="等线" w:hAnsi="Times New Roman" w:cs="Arial"/>
      <w:kern w:val="2"/>
      <w:sz w:val="21"/>
      <w:szCs w:val="22"/>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eastAsia="zh-CN" w:bidi="ar-SA"/>
    </w:rPr>
  </w:style>
  <w:style w:type="paragraph" w:customStyle="1" w:styleId="1520">
    <w:name w:val="正文152"/>
    <w:pPr>
      <w:widowControl w:val="0"/>
      <w:jc w:val="both"/>
    </w:pPr>
    <w:rPr>
      <w:rFonts w:ascii="Calibri" w:eastAsia="宋体" w:hAnsi="Calibri" w:cs="Times New Roman"/>
      <w:kern w:val="2"/>
      <w:sz w:val="21"/>
      <w:szCs w:val="24"/>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eastAsia="zh-CN"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eastAsia="zh-CN"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123">
    <w:name w:val="正文1123"/>
    <w:pPr>
      <w:widowControl w:val="0"/>
      <w:jc w:val="both"/>
    </w:pPr>
    <w:rPr>
      <w:rFonts w:ascii="Calibri" w:eastAsia="宋体" w:hAnsi="Calibri" w:cs="Times New Roman"/>
      <w:kern w:val="2"/>
      <w:sz w:val="21"/>
      <w:szCs w:val="24"/>
      <w:lang w:val="en-US" w:eastAsia="zh-CN" w:bidi="ar-SA"/>
    </w:rPr>
  </w:style>
  <w:style w:type="paragraph" w:customStyle="1" w:styleId="186210">
    <w:name w:val="样式 1862 10 磅"/>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1370">
    <w:name w:val="正文137"/>
    <w:pPr>
      <w:widowControl w:val="0"/>
      <w:jc w:val="both"/>
    </w:pPr>
    <w:rPr>
      <w:rFonts w:ascii="Calibri" w:eastAsia="宋体" w:hAnsi="Calibri" w:cs="Times New Roman"/>
      <w:kern w:val="2"/>
      <w:sz w:val="21"/>
      <w:szCs w:val="24"/>
      <w:lang w:val="en-US" w:eastAsia="zh-CN" w:bidi="ar-SA"/>
    </w:rPr>
  </w:style>
  <w:style w:type="paragraph" w:customStyle="1" w:styleId="1420">
    <w:name w:val="正文142"/>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10620">
    <w:name w:val="正文1062"/>
    <w:pPr>
      <w:widowControl w:val="0"/>
      <w:jc w:val="both"/>
    </w:pPr>
    <w:rPr>
      <w:rFonts w:ascii="Calibri" w:eastAsia="宋体" w:hAnsi="Calibri" w:cs="Times New Roman"/>
      <w:kern w:val="2"/>
      <w:sz w:val="21"/>
      <w:szCs w:val="22"/>
      <w:lang w:val="en-US" w:eastAsia="zh-CN" w:bidi="ar-SA"/>
    </w:rPr>
  </w:style>
  <w:style w:type="paragraph" w:customStyle="1" w:styleId="779">
    <w:name w:val="纯文本77"/>
    <w:pPr>
      <w:widowControl w:val="0"/>
      <w:jc w:val="both"/>
    </w:pPr>
    <w:rPr>
      <w:rFonts w:ascii="宋体" w:eastAsia="宋体" w:hAnsi="Times New Roman" w:cs="Courier New"/>
      <w:kern w:val="2"/>
      <w:sz w:val="21"/>
      <w:szCs w:val="21"/>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3040">
    <w:name w:val="正文304"/>
    <w:pPr>
      <w:widowControl w:val="0"/>
      <w:jc w:val="both"/>
    </w:pPr>
    <w:rPr>
      <w:rFonts w:ascii="Calibri" w:eastAsia="宋体" w:hAnsi="Calibri" w:cs="Times New Roman"/>
      <w:kern w:val="2"/>
      <w:sz w:val="21"/>
      <w:szCs w:val="24"/>
      <w:lang w:val="en-US" w:eastAsia="zh-CN" w:bidi="ar-SA"/>
    </w:rPr>
  </w:style>
  <w:style w:type="paragraph" w:customStyle="1" w:styleId="923">
    <w:name w:val="纯文本9"/>
    <w:pPr>
      <w:widowControl w:val="0"/>
      <w:jc w:val="both"/>
    </w:pPr>
    <w:rPr>
      <w:rFonts w:ascii="宋体" w:eastAsia="宋体" w:hAnsi="Times New Roman" w:cs="Courier New"/>
      <w:kern w:val="2"/>
      <w:sz w:val="21"/>
      <w:szCs w:val="21"/>
      <w:lang w:val="en-US" w:eastAsia="zh-CN"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zh-CN" w:bidi="ar-SA"/>
    </w:rPr>
  </w:style>
  <w:style w:type="paragraph" w:customStyle="1" w:styleId="4311">
    <w:name w:val="正文431"/>
    <w:pPr>
      <w:widowControl w:val="0"/>
      <w:jc w:val="both"/>
    </w:pPr>
    <w:rPr>
      <w:rFonts w:ascii="Calibri" w:eastAsia="宋体" w:hAnsi="Calibri" w:cs="Times New Roman"/>
      <w:kern w:val="2"/>
      <w:sz w:val="21"/>
      <w:szCs w:val="24"/>
      <w:lang w:val="en-US" w:eastAsia="zh-CN" w:bidi="ar-SA"/>
    </w:rPr>
  </w:style>
  <w:style w:type="paragraph" w:customStyle="1" w:styleId="9600">
    <w:name w:val="正文960"/>
    <w:pPr>
      <w:widowControl w:val="0"/>
      <w:jc w:val="both"/>
    </w:pPr>
    <w:rPr>
      <w:rFonts w:ascii="Calibri" w:eastAsia="宋体" w:hAnsi="Calibri" w:cs="Times New Roman"/>
      <w:kern w:val="2"/>
      <w:sz w:val="21"/>
      <w:szCs w:val="22"/>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zh-CN"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eastAsia="zh-CN" w:bidi="ar-SA"/>
    </w:rPr>
  </w:style>
  <w:style w:type="paragraph" w:customStyle="1" w:styleId="10460">
    <w:name w:val="正文1046"/>
    <w:pPr>
      <w:widowControl w:val="0"/>
      <w:jc w:val="both"/>
    </w:pPr>
    <w:rPr>
      <w:rFonts w:ascii="Calibri" w:eastAsia="宋体" w:hAnsi="Calibri" w:cs="Times New Roman"/>
      <w:kern w:val="2"/>
      <w:sz w:val="21"/>
      <w:szCs w:val="24"/>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495">
    <w:name w:val="正文495"/>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8220">
    <w:name w:val="正文822"/>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9120">
    <w:name w:val="正文912"/>
    <w:pPr>
      <w:widowControl w:val="0"/>
      <w:jc w:val="both"/>
    </w:pPr>
    <w:rPr>
      <w:rFonts w:ascii="Calibri" w:eastAsia="宋体" w:hAnsi="Calibri" w:cs="Times New Roman"/>
      <w:kern w:val="2"/>
      <w:sz w:val="21"/>
      <w:szCs w:val="24"/>
      <w:lang w:val="en-US" w:eastAsia="zh-CN" w:bidi="ar-SA"/>
    </w:rPr>
  </w:style>
  <w:style w:type="paragraph" w:customStyle="1" w:styleId="729">
    <w:name w:val="正文729"/>
    <w:pPr>
      <w:widowControl w:val="0"/>
      <w:jc w:val="both"/>
    </w:pPr>
    <w:rPr>
      <w:rFonts w:ascii="Calibri" w:eastAsia="宋体" w:hAnsi="Calibri"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eastAsia="zh-CN" w:bidi="ar-SA"/>
    </w:rPr>
  </w:style>
  <w:style w:type="paragraph" w:customStyle="1" w:styleId="2030">
    <w:name w:val="正文203"/>
    <w:pPr>
      <w:widowControl w:val="0"/>
      <w:jc w:val="both"/>
    </w:pPr>
    <w:rPr>
      <w:rFonts w:ascii="Calibri" w:eastAsia="宋体" w:hAnsi="Calibri"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852">
    <w:name w:val="纯文本85"/>
    <w:pPr>
      <w:widowControl w:val="0"/>
      <w:jc w:val="both"/>
    </w:pPr>
    <w:rPr>
      <w:rFonts w:ascii="宋体" w:eastAsia="宋体" w:hAnsi="Times New Roman" w:cs="Courier New"/>
      <w:kern w:val="2"/>
      <w:sz w:val="21"/>
      <w:szCs w:val="21"/>
      <w:lang w:val="en-US" w:eastAsia="zh-CN" w:bidi="ar-SA"/>
    </w:rPr>
  </w:style>
  <w:style w:type="paragraph" w:customStyle="1" w:styleId="264">
    <w:name w:val="正文26"/>
    <w:pPr>
      <w:widowControl w:val="0"/>
      <w:jc w:val="both"/>
    </w:pPr>
    <w:rPr>
      <w:rFonts w:ascii="Calibri" w:eastAsia="宋体" w:hAnsi="Calibri" w:cs="Times New Roman"/>
      <w:kern w:val="2"/>
      <w:sz w:val="21"/>
      <w:szCs w:val="22"/>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zh-CN" w:bidi="ar-SA"/>
    </w:rPr>
  </w:style>
  <w:style w:type="paragraph" w:customStyle="1" w:styleId="5350">
    <w:name w:val="正文535"/>
    <w:pPr>
      <w:widowControl w:val="0"/>
      <w:jc w:val="both"/>
    </w:pPr>
    <w:rPr>
      <w:rFonts w:ascii="Calibri" w:eastAsia="宋体" w:hAnsi="Calibri"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zh-CN" w:bidi="ar-SA"/>
    </w:rPr>
  </w:style>
  <w:style w:type="paragraph" w:customStyle="1" w:styleId="2340">
    <w:name w:val="正文234"/>
    <w:pPr>
      <w:widowControl w:val="0"/>
      <w:jc w:val="both"/>
    </w:pPr>
    <w:rPr>
      <w:rFonts w:ascii="Calibri" w:eastAsia="宋体" w:hAnsi="Calibri"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zh-CN" w:bidi="ar-SA"/>
    </w:rPr>
  </w:style>
  <w:style w:type="paragraph" w:customStyle="1" w:styleId="a36">
    <w:name w:val="公式样式 函数"/>
    <w:rPr>
      <w:rFonts w:ascii="Times New Roman" w:eastAsia="宋体" w:hAnsi="Times New Roman" w:cs="Times New Roman"/>
      <w:kern w:val="2"/>
      <w:sz w:val="20"/>
      <w:szCs w:val="28"/>
      <w:lang w:val="en-US" w:eastAsia="zh-CN" w:bidi="ar-SA"/>
    </w:rPr>
  </w:style>
  <w:style w:type="paragraph" w:customStyle="1" w:styleId="2640">
    <w:name w:val="正文264"/>
    <w:pPr>
      <w:widowControl w:val="0"/>
      <w:jc w:val="both"/>
    </w:pPr>
    <w:rPr>
      <w:rFonts w:ascii="Calibri" w:eastAsia="宋体" w:hAnsi="Calibri"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zh-CN" w:bidi="ar-SA"/>
    </w:rPr>
  </w:style>
  <w:style w:type="paragraph" w:customStyle="1" w:styleId="368">
    <w:name w:val="正文36"/>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eastAsia="zh-CN" w:bidi="ar-SA"/>
    </w:rPr>
  </w:style>
  <w:style w:type="paragraph" w:customStyle="1" w:styleId="662">
    <w:name w:val="正文662"/>
    <w:pPr>
      <w:widowControl w:val="0"/>
      <w:jc w:val="both"/>
    </w:pPr>
    <w:rPr>
      <w:rFonts w:ascii="Calibri" w:eastAsia="宋体" w:hAnsi="Calibri" w:cs="Times New Roman"/>
      <w:kern w:val="2"/>
      <w:sz w:val="21"/>
      <w:szCs w:val="24"/>
      <w:lang w:val="en-US" w:eastAsia="zh-CN" w:bidi="ar-SA"/>
    </w:rPr>
  </w:style>
  <w:style w:type="paragraph" w:customStyle="1" w:styleId="3950">
    <w:name w:val="正文395"/>
    <w:pPr>
      <w:widowControl w:val="0"/>
      <w:jc w:val="both"/>
    </w:pPr>
    <w:rPr>
      <w:rFonts w:ascii="Calibri" w:eastAsia="宋体" w:hAnsi="Calibri" w:cs="Times New Roman"/>
      <w:kern w:val="2"/>
      <w:sz w:val="21"/>
      <w:szCs w:val="24"/>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eastAsia="zh-CN"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eastAsia="zh-CN" w:bidi="ar-SA"/>
    </w:rPr>
  </w:style>
  <w:style w:type="paragraph" w:customStyle="1" w:styleId="50810">
    <w:name w:val="样式 508 10 磅"/>
    <w:pPr>
      <w:widowControl w:val="0"/>
      <w:jc w:val="both"/>
    </w:pPr>
    <w:rPr>
      <w:rFonts w:ascii="等线" w:eastAsia="等线" w:hAnsi="Times New Roman" w:cs="Arial"/>
      <w:kern w:val="2"/>
      <w:sz w:val="21"/>
      <w:szCs w:val="22"/>
      <w:lang w:val="en-US" w:eastAsia="zh-CN" w:bidi="ar-SA"/>
    </w:rPr>
  </w:style>
  <w:style w:type="paragraph" w:customStyle="1" w:styleId="45010">
    <w:name w:val="样式 450 10 磅"/>
    <w:next w:val="158"/>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2270">
    <w:name w:val="正文227"/>
    <w:pPr>
      <w:widowControl w:val="0"/>
      <w:jc w:val="both"/>
    </w:pPr>
    <w:rPr>
      <w:rFonts w:ascii="Calibri" w:eastAsia="宋体" w:hAnsi="Calibri" w:cs="Times New Roman"/>
      <w:kern w:val="2"/>
      <w:sz w:val="21"/>
      <w:szCs w:val="24"/>
      <w:lang w:val="en-US" w:eastAsia="zh-CN" w:bidi="ar-SA"/>
    </w:rPr>
  </w:style>
  <w:style w:type="paragraph" w:customStyle="1" w:styleId="11710">
    <w:name w:val="正文1171"/>
    <w:pPr>
      <w:widowControl w:val="0"/>
      <w:jc w:val="both"/>
    </w:pPr>
    <w:rPr>
      <w:rFonts w:ascii="Calibri" w:eastAsia="宋体" w:hAnsi="Calibri" w:cs="Times New Roman"/>
      <w:kern w:val="2"/>
      <w:sz w:val="21"/>
      <w:szCs w:val="24"/>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580">
    <w:name w:val="纯文本58"/>
    <w:pPr>
      <w:widowControl w:val="0"/>
      <w:jc w:val="both"/>
    </w:pPr>
    <w:rPr>
      <w:rFonts w:ascii="宋体" w:eastAsia="宋体" w:hAnsi="Times New Roman" w:cs="Courier New"/>
      <w:kern w:val="2"/>
      <w:sz w:val="21"/>
      <w:szCs w:val="21"/>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15">
    <w:name w:val="正文81"/>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8620">
    <w:name w:val="正文862"/>
    <w:pPr>
      <w:widowControl w:val="0"/>
      <w:jc w:val="both"/>
    </w:pPr>
    <w:rPr>
      <w:rFonts w:ascii="Calibri" w:eastAsia="宋体" w:hAnsi="Calibri" w:cs="Times New Roman"/>
      <w:kern w:val="2"/>
      <w:sz w:val="21"/>
      <w:szCs w:val="22"/>
      <w:lang w:val="en-US" w:eastAsia="zh-CN"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zh-CN" w:bidi="ar-SA"/>
    </w:rPr>
  </w:style>
  <w:style w:type="paragraph" w:customStyle="1" w:styleId="10011">
    <w:name w:val="正文1001"/>
    <w:pPr>
      <w:widowControl w:val="0"/>
      <w:jc w:val="both"/>
    </w:pPr>
    <w:rPr>
      <w:rFonts w:ascii="Calibri" w:eastAsia="宋体" w:hAnsi="Calibri"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eastAsia="zh-CN" w:bidi="ar-SA"/>
    </w:rPr>
  </w:style>
  <w:style w:type="paragraph" w:customStyle="1" w:styleId="a38">
    <w:name w:val="公式样式 符号"/>
    <w:rPr>
      <w:rFonts w:ascii="Calibri" w:eastAsia="宋体" w:hAnsi="Calibri" w:cs="Times New Roman"/>
      <w:kern w:val="2"/>
      <w:sz w:val="20"/>
      <w:szCs w:val="28"/>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5212">
    <w:name w:val="正文52"/>
    <w:pPr>
      <w:widowControl w:val="0"/>
      <w:jc w:val="both"/>
    </w:pPr>
    <w:rPr>
      <w:rFonts w:ascii="Calibri" w:eastAsia="宋体" w:hAnsi="Calibri" w:cs="Times New Roman"/>
      <w:kern w:val="2"/>
      <w:sz w:val="21"/>
      <w:szCs w:val="22"/>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07">
    <w:name w:val="纯文本70"/>
    <w:pPr>
      <w:widowControl w:val="0"/>
      <w:jc w:val="both"/>
    </w:pPr>
    <w:rPr>
      <w:rFonts w:ascii="宋体" w:eastAsia="宋体" w:hAnsi="Times New Roman"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5270">
    <w:name w:val="正文527"/>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eastAsia="zh-CN"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120">
    <w:name w:val="正文1112"/>
    <w:pPr>
      <w:widowControl w:val="0"/>
      <w:jc w:val="both"/>
    </w:pPr>
    <w:rPr>
      <w:rFonts w:ascii="Calibri" w:eastAsia="宋体" w:hAnsi="Calibri" w:cs="Times New Roman"/>
      <w:kern w:val="2"/>
      <w:sz w:val="21"/>
      <w:szCs w:val="24"/>
      <w:lang w:val="en-US" w:eastAsia="zh-CN"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8"/>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1321">
    <w:name w:val="正文132"/>
    <w:pPr>
      <w:widowControl w:val="0"/>
      <w:jc w:val="both"/>
    </w:pPr>
    <w:rPr>
      <w:rFonts w:ascii="Calibri" w:eastAsia="宋体" w:hAnsi="Calibri" w:cs="Times New Roman"/>
      <w:kern w:val="2"/>
      <w:sz w:val="21"/>
      <w:szCs w:val="24"/>
      <w:lang w:val="en-US" w:eastAsia="zh-CN" w:bidi="ar-SA"/>
    </w:rPr>
  </w:style>
  <w:style w:type="paragraph" w:customStyle="1" w:styleId="4113">
    <w:name w:val="正文41"/>
    <w:pPr>
      <w:widowControl w:val="0"/>
      <w:jc w:val="both"/>
    </w:pPr>
    <w:rPr>
      <w:rFonts w:ascii="Calibri" w:eastAsia="宋体" w:hAnsi="Calibri" w:cs="Times New Roman"/>
      <w:kern w:val="2"/>
      <w:sz w:val="21"/>
      <w:szCs w:val="22"/>
      <w:lang w:val="en-US" w:eastAsia="zh-CN"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719">
    <w:name w:val="正文7"/>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eastAsia="zh-CN"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740">
    <w:name w:val="正文174"/>
    <w:pPr>
      <w:widowControl w:val="0"/>
      <w:jc w:val="both"/>
    </w:pPr>
    <w:rPr>
      <w:rFonts w:ascii="Calibri" w:eastAsia="宋体" w:hAnsi="Calibri" w:cs="Times New Roman"/>
      <w:kern w:val="2"/>
      <w:sz w:val="21"/>
      <w:szCs w:val="24"/>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2330">
    <w:name w:val="正文233"/>
    <w:pPr>
      <w:widowControl w:val="0"/>
      <w:jc w:val="both"/>
    </w:pPr>
    <w:rPr>
      <w:rFonts w:ascii="Calibri" w:eastAsia="宋体" w:hAnsi="Calibri" w:cs="Times New Roman"/>
      <w:kern w:val="2"/>
      <w:sz w:val="21"/>
      <w:szCs w:val="24"/>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723">
    <w:name w:val="正文723"/>
    <w:pPr>
      <w:widowControl w:val="0"/>
      <w:jc w:val="both"/>
    </w:pPr>
    <w:rPr>
      <w:rFonts w:ascii="Calibri" w:eastAsia="宋体" w:hAnsi="Calibri" w:cs="Times New Roman"/>
      <w:kern w:val="2"/>
      <w:sz w:val="21"/>
      <w:szCs w:val="24"/>
      <w:lang w:val="en-US" w:eastAsia="zh-CN" w:bidi="ar-SA"/>
    </w:rPr>
  </w:style>
  <w:style w:type="paragraph" w:customStyle="1" w:styleId="188">
    <w:name w:val="正文188"/>
    <w:pPr>
      <w:widowControl w:val="0"/>
      <w:jc w:val="both"/>
    </w:pPr>
    <w:rPr>
      <w:rFonts w:ascii="Calibri" w:eastAsia="宋体" w:hAnsi="Calibri" w:cs="Times New Roman"/>
      <w:kern w:val="2"/>
      <w:sz w:val="21"/>
      <w:szCs w:val="24"/>
      <w:lang w:val="en-US" w:eastAsia="zh-CN" w:bidi="ar-SA"/>
    </w:rPr>
  </w:style>
  <w:style w:type="paragraph" w:customStyle="1" w:styleId="1600">
    <w:name w:val="正文160"/>
    <w:pPr>
      <w:widowControl w:val="0"/>
      <w:jc w:val="both"/>
    </w:pPr>
    <w:rPr>
      <w:rFonts w:ascii="Calibri" w:eastAsia="宋体" w:hAnsi="Calibri" w:cs="Times New Roman"/>
      <w:kern w:val="2"/>
      <w:sz w:val="21"/>
      <w:szCs w:val="24"/>
      <w:lang w:val="en-US" w:eastAsia="zh-CN" w:bidi="ar-SA"/>
    </w:rPr>
  </w:style>
  <w:style w:type="paragraph" w:customStyle="1" w:styleId="7011">
    <w:name w:val="正文70"/>
    <w:pPr>
      <w:widowControl w:val="0"/>
      <w:jc w:val="both"/>
    </w:pPr>
    <w:rPr>
      <w:rFonts w:ascii="Calibri" w:eastAsia="宋体" w:hAnsi="Calibri" w:cs="Times New Roman"/>
      <w:kern w:val="2"/>
      <w:sz w:val="21"/>
      <w:szCs w:val="24"/>
      <w:lang w:val="en-US" w:eastAsia="zh-CN" w:bidi="ar-SA"/>
    </w:rPr>
  </w:style>
  <w:style w:type="paragraph" w:customStyle="1" w:styleId="5070">
    <w:name w:val="正文507"/>
    <w:pPr>
      <w:widowControl w:val="0"/>
      <w:jc w:val="both"/>
    </w:pPr>
    <w:rPr>
      <w:rFonts w:ascii="Calibri" w:eastAsia="宋体" w:hAnsi="Calibri"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0170">
    <w:name w:val="正文1017"/>
    <w:pPr>
      <w:widowControl w:val="0"/>
      <w:jc w:val="both"/>
    </w:pPr>
    <w:rPr>
      <w:rFonts w:ascii="Calibri" w:eastAsia="宋体" w:hAnsi="Calibri"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eastAsia="zh-CN" w:bidi="ar-SA"/>
    </w:rPr>
  </w:style>
  <w:style w:type="paragraph" w:customStyle="1" w:styleId="385">
    <w:name w:val="正文385"/>
    <w:pPr>
      <w:widowControl w:val="0"/>
      <w:jc w:val="both"/>
    </w:pPr>
    <w:rPr>
      <w:rFonts w:ascii="Calibri" w:eastAsia="宋体" w:hAnsi="Calibri" w:cs="Times New Roman"/>
      <w:kern w:val="2"/>
      <w:sz w:val="21"/>
      <w:szCs w:val="24"/>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a39">
    <w:name w:val="列项——"/>
    <w:pPr>
      <w:widowControl w:val="0"/>
      <w:numPr>
        <w:ilvl w:val="0"/>
        <w:numId w:val="23"/>
      </w:numPr>
      <w:tabs>
        <w:tab w:val="left" w:pos="420"/>
        <w:tab w:val="left" w:pos="4080"/>
      </w:tabs>
      <w:jc w:val="both"/>
    </w:pPr>
    <w:rPr>
      <w:rFonts w:ascii="宋体" w:eastAsia="宋体" w:hAnsi="Times New Roman" w:cs="Times New Roman"/>
      <w:kern w:val="2"/>
      <w:sz w:val="21"/>
      <w:szCs w:val="28"/>
      <w:lang w:val="en-US" w:eastAsia="zh-CN" w:bidi="ar-SA"/>
    </w:rPr>
  </w:style>
  <w:style w:type="paragraph" w:customStyle="1" w:styleId="5400">
    <w:name w:val="正文540"/>
    <w:pPr>
      <w:widowControl w:val="0"/>
      <w:jc w:val="both"/>
    </w:pPr>
    <w:rPr>
      <w:rFonts w:ascii="Calibri" w:eastAsia="宋体" w:hAnsi="Calibri"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4080">
    <w:name w:val="正文408"/>
    <w:pPr>
      <w:widowControl w:val="0"/>
      <w:jc w:val="both"/>
    </w:pPr>
    <w:rPr>
      <w:rFonts w:ascii="Calibri" w:eastAsia="宋体" w:hAnsi="Calibri"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1281">
    <w:name w:val="正文128"/>
    <w:next w:val="1173"/>
    <w:pPr>
      <w:widowControl w:val="0"/>
      <w:jc w:val="both"/>
    </w:pPr>
    <w:rPr>
      <w:rFonts w:ascii="Calibri" w:eastAsia="宋体" w:hAnsi="Calibri" w:cs="Times New Roman"/>
      <w:kern w:val="2"/>
      <w:sz w:val="21"/>
      <w:szCs w:val="24"/>
      <w:lang w:val="en-US" w:eastAsia="zh-CN" w:bidi="ar-SA"/>
    </w:rPr>
  </w:style>
  <w:style w:type="paragraph" w:customStyle="1" w:styleId="12210">
    <w:name w:val="纯文本122"/>
    <w:pPr>
      <w:widowControl w:val="0"/>
      <w:jc w:val="both"/>
    </w:pPr>
    <w:rPr>
      <w:rFonts w:ascii="宋体" w:eastAsia="宋体" w:hAnsi="Times New Roman" w:cs="Courier New"/>
      <w:kern w:val="2"/>
      <w:sz w:val="21"/>
      <w:szCs w:val="21"/>
      <w:lang w:val="en-US" w:eastAsia="zh-CN"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zh-CN"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7140">
    <w:name w:val="正文714"/>
    <w:pPr>
      <w:widowControl w:val="0"/>
      <w:jc w:val="both"/>
    </w:pPr>
    <w:rPr>
      <w:rFonts w:ascii="Calibri" w:eastAsia="宋体" w:hAnsi="Calibri" w:cs="Times New Roman"/>
      <w:kern w:val="2"/>
      <w:sz w:val="21"/>
      <w:szCs w:val="24"/>
      <w:lang w:val="en-US" w:eastAsia="zh-CN"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eastAsia="zh-CN"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bdr w:val="none" w:sz="0" w:space="0" w:color="auto"/>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eastAsia="zh-CN" w:bidi="ar-SA"/>
    </w:rPr>
  </w:style>
  <w:style w:type="paragraph" w:customStyle="1" w:styleId="10060">
    <w:name w:val="正文1006"/>
    <w:pPr>
      <w:widowControl w:val="0"/>
      <w:jc w:val="both"/>
    </w:pPr>
    <w:rPr>
      <w:rFonts w:ascii="Calibri" w:eastAsia="宋体" w:hAnsi="Calibri" w:cs="Times New Roman"/>
      <w:kern w:val="2"/>
      <w:sz w:val="21"/>
      <w:szCs w:val="22"/>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3320">
    <w:name w:val="正文332"/>
    <w:pPr>
      <w:widowControl w:val="0"/>
      <w:jc w:val="both"/>
    </w:pPr>
    <w:rPr>
      <w:rFonts w:ascii="Calibri" w:eastAsia="宋体" w:hAnsi="Calibri" w:cs="Times New Roman"/>
      <w:kern w:val="2"/>
      <w:sz w:val="21"/>
      <w:szCs w:val="24"/>
      <w:lang w:val="en-US" w:eastAsia="zh-CN"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eastAsia="zh-CN" w:bidi="ar-SA"/>
    </w:rPr>
  </w:style>
  <w:style w:type="paragraph" w:customStyle="1" w:styleId="7211">
    <w:name w:val="正文72"/>
    <w:pPr>
      <w:widowControl w:val="0"/>
      <w:jc w:val="both"/>
    </w:pPr>
    <w:rPr>
      <w:rFonts w:ascii="Calibri" w:eastAsia="宋体" w:hAnsi="Calibri"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zh-CN" w:bidi="ar-SA"/>
    </w:rPr>
  </w:style>
  <w:style w:type="paragraph" w:customStyle="1" w:styleId="546">
    <w:name w:val="正文5"/>
    <w:pPr>
      <w:widowControl w:val="0"/>
      <w:jc w:val="both"/>
    </w:pPr>
    <w:rPr>
      <w:rFonts w:ascii="Calibri" w:eastAsia="宋体" w:hAnsi="Calibri" w:cs="Times New Roman"/>
      <w:kern w:val="2"/>
      <w:sz w:val="21"/>
      <w:szCs w:val="24"/>
      <w:lang w:val="en-US" w:eastAsia="zh-CN" w:bidi="ar-SA"/>
    </w:rPr>
  </w:style>
  <w:style w:type="paragraph" w:customStyle="1" w:styleId="3611">
    <w:name w:val="正文361"/>
    <w:pPr>
      <w:widowControl w:val="0"/>
      <w:jc w:val="both"/>
    </w:pPr>
    <w:rPr>
      <w:rFonts w:ascii="Calibri" w:eastAsia="宋体" w:hAnsi="Calibri" w:cs="Times New Roman"/>
      <w:kern w:val="2"/>
      <w:sz w:val="21"/>
      <w:szCs w:val="24"/>
      <w:lang w:val="en-US" w:eastAsia="zh-CN" w:bidi="ar-SA"/>
    </w:rPr>
  </w:style>
  <w:style w:type="paragraph" w:customStyle="1" w:styleId="8411">
    <w:name w:val="正文84"/>
    <w:pPr>
      <w:widowControl w:val="0"/>
      <w:jc w:val="both"/>
    </w:pPr>
    <w:rPr>
      <w:rFonts w:ascii="Calibri" w:eastAsia="宋体" w:hAnsi="Calibri" w:cs="Times New Roman"/>
      <w:kern w:val="2"/>
      <w:sz w:val="21"/>
      <w:szCs w:val="24"/>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3050">
    <w:name w:val="正文305"/>
    <w:pPr>
      <w:widowControl w:val="0"/>
      <w:jc w:val="both"/>
    </w:pPr>
    <w:rPr>
      <w:rFonts w:ascii="Calibri" w:eastAsia="宋体" w:hAnsi="Calibri"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0360">
    <w:name w:val="正文1036"/>
    <w:rPr>
      <w:rFonts w:ascii="Calibri" w:eastAsia="宋体" w:hAnsi="Calibri" w:cs="Times New Roman"/>
      <w:kern w:val="2"/>
      <w:sz w:val="21"/>
      <w:szCs w:val="21"/>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133">
    <w:name w:val="正文1133"/>
    <w:pPr>
      <w:widowControl w:val="0"/>
      <w:jc w:val="both"/>
    </w:pPr>
    <w:rPr>
      <w:rFonts w:ascii="Calibri" w:eastAsia="宋体" w:hAnsi="Calibri" w:cs="Times New Roman"/>
      <w:kern w:val="2"/>
      <w:sz w:val="21"/>
      <w:szCs w:val="24"/>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5760">
    <w:name w:val="正文576"/>
    <w:pPr>
      <w:widowControl w:val="0"/>
      <w:jc w:val="both"/>
    </w:pPr>
    <w:rPr>
      <w:rFonts w:ascii="Calibri" w:eastAsia="宋体" w:hAnsi="Calibri" w:cs="Times New Roman"/>
      <w:kern w:val="2"/>
      <w:sz w:val="21"/>
      <w:szCs w:val="24"/>
      <w:lang w:val="en-US" w:eastAsia="zh-CN"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43810">
    <w:name w:val="样式 438 10 磅"/>
    <w:next w:val="1163"/>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509">
    <w:name w:val="正文509"/>
    <w:pPr>
      <w:widowControl w:val="0"/>
      <w:jc w:val="both"/>
    </w:pPr>
    <w:rPr>
      <w:rFonts w:ascii="Calibri" w:eastAsia="宋体" w:hAnsi="Calibri" w:cs="Times New Roman"/>
      <w:kern w:val="2"/>
      <w:sz w:val="21"/>
      <w:szCs w:val="24"/>
      <w:lang w:val="en-US" w:eastAsia="zh-CN"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zh-CN" w:bidi="ar-SA"/>
    </w:rPr>
  </w:style>
  <w:style w:type="paragraph" w:customStyle="1" w:styleId="995">
    <w:name w:val="正文99"/>
    <w:pPr>
      <w:widowControl w:val="0"/>
      <w:jc w:val="both"/>
    </w:pPr>
    <w:rPr>
      <w:rFonts w:ascii="Calibri" w:eastAsia="宋体" w:hAnsi="Calibri" w:cs="Times New Roman"/>
      <w:kern w:val="2"/>
      <w:sz w:val="21"/>
      <w:szCs w:val="24"/>
      <w:lang w:val="en-US" w:eastAsia="zh-CN"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bdr w:val="none" w:sz="0" w:space="0" w:color="auto"/>
      <w:lang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zh-CN" w:bidi="ar-SA"/>
    </w:rPr>
  </w:style>
  <w:style w:type="paragraph" w:customStyle="1" w:styleId="1712">
    <w:name w:val="纯文本17"/>
    <w:pPr>
      <w:widowControl w:val="0"/>
      <w:jc w:val="both"/>
    </w:pPr>
    <w:rPr>
      <w:rFonts w:ascii="宋体" w:eastAsia="宋体" w:hAnsi="Times New Roman" w:cs="Courier New"/>
      <w:kern w:val="2"/>
      <w:sz w:val="21"/>
      <w:szCs w:val="21"/>
      <w:lang w:val="en-US" w:eastAsia="zh-CN"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zh-CN"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zh-CN" w:bidi="ar-SA"/>
    </w:rPr>
  </w:style>
  <w:style w:type="paragraph" w:customStyle="1" w:styleId="467">
    <w:name w:val="纯文本46"/>
    <w:pPr>
      <w:widowControl w:val="0"/>
      <w:jc w:val="both"/>
    </w:pPr>
    <w:rPr>
      <w:rFonts w:ascii="宋体" w:eastAsia="宋体" w:hAnsi="Times New Roman" w:cs="Courier New"/>
      <w:kern w:val="2"/>
      <w:sz w:val="21"/>
      <w:szCs w:val="21"/>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9650">
    <w:name w:val="正文965"/>
    <w:pPr>
      <w:widowControl w:val="0"/>
      <w:jc w:val="both"/>
    </w:pPr>
    <w:rPr>
      <w:rFonts w:ascii="Calibri" w:eastAsia="宋体" w:hAnsi="Calibri" w:cs="Times New Roman"/>
      <w:kern w:val="2"/>
      <w:sz w:val="21"/>
      <w:szCs w:val="22"/>
      <w:lang w:val="en-US" w:eastAsia="zh-CN" w:bidi="ar-SA"/>
    </w:rPr>
  </w:style>
  <w:style w:type="paragraph" w:customStyle="1" w:styleId="2400">
    <w:name w:val="正文240"/>
    <w:pPr>
      <w:widowControl w:val="0"/>
      <w:jc w:val="both"/>
    </w:pPr>
    <w:rPr>
      <w:rFonts w:ascii="Calibri" w:eastAsia="宋体" w:hAnsi="Calibri" w:cs="Times New Roman"/>
      <w:kern w:val="2"/>
      <w:sz w:val="21"/>
      <w:szCs w:val="24"/>
      <w:lang w:val="en-US" w:eastAsia="zh-CN" w:bidi="ar-SA"/>
    </w:rPr>
  </w:style>
  <w:style w:type="paragraph" w:customStyle="1" w:styleId="9560">
    <w:name w:val="正文956"/>
    <w:pPr>
      <w:widowControl w:val="0"/>
      <w:jc w:val="both"/>
    </w:pPr>
    <w:rPr>
      <w:rFonts w:ascii="Calibri" w:eastAsia="宋体" w:hAnsi="Calibri" w:cs="Times New Roman"/>
      <w:kern w:val="2"/>
      <w:sz w:val="21"/>
      <w:szCs w:val="22"/>
      <w:lang w:val="en-US" w:eastAsia="zh-CN" w:bidi="ar-SA"/>
    </w:rPr>
  </w:style>
  <w:style w:type="paragraph" w:customStyle="1" w:styleId="41210">
    <w:name w:val="样式 412 10 磅"/>
    <w:pPr>
      <w:widowControl w:val="0"/>
      <w:jc w:val="both"/>
    </w:pPr>
    <w:rPr>
      <w:rFonts w:ascii="宋体" w:eastAsia="宋体" w:hAnsi="Times New Roman" w:cs="Times New Roman"/>
      <w:kern w:val="2"/>
      <w:sz w:val="21"/>
      <w:szCs w:val="21"/>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1137">
    <w:name w:val="1"/>
    <w:pPr>
      <w:ind w:firstLine="200"/>
      <w:jc w:val="both"/>
    </w:pPr>
    <w:rPr>
      <w:rFonts w:ascii="宋体" w:eastAsia="宋体" w:hAnsi="Times New Roman" w:cs="Calibri"/>
      <w:kern w:val="2"/>
      <w:sz w:val="28"/>
      <w:szCs w:val="28"/>
      <w:lang w:val="en-US" w:eastAsia="zh-CN" w:bidi="ar-SA"/>
    </w:rPr>
  </w:style>
  <w:style w:type="paragraph" w:customStyle="1" w:styleId="9950">
    <w:name w:val="正文995"/>
    <w:pPr>
      <w:widowControl w:val="0"/>
      <w:jc w:val="both"/>
    </w:pPr>
    <w:rPr>
      <w:rFonts w:ascii="Calibri" w:eastAsia="宋体" w:hAnsi="Calibri" w:cs="Times New Roman"/>
      <w:kern w:val="2"/>
      <w:sz w:val="21"/>
      <w:szCs w:val="24"/>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2"/>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9180">
    <w:name w:val="正文918"/>
    <w:pPr>
      <w:widowControl w:val="0"/>
      <w:jc w:val="both"/>
    </w:pPr>
    <w:rPr>
      <w:rFonts w:ascii="Calibri" w:eastAsia="宋体" w:hAnsi="Calibri" w:cs="Times New Roman"/>
      <w:kern w:val="2"/>
      <w:sz w:val="21"/>
      <w:szCs w:val="24"/>
      <w:lang w:val="en-US" w:eastAsia="zh-CN" w:bidi="ar-SA"/>
    </w:rPr>
  </w:style>
  <w:style w:type="paragraph" w:customStyle="1" w:styleId="348">
    <w:name w:val="正文3"/>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zh-CN" w:bidi="ar-SA"/>
    </w:rPr>
  </w:style>
  <w:style w:type="paragraph" w:customStyle="1" w:styleId="6811">
    <w:name w:val="纯文本68"/>
    <w:pPr>
      <w:widowControl w:val="0"/>
      <w:jc w:val="both"/>
    </w:pPr>
    <w:rPr>
      <w:rFonts w:ascii="宋体" w:eastAsia="宋体" w:hAnsi="Times New Roman" w:cs="Courier New"/>
      <w:kern w:val="2"/>
      <w:sz w:val="21"/>
      <w:szCs w:val="21"/>
      <w:lang w:val="en-US" w:eastAsia="zh-CN" w:bidi="ar-SA"/>
    </w:rPr>
  </w:style>
  <w:style w:type="paragraph" w:customStyle="1" w:styleId="1315">
    <w:name w:val="纯文本13"/>
    <w:pPr>
      <w:widowControl w:val="0"/>
      <w:jc w:val="both"/>
    </w:pPr>
    <w:rPr>
      <w:rFonts w:ascii="宋体" w:eastAsia="宋体" w:hAnsi="Times New Roman" w:cs="Courier New"/>
      <w:kern w:val="2"/>
      <w:sz w:val="21"/>
      <w:szCs w:val="21"/>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eastAsia="zh-CN" w:bidi="ar-SA"/>
    </w:rPr>
  </w:style>
  <w:style w:type="paragraph" w:customStyle="1" w:styleId="997">
    <w:name w:val="纯文本99"/>
    <w:pPr>
      <w:widowControl w:val="0"/>
      <w:jc w:val="both"/>
    </w:pPr>
    <w:rPr>
      <w:rFonts w:ascii="宋体" w:eastAsia="宋体" w:hAnsi="Times New Roman" w:cs="Courier New"/>
      <w:kern w:val="2"/>
      <w:sz w:val="21"/>
      <w:szCs w:val="21"/>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eastAsia="zh-CN"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eastAsia="zh-CN"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eastAsia="zh-CN"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eastAsia="zh-CN"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eastAsia="zh-CN" w:bidi="ar-SA"/>
    </w:rPr>
  </w:style>
  <w:style w:type="paragraph" w:customStyle="1" w:styleId="1514">
    <w:name w:val="纯文本15"/>
    <w:pPr>
      <w:widowControl w:val="0"/>
      <w:jc w:val="both"/>
    </w:pPr>
    <w:rPr>
      <w:rFonts w:ascii="宋体" w:eastAsia="宋体" w:hAnsi="Times New Roman" w:cs="Courier New"/>
      <w:kern w:val="2"/>
      <w:sz w:val="21"/>
      <w:szCs w:val="21"/>
      <w:lang w:val="en-US" w:eastAsia="zh-CN"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eastAsia="zh-CN"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9330">
    <w:name w:val="正文933"/>
    <w:pPr>
      <w:widowControl w:val="0"/>
      <w:jc w:val="both"/>
    </w:pPr>
    <w:rPr>
      <w:rFonts w:ascii="Calibri" w:eastAsia="宋体" w:hAnsi="Calibri" w:cs="Times New Roman"/>
      <w:kern w:val="2"/>
      <w:sz w:val="21"/>
      <w:szCs w:val="24"/>
      <w:lang w:val="en-US" w:eastAsia="zh-CN" w:bidi="ar-SA"/>
    </w:rPr>
  </w:style>
  <w:style w:type="paragraph" w:customStyle="1" w:styleId="5311">
    <w:name w:val="纯文本53"/>
    <w:pPr>
      <w:widowControl w:val="0"/>
      <w:jc w:val="both"/>
    </w:pPr>
    <w:rPr>
      <w:rFonts w:ascii="宋体" w:eastAsia="宋体" w:hAnsi="Times New Roman" w:cs="Courier New"/>
      <w:kern w:val="2"/>
      <w:sz w:val="21"/>
      <w:szCs w:val="21"/>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zh-CN" w:bidi="ar-SA"/>
    </w:rPr>
  </w:style>
  <w:style w:type="paragraph" w:customStyle="1" w:styleId="11280">
    <w:name w:val="正文1128"/>
    <w:pPr>
      <w:widowControl w:val="0"/>
      <w:jc w:val="both"/>
    </w:pPr>
    <w:rPr>
      <w:rFonts w:ascii="Calibri" w:eastAsia="宋体" w:hAnsi="Calibri"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9000">
    <w:name w:val="正文900"/>
    <w:pPr>
      <w:widowControl w:val="0"/>
      <w:jc w:val="both"/>
    </w:pPr>
    <w:rPr>
      <w:rFonts w:ascii="Calibri" w:eastAsia="宋体" w:hAnsi="Calibri" w:cs="Times New Roman"/>
      <w:kern w:val="2"/>
      <w:sz w:val="21"/>
      <w:szCs w:val="22"/>
      <w:lang w:val="en-US" w:eastAsia="zh-CN"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eastAsia="zh-CN" w:bidi="ar-SA"/>
    </w:rPr>
  </w:style>
  <w:style w:type="paragraph" w:customStyle="1" w:styleId="1840">
    <w:name w:val="正文184"/>
    <w:pPr>
      <w:widowControl w:val="0"/>
      <w:jc w:val="both"/>
    </w:pPr>
    <w:rPr>
      <w:rFonts w:ascii="Calibri" w:eastAsia="宋体" w:hAnsi="Calibri"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eastAsia="zh-CN"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zh-CN" w:bidi="ar-SA"/>
    </w:rPr>
  </w:style>
  <w:style w:type="paragraph" w:customStyle="1" w:styleId="9230">
    <w:name w:val="正文923"/>
    <w:pPr>
      <w:widowControl w:val="0"/>
      <w:jc w:val="both"/>
    </w:pPr>
    <w:rPr>
      <w:rFonts w:ascii="Calibri" w:eastAsia="宋体" w:hAnsi="Calibri" w:cs="Times New Roman"/>
      <w:kern w:val="2"/>
      <w:sz w:val="21"/>
      <w:szCs w:val="24"/>
      <w:lang w:val="en-US" w:eastAsia="zh-CN" w:bidi="ar-SA"/>
    </w:rPr>
  </w:style>
  <w:style w:type="paragraph" w:customStyle="1" w:styleId="1185">
    <w:name w:val="正文11"/>
    <w:pPr>
      <w:widowControl w:val="0"/>
      <w:jc w:val="both"/>
    </w:pPr>
    <w:rPr>
      <w:rFonts w:ascii="Calibri" w:eastAsia="宋体" w:hAnsi="Calibri" w:cs="Times New Roman"/>
      <w:kern w:val="2"/>
      <w:sz w:val="21"/>
      <w:szCs w:val="22"/>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zh-CN"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eastAsia="zh-CN" w:bidi="ar-SA"/>
    </w:rPr>
  </w:style>
  <w:style w:type="paragraph" w:customStyle="1" w:styleId="6390">
    <w:name w:val="正文639"/>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eastAsia="zh-CN" w:bidi="ar-SA"/>
    </w:rPr>
  </w:style>
  <w:style w:type="paragraph" w:customStyle="1" w:styleId="5680">
    <w:name w:val="正文568"/>
    <w:pPr>
      <w:widowControl w:val="0"/>
      <w:jc w:val="both"/>
    </w:pPr>
    <w:rPr>
      <w:rFonts w:ascii="Calibri" w:eastAsia="宋体" w:hAnsi="Calibri" w:cs="Times New Roman"/>
      <w:kern w:val="2"/>
      <w:sz w:val="21"/>
      <w:szCs w:val="24"/>
      <w:lang w:val="en-US" w:eastAsia="zh-CN" w:bidi="ar-SA"/>
    </w:rPr>
  </w:style>
  <w:style w:type="paragraph" w:customStyle="1" w:styleId="7070">
    <w:name w:val="正文707"/>
    <w:pPr>
      <w:widowControl w:val="0"/>
      <w:jc w:val="both"/>
    </w:pPr>
    <w:rPr>
      <w:rFonts w:ascii="Calibri" w:eastAsia="宋体" w:hAnsi="Calibri"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eastAsia="zh-CN" w:bidi="ar-SA"/>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3520">
    <w:name w:val="正文352"/>
    <w:pPr>
      <w:widowControl w:val="0"/>
      <w:jc w:val="both"/>
    </w:pPr>
    <w:rPr>
      <w:rFonts w:ascii="Calibri" w:eastAsia="宋体" w:hAnsi="Calibri" w:cs="Times New Roman"/>
      <w:kern w:val="2"/>
      <w:sz w:val="21"/>
      <w:szCs w:val="24"/>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2540">
    <w:name w:val="正文254"/>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6630">
    <w:name w:val="正文663"/>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zh-CN" w:bidi="ar-SA"/>
    </w:rPr>
  </w:style>
  <w:style w:type="paragraph" w:customStyle="1" w:styleId="6520">
    <w:name w:val="正文652"/>
    <w:pPr>
      <w:widowControl w:val="0"/>
      <w:jc w:val="both"/>
    </w:pPr>
    <w:rPr>
      <w:rFonts w:ascii="Calibri" w:eastAsia="宋体" w:hAnsi="Calibri" w:cs="Times New Roman"/>
      <w:kern w:val="2"/>
      <w:sz w:val="21"/>
      <w:szCs w:val="24"/>
      <w:lang w:val="en-US" w:eastAsia="zh-CN" w:bidi="ar-SA"/>
    </w:rPr>
  </w:style>
  <w:style w:type="paragraph" w:customStyle="1" w:styleId="10540">
    <w:name w:val="正文1054"/>
    <w:rPr>
      <w:rFonts w:ascii="Calibri" w:eastAsia="宋体" w:hAnsi="Calibri" w:cs="Times New Roman"/>
      <w:kern w:val="2"/>
      <w:sz w:val="21"/>
      <w:szCs w:val="21"/>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410">
    <w:name w:val="样式 454 10 磅"/>
    <w:next w:val="169"/>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eastAsia="zh-CN" w:bidi="ar-SA"/>
    </w:rPr>
  </w:style>
  <w:style w:type="paragraph" w:customStyle="1" w:styleId="47110">
    <w:name w:val="样式 471 10 磅"/>
    <w:pPr>
      <w:widowControl w:val="0"/>
      <w:jc w:val="both"/>
    </w:pPr>
    <w:rPr>
      <w:rFonts w:ascii="等线" w:eastAsia="等线" w:hAnsi="Times New Roman" w:cs="Arial"/>
      <w:kern w:val="2"/>
      <w:sz w:val="21"/>
      <w:szCs w:val="22"/>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1411">
    <w:name w:val="正文114"/>
    <w:next w:val="1163"/>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zh-CN" w:bidi="ar-SA"/>
    </w:rPr>
  </w:style>
  <w:style w:type="paragraph" w:customStyle="1" w:styleId="8870">
    <w:name w:val="正文887"/>
    <w:pPr>
      <w:widowControl w:val="0"/>
      <w:jc w:val="both"/>
    </w:pPr>
    <w:rPr>
      <w:rFonts w:ascii="Calibri" w:eastAsia="宋体" w:hAnsi="Calibri" w:cs="Times New Roman"/>
      <w:kern w:val="2"/>
      <w:sz w:val="21"/>
      <w:szCs w:val="22"/>
      <w:lang w:val="en-US" w:eastAsia="zh-CN"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eastAsia="zh-CN"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eastAsia="zh-CN" w:bidi="ar-SA"/>
    </w:rPr>
  </w:style>
  <w:style w:type="paragraph" w:customStyle="1" w:styleId="7611">
    <w:name w:val="正文761"/>
    <w:pPr>
      <w:widowControl w:val="0"/>
      <w:jc w:val="both"/>
    </w:pPr>
    <w:rPr>
      <w:rFonts w:ascii="Calibri" w:eastAsia="宋体" w:hAnsi="Calibri" w:cs="Times New Roman"/>
      <w:kern w:val="2"/>
      <w:sz w:val="21"/>
      <w:szCs w:val="24"/>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6411">
    <w:name w:val="纯文本64"/>
    <w:pPr>
      <w:widowControl w:val="0"/>
      <w:jc w:val="both"/>
    </w:pPr>
    <w:rPr>
      <w:rFonts w:ascii="宋体" w:eastAsia="宋体" w:hAnsi="Times New Roman" w:cs="Courier New"/>
      <w:kern w:val="2"/>
      <w:sz w:val="21"/>
      <w:szCs w:val="21"/>
      <w:lang w:val="en-US" w:eastAsia="zh-CN" w:bidi="ar-SA"/>
    </w:rPr>
  </w:style>
  <w:style w:type="paragraph" w:customStyle="1" w:styleId="7511">
    <w:name w:val="正文751"/>
    <w:pPr>
      <w:widowControl w:val="0"/>
      <w:jc w:val="both"/>
    </w:pPr>
    <w:rPr>
      <w:rFonts w:ascii="Calibri" w:eastAsia="宋体" w:hAnsi="Calibri" w:cs="Times New Roman"/>
      <w:kern w:val="2"/>
      <w:sz w:val="21"/>
      <w:szCs w:val="24"/>
      <w:lang w:val="en-US" w:eastAsia="zh-CN"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eastAsia="zh-CN" w:bidi="ar-SA"/>
    </w:rPr>
  </w:style>
  <w:style w:type="paragraph" w:customStyle="1" w:styleId="8112">
    <w:name w:val="纯文本81"/>
    <w:pPr>
      <w:widowControl w:val="0"/>
      <w:jc w:val="both"/>
    </w:pPr>
    <w:rPr>
      <w:rFonts w:ascii="宋体" w:eastAsia="宋体" w:hAnsi="Times New Roman" w:cs="Courier New"/>
      <w:kern w:val="2"/>
      <w:sz w:val="21"/>
      <w:szCs w:val="21"/>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eastAsia="zh-CN" w:bidi="ar-SA"/>
    </w:rPr>
  </w:style>
  <w:style w:type="paragraph" w:customStyle="1" w:styleId="8380">
    <w:name w:val="正文838"/>
    <w:pPr>
      <w:widowControl w:val="0"/>
      <w:jc w:val="both"/>
    </w:pPr>
    <w:rPr>
      <w:rFonts w:ascii="Calibri" w:eastAsia="宋体" w:hAnsi="Calibri" w:cs="Times New Roman"/>
      <w:kern w:val="2"/>
      <w:sz w:val="21"/>
      <w:szCs w:val="22"/>
      <w:lang w:val="en-US" w:eastAsia="zh-CN" w:bidi="ar-SA"/>
    </w:rPr>
  </w:style>
  <w:style w:type="paragraph" w:customStyle="1" w:styleId="11320">
    <w:name w:val="正文1132"/>
    <w:pPr>
      <w:widowControl w:val="0"/>
      <w:jc w:val="both"/>
    </w:pPr>
    <w:rPr>
      <w:rFonts w:ascii="Calibri" w:eastAsia="宋体" w:hAnsi="Calibri" w:cs="Times New Roman"/>
      <w:kern w:val="2"/>
      <w:sz w:val="21"/>
      <w:szCs w:val="24"/>
      <w:lang w:val="en-US" w:eastAsia="zh-CN"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zh-CN" w:bidi="ar-SA"/>
    </w:rPr>
  </w:style>
  <w:style w:type="paragraph" w:customStyle="1" w:styleId="6160">
    <w:name w:val="正文616"/>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470">
    <w:name w:val="正文1047"/>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7560">
    <w:name w:val="正文756"/>
    <w:pPr>
      <w:widowControl w:val="0"/>
      <w:jc w:val="both"/>
    </w:pPr>
    <w:rPr>
      <w:rFonts w:ascii="Calibri" w:eastAsia="宋体" w:hAnsi="Calibri" w:cs="Times New Roman"/>
      <w:kern w:val="2"/>
      <w:sz w:val="21"/>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7312">
    <w:name w:val="纯文本73"/>
    <w:pPr>
      <w:widowControl w:val="0"/>
      <w:jc w:val="both"/>
    </w:pPr>
    <w:rPr>
      <w:rFonts w:ascii="宋体" w:eastAsia="宋体" w:hAnsi="Times New Roman" w:cs="Courier New"/>
      <w:kern w:val="2"/>
      <w:sz w:val="21"/>
      <w:szCs w:val="21"/>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eastAsia="zh-CN" w:bidi="ar-SA"/>
    </w:rPr>
  </w:style>
  <w:style w:type="paragraph" w:customStyle="1" w:styleId="5800">
    <w:name w:val="正文580"/>
    <w:pPr>
      <w:widowControl w:val="0"/>
      <w:jc w:val="both"/>
    </w:pPr>
    <w:rPr>
      <w:rFonts w:ascii="Calibri" w:eastAsia="宋体" w:hAnsi="Calibri"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eastAsia="zh-CN"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zh-CN"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9111">
    <w:name w:val="样式 9 11 磅"/>
    <w:rPr>
      <w:rFonts w:ascii="Calibri" w:eastAsia="宋体" w:hAnsi="Calibri" w:cs="Times New Roman"/>
      <w:sz w:val="22"/>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zh-CN"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3115">
    <w:name w:val="正文文本 31"/>
    <w:rPr>
      <w:rFonts w:ascii="宋体" w:eastAsia="宋体" w:hAnsi="Times New Roman" w:cs="宋体"/>
      <w:kern w:val="2"/>
      <w:sz w:val="24"/>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eastAsia="zh-CN" w:bidi="ar-SA"/>
    </w:rPr>
  </w:style>
  <w:style w:type="paragraph" w:customStyle="1" w:styleId="299">
    <w:name w:val="正文299"/>
    <w:pPr>
      <w:widowControl w:val="0"/>
      <w:jc w:val="both"/>
    </w:pPr>
    <w:rPr>
      <w:rFonts w:ascii="Calibri" w:eastAsia="宋体" w:hAnsi="Calibri" w:cs="Times New Roman"/>
      <w:kern w:val="2"/>
      <w:sz w:val="21"/>
      <w:szCs w:val="24"/>
      <w:lang w:val="en-US" w:eastAsia="zh-CN" w:bidi="ar-SA"/>
    </w:rPr>
  </w:style>
  <w:style w:type="paragraph" w:customStyle="1" w:styleId="10911">
    <w:name w:val="正文109"/>
    <w:pPr>
      <w:widowControl w:val="0"/>
      <w:jc w:val="both"/>
    </w:pPr>
    <w:rPr>
      <w:rFonts w:ascii="Calibri" w:eastAsia="宋体" w:hAnsi="Calibri" w:cs="Times New Roman"/>
      <w:kern w:val="2"/>
      <w:sz w:val="21"/>
      <w:szCs w:val="24"/>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eastAsia="zh-CN" w:bidi="ar-SA"/>
    </w:rPr>
  </w:style>
  <w:style w:type="paragraph" w:customStyle="1" w:styleId="3330">
    <w:name w:val="正文333"/>
    <w:pPr>
      <w:widowControl w:val="0"/>
      <w:jc w:val="both"/>
    </w:pPr>
    <w:rPr>
      <w:rFonts w:ascii="Calibri" w:eastAsia="宋体" w:hAnsi="Calibri" w:cs="Times New Roman"/>
      <w:kern w:val="2"/>
      <w:sz w:val="21"/>
      <w:szCs w:val="24"/>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zh-CN" w:bidi="ar-SA"/>
    </w:rPr>
  </w:style>
  <w:style w:type="paragraph" w:customStyle="1" w:styleId="1820">
    <w:name w:val="正文182"/>
    <w:pPr>
      <w:widowControl w:val="0"/>
      <w:jc w:val="both"/>
    </w:pPr>
    <w:rPr>
      <w:rFonts w:ascii="Calibri" w:eastAsia="宋体" w:hAnsi="Calibri"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6413">
    <w:name w:val="正文64"/>
    <w:pPr>
      <w:widowControl w:val="0"/>
      <w:jc w:val="both"/>
    </w:pPr>
    <w:rPr>
      <w:rFonts w:ascii="Calibri" w:eastAsia="宋体" w:hAnsi="Calibri" w:cs="Times New Roman"/>
      <w:kern w:val="2"/>
      <w:sz w:val="21"/>
      <w:szCs w:val="24"/>
      <w:lang w:val="en-US" w:eastAsia="zh-CN"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zh-CN"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4114">
    <w:name w:val="正文_4_1"/>
    <w:next w:val="a8"/>
    <w:pPr>
      <w:widowControl w:val="0"/>
      <w:jc w:val="both"/>
    </w:pPr>
    <w:rPr>
      <w:rFonts w:ascii="Calibri" w:eastAsia="宋体" w:hAnsi="Calibri" w:cs="Times New Roman"/>
      <w:kern w:val="2"/>
      <w:sz w:val="21"/>
      <w:szCs w:val="22"/>
      <w:lang w:val="en-US" w:eastAsia="zh-CN" w:bidi="ar-SA"/>
    </w:rPr>
  </w:style>
  <w:style w:type="paragraph" w:customStyle="1" w:styleId="5880">
    <w:name w:val="正文588"/>
    <w:pPr>
      <w:widowControl w:val="0"/>
      <w:jc w:val="both"/>
    </w:pPr>
    <w:rPr>
      <w:rFonts w:ascii="Calibri" w:eastAsia="宋体" w:hAnsi="Calibri" w:cs="Times New Roman"/>
      <w:kern w:val="2"/>
      <w:sz w:val="21"/>
      <w:szCs w:val="24"/>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eastAsia="zh-CN" w:bidi="ar-SA"/>
    </w:rPr>
  </w:style>
  <w:style w:type="paragraph" w:customStyle="1" w:styleId="6330">
    <w:name w:val="正文633"/>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45210">
    <w:name w:val="样式 452 10 磅"/>
    <w:next w:val="1075"/>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91510">
    <w:name w:val="样式 1915 10 磅"/>
    <w:pPr>
      <w:widowControl w:val="0"/>
      <w:numPr>
        <w:ilvl w:val="0"/>
        <w:numId w:val="19"/>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eastAsia="zh-CN" w:bidi="ar-SA"/>
    </w:rPr>
  </w:style>
  <w:style w:type="paragraph" w:customStyle="1" w:styleId="4211">
    <w:name w:val="纯文本42"/>
    <w:pPr>
      <w:widowControl w:val="0"/>
      <w:jc w:val="both"/>
    </w:pPr>
    <w:rPr>
      <w:rFonts w:ascii="宋体" w:eastAsia="宋体" w:hAnsi="Times New Roman" w:cs="Courier New"/>
      <w:kern w:val="2"/>
      <w:sz w:val="21"/>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1540">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4911">
    <w:name w:val="纯文本49"/>
    <w:pPr>
      <w:widowControl w:val="0"/>
      <w:jc w:val="both"/>
    </w:pPr>
    <w:rPr>
      <w:rFonts w:ascii="宋体" w:eastAsia="宋体" w:hAnsi="Times New Roman" w:cs="Courier New"/>
      <w:kern w:val="2"/>
      <w:sz w:val="21"/>
      <w:szCs w:val="21"/>
      <w:lang w:val="en-US" w:eastAsia="zh-CN" w:bidi="ar-SA"/>
    </w:rPr>
  </w:style>
  <w:style w:type="paragraph" w:customStyle="1" w:styleId="1650">
    <w:name w:val="正文165"/>
    <w:pPr>
      <w:widowControl w:val="0"/>
      <w:jc w:val="both"/>
    </w:pPr>
    <w:rPr>
      <w:rFonts w:ascii="Calibri" w:eastAsia="宋体" w:hAnsi="Calibri" w:cs="Times New Roman"/>
      <w:kern w:val="2"/>
      <w:sz w:val="21"/>
      <w:szCs w:val="24"/>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zh-CN"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317">
    <w:name w:val="纯文本131"/>
    <w:pPr>
      <w:widowControl w:val="0"/>
      <w:jc w:val="both"/>
    </w:pPr>
    <w:rPr>
      <w:rFonts w:ascii="宋体" w:eastAsia="宋体" w:hAnsi="Times New Roman" w:cs="Courier New"/>
      <w:kern w:val="2"/>
      <w:sz w:val="21"/>
      <w:szCs w:val="21"/>
      <w:lang w:val="en-US" w:eastAsia="zh-CN" w:bidi="ar-SA"/>
    </w:rPr>
  </w:style>
  <w:style w:type="paragraph" w:customStyle="1" w:styleId="4260">
    <w:name w:val="正文426"/>
    <w:pPr>
      <w:widowControl w:val="0"/>
      <w:jc w:val="both"/>
    </w:pPr>
    <w:rPr>
      <w:rFonts w:ascii="Calibri" w:eastAsia="宋体" w:hAnsi="Calibri" w:cs="Times New Roman"/>
      <w:kern w:val="2"/>
      <w:sz w:val="21"/>
      <w:szCs w:val="24"/>
      <w:lang w:val="en-US" w:eastAsia="zh-CN" w:bidi="ar-SA"/>
    </w:rPr>
  </w:style>
  <w:style w:type="paragraph" w:customStyle="1" w:styleId="3450">
    <w:name w:val="正文345"/>
    <w:pPr>
      <w:widowControl w:val="0"/>
      <w:jc w:val="both"/>
    </w:pPr>
    <w:rPr>
      <w:rFonts w:ascii="Calibri" w:eastAsia="宋体" w:hAnsi="Calibri" w:cs="Times New Roman"/>
      <w:kern w:val="2"/>
      <w:sz w:val="21"/>
      <w:szCs w:val="24"/>
      <w:lang w:val="en-US" w:eastAsia="zh-CN"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zh-CN"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3680">
    <w:name w:val="正文368"/>
    <w:pPr>
      <w:widowControl w:val="0"/>
      <w:jc w:val="both"/>
    </w:pPr>
    <w:rPr>
      <w:rFonts w:ascii="Calibri" w:eastAsia="宋体" w:hAnsi="Calibri" w:cs="Times New Roman"/>
      <w:kern w:val="2"/>
      <w:sz w:val="21"/>
      <w:szCs w:val="24"/>
      <w:lang w:val="en-US" w:eastAsia="zh-CN" w:bidi="ar-SA"/>
    </w:rPr>
  </w:style>
  <w:style w:type="paragraph" w:customStyle="1" w:styleId="3740">
    <w:name w:val="正文374"/>
    <w:pPr>
      <w:widowControl w:val="0"/>
      <w:jc w:val="both"/>
    </w:pPr>
    <w:rPr>
      <w:rFonts w:ascii="Calibri" w:eastAsia="宋体" w:hAnsi="Calibri"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10"/>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4001">
    <w:name w:val="正文400"/>
    <w:pPr>
      <w:widowControl w:val="0"/>
      <w:jc w:val="both"/>
    </w:pPr>
    <w:rPr>
      <w:rFonts w:ascii="Calibri" w:eastAsia="宋体" w:hAnsi="Calibri"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8080">
    <w:name w:val="正文808"/>
    <w:pPr>
      <w:widowControl w:val="0"/>
      <w:jc w:val="both"/>
    </w:pPr>
    <w:rPr>
      <w:rFonts w:ascii="Calibri" w:eastAsia="宋体" w:hAnsi="Calibri" w:cs="Times New Roman"/>
      <w:kern w:val="2"/>
      <w:sz w:val="21"/>
      <w:szCs w:val="22"/>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eastAsia="zh-CN"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zh-CN" w:bidi="ar-SA"/>
    </w:rPr>
  </w:style>
  <w:style w:type="paragraph" w:customStyle="1" w:styleId="BP">
    <w:name w:val="BP一级"/>
    <w:basedOn w:val="Normal"/>
    <w:link w:val="BPChar"/>
    <w:autoRedefine/>
    <w:pPr>
      <w:widowControl/>
      <w:spacing w:line="360" w:lineRule="auto"/>
      <w:ind w:firstLine="200" w:firstLineChars="200"/>
      <w:jc w:val="left"/>
      <w:outlineLvl w:val="0"/>
    </w:pPr>
    <w:rPr>
      <w:rFonts w:ascii="方正仿宋_GBK" w:eastAsia="黑体" w:hAnsi="方正仿宋_GBK"/>
      <w:b/>
      <w:sz w:val="28"/>
      <w:szCs w:val="28"/>
    </w:rPr>
  </w:style>
  <w:style w:type="character" w:customStyle="1" w:styleId="BPChar">
    <w:name w:val="BP一级 Char"/>
    <w:basedOn w:val="DefaultParagraphFont"/>
    <w:link w:val="BP"/>
    <w:autoRedefine/>
    <w:rPr>
      <w:rFonts w:ascii="方正仿宋_GBK" w:eastAsia="黑体" w:hAnsi="方正仿宋_GBK" w:cs="Times New Roman"/>
      <w:b/>
      <w:kern w:val="2"/>
      <w:sz w:val="28"/>
      <w:szCs w:val="28"/>
      <w:lang w:val="en-US" w:eastAsia="zh-CN" w:bidi="ar-SA"/>
    </w:rPr>
  </w:style>
  <w:style w:type="paragraph" w:customStyle="1" w:styleId="BP0">
    <w:name w:val="BP二级"/>
    <w:basedOn w:val="Normal"/>
    <w:autoRedefine/>
    <w:pPr>
      <w:widowControl/>
      <w:autoSpaceDN w:val="0"/>
      <w:spacing w:line="360" w:lineRule="auto"/>
      <w:ind w:firstLine="200" w:firstLineChars="200"/>
      <w:outlineLvl w:val="1"/>
    </w:pPr>
    <w:rPr>
      <w:rFonts w:ascii="方正仿宋_GBK" w:eastAsia="方正仿宋_GBK"/>
      <w:b/>
      <w:sz w:val="28"/>
      <w:szCs w:val="28"/>
    </w:rPr>
  </w:style>
  <w:style w:type="paragraph" w:customStyle="1" w:styleId="BP3">
    <w:name w:val="BP3级"/>
    <w:basedOn w:val="BP0"/>
    <w:next w:val="BP1"/>
    <w:autoRedefine/>
    <w:pPr>
      <w:outlineLvl w:val="2"/>
    </w:pPr>
  </w:style>
  <w:style w:type="paragraph" w:customStyle="1" w:styleId="BP1">
    <w:name w:val="BP正文"/>
    <w:basedOn w:val="Normal"/>
    <w:autoRedefine/>
    <w:pPr>
      <w:widowControl/>
      <w:spacing w:line="360" w:lineRule="auto"/>
      <w:ind w:firstLine="200" w:firstLineChars="200"/>
      <w:jc w:val="left"/>
    </w:pPr>
    <w:rPr>
      <w:rFonts w:ascii="方正仿宋_GBK" w:eastAsia="方正仿宋_GBK"/>
      <w:sz w:val="28"/>
      <w:szCs w:val="28"/>
    </w:rPr>
  </w:style>
  <w:style w:type="paragraph" w:customStyle="1" w:styleId="194710">
    <w:name w:val="样式 194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1521">
    <w:name w:val="正文_1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0">
    <w:name w:val="样式 35 10 磅_0"/>
    <w:pPr>
      <w:widowControl w:val="0"/>
      <w:jc w:val="both"/>
    </w:pPr>
    <w:rPr>
      <w:rFonts w:ascii="Times New Roman" w:eastAsia="宋体" w:hAnsi="Times New Roman" w:cs="Times New Roman"/>
      <w:kern w:val="2"/>
      <w:sz w:val="21"/>
      <w:szCs w:val="22"/>
      <w:lang w:val="en-US" w:eastAsia="zh-CN" w:bidi="ar-SA"/>
    </w:rPr>
  </w:style>
  <w:style w:type="table" w:styleId="TableGrid">
    <w:name w:val="Table Grid"/>
    <w:basedOn w:val="TableNormal"/>
    <w:qFormat/>
    <w:pPr>
      <w:widowControl w:val="0"/>
      <w:jc w:val="both"/>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sectPr/>
    <sectPr/>
    <sectPr/>
    <sectPr/>
    <sectPr/>
    <sectPr/>
    <sectPr/>
  </customProps>
</customData>
</file>

<file path=customXml/itemProps1.xml><?xml version="1.0" encoding="utf-8"?>
<ds:datastoreItem xmlns:ds="http://schemas.openxmlformats.org/officeDocument/2006/customXml" ds:itemID="{6E30EDB5-500B-4CEC-962E-3A1D0BA1977F}">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14094907</TotalTime>
  <Pages>115</Pages>
  <Words>0</Words>
  <Characters>38211</Characters>
  <Application>Microsoft Office Word</Application>
  <DocSecurity>0</DocSecurity>
  <Lines>0</Lines>
  <Paragraphs>903</Paragraphs>
  <ScaleCrop>false</ScaleCrop>
  <Company>ms</Company>
  <LinksUpToDate>false</LinksUpToDate>
  <CharactersWithSpaces>50948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任宇</cp:lastModifiedBy>
  <cp:revision>6</cp:revision>
  <cp:lastPrinted>2020-06-24T09:06:00Z</cp:lastPrinted>
  <dcterms:created xsi:type="dcterms:W3CDTF">2021-11-24T16:33:00Z</dcterms:created>
  <dcterms:modified xsi:type="dcterms:W3CDTF">2024-06-21T00:37:09Z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