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CG2025-BJ-JC-FW-002-C01</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海关总署2025年近代海关史料抢救修复和数字化专项工作第七期</w:t>
      </w:r>
      <w:r>
        <w:rPr>
          <w:rFonts w:ascii="宋体"/>
          <w:color w:val="0000FF"/>
          <w:sz w:val="32"/>
          <w:lang w:val="en-US" w:eastAsia="zh-CN"/>
        </w:rPr>
        <w:t>（重新招标）</w:t>
      </w:r>
      <w:r>
        <w:rPr>
          <w:rFonts w:ascii="宋体" w:hint="eastAsia"/>
          <w:color w:val="0000FF"/>
          <w:sz w:val="32"/>
          <w:lang w:val="en-US" w:eastAsia="zh-CN"/>
        </w:rPr>
        <w:t>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2025年0</w:t>
      </w:r>
      <w:r>
        <w:rPr>
          <w:rFonts w:ascii="宋体"/>
          <w:b/>
          <w:bCs/>
          <w:color w:val="0000FF"/>
          <w:sz w:val="32"/>
          <w:szCs w:val="32"/>
        </w:rPr>
        <w:t>8</w:t>
      </w:r>
      <w:r>
        <w:rPr>
          <w:rFonts w:ascii="宋体" w:hint="eastAsia"/>
          <w:b/>
          <w:bCs/>
          <w:color w:val="0000FF"/>
          <w:sz w:val="32"/>
          <w:szCs w:val="32"/>
        </w:rPr>
        <w:t>月</w:t>
      </w:r>
      <w:bookmarkEnd w:id="2"/>
    </w:p>
    <w:p>
      <w:pPr>
        <w:pStyle w:val="NormalIndent"/>
        <w:ind w:firstLine="0" w:firstLineChars="0"/>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4</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21</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22</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23</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24</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海关总署2025年近代海关史料抢救修复和数字化专项工作第七期（重新招标）采购项目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海关总署2025年近代海关史料抢救修复和数字化专项工作第七期（重新招标）采购项目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CG2025-BJ-JC-FW-002-C01</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海关总署</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本项目预算金额合计总金额人民币600,000.00元，其中包1人民币600,000.00元。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Pr>
          <w:p>
            <w:pPr>
              <w:spacing w:after="120" w:line="240" w:lineRule="auto"/>
              <w:rPr>
                <w:rFonts w:ascii="宋体"/>
                <w:b/>
                <w:color w:val="0000FF"/>
                <w:sz w:val="24"/>
                <w:highlight w:val="white"/>
              </w:rPr>
            </w:pPr>
            <w:bookmarkStart w:id="10" w:name="货物一览表_packageName"/>
            <w:r>
              <w:rPr>
                <w:rFonts w:ascii="宋体"/>
                <w:b/>
                <w:color w:val="0000FF"/>
                <w:sz w:val="24"/>
                <w:highlight w:val="white"/>
              </w:rPr>
              <w:t>包件号</w:t>
            </w:r>
            <w:bookmarkEnd w:id="10"/>
          </w:p>
        </w:tc>
        <w:tc>
          <w:tcPr>
            <w:tcW w:w="813" w:type="dxa"/>
          </w:tcPr>
          <w:p>
            <w:pPr>
              <w:spacing w:after="120" w:line="240" w:lineRule="auto"/>
              <w:rPr>
                <w:rFonts w:ascii="宋体"/>
                <w:b/>
                <w:color w:val="0000FF"/>
                <w:sz w:val="24"/>
                <w:highlight w:val="white"/>
              </w:rPr>
            </w:pPr>
            <w:bookmarkStart w:id="11" w:name="货物一览表_index"/>
            <w:r>
              <w:rPr>
                <w:rFonts w:ascii="宋体"/>
                <w:b/>
                <w:color w:val="0000FF"/>
                <w:sz w:val="24"/>
                <w:highlight w:val="white"/>
              </w:rPr>
              <w:t>序号</w:t>
            </w:r>
            <w:bookmarkEnd w:id="11"/>
          </w:p>
        </w:tc>
        <w:tc>
          <w:tcPr>
            <w:tcW w:w="1327" w:type="dxa"/>
          </w:tcPr>
          <w:p>
            <w:pPr>
              <w:spacing w:after="120" w:line="240" w:lineRule="auto"/>
              <w:rPr>
                <w:rFonts w:ascii="宋体"/>
                <w:b/>
                <w:color w:val="0000FF"/>
                <w:sz w:val="24"/>
                <w:highlight w:val="white"/>
              </w:rPr>
            </w:pPr>
            <w:bookmarkStart w:id="12" w:name="货物一览表_goodsName"/>
            <w:r>
              <w:rPr>
                <w:rFonts w:ascii="宋体" w:hint="eastAsia"/>
                <w:b/>
                <w:color w:val="0000FF"/>
                <w:sz w:val="24"/>
                <w:highlight w:val="white"/>
                <w:lang w:val="en-US" w:eastAsia="zh-CN"/>
              </w:rPr>
              <w:t>服务内容</w:t>
            </w:r>
            <w:bookmarkEnd w:id="12"/>
          </w:p>
        </w:tc>
        <w:tc>
          <w:tcPr>
            <w:tcW w:w="839" w:type="dxa"/>
          </w:tcPr>
          <w:p>
            <w:pPr>
              <w:spacing w:after="120" w:line="240" w:lineRule="auto"/>
              <w:rPr>
                <w:rFonts w:ascii="宋体"/>
                <w:b/>
                <w:color w:val="0000FF"/>
                <w:sz w:val="24"/>
                <w:highlight w:val="white"/>
              </w:rPr>
            </w:pPr>
            <w:bookmarkStart w:id="13" w:name="货物一览表_nums"/>
            <w:r>
              <w:rPr>
                <w:rFonts w:ascii="宋体"/>
                <w:b/>
                <w:color w:val="0000FF"/>
                <w:sz w:val="24"/>
                <w:highlight w:val="white"/>
              </w:rPr>
              <w:t>数量</w:t>
            </w:r>
            <w:bookmarkEnd w:id="13"/>
          </w:p>
        </w:tc>
        <w:tc>
          <w:tcPr>
            <w:tcW w:w="1847" w:type="dxa"/>
          </w:tcPr>
          <w:p>
            <w:pPr>
              <w:spacing w:after="120" w:line="240" w:lineRule="auto"/>
              <w:rPr>
                <w:rFonts w:ascii="宋体"/>
                <w:b/>
                <w:color w:val="0000FF"/>
                <w:sz w:val="24"/>
                <w:highlight w:val="white"/>
              </w:rPr>
            </w:pPr>
            <w:bookmarkStart w:id="14" w:name="货物一览表_deliveryDate"/>
            <w:r>
              <w:rPr>
                <w:rFonts w:ascii="宋体" w:hint="eastAsia"/>
                <w:b/>
                <w:color w:val="0000FF"/>
                <w:sz w:val="24"/>
                <w:highlight w:val="white"/>
                <w:lang w:val="en-US" w:eastAsia="zh-CN"/>
              </w:rPr>
              <w:t>服务完成时间</w:t>
            </w:r>
            <w:bookmarkEnd w:id="14"/>
          </w:p>
        </w:tc>
        <w:tc>
          <w:tcPr>
            <w:tcW w:w="1260" w:type="dxa"/>
          </w:tcPr>
          <w:p>
            <w:pPr>
              <w:spacing w:after="120" w:line="240" w:lineRule="auto"/>
              <w:rPr>
                <w:rFonts w:ascii="宋体"/>
                <w:b/>
                <w:color w:val="0000FF"/>
                <w:sz w:val="24"/>
                <w:highlight w:val="white"/>
              </w:rPr>
            </w:pPr>
            <w:bookmarkStart w:id="15"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5"/>
          </w:p>
        </w:tc>
        <w:tc>
          <w:tcPr>
            <w:tcW w:w="1366"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服务要求</w:t>
            </w:r>
            <w:bookmarkEnd w:id="16"/>
          </w:p>
        </w:tc>
      </w:tr>
      <w:tr>
        <w:tblPrEx>
          <w:tblW w:w="8519" w:type="dxa"/>
          <w:jc w:val="left"/>
          <w:tblInd w:w="0" w:type="dxa"/>
          <w:tblLayout w:type="fixed"/>
          <w:tblCellMar>
            <w:top w:w="0" w:type="dxa"/>
            <w:left w:w="108" w:type="dxa"/>
            <w:bottom w:w="0" w:type="dxa"/>
            <w:right w:w="108" w:type="dxa"/>
          </w:tblCellMar>
        </w:tblPrEx>
        <w:trPr>
          <w:jc w:val="left"/>
        </w:trPr>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近代海关史料抢救修复和数字化专项工作第七期</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签订合同后5个月内</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详见采购文件</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7" w:name="公告_industryType"/>
      <w:r>
        <w:rPr>
          <w:rFonts w:ascii="宋体" w:hint="eastAsia"/>
          <w:b/>
          <w:bCs/>
          <w:color w:val="0000FF"/>
          <w:sz w:val="24"/>
          <w:highlight w:val="none"/>
        </w:rPr>
        <w:t>软件和信息技术服务业</w:t>
      </w:r>
      <w:bookmarkEnd w:id="17"/>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1.投标人必须对所投标包中的所有服务进行投标，不允许拆包投标。</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8"/>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9"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2、开标日通过“信用中国”网站、中国政府采购网查询，未被列入“失信被执行人、重大税收违法案件当事人名单、政府采购严重违法失信行为记录名单”的。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3、从采购机构在本公告中规定的渠道获取了招标文件，且在法律上和财务上独立于采购机构。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（1）本项目不接受联合体投标。</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（2）本项目不接受进口产品投标（进口产品是指通过中国海关报关，验放进入中国境内，且产自关境外的产品）。</w:t>
      </w:r>
      <w:bookmarkEnd w:id="19"/>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b/>
          <w:color w:val="auto"/>
          <w:sz w:val="24"/>
          <w:highlight w:val="white"/>
        </w:rPr>
        <w:t>2025-08-05 00:00:00</w:t>
      </w:r>
      <w:bookmarkEnd w:id="20"/>
      <w:r>
        <w:rPr>
          <w:rFonts w:ascii="宋体" w:hint="eastAsia"/>
          <w:b/>
          <w:color w:val="auto"/>
          <w:sz w:val="24"/>
          <w:highlight w:val="white"/>
        </w:rPr>
        <w:t>至</w:t>
      </w:r>
      <w:bookmarkStart w:id="21" w:name="公告_signUpLastTime"/>
      <w:r>
        <w:rPr>
          <w:rFonts w:ascii="宋体" w:hint="eastAsia"/>
          <w:sz w:val="24"/>
        </w:rPr>
        <w:t>2025-08-12 23:59:59</w:t>
      </w:r>
      <w:bookmarkEnd w:id="21"/>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22" w:name="项目公告_bidLastTime_1"/>
      <w:r>
        <w:rPr>
          <w:rFonts w:ascii="宋体" w:hint="eastAsia"/>
          <w:color w:val="000000"/>
          <w:sz w:val="24"/>
        </w:rPr>
        <w:t>2025-08-27 08:45:00</w:t>
      </w:r>
      <w:bookmarkEnd w:id="22"/>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23"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010-65194937（业务咨询）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24" w:name="_Hlt14560614"/>
      <w:bookmarkEnd w:id="23"/>
      <w:bookmarkEnd w:id="24"/>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25" w:name="公告_siteSurvey"/>
      <w:r>
        <w:rPr>
          <w:rFonts w:ascii="Wingdings 2" w:eastAsia="宋体" w:hAnsi="Wingdings 2" w:cs="Times New Roman"/>
          <w:b/>
          <w:color w:val="0000FF"/>
          <w:kern w:val="2"/>
          <w:sz w:val="24"/>
          <w:szCs w:val="24"/>
          <w:highlight w:val="white"/>
          <w:lang w:val="en-US" w:eastAsia="zh-CN" w:bidi="ar-SA"/>
        </w:rPr>
        <w:t>不适用</w:t>
      </w:r>
      <w:bookmarkEnd w:id="25"/>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26" w:name="任务单_publicDate"/>
      <w:r>
        <w:rPr>
          <w:rFonts w:ascii="宋体" w:hint="eastAsia"/>
          <w:sz w:val="24"/>
        </w:rPr>
        <w:t>于2025-04-07</w:t>
      </w:r>
      <w:bookmarkEnd w:id="26"/>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w:t>
      </w:r>
      <w:r>
        <w:rPr>
          <w:rFonts w:ascii="宋体"/>
          <w:sz w:val="24"/>
        </w:rPr>
        <w:t>2025</w:t>
      </w:r>
      <w:r>
        <w:rPr>
          <w:rFonts w:ascii="宋体" w:hint="eastAsia"/>
          <w:sz w:val="24"/>
        </w:rPr>
        <w:t>年</w:t>
      </w:r>
      <w:r>
        <w:rPr>
          <w:rFonts w:ascii="宋体"/>
          <w:sz w:val="24"/>
        </w:rPr>
        <w:t>8</w:t>
      </w:r>
      <w:r>
        <w:rPr>
          <w:rFonts w:ascii="宋体" w:hint="eastAsia"/>
          <w:sz w:val="24"/>
        </w:rPr>
        <w:t>月</w:t>
      </w:r>
      <w:r>
        <w:rPr>
          <w:rFonts w:ascii="宋体"/>
          <w:sz w:val="24"/>
        </w:rPr>
        <w:t>27</w:t>
      </w:r>
      <w:r>
        <w:rPr>
          <w:rFonts w:ascii="宋体" w:hint="eastAsia"/>
          <w:sz w:val="24"/>
        </w:rPr>
        <w:t>日</w:t>
      </w:r>
      <w:r>
        <w:rPr>
          <w:rFonts w:ascii="宋体"/>
          <w:sz w:val="24"/>
        </w:rPr>
        <w:t>10</w:t>
      </w:r>
      <w:r>
        <w:rPr>
          <w:rFonts w:ascii="宋体" w:hint="eastAsia"/>
          <w:sz w:val="24"/>
        </w:rPr>
        <w:t>点</w:t>
      </w:r>
      <w:r>
        <w:rPr>
          <w:rFonts w:ascii="宋体"/>
          <w:sz w:val="24"/>
        </w:rPr>
        <w:t>00</w:t>
      </w:r>
      <w:r>
        <w:rPr>
          <w:rFonts w:ascii="宋体" w:hint="eastAsia"/>
          <w:sz w:val="24"/>
        </w:rPr>
        <w:t>分前登陆腾讯会议（会议号：</w:t>
      </w:r>
      <w:r>
        <w:rPr>
          <w:rFonts w:ascii="宋体"/>
          <w:sz w:val="24"/>
        </w:rPr>
        <w:t>742 224 211</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7" w:name="_Toc31833529"/>
      <w:r>
        <w:rPr>
          <w:rFonts w:ascii="宋体" w:hint="eastAsia"/>
          <w:b/>
          <w:color w:val="000000"/>
          <w:kern w:val="0"/>
          <w:sz w:val="30"/>
          <w:szCs w:val="30"/>
        </w:rPr>
        <w:t>第二部分  供应商须知</w:t>
      </w:r>
      <w:bookmarkEnd w:id="27"/>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8" w:name="采购任务单_purchaserOrgName"/>
            <w:r>
              <w:rPr>
                <w:rFonts w:ascii="宋体" w:hint="eastAsia"/>
                <w:b/>
                <w:bCs/>
                <w:color w:val="0000FF"/>
                <w:sz w:val="24"/>
                <w:lang w:val="en-US" w:eastAsia="zh-CN"/>
              </w:rPr>
              <w:t>海关总署</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9" w:name="供应商须知_projectName_2"/>
            <w:r>
              <w:rPr>
                <w:rFonts w:ascii="宋体" w:hint="eastAsia"/>
                <w:b/>
                <w:bCs/>
                <w:color w:val="0000FF"/>
                <w:sz w:val="24"/>
              </w:rPr>
              <w:t>海关总署2025年近代海关史料抢救修复和数字化专项工作第七期采购项目</w:t>
            </w:r>
            <w:bookmarkEnd w:id="29"/>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本项目预算金额合计总金额人民币600,000.00元，其中包1人民币600,000.00元。</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供应商须知_maxPrice"/>
            <w:r>
              <w:rPr>
                <w:rFonts w:ascii="宋体" w:cs="微软雅黑" w:hint="eastAsia"/>
                <w:color w:val="0000FF"/>
                <w:sz w:val="24"/>
                <w:highlight w:val="white"/>
                <w:lang w:bidi="ar-SA"/>
              </w:rPr>
              <w:t>600,000.00</w:t>
            </w:r>
            <w:bookmarkEnd w:id="31"/>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32" w:name="投标须知_agentBidding"/>
            <w:r>
              <w:rPr>
                <w:rFonts w:ascii="宋体" w:cs="微软雅黑" w:hint="eastAsia"/>
                <w:sz w:val="24"/>
                <w:lang w:bidi="ar-SA"/>
              </w:rPr>
              <w:t>否</w:t>
            </w:r>
            <w:bookmarkEnd w:id="3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4" w:name="采购任务单_purchaserOrgName_1"/>
      <w:r>
        <w:rPr>
          <w:rFonts w:ascii="宋体" w:hint="eastAsia"/>
          <w:color w:val="0000FF"/>
          <w:sz w:val="24"/>
          <w:lang w:val="en-US" w:eastAsia="zh-CN"/>
        </w:rPr>
        <w:t>海关总署</w:t>
      </w:r>
      <w:bookmarkEnd w:id="34"/>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35" w:name="商务资质证明文件"/>
      <w:r>
        <w:rPr>
          <w:rFonts w:ascii="宋体" w:hint="eastAsia"/>
          <w:color w:val="000000"/>
          <w:kern w:val="0"/>
          <w:sz w:val="24"/>
          <w:szCs w:val="21"/>
          <w:highlight w:val="white"/>
        </w:rPr>
        <w:t>★（1）《商务偏离表》，格式见第六部分（加盖投标人电子签章）。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（3）投标人提供2022年7月1日至本项目招标公告发布之日止（以合同签订日期为准）同类服务项目业绩相关材料。（具体要求详见评审标准，加盖投标人电子签章）。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（4）证明投标人满足投标人资格标准的其他必要资格证明文件（如有）（加盖投标人电子签章）。</w:t>
      </w:r>
      <w:bookmarkEnd w:id="35"/>
    </w:p>
    <w:p>
      <w:pPr>
        <w:pStyle w:val="1067"/>
        <w:spacing w:line="360" w:lineRule="auto"/>
        <w:ind w:firstLine="480" w:firstLineChars="200"/>
        <w:rPr>
          <w:rFonts w:ascii="宋体"/>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6" w:name="服务应答文件"/>
      <w:r>
        <w:rPr>
          <w:rFonts w:ascii="宋体" w:hint="eastAsia"/>
          <w:color w:val="000000"/>
          <w:sz w:val="24"/>
          <w:szCs w:val="24"/>
        </w:rPr>
        <w:t>（1）投标人需提供售后服务方案，具体要求见第四部分评审标准要求（加盖投标人电子签章）。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投标人按项目需求书提供团队服务人员名单（包括项目履历、在本项目担任的角色等）、提供投标截止前3个月内任意一个月的社保缴纳证明材料或劳动合同等证明材料（未提供的不予认定），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color w:val="000000"/>
          <w:sz w:val="24"/>
          <w:szCs w:val="24"/>
        </w:rPr>
      </w:pPr>
      <w:r>
        <w:rPr>
          <w:rFonts w:ascii="宋体" w:hint="eastAsia"/>
          <w:color w:val="000000"/>
          <w:sz w:val="24"/>
          <w:szCs w:val="24"/>
        </w:rPr>
        <w:t>（3）投标人认为应该提供的其他证明材料（如有）（加盖投标人电子签章）。</w:t>
      </w:r>
      <w:bookmarkEnd w:id="36"/>
    </w:p>
    <w:p>
      <w:pPr>
        <w:pStyle w:val="1067"/>
        <w:widowControl/>
        <w:spacing w:line="360" w:lineRule="auto"/>
        <w:ind w:firstLine="480" w:firstLineChars="200"/>
        <w:rPr>
          <w:rFonts w:ascii="宋体"/>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7" w:name="_Toc31833530"/>
      <w:r>
        <w:rPr>
          <w:rFonts w:ascii="宋体" w:hint="eastAsia"/>
          <w:b/>
          <w:bCs/>
          <w:color w:val="000000"/>
          <w:kern w:val="0"/>
          <w:sz w:val="30"/>
          <w:szCs w:val="30"/>
        </w:rPr>
        <w:t>第三部分 项目需求书</w:t>
      </w:r>
      <w:bookmarkEnd w:id="37"/>
    </w:p>
    <w:p>
      <w:pPr>
        <w:pStyle w:val="BodyText3"/>
        <w:rPr>
          <w:rFonts w:ascii="宋体" w:eastAsia="宋体" w:hint="eastAsia"/>
          <w:sz w:val="21"/>
          <w:szCs w:val="21"/>
        </w:rPr>
      </w:pPr>
      <w:bookmarkStart w:id="38"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4"/>
        <w:numPr>
          <w:ilvl w:val="0"/>
          <w:numId w:val="7"/>
        </w:numPr>
        <w:rPr>
          <w:rFonts w:ascii="宋体" w:eastAsia="宋体" w:hint="eastAsia"/>
          <w:lang w:val="en-US"/>
        </w:rPr>
      </w:pPr>
      <w:bookmarkStart w:id="39" w:name="采购政策落实"/>
      <w:r>
        <w:rPr>
          <w:rFonts w:ascii="宋体" w:eastAsia="宋体"/>
          <w:lang w:val="en-US"/>
        </w:rPr>
        <w:t>承诺项</w:t>
      </w:r>
    </w:p>
    <w:p>
      <w:pPr>
        <w:rPr>
          <w:rFonts w:ascii="宋体" w:eastAsia="宋体" w:cs="Times New Roman" w:hint="eastAsia"/>
          <w:kern w:val="2"/>
        </w:rPr>
      </w:pPr>
      <w:r>
        <w:rPr>
          <w:rFonts w:ascii="宋体" w:eastAsia="宋体" w:cs="宋体"/>
          <w:kern w:val="2"/>
          <w:lang w:bidi="ar-SA"/>
        </w:rPr>
        <w:t>1.</w:t>
      </w:r>
      <w:r>
        <w:rPr>
          <w:rFonts w:ascii="宋体" w:eastAsia="宋体" w:cs="宋体" w:hint="eastAsia"/>
          <w:kern w:val="2"/>
          <w:lang w:bidi="ar-SA"/>
        </w:rPr>
        <w:t>行业类型（必填项）：</w:t>
      </w:r>
      <w:r>
        <w:rPr>
          <w:rFonts w:cs="宋体" w:hint="eastAsia"/>
          <w:u w:val="single"/>
        </w:rPr>
        <w:t>软件和信息技术服务业</w:t>
      </w:r>
      <w:r>
        <w:rPr>
          <w:rFonts w:ascii="宋体" w:eastAsia="宋体" w:cs="Times New Roman" w:hint="eastAsia"/>
          <w:kern w:val="2"/>
        </w:rPr>
        <w:t xml:space="preserve">                                           </w:t>
      </w:r>
    </w:p>
    <w:p>
      <w:pPr>
        <w:rPr>
          <w:rFonts w:ascii="宋体" w:eastAsia="宋体" w:cs="Times New Roman" w:hint="eastAsia"/>
          <w:kern w:val="2"/>
        </w:rPr>
      </w:pPr>
      <w:r>
        <w:rPr>
          <w:rFonts w:ascii="宋体" w:eastAsia="宋体" w:cs="方正仿宋_GBK" w:hint="eastAsia"/>
          <w:kern w:val="2"/>
          <w:lang w:bidi="ar-SA"/>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hint="eastAsia"/>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  否  属于新建、改建或者采用购买服务方式的政务应用程序项目。</w:t>
      </w:r>
    </w:p>
    <w:p>
      <w:pPr>
        <w:rPr>
          <w:rFonts w:ascii="宋体" w:eastAsia="宋体" w:cs="方正仿宋_GBK"/>
          <w:kern w:val="2"/>
        </w:rPr>
      </w:pPr>
    </w:p>
    <w:p>
      <w:pPr>
        <w:rPr>
          <w:rFonts w:ascii="宋体" w:eastAsia="宋体" w:cs="方正仿宋_GBK"/>
          <w:kern w:val="2"/>
        </w:rPr>
      </w:pPr>
    </w:p>
    <w:p>
      <w:pPr>
        <w:pStyle w:val="Heading4"/>
        <w:ind w:left="0"/>
        <w:rPr>
          <w:rFonts w:ascii="宋体" w:eastAsia="宋体" w:hint="eastAsia"/>
          <w:lang w:val="en-US"/>
        </w:rPr>
      </w:pPr>
      <w:r>
        <w:rPr>
          <w:rFonts w:ascii="宋体" w:eastAsia="宋体"/>
          <w:lang w:val="en-US"/>
        </w:rPr>
        <w:t>二、</w:t>
      </w:r>
      <w:r>
        <w:rPr>
          <w:rFonts w:ascii="宋体" w:eastAsia="宋体" w:hint="eastAsia"/>
          <w:lang w:val="en-US"/>
        </w:rPr>
        <w:t>采购政策落实</w:t>
      </w:r>
      <w:bookmarkEnd w:id="39"/>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jc w:val="center"/>
              <w:rPr>
                <w:rFonts w:ascii="宋体" w:cs="Calibri"/>
                <w:b/>
              </w:rPr>
            </w:pPr>
            <w:bookmarkStart w:id="40" w:name="采购政策落实_index"/>
            <w:bookmarkStart w:id="41" w:name="商务需求"/>
            <w:bookmarkEnd w:id="40"/>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2"/>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12"/>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0"/>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Pr>
        <w:rPr>
          <w:rFonts w:hint="eastAsia"/>
        </w:rPr>
      </w:pPr>
    </w:p>
    <w:p>
      <w:pPr>
        <w:rPr>
          <w:rFonts w:ascii="宋体" w:eastAsia="宋体" w:hint="eastAsia"/>
          <w:color w:val="000000"/>
        </w:rPr>
      </w:pPr>
      <w:r>
        <w:rPr>
          <w:rFonts w:ascii="宋体" w:eastAsia="宋体" w:hint="eastAsia"/>
          <w:color w:val="000000"/>
        </w:rPr>
        <w:t>注：本项目不专门面向中小微企业、监狱企业、残疾人企业。</w:t>
      </w:r>
    </w:p>
    <w:p>
      <w:pPr>
        <w:pStyle w:val="Heading4"/>
        <w:ind w:left="0"/>
        <w:jc w:val="both"/>
        <w:rPr>
          <w:rFonts w:ascii="宋体" w:eastAsia="宋体" w:hint="eastAsia"/>
          <w:lang w:val="en-US"/>
        </w:rPr>
      </w:pPr>
      <w:r>
        <w:rPr>
          <w:rFonts w:ascii="宋体" w:eastAsia="宋体"/>
          <w:lang w:val="en-US"/>
        </w:rPr>
        <w:t>三、</w:t>
      </w:r>
      <w:r>
        <w:rPr>
          <w:rFonts w:ascii="宋体" w:eastAsia="宋体" w:hint="eastAsia"/>
          <w:lang w:val="en-US"/>
        </w:rPr>
        <w:t>商务需求</w:t>
      </w:r>
      <w:bookmarkEnd w:id="41"/>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序号</w:t>
            </w:r>
          </w:p>
        </w:tc>
        <w:tc>
          <w:tcPr>
            <w:tcW w:w="1830"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内容</w:t>
            </w:r>
          </w:p>
        </w:tc>
        <w:tc>
          <w:tcPr>
            <w:tcW w:w="2973"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说明</w:t>
            </w:r>
          </w:p>
        </w:tc>
        <w:tc>
          <w:tcPr>
            <w:tcW w:w="3281" w:type="dxa"/>
            <w:shd w:val="clear" w:color="A6A6A6" w:fill="A6A6A6"/>
            <w:vAlign w:val="center"/>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投标人资质</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color w:val="000000"/>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投标产品资质</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b/>
              </w:rPr>
            </w:pPr>
            <w:r>
              <w:rPr>
                <w:rFonts w:ascii="宋体" w:eastAsia="宋体" w:cs="Calibri" w:hint="eastAsia"/>
                <w:b/>
                <w:sz w:val="24"/>
                <w:szCs w:val="24"/>
              </w:rPr>
              <w:t>3</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核心产品</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b/>
                <w:sz w:val="24"/>
                <w:szCs w:val="24"/>
              </w:rPr>
              <w:t>4</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信息安全要求</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严格遵守《中华人民共和国档案法》《中华人民共和国保密法》。工作必须在指定的场所内进行，签订保密协议，确保场所正常工作秩序和安全，不得遗失、损坏图纸资料，如有违者，将追究法律责任和违约责任。</w:t>
            </w:r>
          </w:p>
        </w:tc>
        <w:tc>
          <w:tcPr>
            <w:tcW w:w="3281" w:type="dxa"/>
            <w:vAlign w:val="center"/>
          </w:tcPr>
          <w:p>
            <w:pPr>
              <w:ind w:firstLine="0"/>
              <w:rPr>
                <w:rFonts w:ascii="宋体" w:eastAsia="宋体"/>
                <w:i/>
                <w:iCs/>
                <w:lang w:bidi="en-US"/>
              </w:rPr>
            </w:pPr>
            <w:r>
              <w:rPr>
                <w:rFonts w:ascii="宋体" w:eastAsia="宋体" w:cs="宋体" w:hint="eastAsia"/>
              </w:rPr>
              <w:t>是，提供《承诺函》并加盖单位公章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5</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是否需要现场考察</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i/>
                <w:iCs/>
                <w:sz w:val="24"/>
                <w:szCs w:val="24"/>
                <w:lang w:val="en-US" w:bidi="en-US"/>
              </w:rPr>
              <w:t>无</w:t>
            </w:r>
          </w:p>
        </w:tc>
        <w:tc>
          <w:tcPr>
            <w:tcW w:w="3281"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6</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是否收取履约保证金</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是,本项目履约保证金为项目金额的10%。</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cs="Calibri"/>
                <w:sz w:val="24"/>
                <w:szCs w:val="24"/>
              </w:rPr>
              <w:t>7</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cs="Calibri"/>
                <w:b/>
                <w:sz w:val="24"/>
                <w:szCs w:val="24"/>
              </w:rPr>
              <w:t>支付方式</w:t>
            </w:r>
          </w:p>
        </w:tc>
        <w:tc>
          <w:tcPr>
            <w:tcW w:w="2973" w:type="dxa"/>
            <w:tcBorders>
              <w:top w:val="single" w:sz="4" w:space="0" w:color="auto"/>
              <w:left w:val="single" w:sz="4" w:space="0" w:color="auto"/>
              <w:right w:val="single" w:sz="4" w:space="0" w:color="auto"/>
            </w:tcBorders>
            <w:vAlign w:val="center"/>
          </w:tcPr>
          <w:p>
            <w:pPr>
              <w:ind w:firstLine="0"/>
              <w:rPr>
                <w:rFonts w:ascii="宋体" w:eastAsia="宋体"/>
                <w:i/>
                <w:iCs/>
                <w:lang w:bidi="en-US"/>
              </w:rPr>
            </w:pPr>
            <w:r>
              <w:rPr>
                <w:rFonts w:ascii="宋体" w:eastAsia="宋体" w:hint="eastAsia"/>
                <w:i/>
                <w:iCs/>
                <w:lang w:bidi="en-US"/>
              </w:rPr>
              <w:t>合同签订10个工作日内，甲方向乙方支付合同款项的50%，项目验收通过后，甲方向乙方支付合同款项的50%。</w:t>
            </w:r>
          </w:p>
        </w:tc>
        <w:tc>
          <w:tcPr>
            <w:tcW w:w="3281" w:type="dxa"/>
            <w:vAlign w:val="center"/>
          </w:tcPr>
          <w:p>
            <w:pPr>
              <w:ind w:firstLine="0"/>
              <w:rPr>
                <w:rFonts w:ascii="宋体" w:cs="宋体"/>
              </w:rPr>
            </w:pPr>
            <w:r>
              <w:rPr>
                <w:rFonts w:ascii="宋体" w:cs="宋体"/>
              </w:rPr>
              <w:t>否</w:t>
            </w:r>
          </w:p>
        </w:tc>
      </w:tr>
    </w:tbl>
    <w:p>
      <w:pPr>
        <w:pStyle w:val="Heading4"/>
        <w:tabs>
          <w:tab w:val="left" w:pos="0"/>
        </w:tabs>
        <w:rPr>
          <w:rFonts w:ascii="宋体" w:eastAsia="宋体" w:hint="eastAsia"/>
          <w:lang w:val="en-US"/>
        </w:rPr>
      </w:pPr>
      <w:bookmarkStart w:id="42" w:name="项目概述"/>
    </w:p>
    <w:p>
      <w:pPr>
        <w:rPr>
          <w:rFonts w:hint="eastAsia"/>
        </w:rPr>
      </w:pPr>
    </w:p>
    <w:p>
      <w:pPr>
        <w:pStyle w:val="Heading4"/>
        <w:ind w:left="0"/>
        <w:rPr>
          <w:rFonts w:ascii="宋体" w:eastAsia="宋体" w:hint="eastAsia"/>
          <w:lang w:val="en-US"/>
        </w:rPr>
      </w:pPr>
      <w:r>
        <w:rPr>
          <w:rFonts w:ascii="宋体" w:eastAsia="宋体"/>
          <w:lang w:val="en-US"/>
        </w:rPr>
        <w:t>四、</w:t>
      </w:r>
      <w:r>
        <w:rPr>
          <w:rFonts w:ascii="宋体" w:eastAsia="宋体" w:hint="eastAsia"/>
          <w:lang w:val="en-US"/>
        </w:rPr>
        <w:t>项目概述</w:t>
      </w:r>
      <w:bookmarkEnd w:id="42"/>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bookmarkStart w:id="43" w:name="项目概述_Title_说明_Required_Table"/>
            <w:r>
              <w:rPr>
                <w:rFonts w:ascii="宋体" w:eastAsia="宋体" w:cs="Calibri" w:hint="eastAsia"/>
                <w:b/>
                <w:sz w:val="24"/>
                <w:szCs w:val="24"/>
              </w:rPr>
              <w:t>说明</w:t>
            </w:r>
            <w:bookmarkEnd w:id="43"/>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6912"/>
              <w:spacing w:line="360" w:lineRule="auto"/>
              <w:ind w:left="0" w:firstLine="480" w:firstLineChars="200"/>
              <w:jc w:val="both"/>
              <w:rPr>
                <w:rFonts w:ascii="宋体" w:eastAsia="宋体"/>
                <w:lang w:bidi="en-US"/>
              </w:rPr>
            </w:pPr>
            <w:r>
              <w:rPr>
                <w:rFonts w:ascii="宋体" w:eastAsia="宋体" w:cs="Calibri"/>
                <w:sz w:val="24"/>
                <w:szCs w:val="24"/>
                <w:lang w:bidi="en-US"/>
              </w:rPr>
              <w:t>经报署领导同意，办公厅分期分批开展近代海关史料抢救修复和数字化专项工作。2018年9月，正式启动专项工作第一期。截至2024年12月底项目已经开展了六期，累计完成了5960件图纸资料的抢救修复、数字化、翻译、著录等工作。</w:t>
            </w:r>
          </w:p>
          <w:p>
            <w:pPr>
              <w:pStyle w:val="6912"/>
              <w:spacing w:line="360" w:lineRule="auto"/>
              <w:ind w:left="0" w:firstLine="480" w:firstLineChars="200"/>
              <w:jc w:val="both"/>
              <w:rPr>
                <w:rFonts w:ascii="宋体" w:eastAsia="宋体"/>
                <w:lang w:bidi="en-US"/>
              </w:rPr>
            </w:pPr>
            <w:r>
              <w:rPr>
                <w:rFonts w:ascii="宋体" w:eastAsia="宋体" w:cs="Calibri"/>
                <w:sz w:val="24"/>
                <w:szCs w:val="24"/>
                <w:lang w:bidi="en-US"/>
              </w:rPr>
              <w:t>为进一步做好近代海关史料安全保管及开发利用工作，办公厅拟开展第七期近代海关史料抢救修复及数字化专项工作。</w:t>
            </w:r>
          </w:p>
          <w:p>
            <w:pPr>
              <w:spacing w:line="360" w:lineRule="auto"/>
              <w:ind w:left="0" w:firstLine="480" w:firstLineChars="200"/>
              <w:jc w:val="both"/>
              <w:rPr>
                <w:rFonts w:ascii="宋体" w:eastAsia="宋体" w:hint="eastAsia"/>
                <w:lang w:bidi="en-US"/>
              </w:rPr>
            </w:pPr>
            <w:r>
              <w:rPr>
                <w:rFonts w:ascii="宋体" w:eastAsia="宋体" w:cs="Calibri"/>
                <w:sz w:val="24"/>
                <w:szCs w:val="24"/>
                <w:lang w:bidi="en-US"/>
              </w:rPr>
              <w:t>本期计划修复和数字化800件图纸资料，材质有机制纸、硫酸纸等，目前保存状况不良，有明显虫害、霉斑、水泡痕迹，脆化及缺失严重，并伴有严重断裂及折痕，装订形式有卷轴。如不尽快修复保护，将面临永久损坏无法恢复的状况。</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480" w:firstLineChars="200"/>
              <w:jc w:val="both"/>
              <w:rPr>
                <w:rFonts w:ascii="宋体" w:eastAsia="宋体" w:hint="eastAsia"/>
                <w:lang w:bidi="en-US"/>
              </w:rPr>
            </w:pPr>
            <w:r>
              <w:rPr>
                <w:rFonts w:ascii="宋体" w:eastAsia="宋体" w:cs="Calibri"/>
                <w:sz w:val="24"/>
                <w:szCs w:val="24"/>
                <w:lang w:bidi="en-US"/>
              </w:rPr>
              <w:t>依据《古籍修复技术规范与质量要求》（GB/T 21712-2008）、《档案著录规则》（DA/T 18-2022）、《纸质档案数字化技术规范》（DA/T 31-2017）、《海关档案数字化技术规范（试行）》（署办发〔2014〕64号）等标准规范开展近代海关史料抢救修复和数字化专项工作。</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7112"/>
              <w:spacing w:line="360" w:lineRule="auto"/>
              <w:ind w:left="0" w:firstLine="0"/>
              <w:jc w:val="both"/>
              <w:rPr>
                <w:rFonts w:ascii="宋体" w:eastAsia="宋体"/>
                <w:lang w:bidi="en-US"/>
              </w:rPr>
            </w:pPr>
            <w:r>
              <w:rPr>
                <w:rFonts w:ascii="宋体" w:eastAsia="宋体" w:cs="Calibri"/>
                <w:sz w:val="24"/>
                <w:szCs w:val="24"/>
                <w:lang w:bidi="en-US"/>
              </w:rPr>
              <w:t>1.修复800件图纸资料（包含硫酸纸）并填写修复档案。</w:t>
            </w:r>
          </w:p>
          <w:p>
            <w:pPr>
              <w:pStyle w:val="7112"/>
              <w:spacing w:line="360" w:lineRule="auto"/>
              <w:ind w:left="0" w:firstLine="0"/>
              <w:jc w:val="both"/>
              <w:rPr>
                <w:rFonts w:ascii="宋体" w:eastAsia="宋体"/>
                <w:lang w:bidi="en-US"/>
              </w:rPr>
            </w:pPr>
            <w:r>
              <w:rPr>
                <w:rFonts w:ascii="宋体" w:eastAsia="宋体" w:cs="Calibri"/>
                <w:sz w:val="24"/>
                <w:szCs w:val="24"/>
                <w:lang w:bidi="en-US"/>
              </w:rPr>
              <w:t>2.对800件图纸资料（包含硫酸纸）数字化。</w:t>
            </w:r>
          </w:p>
          <w:p>
            <w:pPr>
              <w:pStyle w:val="7112"/>
              <w:spacing w:line="360" w:lineRule="auto"/>
              <w:ind w:left="0" w:firstLine="0"/>
              <w:jc w:val="both"/>
              <w:rPr>
                <w:rFonts w:ascii="宋体" w:eastAsia="宋体"/>
                <w:lang w:bidi="en-US"/>
              </w:rPr>
            </w:pPr>
            <w:r>
              <w:rPr>
                <w:rFonts w:ascii="宋体" w:eastAsia="宋体" w:cs="Calibri"/>
                <w:sz w:val="24"/>
                <w:szCs w:val="24"/>
                <w:lang w:bidi="en-US"/>
              </w:rPr>
              <w:t>3.翻译。</w:t>
            </w:r>
          </w:p>
          <w:p>
            <w:pPr>
              <w:pStyle w:val="7112"/>
              <w:spacing w:line="360" w:lineRule="auto"/>
              <w:ind w:left="0" w:firstLine="0"/>
              <w:jc w:val="both"/>
              <w:rPr>
                <w:rFonts w:ascii="宋体" w:eastAsia="宋体"/>
                <w:lang w:bidi="en-US"/>
              </w:rPr>
            </w:pPr>
            <w:r>
              <w:rPr>
                <w:rFonts w:ascii="宋体" w:eastAsia="宋体" w:cs="Calibri"/>
                <w:sz w:val="24"/>
                <w:szCs w:val="24"/>
                <w:lang w:bidi="en-US"/>
              </w:rPr>
              <w:t>4.编目著录、打印目录及制作标签，定制专业无酸装具，放入专用舆图柜。</w:t>
            </w:r>
          </w:p>
          <w:p>
            <w:pPr>
              <w:pStyle w:val="7112"/>
              <w:spacing w:line="360" w:lineRule="auto"/>
              <w:ind w:left="0" w:firstLine="0"/>
              <w:jc w:val="both"/>
              <w:rPr>
                <w:rFonts w:ascii="宋体" w:eastAsia="宋体"/>
                <w:lang w:bidi="en-US"/>
              </w:rPr>
            </w:pPr>
            <w:r>
              <w:rPr>
                <w:rFonts w:ascii="宋体" w:eastAsia="宋体" w:cs="Calibri"/>
                <w:sz w:val="24"/>
                <w:szCs w:val="24"/>
                <w:lang w:bidi="en-US"/>
              </w:rPr>
              <w:t>5.数字化成果按要求挂接系统并光盘、移动硬盘双套备份。</w:t>
            </w:r>
          </w:p>
          <w:p>
            <w:pPr>
              <w:spacing w:line="360" w:lineRule="auto"/>
              <w:ind w:left="0" w:firstLine="0"/>
              <w:jc w:val="both"/>
              <w:rPr>
                <w:rFonts w:ascii="宋体" w:eastAsia="宋体" w:hint="eastAsia"/>
                <w:lang w:bidi="en-US"/>
              </w:rPr>
            </w:pPr>
            <w:r>
              <w:rPr>
                <w:rFonts w:ascii="宋体" w:eastAsia="宋体" w:cs="Calibri"/>
                <w:sz w:val="24"/>
                <w:szCs w:val="24"/>
                <w:lang w:bidi="en-US"/>
              </w:rPr>
              <w:t>6.做好相关宣传展示工作。</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待修复和数字化的800件图纸资料，包含近代海关关区图、缉私形势图、海关船舶构造图、经济地图、海图、交通图、世界地图、中国地图等。</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以档案资源体系建设为核心，加强近代海关档案资料保护和开发工作。对近代海关档案资料实施科学、安全的抢救修复，并进行专业数字化加工，形成数字化副本，使破损的档案资料恢复本来面目，延长档案资料原件寿命，保护历史真实面貌。</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与前期项目为连续项目。</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5"/>
              <w:widowControl w:val="0"/>
              <w:ind w:left="0" w:firstLine="0"/>
              <w:jc w:val="center"/>
              <w:rPr>
                <w:rFonts w:ascii="宋体" w:eastAsia="宋体" w:hint="eastAsia"/>
              </w:rPr>
            </w:pPr>
            <w:r>
              <w:rPr>
                <w:rFonts w:ascii="宋体" w:eastAsia="宋体" w:cs="Calibri" w:hint="eastAsia"/>
                <w:sz w:val="24"/>
                <w:szCs w:val="24"/>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4"/>
              <w:ind w:left="0" w:firstLine="0"/>
              <w:jc w:val="both"/>
              <w:rPr>
                <w:rFonts w:ascii="宋体" w:eastAsia="宋体" w:hint="eastAsia"/>
                <w:b/>
              </w:rPr>
            </w:pPr>
            <w:r>
              <w:rPr>
                <w:rFonts w:ascii="宋体" w:eastAsia="宋体" w:cs="Calibri" w:hint="eastAsia"/>
                <w:b/>
                <w:sz w:val="24"/>
                <w:szCs w:val="24"/>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330"/>
              <w:spacing w:line="360" w:lineRule="auto"/>
              <w:ind w:left="0" w:firstLine="0"/>
              <w:rPr>
                <w:rFonts w:ascii="宋体" w:eastAsia="宋体" w:cs="Calibri"/>
                <w:sz w:val="24"/>
                <w:szCs w:val="24"/>
                <w:lang w:bidi="en-US"/>
              </w:rPr>
            </w:pPr>
            <w:r>
              <w:rPr>
                <w:rFonts w:ascii="宋体" w:eastAsia="宋体" w:cs="Calibri" w:hint="eastAsia"/>
                <w:sz w:val="24"/>
                <w:szCs w:val="24"/>
                <w:lang w:bidi="en-US"/>
              </w:rPr>
              <w:t>★自合同签订之日起</w:t>
            </w:r>
            <w:r>
              <w:rPr>
                <w:rFonts w:ascii="宋体" w:eastAsia="宋体" w:cs="Calibri"/>
                <w:sz w:val="24"/>
                <w:szCs w:val="24"/>
                <w:lang w:bidi="en-US"/>
              </w:rPr>
              <w:t>5</w:t>
            </w:r>
            <w:r>
              <w:rPr>
                <w:rFonts w:ascii="宋体" w:eastAsia="宋体" w:cs="Calibri" w:hint="eastAsia"/>
                <w:sz w:val="24"/>
                <w:szCs w:val="24"/>
                <w:lang w:bidi="en-US"/>
              </w:rPr>
              <w:t>个月内</w:t>
            </w:r>
            <w:r>
              <w:rPr>
                <w:rFonts w:ascii="宋体" w:eastAsia="宋体" w:cs="Calibri"/>
                <w:sz w:val="24"/>
                <w:szCs w:val="24"/>
                <w:lang w:bidi="en-US"/>
              </w:rPr>
              <w:t>完成。</w:t>
            </w:r>
          </w:p>
          <w:p>
            <w:pPr>
              <w:pStyle w:val="330"/>
              <w:spacing w:line="360" w:lineRule="auto"/>
              <w:ind w:left="0" w:firstLine="0"/>
              <w:rPr>
                <w:rFonts w:ascii="宋体" w:eastAsia="宋体" w:hint="eastAsia"/>
                <w:b/>
                <w:bCs/>
                <w:lang w:bidi="en-US"/>
              </w:rPr>
            </w:pPr>
            <w:r>
              <w:rPr>
                <w:rFonts w:ascii="宋体" w:eastAsia="宋体" w:cs="Calibri"/>
                <w:b/>
                <w:bCs/>
                <w:sz w:val="24"/>
                <w:szCs w:val="24"/>
                <w:lang w:bidi="en-US"/>
              </w:rPr>
              <w:t>提供承诺函并加盖单位公章</w:t>
            </w:r>
          </w:p>
        </w:tc>
      </w:tr>
    </w:tbl>
    <w:p>
      <w:pPr>
        <w:rPr>
          <w:rFonts w:ascii="宋体" w:eastAsia="宋体" w:hint="eastAsia"/>
        </w:rPr>
      </w:pPr>
    </w:p>
    <w:p>
      <w:pPr>
        <w:pStyle w:val="Heading4"/>
        <w:ind w:left="0"/>
        <w:rPr>
          <w:rFonts w:ascii="宋体" w:eastAsia="宋体" w:hint="eastAsia"/>
          <w:lang w:val="en-US"/>
        </w:rPr>
      </w:pPr>
      <w:bookmarkStart w:id="44" w:name="集成需求"/>
      <w:r>
        <w:rPr>
          <w:rFonts w:ascii="宋体" w:eastAsia="宋体"/>
          <w:lang w:val="en-US"/>
        </w:rPr>
        <w:t>五、</w:t>
      </w:r>
      <w:r>
        <w:rPr>
          <w:rFonts w:ascii="宋体" w:eastAsia="宋体" w:hint="eastAsia"/>
          <w:lang w:val="en-US"/>
        </w:rPr>
        <w:t>集成需求</w:t>
      </w:r>
      <w:bookmarkEnd w:id="44"/>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0" w:type="dxa"/>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62" w:type="dxa"/>
            <w:shd w:val="clear" w:color="A6A6A6" w:fill="A6A6A6"/>
          </w:tcPr>
          <w:p>
            <w:pPr>
              <w:ind w:left="0" w:firstLine="0"/>
              <w:jc w:val="center"/>
              <w:rPr>
                <w:rFonts w:ascii="宋体" w:eastAsia="宋体" w:hint="eastAsia"/>
                <w:b/>
              </w:rPr>
            </w:pPr>
            <w:bookmarkStart w:id="45" w:name="集成需求_Title_说明_Required_Table"/>
            <w:r>
              <w:rPr>
                <w:rFonts w:ascii="宋体" w:eastAsia="宋体" w:cs="Calibri" w:hint="eastAsia"/>
                <w:b/>
                <w:sz w:val="24"/>
                <w:szCs w:val="24"/>
              </w:rPr>
              <w:t>说明</w:t>
            </w:r>
            <w:bookmarkEnd w:id="45"/>
          </w:p>
        </w:tc>
        <w:tc>
          <w:tcPr>
            <w:tcW w:w="2264" w:type="dxa"/>
            <w:shd w:val="clear" w:color="A6A6A6" w:fill="A6A6A6"/>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业务需求</w:t>
            </w:r>
          </w:p>
        </w:tc>
        <w:tc>
          <w:tcPr>
            <w:tcW w:w="5662" w:type="dxa"/>
            <w:tcBorders>
              <w:top w:val="single" w:sz="4" w:space="0" w:color="auto"/>
              <w:left w:val="single" w:sz="4" w:space="0" w:color="auto"/>
              <w:right w:val="single" w:sz="4" w:space="0" w:color="auto"/>
            </w:tcBorders>
            <w:vAlign w:val="center"/>
          </w:tcPr>
          <w:p>
            <w:pPr>
              <w:pStyle w:val="767"/>
              <w:spacing w:line="240" w:lineRule="auto"/>
              <w:ind w:left="0" w:firstLine="0"/>
              <w:jc w:val="both"/>
              <w:rPr>
                <w:rFonts w:ascii="宋体" w:eastAsia="宋体" w:hint="eastAsia"/>
                <w:lang w:bidi="en-US"/>
              </w:rPr>
            </w:pPr>
            <w:r>
              <w:rPr>
                <w:rFonts w:ascii="宋体" w:eastAsia="宋体" w:cs="Calibri"/>
                <w:sz w:val="24"/>
                <w:szCs w:val="24"/>
                <w:lang w:bidi="en-US"/>
              </w:rPr>
              <w:t>数字化成果按要求能满足挂接海关总署档案管理系统需求，数据准确、齐全，满足查询利用需求。</w:t>
            </w:r>
          </w:p>
        </w:tc>
        <w:tc>
          <w:tcPr>
            <w:tcW w:w="2264" w:type="dxa"/>
            <w:vAlign w:val="center"/>
          </w:tcPr>
          <w:p>
            <w:pPr>
              <w:pStyle w:val="771"/>
              <w:ind w:firstLine="0"/>
              <w:rPr>
                <w:rFonts w:ascii="宋体" w:eastAsia="宋体"/>
                <w:lang w:bidi="en-US"/>
              </w:rPr>
            </w:pPr>
            <w:r>
              <w:rPr>
                <w:rFonts w:ascii="宋体" w:eastAsia="宋体" w:cs="Calibri"/>
                <w:sz w:val="24"/>
                <w:szCs w:val="24"/>
                <w:lang w:bidi="en-US"/>
              </w:rPr>
              <w:t>无</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技术需求</w:t>
            </w:r>
          </w:p>
        </w:tc>
        <w:tc>
          <w:tcPr>
            <w:tcW w:w="5662" w:type="dxa"/>
            <w:tcBorders>
              <w:top w:val="single" w:sz="4" w:space="0" w:color="auto"/>
              <w:left w:val="single" w:sz="4" w:space="0" w:color="auto"/>
              <w:right w:val="single" w:sz="4" w:space="0" w:color="auto"/>
            </w:tcBorders>
            <w:vAlign w:val="center"/>
          </w:tcPr>
          <w:p>
            <w:pPr>
              <w:pStyle w:val="7812"/>
              <w:spacing w:line="240" w:lineRule="auto"/>
              <w:ind w:left="0" w:firstLine="0"/>
              <w:jc w:val="both"/>
              <w:rPr>
                <w:rFonts w:ascii="宋体" w:eastAsia="宋体" w:hint="eastAsia"/>
                <w:lang w:bidi="en-US"/>
              </w:rPr>
            </w:pPr>
            <w:r>
              <w:rPr>
                <w:rFonts w:ascii="宋体" w:eastAsia="宋体" w:cs="Calibri"/>
                <w:sz w:val="24"/>
                <w:szCs w:val="24"/>
                <w:lang w:bidi="en-US"/>
              </w:rPr>
              <w:t>供应商自行准备修复工具、图纸压平机、光谱仪、显微镜、扫描仪、电脑、全新存储设备（如硬盘、移动硬盘、光盘等）、打印机、打印纸等耗材及工作流程相关软件等全部材料。</w:t>
            </w:r>
          </w:p>
        </w:tc>
        <w:tc>
          <w:tcPr>
            <w:tcW w:w="2264" w:type="dxa"/>
            <w:vAlign w:val="center"/>
          </w:tcPr>
          <w:p>
            <w:pPr>
              <w:pStyle w:val="7912"/>
              <w:ind w:firstLine="0"/>
              <w:rPr>
                <w:rFonts w:ascii="宋体" w:eastAsia="宋体"/>
                <w:lang w:bidi="en-US"/>
              </w:rPr>
            </w:pPr>
            <w:r>
              <w:rPr>
                <w:rFonts w:ascii="宋体" w:eastAsia="宋体" w:cs="Calibri"/>
                <w:sz w:val="24"/>
                <w:szCs w:val="24"/>
                <w:lang w:bidi="en-US"/>
              </w:rPr>
              <w:t>无</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系统需求</w:t>
            </w:r>
          </w:p>
        </w:tc>
        <w:tc>
          <w:tcPr>
            <w:tcW w:w="5662" w:type="dxa"/>
            <w:tcBorders>
              <w:top w:val="single" w:sz="4" w:space="0" w:color="auto"/>
              <w:left w:val="single" w:sz="4" w:space="0" w:color="auto"/>
              <w:right w:val="single" w:sz="4" w:space="0" w:color="auto"/>
            </w:tcBorders>
            <w:vAlign w:val="center"/>
          </w:tcPr>
          <w:p>
            <w:pPr>
              <w:pStyle w:val="80"/>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pStyle w:val="8112"/>
              <w:ind w:firstLine="0"/>
              <w:rPr>
                <w:rFonts w:ascii="宋体" w:eastAsia="宋体"/>
                <w:lang w:bidi="en-US"/>
              </w:rPr>
            </w:pPr>
            <w:r>
              <w:rPr>
                <w:rFonts w:ascii="宋体" w:eastAsia="宋体" w:cs="Calibri"/>
                <w:sz w:val="24"/>
                <w:szCs w:val="24"/>
                <w:lang w:bidi="en-US"/>
              </w:rPr>
              <w:t>无</w:t>
            </w:r>
          </w:p>
        </w:tc>
      </w:tr>
    </w:tbl>
    <w:p>
      <w:pPr>
        <w:rPr>
          <w:rFonts w:ascii="宋体" w:eastAsia="宋体" w:hint="eastAsia"/>
        </w:rPr>
      </w:pPr>
    </w:p>
    <w:p>
      <w:pPr>
        <w:pStyle w:val="Heading4"/>
        <w:ind w:left="0"/>
        <w:rPr>
          <w:rFonts w:ascii="宋体" w:eastAsia="宋体" w:hint="eastAsia"/>
          <w:lang w:val="en-US"/>
        </w:rPr>
      </w:pPr>
      <w:bookmarkStart w:id="46" w:name="货物或服务指标要求"/>
      <w:r>
        <w:rPr>
          <w:rFonts w:ascii="宋体" w:eastAsia="宋体"/>
          <w:lang w:val="en-US"/>
        </w:rPr>
        <w:t>六、</w:t>
      </w:r>
      <w:r>
        <w:rPr>
          <w:rFonts w:ascii="宋体" w:eastAsia="宋体" w:hint="eastAsia"/>
          <w:lang w:val="en-US"/>
        </w:rPr>
        <w:t>货物或服务指标要求</w:t>
      </w:r>
      <w:bookmarkEnd w:id="46"/>
    </w:p>
    <w:p>
      <w:pPr>
        <w:rPr>
          <w:rFonts w:ascii="宋体" w:eastAsia="宋体" w:hint="eastAsia"/>
        </w:rPr>
      </w:pPr>
      <w:r>
        <w:rPr>
          <w:rFonts w:ascii="宋体" w:eastAsia="宋体" w:hint="eastAsia"/>
        </w:rPr>
        <w:t>参数指标要求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left="0" w:firstLine="0"/>
        <w:rPr>
          <w:rFonts w:ascii="宋体" w:eastAsia="宋体" w:hint="eastAsia"/>
        </w:rPr>
      </w:pP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8"/>
        <w:gridCol w:w="1197"/>
        <w:gridCol w:w="1795"/>
        <w:gridCol w:w="2780"/>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28" w:type="dxa"/>
            <w:shd w:val="clear" w:color="A6A6A6" w:fill="A6A6A6"/>
          </w:tcPr>
          <w:p>
            <w:pPr>
              <w:ind w:left="0" w:firstLine="0"/>
              <w:jc w:val="center"/>
              <w:rPr>
                <w:rFonts w:ascii="宋体" w:eastAsia="宋体" w:hint="eastAsia"/>
                <w:b/>
              </w:rPr>
            </w:pPr>
            <w:bookmarkStart w:id="47" w:name="指标明细_index_Required_goodsId_cc51d98c7c83"/>
            <w:bookmarkStart w:id="48" w:name="zbyq_indicator_id"/>
            <w:bookmarkEnd w:id="47"/>
            <w:r>
              <w:rPr>
                <w:rFonts w:ascii="宋体" w:eastAsia="宋体" w:cs="Calibri" w:hint="eastAsia"/>
                <w:b/>
                <w:sz w:val="24"/>
                <w:szCs w:val="24"/>
              </w:rPr>
              <w:t>序号</w:t>
            </w:r>
            <w:bookmarkEnd w:id="48"/>
          </w:p>
        </w:tc>
        <w:tc>
          <w:tcPr>
            <w:tcW w:w="1197" w:type="dxa"/>
            <w:shd w:val="clear" w:color="A6A6A6" w:fill="A6A6A6"/>
          </w:tcPr>
          <w:p>
            <w:pPr>
              <w:ind w:left="0" w:firstLine="0"/>
              <w:jc w:val="center"/>
              <w:rPr>
                <w:rFonts w:ascii="宋体" w:eastAsia="宋体" w:hint="eastAsia"/>
                <w:b/>
              </w:rPr>
            </w:pPr>
            <w:bookmarkStart w:id="49" w:name="zbyq_level_cc51d98c7c8337795c01b951fb6cb"/>
            <w:r>
              <w:rPr>
                <w:rFonts w:ascii="宋体" w:eastAsia="宋体" w:cs="Calibri" w:hint="eastAsia"/>
                <w:b/>
                <w:sz w:val="24"/>
                <w:szCs w:val="24"/>
                <w:lang w:val="en-US"/>
              </w:rPr>
              <w:t>重要性</w:t>
            </w:r>
            <w:bookmarkEnd w:id="49"/>
          </w:p>
        </w:tc>
        <w:tc>
          <w:tcPr>
            <w:tcW w:w="1795" w:type="dxa"/>
            <w:shd w:val="clear" w:color="A6A6A6" w:fill="A6A6A6"/>
          </w:tcPr>
          <w:p>
            <w:pPr>
              <w:ind w:left="0" w:firstLine="0"/>
              <w:jc w:val="center"/>
              <w:rPr>
                <w:rFonts w:ascii="宋体" w:eastAsia="宋体" w:hint="eastAsia"/>
                <w:b/>
              </w:rPr>
            </w:pPr>
            <w:bookmarkStart w:id="50" w:name="zbyq_name_cc51d98c7c8337795c01b951fb6cba"/>
            <w:r>
              <w:rPr>
                <w:rFonts w:ascii="宋体" w:eastAsia="宋体" w:cs="Calibri" w:hint="eastAsia"/>
                <w:b/>
                <w:sz w:val="24"/>
                <w:szCs w:val="24"/>
                <w:lang w:val="en-US"/>
              </w:rPr>
              <w:t>指标项</w:t>
            </w:r>
            <w:bookmarkEnd w:id="50"/>
          </w:p>
        </w:tc>
        <w:tc>
          <w:tcPr>
            <w:tcW w:w="2780" w:type="dxa"/>
            <w:shd w:val="clear" w:color="A6A6A6" w:fill="A6A6A6"/>
          </w:tcPr>
          <w:p>
            <w:pPr>
              <w:ind w:left="0" w:firstLine="0"/>
              <w:jc w:val="center"/>
              <w:rPr>
                <w:rFonts w:ascii="宋体" w:eastAsia="宋体" w:hint="eastAsia"/>
                <w:b/>
              </w:rPr>
            </w:pPr>
            <w:bookmarkStart w:id="51" w:name="zbyq_detail_cc51d98c7c8337795c01b951fb6c"/>
            <w:r>
              <w:rPr>
                <w:rFonts w:ascii="宋体" w:eastAsia="宋体" w:cs="Calibri" w:hint="eastAsia"/>
                <w:b/>
                <w:sz w:val="24"/>
                <w:szCs w:val="24"/>
                <w:lang w:val="en-US"/>
              </w:rPr>
              <w:t>指标要求</w:t>
            </w:r>
            <w:bookmarkEnd w:id="51"/>
          </w:p>
        </w:tc>
        <w:tc>
          <w:tcPr>
            <w:tcW w:w="1919" w:type="dxa"/>
            <w:shd w:val="clear" w:color="A6A6A6" w:fill="A6A6A6"/>
          </w:tcPr>
          <w:p>
            <w:pPr>
              <w:ind w:left="0" w:firstLine="0"/>
              <w:jc w:val="center"/>
              <w:rPr>
                <w:rFonts w:ascii="宋体" w:eastAsia="宋体" w:hint="eastAsia"/>
                <w:b/>
                <w:highlight w:val="yellow"/>
              </w:rPr>
            </w:pPr>
            <w:bookmarkStart w:id="52" w:name="zbyq_require_cc51d98c7c8337795c01b951fb6"/>
            <w:r>
              <w:rPr>
                <w:rFonts w:ascii="宋体" w:eastAsia="宋体" w:cs="Calibri" w:hint="eastAsia"/>
                <w:b/>
                <w:sz w:val="24"/>
                <w:szCs w:val="24"/>
                <w:lang w:val="en-US"/>
              </w:rPr>
              <w:t>证明材料要求</w:t>
            </w:r>
            <w:bookmarkEnd w:id="52"/>
          </w:p>
        </w:tc>
      </w:tr>
      <w:tr>
        <w:tblPrEx>
          <w:tblW w:w="8519" w:type="dxa"/>
          <w:jc w:val="left"/>
          <w:tblInd w:w="0" w:type="dxa"/>
          <w:tblLayout w:type="fixed"/>
          <w:tblCellMar>
            <w:top w:w="0" w:type="dxa"/>
            <w:left w:w="108" w:type="dxa"/>
            <w:bottom w:w="0" w:type="dxa"/>
            <w:right w:w="108" w:type="dxa"/>
          </w:tblCellMar>
        </w:tblPrEx>
        <w:trPr>
          <w:trHeight w:val="631"/>
          <w:jc w:val="left"/>
        </w:trPr>
        <w:tc>
          <w:tcPr>
            <w:tcW w:w="828" w:type="dxa"/>
            <w:vAlign w:val="center"/>
          </w:tcPr>
          <w:p>
            <w:pPr>
              <w:pStyle w:val="8211"/>
              <w:jc w:val="both"/>
              <w:rPr>
                <w:rFonts w:ascii="宋体" w:eastAsia="宋体" w:cs="Times New Roman" w:hint="eastAsia"/>
                <w:sz w:val="28"/>
                <w:szCs w:val="28"/>
              </w:rPr>
            </w:pPr>
            <w:r>
              <w:rPr>
                <w:rFonts w:ascii="宋体" w:eastAsia="宋体" w:cs="Times New Roman"/>
                <w:sz w:val="28"/>
                <w:szCs w:val="28"/>
                <w:lang w:val="en-US" w:eastAsia="zh-CN"/>
              </w:rPr>
              <w:t>1</w:t>
            </w:r>
          </w:p>
        </w:tc>
        <w:tc>
          <w:tcPr>
            <w:tcW w:w="1197" w:type="dxa"/>
            <w:tcBorders>
              <w:top w:val="single" w:sz="4" w:space="0" w:color="auto"/>
              <w:left w:val="single" w:sz="4" w:space="0" w:color="auto"/>
              <w:right w:val="single" w:sz="4" w:space="0" w:color="auto"/>
            </w:tcBorders>
          </w:tcPr>
          <w:p>
            <w:pPr>
              <w:pStyle w:val="8312"/>
              <w:ind w:left="0" w:firstLine="0"/>
              <w:rPr>
                <w:rFonts w:ascii="宋体" w:eastAsia="宋体" w:hint="eastAsia"/>
              </w:rPr>
            </w:pPr>
            <w:r>
              <w:rPr>
                <w:rFonts w:ascii="宋体" w:eastAsia="宋体" w:hint="eastAsia"/>
                <w:lang w:bidi="ar-SA"/>
              </w:rPr>
              <w:t>▲</w:t>
            </w:r>
          </w:p>
        </w:tc>
        <w:tc>
          <w:tcPr>
            <w:tcW w:w="1795" w:type="dxa"/>
            <w:tcBorders>
              <w:top w:val="single" w:sz="4" w:space="0" w:color="auto"/>
              <w:left w:val="single" w:sz="4" w:space="0" w:color="auto"/>
              <w:right w:val="single" w:sz="4" w:space="0" w:color="auto"/>
            </w:tcBorders>
            <w:vAlign w:val="center"/>
          </w:tcPr>
          <w:p>
            <w:pPr>
              <w:pStyle w:val="8101"/>
              <w:ind w:left="0" w:firstLine="0"/>
              <w:jc w:val="center"/>
              <w:rPr>
                <w:rFonts w:ascii="宋体" w:eastAsia="宋体" w:cs="Times New Roman" w:hint="eastAsia"/>
                <w:color w:val="auto"/>
                <w:sz w:val="24"/>
                <w:szCs w:val="21"/>
              </w:rPr>
            </w:pPr>
            <w:r>
              <w:rPr>
                <w:rFonts w:ascii="宋体" w:eastAsia="宋体" w:cs="Times New Roman" w:hint="eastAsia"/>
                <w:color w:val="auto"/>
                <w:sz w:val="24"/>
                <w:szCs w:val="21"/>
              </w:rPr>
              <w:t>技术</w:t>
            </w:r>
            <w:r>
              <w:rPr>
                <w:rFonts w:ascii="宋体" w:eastAsia="宋体" w:cs="Times New Roman"/>
                <w:color w:val="auto"/>
                <w:sz w:val="24"/>
                <w:szCs w:val="21"/>
              </w:rPr>
              <w:t>(服务)</w:t>
            </w:r>
            <w:r>
              <w:rPr>
                <w:rFonts w:ascii="宋体" w:eastAsia="宋体" w:cs="Times New Roman" w:hint="eastAsia"/>
                <w:color w:val="auto"/>
                <w:sz w:val="24"/>
                <w:szCs w:val="21"/>
              </w:rPr>
              <w:t>指标</w:t>
            </w:r>
            <w:r>
              <w:rPr>
                <w:rFonts w:ascii="宋体" w:eastAsia="宋体" w:cs="Times New Roman"/>
                <w:color w:val="auto"/>
                <w:sz w:val="24"/>
                <w:szCs w:val="21"/>
              </w:rPr>
              <w:t>1</w:t>
            </w:r>
          </w:p>
        </w:tc>
        <w:tc>
          <w:tcPr>
            <w:tcW w:w="2780" w:type="dxa"/>
            <w:tcBorders>
              <w:top w:val="single" w:sz="4" w:space="0" w:color="auto"/>
              <w:left w:val="single" w:sz="4" w:space="0" w:color="auto"/>
              <w:right w:val="single" w:sz="4" w:space="0" w:color="auto"/>
            </w:tcBorders>
          </w:tcPr>
          <w:p>
            <w:pPr>
              <w:pStyle w:val="34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采用安全可逆的修复技术和无接触式的数字化手段。</w:t>
            </w:r>
          </w:p>
          <w:p>
            <w:pPr>
              <w:pStyle w:val="1811"/>
              <w:spacing w:line="240" w:lineRule="auto"/>
              <w:ind w:firstLine="482"/>
              <w:rPr>
                <w:rFonts w:ascii="宋体" w:eastAsia="宋体" w:cs="Times New Roman" w:hint="eastAsia"/>
                <w:color w:val="auto"/>
                <w:sz w:val="24"/>
                <w:szCs w:val="21"/>
              </w:rPr>
            </w:pPr>
          </w:p>
        </w:tc>
        <w:tc>
          <w:tcPr>
            <w:tcW w:w="1919" w:type="dxa"/>
            <w:vAlign w:val="center"/>
          </w:tcPr>
          <w:p>
            <w:pPr>
              <w:pStyle w:val="8411"/>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ascii="宋体" w:eastAsia="宋体" w:cs="Times New Roman" w:hint="eastAsia"/>
                <w:szCs w:val="21"/>
              </w:rPr>
            </w:pPr>
            <w:r>
              <w:rPr>
                <w:rFonts w:ascii="宋体" w:eastAsia="宋体" w:cs="Times New Roman" w:hint="eastAsia"/>
                <w:szCs w:val="21"/>
              </w:rPr>
              <w:t>是，在</w:t>
            </w:r>
            <w:r>
              <w:rPr>
                <w:rFonts w:ascii="宋体" w:eastAsia="宋体" w:cs="Times New Roman" w:hint="eastAsia"/>
                <w:szCs w:val="21"/>
                <w:bdr w:val="none" w:sz="0" w:space="0" w:color="auto"/>
              </w:rPr>
              <w:t>修复和数字化服务质量管控方案中体现</w:t>
            </w:r>
          </w:p>
        </w:tc>
      </w:tr>
      <w:tr>
        <w:tblPrEx>
          <w:tblW w:w="8519" w:type="dxa"/>
          <w:jc w:val="left"/>
          <w:tblInd w:w="0" w:type="dxa"/>
          <w:tblLayout w:type="fixed"/>
          <w:tblCellMar>
            <w:top w:w="0" w:type="dxa"/>
            <w:left w:w="108" w:type="dxa"/>
            <w:bottom w:w="0" w:type="dxa"/>
            <w:right w:w="108" w:type="dxa"/>
          </w:tblCellMar>
        </w:tblPrEx>
        <w:trPr>
          <w:trHeight w:val="630"/>
          <w:jc w:val="left"/>
        </w:trPr>
        <w:tc>
          <w:tcPr>
            <w:tcW w:w="828" w:type="dxa"/>
            <w:vAlign w:val="center"/>
          </w:tcPr>
          <w:p>
            <w:pPr>
              <w:pStyle w:val="8511"/>
              <w:rPr>
                <w:rFonts w:ascii="宋体" w:eastAsia="宋体" w:cs="Times New Roman"/>
                <w:sz w:val="28"/>
                <w:szCs w:val="28"/>
              </w:rPr>
            </w:pPr>
            <w:r>
              <w:rPr>
                <w:rFonts w:ascii="宋体" w:eastAsia="宋体" w:cs="Times New Roman"/>
                <w:sz w:val="28"/>
                <w:szCs w:val="28"/>
                <w:lang w:val="en-US" w:eastAsia="zh-CN"/>
              </w:rPr>
              <w:t>2</w:t>
            </w:r>
          </w:p>
        </w:tc>
        <w:tc>
          <w:tcPr>
            <w:tcW w:w="1197" w:type="dxa"/>
            <w:tcBorders>
              <w:top w:val="single" w:sz="4" w:space="0" w:color="auto"/>
              <w:left w:val="single" w:sz="4" w:space="0" w:color="auto"/>
              <w:right w:val="single" w:sz="4" w:space="0" w:color="auto"/>
            </w:tcBorders>
            <w:vAlign w:val="center"/>
          </w:tcPr>
          <w:p>
            <w:pPr>
              <w:pStyle w:val="876"/>
              <w:rPr>
                <w:rFonts w:ascii="宋体" w:eastAsia="宋体" w:cs="Times New Roman"/>
                <w:color w:val="auto"/>
                <w:sz w:val="28"/>
                <w:szCs w:val="28"/>
              </w:rPr>
            </w:pPr>
            <w:r>
              <w:rPr>
                <w:rFonts w:ascii="宋体" w:eastAsia="宋体" w:hint="eastAsia"/>
                <w:lang w:bidi="ar-SA"/>
              </w:rPr>
              <w:t>▲</w:t>
            </w:r>
          </w:p>
        </w:tc>
        <w:tc>
          <w:tcPr>
            <w:tcW w:w="1795" w:type="dxa"/>
            <w:tcBorders>
              <w:top w:val="single" w:sz="4" w:space="0" w:color="auto"/>
              <w:left w:val="single" w:sz="4" w:space="0" w:color="auto"/>
              <w:right w:val="single" w:sz="4" w:space="0" w:color="auto"/>
            </w:tcBorders>
            <w:vAlign w:val="center"/>
          </w:tcPr>
          <w:p>
            <w:pPr>
              <w:pStyle w:val="3812"/>
              <w:ind w:firstLine="0"/>
              <w:jc w:val="center"/>
              <w:rPr>
                <w:rFonts w:ascii="宋体" w:eastAsia="宋体" w:cs="Times New Roman"/>
                <w:color w:val="auto"/>
                <w:sz w:val="24"/>
                <w:szCs w:val="21"/>
              </w:rPr>
            </w:pPr>
            <w:r>
              <w:rPr>
                <w:rFonts w:ascii="宋体" w:eastAsia="宋体" w:cs="Times New Roman" w:hint="eastAsia"/>
                <w:color w:val="auto"/>
                <w:sz w:val="24"/>
                <w:szCs w:val="21"/>
              </w:rPr>
              <w:t>技术</w:t>
            </w:r>
            <w:r>
              <w:rPr>
                <w:rFonts w:ascii="宋体" w:eastAsia="宋体" w:cs="Times New Roman"/>
                <w:color w:val="auto"/>
                <w:sz w:val="24"/>
                <w:szCs w:val="21"/>
              </w:rPr>
              <w:t>(服务)</w:t>
            </w:r>
            <w:r>
              <w:rPr>
                <w:rFonts w:ascii="宋体" w:eastAsia="宋体" w:cs="Times New Roman" w:hint="eastAsia"/>
                <w:color w:val="auto"/>
                <w:sz w:val="24"/>
                <w:szCs w:val="21"/>
              </w:rPr>
              <w:t>指标</w:t>
            </w:r>
            <w:r>
              <w:rPr>
                <w:rFonts w:ascii="宋体" w:eastAsia="宋体" w:cs="Times New Roman"/>
                <w:color w:val="auto"/>
                <w:sz w:val="24"/>
                <w:szCs w:val="21"/>
              </w:rPr>
              <w:t>2</w:t>
            </w:r>
          </w:p>
        </w:tc>
        <w:tc>
          <w:tcPr>
            <w:tcW w:w="2780" w:type="dxa"/>
            <w:tcBorders>
              <w:top w:val="single" w:sz="4" w:space="0" w:color="auto"/>
              <w:left w:val="single" w:sz="4" w:space="0" w:color="auto"/>
              <w:right w:val="single" w:sz="4" w:space="0" w:color="auto"/>
            </w:tcBorders>
          </w:tcPr>
          <w:p>
            <w:pPr>
              <w:pStyle w:val="35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修复材料的物理、化学性能尽可能接近原材料，特别是硫酸纸的修复技术较为成熟，能够降低外界因素对档案本体的影响，最大限度地保留近代海关史料原有特点和历史痕迹，保证档案原始信息和凭证作用不受影响。</w:t>
            </w:r>
          </w:p>
          <w:p>
            <w:pPr>
              <w:pStyle w:val="4813"/>
              <w:spacing w:line="240" w:lineRule="auto"/>
              <w:ind w:firstLine="482"/>
              <w:rPr>
                <w:rFonts w:ascii="宋体" w:eastAsia="宋体" w:cs="Times New Roman"/>
                <w:color w:val="auto"/>
                <w:sz w:val="24"/>
                <w:szCs w:val="21"/>
              </w:rPr>
            </w:pPr>
          </w:p>
        </w:tc>
        <w:tc>
          <w:tcPr>
            <w:tcW w:w="1919" w:type="dxa"/>
            <w:vAlign w:val="center"/>
          </w:tcPr>
          <w:p>
            <w:pPr>
              <w:pStyle w:val="8811"/>
              <w:keepNext w:val="0"/>
              <w:keepLines w:val="0"/>
              <w:pageBreakBefore w:val="0"/>
              <w:widowControl w:val="0"/>
              <w:kinsoku/>
              <w:wordWrap/>
              <w:overflowPunct/>
              <w:topLinePunct w:val="0"/>
              <w:autoSpaceDE/>
              <w:autoSpaceDN/>
              <w:adjustRightInd/>
              <w:snapToGrid/>
              <w:spacing w:line="560" w:lineRule="exact"/>
              <w:ind w:firstLine="0"/>
              <w:jc w:val="center"/>
              <w:rPr>
                <w:rFonts w:ascii="宋体" w:eastAsia="宋体" w:cs="Times New Roman" w:hint="eastAsia"/>
                <w:szCs w:val="21"/>
              </w:rPr>
            </w:pPr>
            <w:r>
              <w:rPr>
                <w:rFonts w:ascii="宋体" w:eastAsia="宋体" w:cs="Times New Roman" w:hint="eastAsia"/>
                <w:szCs w:val="21"/>
              </w:rPr>
              <w:t>是，在</w:t>
            </w:r>
            <w:r>
              <w:rPr>
                <w:rFonts w:ascii="宋体" w:eastAsia="宋体" w:cs="Times New Roman" w:hint="eastAsia"/>
                <w:szCs w:val="21"/>
                <w:bdr w:val="none" w:sz="0" w:space="0" w:color="auto"/>
              </w:rPr>
              <w:t>修复和数字化服务质量管控方案中体现</w:t>
            </w:r>
          </w:p>
        </w:tc>
      </w:tr>
      <w:tr>
        <w:tblPrEx>
          <w:tblW w:w="8519" w:type="dxa"/>
          <w:jc w:val="left"/>
          <w:tblInd w:w="0" w:type="dxa"/>
          <w:tblLayout w:type="fixed"/>
          <w:tblCellMar>
            <w:top w:w="0" w:type="dxa"/>
            <w:left w:w="108" w:type="dxa"/>
            <w:bottom w:w="0" w:type="dxa"/>
            <w:right w:w="108" w:type="dxa"/>
          </w:tblCellMar>
        </w:tblPrEx>
        <w:trPr>
          <w:trHeight w:val="630"/>
          <w:jc w:val="left"/>
        </w:trPr>
        <w:tc>
          <w:tcPr>
            <w:tcW w:w="828" w:type="dxa"/>
            <w:vAlign w:val="center"/>
          </w:tcPr>
          <w:p>
            <w:pPr>
              <w:pStyle w:val="8511"/>
              <w:rPr>
                <w:rFonts w:ascii="宋体" w:eastAsia="宋体" w:cs="Times New Roman"/>
                <w:sz w:val="28"/>
                <w:szCs w:val="28"/>
              </w:rPr>
            </w:pPr>
            <w:r>
              <w:rPr>
                <w:rFonts w:ascii="宋体" w:eastAsia="宋体" w:cs="Times New Roman"/>
                <w:sz w:val="28"/>
                <w:szCs w:val="28"/>
                <w:lang w:val="en-US" w:eastAsia="zh-CN"/>
              </w:rPr>
              <w:t>3</w:t>
            </w:r>
          </w:p>
        </w:tc>
        <w:tc>
          <w:tcPr>
            <w:tcW w:w="1197" w:type="dxa"/>
            <w:tcBorders>
              <w:top w:val="single" w:sz="4" w:space="0" w:color="auto"/>
              <w:left w:val="single" w:sz="4" w:space="0" w:color="auto"/>
              <w:right w:val="single" w:sz="4" w:space="0" w:color="auto"/>
            </w:tcBorders>
            <w:vAlign w:val="center"/>
          </w:tcPr>
          <w:p>
            <w:pPr>
              <w:pStyle w:val="876"/>
              <w:rPr>
                <w:rFonts w:ascii="宋体" w:eastAsia="宋体" w:cs="Times New Roman"/>
                <w:color w:val="auto"/>
                <w:sz w:val="28"/>
                <w:szCs w:val="28"/>
              </w:rPr>
            </w:pPr>
            <w:r>
              <w:rPr>
                <w:rFonts w:ascii="宋体" w:eastAsia="宋体" w:hint="eastAsia"/>
                <w:lang w:bidi="ar-SA"/>
              </w:rPr>
              <w:t>▲</w:t>
            </w:r>
          </w:p>
        </w:tc>
        <w:tc>
          <w:tcPr>
            <w:tcW w:w="1795" w:type="dxa"/>
            <w:tcBorders>
              <w:top w:val="single" w:sz="4" w:space="0" w:color="auto"/>
              <w:left w:val="single" w:sz="4" w:space="0" w:color="auto"/>
              <w:right w:val="single" w:sz="4" w:space="0" w:color="auto"/>
            </w:tcBorders>
            <w:vAlign w:val="center"/>
          </w:tcPr>
          <w:p>
            <w:pPr>
              <w:pStyle w:val="3812"/>
              <w:ind w:firstLine="0"/>
              <w:jc w:val="center"/>
              <w:rPr>
                <w:rFonts w:ascii="宋体" w:eastAsia="宋体" w:cs="Times New Roman"/>
                <w:color w:val="auto"/>
                <w:sz w:val="24"/>
                <w:szCs w:val="21"/>
              </w:rPr>
            </w:pPr>
            <w:r>
              <w:rPr>
                <w:rFonts w:ascii="宋体" w:eastAsia="宋体" w:cs="Times New Roman" w:hint="eastAsia"/>
                <w:color w:val="auto"/>
                <w:sz w:val="24"/>
                <w:szCs w:val="21"/>
              </w:rPr>
              <w:t>技术</w:t>
            </w:r>
            <w:r>
              <w:rPr>
                <w:rFonts w:ascii="宋体" w:eastAsia="宋体" w:cs="Times New Roman"/>
                <w:color w:val="auto"/>
                <w:sz w:val="24"/>
                <w:szCs w:val="21"/>
              </w:rPr>
              <w:t>(服务)</w:t>
            </w:r>
            <w:r>
              <w:rPr>
                <w:rFonts w:ascii="宋体" w:eastAsia="宋体" w:cs="Times New Roman" w:hint="eastAsia"/>
                <w:color w:val="auto"/>
                <w:sz w:val="24"/>
                <w:szCs w:val="21"/>
              </w:rPr>
              <w:t>指标</w:t>
            </w:r>
            <w:r>
              <w:rPr>
                <w:rFonts w:ascii="宋体" w:eastAsia="宋体" w:cs="Times New Roman"/>
                <w:color w:val="auto"/>
                <w:sz w:val="24"/>
                <w:szCs w:val="21"/>
              </w:rPr>
              <w:t>3</w:t>
            </w:r>
          </w:p>
        </w:tc>
        <w:tc>
          <w:tcPr>
            <w:tcW w:w="2780" w:type="dxa"/>
            <w:tcBorders>
              <w:top w:val="single" w:sz="4" w:space="0" w:color="auto"/>
              <w:left w:val="single" w:sz="4" w:space="0" w:color="auto"/>
              <w:right w:val="single" w:sz="4" w:space="0" w:color="auto"/>
            </w:tcBorders>
          </w:tcPr>
          <w:p>
            <w:pPr>
              <w:pStyle w:val="36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采取有效措施，改善保管条件，在利用稳妥、科学的专业技术手段进行抢救修复的同时，预防新的损毁风险，最大限度延长史料生命。</w:t>
            </w:r>
          </w:p>
          <w:p>
            <w:pPr>
              <w:pStyle w:val="4813"/>
              <w:spacing w:line="240" w:lineRule="auto"/>
              <w:ind w:firstLine="482"/>
              <w:rPr>
                <w:rFonts w:ascii="宋体" w:eastAsia="宋体" w:cs="Times New Roman"/>
                <w:color w:val="auto"/>
                <w:sz w:val="24"/>
                <w:szCs w:val="21"/>
              </w:rPr>
            </w:pPr>
          </w:p>
        </w:tc>
        <w:tc>
          <w:tcPr>
            <w:tcW w:w="1919" w:type="dxa"/>
            <w:vAlign w:val="center"/>
          </w:tcPr>
          <w:p>
            <w:pPr>
              <w:pStyle w:val="8811"/>
              <w:keepNext w:val="0"/>
              <w:keepLines w:val="0"/>
              <w:pageBreakBefore w:val="0"/>
              <w:widowControl w:val="0"/>
              <w:kinsoku/>
              <w:wordWrap/>
              <w:overflowPunct/>
              <w:topLinePunct w:val="0"/>
              <w:autoSpaceDE/>
              <w:autoSpaceDN/>
              <w:adjustRightInd/>
              <w:snapToGrid/>
              <w:spacing w:line="560" w:lineRule="exact"/>
              <w:ind w:firstLine="0"/>
              <w:jc w:val="center"/>
              <w:rPr>
                <w:rFonts w:ascii="宋体" w:eastAsia="宋体" w:cs="Times New Roman" w:hint="eastAsia"/>
                <w:szCs w:val="21"/>
              </w:rPr>
            </w:pPr>
            <w:r>
              <w:rPr>
                <w:rFonts w:ascii="宋体" w:eastAsia="宋体" w:cs="Times New Roman" w:hint="eastAsia"/>
                <w:szCs w:val="21"/>
              </w:rPr>
              <w:t>是，在</w:t>
            </w:r>
            <w:r>
              <w:rPr>
                <w:rFonts w:ascii="宋体" w:eastAsia="宋体" w:cs="Times New Roman" w:hint="eastAsia"/>
                <w:szCs w:val="21"/>
                <w:bdr w:val="none" w:sz="0" w:space="0" w:color="auto"/>
              </w:rPr>
              <w:t>修复和数字化服务质量管控方案中体现</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28" w:type="dxa"/>
            <w:vAlign w:val="center"/>
          </w:tcPr>
          <w:p>
            <w:pPr>
              <w:pStyle w:val="8511"/>
              <w:jc w:val="both"/>
              <w:rPr>
                <w:rFonts w:ascii="宋体" w:eastAsia="宋体" w:cs="Times New Roman" w:hint="eastAsia"/>
                <w:sz w:val="28"/>
                <w:szCs w:val="28"/>
              </w:rPr>
            </w:pPr>
            <w:r>
              <w:rPr>
                <w:rFonts w:ascii="宋体" w:eastAsia="宋体" w:cs="Times New Roman"/>
                <w:sz w:val="28"/>
                <w:szCs w:val="28"/>
                <w:lang w:val="en-US" w:eastAsia="zh-CN"/>
              </w:rPr>
              <w:t>4</w:t>
            </w:r>
          </w:p>
        </w:tc>
        <w:tc>
          <w:tcPr>
            <w:tcW w:w="1197" w:type="dxa"/>
            <w:tcBorders>
              <w:top w:val="single" w:sz="4" w:space="0" w:color="auto"/>
              <w:left w:val="single" w:sz="4" w:space="0" w:color="auto"/>
              <w:right w:val="single" w:sz="4" w:space="0" w:color="auto"/>
            </w:tcBorders>
            <w:vAlign w:val="center"/>
          </w:tcPr>
          <w:p>
            <w:pPr>
              <w:pStyle w:val="876"/>
              <w:jc w:val="both"/>
              <w:rPr>
                <w:rFonts w:ascii="宋体" w:eastAsia="宋体" w:hint="eastAsia"/>
              </w:rPr>
            </w:pPr>
            <w:r>
              <w:rPr>
                <w:rFonts w:ascii="宋体" w:eastAsia="宋体" w:hint="eastAsia"/>
                <w:lang w:bidi="ar-SA"/>
              </w:rPr>
              <w:t>▲</w:t>
            </w:r>
          </w:p>
        </w:tc>
        <w:tc>
          <w:tcPr>
            <w:tcW w:w="1795" w:type="dxa"/>
            <w:tcBorders>
              <w:top w:val="single" w:sz="4" w:space="0" w:color="auto"/>
              <w:left w:val="single" w:sz="4" w:space="0" w:color="auto"/>
              <w:right w:val="single" w:sz="4" w:space="0" w:color="auto"/>
            </w:tcBorders>
            <w:vAlign w:val="center"/>
          </w:tcPr>
          <w:p>
            <w:pPr>
              <w:pStyle w:val="3812"/>
              <w:ind w:left="0" w:firstLine="0"/>
              <w:jc w:val="center"/>
              <w:rPr>
                <w:rFonts w:ascii="宋体" w:eastAsia="宋体" w:cs="Times New Roman" w:hint="eastAsia"/>
                <w:color w:val="auto"/>
                <w:sz w:val="24"/>
                <w:szCs w:val="21"/>
              </w:rPr>
            </w:pPr>
            <w:r>
              <w:rPr>
                <w:rFonts w:ascii="宋体" w:eastAsia="宋体" w:cs="Times New Roman" w:hint="eastAsia"/>
                <w:color w:val="auto"/>
                <w:sz w:val="24"/>
                <w:szCs w:val="21"/>
              </w:rPr>
              <w:t>技术</w:t>
            </w:r>
            <w:r>
              <w:rPr>
                <w:rFonts w:ascii="宋体" w:eastAsia="宋体" w:cs="Times New Roman"/>
                <w:color w:val="auto"/>
                <w:sz w:val="24"/>
                <w:szCs w:val="21"/>
              </w:rPr>
              <w:t>(服务)</w:t>
            </w:r>
            <w:r>
              <w:rPr>
                <w:rFonts w:ascii="宋体" w:eastAsia="宋体" w:cs="Times New Roman" w:hint="eastAsia"/>
                <w:color w:val="auto"/>
                <w:sz w:val="24"/>
                <w:szCs w:val="21"/>
              </w:rPr>
              <w:t>指标</w:t>
            </w:r>
            <w:r>
              <w:rPr>
                <w:rFonts w:ascii="宋体" w:eastAsia="宋体" w:cs="Times New Roman"/>
                <w:color w:val="auto"/>
                <w:sz w:val="24"/>
                <w:szCs w:val="21"/>
              </w:rPr>
              <w:t>4</w:t>
            </w:r>
          </w:p>
        </w:tc>
        <w:tc>
          <w:tcPr>
            <w:tcW w:w="2780" w:type="dxa"/>
            <w:tcBorders>
              <w:top w:val="single" w:sz="4" w:space="0" w:color="auto"/>
              <w:left w:val="single" w:sz="4" w:space="0" w:color="auto"/>
              <w:right w:val="single" w:sz="4" w:space="0" w:color="auto"/>
            </w:tcBorders>
          </w:tcPr>
          <w:p>
            <w:pPr>
              <w:pStyle w:val="4813"/>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针对现有史料的各类载体、材质和不同的损毁情况有针对性地进行修复，特别是加强对特殊材质史料修复课题的探索和研究，坚持修旧如旧，使珍贵史料具有更高实用价值和保存价值。</w:t>
            </w:r>
          </w:p>
        </w:tc>
        <w:tc>
          <w:tcPr>
            <w:tcW w:w="1919" w:type="dxa"/>
            <w:vAlign w:val="center"/>
          </w:tcPr>
          <w:p>
            <w:pPr>
              <w:pStyle w:val="8811"/>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ascii="宋体" w:eastAsia="宋体" w:cs="Times New Roman" w:hint="eastAsia"/>
                <w:szCs w:val="21"/>
              </w:rPr>
            </w:pPr>
            <w:r>
              <w:rPr>
                <w:rFonts w:ascii="宋体" w:eastAsia="宋体" w:cs="Times New Roman" w:hint="eastAsia"/>
                <w:szCs w:val="21"/>
              </w:rPr>
              <w:t>是，在</w:t>
            </w:r>
            <w:r>
              <w:rPr>
                <w:rFonts w:ascii="宋体" w:eastAsia="宋体" w:cs="Times New Roman" w:hint="eastAsia"/>
                <w:szCs w:val="21"/>
                <w:bdr w:val="none" w:sz="0" w:space="0" w:color="auto"/>
              </w:rPr>
              <w:t>修复和数字化服务质量管控方案中体现</w:t>
            </w:r>
          </w:p>
        </w:tc>
      </w:tr>
    </w:tbl>
    <w:p>
      <w:pPr>
        <w:pStyle w:val="BodyText3"/>
        <w:rPr>
          <w:rFonts w:ascii="宋体" w:eastAsia="宋体" w:hint="eastAsia"/>
        </w:rPr>
      </w:pPr>
    </w:p>
    <w:p>
      <w:pPr>
        <w:pStyle w:val="Heading4"/>
        <w:ind w:left="0"/>
        <w:rPr>
          <w:rFonts w:ascii="宋体" w:eastAsia="宋体" w:hint="eastAsia"/>
          <w:lang w:val="en-US"/>
        </w:rPr>
      </w:pPr>
      <w:bookmarkStart w:id="53" w:name="服务要求"/>
      <w:r>
        <w:rPr>
          <w:rFonts w:ascii="宋体" w:eastAsia="宋体"/>
          <w:lang w:val="en-US"/>
        </w:rPr>
        <w:t>七、</w:t>
      </w:r>
      <w:r>
        <w:rPr>
          <w:rFonts w:ascii="宋体" w:eastAsia="宋体" w:hint="eastAsia"/>
          <w:lang w:val="en-US"/>
        </w:rPr>
        <w:t>服务要求</w:t>
      </w:r>
      <w:bookmarkEnd w:id="53"/>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bookmarkStart w:id="54" w:name="fwyq_id_cc51d98c7c8337795c01b951fb6cba3d"/>
            <w:r>
              <w:rPr>
                <w:rFonts w:ascii="宋体" w:eastAsia="宋体" w:hint="eastAsia"/>
              </w:rPr>
              <w:t>序号</w:t>
            </w:r>
            <w:bookmarkEnd w:id="54"/>
          </w:p>
        </w:tc>
        <w:tc>
          <w:tcPr>
            <w:tcW w:w="1140" w:type="dxa"/>
          </w:tcPr>
          <w:p>
            <w:pPr>
              <w:ind w:left="0" w:firstLine="0"/>
              <w:jc w:val="center"/>
              <w:rPr>
                <w:rFonts w:ascii="宋体" w:eastAsia="宋体" w:hint="eastAsia"/>
              </w:rPr>
            </w:pPr>
            <w:bookmarkStart w:id="55" w:name="fwyq_name_cc51d98c7c8337795c01b951fb6cba"/>
            <w:r>
              <w:rPr>
                <w:rFonts w:ascii="宋体" w:eastAsia="宋体" w:hint="eastAsia"/>
              </w:rPr>
              <w:t>内容</w:t>
            </w:r>
            <w:bookmarkEnd w:id="55"/>
          </w:p>
        </w:tc>
        <w:tc>
          <w:tcPr>
            <w:tcW w:w="1196" w:type="dxa"/>
          </w:tcPr>
          <w:p>
            <w:pPr>
              <w:ind w:left="0" w:firstLine="0"/>
              <w:jc w:val="center"/>
              <w:rPr>
                <w:rFonts w:ascii="宋体" w:eastAsia="宋体" w:hint="eastAsia"/>
              </w:rPr>
            </w:pPr>
            <w:bookmarkStart w:id="56" w:name="fwyq_level_cc51d98c7c8337795c01b951fb6cb"/>
            <w:r>
              <w:rPr>
                <w:rFonts w:ascii="宋体" w:eastAsia="宋体" w:hint="eastAsia"/>
              </w:rPr>
              <w:t>重要性</w:t>
            </w:r>
            <w:bookmarkEnd w:id="56"/>
          </w:p>
        </w:tc>
        <w:tc>
          <w:tcPr>
            <w:tcW w:w="3690" w:type="dxa"/>
          </w:tcPr>
          <w:p>
            <w:pPr>
              <w:ind w:left="0" w:firstLine="0"/>
              <w:jc w:val="center"/>
              <w:rPr>
                <w:rFonts w:ascii="宋体" w:eastAsia="宋体" w:hint="eastAsia"/>
              </w:rPr>
            </w:pPr>
            <w:bookmarkStart w:id="57" w:name="fwyq_detail_cc51d98c7c8337795c01b951fb6c"/>
            <w:r>
              <w:rPr>
                <w:rFonts w:ascii="宋体" w:eastAsia="宋体" w:hint="eastAsia"/>
              </w:rPr>
              <w:t>服务要求标准</w:t>
            </w:r>
            <w:bookmarkEnd w:id="57"/>
          </w:p>
        </w:tc>
        <w:tc>
          <w:tcPr>
            <w:tcW w:w="1685" w:type="dxa"/>
          </w:tcPr>
          <w:p>
            <w:pPr>
              <w:ind w:left="0" w:firstLine="0"/>
              <w:jc w:val="center"/>
              <w:rPr>
                <w:rFonts w:ascii="宋体" w:eastAsia="宋体" w:hint="eastAsia"/>
                <w:highlight w:val="yellow"/>
              </w:rPr>
            </w:pPr>
            <w:bookmarkStart w:id="58" w:name="fwyq_require_cc51d98c7c8337795c01b951fb6"/>
            <w:r>
              <w:rPr>
                <w:rFonts w:ascii="宋体" w:eastAsia="宋体" w:hint="eastAsia"/>
              </w:rPr>
              <w:t>证明材料要求</w:t>
            </w:r>
            <w:bookmarkEnd w:id="58"/>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售后服务承诺函</w:t>
            </w:r>
          </w:p>
        </w:tc>
        <w:tc>
          <w:tcPr>
            <w:tcW w:w="1196" w:type="dxa"/>
            <w:tcBorders>
              <w:top w:val="single" w:sz="4" w:space="0" w:color="auto"/>
              <w:left w:val="single" w:sz="4" w:space="0" w:color="auto"/>
              <w:right w:val="single" w:sz="4" w:space="0" w:color="auto"/>
            </w:tcBorders>
            <w:vAlign w:val="center"/>
          </w:tcPr>
          <w:p>
            <w:pPr>
              <w:pStyle w:val="5811"/>
              <w:ind w:left="0" w:firstLine="0"/>
              <w:jc w:val="center"/>
              <w:rPr>
                <w:rFonts w:ascii="宋体" w:eastAsia="宋体" w:cs="Times New Roman" w:hint="eastAsia"/>
                <w:sz w:val="24"/>
                <w:szCs w:val="21"/>
              </w:rPr>
            </w:pPr>
            <w:r>
              <w:rPr>
                <w:rFonts w:ascii="宋体" w:eastAsia="宋体" w:hint="eastAsia"/>
                <w:bdr w:val="none" w:sz="0" w:space="0" w:color="auto"/>
                <w:lang w:bidi="ar-SA"/>
              </w:rPr>
              <w:t>▲</w:t>
            </w:r>
          </w:p>
        </w:tc>
        <w:tc>
          <w:tcPr>
            <w:tcW w:w="3690" w:type="dxa"/>
            <w:tcBorders>
              <w:top w:val="single" w:sz="4" w:space="0" w:color="auto"/>
              <w:left w:val="single" w:sz="4" w:space="0" w:color="auto"/>
              <w:right w:val="single" w:sz="4" w:space="0" w:color="auto"/>
            </w:tcBorders>
          </w:tcPr>
          <w:p>
            <w:pPr>
              <w:pStyle w:val="6811"/>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lang w:bidi="ar-SA"/>
              </w:rPr>
              <w:t>项目整体验收合格之日起，提供一年免费</w:t>
            </w:r>
            <w:r>
              <w:rPr>
                <w:rFonts w:ascii="宋体" w:eastAsia="宋体" w:cs="Times New Roman"/>
                <w:color w:val="auto"/>
                <w:sz w:val="24"/>
                <w:szCs w:val="21"/>
                <w:lang w:bidi="ar-SA"/>
              </w:rPr>
              <w:t>售后</w:t>
            </w:r>
            <w:r>
              <w:rPr>
                <w:rFonts w:ascii="宋体" w:eastAsia="宋体" w:cs="Times New Roman" w:hint="eastAsia"/>
                <w:color w:val="auto"/>
                <w:sz w:val="24"/>
                <w:szCs w:val="21"/>
                <w:lang w:bidi="ar-SA"/>
              </w:rPr>
              <w:t>服务。遇到问题，公司能在1小时内迅速反应，在24小时内提出解决方案。通过电话技术支持、上门服务等形式提供每周7天、每天24小时的全方位服务。</w:t>
            </w:r>
          </w:p>
        </w:tc>
        <w:tc>
          <w:tcPr>
            <w:tcW w:w="1685" w:type="dxa"/>
            <w:vAlign w:val="center"/>
          </w:tcPr>
          <w:p>
            <w:pPr>
              <w:pStyle w:val="7813"/>
              <w:ind w:left="0" w:firstLine="0"/>
              <w:rPr>
                <w:rFonts w:ascii="宋体" w:eastAsia="宋体" w:cs="Times New Roman" w:hint="eastAsia"/>
                <w:color w:val="auto"/>
                <w:sz w:val="24"/>
                <w:szCs w:val="21"/>
              </w:rPr>
            </w:pPr>
            <w:r>
              <w:rPr>
                <w:rFonts w:ascii="宋体" w:eastAsia="宋体" w:cs="Times New Roman" w:hint="eastAsia"/>
                <w:color w:val="auto"/>
                <w:sz w:val="24"/>
                <w:szCs w:val="21"/>
              </w:rPr>
              <w:t>是</w:t>
            </w:r>
            <w:r>
              <w:rPr>
                <w:rFonts w:ascii="宋体" w:eastAsia="宋体" w:cs="Times New Roman"/>
                <w:color w:val="auto"/>
                <w:sz w:val="24"/>
                <w:szCs w:val="21"/>
              </w:rPr>
              <w:t>，提供售后服务承诺函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驻场人员要求</w:t>
            </w:r>
          </w:p>
        </w:tc>
        <w:tc>
          <w:tcPr>
            <w:tcW w:w="1196" w:type="dxa"/>
            <w:tcBorders>
              <w:top w:val="single" w:sz="4" w:space="0" w:color="auto"/>
              <w:left w:val="single" w:sz="4" w:space="0" w:color="auto"/>
              <w:right w:val="single" w:sz="4" w:space="0" w:color="auto"/>
            </w:tcBorders>
            <w:vAlign w:val="center"/>
          </w:tcPr>
          <w:p>
            <w:pPr>
              <w:pStyle w:val="8911"/>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ascii="宋体" w:eastAsia="宋体" w:cs="方正仿宋_GBK" w:hint="eastAsia"/>
                <w:sz w:val="28"/>
                <w:szCs w:val="28"/>
              </w:rPr>
            </w:pPr>
          </w:p>
        </w:tc>
        <w:tc>
          <w:tcPr>
            <w:tcW w:w="3690" w:type="dxa"/>
            <w:tcBorders>
              <w:top w:val="single" w:sz="4" w:space="0" w:color="auto"/>
              <w:left w:val="single" w:sz="4" w:space="0" w:color="auto"/>
              <w:right w:val="single" w:sz="4" w:space="0" w:color="auto"/>
            </w:tcBorders>
          </w:tcPr>
          <w:p>
            <w:pPr>
              <w:pStyle w:val="8812"/>
              <w:spacing w:line="240" w:lineRule="auto"/>
              <w:ind w:firstLine="482"/>
              <w:rPr>
                <w:color w:val="auto"/>
                <w:sz w:val="24"/>
              </w:rPr>
            </w:pPr>
            <w:r>
              <w:rPr>
                <w:color w:val="auto"/>
                <w:sz w:val="24"/>
                <w:szCs w:val="24"/>
              </w:rPr>
              <w:t>服务团队不少于6人，至少包括项目经理1名、项目组长1名、修复专家顾问1名、修复师2名、翻译人员1名。并在项目实施期间保持人员稳定。</w:t>
            </w:r>
          </w:p>
          <w:p>
            <w:pPr>
              <w:pStyle w:val="2010"/>
              <w:ind w:firstLine="315" w:firstLineChars="150"/>
              <w:jc w:val="left"/>
              <w:rPr>
                <w:rFonts w:ascii="宋体" w:cs="宋体"/>
              </w:rPr>
            </w:pPr>
            <w:r>
              <w:rPr>
                <w:rFonts w:ascii="宋体" w:eastAsia="宋体" w:cs="宋体" w:hint="eastAsia"/>
              </w:rPr>
              <w:t>项目人员工作要求。严格遵守项目进度及采购人的项目管理制度；应签署项目相关保密协议并严格执行，规范内部安全管理；</w:t>
            </w:r>
          </w:p>
          <w:p>
            <w:pPr>
              <w:pStyle w:val="2010"/>
              <w:ind w:firstLine="315" w:firstLineChars="150"/>
              <w:jc w:val="left"/>
              <w:rPr>
                <w:rFonts w:ascii="宋体" w:cs="宋体"/>
              </w:rPr>
            </w:pPr>
          </w:p>
          <w:p>
            <w:pPr>
              <w:pStyle w:val="2010"/>
              <w:ind w:firstLine="315" w:firstLineChars="150"/>
              <w:jc w:val="left"/>
              <w:rPr>
                <w:rFonts w:ascii="宋体" w:cs="宋体"/>
              </w:rPr>
            </w:pPr>
            <w:r>
              <w:rPr>
                <w:rFonts w:ascii="宋体" w:eastAsia="宋体" w:hint="eastAsia"/>
                <w:lang w:bidi="en-US"/>
              </w:rPr>
              <w:t>项目执行过程中，项目经理要专职于本项目，在项目验收之前不得调离该项目。项目实施过程中，未经采购方同意，投标人不得更换项目团队</w:t>
            </w:r>
            <w:r>
              <w:rPr>
                <w:rFonts w:ascii="宋体" w:eastAsia="宋体"/>
                <w:lang w:bidi="en-US"/>
              </w:rPr>
              <w:t>核心</w:t>
            </w:r>
            <w:r>
              <w:rPr>
                <w:rFonts w:ascii="宋体" w:eastAsia="宋体" w:hint="eastAsia"/>
                <w:lang w:bidi="en-US"/>
              </w:rPr>
              <w:t>成员。服务人员离职时，不得以任何方式复制采购人及项目的一切资料。</w:t>
            </w:r>
          </w:p>
          <w:p>
            <w:pPr>
              <w:pStyle w:val="8812"/>
              <w:spacing w:line="240" w:lineRule="auto"/>
              <w:ind w:firstLine="482"/>
              <w:rPr>
                <w:rFonts w:ascii="宋体" w:eastAsia="宋体" w:cs="Times New Roman" w:hint="eastAsia"/>
                <w:sz w:val="24"/>
                <w:szCs w:val="21"/>
              </w:rPr>
            </w:pPr>
          </w:p>
        </w:tc>
        <w:tc>
          <w:tcPr>
            <w:tcW w:w="1685" w:type="dxa"/>
          </w:tcPr>
          <w:p>
            <w:pPr>
              <w:pStyle w:val="9812"/>
              <w:ind w:left="0" w:firstLine="0"/>
              <w:rPr>
                <w:rFonts w:ascii="宋体" w:eastAsia="宋体" w:cs="Times New Roman" w:hint="eastAsia"/>
                <w:color w:val="auto"/>
                <w:sz w:val="24"/>
                <w:szCs w:val="21"/>
              </w:rPr>
            </w:pPr>
            <w:r>
              <w:rPr>
                <w:rFonts w:ascii="宋体" w:eastAsia="宋体" w:cs="Times New Roman" w:hint="eastAsia"/>
                <w:color w:val="auto"/>
                <w:sz w:val="24"/>
                <w:szCs w:val="21"/>
                <w:lang w:val="en-US" w:eastAsia="zh-CN" w:bidi="ar-SA"/>
              </w:rPr>
              <w:t>是</w:t>
            </w:r>
            <w:r>
              <w:rPr>
                <w:rFonts w:ascii="宋体" w:eastAsia="宋体" w:cs="Times New Roman"/>
                <w:color w:val="auto"/>
                <w:sz w:val="24"/>
                <w:szCs w:val="21"/>
                <w:lang w:val="en-US" w:eastAsia="zh-CN" w:bidi="ar-SA"/>
              </w:rPr>
              <w:t>，提供承诺函并加盖公章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投标人服务标准</w:t>
            </w:r>
          </w:p>
        </w:tc>
        <w:tc>
          <w:tcPr>
            <w:tcW w:w="1196" w:type="dxa"/>
            <w:tcBorders>
              <w:top w:val="single" w:sz="4" w:space="0" w:color="auto"/>
              <w:left w:val="single" w:sz="4" w:space="0" w:color="auto"/>
              <w:right w:val="single" w:sz="4" w:space="0" w:color="auto"/>
            </w:tcBorders>
            <w:vAlign w:val="center"/>
          </w:tcPr>
          <w:p>
            <w:pPr>
              <w:pStyle w:val="9012"/>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ascii="宋体" w:eastAsia="宋体" w:cs="方正仿宋_GBK" w:hint="eastAsia"/>
                <w:sz w:val="28"/>
                <w:szCs w:val="28"/>
              </w:rPr>
            </w:pPr>
          </w:p>
        </w:tc>
        <w:tc>
          <w:tcPr>
            <w:tcW w:w="3690" w:type="dxa"/>
            <w:tcBorders>
              <w:top w:val="single" w:sz="4" w:space="0" w:color="auto"/>
              <w:left w:val="single" w:sz="4" w:space="0" w:color="auto"/>
              <w:right w:val="single" w:sz="4" w:space="0" w:color="auto"/>
            </w:tcBorders>
          </w:tcPr>
          <w:p>
            <w:pPr>
              <w:pStyle w:val="10812"/>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依据</w:t>
            </w:r>
            <w:r>
              <w:rPr>
                <w:rFonts w:ascii="宋体" w:eastAsia="宋体" w:cs="Times New Roman" w:hint="eastAsia"/>
                <w:bCs/>
                <w:color w:val="auto"/>
                <w:kern w:val="2"/>
                <w:sz w:val="24"/>
                <w:szCs w:val="21"/>
                <w:lang w:bidi="ar-SA"/>
              </w:rPr>
              <w:t>《古籍修复技术规范与质量要求》（GB/T 21712-2008）、《档案著录规则》（DA/T 18-2022）、《纸质档案数字化技术规范》（DA/T 31-2017）</w:t>
            </w:r>
          </w:p>
        </w:tc>
        <w:tc>
          <w:tcPr>
            <w:tcW w:w="1685" w:type="dxa"/>
            <w:vAlign w:val="center"/>
          </w:tcPr>
          <w:p>
            <w:pPr>
              <w:pStyle w:val="1187"/>
              <w:rPr>
                <w:rFonts w:ascii="宋体" w:eastAsia="宋体" w:cs="Times New Roman" w:hint="eastAsia"/>
                <w:color w:val="auto"/>
                <w:sz w:val="24"/>
                <w:szCs w:val="21"/>
              </w:rPr>
            </w:pPr>
            <w:r>
              <w:rPr>
                <w:rFonts w:ascii="宋体" w:eastAsia="宋体" w:cs="Times New Roman"/>
                <w:color w:val="auto"/>
                <w:sz w:val="24"/>
                <w:szCs w:val="21"/>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硬件、软件制造商服务标准</w:t>
            </w:r>
          </w:p>
        </w:tc>
        <w:tc>
          <w:tcPr>
            <w:tcW w:w="1196" w:type="dxa"/>
            <w:tcBorders>
              <w:top w:val="single" w:sz="4" w:space="0" w:color="auto"/>
              <w:left w:val="single" w:sz="4" w:space="0" w:color="auto"/>
              <w:right w:val="single" w:sz="4" w:space="0" w:color="auto"/>
            </w:tcBorders>
            <w:vAlign w:val="center"/>
          </w:tcPr>
          <w:p>
            <w:pPr>
              <w:pStyle w:val="9112"/>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ascii="宋体" w:eastAsia="宋体" w:cs="方正仿宋_GBK" w:hint="eastAsia"/>
                <w:sz w:val="28"/>
                <w:szCs w:val="28"/>
              </w:rPr>
            </w:pPr>
          </w:p>
        </w:tc>
        <w:tc>
          <w:tcPr>
            <w:tcW w:w="3690" w:type="dxa"/>
            <w:tcBorders>
              <w:top w:val="single" w:sz="4" w:space="0" w:color="auto"/>
              <w:left w:val="single" w:sz="4" w:space="0" w:color="auto"/>
              <w:right w:val="single" w:sz="4" w:space="0" w:color="auto"/>
            </w:tcBorders>
            <w:vAlign w:val="center"/>
          </w:tcPr>
          <w:p>
            <w:pPr>
              <w:pStyle w:val="1281"/>
              <w:spacing w:line="240" w:lineRule="auto"/>
              <w:ind w:firstLine="482"/>
              <w:rPr>
                <w:rFonts w:ascii="宋体" w:eastAsia="宋体" w:cs="Times New Roman" w:hint="eastAsia"/>
                <w:color w:val="auto"/>
                <w:sz w:val="28"/>
                <w:szCs w:val="28"/>
              </w:rPr>
            </w:pPr>
            <w:r>
              <w:rPr>
                <w:rFonts w:ascii="宋体" w:eastAsia="宋体" w:cs="Times New Roman" w:hint="eastAsia"/>
                <w:color w:val="auto"/>
                <w:sz w:val="24"/>
                <w:szCs w:val="21"/>
              </w:rPr>
              <w:t>无</w:t>
            </w:r>
          </w:p>
        </w:tc>
        <w:tc>
          <w:tcPr>
            <w:tcW w:w="1685" w:type="dxa"/>
            <w:vAlign w:val="center"/>
          </w:tcPr>
          <w:p>
            <w:pPr>
              <w:pStyle w:val="1381"/>
              <w:rPr>
                <w:rFonts w:ascii="宋体" w:eastAsia="宋体" w:cs="Times New Roman" w:hint="eastAsia"/>
                <w:color w:val="auto"/>
                <w:sz w:val="24"/>
                <w:szCs w:val="21"/>
              </w:rPr>
            </w:pPr>
            <w:r>
              <w:rPr>
                <w:rFonts w:ascii="宋体" w:eastAsia="宋体" w:cs="Times New Roman"/>
                <w:color w:val="auto"/>
                <w:sz w:val="24"/>
                <w:szCs w:val="21"/>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人员资格标准</w:t>
            </w:r>
          </w:p>
        </w:tc>
        <w:tc>
          <w:tcPr>
            <w:tcW w:w="1196" w:type="dxa"/>
            <w:tcBorders>
              <w:top w:val="single" w:sz="4" w:space="0" w:color="auto"/>
              <w:left w:val="single" w:sz="4" w:space="0" w:color="auto"/>
              <w:right w:val="single" w:sz="4" w:space="0" w:color="auto"/>
            </w:tcBorders>
            <w:vAlign w:val="center"/>
          </w:tcPr>
          <w:p>
            <w:pPr>
              <w:pStyle w:val="1480"/>
              <w:rPr>
                <w:rFonts w:ascii="宋体" w:eastAsia="宋体" w:cs="Times New Roman" w:hint="eastAsia"/>
                <w:sz w:val="24"/>
                <w:szCs w:val="21"/>
              </w:rPr>
            </w:pPr>
          </w:p>
        </w:tc>
        <w:tc>
          <w:tcPr>
            <w:tcW w:w="3690" w:type="dxa"/>
            <w:tcBorders>
              <w:top w:val="single" w:sz="4" w:space="0" w:color="auto"/>
              <w:left w:val="single" w:sz="4" w:space="0" w:color="auto"/>
              <w:right w:val="single" w:sz="4" w:space="0" w:color="auto"/>
            </w:tcBorders>
          </w:tcPr>
          <w:p>
            <w:pPr>
              <w:pStyle w:val="2210"/>
              <w:spacing w:line="560" w:lineRule="exact"/>
              <w:ind w:firstLine="240" w:firstLineChars="100"/>
              <w:rPr>
                <w:rFonts w:ascii="宋体" w:cs="宋体"/>
              </w:rPr>
            </w:pPr>
            <w:r>
              <w:rPr>
                <w:rFonts w:ascii="宋体" w:eastAsia="宋体" w:cs="Times New Roman" w:hint="eastAsia"/>
                <w:sz w:val="24"/>
                <w:szCs w:val="21"/>
              </w:rPr>
              <w:t>1.项目经理</w:t>
            </w:r>
            <w:r>
              <w:rPr>
                <w:rFonts w:ascii="宋体" w:eastAsia="宋体" w:cs="Times New Roman"/>
                <w:sz w:val="24"/>
                <w:szCs w:val="21"/>
              </w:rPr>
              <w:t>1名，具有同类修复项目管理经验，</w:t>
            </w:r>
            <w:r>
              <w:rPr>
                <w:rFonts w:ascii="宋体" w:eastAsia="宋体" w:cs="宋体" w:hint="eastAsia"/>
              </w:rPr>
              <w:t>能够与用户进行良好的沟通，熟悉</w:t>
            </w:r>
            <w:r>
              <w:rPr>
                <w:rFonts w:ascii="宋体" w:eastAsia="宋体" w:cs="宋体"/>
              </w:rPr>
              <w:t>修复相关工作</w:t>
            </w:r>
            <w:r>
              <w:rPr>
                <w:rFonts w:ascii="宋体" w:eastAsia="宋体" w:cs="宋体" w:hint="eastAsia"/>
              </w:rPr>
              <w:t>。</w:t>
            </w:r>
            <w:bookmarkStart w:id="59" w:name="_GoBack"/>
            <w:bookmarkEnd w:id="59"/>
          </w:p>
          <w:p>
            <w:pPr>
              <w:pStyle w:val="1580"/>
              <w:spacing w:line="240" w:lineRule="auto"/>
              <w:ind w:left="0" w:firstLine="0"/>
              <w:rPr>
                <w:rFonts w:ascii="宋体" w:eastAsia="宋体" w:cs="Times New Roman"/>
                <w:color w:val="auto"/>
                <w:sz w:val="24"/>
                <w:szCs w:val="21"/>
              </w:rPr>
            </w:pPr>
          </w:p>
          <w:p>
            <w:pPr>
              <w:pStyle w:val="1580"/>
              <w:spacing w:line="240" w:lineRule="auto"/>
              <w:ind w:firstLine="482"/>
              <w:rPr>
                <w:rFonts w:ascii="宋体" w:eastAsia="宋体" w:cs="Times New Roman"/>
                <w:color w:val="auto"/>
                <w:sz w:val="24"/>
                <w:szCs w:val="21"/>
              </w:rPr>
            </w:pPr>
            <w:r>
              <w:rPr>
                <w:rFonts w:ascii="宋体" w:eastAsia="宋体" w:cs="Times New Roman"/>
                <w:color w:val="auto"/>
                <w:sz w:val="24"/>
                <w:szCs w:val="21"/>
              </w:rPr>
              <w:t>2、项目组长1名，具有人力资源和社会保障局颁发的档案专业技术职称或图书资料职称或文物保护职称证书（初、中、高级均可）；</w:t>
            </w:r>
          </w:p>
          <w:p>
            <w:pPr>
              <w:pStyle w:val="1580"/>
              <w:spacing w:line="240" w:lineRule="auto"/>
              <w:ind w:firstLine="482"/>
              <w:rPr>
                <w:rFonts w:ascii="宋体" w:eastAsia="宋体" w:cs="Times New Roman"/>
                <w:color w:val="auto"/>
                <w:sz w:val="24"/>
                <w:szCs w:val="21"/>
              </w:rPr>
            </w:pPr>
            <w:r>
              <w:rPr>
                <w:rFonts w:ascii="宋体" w:eastAsia="宋体" w:cs="Times New Roman"/>
                <w:color w:val="auto"/>
                <w:sz w:val="24"/>
                <w:szCs w:val="21"/>
              </w:rPr>
              <w:t>3、修复专家1名：具有人力资源和社会保障局颁发的档案专业技术职称或图书资料职称或文物保护职称证书（初、中、高级均可）；</w:t>
            </w:r>
          </w:p>
          <w:p>
            <w:pPr>
              <w:pStyle w:val="1580"/>
              <w:spacing w:line="240" w:lineRule="auto"/>
              <w:ind w:firstLine="482"/>
              <w:rPr>
                <w:rFonts w:ascii="宋体" w:eastAsia="宋体" w:cs="Times New Roman"/>
                <w:color w:val="auto"/>
                <w:sz w:val="24"/>
                <w:szCs w:val="21"/>
              </w:rPr>
            </w:pPr>
            <w:r>
              <w:rPr>
                <w:rFonts w:ascii="宋体" w:eastAsia="宋体" w:cs="Times New Roman"/>
                <w:color w:val="auto"/>
                <w:sz w:val="24"/>
                <w:szCs w:val="21"/>
              </w:rPr>
              <w:t>4、修复师2名，具有同类项目服务经验；</w:t>
            </w:r>
          </w:p>
          <w:p>
            <w:pPr>
              <w:pStyle w:val="1580"/>
              <w:spacing w:line="240" w:lineRule="auto"/>
              <w:ind w:firstLine="482"/>
              <w:rPr>
                <w:rFonts w:ascii="宋体" w:eastAsia="宋体" w:cs="Times New Roman" w:hint="eastAsia"/>
                <w:color w:val="auto"/>
                <w:sz w:val="24"/>
                <w:szCs w:val="21"/>
              </w:rPr>
            </w:pPr>
            <w:r>
              <w:rPr>
                <w:rFonts w:ascii="宋体" w:eastAsia="宋体" w:cs="Times New Roman"/>
                <w:color w:val="auto"/>
                <w:sz w:val="24"/>
                <w:szCs w:val="21"/>
              </w:rPr>
              <w:t>5、翻译人员1名，具有同类项目服务经验。</w:t>
            </w:r>
          </w:p>
          <w:p>
            <w:pPr>
              <w:pStyle w:val="1580"/>
              <w:spacing w:line="240" w:lineRule="auto"/>
              <w:ind w:firstLine="482"/>
              <w:rPr>
                <w:rFonts w:ascii="宋体" w:eastAsia="宋体" w:cs="Times New Roman" w:hint="eastAsia"/>
                <w:color w:val="auto"/>
                <w:sz w:val="24"/>
                <w:szCs w:val="21"/>
              </w:rPr>
            </w:pPr>
          </w:p>
        </w:tc>
        <w:tc>
          <w:tcPr>
            <w:tcW w:w="1685" w:type="dxa"/>
            <w:vAlign w:val="center"/>
          </w:tcPr>
          <w:p>
            <w:pPr>
              <w:pStyle w:val="2812"/>
              <w:spacing w:line="240" w:lineRule="auto"/>
              <w:ind w:left="0" w:firstLine="0"/>
              <w:rPr>
                <w:rFonts w:ascii="宋体" w:eastAsia="宋体" w:cs="方正仿宋_GBK" w:hint="eastAsia"/>
                <w:color w:val="auto"/>
                <w:sz w:val="28"/>
                <w:szCs w:val="28"/>
              </w:rPr>
            </w:pPr>
            <w:r>
              <w:rPr>
                <w:rFonts w:ascii="宋体" w:eastAsia="宋体" w:cs="Times New Roman" w:hint="eastAsia"/>
                <w:color w:val="auto"/>
                <w:sz w:val="24"/>
                <w:szCs w:val="21"/>
              </w:rPr>
              <w:t>是，提供</w:t>
            </w:r>
            <w:r>
              <w:rPr>
                <w:rFonts w:ascii="宋体" w:eastAsia="宋体" w:cs="Times New Roman"/>
                <w:color w:val="auto"/>
                <w:sz w:val="24"/>
                <w:szCs w:val="21"/>
              </w:rPr>
              <w:t>服务团队人员情况表，内容至少包括姓名、拟承担职务、工作履历，及</w:t>
            </w:r>
            <w:r>
              <w:rPr>
                <w:rFonts w:ascii="宋体" w:eastAsia="宋体" w:cs="Times New Roman" w:hint="eastAsia"/>
                <w:color w:val="auto"/>
                <w:sz w:val="24"/>
                <w:szCs w:val="21"/>
              </w:rPr>
              <w:t>相关工作经历</w:t>
            </w:r>
            <w:r>
              <w:rPr>
                <w:rFonts w:ascii="宋体" w:eastAsia="宋体" w:cs="Times New Roman"/>
                <w:color w:val="auto"/>
                <w:sz w:val="24"/>
                <w:szCs w:val="21"/>
              </w:rPr>
              <w:t>证明和所要求的职称证书等，提供</w:t>
            </w:r>
            <w:r>
              <w:rPr>
                <w:rFonts w:ascii="宋体" w:eastAsia="宋体" w:cs="Times New Roman" w:hint="eastAsia"/>
                <w:color w:val="auto"/>
                <w:sz w:val="24"/>
                <w:szCs w:val="21"/>
              </w:rPr>
              <w:t>近三个月内任意一次社保缴纳证明或劳动合同等</w:t>
            </w:r>
            <w:r>
              <w:rPr>
                <w:rFonts w:ascii="宋体" w:eastAsia="宋体" w:cs="Times New Roman"/>
                <w:color w:val="auto"/>
                <w:sz w:val="24"/>
                <w:szCs w:val="21"/>
              </w:rPr>
              <w:t>证明</w:t>
            </w:r>
            <w:r>
              <w:rPr>
                <w:rFonts w:ascii="宋体" w:eastAsia="宋体" w:cs="Times New Roman" w:hint="eastAsia"/>
                <w:color w:val="auto"/>
                <w:sz w:val="24"/>
                <w:szCs w:val="21"/>
              </w:rPr>
              <w:t>材料</w:t>
            </w:r>
            <w:r>
              <w:rPr>
                <w:rFonts w:ascii="宋体" w:eastAsia="宋体" w:cs="Times New Roman"/>
                <w:color w:val="auto"/>
                <w:sz w:val="24"/>
                <w:szCs w:val="21"/>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服务网络标准</w:t>
            </w:r>
          </w:p>
        </w:tc>
        <w:tc>
          <w:tcPr>
            <w:tcW w:w="1196" w:type="dxa"/>
            <w:tcBorders>
              <w:top w:val="single" w:sz="4" w:space="0" w:color="auto"/>
              <w:left w:val="single" w:sz="4" w:space="0" w:color="auto"/>
              <w:right w:val="single" w:sz="4" w:space="0" w:color="auto"/>
            </w:tcBorders>
            <w:vAlign w:val="center"/>
          </w:tcPr>
          <w:p>
            <w:pPr>
              <w:pStyle w:val="9211"/>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ascii="宋体" w:eastAsia="宋体" w:cs="方正仿宋_GBK" w:hint="eastAsia"/>
                <w:sz w:val="28"/>
                <w:szCs w:val="28"/>
              </w:rPr>
            </w:pPr>
          </w:p>
        </w:tc>
        <w:tc>
          <w:tcPr>
            <w:tcW w:w="3690" w:type="dxa"/>
            <w:tcBorders>
              <w:top w:val="single" w:sz="4" w:space="0" w:color="auto"/>
              <w:left w:val="single" w:sz="4" w:space="0" w:color="auto"/>
              <w:right w:val="single" w:sz="4" w:space="0" w:color="auto"/>
            </w:tcBorders>
          </w:tcPr>
          <w:p>
            <w:pPr>
              <w:pStyle w:val="17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提供专职的数字化技术人员，全程提供技术支撑服务。</w:t>
            </w:r>
          </w:p>
        </w:tc>
        <w:tc>
          <w:tcPr>
            <w:tcW w:w="1685" w:type="dxa"/>
            <w:vAlign w:val="center"/>
          </w:tcPr>
          <w:p>
            <w:pPr>
              <w:pStyle w:val="1881"/>
              <w:rPr>
                <w:rFonts w:ascii="宋体" w:eastAsia="宋体" w:cs="Times New Roman" w:hint="eastAsia"/>
                <w:color w:val="auto"/>
                <w:sz w:val="24"/>
                <w:szCs w:val="21"/>
              </w:rPr>
            </w:pPr>
            <w:r>
              <w:rPr>
                <w:rFonts w:ascii="宋体" w:eastAsia="宋体" w:cs="Times New Roman"/>
                <w:color w:val="auto"/>
                <w:sz w:val="24"/>
                <w:szCs w:val="21"/>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培训标准</w:t>
            </w:r>
          </w:p>
        </w:tc>
        <w:tc>
          <w:tcPr>
            <w:tcW w:w="1196" w:type="dxa"/>
            <w:tcBorders>
              <w:top w:val="single" w:sz="4" w:space="0" w:color="auto"/>
              <w:left w:val="single" w:sz="4" w:space="0" w:color="auto"/>
              <w:right w:val="single" w:sz="4" w:space="0" w:color="auto"/>
            </w:tcBorders>
            <w:vAlign w:val="center"/>
          </w:tcPr>
          <w:p>
            <w:pPr>
              <w:pStyle w:val="9311"/>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ascii="宋体" w:eastAsia="宋体" w:cs="方正仿宋_GBK" w:hint="eastAsia"/>
                <w:sz w:val="28"/>
                <w:szCs w:val="28"/>
              </w:rPr>
            </w:pPr>
          </w:p>
        </w:tc>
        <w:tc>
          <w:tcPr>
            <w:tcW w:w="3690" w:type="dxa"/>
            <w:tcBorders>
              <w:top w:val="single" w:sz="4" w:space="0" w:color="auto"/>
              <w:left w:val="single" w:sz="4" w:space="0" w:color="auto"/>
              <w:right w:val="single" w:sz="4" w:space="0" w:color="auto"/>
            </w:tcBorders>
          </w:tcPr>
          <w:p>
            <w:pPr>
              <w:pStyle w:val="19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对项目组人员在上岗前和项目开展中进行不少于2次专业培训。</w:t>
            </w:r>
          </w:p>
        </w:tc>
        <w:tc>
          <w:tcPr>
            <w:tcW w:w="1685" w:type="dxa"/>
            <w:vAlign w:val="center"/>
          </w:tcPr>
          <w:p>
            <w:pPr>
              <w:pStyle w:val="2080"/>
              <w:rPr>
                <w:rFonts w:ascii="宋体" w:eastAsia="宋体" w:cs="Times New Roman" w:hint="eastAsia"/>
                <w:color w:val="auto"/>
                <w:sz w:val="24"/>
                <w:szCs w:val="21"/>
              </w:rPr>
            </w:pPr>
            <w:r>
              <w:rPr>
                <w:rFonts w:ascii="宋体" w:eastAsia="宋体" w:cs="Times New Roman"/>
                <w:color w:val="auto"/>
                <w:sz w:val="24"/>
                <w:szCs w:val="21"/>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rPr>
              <w:t>服务要求</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pStyle w:val="38610"/>
              <w:keepNext w:val="0"/>
              <w:keepLines w:val="0"/>
              <w:pageBreakBefore w:val="0"/>
              <w:widowControl w:val="0"/>
              <w:kinsoku/>
              <w:wordWrap/>
              <w:overflowPunct/>
              <w:topLinePunct w:val="0"/>
              <w:autoSpaceDE/>
              <w:autoSpaceDN/>
              <w:adjustRightInd/>
              <w:snapToGrid/>
              <w:ind w:firstLine="480" w:firstLineChars="200"/>
              <w:jc w:val="left"/>
              <w:rPr>
                <w:rFonts w:ascii="宋体" w:hint="eastAsia"/>
                <w:sz w:val="24"/>
                <w:szCs w:val="24"/>
              </w:rPr>
            </w:pPr>
            <w:r>
              <w:rPr>
                <w:rFonts w:ascii="宋体" w:eastAsia="宋体" w:cs="Times New Roman"/>
                <w:sz w:val="24"/>
                <w:szCs w:val="21"/>
              </w:rPr>
              <w:t>按要求做好图纸资料数据治理、挂接、离线备份等工作，准确、齐全导入档案管理系统，满足查询利用和安全管理需求。</w:t>
            </w:r>
          </w:p>
        </w:tc>
        <w:tc>
          <w:tcPr>
            <w:tcW w:w="1685" w:type="dxa"/>
            <w:vAlign w:val="center"/>
          </w:tcPr>
          <w:p>
            <w:pPr>
              <w:pStyle w:val="151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color w:val="595959"/>
                <w:sz w:val="24"/>
                <w:szCs w:val="21"/>
              </w:rPr>
            </w:pPr>
            <w:r>
              <w:rPr>
                <w:rFonts w:ascii="宋体" w:eastAsia="宋体" w:cs="Times New Roman"/>
                <w:sz w:val="24"/>
                <w:szCs w:val="21"/>
              </w:rPr>
              <w:t>无</w:t>
            </w:r>
          </w:p>
        </w:tc>
      </w:tr>
    </w:tbl>
    <w:p>
      <w:pPr>
        <w:pStyle w:val="Heading4"/>
        <w:ind w:left="0"/>
        <w:rPr>
          <w:rFonts w:ascii="宋体" w:eastAsia="宋体" w:hint="eastAsia"/>
          <w:lang w:val="en-US"/>
        </w:rPr>
      </w:pPr>
      <w:bookmarkStart w:id="60" w:name="实施方案"/>
      <w:r>
        <w:rPr>
          <w:rFonts w:ascii="宋体" w:eastAsia="宋体"/>
          <w:lang w:val="en-US"/>
        </w:rPr>
        <w:t>八、</w:t>
      </w:r>
      <w:r>
        <w:rPr>
          <w:rFonts w:ascii="宋体" w:eastAsia="宋体" w:hint="eastAsia"/>
          <w:lang w:val="en-US"/>
        </w:rPr>
        <w:t>实施</w:t>
      </w:r>
      <w:bookmarkEnd w:id="60"/>
      <w:r>
        <w:rPr>
          <w:rFonts w:ascii="宋体" w:eastAsia="宋体"/>
          <w:lang w:val="en-US"/>
        </w:rPr>
        <w:t>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bookmarkStart w:id="61" w:name="ssfa_id_cc51d98c7c8337795c01b951fb6cba3d"/>
            <w:r>
              <w:rPr>
                <w:rFonts w:ascii="宋体" w:eastAsia="宋体" w:hint="eastAsia"/>
              </w:rPr>
              <w:t>序号</w:t>
            </w:r>
            <w:bookmarkEnd w:id="61"/>
          </w:p>
        </w:tc>
        <w:tc>
          <w:tcPr>
            <w:tcW w:w="1140" w:type="dxa"/>
          </w:tcPr>
          <w:p>
            <w:pPr>
              <w:ind w:left="0" w:firstLine="0"/>
              <w:jc w:val="center"/>
              <w:rPr>
                <w:rFonts w:ascii="宋体" w:eastAsia="宋体" w:hint="eastAsia"/>
              </w:rPr>
            </w:pPr>
            <w:bookmarkStart w:id="62" w:name="ssfa_name_cc51d98c7c8337795c01b951fb6cba"/>
            <w:r>
              <w:rPr>
                <w:rFonts w:ascii="宋体" w:eastAsia="宋体" w:hint="eastAsia"/>
              </w:rPr>
              <w:t>内容</w:t>
            </w:r>
            <w:bookmarkEnd w:id="62"/>
          </w:p>
        </w:tc>
        <w:tc>
          <w:tcPr>
            <w:tcW w:w="1196" w:type="dxa"/>
          </w:tcPr>
          <w:p>
            <w:pPr>
              <w:ind w:left="0" w:firstLine="0"/>
              <w:jc w:val="center"/>
              <w:rPr>
                <w:rFonts w:ascii="宋体" w:eastAsia="宋体" w:hint="eastAsia"/>
              </w:rPr>
            </w:pPr>
            <w:bookmarkStart w:id="63" w:name="ssfa_level_cc51d98c7c8337795c01b951fb6cb"/>
            <w:r>
              <w:rPr>
                <w:rFonts w:ascii="宋体" w:eastAsia="宋体" w:hint="eastAsia"/>
              </w:rPr>
              <w:t>重要性</w:t>
            </w:r>
            <w:bookmarkEnd w:id="63"/>
          </w:p>
        </w:tc>
        <w:tc>
          <w:tcPr>
            <w:tcW w:w="3690" w:type="dxa"/>
          </w:tcPr>
          <w:p>
            <w:pPr>
              <w:ind w:left="0" w:firstLine="0"/>
              <w:jc w:val="center"/>
              <w:rPr>
                <w:rFonts w:ascii="宋体" w:eastAsia="宋体" w:hint="eastAsia"/>
              </w:rPr>
            </w:pPr>
            <w:bookmarkStart w:id="64" w:name="ssfa_detail_cc51d98c7c8337795c01b951fb6c"/>
            <w:r>
              <w:rPr>
                <w:rFonts w:ascii="宋体" w:eastAsia="宋体" w:hint="eastAsia"/>
                <w:lang w:val="en-US"/>
              </w:rPr>
              <w:t>实施</w:t>
            </w:r>
            <w:r>
              <w:rPr>
                <w:rFonts w:ascii="宋体" w:eastAsia="宋体" w:hint="eastAsia"/>
              </w:rPr>
              <w:t>标准</w:t>
            </w:r>
            <w:bookmarkEnd w:id="64"/>
          </w:p>
        </w:tc>
        <w:tc>
          <w:tcPr>
            <w:tcW w:w="1685" w:type="dxa"/>
          </w:tcPr>
          <w:p>
            <w:pPr>
              <w:ind w:left="0" w:firstLine="0"/>
              <w:jc w:val="center"/>
              <w:rPr>
                <w:rFonts w:ascii="宋体" w:eastAsia="宋体" w:hint="eastAsia"/>
                <w:highlight w:val="yellow"/>
              </w:rPr>
            </w:pPr>
            <w:bookmarkStart w:id="65" w:name="ssfa_require_cc51d98c7c8337795c01b951fb6"/>
            <w:r>
              <w:rPr>
                <w:rFonts w:ascii="宋体" w:eastAsia="宋体" w:hint="eastAsia"/>
              </w:rPr>
              <w:t>证明材料要求</w:t>
            </w:r>
            <w:bookmarkEnd w:id="65"/>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项目实施过程控制</w:t>
            </w:r>
          </w:p>
        </w:tc>
        <w:tc>
          <w:tcPr>
            <w:tcW w:w="1196" w:type="dxa"/>
            <w:tcBorders>
              <w:top w:val="single" w:sz="4" w:space="0" w:color="auto"/>
              <w:left w:val="single" w:sz="4" w:space="0" w:color="auto"/>
              <w:right w:val="single" w:sz="4" w:space="0" w:color="auto"/>
            </w:tcBorders>
            <w:vAlign w:val="center"/>
          </w:tcPr>
          <w:p>
            <w:pPr>
              <w:pStyle w:val="9411"/>
              <w:ind w:left="0" w:firstLine="0"/>
              <w:jc w:val="center"/>
              <w:rPr>
                <w:rFonts w:ascii="宋体" w:eastAsia="宋体" w:hint="eastAsia"/>
                <w:color w:val="auto"/>
              </w:rPr>
            </w:pPr>
            <w:r>
              <w:rPr>
                <w:rFonts w:ascii="宋体" w:eastAsia="宋体" w:hint="eastAsia"/>
                <w:bdr w:val="none" w:sz="0" w:space="0" w:color="auto"/>
                <w:lang w:bidi="ar-SA"/>
              </w:rPr>
              <w:t>▲</w:t>
            </w:r>
          </w:p>
        </w:tc>
        <w:tc>
          <w:tcPr>
            <w:tcW w:w="3690" w:type="dxa"/>
            <w:tcBorders>
              <w:top w:val="single" w:sz="4" w:space="0" w:color="auto"/>
              <w:left w:val="single" w:sz="4" w:space="0" w:color="auto"/>
              <w:right w:val="single" w:sz="4" w:space="0" w:color="auto"/>
            </w:tcBorders>
          </w:tcPr>
          <w:p>
            <w:pPr>
              <w:pStyle w:val="23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 xml:space="preserve">1.全过程监控。对项目组人员工作过程中的各个环节进行巡查、监控，并定期或不定期地抽查各个环节的进展情况。  </w:t>
            </w:r>
          </w:p>
          <w:p>
            <w:pPr>
              <w:pStyle w:val="2380"/>
              <w:spacing w:line="240" w:lineRule="auto"/>
              <w:ind w:firstLine="482"/>
              <w:rPr>
                <w:rFonts w:ascii="宋体" w:eastAsia="宋体" w:cs="Times New Roman" w:hint="eastAsia"/>
                <w:color w:val="auto"/>
                <w:sz w:val="24"/>
                <w:szCs w:val="21"/>
              </w:rPr>
            </w:pPr>
            <w:r>
              <w:rPr>
                <w:rFonts w:ascii="宋体" w:eastAsia="宋体" w:cs="Times New Roman" w:hint="eastAsia"/>
                <w:color w:val="auto"/>
                <w:sz w:val="24"/>
                <w:szCs w:val="21"/>
              </w:rPr>
              <w:t>2.纠正与反馈。对项目组人员不符合工作程序和要求的行为，予以制止和纠正，并提出适当改进方法。</w:t>
            </w:r>
          </w:p>
        </w:tc>
        <w:tc>
          <w:tcPr>
            <w:tcW w:w="1685" w:type="dxa"/>
            <w:vAlign w:val="center"/>
          </w:tcPr>
          <w:p>
            <w:pPr>
              <w:pStyle w:val="378101"/>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sz w:val="24"/>
                <w:szCs w:val="21"/>
              </w:rPr>
            </w:pPr>
            <w:r>
              <w:rPr>
                <w:rFonts w:ascii="宋体" w:cs="Times New Roman" w:hint="eastAsia"/>
                <w:bCs/>
                <w:sz w:val="24"/>
                <w:szCs w:val="21"/>
                <w:lang w:eastAsia="zh-CN"/>
              </w:rPr>
              <w:t>是</w:t>
            </w:r>
            <w:r>
              <w:rPr>
                <w:rFonts w:ascii="宋体" w:cs="Times New Roman"/>
                <w:bCs/>
                <w:sz w:val="24"/>
                <w:szCs w:val="21"/>
                <w:lang w:eastAsia="zh-CN"/>
              </w:rPr>
              <w:t>，在项目实施方案中体现</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pStyle w:val="9511"/>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pStyle w:val="2480"/>
              <w:spacing w:line="240" w:lineRule="auto"/>
              <w:rPr>
                <w:rFonts w:ascii="宋体" w:eastAsia="宋体" w:cs="Times New Roman" w:hint="eastAsia"/>
                <w:color w:val="auto"/>
                <w:kern w:val="2"/>
                <w:sz w:val="24"/>
                <w:szCs w:val="21"/>
              </w:rPr>
            </w:pPr>
            <w:r>
              <w:rPr>
                <w:rFonts w:ascii="宋体" w:eastAsia="宋体" w:cs="Times New Roman" w:hint="eastAsia"/>
                <w:color w:val="auto"/>
                <w:kern w:val="2"/>
                <w:sz w:val="24"/>
                <w:szCs w:val="21"/>
              </w:rPr>
              <w:t>加强管理，工作过程中注重对形成的工作文件的整理、归档。主要包括项目招投标文件、项目合同、保密协议、修复和数字化工作方案、项目验收报告，在项目验收时，整理完整，移交规范。</w:t>
            </w:r>
          </w:p>
        </w:tc>
        <w:tc>
          <w:tcPr>
            <w:tcW w:w="1685" w:type="dxa"/>
            <w:vAlign w:val="center"/>
          </w:tcPr>
          <w:p>
            <w:pPr>
              <w:pStyle w:val="3801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sz w:val="24"/>
                <w:szCs w:val="21"/>
              </w:rPr>
            </w:pPr>
            <w:r>
              <w:rPr>
                <w:rFonts w:ascii="宋体" w:cs="Times New Roman" w:hint="eastAsia"/>
                <w:bCs/>
                <w:sz w:val="24"/>
                <w:szCs w:val="21"/>
              </w:rPr>
              <w:t>是</w:t>
            </w:r>
            <w:r>
              <w:rPr>
                <w:rFonts w:ascii="宋体" w:cs="Times New Roman"/>
                <w:bCs/>
                <w:sz w:val="24"/>
                <w:szCs w:val="21"/>
              </w:rPr>
              <w:t>，在</w:t>
            </w:r>
            <w:r>
              <w:rPr>
                <w:rFonts w:ascii="宋体" w:eastAsia="宋体"/>
                <w:bdr w:val="none" w:sz="0" w:space="0" w:color="auto"/>
              </w:rPr>
              <w:t>项目实施方案中体现</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项目实施组织架构</w:t>
            </w:r>
          </w:p>
        </w:tc>
        <w:tc>
          <w:tcPr>
            <w:tcW w:w="1196" w:type="dxa"/>
            <w:tcBorders>
              <w:top w:val="single" w:sz="4" w:space="0" w:color="auto"/>
              <w:left w:val="single" w:sz="4" w:space="0" w:color="auto"/>
              <w:right w:val="single" w:sz="4" w:space="0" w:color="auto"/>
            </w:tcBorders>
            <w:vAlign w:val="center"/>
          </w:tcPr>
          <w:p>
            <w:pPr>
              <w:pStyle w:val="9611"/>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ascii="宋体" w:eastAsia="宋体" w:hint="eastAsia"/>
                <w:color w:val="auto"/>
              </w:rPr>
            </w:pPr>
          </w:p>
        </w:tc>
        <w:tc>
          <w:tcPr>
            <w:tcW w:w="3690" w:type="dxa"/>
            <w:tcBorders>
              <w:top w:val="single" w:sz="4" w:space="0" w:color="auto"/>
              <w:left w:val="single" w:sz="4" w:space="0" w:color="auto"/>
              <w:right w:val="single" w:sz="4" w:space="0" w:color="auto"/>
            </w:tcBorders>
          </w:tcPr>
          <w:p>
            <w:pPr>
              <w:pStyle w:val="2580"/>
              <w:spacing w:line="240" w:lineRule="auto"/>
              <w:rPr>
                <w:rFonts w:ascii="宋体" w:eastAsia="宋体" w:cs="Times New Roman" w:hint="eastAsia"/>
                <w:color w:val="auto"/>
                <w:sz w:val="24"/>
                <w:szCs w:val="21"/>
              </w:rPr>
            </w:pPr>
          </w:p>
        </w:tc>
        <w:tc>
          <w:tcPr>
            <w:tcW w:w="1685" w:type="dxa"/>
            <w:vAlign w:val="center"/>
          </w:tcPr>
          <w:p>
            <w:pPr>
              <w:pStyle w:val="9711"/>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ascii="宋体" w:eastAsia="宋体" w:cs="Times New Roman" w:hint="eastAsia"/>
                <w:bCs/>
                <w:kern w:val="2"/>
                <w:szCs w:val="21"/>
              </w:rPr>
            </w:pPr>
            <w:r>
              <w:rPr>
                <w:rFonts w:ascii="宋体" w:eastAsia="宋体" w:cs="Times New Roman"/>
                <w:sz w:val="24"/>
                <w:szCs w:val="21"/>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项目实施进度安排</w:t>
            </w:r>
          </w:p>
        </w:tc>
        <w:tc>
          <w:tcPr>
            <w:tcW w:w="1196" w:type="dxa"/>
            <w:tcBorders>
              <w:top w:val="single" w:sz="4" w:space="0" w:color="auto"/>
              <w:left w:val="single" w:sz="4" w:space="0" w:color="auto"/>
              <w:right w:val="single" w:sz="4" w:space="0" w:color="auto"/>
            </w:tcBorders>
            <w:vAlign w:val="center"/>
          </w:tcPr>
          <w:p>
            <w:pPr>
              <w:pStyle w:val="9813"/>
              <w:keepNext w:val="0"/>
              <w:keepLines w:val="0"/>
              <w:pageBreakBefore w:val="0"/>
              <w:widowControl w:val="0"/>
              <w:kinsoku/>
              <w:wordWrap/>
              <w:overflowPunct/>
              <w:topLinePunct w:val="0"/>
              <w:autoSpaceDE/>
              <w:autoSpaceDN/>
              <w:bidi w:val="0"/>
              <w:adjustRightInd/>
              <w:snapToGrid/>
              <w:spacing w:line="560" w:lineRule="exact"/>
              <w:ind w:left="0" w:firstLine="0"/>
              <w:jc w:val="center"/>
              <w:textAlignment w:val="auto"/>
              <w:rPr>
                <w:rFonts w:ascii="宋体" w:eastAsia="宋体" w:cs="Times New Roman" w:hint="eastAsia"/>
                <w:color w:val="auto"/>
                <w:sz w:val="28"/>
                <w:szCs w:val="28"/>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pStyle w:val="2680"/>
              <w:spacing w:line="240" w:lineRule="auto"/>
              <w:rPr>
                <w:rFonts w:ascii="宋体" w:eastAsia="宋体" w:cs="Times New Roman"/>
                <w:color w:val="auto"/>
                <w:sz w:val="24"/>
                <w:szCs w:val="21"/>
              </w:rPr>
            </w:pPr>
            <w:r>
              <w:rPr>
                <w:rFonts w:ascii="宋体" w:eastAsia="宋体" w:cs="Times New Roman" w:hint="eastAsia"/>
                <w:color w:val="auto"/>
                <w:sz w:val="24"/>
                <w:szCs w:val="21"/>
                <w:lang w:bidi="ar-SA"/>
              </w:rPr>
              <w:t>自合同签订之日起</w:t>
            </w:r>
            <w:r>
              <w:rPr>
                <w:rFonts w:ascii="宋体" w:eastAsia="宋体" w:cs="Times New Roman"/>
                <w:color w:val="auto"/>
                <w:sz w:val="24"/>
                <w:szCs w:val="21"/>
                <w:lang w:bidi="ar-SA"/>
              </w:rPr>
              <w:t>5</w:t>
            </w:r>
            <w:r>
              <w:rPr>
                <w:rFonts w:ascii="宋体" w:eastAsia="宋体" w:cs="Times New Roman" w:hint="eastAsia"/>
                <w:color w:val="auto"/>
                <w:sz w:val="24"/>
                <w:szCs w:val="21"/>
                <w:lang w:bidi="ar-SA"/>
              </w:rPr>
              <w:t>个月内完成全部工作。</w:t>
            </w:r>
          </w:p>
          <w:p>
            <w:pPr>
              <w:pStyle w:val="2680"/>
              <w:spacing w:line="240" w:lineRule="auto"/>
              <w:rPr>
                <w:rFonts w:ascii="宋体" w:eastAsia="宋体" w:cs="Times New Roman"/>
                <w:color w:val="auto"/>
                <w:sz w:val="24"/>
                <w:szCs w:val="21"/>
              </w:rPr>
            </w:pPr>
            <w:r>
              <w:rPr>
                <w:rFonts w:ascii="宋体" w:eastAsia="宋体" w:cs="Times New Roman" w:hint="eastAsia"/>
                <w:color w:val="auto"/>
                <w:sz w:val="24"/>
                <w:szCs w:val="21"/>
                <w:lang w:bidi="ar-SA"/>
              </w:rPr>
              <w:t>具体安排：</w:t>
            </w:r>
            <w:r>
              <w:rPr>
                <w:rFonts w:ascii="宋体" w:eastAsia="宋体" w:cs="Times New Roman" w:hint="eastAsia"/>
                <w:color w:val="auto"/>
                <w:sz w:val="24"/>
                <w:szCs w:val="21"/>
              </w:rPr>
              <w:t>自入场之日起</w:t>
            </w:r>
            <w:r>
              <w:rPr>
                <w:rFonts w:ascii="宋体" w:eastAsia="宋体" w:cs="Times New Roman"/>
                <w:color w:val="auto"/>
                <w:sz w:val="24"/>
                <w:szCs w:val="21"/>
              </w:rPr>
              <w:t>4</w:t>
            </w:r>
            <w:r>
              <w:rPr>
                <w:rFonts w:ascii="宋体" w:eastAsia="宋体" w:cs="Times New Roman" w:hint="eastAsia"/>
                <w:color w:val="auto"/>
                <w:sz w:val="24"/>
                <w:szCs w:val="21"/>
              </w:rPr>
              <w:t>个月内完成修复</w:t>
            </w:r>
            <w:r>
              <w:rPr>
                <w:rFonts w:ascii="宋体" w:eastAsia="宋体" w:cs="Times New Roman"/>
                <w:color w:val="auto"/>
                <w:sz w:val="24"/>
                <w:szCs w:val="21"/>
              </w:rPr>
              <w:t>；</w:t>
            </w:r>
          </w:p>
          <w:p>
            <w:pPr>
              <w:pStyle w:val="2680"/>
              <w:spacing w:line="240" w:lineRule="auto"/>
              <w:rPr>
                <w:rFonts w:ascii="宋体" w:eastAsia="宋体" w:cs="Times New Roman" w:hint="eastAsia"/>
                <w:color w:val="auto"/>
                <w:sz w:val="24"/>
                <w:szCs w:val="21"/>
              </w:rPr>
            </w:pPr>
            <w:r>
              <w:rPr>
                <w:rFonts w:ascii="宋体" w:eastAsia="宋体" w:cs="Times New Roman" w:hint="eastAsia"/>
                <w:color w:val="auto"/>
                <w:sz w:val="24"/>
                <w:szCs w:val="21"/>
              </w:rPr>
              <w:t>完成修复后1个月内完成数字化、翻译、著录和验收。</w:t>
            </w:r>
          </w:p>
        </w:tc>
        <w:tc>
          <w:tcPr>
            <w:tcW w:w="1685" w:type="dxa"/>
            <w:vAlign w:val="center"/>
          </w:tcPr>
          <w:p>
            <w:pPr>
              <w:pStyle w:val="9911"/>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Times New Roman" w:hint="eastAsia"/>
                <w:bCs/>
                <w:kern w:val="2"/>
                <w:szCs w:val="21"/>
              </w:rPr>
            </w:pPr>
            <w:r>
              <w:rPr>
                <w:rFonts w:ascii="宋体" w:eastAsia="宋体" w:cs="Times New Roman"/>
                <w:bCs/>
                <w:kern w:val="2"/>
                <w:szCs w:val="21"/>
              </w:rPr>
              <w:t>是，提供承诺函并加盖公章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项目安装过程安排</w:t>
            </w:r>
          </w:p>
        </w:tc>
        <w:tc>
          <w:tcPr>
            <w:tcW w:w="1196" w:type="dxa"/>
            <w:tcBorders>
              <w:top w:val="single" w:sz="4" w:space="0" w:color="auto"/>
              <w:left w:val="single" w:sz="4" w:space="0" w:color="auto"/>
              <w:right w:val="single" w:sz="4" w:space="0" w:color="auto"/>
            </w:tcBorders>
            <w:vAlign w:val="center"/>
          </w:tcPr>
          <w:p>
            <w:pPr>
              <w:pStyle w:val="10011"/>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pStyle w:val="2780"/>
              <w:spacing w:line="240" w:lineRule="auto"/>
              <w:rPr>
                <w:rFonts w:ascii="宋体" w:eastAsia="宋体" w:cs="Times New Roman" w:hint="eastAsia"/>
                <w:color w:val="auto"/>
                <w:kern w:val="2"/>
                <w:sz w:val="24"/>
                <w:szCs w:val="21"/>
              </w:rPr>
            </w:pPr>
            <w:r>
              <w:rPr>
                <w:rFonts w:ascii="宋体" w:eastAsia="宋体" w:cs="Times New Roman" w:hint="eastAsia"/>
                <w:bCs/>
                <w:color w:val="auto"/>
                <w:kern w:val="2"/>
                <w:sz w:val="24"/>
                <w:szCs w:val="21"/>
              </w:rPr>
              <w:t>供应商确保在合同签订后3个工作日内工作现场布置完毕，且项目组人员全部到位。</w:t>
            </w:r>
          </w:p>
        </w:tc>
        <w:tc>
          <w:tcPr>
            <w:tcW w:w="1685" w:type="dxa"/>
            <w:vAlign w:val="center"/>
          </w:tcPr>
          <w:p>
            <w:pPr>
              <w:pStyle w:val="3821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sz w:val="24"/>
                <w:szCs w:val="21"/>
              </w:rPr>
            </w:pPr>
            <w:r>
              <w:rPr>
                <w:rFonts w:ascii="宋体" w:eastAsia="宋体" w:cs="Times New Roman"/>
                <w:bCs/>
                <w:kern w:val="2"/>
                <w:szCs w:val="21"/>
              </w:rPr>
              <w:t>是，提供承诺函并加盖公章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项目验收安排</w:t>
            </w:r>
          </w:p>
        </w:tc>
        <w:tc>
          <w:tcPr>
            <w:tcW w:w="1196" w:type="dxa"/>
            <w:tcBorders>
              <w:top w:val="single" w:sz="4" w:space="0" w:color="auto"/>
              <w:left w:val="single" w:sz="4" w:space="0" w:color="auto"/>
              <w:right w:val="single" w:sz="4" w:space="0" w:color="auto"/>
            </w:tcBorders>
            <w:vAlign w:val="center"/>
          </w:tcPr>
          <w:p>
            <w:pPr>
              <w:pStyle w:val="2880"/>
              <w:rPr>
                <w:rFonts w:ascii="宋体" w:eastAsia="宋体" w:cs="Times New Roman" w:hint="eastAsia"/>
                <w:sz w:val="24"/>
                <w:szCs w:val="21"/>
              </w:rPr>
            </w:pPr>
          </w:p>
        </w:tc>
        <w:tc>
          <w:tcPr>
            <w:tcW w:w="3690" w:type="dxa"/>
            <w:tcBorders>
              <w:top w:val="single" w:sz="4" w:space="0" w:color="auto"/>
              <w:left w:val="single" w:sz="4" w:space="0" w:color="auto"/>
              <w:right w:val="single" w:sz="4" w:space="0" w:color="auto"/>
            </w:tcBorders>
          </w:tcPr>
          <w:p>
            <w:pPr>
              <w:pStyle w:val="2980"/>
              <w:spacing w:line="240" w:lineRule="auto"/>
              <w:rPr>
                <w:rFonts w:ascii="宋体" w:eastAsia="宋体" w:cs="Times New Roman" w:hint="eastAsia"/>
                <w:color w:val="auto"/>
                <w:sz w:val="24"/>
                <w:szCs w:val="21"/>
              </w:rPr>
            </w:pPr>
            <w:r>
              <w:rPr>
                <w:rFonts w:ascii="宋体" w:eastAsia="宋体" w:cs="Times New Roman" w:hint="eastAsia"/>
                <w:bCs/>
                <w:color w:val="auto"/>
                <w:kern w:val="2"/>
                <w:sz w:val="24"/>
                <w:szCs w:val="21"/>
                <w:lang w:bidi="ar-SA"/>
              </w:rPr>
              <w:t>项目结束后，采购</w:t>
            </w:r>
            <w:r>
              <w:rPr>
                <w:rFonts w:ascii="宋体" w:eastAsia="宋体" w:cs="Times New Roman"/>
                <w:bCs/>
                <w:color w:val="auto"/>
                <w:kern w:val="2"/>
                <w:sz w:val="24"/>
                <w:szCs w:val="21"/>
                <w:lang w:bidi="ar-SA"/>
              </w:rPr>
              <w:t>人</w:t>
            </w:r>
            <w:r>
              <w:rPr>
                <w:rFonts w:ascii="宋体" w:eastAsia="宋体" w:cs="Times New Roman" w:hint="eastAsia"/>
                <w:bCs/>
                <w:color w:val="auto"/>
                <w:kern w:val="2"/>
                <w:sz w:val="24"/>
                <w:szCs w:val="21"/>
                <w:lang w:bidi="ar-SA"/>
              </w:rPr>
              <w:t>邀请图书馆或档案馆关于修复方面的专家进行验收，验收标准依据《古籍修复技术规范与质量要求》（GB/T 21712-2008）、《档案著录规则》（DA/T 18-2022）、《纸质档案数字化技术规范》（DA/T 31-2017）、《海关档案数字化技术规范（试行）》（署办发〔2014〕64号）</w:t>
            </w:r>
          </w:p>
        </w:tc>
        <w:tc>
          <w:tcPr>
            <w:tcW w:w="1685" w:type="dxa"/>
            <w:vAlign w:val="center"/>
          </w:tcPr>
          <w:p>
            <w:pPr>
              <w:pStyle w:val="10111"/>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Times New Roman" w:hint="eastAsia"/>
                <w:bCs/>
                <w:kern w:val="2"/>
                <w:szCs w:val="21"/>
              </w:rPr>
            </w:pPr>
            <w:r>
              <w:rPr>
                <w:rFonts w:ascii="宋体" w:eastAsia="宋体" w:cs="Times New Roman"/>
                <w:bCs/>
                <w:kern w:val="2"/>
                <w:szCs w:val="21"/>
                <w:lang w:val="en-US" w:eastAsia="zh-CN"/>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项目培训安排</w:t>
            </w:r>
          </w:p>
        </w:tc>
        <w:tc>
          <w:tcPr>
            <w:tcW w:w="1196" w:type="dxa"/>
            <w:tcBorders>
              <w:top w:val="single" w:sz="4" w:space="0" w:color="auto"/>
              <w:left w:val="single" w:sz="4" w:space="0" w:color="auto"/>
              <w:right w:val="single" w:sz="4" w:space="0" w:color="auto"/>
            </w:tcBorders>
            <w:vAlign w:val="center"/>
          </w:tcPr>
          <w:p>
            <w:pPr>
              <w:pStyle w:val="3080"/>
              <w:rPr>
                <w:rFonts w:ascii="宋体" w:eastAsia="宋体" w:cs="Times New Roman" w:hint="eastAsia"/>
                <w:sz w:val="24"/>
                <w:szCs w:val="21"/>
              </w:rPr>
            </w:pPr>
          </w:p>
        </w:tc>
        <w:tc>
          <w:tcPr>
            <w:tcW w:w="3690" w:type="dxa"/>
            <w:tcBorders>
              <w:top w:val="single" w:sz="4" w:space="0" w:color="auto"/>
              <w:left w:val="single" w:sz="4" w:space="0" w:color="auto"/>
              <w:right w:val="single" w:sz="4" w:space="0" w:color="auto"/>
            </w:tcBorders>
          </w:tcPr>
          <w:p>
            <w:pPr>
              <w:pStyle w:val="3181"/>
              <w:spacing w:line="240" w:lineRule="auto"/>
              <w:rPr>
                <w:rFonts w:ascii="宋体" w:eastAsia="宋体" w:cs="Times New Roman" w:hint="eastAsia"/>
                <w:bCs/>
                <w:color w:val="auto"/>
                <w:kern w:val="2"/>
                <w:sz w:val="24"/>
                <w:szCs w:val="21"/>
              </w:rPr>
            </w:pPr>
            <w:r>
              <w:rPr>
                <w:rFonts w:ascii="宋体" w:eastAsia="宋体" w:cs="Times New Roman" w:hint="eastAsia"/>
                <w:bCs/>
                <w:color w:val="auto"/>
                <w:kern w:val="2"/>
                <w:sz w:val="24"/>
                <w:szCs w:val="21"/>
                <w:lang w:bidi="ar-SA"/>
              </w:rPr>
              <w:t>1.项目培训方案（包括员工入场须知、图纸及数字化数据安全注意事项、安全保密教育、各岗位工作规范等）。</w:t>
            </w:r>
          </w:p>
          <w:p>
            <w:pPr>
              <w:pStyle w:val="3181"/>
              <w:spacing w:line="240" w:lineRule="auto"/>
              <w:rPr>
                <w:rFonts w:ascii="宋体" w:eastAsia="宋体" w:cs="Times New Roman" w:hint="eastAsia"/>
                <w:color w:val="auto"/>
                <w:kern w:val="2"/>
                <w:sz w:val="24"/>
                <w:szCs w:val="21"/>
              </w:rPr>
            </w:pPr>
            <w:r>
              <w:rPr>
                <w:rFonts w:ascii="宋体" w:eastAsia="宋体" w:cs="Times New Roman" w:hint="eastAsia"/>
                <w:bCs/>
                <w:color w:val="auto"/>
                <w:kern w:val="2"/>
                <w:sz w:val="24"/>
                <w:szCs w:val="21"/>
                <w:lang w:bidi="ar-SA"/>
              </w:rPr>
              <w:t>2.培训工作覆盖项目全过程。</w:t>
            </w:r>
          </w:p>
        </w:tc>
        <w:tc>
          <w:tcPr>
            <w:tcW w:w="1685" w:type="dxa"/>
            <w:vAlign w:val="center"/>
          </w:tcPr>
          <w:p>
            <w:pPr>
              <w:pStyle w:val="3841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sz w:val="24"/>
                <w:szCs w:val="21"/>
              </w:rPr>
            </w:pPr>
            <w:r>
              <w:rPr>
                <w:rFonts w:ascii="宋体" w:cs="Times New Roman" w:hint="eastAsia"/>
                <w:bCs/>
                <w:sz w:val="24"/>
                <w:szCs w:val="21"/>
                <w:lang w:val="en-US" w:eastAsia="zh-CN"/>
              </w:rPr>
              <w:t>是</w:t>
            </w:r>
            <w:r>
              <w:rPr>
                <w:rFonts w:ascii="宋体" w:cs="Times New Roman"/>
                <w:bCs/>
                <w:sz w:val="24"/>
                <w:szCs w:val="21"/>
                <w:lang w:val="en-US" w:eastAsia="zh-CN"/>
              </w:rPr>
              <w:t>，在培训方案中体现</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4912"/>
              <w:widowControl w:val="0"/>
              <w:ind w:left="0" w:firstLine="0"/>
              <w:jc w:val="center"/>
              <w:rPr>
                <w:rFonts w:ascii="宋体" w:eastAsia="宋体" w:hint="eastAsia"/>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pStyle w:val="5011"/>
              <w:ind w:left="0" w:firstLine="0"/>
              <w:jc w:val="center"/>
              <w:rPr>
                <w:rFonts w:ascii="宋体" w:eastAsia="宋体" w:hint="eastAsia"/>
              </w:rPr>
            </w:pPr>
            <w:r>
              <w:rPr>
                <w:rFonts w:ascii="宋体" w:eastAsia="宋体" w:hint="eastAsia"/>
              </w:rPr>
              <w:t>集成标准</w:t>
            </w:r>
          </w:p>
        </w:tc>
        <w:tc>
          <w:tcPr>
            <w:tcW w:w="1196" w:type="dxa"/>
            <w:tcBorders>
              <w:top w:val="single" w:sz="4" w:space="0" w:color="auto"/>
              <w:left w:val="single" w:sz="4" w:space="0" w:color="auto"/>
              <w:right w:val="single" w:sz="4" w:space="0" w:color="auto"/>
            </w:tcBorders>
            <w:vAlign w:val="center"/>
          </w:tcPr>
          <w:p>
            <w:pPr>
              <w:pStyle w:val="10211"/>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pStyle w:val="1610"/>
              <w:keepNext w:val="0"/>
              <w:keepLines w:val="0"/>
              <w:pageBreakBefore w:val="0"/>
              <w:widowControl w:val="0"/>
              <w:kinsoku/>
              <w:wordWrap/>
              <w:overflowPunct/>
              <w:topLinePunct w:val="0"/>
              <w:autoSpaceDE/>
              <w:autoSpaceDN/>
              <w:adjustRightInd/>
              <w:snapToGrid/>
              <w:ind w:firstLine="480" w:firstLineChars="200"/>
              <w:jc w:val="left"/>
              <w:rPr>
                <w:rFonts w:ascii="宋体" w:hint="eastAsia"/>
                <w:sz w:val="24"/>
                <w:szCs w:val="24"/>
              </w:rPr>
            </w:pPr>
            <w:r>
              <w:rPr>
                <w:rFonts w:ascii="宋体" w:eastAsia="宋体" w:cs="Times New Roman"/>
                <w:sz w:val="24"/>
                <w:szCs w:val="21"/>
              </w:rPr>
              <w:t>按要求做好图纸资料数据治理、挂接、离线备份等工作，准确、齐全导入档案管理系统，满足查询利用和安全管理需求。</w:t>
            </w:r>
          </w:p>
        </w:tc>
        <w:tc>
          <w:tcPr>
            <w:tcW w:w="1685" w:type="dxa"/>
            <w:vAlign w:val="center"/>
          </w:tcPr>
          <w:p>
            <w:pPr>
              <w:pStyle w:val="1710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color w:val="595959"/>
                <w:sz w:val="24"/>
                <w:szCs w:val="21"/>
              </w:rPr>
            </w:pPr>
            <w:r>
              <w:rPr>
                <w:rFonts w:ascii="宋体" w:cs="Times New Roman"/>
                <w:bCs/>
                <w:color w:val="595959"/>
                <w:sz w:val="24"/>
                <w:szCs w:val="21"/>
                <w:lang w:val="en-US" w:eastAsia="zh-CN"/>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rPr>
              <w:t>9</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rPr>
              <w:t>交付或实施地点</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pStyle w:val="10311"/>
              <w:ind w:left="0" w:firstLine="0"/>
              <w:jc w:val="both"/>
              <w:rPr>
                <w:rFonts w:ascii="宋体" w:eastAsia="宋体"/>
              </w:rPr>
            </w:pPr>
          </w:p>
          <w:p>
            <w:pPr>
              <w:pStyle w:val="10311"/>
              <w:ind w:left="0" w:firstLine="0"/>
              <w:jc w:val="both"/>
              <w:rPr>
                <w:rFonts w:ascii="宋体" w:eastAsia="宋体" w:hint="eastAsia"/>
              </w:rPr>
            </w:pPr>
            <w:r>
              <w:rPr>
                <w:rFonts w:ascii="宋体" w:eastAsia="宋体"/>
              </w:rPr>
              <w:t>海关总署指定地点（北京市）。</w:t>
            </w:r>
          </w:p>
        </w:tc>
        <w:tc>
          <w:tcPr>
            <w:tcW w:w="1685" w:type="dxa"/>
            <w:vAlign w:val="center"/>
          </w:tcPr>
          <w:p>
            <w:pPr>
              <w:pStyle w:val="1810"/>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cs="Times New Roman" w:hint="eastAsia"/>
                <w:bCs/>
                <w:color w:val="595959"/>
                <w:sz w:val="24"/>
                <w:szCs w:val="21"/>
              </w:rPr>
            </w:pPr>
            <w:r>
              <w:rPr>
                <w:rFonts w:ascii="宋体" w:cs="Times New Roman"/>
                <w:bCs/>
                <w:color w:val="595959"/>
                <w:sz w:val="24"/>
                <w:szCs w:val="21"/>
                <w:lang w:val="en-US" w:eastAsia="zh-CN"/>
              </w:rPr>
              <w:t>无</w:t>
            </w:r>
          </w:p>
        </w:tc>
      </w:tr>
    </w:tbl>
    <w:p>
      <w:pPr>
        <w:pStyle w:val="Heading4"/>
        <w:ind w:left="0"/>
        <w:rPr>
          <w:rFonts w:ascii="宋体" w:eastAsia="宋体" w:hint="eastAsia"/>
          <w:lang w:val="en-US"/>
        </w:rPr>
      </w:pPr>
      <w:r>
        <w:rPr>
          <w:rFonts w:ascii="宋体" w:eastAsia="宋体"/>
          <w:lang w:val="en-US"/>
        </w:rPr>
        <w:t>九、</w:t>
      </w:r>
      <w:r>
        <w:rPr>
          <w:rFonts w:ascii="宋体" w:eastAsia="宋体" w:hint="eastAsia"/>
          <w:lang w:val="en-US"/>
        </w:rPr>
        <w:t>其它内容</w:t>
      </w:r>
    </w:p>
    <w:p>
      <w:pPr>
        <w:pStyle w:val="BodyText3"/>
        <w:rPr>
          <w:color w:val="000000"/>
        </w:rPr>
      </w:pPr>
    </w:p>
    <w:p>
      <w:pPr>
        <w:ind w:firstLine="480"/>
        <w:rPr>
          <w:rFonts w:ascii="宋体" w:eastAsia="宋体"/>
          <w:color w:val="000000"/>
        </w:rPr>
      </w:pPr>
      <w:r>
        <w:rPr>
          <w:rFonts w:ascii="宋体" w:eastAsia="宋体"/>
          <w:color w:val="000000"/>
        </w:rPr>
        <w:t>1</w:t>
      </w:r>
      <w:r>
        <w:rPr>
          <w:rFonts w:ascii="宋体" w:eastAsia="宋体" w:hint="eastAsia"/>
          <w:color w:val="000000"/>
        </w:rPr>
        <w:t>.</w:t>
      </w:r>
      <w:r>
        <w:rPr>
          <w:rFonts w:ascii="宋体" w:eastAsia="宋体"/>
          <w:color w:val="000000"/>
        </w:rPr>
        <w:t>业绩要求。</w:t>
      </w:r>
    </w:p>
    <w:p>
      <w:pPr>
        <w:pStyle w:val="BodyText3"/>
        <w:ind w:firstLine="480" w:firstLineChars="200"/>
        <w:rPr>
          <w:color w:val="000000"/>
        </w:rPr>
      </w:pPr>
      <w:r>
        <w:rPr>
          <w:rFonts w:ascii="宋体" w:eastAsia="宋体" w:cs="Times New Roman" w:hint="eastAsia"/>
          <w:sz w:val="24"/>
          <w:szCs w:val="21"/>
        </w:rPr>
        <w:t>供应商提供20</w:t>
      </w:r>
      <w:r>
        <w:rPr>
          <w:rFonts w:ascii="宋体" w:eastAsia="宋体" w:cs="Times New Roman"/>
          <w:sz w:val="24"/>
          <w:szCs w:val="21"/>
        </w:rPr>
        <w:t>22</w:t>
      </w:r>
      <w:r>
        <w:rPr>
          <w:rFonts w:ascii="宋体" w:eastAsia="宋体" w:cs="Times New Roman" w:hint="eastAsia"/>
          <w:sz w:val="24"/>
          <w:szCs w:val="21"/>
        </w:rPr>
        <w:t>年</w:t>
      </w:r>
      <w:r>
        <w:rPr>
          <w:rFonts w:ascii="宋体" w:eastAsia="宋体" w:cs="Times New Roman"/>
          <w:sz w:val="24"/>
          <w:szCs w:val="21"/>
        </w:rPr>
        <w:t>7</w:t>
      </w:r>
      <w:r>
        <w:rPr>
          <w:rFonts w:ascii="宋体" w:eastAsia="宋体" w:cs="Times New Roman" w:hint="eastAsia"/>
          <w:sz w:val="24"/>
          <w:szCs w:val="21"/>
        </w:rPr>
        <w:t>月1日起至本项目采购公告发布之日止（以合同签订日期为准），与本项目</w:t>
      </w:r>
      <w:r>
        <w:rPr>
          <w:rFonts w:ascii="宋体" w:eastAsia="宋体" w:cs="Times New Roman"/>
          <w:sz w:val="24"/>
          <w:szCs w:val="21"/>
        </w:rPr>
        <w:t>同类服务</w:t>
      </w:r>
      <w:r>
        <w:rPr>
          <w:rFonts w:ascii="宋体" w:eastAsia="宋体" w:cs="Times New Roman" w:hint="eastAsia"/>
          <w:sz w:val="24"/>
          <w:szCs w:val="21"/>
        </w:rPr>
        <w:t>项目业绩相关材料。</w:t>
      </w:r>
    </w:p>
    <w:p>
      <w:pPr>
        <w:pStyle w:val="BodyText3"/>
        <w:ind w:firstLine="480" w:firstLineChars="200"/>
        <w:rPr>
          <w:color w:val="000000"/>
        </w:rPr>
      </w:pPr>
    </w:p>
    <w:p>
      <w:pPr>
        <w:ind w:firstLine="480"/>
        <w:rPr>
          <w:rFonts w:ascii="宋体" w:eastAsia="宋体"/>
          <w:color w:val="000000"/>
        </w:rPr>
      </w:pPr>
      <w:r>
        <w:rPr>
          <w:rFonts w:ascii="宋体" w:eastAsia="宋体"/>
          <w:color w:val="000000"/>
        </w:rPr>
        <w:t>2.相关主观评审因素要求。</w:t>
      </w:r>
    </w:p>
    <w:p>
      <w:pPr>
        <w:pStyle w:val="10411"/>
        <w:ind w:firstLine="480"/>
        <w:rPr>
          <w:rFonts w:ascii="宋体" w:eastAsia="宋体"/>
          <w:color w:val="000000"/>
          <w:bdr w:val="none" w:sz="0" w:space="0" w:color="auto"/>
        </w:rPr>
      </w:pPr>
      <w:r>
        <w:rPr>
          <w:rFonts w:ascii="宋体" w:eastAsia="宋体"/>
          <w:color w:val="000000"/>
          <w:bdr w:val="none" w:sz="0" w:space="0" w:color="auto"/>
        </w:rPr>
        <w:t>（1）修复和数字化服务质量管控方案，内容包含但不限于根据</w:t>
      </w:r>
      <w:r>
        <w:rPr>
          <w:rFonts w:ascii="宋体" w:eastAsia="宋体" w:hint="eastAsia"/>
          <w:color w:val="000000"/>
          <w:bdr w:val="none" w:sz="0" w:space="0" w:color="auto"/>
        </w:rPr>
        <w:t>“</w:t>
      </w:r>
      <w:r>
        <w:rPr>
          <w:rFonts w:ascii="宋体" w:eastAsia="宋体"/>
          <w:color w:val="000000"/>
          <w:bdr w:val="none" w:sz="0" w:space="0" w:color="auto"/>
        </w:rPr>
        <w:t>六、货物或服务指标要求</w:t>
      </w:r>
      <w:r>
        <w:rPr>
          <w:rFonts w:ascii="宋体" w:eastAsia="宋体" w:hint="eastAsia"/>
          <w:color w:val="000000"/>
          <w:bdr w:val="none" w:sz="0" w:space="0" w:color="auto"/>
        </w:rPr>
        <w:t>”</w:t>
      </w:r>
      <w:r>
        <w:rPr>
          <w:rFonts w:ascii="宋体" w:eastAsia="宋体"/>
          <w:color w:val="000000"/>
          <w:bdr w:val="none" w:sz="0" w:space="0" w:color="auto"/>
        </w:rPr>
        <w:t>内容，提供相关质量管控方案，以及修复用纸须和原图纸纤维形貌相似，需要进行纸张纤维比对后方可使用；特殊材质图纸资料如硫酸纸修复方案，须经相关实验验证可行性和安全性；对大幅面图纸应使用大幅面扫描仪进行非接触扫描等。</w:t>
      </w:r>
    </w:p>
    <w:p>
      <w:pPr>
        <w:pStyle w:val="4313"/>
        <w:ind w:firstLine="480"/>
        <w:rPr>
          <w:color w:val="000000"/>
        </w:rPr>
      </w:pPr>
      <w:r>
        <w:rPr>
          <w:rFonts w:ascii="宋体" w:eastAsia="宋体"/>
          <w:color w:val="000000"/>
          <w:bdr w:val="none" w:sz="0" w:space="0" w:color="auto"/>
        </w:rPr>
        <w:t>（2）</w:t>
      </w:r>
      <w:r>
        <w:rPr>
          <w:color w:val="000000"/>
        </w:rPr>
        <w:t>提供项目实施方案，内容包括但不限于实施计划、实施进度、工作流程设计、保障措施（包括但不限于图纸修复和数字化措施、质量保障措施、进度保障措施、人员保障措施、保密措施）等。</w:t>
      </w:r>
    </w:p>
    <w:p>
      <w:pPr>
        <w:pStyle w:val="4313"/>
        <w:ind w:firstLine="480"/>
      </w:pPr>
      <w:r>
        <w:t>（3）提供培训方案，内容包括但不限于员工入场须知、图纸及数字化数据安全注意事项、安全保密教育、各岗位工作规范等。</w:t>
      </w:r>
    </w:p>
    <w:p>
      <w:pPr>
        <w:pStyle w:val="10411"/>
        <w:ind w:firstLine="480"/>
        <w:rPr>
          <w:rFonts w:ascii="宋体" w:eastAsia="宋体"/>
          <w:color w:val="000000"/>
          <w:bdr w:val="none" w:sz="0" w:space="0" w:color="auto"/>
        </w:rPr>
      </w:pPr>
      <w:r>
        <w:t xml:space="preserve">（4）提供售后服务方案，包括但不限于如下内容：服务内容、服务体系、服务标准、风险管理、保密管理、服务成果物管理、服务质量保证等。 </w:t>
      </w:r>
    </w:p>
    <w:p>
      <w:pPr>
        <w:pStyle w:val="10411"/>
        <w:ind w:firstLine="480"/>
        <w:rPr>
          <w:rFonts w:ascii="宋体" w:eastAsia="宋体"/>
          <w:color w:val="000000"/>
          <w:bdr w:val="none" w:sz="0" w:space="0" w:color="auto"/>
        </w:rPr>
      </w:pPr>
    </w:p>
    <w:p>
      <w:pPr>
        <w:ind w:firstLine="480"/>
        <w:rPr>
          <w:rFonts w:ascii="宋体" w:eastAsia="宋体" w:hint="eastAsia"/>
          <w:color w:val="000000"/>
        </w:rPr>
      </w:pPr>
      <w:r>
        <w:rPr>
          <w:rFonts w:ascii="宋体" w:eastAsia="宋体"/>
          <w:color w:val="000000"/>
        </w:rPr>
        <w:t>3</w:t>
      </w:r>
      <w:r>
        <w:rPr>
          <w:rFonts w:ascii="宋体" w:eastAsia="宋体" w:hint="eastAsia"/>
          <w:color w:val="000000"/>
        </w:rPr>
        <w:t>.</w:t>
      </w:r>
      <w:r>
        <w:rPr>
          <w:rFonts w:ascii="宋体" w:eastAsia="宋体"/>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2"/>
              <w:ind w:left="0" w:firstLine="0"/>
              <w:jc w:val="center"/>
              <w:rPr>
                <w:rFonts w:ascii="宋体" w:eastAsia="宋体" w:hint="eastAsia"/>
                <w:color w:val="000000"/>
              </w:rPr>
            </w:pPr>
            <w:r>
              <w:rPr>
                <w:rFonts w:ascii="宋体" w:eastAsia="宋体" w:hint="eastAsia"/>
                <w:color w:val="000000"/>
              </w:rPr>
              <w:t>序号</w:t>
            </w:r>
          </w:p>
        </w:tc>
        <w:tc>
          <w:tcPr>
            <w:tcW w:w="1140" w:type="dxa"/>
          </w:tcPr>
          <w:p>
            <w:pPr>
              <w:pStyle w:val="2511"/>
              <w:ind w:left="0" w:firstLine="0"/>
              <w:jc w:val="center"/>
              <w:rPr>
                <w:rFonts w:ascii="宋体" w:eastAsia="宋体" w:hint="eastAsia"/>
                <w:color w:val="000000"/>
              </w:rPr>
            </w:pPr>
            <w:r>
              <w:rPr>
                <w:rFonts w:ascii="宋体" w:eastAsia="宋体" w:hint="eastAsia"/>
                <w:color w:val="000000"/>
              </w:rPr>
              <w:t>内容</w:t>
            </w:r>
          </w:p>
        </w:tc>
        <w:tc>
          <w:tcPr>
            <w:tcW w:w="1880" w:type="dxa"/>
          </w:tcPr>
          <w:p>
            <w:pPr>
              <w:pStyle w:val="261"/>
              <w:ind w:left="0" w:firstLine="0"/>
              <w:jc w:val="center"/>
              <w:rPr>
                <w:rFonts w:ascii="宋体" w:eastAsia="宋体" w:hint="eastAsia"/>
                <w:color w:val="000000"/>
              </w:rPr>
            </w:pPr>
            <w:r>
              <w:rPr>
                <w:rFonts w:ascii="宋体" w:eastAsia="宋体" w:hint="eastAsia"/>
                <w:color w:val="000000"/>
              </w:rPr>
              <w:t>数量</w:t>
            </w:r>
          </w:p>
        </w:tc>
        <w:tc>
          <w:tcPr>
            <w:tcW w:w="4680" w:type="dxa"/>
          </w:tcPr>
          <w:p>
            <w:pPr>
              <w:pStyle w:val="2712"/>
              <w:ind w:left="0" w:firstLine="0"/>
              <w:jc w:val="center"/>
              <w:rPr>
                <w:rFonts w:ascii="宋体" w:eastAsia="宋体" w:hint="eastAsia"/>
                <w:color w:val="000000"/>
              </w:rPr>
            </w:pPr>
            <w:r>
              <w:rPr>
                <w:rFonts w:ascii="宋体" w:eastAsia="宋体" w:hint="eastAsia"/>
                <w:color w:val="000000"/>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11"/>
              <w:ind w:firstLine="0"/>
              <w:jc w:val="center"/>
              <w:rPr>
                <w:rFonts w:ascii="宋体" w:eastAsia="宋体" w:hint="eastAsia"/>
                <w:color w:val="000000"/>
              </w:rPr>
            </w:pPr>
            <w:r>
              <w:rPr>
                <w:rFonts w:ascii="宋体" w:eastAsia="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12"/>
              <w:ind w:firstLine="0"/>
              <w:jc w:val="center"/>
              <w:rPr>
                <w:rFonts w:ascii="宋体" w:eastAsia="宋体" w:hint="eastAsia"/>
                <w:color w:val="000000"/>
              </w:rPr>
            </w:pPr>
            <w:r>
              <w:rPr>
                <w:rFonts w:ascii="宋体" w:eastAsia="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10512"/>
              <w:ind w:firstLine="0"/>
              <w:jc w:val="center"/>
              <w:rPr>
                <w:rFonts w:ascii="宋体" w:eastAsia="宋体" w:hint="eastAsia"/>
                <w:color w:val="000000"/>
              </w:rPr>
            </w:pPr>
            <w:r>
              <w:rPr>
                <w:rFonts w:ascii="宋体" w:eastAsia="宋体"/>
                <w:color w:val="000000"/>
              </w:rPr>
              <w:t>6</w:t>
            </w:r>
          </w:p>
        </w:tc>
        <w:tc>
          <w:tcPr>
            <w:tcW w:w="4680" w:type="dxa"/>
          </w:tcPr>
          <w:p>
            <w:pPr>
              <w:pStyle w:val="10611"/>
              <w:ind w:firstLine="0"/>
              <w:jc w:val="left"/>
              <w:rPr>
                <w:rFonts w:ascii="宋体" w:eastAsia="宋体"/>
                <w:color w:val="000000"/>
                <w:sz w:val="21"/>
                <w:szCs w:val="21"/>
              </w:rPr>
            </w:pPr>
            <w:r>
              <w:rPr>
                <w:rFonts w:ascii="宋体" w:eastAsia="宋体" w:hint="eastAsia"/>
                <w:color w:val="000000"/>
                <w:sz w:val="21"/>
                <w:szCs w:val="21"/>
              </w:rPr>
              <w:t>分别为：</w:t>
            </w:r>
          </w:p>
          <w:p>
            <w:pPr>
              <w:pStyle w:val="10611"/>
              <w:ind w:firstLine="0"/>
              <w:jc w:val="left"/>
              <w:rPr>
                <w:rFonts w:ascii="宋体" w:eastAsia="宋体"/>
                <w:color w:val="000000"/>
                <w:sz w:val="21"/>
                <w:szCs w:val="21"/>
              </w:rPr>
            </w:pPr>
            <w:r>
              <w:rPr>
                <w:rFonts w:ascii="宋体" w:eastAsia="宋体"/>
                <w:color w:val="000000"/>
                <w:sz w:val="21"/>
                <w:szCs w:val="21"/>
              </w:rPr>
              <w:t>六、货物或服务指标要求4个（第1、2、3、4项）</w:t>
            </w:r>
          </w:p>
          <w:p>
            <w:pPr>
              <w:pStyle w:val="10611"/>
              <w:ind w:firstLine="0"/>
              <w:jc w:val="left"/>
              <w:rPr>
                <w:rFonts w:ascii="宋体" w:eastAsia="宋体"/>
                <w:color w:val="000000"/>
                <w:sz w:val="21"/>
                <w:szCs w:val="21"/>
              </w:rPr>
            </w:pPr>
            <w:r>
              <w:rPr>
                <w:rFonts w:ascii="宋体" w:eastAsia="宋体"/>
                <w:color w:val="000000"/>
                <w:sz w:val="21"/>
                <w:szCs w:val="21"/>
              </w:rPr>
              <w:t>七、服务要求1个（第1项）</w:t>
            </w:r>
          </w:p>
          <w:p>
            <w:pPr>
              <w:pStyle w:val="10611"/>
              <w:ind w:firstLine="0"/>
              <w:jc w:val="left"/>
              <w:rPr>
                <w:rFonts w:ascii="宋体" w:eastAsia="宋体" w:hint="eastAsia"/>
                <w:color w:val="000000"/>
                <w:sz w:val="21"/>
                <w:szCs w:val="21"/>
              </w:rPr>
            </w:pPr>
            <w:r>
              <w:rPr>
                <w:rFonts w:ascii="宋体" w:eastAsia="宋体"/>
                <w:color w:val="000000"/>
                <w:sz w:val="21"/>
                <w:szCs w:val="21"/>
              </w:rPr>
              <w:t>八、实施要求1个（第1项）</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11"/>
              <w:widowControl w:val="0"/>
              <w:ind w:left="0" w:firstLine="0"/>
              <w:jc w:val="center"/>
              <w:rPr>
                <w:rFonts w:ascii="宋体" w:eastAsia="宋体" w:hint="eastAsia"/>
                <w:color w:val="000000"/>
              </w:rPr>
            </w:pPr>
            <w:r>
              <w:rPr>
                <w:rFonts w:ascii="宋体" w:eastAsia="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12"/>
              <w:ind w:left="0" w:firstLine="0"/>
              <w:jc w:val="center"/>
              <w:rPr>
                <w:rFonts w:ascii="宋体" w:eastAsia="宋体" w:hint="eastAsia"/>
                <w:color w:val="000000"/>
              </w:rPr>
            </w:pPr>
            <w:r>
              <w:rPr>
                <w:rFonts w:ascii="宋体" w:eastAsia="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10911"/>
              <w:ind w:left="0" w:firstLine="0"/>
              <w:jc w:val="center"/>
              <w:rPr>
                <w:rFonts w:ascii="宋体" w:eastAsia="宋体" w:hint="eastAsia"/>
                <w:color w:val="000000"/>
              </w:rPr>
            </w:pPr>
            <w:r>
              <w:rPr>
                <w:rFonts w:ascii="宋体" w:eastAsia="宋体"/>
                <w:color w:val="000000"/>
              </w:rPr>
              <w:t>14</w:t>
            </w:r>
          </w:p>
        </w:tc>
        <w:tc>
          <w:tcPr>
            <w:tcW w:w="4680" w:type="dxa"/>
          </w:tcPr>
          <w:p>
            <w:pPr>
              <w:pStyle w:val="11013"/>
              <w:ind w:firstLine="0"/>
              <w:jc w:val="left"/>
              <w:rPr>
                <w:rFonts w:ascii="宋体" w:eastAsia="宋体"/>
                <w:color w:val="000000"/>
                <w:sz w:val="21"/>
                <w:szCs w:val="21"/>
              </w:rPr>
            </w:pPr>
            <w:r>
              <w:rPr>
                <w:rFonts w:ascii="宋体" w:eastAsia="宋体" w:hint="eastAsia"/>
                <w:color w:val="000000"/>
                <w:sz w:val="21"/>
                <w:szCs w:val="21"/>
              </w:rPr>
              <w:t>分别为：</w:t>
            </w:r>
          </w:p>
          <w:p>
            <w:pPr>
              <w:pStyle w:val="11013"/>
              <w:ind w:firstLine="0"/>
              <w:jc w:val="left"/>
              <w:rPr>
                <w:rFonts w:ascii="宋体" w:eastAsia="宋体"/>
                <w:color w:val="000000"/>
                <w:sz w:val="21"/>
                <w:szCs w:val="21"/>
              </w:rPr>
            </w:pPr>
            <w:r>
              <w:rPr>
                <w:rFonts w:ascii="宋体" w:eastAsia="宋体"/>
                <w:color w:val="000000"/>
                <w:sz w:val="21"/>
                <w:szCs w:val="21"/>
              </w:rPr>
              <w:t>五、集成需求2个（第1、2项）</w:t>
            </w:r>
          </w:p>
          <w:p>
            <w:pPr>
              <w:pStyle w:val="11013"/>
              <w:ind w:firstLine="0"/>
              <w:jc w:val="left"/>
              <w:rPr>
                <w:rFonts w:ascii="宋体" w:eastAsia="宋体"/>
                <w:color w:val="000000"/>
                <w:sz w:val="21"/>
                <w:szCs w:val="21"/>
              </w:rPr>
            </w:pPr>
            <w:r>
              <w:rPr>
                <w:rFonts w:ascii="宋体" w:eastAsia="宋体"/>
                <w:color w:val="000000"/>
                <w:sz w:val="21"/>
                <w:szCs w:val="21"/>
              </w:rPr>
              <w:t>七、服务要求6个（第2、3、5、6、7、8项）</w:t>
            </w:r>
          </w:p>
          <w:p>
            <w:pPr>
              <w:pStyle w:val="11013"/>
              <w:ind w:firstLine="0"/>
              <w:jc w:val="left"/>
              <w:rPr>
                <w:rFonts w:ascii="宋体" w:eastAsia="宋体" w:hint="eastAsia"/>
                <w:color w:val="000000"/>
                <w:sz w:val="44"/>
                <w:szCs w:val="44"/>
              </w:rPr>
            </w:pPr>
            <w:r>
              <w:rPr>
                <w:rFonts w:ascii="宋体" w:eastAsia="宋体"/>
                <w:color w:val="000000"/>
                <w:sz w:val="21"/>
                <w:szCs w:val="21"/>
              </w:rPr>
              <w:t>八、实施要求6个（第2、5、6、7、8、9项）</w:t>
            </w:r>
          </w:p>
        </w:tc>
      </w:tr>
    </w:tbl>
    <w:p>
      <w:pPr>
        <w:pStyle w:val="3611"/>
        <w:rPr>
          <w:rFonts w:ascii="宋体" w:eastAsia="宋体" w:hint="eastAsia"/>
          <w:b/>
          <w:bCs/>
          <w:color w:val="000000"/>
        </w:rPr>
      </w:pPr>
      <w:r>
        <w:rPr>
          <w:rFonts w:ascii="宋体" w:eastAsia="宋体" w:hint="eastAsia"/>
          <w:b/>
          <w:bCs/>
          <w:color w:val="000000"/>
        </w:rPr>
        <w:t>备注：</w:t>
      </w:r>
    </w:p>
    <w:p>
      <w:pPr>
        <w:pStyle w:val="3611"/>
        <w:rPr>
          <w:rFonts w:ascii="宋体" w:eastAsia="宋体" w:hint="eastAsia"/>
          <w:color w:val="000000"/>
        </w:rPr>
      </w:pPr>
      <w:r>
        <w:rPr>
          <w:rFonts w:ascii="宋体" w:eastAsia="宋体" w:hint="eastAsia"/>
          <w:color w:val="000000"/>
        </w:rPr>
        <w:t>①表格内容填写完整、规范，确保无缺漏项。</w:t>
      </w:r>
    </w:p>
    <w:p>
      <w:pPr>
        <w:pStyle w:val="373"/>
        <w:rPr>
          <w:rFonts w:ascii="宋体" w:eastAsia="宋体" w:hint="eastAsia"/>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373"/>
        <w:rPr>
          <w:rFonts w:ascii="宋体" w:eastAsia="宋体" w:hint="eastAsia"/>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rFonts w:hint="eastAsia"/>
          <w:b/>
          <w:bCs/>
          <w:color w:val="0000FF"/>
          <w:sz w:val="28"/>
          <w:szCs w:val="36"/>
          <w:lang w:val="en-US" w:eastAsia="zh-CN"/>
        </w:rPr>
      </w:pPr>
      <w:bookmarkEnd w:id="38"/>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66"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66"/>
    </w:p>
    <w:p>
      <w:pPr>
        <w:pStyle w:val="3213"/>
        <w:rPr>
          <w:rFonts w:ascii="宋体" w:hint="eastAsia"/>
          <w:color w:val="000000"/>
          <w:sz w:val="24"/>
          <w:szCs w:val="24"/>
        </w:rPr>
      </w:pPr>
    </w:p>
    <w:p>
      <w:bookmarkStart w:id="67"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3"/>
        <w:gridCol w:w="781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投标函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法律、法规、招标文件规定的其他无效投标情形</w:t>
            </w:r>
          </w:p>
        </w:tc>
      </w:tr>
    </w:tbl>
    <w:p>
      <w:r>
        <w:t>详细评审标准</w:t>
      </w:r>
    </w:p>
    <w:p>
      <w:r>
        <w:t>评审办法:综合评分法</w:t>
      </w:r>
    </w:p>
    <w:tbl>
      <w:tblPr>
        <w:tblW w:w="5640" w:type="pct"/>
        <w:jc w:val="left"/>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77"/>
        <w:gridCol w:w="1064"/>
        <w:gridCol w:w="7089"/>
        <w:gridCol w:w="1575"/>
      </w:tblGrid>
      <w:tr>
        <w:tblPrEx>
          <w:tblW w:w="5640" w:type="pct"/>
          <w:jc w:val="left"/>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77" w:type="dxa"/>
          </w:tcPr>
          <w:p>
            <w:r>
              <w:t>主客观项</w:t>
            </w:r>
          </w:p>
        </w:tc>
        <w:tc>
          <w:tcPr>
            <w:tcW w:w="1064" w:type="dxa"/>
          </w:tcPr>
          <w:p>
            <w:r>
              <w:t>评审因素</w:t>
            </w:r>
          </w:p>
        </w:tc>
        <w:tc>
          <w:tcPr>
            <w:tcW w:w="7089" w:type="dxa"/>
          </w:tcPr>
          <w:p>
            <w:r>
              <w:t>评分标准说明</w:t>
            </w:r>
          </w:p>
        </w:tc>
        <w:tc>
          <w:tcPr>
            <w:tcW w:w="1575" w:type="dxa"/>
          </w:tcPr>
          <w:p>
            <w:r>
              <w:t>分值范围</w:t>
            </w:r>
          </w:p>
        </w:tc>
      </w:tr>
      <w:tr>
        <w:tblPrEx>
          <w:tblW w:w="5640" w:type="pct"/>
          <w:jc w:val="left"/>
          <w:tblInd w:w="-607" w:type="dxa"/>
          <w:tblCellMar>
            <w:top w:w="0" w:type="dxa"/>
            <w:left w:w="108" w:type="dxa"/>
            <w:bottom w:w="0" w:type="dxa"/>
            <w:right w:w="108" w:type="dxa"/>
          </w:tblCellMar>
        </w:tblPrEx>
        <w:trPr>
          <w:jc w:val="left"/>
        </w:trPr>
        <w:tc>
          <w:tcPr>
            <w:tcW w:w="877" w:type="dxa"/>
          </w:tcPr>
          <w:p>
            <w:r>
              <w:t>价格分</w:t>
            </w:r>
          </w:p>
        </w:tc>
        <w:tc>
          <w:tcPr>
            <w:tcW w:w="1064" w:type="dxa"/>
          </w:tcPr>
          <w:p>
            <w:r>
              <w:t>价格评审</w:t>
            </w:r>
          </w:p>
        </w:tc>
        <w:tc>
          <w:tcPr>
            <w:tcW w:w="7089" w:type="dxa"/>
          </w:tcPr>
          <w:p>
            <w:r>
              <w:t>采用低价优先法计算，即满足招标文件要求且投标价格最低的投标报价为评标基准价，其价格分为满分。其他投标人的价格分按照下列公式计算：价格得分=(评标基准价／投标报价)×15%×100。</w:t>
            </w:r>
          </w:p>
        </w:tc>
        <w:tc>
          <w:tcPr>
            <w:tcW w:w="1575" w:type="dxa"/>
          </w:tcPr>
          <w:p>
            <w:r>
              <w:t>区间打分(0-15)</w:t>
            </w:r>
          </w:p>
        </w:tc>
      </w:tr>
      <w:tr>
        <w:tblPrEx>
          <w:tblW w:w="5640" w:type="pct"/>
          <w:jc w:val="left"/>
          <w:tblInd w:w="-607" w:type="dxa"/>
          <w:tblCellMar>
            <w:top w:w="0" w:type="dxa"/>
            <w:left w:w="108" w:type="dxa"/>
            <w:bottom w:w="0" w:type="dxa"/>
            <w:right w:w="108" w:type="dxa"/>
          </w:tblCellMar>
        </w:tblPrEx>
        <w:trPr>
          <w:jc w:val="left"/>
        </w:trPr>
        <w:tc>
          <w:tcPr>
            <w:tcW w:w="877" w:type="dxa"/>
            <w:vMerge w:val="restart"/>
          </w:tcPr>
          <w:p>
            <w:r>
              <w:t>商务部分</w:t>
            </w:r>
          </w:p>
        </w:tc>
        <w:tc>
          <w:tcPr>
            <w:tcW w:w="1064" w:type="dxa"/>
          </w:tcPr>
          <w:p>
            <w:r>
              <w:t>投标文件编制质量、对招标文件的响应程度</w:t>
            </w:r>
          </w:p>
        </w:tc>
        <w:tc>
          <w:tcPr>
            <w:tcW w:w="7089" w:type="dxa"/>
          </w:tcPr>
          <w:p>
            <w:r>
              <w:t xml:space="preserve">电子投标文件的逐项响应、定位和绑定清晰准确得2分; </w:t>
            </w:r>
          </w:p>
          <w:p>
            <w:r>
              <w:t xml:space="preserve">有一项未响应或定位和绑定模糊、有偏差的得1分；   </w:t>
            </w:r>
          </w:p>
          <w:p>
            <w:r>
              <w:t>有两项或两项以上未响应或定位和绑定模糊、有偏差的得0分。</w:t>
            </w:r>
          </w:p>
        </w:tc>
        <w:tc>
          <w:tcPr>
            <w:tcW w:w="1575" w:type="dxa"/>
          </w:tcPr>
          <w:p>
            <w:r>
              <w:t>勾选打分(0;1;2)</w:t>
            </w:r>
          </w:p>
        </w:tc>
      </w:tr>
      <w:tr>
        <w:tblPrEx>
          <w:tblW w:w="5640" w:type="pct"/>
          <w:jc w:val="left"/>
          <w:tblInd w:w="-607" w:type="dxa"/>
          <w:tblCellMar>
            <w:top w:w="0" w:type="dxa"/>
            <w:left w:w="108" w:type="dxa"/>
            <w:bottom w:w="0" w:type="dxa"/>
            <w:right w:w="108" w:type="dxa"/>
          </w:tblCellMar>
        </w:tblPrEx>
        <w:trPr>
          <w:jc w:val="left"/>
        </w:trPr>
        <w:tc>
          <w:tcPr>
            <w:tcW w:w="915" w:type="dxa"/>
            <w:vMerge/>
          </w:tcPr>
          <w:p/>
        </w:tc>
        <w:tc>
          <w:tcPr>
            <w:tcW w:w="1064" w:type="dxa"/>
          </w:tcPr>
          <w:p>
            <w:r>
              <w:t>投标人业绩</w:t>
            </w:r>
          </w:p>
        </w:tc>
        <w:tc>
          <w:tcPr>
            <w:tcW w:w="7089" w:type="dxa"/>
          </w:tcPr>
          <w:p>
            <w:r>
              <w:t xml:space="preserve">投标人须提供与本项目同类项目业绩材料 ，提供一份有效合同得1分，最多得5分。        </w:t>
            </w:r>
          </w:p>
          <w:p>
            <w:r>
              <w:t xml:space="preserve">注：1.上述销售业绩指与本项目同类服务项目的相关销售业绩。     </w:t>
            </w:r>
          </w:p>
          <w:p>
            <w:r>
              <w:t xml:space="preserve">2.合同签订时间须为2022年7月1日起至本项目招标公告发布之日止。     </w:t>
            </w:r>
          </w:p>
          <w:p>
            <w:r>
              <w:t xml:space="preserve">3.合同销售方（乙方）必须为投标人自身且销售业绩合同中必须至少包含合同双方印章、服务内容、签订时间、合同履行第一笔付款乙方开具的发票复印件等信息内容（以上内容缺少一项，案例不予承认）。      </w:t>
            </w:r>
          </w:p>
          <w:p>
            <w:r>
              <w:t xml:space="preserve">4.提供销售业绩合同复印件须字迹清晰，辨识无误。  </w:t>
            </w:r>
          </w:p>
          <w:p>
            <w:r>
              <w:t>不符合上述要求或未按要求提供有效证明文件的业绩在评审时将不予以承认。</w:t>
            </w:r>
          </w:p>
        </w:tc>
        <w:tc>
          <w:tcPr>
            <w:tcW w:w="1575" w:type="dxa"/>
          </w:tcPr>
          <w:p>
            <w:r>
              <w:t>勾选打分(0;1;2;3;4;5)</w:t>
            </w:r>
          </w:p>
        </w:tc>
      </w:tr>
      <w:tr>
        <w:tblPrEx>
          <w:tblW w:w="5640" w:type="pct"/>
          <w:jc w:val="left"/>
          <w:tblInd w:w="-607" w:type="dxa"/>
          <w:tblCellMar>
            <w:top w:w="0" w:type="dxa"/>
            <w:left w:w="108" w:type="dxa"/>
            <w:bottom w:w="0" w:type="dxa"/>
            <w:right w:w="108" w:type="dxa"/>
          </w:tblCellMar>
        </w:tblPrEx>
        <w:trPr>
          <w:jc w:val="left"/>
        </w:trPr>
        <w:tc>
          <w:tcPr>
            <w:tcW w:w="877" w:type="dxa"/>
            <w:vMerge w:val="restart"/>
          </w:tcPr>
          <w:p>
            <w:r>
              <w:t>技术部分</w:t>
            </w:r>
          </w:p>
        </w:tc>
        <w:tc>
          <w:tcPr>
            <w:tcW w:w="1064" w:type="dxa"/>
          </w:tcPr>
          <w:p>
            <w:r>
              <w:t>重要技术服务指标响应程度</w:t>
            </w:r>
          </w:p>
        </w:tc>
        <w:tc>
          <w:tcPr>
            <w:tcW w:w="7089" w:type="dxa"/>
          </w:tcPr>
          <w:p>
            <w:r>
              <w:t xml:space="preserve">完全满足文件指标要求得21分，▲标记重要指标项每有一项不满足扣3.5分。              </w:t>
            </w:r>
          </w:p>
          <w:p>
            <w:r>
              <w:t xml:space="preserve">注：一共有6个重要指标，分别在：  </w:t>
            </w:r>
          </w:p>
          <w:p>
            <w:r>
              <w:t xml:space="preserve">六、货物或服务指标要求4个（第1、2、3、4项） </w:t>
            </w:r>
          </w:p>
          <w:p>
            <w:r>
              <w:t xml:space="preserve">七、服务要求1个（第1项） </w:t>
            </w:r>
          </w:p>
          <w:p>
            <w:r>
              <w:t>八、实施要求1个（第1项）</w:t>
            </w:r>
          </w:p>
        </w:tc>
        <w:tc>
          <w:tcPr>
            <w:tcW w:w="1575" w:type="dxa"/>
          </w:tcPr>
          <w:p>
            <w:r>
              <w:t>区间打分(0-21)</w:t>
            </w:r>
          </w:p>
        </w:tc>
      </w:tr>
      <w:tr>
        <w:tblPrEx>
          <w:tblW w:w="5640" w:type="pct"/>
          <w:jc w:val="left"/>
          <w:tblInd w:w="-607" w:type="dxa"/>
          <w:tblCellMar>
            <w:top w:w="0" w:type="dxa"/>
            <w:left w:w="108" w:type="dxa"/>
            <w:bottom w:w="0" w:type="dxa"/>
            <w:right w:w="108" w:type="dxa"/>
          </w:tblCellMar>
        </w:tblPrEx>
        <w:trPr>
          <w:jc w:val="left"/>
        </w:trPr>
        <w:tc>
          <w:tcPr>
            <w:tcW w:w="915" w:type="dxa"/>
            <w:vMerge/>
          </w:tcPr>
          <w:p/>
        </w:tc>
        <w:tc>
          <w:tcPr>
            <w:tcW w:w="1064" w:type="dxa"/>
          </w:tcPr>
          <w:p>
            <w:r>
              <w:t>一般技术服务指标响应程度</w:t>
            </w:r>
          </w:p>
        </w:tc>
        <w:tc>
          <w:tcPr>
            <w:tcW w:w="7089" w:type="dxa"/>
          </w:tcPr>
          <w:p>
            <w:r>
              <w:t xml:space="preserve">完全满足文件指标要求得38.92分，普通指标项每有一项不满足扣2.78分。              </w:t>
            </w:r>
          </w:p>
          <w:p>
            <w:r>
              <w:t xml:space="preserve">注：一共有14个重要指标，分别在：   </w:t>
            </w:r>
          </w:p>
          <w:p>
            <w:r>
              <w:t xml:space="preserve">五、集成需求2个（第1、2项） </w:t>
            </w:r>
          </w:p>
          <w:p>
            <w:r>
              <w:t xml:space="preserve">七、服务要求6个（第2、3、5、6、7、8项） </w:t>
            </w:r>
          </w:p>
          <w:p>
            <w:r>
              <w:t>八、实施要求6个（第2、5、6、7、8、9项）</w:t>
            </w:r>
          </w:p>
        </w:tc>
        <w:tc>
          <w:tcPr>
            <w:tcW w:w="1575" w:type="dxa"/>
          </w:tcPr>
          <w:p>
            <w:r>
              <w:t>区间打分(0-38.92)</w:t>
            </w:r>
          </w:p>
        </w:tc>
      </w:tr>
      <w:tr>
        <w:tblPrEx>
          <w:tblW w:w="5640" w:type="pct"/>
          <w:jc w:val="left"/>
          <w:tblInd w:w="-607" w:type="dxa"/>
          <w:tblCellMar>
            <w:top w:w="0" w:type="dxa"/>
            <w:left w:w="108" w:type="dxa"/>
            <w:bottom w:w="0" w:type="dxa"/>
            <w:right w:w="108" w:type="dxa"/>
          </w:tblCellMar>
        </w:tblPrEx>
        <w:trPr>
          <w:jc w:val="left"/>
        </w:trPr>
        <w:tc>
          <w:tcPr>
            <w:tcW w:w="915" w:type="dxa"/>
            <w:vMerge/>
          </w:tcPr>
          <w:p/>
        </w:tc>
        <w:tc>
          <w:tcPr>
            <w:tcW w:w="1064" w:type="dxa"/>
          </w:tcPr>
          <w:p>
            <w:r>
              <w:t>修复和数字化服务质量管控方案</w:t>
            </w:r>
          </w:p>
        </w:tc>
        <w:tc>
          <w:tcPr>
            <w:tcW w:w="7089" w:type="dxa"/>
          </w:tcPr>
          <w:p>
            <w:r>
              <w:t xml:space="preserve">修复和数字化服务质量管控方案，内容包含但不限于根据“六、货物或服务指标要求”内容，提供相关质量管控方案，以及修复用纸须和原图纸纤维形貌相似，需要进行纸张纤维比对后方可使用；特殊材质图纸资料如硫酸纸修复方案，须经相关实验验证可行性和安全性；对大幅面图纸应使用大幅面扫描仪进行非接触扫描等。  </w:t>
            </w:r>
          </w:p>
          <w:p/>
          <w:p>
            <w:r>
              <w:t xml:space="preserve">修复和数字化服务质量管控方案内容科学周密，完全契合项目需求实际，计划措施针对性可行性强，工作进度安排科学合理，完全契合项目实施要求、实施进度要求及交付要求等，得4.58分；            </w:t>
            </w:r>
          </w:p>
          <w:p>
            <w:r>
              <w:t xml:space="preserve">修复和数字化服务质量管控方案内容完整，可以满足项目需求，针对性可行性较强，但其中一项方案小项有缺陷（缺陷包括：与事实不符、前后内容不一致、逻辑错误、不符合采购需求、内容有缺失等），得2.5分；     </w:t>
            </w:r>
          </w:p>
          <w:p>
            <w:r>
              <w:t xml:space="preserve">修复和数字化服务质量管控方案内容有漏项，未完全包括上述几小项内容，或两个及以上方案小项中存在缺陷，得1分； </w:t>
            </w:r>
          </w:p>
          <w:p>
            <w:r>
              <w:t>未提供修复和数字化服务质量管控方案内容或方案严重脱离项目实际，得0分。</w:t>
            </w:r>
          </w:p>
        </w:tc>
        <w:tc>
          <w:tcPr>
            <w:tcW w:w="1575" w:type="dxa"/>
          </w:tcPr>
          <w:p>
            <w:r>
              <w:t>勾选打分(0;1;2.5;4.58)</w:t>
            </w:r>
          </w:p>
        </w:tc>
      </w:tr>
      <w:tr>
        <w:tblPrEx>
          <w:tblW w:w="5640" w:type="pct"/>
          <w:jc w:val="left"/>
          <w:tblInd w:w="-607" w:type="dxa"/>
          <w:tblCellMar>
            <w:top w:w="0" w:type="dxa"/>
            <w:left w:w="108" w:type="dxa"/>
            <w:bottom w:w="0" w:type="dxa"/>
            <w:right w:w="108" w:type="dxa"/>
          </w:tblCellMar>
        </w:tblPrEx>
        <w:trPr>
          <w:jc w:val="left"/>
        </w:trPr>
        <w:tc>
          <w:tcPr>
            <w:tcW w:w="915" w:type="dxa"/>
            <w:vMerge/>
          </w:tcPr>
          <w:p/>
        </w:tc>
        <w:tc>
          <w:tcPr>
            <w:tcW w:w="1064" w:type="dxa"/>
          </w:tcPr>
          <w:p>
            <w:r>
              <w:t>项目实施方案</w:t>
            </w:r>
          </w:p>
        </w:tc>
        <w:tc>
          <w:tcPr>
            <w:tcW w:w="7089" w:type="dxa"/>
          </w:tcPr>
          <w:p>
            <w:r>
              <w:t xml:space="preserve">提供项目实施方案，内容包括但不限于实施计划、实施进度、工作流程设计、保障措施（包括但不限于图纸修复和数字化措施、质量保障措施、进度保障措施、人员保障措施、保密措施）等。   </w:t>
            </w:r>
          </w:p>
          <w:p/>
          <w:p>
            <w:r>
              <w:t xml:space="preserve">项目实施方案内容科学周密，完全契合项目需求实际，计划措施针对性可行性强，工作进度安排科学合理，完全契合项目实施要求、实施进度要求及交付要求等，得4.5分；            </w:t>
            </w:r>
          </w:p>
          <w:p>
            <w:r>
              <w:t xml:space="preserve">项目实施方案内容完整，可以满足项目需求，针对性可行性较强，但其中一项方案小项有缺陷（缺陷包括：与事实不符、前后内容不一致、逻辑错误、不符合采购需求、内容有缺失等），得2.5分；     </w:t>
            </w:r>
          </w:p>
          <w:p>
            <w:r>
              <w:t xml:space="preserve">项目实施方案内容有漏项，未完全包括上述几小项内容，或两个及以上方案小项中存在缺陷，得1分； </w:t>
            </w:r>
          </w:p>
          <w:p>
            <w:r>
              <w:t>未提供项目实施方案内容或方案严重脱离项目实际，得0分。</w:t>
            </w:r>
          </w:p>
        </w:tc>
        <w:tc>
          <w:tcPr>
            <w:tcW w:w="1575" w:type="dxa"/>
          </w:tcPr>
          <w:p>
            <w:r>
              <w:t>勾选打分(0;1;2.5;4.5)</w:t>
            </w:r>
          </w:p>
        </w:tc>
      </w:tr>
      <w:tr>
        <w:tblPrEx>
          <w:tblW w:w="5640" w:type="pct"/>
          <w:jc w:val="left"/>
          <w:tblInd w:w="-607" w:type="dxa"/>
          <w:tblCellMar>
            <w:top w:w="0" w:type="dxa"/>
            <w:left w:w="108" w:type="dxa"/>
            <w:bottom w:w="0" w:type="dxa"/>
            <w:right w:w="108" w:type="dxa"/>
          </w:tblCellMar>
        </w:tblPrEx>
        <w:trPr>
          <w:jc w:val="left"/>
        </w:trPr>
        <w:tc>
          <w:tcPr>
            <w:tcW w:w="915" w:type="dxa"/>
            <w:vMerge/>
          </w:tcPr>
          <w:p/>
        </w:tc>
        <w:tc>
          <w:tcPr>
            <w:tcW w:w="1064" w:type="dxa"/>
          </w:tcPr>
          <w:p>
            <w:r>
              <w:t>培训方案</w:t>
            </w:r>
          </w:p>
        </w:tc>
        <w:tc>
          <w:tcPr>
            <w:tcW w:w="7089" w:type="dxa"/>
          </w:tcPr>
          <w:p>
            <w:r>
              <w:t xml:space="preserve">提供培训方案，内容包括但不限于员工入场须知、图纸及数字化数据安全注意事项、安全保密教育、各岗位工作规范等。  </w:t>
            </w:r>
          </w:p>
          <w:p/>
          <w:p>
            <w:r>
              <w:t xml:space="preserve">培训方案内容科学周密，完全契合项目需求实际，计划措施针对性可行性强，工作进度安排科学合理，完全契合项目实施要求、实施进度要求及交付要求等，得4.5分；            </w:t>
            </w:r>
          </w:p>
          <w:p>
            <w:r>
              <w:t xml:space="preserve">培训方案内容完整，可以满足项目需求，针对性可行性较强，但其中一项方案小项有缺陷（缺陷包括：与事实不符、前后内容不一致、逻辑错误、不符合采购需求、内容有缺失等），得2.5分；     </w:t>
            </w:r>
          </w:p>
          <w:p>
            <w:r>
              <w:t xml:space="preserve">培训方案内容有漏项，未完全包括上述几小项内容，或两个及以上方案小项中存在缺陷，得1分； </w:t>
            </w:r>
          </w:p>
          <w:p>
            <w:r>
              <w:t>未提供培训方案内容或方案严重脱离项目实际，得0分。</w:t>
            </w:r>
          </w:p>
        </w:tc>
        <w:tc>
          <w:tcPr>
            <w:tcW w:w="1575" w:type="dxa"/>
          </w:tcPr>
          <w:p>
            <w:r>
              <w:t>勾选打分(0;1;2.5;4.5)</w:t>
            </w:r>
          </w:p>
        </w:tc>
      </w:tr>
      <w:tr>
        <w:tblPrEx>
          <w:tblW w:w="5640" w:type="pct"/>
          <w:jc w:val="left"/>
          <w:tblInd w:w="-607" w:type="dxa"/>
          <w:tblCellMar>
            <w:top w:w="0" w:type="dxa"/>
            <w:left w:w="108" w:type="dxa"/>
            <w:bottom w:w="0" w:type="dxa"/>
            <w:right w:w="108" w:type="dxa"/>
          </w:tblCellMar>
        </w:tblPrEx>
        <w:trPr>
          <w:jc w:val="left"/>
        </w:trPr>
        <w:tc>
          <w:tcPr>
            <w:tcW w:w="877" w:type="dxa"/>
          </w:tcPr>
          <w:p>
            <w:r>
              <w:t>服务部分</w:t>
            </w:r>
          </w:p>
        </w:tc>
        <w:tc>
          <w:tcPr>
            <w:tcW w:w="1064" w:type="dxa"/>
          </w:tcPr>
          <w:p>
            <w:r>
              <w:t>售后服务方案</w:t>
            </w:r>
          </w:p>
        </w:tc>
        <w:tc>
          <w:tcPr>
            <w:tcW w:w="7089" w:type="dxa"/>
          </w:tcPr>
          <w:p>
            <w:r>
              <w:t xml:space="preserve">提供售后服务方案，包括但不限于如下内容：服务内容、服务体系、服务标准、风险管理、保密管理、服务成果物管理、服务质量保证等。  </w:t>
            </w:r>
          </w:p>
          <w:p/>
          <w:p>
            <w:r>
              <w:t xml:space="preserve">售后服务方案内容科学周密，完全契合项目需求实际，计划措施针对性可行性强，工作进度安排科学合理，完全契合项目实施要求、实施进度要求及交付要求等，得4.5分；            </w:t>
            </w:r>
          </w:p>
          <w:p>
            <w:r>
              <w:t xml:space="preserve">售后服务方案内容完整，可以满足项目需求，针对性可行性较强，但其中一项方案小项有缺陷（缺陷包括：与事实不符、前后内容不一致、逻辑错误、不符合采购需求、内容有缺失等），得2.5分；     </w:t>
            </w:r>
          </w:p>
          <w:p>
            <w:r>
              <w:t xml:space="preserve">售后服务方案内容有漏项，未完全包括上述几小项内容，或两个及以上方案小项中存在缺陷，得1分； </w:t>
            </w:r>
          </w:p>
          <w:p>
            <w:r>
              <w:t>未提供售后服务方案内容或方案严重脱离项目实际，得0分。</w:t>
            </w:r>
          </w:p>
        </w:tc>
        <w:tc>
          <w:tcPr>
            <w:tcW w:w="1575" w:type="dxa"/>
          </w:tcPr>
          <w:p>
            <w:r>
              <w:t>勾选打分(0;1;2.5;4.5)</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67"/>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hint="eastAsia"/>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68" w:name="_Toc31833532"/>
      <w:r>
        <w:rPr>
          <w:rFonts w:ascii="宋体" w:cs="宋体" w:hint="eastAsia"/>
          <w:b/>
          <w:bCs/>
          <w:color w:val="000000"/>
          <w:kern w:val="0"/>
          <w:sz w:val="30"/>
          <w:szCs w:val="30"/>
          <w:lang w:bidi="ar-SA"/>
        </w:rPr>
        <w:t>第五部分 合同文本</w:t>
      </w:r>
      <w:bookmarkEnd w:id="68"/>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600" w:lineRule="exact"/>
        <w:ind w:firstLine="480" w:firstLineChars="200"/>
        <w:jc w:val="center"/>
        <w:rPr>
          <w:rFonts w:eastAsia="方正小标宋_GBK"/>
          <w:color w:val="000000"/>
          <w:sz w:val="44"/>
        </w:rPr>
      </w:pPr>
      <w:bookmarkStart w:id="69" w:name="插入_TBWJGS_CONTRACT"/>
      <w:r>
        <w:rPr>
          <w:rFonts w:ascii="方正仿宋_GBK" w:hAnsi="方正仿宋_GBK" w:cs="方正仿宋_GBK" w:hint="eastAsia"/>
          <w:color w:val="000000"/>
          <w:sz w:val="24"/>
          <w:szCs w:val="24"/>
          <w:lang w:bidi="ar-SA"/>
        </w:rPr>
        <w:t xml:space="preserve">                                 合同号：</w:t>
      </w:r>
      <w:r>
        <w:rPr>
          <w:rFonts w:ascii="方正仿宋_GBK" w:hAnsi="方正仿宋_GBK" w:cs="方正仿宋_GBK" w:hint="eastAsia"/>
          <w:color w:val="000000"/>
          <w:sz w:val="30"/>
          <w:szCs w:val="30"/>
          <w:lang w:bidi="ar-SA"/>
        </w:rPr>
        <w:t xml:space="preserve">           </w:t>
      </w:r>
    </w:p>
    <w:p>
      <w:pPr>
        <w:rPr>
          <w:rFonts w:ascii="宋体" w:hint="eastAsia"/>
          <w:color w:val="000000"/>
          <w:szCs w:val="21"/>
        </w:rPr>
      </w:pPr>
    </w:p>
    <w:p>
      <w:pPr>
        <w:rPr>
          <w:rFonts w:ascii="宋体" w:hint="eastAsia"/>
          <w:color w:val="000000"/>
          <w:szCs w:val="21"/>
        </w:rPr>
      </w:pPr>
      <w:r>
        <w:rPr>
          <w:rFonts w:ascii="宋体" w:hint="eastAsia"/>
          <w:color w:val="000000"/>
          <w:szCs w:val="21"/>
        </w:rPr>
        <w:t>甲方（采购人）:</w:t>
      </w:r>
    </w:p>
    <w:p>
      <w:pPr>
        <w:rPr>
          <w:rFonts w:ascii="宋体" w:hint="eastAsia"/>
          <w:color w:val="000000"/>
          <w:szCs w:val="21"/>
        </w:rPr>
      </w:pPr>
      <w:r>
        <w:rPr>
          <w:rFonts w:ascii="宋体" w:hint="eastAsia"/>
          <w:color w:val="000000"/>
          <w:szCs w:val="21"/>
        </w:rPr>
        <w:t xml:space="preserve">乙方（供应商）:                                  </w:t>
      </w:r>
    </w:p>
    <w:p>
      <w:pPr>
        <w:ind w:firstLine="420" w:firstLineChars="200"/>
        <w:rPr>
          <w:rFonts w:ascii="宋体" w:hint="eastAsia"/>
          <w:color w:val="000000"/>
          <w:szCs w:val="21"/>
        </w:rPr>
      </w:pPr>
      <w:r>
        <w:rPr>
          <w:rFonts w:ascii="宋体" w:hint="eastAsia"/>
          <w:color w:val="000000"/>
          <w:szCs w:val="21"/>
        </w:rPr>
        <w:t>经海关总署授权，海关总署物资装备采购中心作为甲方代表,受海关总署（XX司局）委托签订该项目合同。根据</w:t>
      </w:r>
      <w:r>
        <w:rPr>
          <w:rFonts w:ascii="宋体" w:hint="eastAsia"/>
          <w:snapToGrid w:val="0"/>
          <w:color w:val="000000"/>
          <w:kern w:val="0"/>
          <w:szCs w:val="21"/>
          <w:shd w:val="clear" w:color="auto" w:fill="auto"/>
        </w:rPr>
        <w:t>《中华人民共和国民法典（合同编）》、</w:t>
      </w:r>
      <w:r>
        <w:rPr>
          <w:rFonts w:ascii="宋体" w:hint="eastAsia"/>
          <w:color w:val="000000"/>
          <w:szCs w:val="21"/>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20" w:firstLineChars="200"/>
        <w:rPr>
          <w:rFonts w:ascii="宋体" w:hint="eastAsia"/>
          <w:b/>
          <w:bCs/>
          <w:color w:val="000000"/>
          <w:szCs w:val="21"/>
        </w:rPr>
      </w:pPr>
      <w:r>
        <w:rPr>
          <w:rFonts w:ascii="宋体" w:hint="eastAsia"/>
          <w:b/>
          <w:bCs/>
          <w:color w:val="000000"/>
          <w:szCs w:val="21"/>
        </w:rPr>
        <w:t>第一条 采购清单及报价</w:t>
      </w:r>
    </w:p>
    <w:p>
      <w:pPr>
        <w:ind w:firstLine="420" w:firstLineChars="200"/>
        <w:rPr>
          <w:rFonts w:ascii="宋体" w:hint="eastAsia"/>
          <w:b/>
          <w:bCs/>
          <w:color w:val="000000"/>
          <w:szCs w:val="21"/>
        </w:rPr>
      </w:pPr>
    </w:p>
    <w:p>
      <w:pPr>
        <w:ind w:firstLine="420" w:firstLineChars="200"/>
        <w:rPr>
          <w:rFonts w:ascii="宋体" w:hint="eastAsia"/>
          <w:b/>
          <w:bCs/>
          <w:color w:val="000000"/>
          <w:szCs w:val="21"/>
        </w:rPr>
      </w:pPr>
    </w:p>
    <w:p>
      <w:pPr>
        <w:ind w:firstLine="420" w:firstLineChars="200"/>
        <w:rPr>
          <w:rFonts w:ascii="宋体" w:hint="eastAsia"/>
          <w:b/>
          <w:bCs/>
          <w:color w:val="000000"/>
          <w:szCs w:val="21"/>
        </w:rPr>
      </w:pPr>
    </w:p>
    <w:p>
      <w:pPr>
        <w:ind w:firstLine="420" w:firstLineChars="200"/>
        <w:rPr>
          <w:rFonts w:ascii="宋体" w:hint="eastAsia"/>
          <w:b/>
          <w:bCs/>
          <w:color w:val="000000"/>
          <w:szCs w:val="21"/>
        </w:rPr>
      </w:pPr>
    </w:p>
    <w:p>
      <w:pPr>
        <w:ind w:firstLine="420" w:firstLineChars="200"/>
        <w:rPr>
          <w:rFonts w:ascii="宋体" w:hint="eastAsia"/>
          <w:b/>
          <w:bCs/>
          <w:color w:val="000000"/>
          <w:szCs w:val="21"/>
        </w:rPr>
      </w:pPr>
      <w:r>
        <w:rPr>
          <w:rFonts w:ascii="宋体" w:hint="eastAsia"/>
          <w:b/>
          <w:bCs/>
          <w:color w:val="000000"/>
          <w:szCs w:val="21"/>
        </w:rPr>
        <w:t>第二条 合同总价款</w:t>
      </w:r>
    </w:p>
    <w:p>
      <w:pPr>
        <w:pStyle w:val="10312"/>
        <w:ind w:firstLine="420" w:firstLineChars="200"/>
        <w:rPr>
          <w:rFonts w:ascii="宋体" w:eastAsia="宋体" w:hint="eastAsia"/>
          <w:color w:val="000000"/>
          <w:sz w:val="21"/>
          <w:szCs w:val="21"/>
        </w:rPr>
      </w:pPr>
      <w:r>
        <w:rPr>
          <w:rFonts w:ascii="宋体" w:eastAsia="宋体" w:hint="eastAsia"/>
          <w:color w:val="000000"/>
          <w:sz w:val="21"/>
          <w:szCs w:val="21"/>
        </w:rPr>
        <w:t>本合同总价款（人民币大写） __________元（含税）。除上述款项外，乙方不得向甲方（用户）主张其他任何费用，详见附件分项报价表。</w:t>
      </w:r>
    </w:p>
    <w:p>
      <w:pPr>
        <w:ind w:firstLine="420" w:firstLineChars="200"/>
        <w:rPr>
          <w:rFonts w:ascii="宋体" w:hint="eastAsia"/>
          <w:b/>
          <w:bCs/>
          <w:color w:val="000000"/>
          <w:szCs w:val="21"/>
        </w:rPr>
      </w:pPr>
      <w:r>
        <w:rPr>
          <w:rFonts w:ascii="宋体" w:hint="eastAsia"/>
          <w:b/>
          <w:bCs/>
          <w:color w:val="000000"/>
          <w:szCs w:val="21"/>
        </w:rPr>
        <w:t>第三条 付款条件</w:t>
      </w:r>
      <w:r>
        <w:rPr>
          <w:rFonts w:ascii="宋体" w:hint="eastAsia"/>
          <w:color w:val="000000"/>
          <w:szCs w:val="21"/>
        </w:rPr>
        <w:t>（注：项目需求书中另有要求的，以项目需求书中的约定为准）</w:t>
      </w:r>
    </w:p>
    <w:p>
      <w:pPr>
        <w:ind w:firstLine="420" w:firstLineChars="200"/>
        <w:rPr>
          <w:rFonts w:ascii="宋体" w:hint="eastAsia"/>
          <w:color w:val="000000"/>
          <w:szCs w:val="21"/>
        </w:rPr>
      </w:pPr>
      <w:r>
        <w:rPr>
          <w:rFonts w:ascii="宋体" w:hint="eastAsia"/>
          <w:color w:val="000000"/>
          <w:szCs w:val="21"/>
        </w:rPr>
        <w:t>（一）本合同以人民币付款。</w:t>
      </w:r>
    </w:p>
    <w:p>
      <w:pPr>
        <w:ind w:firstLine="420" w:firstLineChars="200"/>
        <w:rPr>
          <w:rFonts w:ascii="宋体" w:hint="eastAsia"/>
          <w:color w:val="000000"/>
          <w:szCs w:val="21"/>
        </w:rPr>
      </w:pPr>
      <w:r>
        <w:rPr>
          <w:rFonts w:ascii="宋体" w:hint="eastAsia"/>
          <w:color w:val="000000"/>
          <w:szCs w:val="21"/>
        </w:rPr>
        <w:t>（二）付款办法：</w:t>
      </w:r>
    </w:p>
    <w:p>
      <w:pPr>
        <w:ind w:firstLine="420" w:firstLineChars="200"/>
        <w:rPr>
          <w:rFonts w:ascii="宋体" w:hint="eastAsia"/>
          <w:color w:val="000000"/>
          <w:szCs w:val="21"/>
        </w:rPr>
      </w:pPr>
      <w:r>
        <w:rPr>
          <w:rFonts w:ascii="宋体" w:hint="eastAsia"/>
          <w:color w:val="000000"/>
          <w:szCs w:val="21"/>
        </w:rPr>
        <w:t>1.乙方向甲方交付履约保证金，并提交下列单据之日起10个工作日内，甲方向乙方支付合同总价__50__%合同款（人民币大写：_______；人民币小写：_______）。</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乙方提交单据：合同（正文部分复印件）、中标通知书（或成交通知书）、发票（原件）、履约保证金单据。</w:t>
      </w:r>
    </w:p>
    <w:p>
      <w:pPr>
        <w:ind w:firstLine="420" w:firstLineChars="200"/>
        <w:rPr>
          <w:rFonts w:ascii="宋体" w:hint="eastAsia"/>
          <w:color w:val="000000"/>
          <w:szCs w:val="21"/>
        </w:rPr>
      </w:pPr>
      <w:r>
        <w:rPr>
          <w:rFonts w:ascii="宋体" w:hint="eastAsia"/>
          <w:color w:val="000000"/>
          <w:szCs w:val="21"/>
        </w:rPr>
        <w:t>2.乙方完成全部服务内容，经甲方组织的合同验收通过，并向甲方提交下列单据之日起10个工作日内，甲方向乙方支付合同总价__50__%合同款（人民币大写：_______；人民币小写：_______）。</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乙方提交单据：合同（正文部分复印件）、中标通知书（或成交通知书）、发票（原件）、合同验收合格报告（原件）。</w:t>
      </w:r>
    </w:p>
    <w:p>
      <w:pPr>
        <w:ind w:firstLine="420" w:firstLineChars="200"/>
        <w:rPr>
          <w:rFonts w:ascii="宋体" w:hint="eastAsia"/>
          <w:color w:val="000000"/>
          <w:szCs w:val="21"/>
        </w:rPr>
      </w:pPr>
      <w:r>
        <w:rPr>
          <w:rFonts w:ascii="宋体" w:hint="eastAsia"/>
          <w:color w:val="000000"/>
          <w:szCs w:val="21"/>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bl>
    <w:p>
      <w:pPr>
        <w:ind w:firstLine="420" w:firstLineChars="200"/>
        <w:rPr>
          <w:rFonts w:ascii="宋体" w:hint="eastAsia"/>
          <w:b/>
          <w:bCs/>
          <w:color w:val="000000"/>
          <w:szCs w:val="21"/>
        </w:rPr>
      </w:pPr>
      <w:r>
        <w:rPr>
          <w:rFonts w:ascii="宋体" w:hint="eastAsia"/>
          <w:b/>
          <w:bCs/>
          <w:color w:val="000000"/>
          <w:szCs w:val="21"/>
        </w:rPr>
        <w:t>第四条 履约保证金</w:t>
      </w:r>
    </w:p>
    <w:p>
      <w:pPr>
        <w:pStyle w:val="2312"/>
        <w:ind w:firstLine="420" w:firstLineChars="200"/>
        <w:rPr>
          <w:rFonts w:ascii="宋体" w:eastAsia="宋体" w:hint="eastAsia"/>
          <w:color w:val="000000"/>
          <w:sz w:val="21"/>
          <w:szCs w:val="21"/>
          <w:highlight w:val="yellow"/>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个工作日内，乙方须按合同金额的____%（人民币大写：_______；人民币小写：_______）向甲方交纳履约保证金。如果乙方未按照约定时间交付履约保证金的，甲方有权单方面解除合同。</w:t>
      </w:r>
    </w:p>
    <w:p>
      <w:pPr>
        <w:pStyle w:val="505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bl>
    <w:p>
      <w:pPr>
        <w:pStyle w:val="2312"/>
        <w:ind w:left="0" w:firstLine="420" w:firstLineChars="200"/>
        <w:rPr>
          <w:rFonts w:ascii="宋体" w:eastAsia="宋体" w:hint="eastAsia"/>
          <w:color w:val="000000"/>
          <w:sz w:val="21"/>
          <w:szCs w:val="21"/>
        </w:rPr>
      </w:pPr>
      <w:r>
        <w:rPr>
          <w:rFonts w:ascii="宋体" w:eastAsia="宋体" w:hint="eastAsia"/>
          <w:color w:val="000000"/>
          <w:sz w:val="21"/>
          <w:szCs w:val="21"/>
        </w:rPr>
        <w:t>（二）履约保证金以银行保函、银行电汇向甲方提供。</w:t>
      </w:r>
    </w:p>
    <w:p>
      <w:pPr>
        <w:ind w:firstLine="420" w:firstLineChars="200"/>
        <w:rPr>
          <w:rFonts w:ascii="宋体" w:hint="eastAsia"/>
          <w:color w:val="000000"/>
          <w:szCs w:val="21"/>
        </w:rPr>
      </w:pPr>
      <w:r>
        <w:rPr>
          <w:rFonts w:ascii="宋体" w:hint="eastAsia"/>
          <w:color w:val="000000"/>
          <w:szCs w:val="21"/>
        </w:rPr>
        <w:t>（三）如乙方未能履行合同规定的义务，甲方有权按照本合同的约定从履约保证金中进行相应扣除。乙方应在甲方扣除履约保证金之日起10个工作日内，及时补充扣除部分金额。</w:t>
      </w:r>
    </w:p>
    <w:p>
      <w:pPr>
        <w:ind w:firstLine="420" w:firstLineChars="200"/>
        <w:rPr>
          <w:rFonts w:ascii="宋体" w:hint="eastAsia"/>
          <w:color w:val="000000"/>
          <w:szCs w:val="21"/>
        </w:rPr>
      </w:pPr>
      <w:r>
        <w:rPr>
          <w:rFonts w:ascii="宋体" w:hint="eastAsia"/>
          <w:color w:val="000000"/>
          <w:szCs w:val="21"/>
        </w:rPr>
        <w:t>（四）如乙方不履行合同，或履行合同义务不符合约定使得合同目的不能实现，履约保证金不予退还。</w:t>
      </w:r>
    </w:p>
    <w:p>
      <w:pPr>
        <w:ind w:firstLine="420" w:firstLineChars="200"/>
        <w:rPr>
          <w:rFonts w:ascii="宋体" w:hint="eastAsia"/>
          <w:color w:val="000000"/>
          <w:szCs w:val="21"/>
        </w:rPr>
      </w:pPr>
      <w:r>
        <w:rPr>
          <w:rFonts w:ascii="宋体" w:hint="eastAsia"/>
          <w:color w:val="000000"/>
          <w:szCs w:val="21"/>
        </w:rPr>
        <w:t>（五）项目验收合格后30个日历日内（因乙方原因造成延期履约的，履约保证金相应顺延），</w:t>
      </w:r>
      <w:r>
        <w:rPr>
          <w:rFonts w:ascii="宋体" w:hint="eastAsia"/>
          <w:bCs/>
          <w:color w:val="000000"/>
          <w:szCs w:val="21"/>
        </w:rPr>
        <w:t>乙方可以提交履约保证金退款申请。</w:t>
      </w:r>
      <w:r>
        <w:rPr>
          <w:rFonts w:ascii="宋体" w:hint="eastAsia"/>
          <w:color w:val="000000"/>
          <w:szCs w:val="21"/>
        </w:rPr>
        <w:t>甲方在收到乙方提交退款申请后10个工作日内无息退还。</w:t>
      </w:r>
    </w:p>
    <w:p>
      <w:pPr>
        <w:ind w:firstLine="420" w:firstLineChars="200"/>
        <w:rPr>
          <w:rFonts w:ascii="宋体" w:hint="eastAsia"/>
          <w:b/>
          <w:bCs/>
          <w:color w:val="000000"/>
          <w:szCs w:val="21"/>
        </w:rPr>
      </w:pPr>
      <w:r>
        <w:rPr>
          <w:rFonts w:ascii="宋体" w:hint="eastAsia"/>
          <w:b/>
          <w:bCs/>
          <w:color w:val="000000"/>
          <w:szCs w:val="21"/>
        </w:rPr>
        <w:t>第五条  工作进度要求及履行地点</w:t>
      </w:r>
    </w:p>
    <w:p>
      <w:pPr>
        <w:pStyle w:val="5010"/>
        <w:spacing w:line="480" w:lineRule="atLeast"/>
        <w:ind w:firstLine="480"/>
        <w:jc w:val="left"/>
        <w:rPr>
          <w:rFonts w:ascii="宋体" w:hint="eastAsia"/>
          <w:color w:val="000000"/>
          <w:szCs w:val="21"/>
        </w:rPr>
      </w:pPr>
      <w:r>
        <w:rPr>
          <w:rFonts w:ascii="宋体" w:cs="宋体" w:hint="eastAsia"/>
          <w:color w:val="000000"/>
          <w:szCs w:val="21"/>
          <w:lang w:bidi="ar-SA"/>
        </w:rPr>
        <w:t>（一）本项目服务工期</w:t>
      </w:r>
      <w:r>
        <w:rPr>
          <w:rFonts w:ascii="宋体" w:cs="宋体" w:hint="eastAsia"/>
          <w:color w:val="000000"/>
          <w:szCs w:val="21"/>
          <w:u w:val="single"/>
          <w:lang w:bidi="ar-SA"/>
        </w:rPr>
        <w:t xml:space="preserve">   </w:t>
      </w:r>
      <w:r>
        <w:rPr>
          <w:rFonts w:ascii="宋体" w:cs="宋体" w:hint="eastAsia"/>
          <w:color w:val="000000"/>
          <w:szCs w:val="21"/>
          <w:lang w:bidi="ar-SA"/>
        </w:rPr>
        <w:t>个月，要求合同签订之日起</w:t>
      </w:r>
      <w:r>
        <w:rPr>
          <w:rFonts w:ascii="宋体" w:cs="宋体" w:hint="eastAsia"/>
          <w:color w:val="000000"/>
          <w:szCs w:val="21"/>
          <w:u w:val="single"/>
          <w:lang w:bidi="ar-SA"/>
        </w:rPr>
        <w:t xml:space="preserve">    </w:t>
      </w:r>
      <w:r>
        <w:rPr>
          <w:rFonts w:ascii="宋体" w:cs="宋体" w:hint="eastAsia"/>
          <w:color w:val="000000"/>
          <w:szCs w:val="21"/>
          <w:lang w:bidi="ar-SA"/>
        </w:rPr>
        <w:t>个月内完成合同约定的所有服务内容（以乙方满足招标文件/谈判文件/询价通知书/磋商文件/单一来源采购文件要求及投标文件/响应文件应答的基础上的承诺为准）。如本合同或甲方（用户）对开始提供服务的时间或各部分、各阶段服务进度有要求的，乙方应遵守其要求。</w:t>
      </w:r>
    </w:p>
    <w:p>
      <w:pPr>
        <w:pStyle w:val="5010"/>
        <w:spacing w:line="480" w:lineRule="atLeast"/>
        <w:ind w:firstLine="480"/>
        <w:rPr>
          <w:rFonts w:ascii="宋体" w:cs="宋体" w:hint="eastAsia"/>
          <w:color w:val="000000"/>
          <w:szCs w:val="21"/>
        </w:rPr>
      </w:pPr>
      <w:r>
        <w:rPr>
          <w:rFonts w:ascii="宋体" w:cs="宋体" w:hint="eastAsia"/>
          <w:color w:val="000000"/>
          <w:szCs w:val="21"/>
          <w:lang w:bidi="ar-SA"/>
        </w:rPr>
        <w:t>（二）因甲方（用户）原因造成乙方不能按期完成工作的，经甲方（用户）书面确认后，乙方工期可以顺延，顺延的日期与甲方（用户）造成乙方不能正常工作的日期相等。</w:t>
      </w:r>
    </w:p>
    <w:p>
      <w:pPr>
        <w:pStyle w:val="5010"/>
        <w:spacing w:line="480" w:lineRule="atLeast"/>
        <w:ind w:firstLine="480"/>
        <w:rPr>
          <w:rFonts w:ascii="宋体" w:hint="eastAsia"/>
          <w:color w:val="000000"/>
          <w:szCs w:val="21"/>
        </w:rPr>
      </w:pPr>
      <w:r>
        <w:rPr>
          <w:rFonts w:ascii="宋体" w:cs="宋体" w:hint="eastAsia"/>
          <w:color w:val="000000"/>
          <w:szCs w:val="21"/>
          <w:lang w:bidi="ar-SA"/>
        </w:rPr>
        <w:t>（三）履行地点：甲方指定地点。</w:t>
      </w:r>
    </w:p>
    <w:p>
      <w:pPr>
        <w:pStyle w:val="3"/>
        <w:ind w:firstLine="420" w:firstLineChars="200"/>
        <w:rPr>
          <w:rFonts w:ascii="宋体" w:cs="宋体" w:hint="eastAsia"/>
          <w:b/>
          <w:bCs/>
          <w:color w:val="000000"/>
          <w:szCs w:val="21"/>
        </w:rPr>
      </w:pPr>
      <w:r>
        <w:rPr>
          <w:rFonts w:ascii="宋体" w:cs="宋体" w:hint="eastAsia"/>
          <w:b/>
          <w:bCs/>
          <w:color w:val="000000"/>
          <w:szCs w:val="21"/>
          <w:lang w:bidi="ar-SA"/>
        </w:rPr>
        <w:t>第六条 验收</w:t>
      </w:r>
    </w:p>
    <w:p>
      <w:pPr>
        <w:pStyle w:val="5210"/>
        <w:spacing w:line="480" w:lineRule="atLeast"/>
        <w:ind w:firstLine="422" w:firstLineChars="201"/>
        <w:rPr>
          <w:rFonts w:ascii="宋体" w:eastAsia="宋体" w:cs="宋体" w:hint="eastAsia"/>
          <w:color w:val="000000"/>
        </w:rPr>
      </w:pPr>
      <w:r>
        <w:rPr>
          <w:rFonts w:ascii="宋体" w:eastAsia="宋体" w:cs="宋体" w:hint="eastAsia"/>
          <w:color w:val="000000"/>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
        <w:ind w:firstLine="420" w:firstLineChars="200"/>
        <w:rPr>
          <w:rFonts w:ascii="宋体" w:hint="eastAsia"/>
          <w:color w:val="000000"/>
          <w:szCs w:val="21"/>
        </w:rPr>
      </w:pPr>
      <w:r>
        <w:rPr>
          <w:rFonts w:ascii="宋体" w:hint="eastAsia"/>
          <w:b/>
          <w:bCs/>
          <w:color w:val="000000"/>
          <w:szCs w:val="21"/>
        </w:rPr>
        <w:t>第七条 质量保证</w:t>
      </w:r>
    </w:p>
    <w:p>
      <w:pPr>
        <w:ind w:firstLine="420" w:firstLineChars="200"/>
        <w:rPr>
          <w:rFonts w:ascii="宋体" w:hint="eastAsia"/>
          <w:color w:val="000000"/>
          <w:szCs w:val="21"/>
        </w:rPr>
      </w:pPr>
      <w:r>
        <w:rPr>
          <w:rFonts w:ascii="宋体" w:hint="eastAsia"/>
          <w:color w:val="000000"/>
          <w:szCs w:val="21"/>
        </w:rPr>
        <w:t>（一）乙方应保证所开发的产品与投标文件/响应文件承诺一致，并完全符合或高于合同要求的质量、规格和技术性能标准。</w:t>
      </w:r>
    </w:p>
    <w:p>
      <w:pPr>
        <w:ind w:firstLine="420" w:firstLineChars="200"/>
        <w:rPr>
          <w:rFonts w:ascii="宋体" w:hint="eastAsia"/>
          <w:color w:val="000000"/>
          <w:szCs w:val="21"/>
        </w:rPr>
      </w:pPr>
      <w:r>
        <w:rPr>
          <w:rFonts w:ascii="宋体" w:hint="eastAsia"/>
          <w:color w:val="000000"/>
          <w:szCs w:val="21"/>
        </w:rPr>
        <w:t>（二）本合同项下服务质量保证期为：自验收合格之日起计算</w:t>
      </w:r>
      <w:r>
        <w:rPr>
          <w:rFonts w:ascii="宋体" w:hint="eastAsia"/>
          <w:color w:val="000000"/>
          <w:szCs w:val="21"/>
          <w:u w:val="single"/>
        </w:rPr>
        <w:t xml:space="preserve">    </w:t>
      </w:r>
      <w:r>
        <w:rPr>
          <w:rFonts w:ascii="宋体" w:hint="eastAsia"/>
          <w:color w:val="000000"/>
          <w:szCs w:val="21"/>
        </w:rPr>
        <w:t>年。</w:t>
      </w:r>
    </w:p>
    <w:p>
      <w:pPr>
        <w:ind w:firstLine="420" w:firstLineChars="200"/>
        <w:rPr>
          <w:rFonts w:ascii="宋体" w:hint="eastAsia"/>
          <w:color w:val="000000"/>
          <w:szCs w:val="21"/>
        </w:rPr>
      </w:pPr>
      <w:r>
        <w:rPr>
          <w:rFonts w:ascii="宋体" w:hint="eastAsia"/>
          <w:color w:val="000000"/>
          <w:szCs w:val="21"/>
        </w:rPr>
        <w:t>（三）在质量保证期内，甲方发现乙方产品不符合（一）款规定标准的，有权要求乙方限期采取免费修复、重做、替换等措施。</w:t>
      </w:r>
    </w:p>
    <w:p>
      <w:pPr>
        <w:ind w:firstLine="420" w:firstLineChars="200"/>
        <w:rPr>
          <w:rFonts w:ascii="宋体" w:hint="eastAsia"/>
          <w:b/>
          <w:bCs/>
          <w:color w:val="000000"/>
          <w:szCs w:val="21"/>
        </w:rPr>
      </w:pPr>
      <w:r>
        <w:rPr>
          <w:rFonts w:ascii="宋体" w:hint="eastAsia"/>
          <w:b/>
          <w:bCs/>
          <w:color w:val="000000"/>
          <w:szCs w:val="21"/>
        </w:rPr>
        <w:t>第八条 培训</w:t>
      </w:r>
    </w:p>
    <w:p>
      <w:pPr>
        <w:ind w:firstLine="420" w:firstLineChars="200"/>
        <w:rPr>
          <w:rFonts w:ascii="宋体" w:hint="eastAsia"/>
          <w:b/>
          <w:bCs/>
          <w:color w:val="000000"/>
          <w:szCs w:val="21"/>
        </w:rPr>
      </w:pPr>
      <w:r>
        <w:rPr>
          <w:rFonts w:ascii="宋体" w:hint="eastAsia"/>
          <w:bCs/>
          <w:color w:val="000000"/>
          <w:szCs w:val="21"/>
        </w:rPr>
        <w:t>本合同包括培训，具体培训方案详见附件。</w:t>
      </w:r>
    </w:p>
    <w:p>
      <w:pPr>
        <w:ind w:firstLine="420" w:firstLineChars="200"/>
        <w:rPr>
          <w:rFonts w:ascii="宋体" w:hint="eastAsia"/>
          <w:b/>
          <w:bCs/>
          <w:color w:val="000000"/>
          <w:szCs w:val="21"/>
        </w:rPr>
      </w:pPr>
      <w:r>
        <w:rPr>
          <w:rFonts w:ascii="宋体" w:hint="eastAsia"/>
          <w:b/>
          <w:bCs/>
          <w:color w:val="000000"/>
          <w:szCs w:val="21"/>
        </w:rPr>
        <w:t>第九条 售后服务</w:t>
      </w:r>
    </w:p>
    <w:p>
      <w:pPr>
        <w:ind w:firstLine="420" w:firstLineChars="200"/>
        <w:rPr>
          <w:rFonts w:ascii="宋体" w:hint="eastAsia"/>
          <w:color w:val="000000"/>
          <w:szCs w:val="21"/>
        </w:rPr>
      </w:pPr>
      <w:r>
        <w:rPr>
          <w:rFonts w:ascii="宋体" w:hint="eastAsia"/>
          <w:color w:val="000000"/>
          <w:szCs w:val="21"/>
        </w:rPr>
        <w:t>（一）乙方在售后服务期内免费提供</w:t>
      </w:r>
      <w:r>
        <w:rPr>
          <w:rFonts w:ascii="宋体" w:hint="eastAsia"/>
          <w:color w:val="000000"/>
          <w:szCs w:val="21"/>
          <w:u w:val="single"/>
        </w:rPr>
        <w:t>7（5）天</w:t>
      </w:r>
      <w:r>
        <w:rPr>
          <w:rFonts w:ascii="宋体" w:hint="eastAsia"/>
          <w:color w:val="000000"/>
          <w:szCs w:val="21"/>
        </w:rPr>
        <w:t>*</w:t>
      </w:r>
      <w:r>
        <w:rPr>
          <w:rFonts w:ascii="宋体" w:hint="eastAsia"/>
          <w:color w:val="000000"/>
          <w:szCs w:val="21"/>
          <w:u w:val="single"/>
        </w:rPr>
        <w:t>24（8）</w:t>
      </w:r>
      <w:r>
        <w:rPr>
          <w:rFonts w:ascii="宋体" w:hint="eastAsia"/>
          <w:color w:val="000000"/>
          <w:szCs w:val="21"/>
        </w:rPr>
        <w:t>小时的技术支持与售后服务，提供专线电话支持服务，__小时内响应，保证___小时内到达现场并解决故障。</w:t>
      </w:r>
    </w:p>
    <w:p>
      <w:pPr>
        <w:ind w:firstLine="420" w:firstLineChars="200"/>
        <w:rPr>
          <w:rFonts w:ascii="宋体" w:hint="eastAsia"/>
          <w:color w:val="000000"/>
          <w:szCs w:val="21"/>
        </w:rPr>
      </w:pPr>
      <w:r>
        <w:rPr>
          <w:rFonts w:ascii="宋体" w:hint="eastAsia"/>
          <w:color w:val="000000"/>
          <w:szCs w:val="21"/>
        </w:rPr>
        <w:t>（二）具体技术支持及售后服务方案详见附件。</w:t>
      </w:r>
    </w:p>
    <w:p>
      <w:pPr>
        <w:pStyle w:val="2191"/>
        <w:ind w:firstLine="420" w:firstLineChars="200"/>
        <w:rPr>
          <w:rFonts w:ascii="宋体" w:eastAsia="宋体" w:hint="eastAsia"/>
          <w:b/>
          <w:bCs/>
          <w:color w:val="000000"/>
          <w:sz w:val="21"/>
          <w:szCs w:val="21"/>
        </w:rPr>
      </w:pPr>
      <w:r>
        <w:rPr>
          <w:rFonts w:ascii="宋体" w:eastAsia="宋体" w:hint="eastAsia"/>
          <w:b/>
          <w:bCs/>
          <w:color w:val="000000"/>
          <w:sz w:val="21"/>
          <w:szCs w:val="21"/>
        </w:rPr>
        <w:t>第十条 双方的权利和义务</w:t>
      </w:r>
    </w:p>
    <w:p>
      <w:pPr>
        <w:pStyle w:val="4910"/>
        <w:spacing w:line="480" w:lineRule="atLeast"/>
        <w:ind w:firstLine="480"/>
        <w:rPr>
          <w:rFonts w:ascii="宋体" w:eastAsia="宋体" w:hint="eastAsia"/>
          <w:bCs/>
          <w:color w:val="000000"/>
        </w:rPr>
      </w:pPr>
      <w:r>
        <w:rPr>
          <w:rFonts w:ascii="宋体" w:eastAsia="宋体" w:cs="宋体" w:hint="eastAsia"/>
          <w:color w:val="000000"/>
          <w:lang w:bidi="ar-SA"/>
        </w:rPr>
        <w:t>一、甲方（用户）的权利与义务</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（六）甲方（用户）应在实施过程中向乙方提供下列工作条件和协作事项：</w:t>
      </w:r>
    </w:p>
    <w:p>
      <w:pPr>
        <w:pStyle w:val="4910"/>
        <w:spacing w:line="480" w:lineRule="atLeast"/>
        <w:ind w:left="638"/>
        <w:rPr>
          <w:rFonts w:ascii="宋体" w:eastAsia="宋体" w:hint="eastAsia"/>
          <w:color w:val="000000"/>
        </w:rPr>
      </w:pPr>
      <w:r>
        <w:rPr>
          <w:rFonts w:ascii="宋体" w:eastAsia="宋体" w:cs="宋体" w:hint="eastAsia"/>
          <w:color w:val="000000"/>
          <w:lang w:bidi="ar-SA"/>
        </w:rPr>
        <w:t>1.提供完成技术服务所需的全部文档及相关资料；</w:t>
      </w:r>
    </w:p>
    <w:p>
      <w:pPr>
        <w:pStyle w:val="4910"/>
        <w:spacing w:line="480" w:lineRule="atLeast"/>
        <w:ind w:left="638"/>
        <w:rPr>
          <w:rFonts w:ascii="宋体" w:eastAsia="宋体" w:hint="eastAsia"/>
          <w:color w:val="000000"/>
        </w:rPr>
      </w:pPr>
      <w:r>
        <w:rPr>
          <w:rFonts w:ascii="宋体" w:eastAsia="宋体" w:cs="宋体" w:hint="eastAsia"/>
          <w:color w:val="000000"/>
          <w:lang w:bidi="ar-SA"/>
        </w:rPr>
        <w:t>2.解答或协调解答技术服务实施过程中的需求问题。</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rPr>
      </w:pPr>
      <w:r>
        <w:rPr>
          <w:rFonts w:ascii="宋体" w:eastAsia="宋体" w:cs="宋体" w:hint="eastAsia"/>
          <w:color w:val="000000"/>
          <w:lang w:bidi="ar-SA"/>
        </w:rPr>
        <w:t>二、乙方的权利与义务</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（四）乙方应在服务期内及时修复安全漏洞。</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（八）乙方应无条件配合完成技术服务的业务测试工作。</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（十）乙方须遵守甲方（用户）提出的各项安全管理要求。</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（十一）乙方须按照国家关于通过政府采购渠道参与政务信息化建设的有关要求，签订《政务数据安全管理承诺书》，具体详见附件。</w:t>
      </w:r>
    </w:p>
    <w:p>
      <w:pPr>
        <w:ind w:firstLine="420" w:firstLineChars="200"/>
        <w:rPr>
          <w:rFonts w:ascii="宋体" w:hint="eastAsia"/>
          <w:b/>
          <w:bCs/>
          <w:color w:val="000000"/>
          <w:szCs w:val="21"/>
        </w:rPr>
      </w:pPr>
      <w:r>
        <w:rPr>
          <w:rFonts w:ascii="宋体" w:hint="eastAsia"/>
          <w:b/>
          <w:bCs/>
          <w:color w:val="000000"/>
          <w:szCs w:val="21"/>
        </w:rPr>
        <w:t>第十一条 违约责任</w:t>
      </w:r>
    </w:p>
    <w:p>
      <w:pPr>
        <w:ind w:firstLine="420" w:firstLineChars="200"/>
        <w:rPr>
          <w:rFonts w:ascii="宋体" w:hint="eastAsia"/>
          <w:color w:val="000000"/>
          <w:szCs w:val="21"/>
        </w:rPr>
      </w:pPr>
      <w:r>
        <w:rPr>
          <w:rFonts w:ascii="宋体" w:hint="eastAsia"/>
          <w:color w:val="000000"/>
          <w:szCs w:val="21"/>
        </w:rPr>
        <w:t>（一）乙方未按照本合同或甲方（用户）对开始提供服务的时间或进度要求提供服务的违约责任。</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2.除甲乙双方另有约定外，如果乙方没有按照本合同或甲方（用户）对开始提供服务的时间或进度要求提供服务，视为乙方违约，甲方有权在不影响合同项下其他补救措施的情况下，要求乙方支付误期赔偿费，或从合同款、履约保证金中扣除误期赔偿费，每周按合同总价款的百分之零点五（0.5%）计收，最高不超过合同总价款的百分之十（10%）。一周按七（7）天计算，不足七（7）天按一周计算。</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3.出现上述没有按照时间和进度提供服务的情形时，甲方也可以选择解除合同，要求乙方退回甲方已支付款项、扣除履约保证金并追究乙方相应违约责任、赔偿甲方（用户）的全部损失。</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（二）乙方未按照本合同规定的售后服务响应要求提供服务的违约责任。</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在合同履行过程中，乙方未能按照本合同规定的售后服务响应要求提供服务的，除该情形为甲方原因导致或甲方同意的以外，视为乙方违约。甲方有权在不影响合同项下其他补救措施的情况下，要求乙方支付违约金，或从合同款、履约保证金中扣除违约金。违约金每次按合同总价款的百分之零点五（0.5%）计收，最高不超过合同总价款的百分之十（10%）。因乙方违约给甲方造成损失的，乙方另行赔偿全部损失。</w:t>
      </w:r>
    </w:p>
    <w:p>
      <w:pPr>
        <w:pStyle w:val="10112"/>
        <w:ind w:firstLine="420" w:firstLineChars="200"/>
        <w:rPr>
          <w:rFonts w:ascii="宋体" w:eastAsia="宋体" w:hint="eastAsia"/>
          <w:color w:val="000000"/>
          <w:sz w:val="21"/>
          <w:szCs w:val="21"/>
        </w:rPr>
      </w:pPr>
      <w:r>
        <w:rPr>
          <w:rFonts w:ascii="宋体" w:eastAsia="宋体" w:hint="eastAsia"/>
          <w:color w:val="000000"/>
          <w:sz w:val="21"/>
          <w:szCs w:val="21"/>
        </w:rPr>
        <w:t>（三）因乙方或乙方工作人员或乙方相关方的作为或不作为行为致使甲方</w:t>
      </w:r>
      <w:r>
        <w:rPr>
          <w:rFonts w:ascii="宋体" w:eastAsia="宋体" w:cs="宋体" w:hint="eastAsia"/>
          <w:color w:val="000000"/>
          <w:sz w:val="21"/>
          <w:szCs w:val="21"/>
          <w:lang w:bidi="ar-SA"/>
        </w:rPr>
        <w:t>（用户）</w:t>
      </w:r>
      <w:r>
        <w:rPr>
          <w:rFonts w:ascii="宋体" w:eastAsia="宋体" w:hint="eastAsia"/>
          <w:color w:val="000000"/>
          <w:sz w:val="21"/>
          <w:szCs w:val="21"/>
        </w:rPr>
        <w:t>或第三方遭受人员人身伤害或财产损失的，乙方应承担全部赔偿责任，赔偿全部损失，且甲方有权以全部履约保证金作为违约金，解除本合同。</w:t>
      </w:r>
    </w:p>
    <w:p>
      <w:pPr>
        <w:pStyle w:val="2171"/>
        <w:ind w:firstLine="420" w:firstLineChars="200"/>
        <w:rPr>
          <w:rFonts w:ascii="宋体" w:eastAsia="宋体" w:hint="eastAsia"/>
          <w:color w:val="000000"/>
          <w:sz w:val="21"/>
          <w:szCs w:val="21"/>
        </w:rPr>
      </w:pPr>
      <w:r>
        <w:rPr>
          <w:rFonts w:ascii="宋体" w:eastAsia="宋体" w:hint="eastAsia"/>
          <w:color w:val="000000"/>
          <w:sz w:val="21"/>
          <w:szCs w:val="21"/>
        </w:rPr>
        <w:t>（四）在本合同履行过程中，如果有证据证明乙方根本无法履行合同的，甲方可以行使不安抗辩权，有权解除合同，并扣除履约保证金，如因乙方不能履行给甲方</w:t>
      </w:r>
      <w:r>
        <w:rPr>
          <w:rFonts w:ascii="宋体" w:eastAsia="宋体" w:cs="宋体" w:hint="eastAsia"/>
          <w:color w:val="000000"/>
          <w:sz w:val="21"/>
          <w:szCs w:val="21"/>
          <w:lang w:bidi="ar-SA"/>
        </w:rPr>
        <w:t>（用户）</w:t>
      </w:r>
      <w:r>
        <w:rPr>
          <w:rFonts w:ascii="宋体" w:eastAsia="宋体" w:hint="eastAsia"/>
          <w:color w:val="000000"/>
          <w:sz w:val="21"/>
          <w:szCs w:val="21"/>
        </w:rPr>
        <w:t>造成其他损失的，乙方应继续承担赔偿责任。</w:t>
      </w:r>
    </w:p>
    <w:p>
      <w:pPr>
        <w:pStyle w:val="6013"/>
        <w:ind w:firstLine="420" w:firstLineChars="200"/>
        <w:rPr>
          <w:rFonts w:ascii="宋体" w:eastAsia="宋体" w:hint="eastAsia"/>
          <w:b/>
          <w:bCs/>
          <w:color w:val="000000"/>
          <w:sz w:val="21"/>
          <w:szCs w:val="21"/>
        </w:rPr>
      </w:pPr>
      <w:r>
        <w:rPr>
          <w:rFonts w:ascii="宋体" w:eastAsia="宋体" w:hint="eastAsia"/>
          <w:b/>
          <w:bCs/>
          <w:color w:val="000000"/>
          <w:sz w:val="21"/>
          <w:szCs w:val="21"/>
        </w:rPr>
        <w:t>第十二条 使用合同文件和资料</w:t>
      </w:r>
    </w:p>
    <w:p>
      <w:pPr>
        <w:pStyle w:val="6013"/>
        <w:ind w:firstLine="420" w:firstLineChars="200"/>
        <w:rPr>
          <w:rFonts w:ascii="宋体" w:eastAsia="宋体" w:hint="eastAsia"/>
          <w:color w:val="000000"/>
          <w:sz w:val="21"/>
          <w:szCs w:val="21"/>
        </w:rPr>
      </w:pPr>
      <w:r>
        <w:rPr>
          <w:rFonts w:ascii="宋体" w:eastAsia="宋体" w:hint="eastAsia"/>
          <w:color w:val="000000"/>
          <w:sz w:val="21"/>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3"/>
        <w:ind w:firstLine="420" w:firstLineChars="200"/>
        <w:rPr>
          <w:rFonts w:ascii="宋体" w:eastAsia="宋体" w:hint="eastAsia"/>
          <w:color w:val="000000"/>
          <w:sz w:val="21"/>
          <w:szCs w:val="21"/>
        </w:rPr>
      </w:pPr>
      <w:r>
        <w:rPr>
          <w:rFonts w:ascii="宋体" w:eastAsia="宋体" w:hint="eastAsia"/>
          <w:color w:val="000000"/>
          <w:sz w:val="21"/>
          <w:szCs w:val="21"/>
        </w:rPr>
        <w:t>（二）没有甲方（用户）事先书面同意，除了履行本合同之外，乙方不应使用、传播与本合同相关的任何文件、资料。</w:t>
      </w:r>
    </w:p>
    <w:p>
      <w:pPr>
        <w:ind w:firstLine="420" w:firstLineChars="200"/>
        <w:rPr>
          <w:rFonts w:ascii="宋体" w:hint="eastAsia"/>
          <w:b/>
          <w:bCs/>
          <w:color w:val="000000"/>
          <w:szCs w:val="21"/>
        </w:rPr>
      </w:pPr>
      <w:r>
        <w:rPr>
          <w:rFonts w:ascii="宋体" w:hint="eastAsia"/>
          <w:b/>
          <w:bCs/>
          <w:color w:val="000000"/>
          <w:szCs w:val="21"/>
        </w:rPr>
        <w:t>第十三条 知识产权</w:t>
      </w:r>
    </w:p>
    <w:p>
      <w:pPr>
        <w:ind w:firstLine="42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20" w:firstLineChars="200"/>
        <w:rPr>
          <w:rFonts w:ascii="宋体" w:hint="eastAsia"/>
          <w:color w:val="000000"/>
          <w:szCs w:val="21"/>
        </w:rPr>
      </w:pPr>
      <w:r>
        <w:rPr>
          <w:rFonts w:ascii="宋体" w:hint="eastAsia"/>
          <w:color w:val="000000"/>
          <w:szCs w:val="21"/>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20" w:firstLineChars="200"/>
        <w:rPr>
          <w:rFonts w:ascii="宋体" w:hint="eastAsia"/>
          <w:b/>
          <w:bCs/>
          <w:color w:val="000000"/>
          <w:szCs w:val="21"/>
        </w:rPr>
      </w:pPr>
      <w:r>
        <w:rPr>
          <w:rFonts w:ascii="宋体" w:hint="eastAsia"/>
          <w:b/>
          <w:bCs/>
          <w:color w:val="000000"/>
          <w:szCs w:val="21"/>
        </w:rPr>
        <w:t>第十四条 不可抗力及其免责</w:t>
      </w:r>
    </w:p>
    <w:p>
      <w:pPr>
        <w:ind w:firstLine="42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ind w:firstLine="42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ind w:firstLine="420" w:firstLineChars="200"/>
        <w:rPr>
          <w:rFonts w:ascii="宋体" w:hint="eastAsia"/>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2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ind w:firstLine="420" w:firstLineChars="200"/>
        <w:rPr>
          <w:rFonts w:ascii="宋体" w:hint="eastAsia"/>
          <w:b/>
          <w:bCs/>
          <w:color w:val="000000"/>
          <w:szCs w:val="21"/>
        </w:rPr>
      </w:pPr>
      <w:r>
        <w:rPr>
          <w:rFonts w:ascii="宋体" w:hint="eastAsia"/>
          <w:b/>
          <w:bCs/>
          <w:color w:val="000000"/>
          <w:szCs w:val="21"/>
        </w:rPr>
        <w:t>第十五条 争议的解决</w:t>
      </w:r>
    </w:p>
    <w:p>
      <w:pPr>
        <w:ind w:firstLine="420" w:firstLineChars="200"/>
        <w:rPr>
          <w:rFonts w:ascii="宋体" w:hint="eastAsia"/>
          <w:color w:val="000000"/>
          <w:szCs w:val="21"/>
        </w:rPr>
      </w:pPr>
      <w:r>
        <w:rPr>
          <w:rFonts w:ascii="宋体" w:hint="eastAsia"/>
          <w:color w:val="000000"/>
          <w:szCs w:val="21"/>
        </w:rPr>
        <w:t>（一）合同实施或与合同有关的一切争议应通过双方友好协商解决。如果友好协商开始</w:t>
      </w:r>
      <w:r>
        <w:rPr>
          <w:rFonts w:ascii="宋体" w:hint="eastAsia"/>
          <w:color w:val="000000"/>
          <w:szCs w:val="21"/>
          <w:u w:val="words"/>
        </w:rPr>
        <w:t>六十天</w:t>
      </w:r>
      <w:r>
        <w:rPr>
          <w:rFonts w:ascii="宋体" w:hint="eastAsia"/>
          <w:color w:val="000000"/>
          <w:szCs w:val="21"/>
        </w:rPr>
        <w:t>内还不能解决，争议应提交仲裁。</w:t>
      </w:r>
    </w:p>
    <w:p>
      <w:pPr>
        <w:ind w:firstLine="420" w:firstLineChars="200"/>
        <w:rPr>
          <w:rFonts w:ascii="宋体" w:hint="eastAsia"/>
          <w:color w:val="000000"/>
          <w:szCs w:val="21"/>
        </w:rPr>
      </w:pPr>
      <w:r>
        <w:rPr>
          <w:rFonts w:ascii="宋体" w:hint="eastAsia"/>
          <w:color w:val="000000"/>
          <w:szCs w:val="21"/>
        </w:rPr>
        <w:t>（二）仲裁应提交</w:t>
      </w:r>
      <w:r>
        <w:rPr>
          <w:rFonts w:ascii="宋体" w:hint="eastAsia"/>
          <w:color w:val="000000"/>
          <w:szCs w:val="21"/>
          <w:u w:val="words"/>
        </w:rPr>
        <w:t>北京仲裁委员会</w:t>
      </w:r>
      <w:r>
        <w:rPr>
          <w:rFonts w:ascii="宋体" w:hint="eastAsia"/>
          <w:color w:val="000000"/>
          <w:szCs w:val="21"/>
        </w:rPr>
        <w:t>进行，其仲裁裁决为最终裁决，对双方均有约束力。</w:t>
      </w:r>
    </w:p>
    <w:p>
      <w:pPr>
        <w:ind w:firstLine="420" w:firstLineChars="200"/>
        <w:rPr>
          <w:rFonts w:ascii="宋体" w:hint="eastAsia"/>
          <w:color w:val="000000"/>
          <w:szCs w:val="21"/>
        </w:rPr>
      </w:pPr>
      <w:r>
        <w:rPr>
          <w:rFonts w:ascii="宋体" w:hint="eastAsia"/>
          <w:color w:val="000000"/>
          <w:szCs w:val="21"/>
        </w:rPr>
        <w:t>（三）仲裁费除仲裁机关另有裁决外均应由败诉方负担。</w:t>
      </w:r>
    </w:p>
    <w:p>
      <w:pPr>
        <w:ind w:firstLine="420" w:firstLineChars="200"/>
        <w:rPr>
          <w:rFonts w:ascii="宋体" w:hint="eastAsia"/>
          <w:color w:val="000000"/>
          <w:szCs w:val="21"/>
        </w:rPr>
      </w:pPr>
      <w:r>
        <w:rPr>
          <w:rFonts w:ascii="宋体" w:hint="eastAsia"/>
          <w:color w:val="000000"/>
          <w:szCs w:val="21"/>
        </w:rPr>
        <w:t>（四）在仲裁期间，除正在进行仲裁的部分外，本合同其他部分应继续履行。</w:t>
      </w:r>
    </w:p>
    <w:p>
      <w:pPr>
        <w:ind w:firstLine="420" w:firstLineChars="200"/>
        <w:rPr>
          <w:rFonts w:ascii="宋体" w:hint="eastAsia"/>
          <w:b/>
          <w:bCs/>
          <w:color w:val="000000"/>
          <w:szCs w:val="21"/>
        </w:rPr>
      </w:pPr>
      <w:r>
        <w:rPr>
          <w:rFonts w:ascii="宋体" w:hint="eastAsia"/>
          <w:b/>
          <w:bCs/>
          <w:color w:val="000000"/>
          <w:szCs w:val="21"/>
        </w:rPr>
        <w:t>第十六条 合同修改或变更</w:t>
      </w:r>
    </w:p>
    <w:p>
      <w:pPr>
        <w:ind w:firstLine="420" w:firstLineChars="200"/>
        <w:rPr>
          <w:rFonts w:ascii="宋体" w:hint="eastAsia"/>
          <w:color w:val="000000"/>
          <w:szCs w:val="21"/>
        </w:rPr>
      </w:pPr>
      <w:r>
        <w:rPr>
          <w:rFonts w:ascii="宋体" w:hint="eastAsia"/>
          <w:color w:val="000000"/>
          <w:szCs w:val="21"/>
        </w:rPr>
        <w:t>（一）如无重大变故，甲乙双方不得擅自变更合同。</w:t>
      </w:r>
    </w:p>
    <w:p>
      <w:pPr>
        <w:ind w:firstLine="42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ind w:firstLine="420" w:firstLineChars="200"/>
        <w:rPr>
          <w:rFonts w:ascii="宋体" w:hint="eastAsia"/>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（三）在不改变合同其他条款的前提下，甲方（用户）有权在合同价款10%的范围内追加与合同标的相同的服务，并就此与乙方签订补充合同，乙方不得拒绝。</w:t>
      </w:r>
    </w:p>
    <w:p>
      <w:pPr>
        <w:ind w:firstLine="420" w:firstLineChars="200"/>
        <w:rPr>
          <w:rFonts w:ascii="宋体" w:hint="eastAsia"/>
          <w:b/>
          <w:bCs/>
          <w:color w:val="000000"/>
          <w:szCs w:val="21"/>
        </w:rPr>
      </w:pPr>
      <w:r>
        <w:rPr>
          <w:rFonts w:ascii="宋体" w:hint="eastAsia"/>
          <w:b/>
          <w:bCs/>
          <w:color w:val="000000"/>
          <w:szCs w:val="21"/>
        </w:rPr>
        <w:t>第十七条 合同中止</w:t>
      </w:r>
    </w:p>
    <w:p>
      <w:pPr>
        <w:ind w:firstLine="420" w:firstLineChars="200"/>
        <w:rPr>
          <w:rFonts w:ascii="宋体" w:hint="eastAsia"/>
          <w:color w:val="000000"/>
          <w:szCs w:val="21"/>
        </w:rPr>
      </w:pPr>
      <w:r>
        <w:rPr>
          <w:rFonts w:ascii="宋体" w:hint="eastAsia"/>
          <w:color w:val="000000"/>
          <w:szCs w:val="21"/>
        </w:rPr>
        <w:t>（一）合同在履行过程中，因采购计划调整，甲方（用户）可以要求中止履行，待计划确定后继续履行。</w:t>
      </w:r>
    </w:p>
    <w:p>
      <w:pPr>
        <w:ind w:firstLine="42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ind w:firstLine="420" w:firstLineChars="200"/>
        <w:rPr>
          <w:rFonts w:ascii="宋体" w:hint="eastAsia"/>
          <w:b/>
          <w:bCs/>
          <w:color w:val="000000"/>
          <w:szCs w:val="21"/>
        </w:rPr>
      </w:pPr>
      <w:r>
        <w:rPr>
          <w:rFonts w:ascii="宋体" w:hint="eastAsia"/>
          <w:b/>
          <w:bCs/>
          <w:color w:val="000000"/>
          <w:szCs w:val="21"/>
        </w:rPr>
        <w:t>第十八条 合同解除</w:t>
      </w:r>
    </w:p>
    <w:p>
      <w:pPr>
        <w:ind w:firstLine="42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20" w:firstLineChars="200"/>
        <w:rPr>
          <w:rFonts w:ascii="宋体" w:hint="eastAsia"/>
          <w:color w:val="000000"/>
          <w:szCs w:val="21"/>
        </w:rPr>
      </w:pPr>
      <w:r>
        <w:rPr>
          <w:rFonts w:ascii="宋体" w:hint="eastAsia"/>
          <w:color w:val="000000"/>
          <w:szCs w:val="21"/>
        </w:rPr>
        <w:t>（一）因违约解除合同</w:t>
      </w:r>
    </w:p>
    <w:p>
      <w:pPr>
        <w:ind w:firstLine="420" w:firstLineChars="200"/>
        <w:rPr>
          <w:rFonts w:ascii="宋体" w:hint="eastAsia"/>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ind w:firstLine="420" w:firstLineChars="200"/>
        <w:rPr>
          <w:rFonts w:ascii="宋体" w:hint="eastAsia"/>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pStyle w:val="6611"/>
        <w:ind w:firstLine="420" w:firstLineChars="200"/>
        <w:rPr>
          <w:rFonts w:ascii="宋体" w:eastAsia="宋体" w:hint="eastAsia"/>
          <w:color w:val="000000"/>
          <w:sz w:val="21"/>
          <w:szCs w:val="21"/>
        </w:rPr>
      </w:pPr>
      <w:r>
        <w:rPr>
          <w:rFonts w:ascii="宋体" w:eastAsia="宋体" w:hint="eastAsia"/>
          <w:color w:val="000000"/>
          <w:sz w:val="21"/>
          <w:szCs w:val="21"/>
        </w:rPr>
        <w:t>（2）如果甲方（用户）发现乙方在本合同的竞争或实施中有欺诈行为。</w:t>
      </w:r>
    </w:p>
    <w:p>
      <w:pPr>
        <w:ind w:firstLine="420" w:firstLineChars="200"/>
        <w:rPr>
          <w:rFonts w:ascii="宋体" w:hint="eastAsia"/>
          <w:color w:val="000000"/>
          <w:szCs w:val="21"/>
        </w:rPr>
      </w:pPr>
      <w:r>
        <w:rPr>
          <w:rFonts w:ascii="宋体" w:hint="eastAsia"/>
          <w:color w:val="000000"/>
          <w:szCs w:val="21"/>
        </w:rPr>
        <w:t>（3）如果乙方未能履行合同规定的其他任何义务。</w:t>
      </w:r>
    </w:p>
    <w:p>
      <w:pPr>
        <w:ind w:firstLine="420" w:firstLineChars="200"/>
        <w:rPr>
          <w:rFonts w:ascii="宋体" w:hint="eastAsia"/>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ind w:firstLine="420" w:firstLineChars="200"/>
        <w:rPr>
          <w:rFonts w:ascii="宋体" w:hint="eastAsia"/>
          <w:color w:val="000000"/>
          <w:szCs w:val="21"/>
        </w:rPr>
      </w:pPr>
      <w:r>
        <w:rPr>
          <w:rFonts w:ascii="宋体" w:hint="eastAsia"/>
          <w:color w:val="000000"/>
          <w:szCs w:val="21"/>
        </w:rPr>
        <w:t>（二）因破产而解除合同</w:t>
      </w:r>
    </w:p>
    <w:p>
      <w:pPr>
        <w:ind w:firstLine="420" w:firstLineChars="200"/>
        <w:rPr>
          <w:rFonts w:ascii="宋体" w:hint="eastAsia"/>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ind w:firstLine="420" w:firstLineChars="200"/>
        <w:rPr>
          <w:rFonts w:ascii="宋体" w:hint="eastAsia"/>
          <w:color w:val="000000"/>
          <w:szCs w:val="21"/>
        </w:rPr>
      </w:pPr>
      <w:r>
        <w:rPr>
          <w:rFonts w:ascii="宋体" w:hint="eastAsia"/>
          <w:color w:val="000000"/>
          <w:szCs w:val="21"/>
        </w:rPr>
        <w:t>2.该解除合同将不损害或影响甲方</w:t>
      </w:r>
      <w:r>
        <w:rPr>
          <w:rFonts w:ascii="宋体" w:cs="宋体" w:hint="eastAsia"/>
          <w:color w:val="000000"/>
          <w:szCs w:val="21"/>
          <w:lang w:bidi="ar-SA"/>
        </w:rPr>
        <w:t>（用户）</w:t>
      </w:r>
      <w:r>
        <w:rPr>
          <w:rFonts w:ascii="宋体" w:hint="eastAsia"/>
          <w:color w:val="000000"/>
          <w:szCs w:val="21"/>
        </w:rPr>
        <w:t>已经采取或将要采取的任何行动或补救措施的权利。</w:t>
      </w:r>
    </w:p>
    <w:p>
      <w:pPr>
        <w:ind w:firstLine="420" w:firstLineChars="200"/>
        <w:rPr>
          <w:rFonts w:ascii="宋体" w:hint="eastAsia"/>
          <w:color w:val="000000"/>
          <w:szCs w:val="21"/>
        </w:rPr>
      </w:pPr>
      <w:r>
        <w:rPr>
          <w:rFonts w:ascii="宋体" w:hint="eastAsia"/>
          <w:color w:val="000000"/>
          <w:szCs w:val="21"/>
        </w:rPr>
        <w:t>（三）其他解除合同情况</w:t>
      </w:r>
    </w:p>
    <w:p>
      <w:pPr>
        <w:ind w:firstLine="420" w:firstLineChars="200"/>
        <w:rPr>
          <w:rFonts w:ascii="宋体" w:hint="eastAsia"/>
          <w:color w:val="000000"/>
          <w:szCs w:val="21"/>
        </w:rPr>
      </w:pPr>
      <w:r>
        <w:rPr>
          <w:rFonts w:ascii="宋体" w:hint="eastAsia"/>
          <w:color w:val="000000"/>
          <w:szCs w:val="21"/>
        </w:rPr>
        <w:t>1.若合同继续履行将给甲方造成重大损失的，甲方（用户）可以解除合同而不给予乙方任何补偿。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ind w:firstLine="420" w:firstLineChars="200"/>
        <w:rPr>
          <w:rFonts w:ascii="宋体" w:hint="eastAsia"/>
          <w:b/>
          <w:bCs/>
          <w:color w:val="000000"/>
          <w:szCs w:val="21"/>
        </w:rPr>
      </w:pPr>
      <w:r>
        <w:rPr>
          <w:rFonts w:ascii="宋体" w:hint="eastAsia"/>
          <w:b/>
          <w:bCs/>
          <w:color w:val="000000"/>
          <w:szCs w:val="21"/>
        </w:rPr>
        <w:t>第十九条 合同终止</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（一）本合同因下列原因而终止：</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1.本合同正常履行完毕；</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2.合同双方协议终止本合同的履行；</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3.不可抗力事件导致本合同无法履行或履行不必要；</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4.任何一方行使解除权，解除本合同。</w:t>
      </w:r>
    </w:p>
    <w:p>
      <w:pPr>
        <w:pStyle w:val="3010"/>
        <w:autoSpaceDN w:val="0"/>
        <w:spacing w:line="560" w:lineRule="exact"/>
        <w:ind w:firstLine="420" w:firstLineChars="200"/>
        <w:jc w:val="left"/>
        <w:rPr>
          <w:rFonts w:ascii="宋体" w:cs="微软雅黑" w:hint="eastAsia"/>
          <w:snapToGrid w:val="0"/>
          <w:kern w:val="0"/>
          <w:szCs w:val="21"/>
        </w:rPr>
      </w:pPr>
      <w:bookmarkStart w:id="70" w:name="孔子"/>
      <w:bookmarkEnd w:id="70"/>
      <w:r>
        <w:rPr>
          <w:rFonts w:ascii="宋体" w:cs="微软雅黑" w:hint="eastAsia"/>
          <w:snapToGrid w:val="0"/>
          <w:kern w:val="0"/>
          <w:szCs w:val="21"/>
          <w:lang w:bidi="ar-SA"/>
        </w:rPr>
        <w:t>（二）对本合同终止有过错的一方应赔偿另一方因合同终止而受到的损失。</w:t>
      </w:r>
    </w:p>
    <w:p>
      <w:pPr>
        <w:ind w:firstLine="420" w:firstLineChars="200"/>
        <w:rPr>
          <w:rFonts w:ascii="宋体" w:hint="eastAsia"/>
          <w:b/>
          <w:bCs/>
          <w:color w:val="000000"/>
          <w:szCs w:val="21"/>
        </w:rPr>
      </w:pPr>
      <w:r>
        <w:rPr>
          <w:rFonts w:ascii="宋体" w:hint="eastAsia"/>
          <w:b/>
          <w:bCs/>
          <w:color w:val="000000"/>
          <w:szCs w:val="21"/>
        </w:rPr>
        <w:t>第二十条 合同转让和分包</w:t>
      </w:r>
    </w:p>
    <w:p>
      <w:pPr>
        <w:ind w:firstLine="42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ind w:firstLine="420" w:firstLineChars="200"/>
        <w:rPr>
          <w:rFonts w:ascii="宋体" w:hint="eastAsia"/>
          <w:color w:val="000000"/>
          <w:szCs w:val="21"/>
        </w:rPr>
      </w:pPr>
      <w:r>
        <w:rPr>
          <w:rFonts w:ascii="宋体" w:hint="eastAsia"/>
          <w:color w:val="000000"/>
          <w:szCs w:val="21"/>
        </w:rPr>
        <w:t>（二）除经甲方（用户）事先书面同意外，乙方不得以任何形式将合同分包。</w:t>
      </w:r>
    </w:p>
    <w:p>
      <w:pPr>
        <w:ind w:firstLine="42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乙方擅自转包或分包的，甲方有权解除本合同，没收履约保证金，并要求乙方退还已支付的全部款项，赔偿甲方（用户）全部损失及支出的合理费用。</w:t>
      </w:r>
    </w:p>
    <w:p>
      <w:pPr>
        <w:ind w:firstLine="420" w:firstLineChars="200"/>
        <w:rPr>
          <w:rFonts w:ascii="宋体" w:hint="eastAsia"/>
          <w:b/>
          <w:bCs/>
          <w:color w:val="000000"/>
          <w:szCs w:val="21"/>
        </w:rPr>
      </w:pPr>
      <w:r>
        <w:rPr>
          <w:rFonts w:ascii="宋体" w:hint="eastAsia"/>
          <w:b/>
          <w:bCs/>
          <w:color w:val="000000"/>
          <w:szCs w:val="21"/>
        </w:rPr>
        <w:t>第二十一条 其他</w:t>
      </w:r>
    </w:p>
    <w:p>
      <w:pPr>
        <w:ind w:firstLine="420" w:firstLineChars="200"/>
        <w:rPr>
          <w:rFonts w:ascii="宋体" w:hint="eastAsia"/>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ascii="宋体" w:hint="eastAsia"/>
          <w:b/>
          <w:bCs/>
          <w:color w:val="000000"/>
          <w:szCs w:val="21"/>
        </w:rPr>
      </w:pPr>
      <w:r>
        <w:rPr>
          <w:rFonts w:ascii="宋体" w:hint="eastAsia"/>
          <w:b/>
          <w:bCs/>
          <w:color w:val="000000"/>
          <w:szCs w:val="21"/>
        </w:rPr>
        <w:t>第二十二条 合同生效</w:t>
      </w:r>
    </w:p>
    <w:p>
      <w:pPr>
        <w:ind w:firstLine="420" w:firstLineChars="200"/>
        <w:rPr>
          <w:rFonts w:ascii="宋体" w:hint="eastAsia"/>
          <w:color w:val="000000"/>
          <w:szCs w:val="21"/>
        </w:rPr>
      </w:pPr>
      <w:r>
        <w:rPr>
          <w:rFonts w:ascii="宋体" w:hint="eastAsia"/>
          <w:color w:val="000000"/>
          <w:szCs w:val="21"/>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20" w:firstLineChars="200"/>
        <w:jc w:val="left"/>
        <w:rPr>
          <w:rFonts w:ascii="宋体" w:cs="宋体" w:hint="eastAsia"/>
          <w:snapToGrid w:val="0"/>
          <w:kern w:val="0"/>
          <w:szCs w:val="21"/>
        </w:rPr>
      </w:pPr>
      <w:r>
        <w:rPr>
          <w:rFonts w:ascii="宋体" w:hint="eastAsia"/>
          <w:color w:val="000000"/>
          <w:szCs w:val="21"/>
        </w:rPr>
        <w:t>（二）</w:t>
      </w:r>
      <w:r>
        <w:rPr>
          <w:rFonts w:ascii="宋体" w:cs="宋体" w:hint="eastAsia"/>
          <w:snapToGrid w:val="0"/>
          <w:kern w:val="0"/>
          <w:szCs w:val="21"/>
          <w:lang w:bidi="ar-SA"/>
        </w:rPr>
        <w:t>本合同签订后，由海关总署</w:t>
      </w:r>
      <w:r>
        <w:rPr>
          <w:rFonts w:ascii="宋体" w:cs="宋体" w:hint="eastAsia"/>
          <w:snapToGrid w:val="0"/>
          <w:kern w:val="0"/>
          <w:szCs w:val="21"/>
          <w:u w:val="single"/>
          <w:lang w:bidi="ar-SA"/>
        </w:rPr>
        <w:t>（内设部门名称）</w:t>
      </w:r>
      <w:r>
        <w:rPr>
          <w:rFonts w:ascii="宋体" w:cs="宋体" w:hint="eastAsia"/>
          <w:snapToGrid w:val="0"/>
          <w:kern w:val="0"/>
          <w:szCs w:val="21"/>
          <w:lang w:bidi="ar-SA"/>
        </w:rPr>
        <w:t>执行资金支付、履约保证金收退、试运行或合同验收等合同履约一切事宜。（适用于采购中心与乙方签订合同的情形）</w:t>
      </w:r>
    </w:p>
    <w:p>
      <w:pPr>
        <w:ind w:firstLine="420" w:firstLineChars="200"/>
        <w:rPr>
          <w:rFonts w:ascii="宋体" w:hint="eastAsia"/>
          <w:color w:val="000000"/>
          <w:szCs w:val="21"/>
        </w:rPr>
      </w:pPr>
    </w:p>
    <w:p>
      <w:pPr>
        <w:pStyle w:val="5610"/>
        <w:spacing w:line="48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lang w:bidi="ar-SA"/>
        </w:rPr>
        <w:t>项目需求书</w:t>
      </w:r>
    </w:p>
    <w:p>
      <w:pPr>
        <w:ind w:firstLine="420" w:firstLineChars="200"/>
        <w:rPr>
          <w:rFonts w:ascii="宋体" w:hint="eastAsia"/>
          <w:color w:val="000000"/>
          <w:szCs w:val="21"/>
        </w:rPr>
      </w:pPr>
      <w:r>
        <w:rPr>
          <w:rFonts w:ascii="宋体" w:hint="eastAsia"/>
          <w:color w:val="000000"/>
          <w:szCs w:val="21"/>
        </w:rPr>
        <w:t>附件二：分项报价表</w:t>
      </w:r>
    </w:p>
    <w:p>
      <w:pPr>
        <w:ind w:firstLine="420" w:firstLineChars="200"/>
        <w:rPr>
          <w:rFonts w:ascii="宋体" w:hint="eastAsia"/>
          <w:color w:val="000000"/>
          <w:szCs w:val="21"/>
        </w:rPr>
      </w:pPr>
      <w:r>
        <w:rPr>
          <w:rFonts w:ascii="宋体" w:hint="eastAsia"/>
          <w:color w:val="000000"/>
          <w:szCs w:val="21"/>
        </w:rPr>
        <w:t>附件三：</w:t>
      </w:r>
      <w:r>
        <w:rPr>
          <w:rFonts w:ascii="宋体" w:cs="宋体" w:hint="eastAsia"/>
          <w:color w:val="000000"/>
          <w:szCs w:val="21"/>
          <w:lang w:bidi="ar-SA"/>
        </w:rPr>
        <w:t>政务数据安全管理承诺书</w:t>
      </w:r>
    </w:p>
    <w:p>
      <w:pPr>
        <w:ind w:firstLine="420" w:firstLineChars="200"/>
        <w:rPr>
          <w:rFonts w:ascii="宋体" w:hint="eastAsia"/>
          <w:color w:val="000000"/>
          <w:szCs w:val="21"/>
        </w:rPr>
      </w:pPr>
      <w:r>
        <w:rPr>
          <w:rFonts w:ascii="宋体" w:hint="eastAsia"/>
          <w:color w:val="000000"/>
          <w:szCs w:val="21"/>
        </w:rPr>
        <w:t>附件四：相关方案</w:t>
      </w:r>
    </w:p>
    <w:p>
      <w:pPr>
        <w:ind w:firstLine="719"/>
        <w:rPr>
          <w:rFonts w:ascii="宋体" w:hint="eastAsia"/>
          <w:color w:val="000000"/>
          <w:szCs w:val="21"/>
          <w:highlight w:val="yellow"/>
        </w:rPr>
      </w:pPr>
      <w:r>
        <w:rPr>
          <w:rFonts w:ascii="宋体" w:hint="eastAsia"/>
          <w:color w:val="000000"/>
          <w:szCs w:val="21"/>
        </w:rPr>
        <w:t>附件五：海关总署本级政府采购合同代签委托书</w:t>
      </w:r>
    </w:p>
    <w:p>
      <w:pPr>
        <w:rPr>
          <w:color w:val="000000"/>
        </w:rPr>
      </w:pPr>
      <w:r>
        <w:rPr>
          <w:color w:val="000000"/>
        </w:rPr>
        <w:t>（附件二、四内容与投标/响应文件一致。）</w:t>
      </w:r>
    </w:p>
    <w:p>
      <w:pPr>
        <w:rPr>
          <w:rFonts w:hint="eastAsia"/>
          <w:color w:val="000000"/>
        </w:rPr>
      </w:pPr>
    </w:p>
    <w:p>
      <w:pPr>
        <w:rPr>
          <w:rFonts w:hint="eastAsia"/>
          <w:color w:val="000000"/>
        </w:rPr>
      </w:pPr>
      <w:r>
        <w:rPr>
          <w:rFonts w:hint="eastAsia"/>
          <w:color w:val="000000"/>
        </w:rPr>
        <w:t>甲方（公章</w:t>
      </w:r>
      <w:r>
        <w:rPr>
          <w:rFonts w:hint="eastAsia"/>
          <w:snapToGrid w:val="0"/>
          <w:color w:val="000000"/>
        </w:rPr>
        <w:t>或合同章</w:t>
      </w:r>
      <w:r>
        <w:rPr>
          <w:rFonts w:hint="eastAsia"/>
          <w:color w:val="000000"/>
        </w:rPr>
        <w:t>）：             乙方（公章</w:t>
      </w:r>
      <w:r>
        <w:rPr>
          <w:rFonts w:hint="eastAsia"/>
          <w:snapToGrid w:val="0"/>
          <w:color w:val="000000"/>
        </w:rPr>
        <w:t>或合同章</w:t>
      </w:r>
      <w:r>
        <w:rPr>
          <w:rFonts w:hint="eastAsia"/>
          <w:color w:val="000000"/>
        </w:rPr>
        <w:t>）：</w:t>
      </w:r>
    </w:p>
    <w:p>
      <w:pPr>
        <w:rPr>
          <w:rFonts w:hint="eastAsia"/>
          <w:color w:val="000000"/>
        </w:rPr>
      </w:pPr>
      <w:r>
        <w:rPr>
          <w:rFonts w:hint="eastAsia"/>
          <w:color w:val="000000"/>
        </w:rPr>
        <w:t>法定代表人                        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 xml:space="preserve">日期： 年  月  日                 日期：   年   月   日    </w:t>
      </w:r>
    </w:p>
    <w:p>
      <w:pPr>
        <w:rPr>
          <w:rFonts w:hint="eastAsia"/>
          <w:color w:val="000000"/>
        </w:rPr>
      </w:pPr>
      <w:r>
        <w:rPr>
          <w:rFonts w:hint="eastAsia"/>
          <w:color w:val="000000"/>
        </w:rPr>
        <w:t>联系人:                            联系人：</w:t>
      </w:r>
    </w:p>
    <w:p>
      <w:pPr>
        <w:rPr>
          <w:rFonts w:hint="eastAsia"/>
          <w:color w:val="000000"/>
        </w:rPr>
      </w:pPr>
      <w:r>
        <w:rPr>
          <w:rFonts w:hint="eastAsia"/>
          <w:color w:val="000000"/>
        </w:rPr>
        <w:t>电话:                              电话：</w:t>
      </w:r>
    </w:p>
    <w:p>
      <w:pPr>
        <w:rPr>
          <w:rFonts w:hint="eastAsia"/>
          <w:color w:val="000000"/>
        </w:rPr>
      </w:pPr>
      <w:r>
        <w:rPr>
          <w:color w:val="000000"/>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44"/>
          <w:szCs w:val="44"/>
        </w:rPr>
      </w:pPr>
      <w:r>
        <w:rPr>
          <w:rFonts w:ascii="方正小标宋_GBK" w:eastAsia="方正小标宋_GBK" w:hint="eastAsia"/>
          <w:sz w:val="44"/>
          <w:szCs w:val="44"/>
        </w:rPr>
        <w:t>政务数据安全管理承诺书</w:t>
      </w:r>
    </w:p>
    <w:p>
      <w:pPr>
        <w:pStyle w:val="67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640" w:firstLineChars="200"/>
        <w:rPr>
          <w:rFonts w:ascii="方正仿宋_GBK" w:eastAsia="方正仿宋_GBK" w:hint="eastAsia"/>
          <w:sz w:val="32"/>
          <w:szCs w:val="32"/>
        </w:rPr>
      </w:pPr>
      <w:r>
        <w:rPr>
          <w:rFonts w:ascii="方正仿宋_GBK" w:eastAsia="方正仿宋_GBK" w:hint="eastAsia"/>
          <w:sz w:val="32"/>
          <w:szCs w:val="32"/>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二、乙方承诺不将其承包的项目全部转包，不将中标项目支解后分别向其他企业或者个人转让，不将项目主体和关键部分分包。</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ascii="方正仿宋_GBK" w:eastAsia="方正仿宋_GBK" w:hint="eastAsia"/>
          <w:sz w:val="32"/>
          <w:szCs w:val="32"/>
        </w:rPr>
      </w:pPr>
      <w:r>
        <w:rPr>
          <w:rFonts w:ascii="方正仿宋_GBK" w:eastAsia="方正仿宋_GBK" w:hint="eastAsia"/>
          <w:sz w:val="32"/>
          <w:szCs w:val="32"/>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ascii="方正仿宋_GBK" w:eastAsia="方正仿宋_GBK" w:hint="eastAsia"/>
          <w:sz w:val="32"/>
          <w:szCs w:val="32"/>
        </w:rPr>
      </w:pPr>
    </w:p>
    <w:p>
      <w:pPr>
        <w:pStyle w:val="6710"/>
        <w:spacing w:line="560" w:lineRule="exact"/>
        <w:jc w:val="right"/>
        <w:rPr>
          <w:rFonts w:ascii="方正仿宋_GBK" w:eastAsia="方正仿宋_GBK" w:hint="eastAsia"/>
          <w:sz w:val="32"/>
          <w:szCs w:val="32"/>
        </w:rPr>
      </w:pPr>
      <w:r>
        <w:rPr>
          <w:rFonts w:ascii="方正仿宋_GBK" w:eastAsia="方正仿宋_GBK" w:hint="eastAsia"/>
          <w:sz w:val="32"/>
          <w:szCs w:val="32"/>
        </w:rPr>
        <w:t>乙方：XX公司</w:t>
      </w:r>
    </w:p>
    <w:p>
      <w:pPr>
        <w:pStyle w:val="6110"/>
        <w:tabs>
          <w:tab w:val="left" w:pos="2760"/>
        </w:tabs>
        <w:spacing w:line="560" w:lineRule="exact"/>
        <w:ind w:firstLine="5280" w:firstLineChars="1650"/>
        <w:jc w:val="left"/>
        <w:rPr>
          <w:rFonts w:ascii="方正仿宋_GBK" w:eastAsia="方正仿宋_GBK" w:hint="eastAsia"/>
          <w:b/>
          <w:snapToGrid w:val="0"/>
          <w:kern w:val="0"/>
          <w:sz w:val="32"/>
          <w:szCs w:val="32"/>
        </w:rPr>
      </w:pPr>
      <w:r>
        <w:rPr>
          <w:rFonts w:ascii="方正仿宋_GBK" w:eastAsia="方正仿宋_GBK" w:hint="eastAsia"/>
          <w:sz w:val="32"/>
          <w:szCs w:val="32"/>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附件四：相关方案</w:t>
      </w:r>
    </w:p>
    <w:p>
      <w:pPr>
        <w:pStyle w:val="10210"/>
        <w:tabs>
          <w:tab w:val="left" w:pos="2760"/>
        </w:tabs>
        <w:spacing w:line="560" w:lineRule="exact"/>
        <w:jc w:val="left"/>
        <w:rPr>
          <w:rFonts w:eastAsia="方正仿宋_GBK"/>
          <w:b/>
          <w:snapToGrid w:val="0"/>
          <w:kern w:val="0"/>
          <w:sz w:val="32"/>
          <w:szCs w:val="32"/>
        </w:rPr>
      </w:pPr>
      <w:r>
        <w:rPr>
          <w:color w:val="000000"/>
        </w:rPr>
        <w:br w:type="page"/>
      </w:r>
      <w:r>
        <w:rPr>
          <w:rFonts w:eastAsia="方正仿宋_GBK"/>
          <w:b/>
          <w:snapToGrid w:val="0"/>
          <w:color w:val="auto"/>
          <w:kern w:val="0"/>
          <w:sz w:val="32"/>
          <w:szCs w:val="32"/>
        </w:rPr>
        <w:t>附件五：海关总署本级政府采购合同代签委托书</w:t>
      </w:r>
    </w:p>
    <w:p>
      <w:pPr>
        <w:pStyle w:val="8102"/>
      </w:pPr>
    </w:p>
    <w:p>
      <w:pPr>
        <w:pStyle w:val="1188"/>
        <w:spacing w:after="0" w:line="560" w:lineRule="exact"/>
        <w:jc w:val="center"/>
        <w:rPr>
          <w:rFonts w:ascii="方正小标宋_GBK" w:eastAsia="方正小标宋_GBK" w:cs="Times New Roman" w:hint="eastAsia"/>
          <w:sz w:val="40"/>
          <w:szCs w:val="40"/>
        </w:rPr>
      </w:pPr>
      <w:r>
        <w:rPr>
          <w:rFonts w:ascii="方正小标宋_GBK" w:eastAsia="方正小标宋_GBK" w:cs="Times New Roman" w:hint="eastAsia"/>
          <w:sz w:val="40"/>
          <w:szCs w:val="40"/>
          <w:lang w:bidi="ar-SA"/>
        </w:rPr>
        <w:t>海关总署本级政府采购合同代签委托书</w:t>
      </w:r>
    </w:p>
    <w:p>
      <w:pPr>
        <w:pStyle w:val="1188"/>
        <w:spacing w:after="0" w:line="560" w:lineRule="exact"/>
        <w:jc w:val="center"/>
        <w:rPr>
          <w:rFonts w:ascii="Times New Roman" w:eastAsia="方正仿宋_GBK" w:hAnsi="Times New Roman" w:cs="Times New Roman"/>
          <w:sz w:val="32"/>
          <w:szCs w:val="32"/>
        </w:rPr>
      </w:pPr>
    </w:p>
    <w:p>
      <w:pPr>
        <w:pStyle w:val="1188"/>
        <w:spacing w:after="0" w:line="560" w:lineRule="exact"/>
        <w:rPr>
          <w:rFonts w:ascii="Times New Roman" w:eastAsia="方正仿宋_GBK" w:hAnsi="Times New Roman" w:cs="Times New Roman"/>
          <w:sz w:val="32"/>
          <w:szCs w:val="32"/>
        </w:rPr>
      </w:pPr>
    </w:p>
    <w:p>
      <w:pPr>
        <w:pStyle w:val="1188"/>
        <w:spacing w:after="0"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根据《中华人民共和国政府采购法》第四十三条规定</w:t>
      </w:r>
      <w:r>
        <w:rPr>
          <w:rFonts w:ascii="方正仿宋_GBK" w:eastAsia="方正仿宋_GBK" w:cs="Times New Roman" w:hint="eastAsia"/>
          <w:sz w:val="32"/>
          <w:szCs w:val="32"/>
          <w:lang w:bidi="ar-SA"/>
        </w:rPr>
        <w:t>“采购人可以委托采购代理机构代表其与供应商签订政府采购合同。由采购代理机构以采购人名义签订合同的，应当提交采购人的授权委托书，作为合同附件”</w:t>
      </w:r>
      <w:r>
        <w:rPr>
          <w:rFonts w:ascii="Times New Roman" w:eastAsia="方正仿宋_GBK" w:hAnsi="Times New Roman" w:cs="Times New Roman"/>
          <w:sz w:val="32"/>
          <w:szCs w:val="32"/>
          <w:lang w:bidi="ar-SA"/>
        </w:rPr>
        <w:t>。按照职能分工，兹委托你中心对________________政府</w:t>
      </w:r>
      <w:r>
        <w:rPr>
          <w:rFonts w:ascii="Times New Roman" w:eastAsia="方正仿宋_GBK" w:hAnsi="Times New Roman" w:cs="Times New Roman" w:hint="eastAsia"/>
          <w:sz w:val="32"/>
          <w:szCs w:val="32"/>
          <w:lang w:bidi="ar-SA"/>
        </w:rPr>
        <w:t>采购项目</w:t>
      </w:r>
      <w:r>
        <w:rPr>
          <w:rFonts w:ascii="Times New Roman" w:eastAsia="方正仿宋_GBK" w:hAnsi="Times New Roman" w:cs="Times New Roman"/>
          <w:sz w:val="32"/>
          <w:szCs w:val="32"/>
          <w:lang w:bidi="ar-SA"/>
        </w:rPr>
        <w:t>根据《中华人民共和国民法典》《中华人民共和国政府采购法》《中华人民共和国政府采购法实施条例》等法律法规代签合同。在代签合同后，由我部门承担资金支付、履约保证金收退、项目或合同验收等合同履约一切事宜。</w:t>
      </w:r>
    </w:p>
    <w:p>
      <w:pPr>
        <w:pStyle w:val="1188"/>
        <w:spacing w:after="0"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其他委托事项：</w:t>
      </w:r>
    </w:p>
    <w:p>
      <w:pPr>
        <w:pStyle w:val="1188"/>
        <w:spacing w:after="0"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lang w:bidi="ar-SA"/>
        </w:rPr>
        <w:t>□</w:t>
      </w:r>
      <w:r>
        <w:rPr>
          <w:rFonts w:ascii="Times New Roman" w:eastAsia="方正仿宋_GBK" w:hAnsi="Times New Roman" w:cs="Times New Roman"/>
          <w:sz w:val="32"/>
          <w:szCs w:val="32"/>
          <w:lang w:bidi="ar-SA"/>
        </w:rPr>
        <w:t>1、在中国政府采购网进行合同公告</w:t>
      </w:r>
    </w:p>
    <w:p>
      <w:pPr>
        <w:pStyle w:val="1188"/>
        <w:spacing w:after="0"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lang w:bidi="ar-SA"/>
        </w:rPr>
        <w:t>□</w:t>
      </w:r>
      <w:r>
        <w:rPr>
          <w:rFonts w:ascii="Times New Roman" w:eastAsia="方正仿宋_GBK" w:hAnsi="Times New Roman" w:cs="Times New Roman"/>
          <w:sz w:val="32"/>
          <w:szCs w:val="32"/>
          <w:lang w:bidi="ar-SA"/>
        </w:rPr>
        <w:t>2、其他：_____________________</w:t>
      </w:r>
    </w:p>
    <w:p>
      <w:pPr>
        <w:pStyle w:val="1188"/>
        <w:spacing w:after="0" w:line="560" w:lineRule="exact"/>
        <w:ind w:firstLine="640" w:firstLineChars="200"/>
        <w:rPr>
          <w:rFonts w:ascii="Times New Roman" w:eastAsia="方正仿宋_GBK" w:hAnsi="Times New Roman" w:cs="Times New Roman"/>
          <w:sz w:val="32"/>
          <w:szCs w:val="32"/>
        </w:rPr>
      </w:pPr>
    </w:p>
    <w:p>
      <w:pPr>
        <w:pStyle w:val="1188"/>
        <w:spacing w:after="0" w:line="560" w:lineRule="exact"/>
        <w:ind w:firstLine="640" w:firstLineChars="200"/>
        <w:rPr>
          <w:rFonts w:ascii="Times New Roman" w:eastAsia="方正仿宋_GBK" w:hAnsi="Times New Roman" w:cs="Times New Roman"/>
          <w:sz w:val="32"/>
          <w:szCs w:val="32"/>
        </w:rPr>
      </w:pPr>
    </w:p>
    <w:p>
      <w:pPr>
        <w:pStyle w:val="1188"/>
        <w:spacing w:after="0" w:line="560" w:lineRule="exact"/>
        <w:ind w:left="0"/>
        <w:rPr>
          <w:rFonts w:ascii="Times New Roman" w:eastAsia="方正仿宋_GBK" w:hAnsi="Times New Roman" w:cs="Times New Roman"/>
          <w:sz w:val="32"/>
          <w:szCs w:val="32"/>
        </w:rPr>
      </w:pPr>
    </w:p>
    <w:p>
      <w:pPr>
        <w:pStyle w:val="1188"/>
        <w:spacing w:after="0" w:line="560" w:lineRule="exact"/>
        <w:ind w:left="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 xml:space="preserve">                           委托方：</w:t>
      </w:r>
    </w:p>
    <w:p>
      <w:pPr>
        <w:pStyle w:val="1188"/>
        <w:spacing w:after="0" w:line="560" w:lineRule="exact"/>
        <w:ind w:left="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 xml:space="preserve">                           年    月    日</w:t>
      </w:r>
    </w:p>
    <w:p>
      <w:pPr>
        <w:jc w:val="center"/>
        <w:rPr>
          <w:rFonts w:eastAsia="方正小标宋_GBK"/>
          <w:color w:val="0000FF"/>
          <w:sz w:val="44"/>
        </w:rPr>
      </w:pPr>
      <w:bookmarkEnd w:id="69"/>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71" w:name="_Toc31833533"/>
      <w:r>
        <w:rPr>
          <w:rFonts w:ascii="宋体" w:hint="eastAsia"/>
          <w:b/>
          <w:color w:val="000000"/>
          <w:kern w:val="0"/>
          <w:sz w:val="30"/>
          <w:szCs w:val="30"/>
        </w:rPr>
        <w:t>第六部分  响应文件格式</w:t>
      </w:r>
      <w:bookmarkEnd w:id="71"/>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72"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73" w:name="_Toc327979114"/>
      <w:bookmarkStart w:id="74" w:name="_Toc214357458"/>
      <w:bookmarkStart w:id="75" w:name="_Toc327978983"/>
      <w:bookmarkStart w:id="76" w:name="_Toc321813030"/>
      <w:bookmarkStart w:id="77" w:name="_Toc321684678"/>
      <w:bookmarkStart w:id="78" w:name="_Toc321820611"/>
      <w:bookmarkStart w:id="79" w:name="_Toc327978573"/>
      <w:bookmarkStart w:id="80" w:name="_Toc19691490"/>
      <w:bookmarkStart w:id="81" w:name="_Toc321820691"/>
      <w:bookmarkStart w:id="82" w:name="_Toc323036845"/>
      <w:bookmarkStart w:id="83" w:name="_Toc321820520"/>
      <w:bookmarkStart w:id="84" w:name="_Toc249515483"/>
      <w:r>
        <w:rPr>
          <w:rFonts w:ascii="宋体" w:hint="eastAsia"/>
          <w:b/>
          <w:bCs/>
          <w:color w:val="000000"/>
          <w:kern w:val="0"/>
          <w:sz w:val="24"/>
        </w:rPr>
        <w:t>磋商响应函</w:t>
      </w:r>
      <w:bookmarkEnd w:id="73"/>
      <w:bookmarkEnd w:id="74"/>
      <w:bookmarkEnd w:id="75"/>
      <w:bookmarkEnd w:id="76"/>
      <w:bookmarkEnd w:id="77"/>
      <w:bookmarkEnd w:id="78"/>
      <w:bookmarkEnd w:id="79"/>
      <w:bookmarkEnd w:id="80"/>
      <w:bookmarkEnd w:id="81"/>
      <w:bookmarkEnd w:id="82"/>
      <w:bookmarkEnd w:id="83"/>
      <w:bookmarkEnd w:id="84"/>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85" w:name="_Toc76071526"/>
      <w:r>
        <w:rPr>
          <w:rFonts w:ascii="Times New Roman" w:eastAsia="宋体" w:hAnsi="Times New Roman" w:hint="eastAsia"/>
          <w:b w:val="0"/>
          <w:sz w:val="21"/>
          <w:szCs w:val="21"/>
        </w:rPr>
        <w:t>供应商名称：</w:t>
      </w:r>
      <w:r>
        <w:rPr>
          <w:szCs w:val="21"/>
          <w:u w:val="single"/>
        </w:rPr>
        <w:t xml:space="preserve">               </w:t>
      </w:r>
      <w:bookmarkEnd w:id="85"/>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ind w:firstLine="420"/>
        <w:rPr>
          <w:szCs w:val="21"/>
        </w:rPr>
      </w:pPr>
      <w:r>
        <w:rPr>
          <w:rFonts w:hint="eastAsia"/>
          <w:szCs w:val="21"/>
        </w:rPr>
        <w:t>注：</w:t>
      </w:r>
      <w:r>
        <w:rPr>
          <w:szCs w:val="21"/>
        </w:rPr>
        <w:t>1.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86" w:name="_Toc485990846"/>
      <w:bookmarkStart w:id="87" w:name="_Toc499068177"/>
      <w:bookmarkStart w:id="88" w:name="_Toc501718543"/>
      <w:r>
        <w:rPr>
          <w:rFonts w:ascii="宋体" w:eastAsia="宋体" w:hint="eastAsia"/>
          <w:b/>
          <w:bCs/>
          <w:sz w:val="32"/>
          <w:szCs w:val="24"/>
          <w:highlight w:val="white"/>
          <w:lang w:eastAsia="zh-CN"/>
        </w:rPr>
        <w:t>商务偏离表</w:t>
      </w:r>
      <w:bookmarkEnd w:id="86"/>
      <w:bookmarkEnd w:id="87"/>
      <w:bookmarkEnd w:id="88"/>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89" w:name="_Toc499068181"/>
    </w:p>
    <w:p>
      <w:pPr>
        <w:pStyle w:val="199610"/>
        <w:widowControl/>
        <w:spacing w:before="100" w:beforeAutospacing="1" w:after="100" w:afterAutospacing="1" w:line="432" w:lineRule="auto"/>
        <w:jc w:val="center"/>
        <w:rPr>
          <w:rFonts w:eastAsia="宋体"/>
          <w:sz w:val="36"/>
          <w:szCs w:val="36"/>
        </w:rPr>
      </w:pPr>
      <w:bookmarkEnd w:id="89"/>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90" w:name="_Toc499068183"/>
      <w:bookmarkStart w:id="91" w:name="_Toc501718546"/>
      <w:bookmarkStart w:id="92"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90"/>
      <w:bookmarkEnd w:id="91"/>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92"/>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93" w:name="_Toc499068185"/>
      <w:bookmarkStart w:id="94" w:name="_Toc485990851"/>
      <w:r>
        <w:rPr>
          <w:rFonts w:ascii="宋体" w:eastAsia="宋体" w:hint="eastAsia"/>
          <w:szCs w:val="32"/>
          <w:lang w:eastAsia="zh-CN"/>
        </w:rPr>
        <w:t>服务偏离表</w:t>
      </w:r>
      <w:bookmarkEnd w:id="93"/>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94"/>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95" w:name="_Toc499068185_0"/>
      <w:r>
        <w:rPr>
          <w:rFonts w:ascii="宋体" w:eastAsia="宋体" w:hint="eastAsia"/>
          <w:szCs w:val="32"/>
          <w:lang w:eastAsia="zh-CN"/>
        </w:rPr>
        <w:t>技术偏离表</w:t>
      </w:r>
      <w:bookmarkEnd w:id="95"/>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3</w:t>
      </w:r>
      <w:r>
        <w:rPr>
          <w:rFonts w:ascii="宋体" w:hint="eastAsia"/>
          <w:color w:val="000000"/>
          <w:sz w:val="22"/>
        </w:rPr>
        <w:t>个月任意1个月的缴纳社保证明</w:t>
      </w:r>
      <w:r>
        <w:rPr>
          <w:rFonts w:ascii="宋体"/>
          <w:color w:val="000000"/>
          <w:sz w:val="22"/>
        </w:rPr>
        <w:t>或劳动合同等证明材料</w:t>
      </w:r>
      <w:r>
        <w:rPr>
          <w:rFonts w:ascii="宋体" w:hint="eastAsia"/>
          <w:color w:val="000000"/>
          <w:sz w:val="22"/>
        </w:rPr>
        <w:t xml:space="preserve">（未提供的不予认定）；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5"/>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72"/>
    </w:p>
    <w:sectPr>
      <w:footerReference w:type="default" r:id="rId6"/>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华文细黑"/>
    <w:panose1 w:val="020B0503020204020204"/>
    <w:charset w:val="86"/>
    <w:family w:val="swiss"/>
    <w:pitch w:val="variable"/>
    <w:sig w:usb0="80000287" w:usb1="280F3C52" w:usb2="00000016" w:usb3="00000000" w:csb0="0004001F" w:csb1="00000000"/>
  </w:font>
  <w:font w:name="Courier New">
    <w:altName w:val="DejaVu Sans"/>
    <w:panose1 w:val="02070309020205020404"/>
    <w:charset w:val="01"/>
    <w:family w:val="modern"/>
    <w:pitch w:val="variable"/>
    <w:sig w:usb0="E0002AFF" w:usb1="C0007843" w:usb2="00000009" w:usb3="00000000" w:csb0="400001FF" w:csb1="FFFF0000"/>
  </w:font>
  <w:font w:name="Calibri">
    <w:altName w:val="Times New Roman"/>
    <w:panose1 w:val="020F0502020204030204"/>
    <w:charset w:val="00"/>
    <w:family w:val="swiss"/>
    <w:pitch w:val="variable"/>
    <w:sig w:usb0="E00002FF" w:usb1="4000ACFF" w:usb2="00000001" w:usb3="00000000" w:csb0="2000019F" w:csb1="00000000"/>
  </w:font>
  <w:font w:name="方正仿宋_GBK">
    <w:altName w:val="微软雅黑"/>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黑体">
    <w:altName w:val="方正黑体_GBK"/>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方正黑体_GBK">
    <w:panose1 w:val="03000509000000000000"/>
    <w:charset w:val="86"/>
    <w:family w:val="script"/>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pPr>
    <w:r>
      <w:rPr>
        <w:rStyle w:val="c21"/>
      </w:rPr>
      <w:fldChar w:fldCharType="begin"/>
    </w:r>
    <w:r>
      <w:rPr>
        <w:rStyle w:val="c21"/>
      </w:rPr>
      <w:instrText xml:space="preserve"> PAGE </w:instrText>
    </w:r>
    <w:r>
      <w:fldChar w:fldCharType="separate"/>
    </w:r>
    <w:r>
      <w:rPr>
        <w:rStyle w:val="c21"/>
        <w:lang w:val="en-US" w:eastAsia="zh-CN"/>
      </w:rPr>
      <w:t>63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26</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9E04784"/>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7">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8">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0">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47251EC4"/>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2">
    <w:nsid w:val="5D7CB26E"/>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4">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5">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6">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8"/>
  </w:num>
  <w:num w:numId="2">
    <w:abstractNumId w:val="13"/>
  </w:num>
  <w:num w:numId="3">
    <w:abstractNumId w:val="0"/>
  </w:num>
  <w:num w:numId="4">
    <w:abstractNumId w:val="9"/>
  </w:num>
  <w:num w:numId="5">
    <w:abstractNumId w:val="14"/>
  </w:num>
  <w:num w:numId="6">
    <w:abstractNumId w:val="7"/>
  </w:num>
  <w:num w:numId="7">
    <w:abstractNumId w:val="15"/>
  </w:num>
  <w:num w:numId="8">
    <w:abstractNumId w:val="11"/>
  </w:num>
  <w:num w:numId="9">
    <w:abstractNumId w:val="2"/>
  </w:num>
  <w:num w:numId="10">
    <w:abstractNumId w:val="1"/>
  </w:num>
  <w:num w:numId="11">
    <w:abstractNumId w:val="12"/>
  </w:num>
  <w:num w:numId="12">
    <w:abstractNumId w:val="3"/>
  </w:num>
  <w:num w:numId="13">
    <w:abstractNumId w:val="16"/>
  </w:num>
  <w:num w:numId="14">
    <w:abstractNumId w:val="5"/>
  </w:num>
  <w:num w:numId="15">
    <w:abstractNumId w:val="4"/>
  </w:num>
  <w:num w:numId="16">
    <w:abstractNumId w:val="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8"/>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3"/>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6"/>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6912">
    <w:name w:val="样式 6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112">
    <w:name w:val="样式 7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812">
    <w:name w:val="样式 7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912">
    <w:name w:val="样式 7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112">
    <w:name w:val="样式 8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211">
    <w:name w:val="样式 8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312">
    <w:name w:val="样式 8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101">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480">
    <w:name w:val="样式 3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811">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411">
    <w:name w:val="样式 8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511">
    <w:name w:val="样式 8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12">
    <w:name w:val="样式 3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580">
    <w:name w:val="样式 35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4813">
    <w:name w:val="样式 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811">
    <w:name w:val="样式 8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80">
    <w:name w:val="样式 36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5811">
    <w:name w:val="样式 5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6811">
    <w:name w:val="样式 6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7813">
    <w:name w:val="样式 7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911">
    <w:name w:val="样式 8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812">
    <w:name w:val="样式 8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812">
    <w:name w:val="样式 9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012">
    <w:name w:val="样式 9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812">
    <w:name w:val="样式 10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187">
    <w:name w:val="样式 1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112">
    <w:name w:val="样式 9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81">
    <w:name w:val="样式 12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381">
    <w:name w:val="样式 13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480">
    <w:name w:val="样式 1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580">
    <w:name w:val="样式 15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2812">
    <w:name w:val="样式 2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211">
    <w:name w:val="样式 9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80">
    <w:name w:val="样式 17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881">
    <w:name w:val="样式 18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311">
    <w:name w:val="样式 9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80">
    <w:name w:val="样式 19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2080">
    <w:name w:val="样式 20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8610">
    <w:name w:val="样式 386 10 磅"/>
    <w:pPr>
      <w:widowControl w:val="0"/>
      <w:jc w:val="both"/>
    </w:pPr>
    <w:rPr>
      <w:rFonts w:ascii="Calibri" w:eastAsia="宋体" w:hAnsi="Calibri" w:cs="Arial"/>
      <w:kern w:val="2"/>
      <w:sz w:val="21"/>
      <w:szCs w:val="22"/>
      <w:lang w:val="en-US" w:eastAsia="zh-CN" w:bidi="ar-SA"/>
    </w:rPr>
  </w:style>
  <w:style w:type="paragraph" w:customStyle="1" w:styleId="9411">
    <w:name w:val="样式 9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80">
    <w:name w:val="样式 23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78101">
    <w:name w:val="样式 378 10 磅1"/>
    <w:pPr>
      <w:widowControl w:val="0"/>
      <w:jc w:val="both"/>
    </w:pPr>
    <w:rPr>
      <w:rFonts w:ascii="Calibri" w:eastAsia="宋体" w:hAnsi="Calibri" w:cs="Arial"/>
      <w:kern w:val="2"/>
      <w:sz w:val="21"/>
      <w:szCs w:val="22"/>
      <w:lang w:val="en-US" w:eastAsia="zh-CN" w:bidi="ar-SA"/>
    </w:rPr>
  </w:style>
  <w:style w:type="paragraph" w:customStyle="1" w:styleId="9511">
    <w:name w:val="样式 9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80">
    <w:name w:val="样式 2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8010">
    <w:name w:val="样式 380 10 磅"/>
    <w:pPr>
      <w:widowControl w:val="0"/>
      <w:jc w:val="both"/>
    </w:pPr>
    <w:rPr>
      <w:rFonts w:ascii="Calibri" w:eastAsia="宋体" w:hAnsi="Calibri" w:cs="Arial"/>
      <w:kern w:val="2"/>
      <w:sz w:val="21"/>
      <w:szCs w:val="22"/>
      <w:lang w:val="en-US" w:eastAsia="zh-CN" w:bidi="ar-SA"/>
    </w:rPr>
  </w:style>
  <w:style w:type="paragraph" w:customStyle="1" w:styleId="9611">
    <w:name w:val="样式 9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80">
    <w:name w:val="样式 25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711">
    <w:name w:val="样式 9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813">
    <w:name w:val="样式 9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680">
    <w:name w:val="样式 26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9911">
    <w:name w:val="样式 9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011">
    <w:name w:val="样式 10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780">
    <w:name w:val="样式 27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8210">
    <w:name w:val="样式 382 10 磅"/>
    <w:pPr>
      <w:widowControl w:val="0"/>
      <w:jc w:val="both"/>
    </w:pPr>
    <w:rPr>
      <w:rFonts w:ascii="Calibri" w:eastAsia="宋体" w:hAnsi="Calibri" w:cs="Arial"/>
      <w:kern w:val="2"/>
      <w:sz w:val="21"/>
      <w:szCs w:val="22"/>
      <w:lang w:val="en-US" w:eastAsia="zh-CN" w:bidi="ar-SA"/>
    </w:rPr>
  </w:style>
  <w:style w:type="paragraph" w:customStyle="1" w:styleId="2880">
    <w:name w:val="样式 28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2980">
    <w:name w:val="样式 29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0111">
    <w:name w:val="样式 10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080">
    <w:name w:val="样式 30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181">
    <w:name w:val="样式 3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8410">
    <w:name w:val="样式 384 10 磅"/>
    <w:pPr>
      <w:widowControl w:val="0"/>
      <w:jc w:val="both"/>
    </w:pPr>
    <w:rPr>
      <w:rFonts w:ascii="Calibri" w:eastAsia="宋体" w:hAnsi="Calibri" w:cs="Arial"/>
      <w:kern w:val="2"/>
      <w:sz w:val="21"/>
      <w:szCs w:val="22"/>
      <w:lang w:val="en-US" w:eastAsia="zh-CN" w:bidi="ar-SA"/>
    </w:rPr>
  </w:style>
  <w:style w:type="paragraph" w:customStyle="1" w:styleId="4912">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211">
    <w:name w:val="样式 10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1">
    <w:name w:val="样式 10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411">
    <w:name w:val="样式 10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313">
    <w:name w:val="样式 4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512">
    <w:name w:val="样式 10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611">
    <w:name w:val="样式 10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911">
    <w:name w:val="样式 10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013">
    <w:name w:val="样式 11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0810">
    <w:name w:val="样式 408 10 磅"/>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10312">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1">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2">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3">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lang w:val="en-US" w:eastAsia="zh-CN" w:bidi="ar-SA"/>
    </w:rPr>
  </w:style>
  <w:style w:type="paragraph" w:customStyle="1" w:styleId="8102">
    <w:name w:val="样式 8 三号"/>
    <w:pPr>
      <w:widowControl w:val="0"/>
      <w:jc w:val="both"/>
    </w:pPr>
    <w:rPr>
      <w:rFonts w:ascii="Times New Roman" w:eastAsia="方正仿宋_GBK" w:hAnsi="Times New Roman" w:cs="Times New Roman"/>
      <w:kern w:val="2"/>
      <w:sz w:val="32"/>
      <w:lang w:val="en-US" w:eastAsia="zh-CN" w:bidi="ar-SA"/>
    </w:rPr>
  </w:style>
  <w:style w:type="paragraph" w:customStyle="1" w:styleId="1188">
    <w:name w:val="样式 11 磅"/>
    <w:pPr>
      <w:widowControl w:val="0"/>
      <w:spacing w:after="160" w:line="278" w:lineRule="auto"/>
    </w:pPr>
    <w:rPr>
      <w:rFonts w:ascii="等线" w:eastAsia="等线" w:cs="Arial"/>
      <w:kern w:val="2"/>
      <w:sz w:val="22"/>
      <w:szCs w:val="24"/>
      <w:lang w:val="en-US" w:eastAsia="zh-CN" w:bidi="ar-SA"/>
    </w:rPr>
  </w:style>
  <w:style w:type="paragraph" w:customStyle="1" w:styleId="1680">
    <w:name w:val="样式 16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14096364</TotalTime>
  <Pages>65</Pages>
  <Words>31664</Words>
  <Characters>33008</Characters>
  <Application>Microsoft Office Word</Application>
  <DocSecurity>0</DocSecurity>
  <Lines>2169</Lines>
  <Paragraphs>1070</Paragraphs>
  <ScaleCrop>false</ScaleCrop>
  <Company>Lenovo (Beijing) Limited</Company>
  <LinksUpToDate>false</LinksUpToDate>
  <CharactersWithSpaces>35235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88</cp:revision>
  <cp:lastPrinted>2018-03-22T05:59:00Z</cp:lastPrinted>
  <dcterms:created xsi:type="dcterms:W3CDTF">2017-08-17T00:59:00Z</dcterms:created>
  <dcterms:modified xsi:type="dcterms:W3CDTF">2025-08-04T08:01:44Z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