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CG2024-WT-GK-FW-014</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全国海关信息中心广东分中心2024年硬件设备维保服务采购项目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2024年06月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41</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44</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55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全国海关信息中心广东分中心2024年硬件设备维保服务采购项目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CG2024-WT-GK-FW-014</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全国海关信息中心广东分中心2024年硬件设备维保服务采购项目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本项目预算金额合计总金额人民币3,650,000.00元，其中包1人民币3,650,000.00元。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1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4"/>
        <w:gridCol w:w="748"/>
        <w:gridCol w:w="928"/>
        <w:gridCol w:w="630"/>
        <w:gridCol w:w="2346"/>
        <w:gridCol w:w="1260"/>
        <w:gridCol w:w="1271"/>
      </w:tblGrid>
      <w:tr>
        <w:tblPrEx>
          <w:tblW w:w="81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928"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630"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2346"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1260"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271"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167"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928" w:type="dxa"/>
            <w:vAlign w:val="center"/>
          </w:tcPr>
          <w:p>
            <w:pPr>
              <w:spacing w:after="120" w:line="240" w:lineRule="auto"/>
              <w:jc w:val="center"/>
              <w:rPr>
                <w:rFonts w:ascii="宋体"/>
                <w:b/>
                <w:color w:val="0000FF"/>
                <w:sz w:val="24"/>
                <w:highlight w:val="white"/>
              </w:rPr>
            </w:pPr>
            <w:r>
              <w:t>硬件设备维保服务</w:t>
            </w:r>
          </w:p>
        </w:tc>
        <w:tc>
          <w:tcPr>
            <w:tcW w:w="630" w:type="dxa"/>
            <w:vAlign w:val="center"/>
          </w:tcPr>
          <w:p>
            <w:pPr>
              <w:spacing w:after="120" w:line="240" w:lineRule="auto"/>
              <w:jc w:val="center"/>
              <w:rPr>
                <w:rFonts w:ascii="宋体"/>
                <w:b/>
                <w:color w:val="0000FF"/>
                <w:sz w:val="24"/>
                <w:highlight w:val="white"/>
              </w:rPr>
            </w:pPr>
            <w:r>
              <w:t>1</w:t>
            </w:r>
          </w:p>
        </w:tc>
        <w:tc>
          <w:tcPr>
            <w:tcW w:w="2346" w:type="dxa"/>
            <w:vAlign w:val="center"/>
          </w:tcPr>
          <w:p>
            <w:pPr>
              <w:spacing w:after="120" w:line="240" w:lineRule="auto"/>
              <w:jc w:val="center"/>
              <w:rPr>
                <w:rFonts w:ascii="宋体"/>
                <w:b/>
                <w:color w:val="0000FF"/>
                <w:sz w:val="24"/>
                <w:highlight w:val="white"/>
              </w:rPr>
            </w:pPr>
            <w:r>
              <w:t>6套风险探知系统履约时间从2024年8月29日至2025年8月18日，大部分设备履约时间从2024年10月19日起至2025年8月18日；个别设备未过保，履约时间从过保之日（不早于2024年11月23日）起至2025年8月18日(详见设备清单)。</w:t>
            </w:r>
          </w:p>
        </w:tc>
        <w:tc>
          <w:tcPr>
            <w:tcW w:w="1260" w:type="dxa"/>
            <w:vAlign w:val="center"/>
          </w:tcPr>
          <w:p>
            <w:pPr>
              <w:spacing w:after="120" w:line="240" w:lineRule="auto"/>
              <w:jc w:val="center"/>
              <w:rPr>
                <w:rFonts w:ascii="宋体"/>
                <w:b/>
                <w:color w:val="0000FF"/>
                <w:sz w:val="24"/>
                <w:highlight w:val="white"/>
              </w:rPr>
            </w:pPr>
            <w:r>
              <w:t>海关指定地点</w:t>
            </w:r>
          </w:p>
        </w:tc>
        <w:tc>
          <w:tcPr>
            <w:tcW w:w="1271" w:type="dxa"/>
            <w:vAlign w:val="center"/>
          </w:tcPr>
          <w:p>
            <w:pPr>
              <w:spacing w:after="120" w:line="240" w:lineRule="auto"/>
              <w:jc w:val="center"/>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
      <w:r>
        <w:rPr>
          <w:rFonts w:ascii="宋体" w:hint="eastAsia"/>
          <w:b/>
          <w:bCs/>
          <w:color w:val="0000FF"/>
          <w:sz w:val="24"/>
          <w:highlight w:val="none"/>
        </w:rPr>
        <w:t>软件和信息技术服务业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2024-07-08 00:00:00</w:t>
      </w:r>
      <w:bookmarkEnd w:id="12"/>
      <w:r>
        <w:rPr>
          <w:rFonts w:ascii="宋体" w:hint="eastAsia"/>
          <w:sz w:val="24"/>
        </w:rPr>
        <w:t>至</w:t>
      </w:r>
      <w:bookmarkStart w:id="13" w:name="公告_signUpLastTime"/>
      <w:r>
        <w:rPr>
          <w:rFonts w:ascii="宋体" w:hint="eastAsia"/>
          <w:sz w:val="24"/>
        </w:rPr>
        <w:t>2024-07-15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2024-08-01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2024-08-01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地址：北京市东城区金宝街63号鑫海锦江大酒店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联系方式：010-65194838（平台技术支持）</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01065194619（项目询问）</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本项目于</w:t>
      </w:r>
      <w:bookmarkStart w:id="18" w:name="任务单_publicDate"/>
      <w:r>
        <w:rPr>
          <w:rFonts w:ascii="宋体" w:hint="eastAsia"/>
          <w:b/>
          <w:color w:val="0000FF"/>
          <w:sz w:val="24"/>
          <w:highlight w:val="white"/>
        </w:rPr>
        <w:t>2024-04-18</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color w:val="0000FF"/>
                <w:sz w:val="24"/>
                <w:highlight w:val="white"/>
              </w:rPr>
              <w:t>全国海关信息中心广东分中心</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0" w:name="项目预算和包件预算"/>
            <w:r>
              <w:rPr>
                <w:rFonts w:ascii="宋体" w:cs="微软雅黑" w:hint="eastAsia"/>
                <w:bCs/>
                <w:color w:val="0000FF"/>
                <w:sz w:val="24"/>
                <w:lang w:bidi="ar-SA"/>
              </w:rPr>
              <w:t>本项目预算金额合计总金额人民币3,650,000.00元，其中包1人民币3,650,000.00元。</w:t>
            </w:r>
            <w:bookmarkEnd w:id="2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1" w:name="项目公告_maxPrice"/>
            <w:r>
              <w:rPr>
                <w:rFonts w:ascii="宋体" w:cs="微软雅黑" w:hint="eastAsia"/>
                <w:color w:val="0000FF"/>
                <w:sz w:val="24"/>
                <w:highlight w:val="white"/>
                <w:lang w:bidi="ar-SA"/>
              </w:rPr>
              <w:t>3,650,000.00</w:t>
            </w:r>
            <w:bookmarkEnd w:id="21"/>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w:t>
            </w:r>
            <w:r>
              <w:rPr>
                <w:rFonts w:ascii="宋体" w:cs="微软雅黑"/>
                <w:bCs/>
                <w:color w:val="0000FF"/>
                <w:sz w:val="24"/>
                <w:lang w:bidi="ar-SA"/>
              </w:rPr>
              <w:t>最高限价</w:t>
            </w:r>
            <w:r>
              <w:rPr>
                <w:rFonts w:ascii="宋体" w:cs="微软雅黑" w:hint="eastAsia"/>
                <w:bCs/>
                <w:color w:val="0000FF"/>
                <w:sz w:val="24"/>
                <w:lang w:bidi="ar-SA"/>
              </w:rPr>
              <w:t>人民币3,650,000.00元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2" w:name="投标须知_agentBidding"/>
            <w:r>
              <w:rPr>
                <w:rFonts w:ascii="宋体" w:cs="微软雅黑" w:hint="eastAsia"/>
                <w:color w:val="0000FF"/>
                <w:sz w:val="24"/>
                <w:lang w:bidi="ar-SA"/>
              </w:rPr>
              <w:t>否</w:t>
            </w:r>
            <w:bookmarkEnd w:id="22"/>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3" w:name="投标人须知_canUnion"/>
            <w:r>
              <w:rPr>
                <w:rFonts w:ascii="宋体" w:cs="微软雅黑" w:hint="eastAsia"/>
                <w:bCs/>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even"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r>
        <w:rPr>
          <w:rFonts w:ascii="宋体" w:cs="微软雅黑" w:hint="eastAsia"/>
          <w:color w:val="0000FF"/>
          <w:sz w:val="24"/>
          <w:highlight w:val="white"/>
        </w:rPr>
        <w:t>全国海关信息中心广东分中心</w:t>
      </w:r>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4"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（3）投标人提供2022年8月1日起至本项目招标公告发布之日止（以合同签订日期为准），与本项目同类维保服务项目业绩相关材料，具体要求详见评分标准（加盖投标人电子签章）。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4"/>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5"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提供项目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团队人员个人简历、相关领域职称或资质证书及相关领域工作经验情况，以及团队人员距开标之日半年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（3）投标人按要求提供项目技术支持服务方案等，具体要求见第四部分评分标准（加盖投标人电子签章）。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5"/>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服务应答文件服务应答文件"/>
      <w:r>
        <w:rPr>
          <w:rFonts w:ascii="Times New Roman" w:hAnsi="Times New Roman" w:hint="eastAsia"/>
          <w:color w:val="0000FF"/>
          <w:kern w:val="0"/>
          <w:sz w:val="24"/>
          <w:szCs w:val="21"/>
          <w:highlight w:val="white"/>
        </w:rPr>
        <w:t>（1）投标人提供项目应急保障服务方案、服务质量保障方案等，具体要求见第四部分评分标准（加盖投标人电子签章）。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（2）投标人认为应该提供的证明材料（如有）（加盖投标人电子签章）。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7" w:name="_Toc65406665"/>
      <w:r>
        <w:rPr>
          <w:rFonts w:hint="eastAsia"/>
          <w:lang w:val="en-US" w:eastAsia="zh-CN"/>
        </w:rPr>
        <w:t>第三部分  项目需求书</w:t>
      </w:r>
      <w:bookmarkEnd w:id="27"/>
    </w:p>
    <w:p>
      <w:pPr>
        <w:rPr>
          <w:highlight w:val="white"/>
        </w:rPr>
      </w:pPr>
    </w:p>
    <w:p>
      <w:pPr>
        <w:rPr>
          <w:highlight w:val="white"/>
        </w:rPr>
      </w:pPr>
    </w:p>
    <w:p>
      <w:pPr>
        <w:pStyle w:val="BodyText3"/>
        <w:rPr>
          <w:rFonts w:ascii="宋体" w:eastAsia="宋体"/>
          <w:sz w:val="21"/>
          <w:szCs w:val="21"/>
        </w:rPr>
      </w:pPr>
      <w:bookmarkStart w:id="28" w:name="插入_采购需求书"/>
    </w:p>
    <w:p>
      <w:pPr>
        <w:rPr>
          <w:rFonts w:ascii="宋体" w:eastAsia="宋体"/>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eastAsia="宋体" w:cs="Times New Roman"/>
          <w:b/>
          <w:bCs/>
        </w:rPr>
      </w:pPr>
      <w:r>
        <w:rPr>
          <w:rFonts w:ascii="宋体" w:eastAsia="宋体" w:cs="微软雅黑" w:hint="eastAsia"/>
          <w:b/>
          <w:bCs/>
        </w:rPr>
        <w:t>提交投标文件时，须注明需提供证明材料或承诺函等材料项所在位置（页码）。</w:t>
      </w:r>
    </w:p>
    <w:p>
      <w:pPr>
        <w:rPr>
          <w:rFonts w:ascii="宋体" w:eastAsia="宋体"/>
          <w:sz w:val="21"/>
          <w:szCs w:val="21"/>
        </w:rPr>
      </w:pPr>
      <w:bookmarkEnd w:id="28"/>
    </w:p>
    <w:p>
      <w:pPr>
        <w:rPr>
          <w:rFonts w:ascii="宋体" w:eastAsia="宋体"/>
        </w:rPr>
      </w:pPr>
    </w:p>
    <w:p>
      <w:pPr>
        <w:numPr>
          <w:ilvl w:val="0"/>
          <w:numId w:val="2"/>
        </w:numPr>
        <w:rPr>
          <w:rFonts w:ascii="宋体" w:eastAsia="宋体" w:hint="eastAsia"/>
        </w:rPr>
      </w:pPr>
      <w:bookmarkStart w:id="29" w:name="采购政策落实"/>
      <w:r>
        <w:rPr>
          <w:rFonts w:ascii="宋体" w:eastAsia="宋体"/>
        </w:rPr>
        <w:t>承诺项</w:t>
      </w:r>
    </w:p>
    <w:p>
      <w:pPr>
        <w:rPr>
          <w:rFonts w:ascii="宋体" w:eastAsia="宋体" w:cs="Times New Roman"/>
          <w:kern w:val="2"/>
        </w:rPr>
      </w:pPr>
      <w:r>
        <w:rPr>
          <w:rFonts w:ascii="宋体" w:eastAsia="宋体" w:cs="宋体"/>
          <w:kern w:val="2"/>
        </w:rPr>
        <w:t>1.</w:t>
      </w:r>
      <w:r>
        <w:rPr>
          <w:rFonts w:ascii="宋体" w:eastAsia="宋体" w:cs="宋体" w:hint="eastAsia"/>
          <w:kern w:val="2"/>
        </w:rPr>
        <w:t>行业类型（必填项）：</w:t>
      </w:r>
      <w:r>
        <w:rPr>
          <w:rFonts w:ascii="宋体" w:eastAsia="宋体" w:cs="宋体"/>
          <w:kern w:val="2"/>
        </w:rPr>
        <w:t>软件和信息技术服务业</w:t>
      </w:r>
      <w:r>
        <w:rPr>
          <w:rFonts w:ascii="宋体" w:eastAsia="宋体" w:cs="Times New Roman" w:hint="eastAsia"/>
          <w:kern w:val="2"/>
        </w:rPr>
        <w:t xml:space="preserve">                                           </w:t>
      </w:r>
    </w:p>
    <w:p>
      <w:pPr>
        <w:rPr>
          <w:rFonts w:ascii="宋体" w:eastAsia="宋体" w:cs="方正仿宋_GBK"/>
          <w:kern w:val="2"/>
        </w:rPr>
      </w:pPr>
      <w:r>
        <w:rPr>
          <w:rFonts w:ascii="宋体" w:eastAsia="宋体" w:cs="方正仿宋_GBK" w:hint="eastAsia"/>
          <w:kern w:val="2"/>
        </w:rPr>
        <w:t>2.项目立项审核</w:t>
      </w:r>
      <w:r>
        <w:rPr>
          <w:rFonts w:ascii="宋体" w:eastAsia="宋体" w:cs="方正仿宋_GBK"/>
          <w:kern w:val="2"/>
        </w:rPr>
        <w:t>情况</w:t>
      </w:r>
    </w:p>
    <w:p>
      <w:pPr>
        <w:rPr>
          <w:rFonts w:ascii="宋体" w:eastAsia="宋体" w:cs="方正仿宋_GBK"/>
          <w:kern w:val="2"/>
        </w:rPr>
      </w:pPr>
      <w:r>
        <w:rPr>
          <w:rFonts w:ascii="宋体" w:eastAsia="宋体" w:cs="方正仿宋_GBK"/>
          <w:kern w:val="2"/>
        </w:rPr>
        <w:t>本项目  不  属于新建、改建或者采用购买服务方式的政务应用程序项目。</w:t>
      </w:r>
    </w:p>
    <w:p>
      <w:pPr>
        <w:numPr>
          <w:ilvl w:val="0"/>
          <w:numId w:val="2"/>
        </w:numPr>
        <w:rPr>
          <w:rFonts w:ascii="宋体" w:eastAsia="宋体" w:hint="eastAsia"/>
        </w:rPr>
      </w:pPr>
      <w:r>
        <w:rPr>
          <w:rFonts w:ascii="宋体" w:eastAsia="宋体" w:hint="eastAsia"/>
        </w:rPr>
        <w:t>采购政策落实</w:t>
      </w:r>
      <w:bookmarkEnd w:id="29"/>
    </w:p>
    <w:tbl>
      <w:tblPr>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rPr>
            </w:pPr>
            <w:bookmarkStart w:id="30" w:name="采购政策落实_index"/>
            <w:bookmarkStart w:id="31" w:name="商务需求"/>
            <w:bookmarkEnd w:id="30"/>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rPr>
            </w:pPr>
            <w:r>
              <w:rPr>
                <w:rFonts w:ascii="宋体" w:cs="Calibri" w:hint="eastAsia"/>
                <w:b/>
                <w:sz w:val="24"/>
              </w:rPr>
              <w:t>说明</w:t>
            </w:r>
          </w:p>
        </w:tc>
      </w:tr>
      <w:tr>
        <w:tblPrEx>
          <w:tblW w:w="9061" w:type="dxa"/>
          <w:jc w:val="left"/>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jc w:val="left"/>
              <w:rPr>
                <w:rFonts w:ascii="宋体"/>
                <w:szCs w:val="21"/>
              </w:rPr>
            </w:pPr>
            <w:r>
              <w:rPr>
                <w:rFonts w:ascii="宋体" w:hint="eastAsia"/>
                <w:szCs w:val="21"/>
              </w:rPr>
              <w:t>是，提供《中小企业声明函》并加盖单位公章</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Cs w:val="21"/>
              </w:rPr>
            </w:pPr>
            <w:r>
              <w:rPr>
                <w:rFonts w:ascii="宋体" w:hint="eastAsia"/>
                <w:szCs w:val="21"/>
              </w:rPr>
              <w:t>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Cs w:val="21"/>
              </w:rPr>
            </w:pPr>
            <w:r>
              <w:rPr>
                <w:rFonts w:ascii="宋体" w:hint="eastAsia"/>
                <w:szCs w:val="21"/>
              </w:rPr>
              <w:t>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i/>
                <w:iCs/>
                <w:szCs w:val="21"/>
              </w:rPr>
            </w:pPr>
            <w:r>
              <w:rPr>
                <w:rFonts w:ascii="宋体" w:hint="eastAsia"/>
                <w:szCs w:val="21"/>
              </w:rPr>
              <w:t>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i/>
                <w:iCs/>
                <w:szCs w:val="21"/>
              </w:rPr>
            </w:pPr>
            <w:r>
              <w:rPr>
                <w:rFonts w:ascii="宋体" w:cs="宋体" w:hint="eastAsia"/>
              </w:rPr>
              <w:t>是，提供《声明函》并加盖单位公章</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szCs w:val="21"/>
              </w:rPr>
            </w:pPr>
            <w:r>
              <w:rPr>
                <w:rFonts w:ascii="宋体" w:cs="宋体" w:hint="eastAsia"/>
              </w:rPr>
              <w:t>是，提供《声明函》并加盖单位公章</w:t>
            </w:r>
          </w:p>
        </w:tc>
      </w:tr>
    </w:tbl>
    <w:p>
      <w:pPr>
        <w:rPr>
          <w:rFonts w:ascii="宋体" w:cs="宋体"/>
          <w:color w:val="000000"/>
        </w:rPr>
      </w:pPr>
      <w:r>
        <w:rPr>
          <w:rFonts w:ascii="宋体" w:cs="宋体" w:hint="eastAsia"/>
          <w:color w:val="000000"/>
        </w:rPr>
        <w:t>注：本项目不专门面向中小微企业、监狱企业、残疾人企业。</w:t>
      </w:r>
    </w:p>
    <w:p/>
    <w:p>
      <w:pPr>
        <w:numPr>
          <w:ilvl w:val="0"/>
          <w:numId w:val="2"/>
        </w:numPr>
        <w:jc w:val="both"/>
        <w:rPr>
          <w:rFonts w:ascii="宋体" w:eastAsia="宋体" w:hint="eastAsia"/>
        </w:rPr>
      </w:pPr>
      <w:r>
        <w:rPr>
          <w:rFonts w:ascii="宋体" w:eastAsia="宋体" w:hint="eastAsia"/>
        </w:rPr>
        <w:t>商务需求</w:t>
      </w:r>
      <w:bookmarkEnd w:id="31"/>
    </w:p>
    <w:tbl>
      <w:tblPr>
        <w:tblW w:w="91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6840"/>
      </w:tblGrid>
      <w:tr>
        <w:tblPrEx>
          <w:tblW w:w="91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ind w:firstLine="0"/>
              <w:jc w:val="center"/>
              <w:rPr>
                <w:rFonts w:ascii="宋体" w:eastAsia="宋体"/>
                <w:b/>
              </w:rPr>
            </w:pPr>
            <w:r>
              <w:rPr>
                <w:rFonts w:ascii="宋体" w:eastAsia="宋体" w:hint="eastAsia"/>
                <w:b/>
              </w:rPr>
              <w:t>序号</w:t>
            </w:r>
          </w:p>
        </w:tc>
        <w:tc>
          <w:tcPr>
            <w:tcW w:w="1830" w:type="dxa"/>
            <w:shd w:val="clear" w:color="A6A6A6" w:fill="A6A6A6"/>
            <w:vAlign w:val="center"/>
          </w:tcPr>
          <w:p>
            <w:pPr>
              <w:ind w:firstLine="0"/>
              <w:jc w:val="center"/>
              <w:rPr>
                <w:rFonts w:ascii="宋体" w:eastAsia="宋体"/>
                <w:b/>
              </w:rPr>
            </w:pPr>
            <w:r>
              <w:rPr>
                <w:rFonts w:ascii="宋体" w:eastAsia="宋体" w:hint="eastAsia"/>
                <w:b/>
              </w:rPr>
              <w:t>内容</w:t>
            </w:r>
          </w:p>
        </w:tc>
        <w:tc>
          <w:tcPr>
            <w:tcW w:w="6840" w:type="dxa"/>
            <w:shd w:val="clear" w:color="A6A6A6" w:fill="A6A6A6"/>
            <w:vAlign w:val="center"/>
          </w:tcPr>
          <w:p>
            <w:pPr>
              <w:ind w:firstLine="0"/>
              <w:jc w:val="center"/>
              <w:rPr>
                <w:rFonts w:ascii="宋体" w:eastAsia="宋体"/>
                <w:b/>
              </w:rPr>
            </w:pPr>
            <w:bookmarkStart w:id="32" w:name="商务需求_Title_说明_Required_Table"/>
            <w:r>
              <w:rPr>
                <w:rFonts w:ascii="宋体" w:eastAsia="宋体" w:hint="eastAsia"/>
                <w:b/>
              </w:rPr>
              <w:t>说明</w:t>
            </w:r>
            <w:bookmarkEnd w:id="32"/>
          </w:p>
        </w:tc>
      </w:tr>
      <w:tr>
        <w:tblPrEx>
          <w:tblW w:w="9108" w:type="dxa"/>
          <w:jc w:val="left"/>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hint="eastAsia"/>
                <w:b/>
              </w:rPr>
              <w:t>1</w:t>
            </w:r>
          </w:p>
        </w:tc>
        <w:tc>
          <w:tcPr>
            <w:tcW w:w="1830" w:type="dxa"/>
            <w:vAlign w:val="center"/>
          </w:tcPr>
          <w:p>
            <w:pPr>
              <w:ind w:firstLine="0"/>
              <w:rPr>
                <w:rFonts w:ascii="宋体" w:eastAsia="宋体"/>
                <w:b/>
              </w:rPr>
            </w:pPr>
            <w:r>
              <w:rPr>
                <w:rFonts w:ascii="宋体" w:eastAsia="宋体" w:hint="eastAsia"/>
                <w:b/>
              </w:rPr>
              <w:t>投标人资质</w:t>
            </w:r>
          </w:p>
        </w:tc>
        <w:tc>
          <w:tcPr>
            <w:tcW w:w="6840" w:type="dxa"/>
            <w:vAlign w:val="center"/>
          </w:tcPr>
          <w:p>
            <w:pPr>
              <w:ind w:firstLine="0"/>
              <w:rPr>
                <w:rFonts w:cs="宋体"/>
                <w:lang w:bidi="en-US"/>
              </w:rPr>
            </w:pPr>
            <w:r>
              <w:rPr>
                <w:rFonts w:cs="宋体"/>
                <w:lang w:bidi="en-US"/>
              </w:rPr>
              <w:t>投标人资格条件</w:t>
            </w:r>
            <w:r>
              <w:rPr>
                <w:rFonts w:cs="宋体" w:hint="eastAsia"/>
                <w:lang w:bidi="en-US"/>
              </w:rPr>
              <w:t>见招标公告。</w:t>
            </w:r>
          </w:p>
          <w:p>
            <w:pPr>
              <w:ind w:firstLine="0"/>
              <w:rPr>
                <w:rFonts w:cs="宋体"/>
                <w:lang w:bidi="en-US"/>
              </w:rPr>
            </w:pPr>
            <w:r>
              <w:rPr>
                <w:rFonts w:cs="宋体" w:hint="eastAsia"/>
                <w:bCs/>
                <w:lang w:val="en-US" w:eastAsia="zh-CN" w:bidi="en-US"/>
              </w:rPr>
              <w:t>可作为评审因素的资质证书等</w:t>
            </w:r>
            <w:r>
              <w:rPr>
                <w:rFonts w:cs="宋体" w:hint="eastAsia"/>
                <w:lang w:bidi="en-US"/>
              </w:rPr>
              <w:t>：</w:t>
            </w:r>
          </w:p>
          <w:p>
            <w:pPr>
              <w:ind w:firstLine="0"/>
              <w:rPr>
                <w:rFonts w:cs="Times New Roman"/>
                <w:lang w:bidi="en-US"/>
              </w:rPr>
            </w:pPr>
            <w:r>
              <w:rPr>
                <w:rFonts w:cs="宋体" w:hint="eastAsia"/>
                <w:lang w:bidi="en-US"/>
              </w:rPr>
              <w:t>1、具有有效期内的ISO9001质量管理体系认证证书。</w:t>
            </w:r>
          </w:p>
          <w:p>
            <w:pPr>
              <w:ind w:firstLine="0"/>
              <w:rPr>
                <w:rFonts w:cs="Times New Roman"/>
                <w:lang w:bidi="en-US"/>
              </w:rPr>
            </w:pPr>
            <w:r>
              <w:rPr>
                <w:rFonts w:cs="宋体" w:hint="eastAsia"/>
                <w:lang w:bidi="en-US"/>
              </w:rPr>
              <w:t>2、具有有效期内的ISO20000 信息技术服务管理体系认证证书。</w:t>
            </w:r>
          </w:p>
          <w:p>
            <w:pPr>
              <w:ind w:firstLine="0"/>
            </w:pPr>
            <w:r>
              <w:rPr>
                <w:rFonts w:cs="宋体" w:hint="eastAsia"/>
                <w:lang w:bidi="en-US"/>
              </w:rPr>
              <w:t>3、具有有效期内的ISO27001信息安全体系认证证书。</w:t>
            </w:r>
          </w:p>
        </w:tc>
      </w:tr>
      <w:tr>
        <w:tblPrEx>
          <w:tblW w:w="9108" w:type="dxa"/>
          <w:jc w:val="left"/>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hint="eastAsia"/>
                <w:b/>
              </w:rPr>
              <w:t>2</w:t>
            </w:r>
          </w:p>
        </w:tc>
        <w:tc>
          <w:tcPr>
            <w:tcW w:w="1830" w:type="dxa"/>
            <w:vAlign w:val="center"/>
          </w:tcPr>
          <w:p>
            <w:pPr>
              <w:ind w:firstLine="0"/>
              <w:rPr>
                <w:rFonts w:ascii="宋体" w:eastAsia="宋体"/>
                <w:b/>
              </w:rPr>
            </w:pPr>
            <w:r>
              <w:rPr>
                <w:rFonts w:ascii="宋体" w:eastAsia="宋体" w:hint="eastAsia"/>
                <w:b/>
              </w:rPr>
              <w:t>投标产品资质</w:t>
            </w:r>
          </w:p>
        </w:tc>
        <w:tc>
          <w:tcPr>
            <w:tcW w:w="6840" w:type="dxa"/>
            <w:vAlign w:val="center"/>
          </w:tcPr>
          <w:p>
            <w:pPr>
              <w:ind w:firstLine="0"/>
              <w:rPr>
                <w:rFonts w:cs="宋体"/>
                <w:lang w:bidi="en-US"/>
              </w:rPr>
            </w:pPr>
            <w:r>
              <w:rPr>
                <w:rFonts w:cs="宋体" w:hint="eastAsia"/>
                <w:iCs/>
                <w:lang w:bidi="en-US"/>
              </w:rPr>
              <w:t>无</w:t>
            </w:r>
          </w:p>
        </w:tc>
      </w:tr>
      <w:tr>
        <w:tblPrEx>
          <w:tblW w:w="9108" w:type="dxa"/>
          <w:jc w:val="left"/>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b/>
              </w:rPr>
            </w:pPr>
            <w:r>
              <w:rPr>
                <w:rFonts w:ascii="宋体" w:eastAsia="宋体" w:hint="eastAsia"/>
                <w:b/>
              </w:rPr>
              <w:t>3</w:t>
            </w:r>
          </w:p>
        </w:tc>
        <w:tc>
          <w:tcPr>
            <w:tcW w:w="1830" w:type="dxa"/>
            <w:vAlign w:val="center"/>
          </w:tcPr>
          <w:p>
            <w:pPr>
              <w:ind w:firstLine="0"/>
              <w:rPr>
                <w:rFonts w:ascii="宋体" w:eastAsia="宋体"/>
                <w:b/>
              </w:rPr>
            </w:pPr>
            <w:r>
              <w:rPr>
                <w:rFonts w:ascii="宋体" w:eastAsia="宋体" w:hint="eastAsia"/>
                <w:b/>
              </w:rPr>
              <w:t>核心产品</w:t>
            </w:r>
          </w:p>
        </w:tc>
        <w:tc>
          <w:tcPr>
            <w:tcW w:w="6840" w:type="dxa"/>
            <w:vAlign w:val="center"/>
          </w:tcPr>
          <w:p>
            <w:pPr>
              <w:ind w:firstLine="0"/>
              <w:rPr>
                <w:rFonts w:cs="宋体"/>
                <w:lang w:bidi="en-US"/>
              </w:rPr>
            </w:pPr>
            <w:r>
              <w:rPr>
                <w:rFonts w:cs="宋体" w:hint="eastAsia"/>
                <w:iCs/>
                <w:lang w:bidi="en-US"/>
              </w:rPr>
              <w:t>无</w:t>
            </w:r>
          </w:p>
        </w:tc>
      </w:tr>
      <w:tr>
        <w:tblPrEx>
          <w:tblW w:w="9108" w:type="dxa"/>
          <w:jc w:val="left"/>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b/>
              </w:rPr>
              <w:t>4</w:t>
            </w:r>
          </w:p>
        </w:tc>
        <w:tc>
          <w:tcPr>
            <w:tcW w:w="1830" w:type="dxa"/>
            <w:vAlign w:val="center"/>
          </w:tcPr>
          <w:p>
            <w:pPr>
              <w:ind w:firstLine="0"/>
              <w:rPr>
                <w:rFonts w:ascii="宋体" w:eastAsia="宋体"/>
                <w:b/>
              </w:rPr>
            </w:pPr>
            <w:r>
              <w:rPr>
                <w:rFonts w:ascii="宋体" w:eastAsia="宋体" w:hint="eastAsia"/>
                <w:b/>
              </w:rPr>
              <w:t>信息安全要求</w:t>
            </w:r>
            <w:r>
              <w:rPr>
                <w:rFonts w:ascii="宋体" w:eastAsia="宋体" w:hint="eastAsia"/>
              </w:rPr>
              <w:t>★</w:t>
            </w:r>
          </w:p>
        </w:tc>
        <w:tc>
          <w:tcPr>
            <w:tcW w:w="6840" w:type="dxa"/>
            <w:vAlign w:val="center"/>
          </w:tcPr>
          <w:p>
            <w:pPr>
              <w:ind w:firstLine="0"/>
              <w:rPr>
                <w:rFonts w:cs="宋体"/>
                <w:lang w:bidi="en-US"/>
              </w:rPr>
            </w:pPr>
            <w:r>
              <w:rPr>
                <w:rFonts w:cs="宋体"/>
                <w:lang w:bidi="en-US"/>
              </w:rPr>
              <w:t>1、</w:t>
            </w:r>
            <w:r>
              <w:rPr>
                <w:rFonts w:cs="宋体" w:hint="eastAsia"/>
                <w:lang w:bidi="en-US"/>
              </w:rPr>
              <w:t>投标人应在近三年未发生重大网络安全事件。</w:t>
            </w:r>
          </w:p>
          <w:p>
            <w:pPr>
              <w:ind w:firstLine="0"/>
              <w:rPr>
                <w:rFonts w:cs="宋体"/>
                <w:lang w:bidi="en-US"/>
              </w:rPr>
            </w:pPr>
            <w:r>
              <w:rPr>
                <w:rFonts w:cs="宋体"/>
                <w:lang w:bidi="en-US"/>
              </w:rPr>
              <w:t>2、</w:t>
            </w:r>
            <w:r>
              <w:rPr>
                <w:rFonts w:cs="宋体" w:hint="eastAsia"/>
                <w:lang w:bidi="en-US"/>
              </w:rPr>
              <w:t>投标人应对派出到采购人的技术服务人员进行背景调查，并与其签订网络安全承诺书、服务承诺书等，技术服务人员三年内没有网络安全、数据安全、个人信息保护领域犯罪或违法情况。</w:t>
            </w:r>
          </w:p>
          <w:p>
            <w:pPr>
              <w:ind w:firstLine="0"/>
              <w:rPr>
                <w:rFonts w:cs="宋体"/>
                <w:lang w:bidi="en-US"/>
              </w:rPr>
            </w:pPr>
            <w:r>
              <w:rPr>
                <w:rFonts w:cs="宋体"/>
                <w:lang w:bidi="en-US"/>
              </w:rPr>
              <w:t>3、</w:t>
            </w:r>
            <w:r>
              <w:rPr>
                <w:rFonts w:cs="宋体" w:hint="eastAsia"/>
                <w:lang w:bidi="en-US"/>
              </w:rPr>
              <w:t>投标人应根据采购人信息化系统维护服务的具体情况和国家相关规定，建立安全保密体系，确保人员的安全管理以及泄密后的相关法律责任的落实。</w:t>
            </w:r>
          </w:p>
          <w:p>
            <w:pPr>
              <w:ind w:firstLine="0"/>
              <w:rPr>
                <w:rFonts w:cs="宋体"/>
                <w:lang w:bidi="en-US"/>
              </w:rPr>
            </w:pPr>
            <w:r>
              <w:rPr>
                <w:rFonts w:cs="宋体"/>
                <w:lang w:bidi="en-US"/>
              </w:rPr>
              <w:t>4、</w:t>
            </w:r>
            <w:r>
              <w:rPr>
                <w:rFonts w:cs="宋体" w:hint="eastAsia"/>
                <w:lang w:bidi="en-US"/>
              </w:rPr>
              <w:t>投标人应按照合同要求，签订保密承诺书。</w:t>
            </w:r>
          </w:p>
          <w:p>
            <w:pPr>
              <w:ind w:firstLine="0"/>
            </w:pPr>
            <w:r>
              <w:rPr>
                <w:rFonts w:cs="宋体"/>
                <w:color w:val="000000"/>
                <w:lang w:bidi="en-US"/>
              </w:rPr>
              <w:t>提供承诺函并加盖单位公章。</w:t>
            </w:r>
          </w:p>
        </w:tc>
      </w:tr>
      <w:tr>
        <w:tblPrEx>
          <w:tblW w:w="9108" w:type="dxa"/>
          <w:jc w:val="left"/>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rPr>
              <w:t>5</w:t>
            </w:r>
          </w:p>
        </w:tc>
        <w:tc>
          <w:tcPr>
            <w:tcW w:w="1830" w:type="dxa"/>
            <w:vAlign w:val="center"/>
          </w:tcPr>
          <w:p>
            <w:pPr>
              <w:ind w:firstLine="0"/>
              <w:rPr>
                <w:rFonts w:ascii="宋体" w:eastAsia="宋体"/>
                <w:b/>
              </w:rPr>
            </w:pPr>
            <w:r>
              <w:rPr>
                <w:rFonts w:ascii="宋体" w:eastAsia="宋体" w:hint="eastAsia"/>
                <w:b/>
              </w:rPr>
              <w:t>是否需要现场考察</w:t>
            </w:r>
          </w:p>
        </w:tc>
        <w:tc>
          <w:tcPr>
            <w:tcW w:w="6840" w:type="dxa"/>
            <w:vAlign w:val="center"/>
          </w:tcPr>
          <w:p>
            <w:pPr>
              <w:ind w:firstLine="0"/>
              <w:rPr>
                <w:rFonts w:ascii="宋体" w:eastAsia="宋体"/>
                <w:lang w:bidi="en-US"/>
              </w:rPr>
            </w:pPr>
            <w:r>
              <w:rPr>
                <w:rFonts w:cs="宋体" w:hint="eastAsia"/>
                <w:iCs/>
                <w:lang w:bidi="en-US"/>
              </w:rPr>
              <w:t>无</w:t>
            </w:r>
          </w:p>
        </w:tc>
      </w:tr>
      <w:tr>
        <w:tblPrEx>
          <w:tblW w:w="9108" w:type="dxa"/>
          <w:jc w:val="left"/>
          <w:tblLayout w:type="fixed"/>
          <w:tblCellMar>
            <w:top w:w="0" w:type="dxa"/>
            <w:left w:w="108" w:type="dxa"/>
            <w:bottom w:w="0" w:type="dxa"/>
            <w:right w:w="108" w:type="dxa"/>
          </w:tblCellMar>
        </w:tblPrEx>
        <w:trPr>
          <w:trHeight w:val="1020"/>
          <w:jc w:val="left"/>
        </w:trPr>
        <w:tc>
          <w:tcPr>
            <w:tcW w:w="438" w:type="dxa"/>
            <w:vAlign w:val="center"/>
          </w:tcPr>
          <w:p>
            <w:pPr>
              <w:ind w:firstLine="0"/>
              <w:jc w:val="center"/>
              <w:rPr>
                <w:rFonts w:ascii="宋体" w:eastAsia="宋体"/>
              </w:rPr>
            </w:pPr>
            <w:r>
              <w:rPr>
                <w:rFonts w:ascii="宋体" w:eastAsia="宋体"/>
              </w:rPr>
              <w:t>6</w:t>
            </w:r>
          </w:p>
        </w:tc>
        <w:tc>
          <w:tcPr>
            <w:tcW w:w="1830" w:type="dxa"/>
            <w:vAlign w:val="center"/>
          </w:tcPr>
          <w:p>
            <w:pPr>
              <w:ind w:firstLine="0"/>
              <w:rPr>
                <w:rFonts w:ascii="宋体" w:eastAsia="宋体"/>
                <w:b/>
              </w:rPr>
            </w:pPr>
            <w:r>
              <w:rPr>
                <w:rFonts w:ascii="宋体" w:eastAsia="宋体" w:hint="eastAsia"/>
                <w:b/>
              </w:rPr>
              <w:t>是否收取履约保证金</w:t>
            </w:r>
          </w:p>
        </w:tc>
        <w:tc>
          <w:tcPr>
            <w:tcW w:w="6840" w:type="dxa"/>
            <w:vAlign w:val="center"/>
          </w:tcPr>
          <w:p>
            <w:pPr>
              <w:ind w:firstLine="0"/>
            </w:pPr>
            <w:r>
              <w:rPr>
                <w:rFonts w:cs="宋体" w:hint="eastAsia"/>
                <w:lang w:bidi="en-US"/>
              </w:rPr>
              <w:t>收取合同金额5%的履约保证金</w:t>
            </w:r>
            <w:r>
              <w:rPr>
                <w:rFonts w:eastAsia="宋体" w:cs="宋体"/>
                <w:lang w:bidi="en-US"/>
              </w:rPr>
              <w:t>。</w:t>
            </w:r>
          </w:p>
        </w:tc>
      </w:tr>
      <w:tr>
        <w:tblPrEx>
          <w:tblW w:w="9108" w:type="dxa"/>
          <w:jc w:val="left"/>
          <w:tblLayout w:type="fixed"/>
          <w:tblCellMar>
            <w:top w:w="0" w:type="dxa"/>
            <w:left w:w="108" w:type="dxa"/>
            <w:bottom w:w="0" w:type="dxa"/>
            <w:right w:w="108" w:type="dxa"/>
          </w:tblCellMar>
        </w:tblPrEx>
        <w:trPr>
          <w:trHeight w:val="1019"/>
          <w:jc w:val="left"/>
        </w:trPr>
        <w:tc>
          <w:tcPr>
            <w:tcW w:w="438" w:type="dxa"/>
            <w:vAlign w:val="center"/>
          </w:tcPr>
          <w:p>
            <w:pPr>
              <w:ind w:firstLine="0"/>
              <w:jc w:val="center"/>
              <w:rPr>
                <w:rFonts w:ascii="宋体" w:eastAsia="宋体"/>
              </w:rPr>
            </w:pPr>
            <w:r>
              <w:rPr>
                <w:rFonts w:ascii="宋体" w:eastAsia="宋体"/>
              </w:rPr>
              <w:t>7</w:t>
            </w:r>
          </w:p>
        </w:tc>
        <w:tc>
          <w:tcPr>
            <w:tcW w:w="1830" w:type="dxa"/>
            <w:vAlign w:val="center"/>
          </w:tcPr>
          <w:p>
            <w:pPr>
              <w:ind w:firstLine="0"/>
              <w:rPr>
                <w:rFonts w:ascii="宋体" w:eastAsia="宋体"/>
                <w:b/>
              </w:rPr>
            </w:pPr>
            <w:r>
              <w:rPr>
                <w:rFonts w:ascii="宋体" w:eastAsia="宋体"/>
                <w:b/>
              </w:rPr>
              <w:t>支付方式</w:t>
            </w:r>
          </w:p>
        </w:tc>
        <w:tc>
          <w:tcPr>
            <w:tcW w:w="6840" w:type="dxa"/>
            <w:vAlign w:val="center"/>
          </w:tcPr>
          <w:p>
            <w:pPr>
              <w:ind w:firstLine="0"/>
              <w:rPr>
                <w:rFonts w:cs="宋体"/>
                <w:lang w:bidi="en-US"/>
              </w:rPr>
            </w:pPr>
            <w:r>
              <w:rPr>
                <w:rFonts w:cs="宋体" w:hint="eastAsia"/>
                <w:lang w:bidi="en-US"/>
              </w:rPr>
              <w:t>1.</w:t>
            </w:r>
            <w:r>
              <w:rPr>
                <w:rFonts w:eastAsia="宋体" w:cs="宋体"/>
                <w:lang w:bidi="en-US"/>
              </w:rPr>
              <w:t>项目启动后</w:t>
            </w:r>
            <w:r>
              <w:rPr>
                <w:rFonts w:cs="宋体" w:hint="eastAsia"/>
                <w:lang w:bidi="en-US"/>
              </w:rPr>
              <w:t>，且甲方收到乙方提交的下列单据后1</w:t>
            </w:r>
            <w:r>
              <w:rPr>
                <w:rFonts w:cs="宋体"/>
                <w:lang w:bidi="en-US"/>
              </w:rPr>
              <w:t>0</w:t>
            </w:r>
            <w:r>
              <w:rPr>
                <w:rFonts w:cs="宋体" w:hint="eastAsia"/>
                <w:lang w:bidi="en-US"/>
              </w:rPr>
              <w:t>个工作日内，向乙方支付合同总价30%的合同款</w:t>
            </w:r>
            <w:r>
              <w:rPr>
                <w:rFonts w:eastAsia="宋体" w:cs="宋体"/>
                <w:lang w:bidi="en-US"/>
              </w:rPr>
              <w:t>；</w:t>
            </w:r>
          </w:p>
          <w:p>
            <w:pPr>
              <w:autoSpaceDN w:val="0"/>
              <w:ind w:firstLine="0"/>
              <w:rPr>
                <w:rFonts w:cs="宋体"/>
                <w:lang w:bidi="en-US"/>
              </w:rPr>
            </w:pPr>
            <w:r>
              <w:rPr>
                <w:rFonts w:cs="宋体" w:hint="eastAsia"/>
                <w:lang w:bidi="en-US"/>
              </w:rPr>
              <w:t>乙方提交单据：合同（正文部分复印件）、中标通知书（复印件）、发票（原件）、合同总价5%的履约保证金单据</w:t>
            </w:r>
            <w:r>
              <w:rPr>
                <w:rFonts w:eastAsia="宋体" w:cs="宋体" w:hint="eastAsia"/>
                <w:lang w:bidi="en-US"/>
              </w:rPr>
              <w:t>、</w:t>
            </w:r>
            <w:r>
              <w:rPr>
                <w:rFonts w:ascii="宋体" w:eastAsia="宋体" w:cs="宋体" w:hint="eastAsia"/>
              </w:rPr>
              <w:t>售后服务承诺函</w:t>
            </w:r>
            <w:r>
              <w:rPr>
                <w:rFonts w:cs="宋体" w:hint="eastAsia"/>
                <w:lang w:bidi="en-US"/>
              </w:rPr>
              <w:t>。</w:t>
            </w:r>
          </w:p>
          <w:p>
            <w:pPr>
              <w:ind w:firstLine="0"/>
              <w:rPr>
                <w:rFonts w:cs="宋体"/>
                <w:lang w:bidi="en-US"/>
              </w:rPr>
            </w:pPr>
            <w:r>
              <w:rPr>
                <w:rFonts w:cs="宋体" w:hint="eastAsia"/>
                <w:lang w:bidi="en-US"/>
              </w:rPr>
              <w:t>2.合同服务周期执行至50%时，且甲方收到乙方提交的下列单据后1</w:t>
            </w:r>
            <w:r>
              <w:rPr>
                <w:rFonts w:cs="宋体"/>
                <w:lang w:bidi="en-US"/>
              </w:rPr>
              <w:t>0</w:t>
            </w:r>
            <w:r>
              <w:rPr>
                <w:rFonts w:cs="宋体" w:hint="eastAsia"/>
                <w:lang w:bidi="en-US"/>
              </w:rPr>
              <w:t>个工作日内，甲方支付合同总价的40%；</w:t>
            </w:r>
          </w:p>
          <w:p>
            <w:pPr>
              <w:ind w:firstLine="0"/>
              <w:rPr>
                <w:rFonts w:cs="宋体"/>
                <w:lang w:bidi="en-US"/>
              </w:rPr>
            </w:pPr>
            <w:r>
              <w:rPr>
                <w:rFonts w:cs="宋体" w:hint="eastAsia"/>
                <w:lang w:bidi="en-US"/>
              </w:rPr>
              <w:t>乙方提交单据：合同（正文部分复印件）、中标通知书（复印件）、发票（原件）。</w:t>
            </w:r>
          </w:p>
          <w:p>
            <w:pPr>
              <w:ind w:firstLine="0"/>
              <w:rPr>
                <w:rFonts w:cs="宋体"/>
                <w:lang w:bidi="en-US"/>
              </w:rPr>
            </w:pPr>
            <w:r>
              <w:rPr>
                <w:rFonts w:cs="宋体" w:hint="eastAsia"/>
                <w:lang w:bidi="en-US"/>
              </w:rPr>
              <w:t>3.服务结束后，本合同经过甲方技术部门验收合格后，且甲方收到乙方提交的下列单据后1</w:t>
            </w:r>
            <w:r>
              <w:rPr>
                <w:rFonts w:cs="宋体"/>
                <w:lang w:bidi="en-US"/>
              </w:rPr>
              <w:t>0</w:t>
            </w:r>
            <w:r>
              <w:rPr>
                <w:rFonts w:cs="宋体" w:hint="eastAsia"/>
                <w:lang w:bidi="en-US"/>
              </w:rPr>
              <w:t>个工作日内，甲方支付合同总价的30%，无息退还乙方合同总价5%的履约保函。</w:t>
            </w:r>
          </w:p>
          <w:p>
            <w:pPr>
              <w:ind w:firstLine="0"/>
            </w:pPr>
            <w:r>
              <w:rPr>
                <w:rFonts w:cs="宋体" w:hint="eastAsia"/>
                <w:lang w:bidi="en-US"/>
              </w:rPr>
              <w:t>乙方提交单据：合同（正文部分复印件）、中标通知书（复印件）、发票（原件）、合同验收合格报告（原件），退保申请（原件）。</w:t>
            </w:r>
          </w:p>
        </w:tc>
      </w:tr>
    </w:tbl>
    <w:p>
      <w:pPr>
        <w:numPr>
          <w:ilvl w:val="0"/>
          <w:numId w:val="2"/>
        </w:numPr>
        <w:rPr>
          <w:rFonts w:ascii="宋体" w:eastAsia="宋体" w:hint="eastAsia"/>
        </w:rPr>
      </w:pPr>
      <w:bookmarkStart w:id="33" w:name="项目概述"/>
      <w:r>
        <w:rPr>
          <w:rFonts w:ascii="宋体" w:eastAsia="宋体" w:hint="eastAsia"/>
        </w:rPr>
        <w:t>项目概述</w:t>
      </w:r>
      <w:bookmarkEnd w:id="33"/>
    </w:p>
    <w:tbl>
      <w:tblPr>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r>
              <w:rPr>
                <w:rFonts w:ascii="宋体" w:eastAsia="宋体" w:hint="eastAsia"/>
                <w:b/>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ind w:firstLine="0"/>
              <w:jc w:val="center"/>
              <w:rPr>
                <w:rFonts w:ascii="宋体" w:eastAsia="宋体"/>
                <w:b/>
              </w:rPr>
            </w:pPr>
            <w:bookmarkStart w:id="34" w:name="项目概述_Title_说明_Required_Table"/>
            <w:r>
              <w:rPr>
                <w:rFonts w:ascii="宋体" w:eastAsia="宋体" w:hint="eastAsia"/>
                <w:b/>
              </w:rPr>
              <w:t>说明</w:t>
            </w:r>
            <w:bookmarkEnd w:id="34"/>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hAnsi="宋体" w:cs="宋体" w:hint="eastAsia"/>
              </w:rPr>
              <w:t>全国海关信息中心广东分中心负责运维的小型机、存储设备、PC服务器、网络等硬件设备，为海关信息化系统基础环境，承载着大量且重要的海关信息系统和应用。目前硬件设备维保服务即将到期，为确保海关信息系统安全稳定运行，拟申请通过公开招标方式采购小型机、存储设备、PC服务器、网络等硬件设备维保服务。</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pPr>
            <w:r>
              <w:rPr>
                <w:rFonts w:ascii="宋体" w:hAnsi="宋体" w:cs="宋体" w:hint="eastAsia"/>
              </w:rPr>
              <w:t>根据《系统部、网安部关于采购2024年硬件设备维保服务的请示》（信签 〔 2024 〕 9 号）签报。</w:t>
            </w:r>
          </w:p>
        </w:tc>
      </w:tr>
      <w:tr>
        <w:tblPrEx>
          <w:tblW w:w="9061" w:type="dxa"/>
          <w:jc w:val="left"/>
          <w:tblLayout w:type="fixed"/>
          <w:tblCellMar>
            <w:top w:w="0" w:type="dxa"/>
            <w:left w:w="108" w:type="dxa"/>
            <w:bottom w:w="0" w:type="dxa"/>
            <w:right w:w="108" w:type="dxa"/>
          </w:tblCellMar>
        </w:tblPrEx>
        <w:trPr>
          <w:trHeight w:val="1456"/>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b/>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lang w:bidi="en-US"/>
              </w:rPr>
              <w:t>采购小型机、存储设备、备份设备、PC服务器、网络等1080台（套）设备第三方维保服务，以及Veritas NetBackup备份软件、12台（套）网络和安全设备的维保服务。维保服务包括本项目涉及所有设备的故障维修、现场备件、微码升级、软件升级、漏洞修复、性能优化以及问题解决等。</w:t>
            </w:r>
          </w:p>
        </w:tc>
      </w:tr>
      <w:tr>
        <w:tblPrEx>
          <w:tblW w:w="9061" w:type="dxa"/>
          <w:jc w:val="left"/>
          <w:tblLayout w:type="fixed"/>
          <w:tblCellMar>
            <w:top w:w="0" w:type="dxa"/>
            <w:left w:w="108" w:type="dxa"/>
            <w:bottom w:w="0" w:type="dxa"/>
            <w:right w:w="108" w:type="dxa"/>
          </w:tblCellMar>
        </w:tblPrEx>
        <w:trPr>
          <w:trHeight w:val="1457"/>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hAnsi="宋体" w:cs="宋体" w:hint="eastAsia"/>
              </w:rPr>
              <w:t>采购小型机、存储设备、备份设备、PC服务器、网络等设备维保服务。</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hAnsi="宋体" w:cs="宋体" w:hint="eastAsia"/>
                <w:color w:val="000000"/>
              </w:rPr>
              <w:t>完成对目前能够提供</w:t>
            </w:r>
            <w:r>
              <w:rPr>
                <w:rFonts w:ascii="宋体" w:hAnsi="宋体" w:cs="宋体" w:hint="eastAsia"/>
              </w:rPr>
              <w:t>小型机、存储设备、PC服务器、网络</w:t>
            </w:r>
            <w:r>
              <w:rPr>
                <w:rFonts w:ascii="宋体" w:hAnsi="宋体" w:cs="宋体"/>
              </w:rPr>
              <w:t>等设备</w:t>
            </w:r>
            <w:r>
              <w:rPr>
                <w:rFonts w:ascii="宋体" w:hAnsi="宋体" w:cs="宋体" w:hint="eastAsia"/>
                <w:color w:val="000000"/>
              </w:rPr>
              <w:t>维保服务的公司和人员所需满足的资质、条件等情况以及采购本项目维保服务所需预算的市场调研工作，均可以满足本项目采购需求。</w:t>
            </w:r>
          </w:p>
        </w:tc>
      </w:tr>
      <w:tr>
        <w:tblPrEx>
          <w:tblW w:w="9061"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eastAsia="宋体" w:hint="eastAsia"/>
                <w:b/>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eastAsia="宋体"/>
                <w:lang w:bidi="en-US"/>
              </w:rPr>
              <w:t>无</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eastAsia="宋体"/>
              </w:rPr>
            </w:pPr>
            <w:r>
              <w:rPr>
                <w:rFonts w:ascii="宋体" w:eastAsia="宋体" w:hint="eastAsia"/>
              </w:rPr>
              <w:t>7</w:t>
            </w:r>
          </w:p>
        </w:tc>
        <w:tc>
          <w:tcPr>
            <w:tcW w:w="2631"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b/>
              </w:rPr>
            </w:pPr>
            <w:r>
              <w:rPr>
                <w:rFonts w:ascii="宋体" w:cs="宋体" w:hint="eastAsia"/>
              </w:rPr>
              <w:t>★</w:t>
            </w:r>
            <w:r>
              <w:rPr>
                <w:rFonts w:ascii="宋体" w:eastAsia="宋体" w:hint="eastAsia"/>
                <w:b/>
              </w:rPr>
              <w:t>项目履约时间</w:t>
            </w:r>
          </w:p>
        </w:tc>
        <w:tc>
          <w:tcPr>
            <w:tcW w:w="5672" w:type="dxa"/>
            <w:tcBorders>
              <w:top w:val="single" w:sz="4" w:space="0" w:color="auto"/>
              <w:left w:val="single" w:sz="4" w:space="0" w:color="auto"/>
              <w:bottom w:val="single" w:sz="4" w:space="0" w:color="auto"/>
              <w:right w:val="single" w:sz="4" w:space="0" w:color="auto"/>
            </w:tcBorders>
            <w:vAlign w:val="center"/>
          </w:tcPr>
          <w:p>
            <w:pPr>
              <w:ind w:firstLine="0"/>
              <w:rPr>
                <w:rFonts w:ascii="宋体" w:eastAsia="宋体"/>
                <w:lang w:bidi="en-US"/>
              </w:rPr>
            </w:pPr>
            <w:r>
              <w:rPr>
                <w:rFonts w:ascii="宋体" w:hAnsi="宋体" w:cs="宋体"/>
              </w:rPr>
              <w:t>6套风险探知系统履约时间从2024年8月29日至2025年8月18日，大</w:t>
            </w:r>
            <w:r>
              <w:rPr>
                <w:rFonts w:ascii="宋体" w:hAnsi="宋体" w:cs="宋体" w:hint="eastAsia"/>
              </w:rPr>
              <w:t>部分设备履约时间从202</w:t>
            </w:r>
            <w:r>
              <w:rPr>
                <w:rFonts w:ascii="宋体" w:hAnsi="宋体" w:cs="宋体"/>
              </w:rPr>
              <w:t>4</w:t>
            </w:r>
            <w:r>
              <w:rPr>
                <w:rFonts w:ascii="宋体" w:hAnsi="宋体" w:cs="宋体" w:hint="eastAsia"/>
              </w:rPr>
              <w:t>年1</w:t>
            </w:r>
            <w:r>
              <w:rPr>
                <w:rFonts w:ascii="宋体" w:hAnsi="宋体" w:cs="宋体"/>
              </w:rPr>
              <w:t>0</w:t>
            </w:r>
            <w:r>
              <w:rPr>
                <w:rFonts w:ascii="宋体" w:hAnsi="宋体" w:cs="宋体" w:hint="eastAsia"/>
              </w:rPr>
              <w:t>月1</w:t>
            </w:r>
            <w:r>
              <w:rPr>
                <w:rFonts w:ascii="宋体" w:hAnsi="宋体" w:cs="宋体"/>
              </w:rPr>
              <w:t>9</w:t>
            </w:r>
            <w:r>
              <w:rPr>
                <w:rFonts w:ascii="宋体" w:hAnsi="宋体" w:cs="宋体" w:hint="eastAsia"/>
              </w:rPr>
              <w:t>日起至202</w:t>
            </w:r>
            <w:r>
              <w:rPr>
                <w:rFonts w:ascii="宋体" w:hAnsi="宋体" w:cs="宋体"/>
              </w:rPr>
              <w:t>5</w:t>
            </w:r>
            <w:r>
              <w:rPr>
                <w:rFonts w:ascii="宋体" w:hAnsi="宋体" w:cs="宋体" w:hint="eastAsia"/>
              </w:rPr>
              <w:t>年</w:t>
            </w:r>
            <w:r>
              <w:rPr>
                <w:rFonts w:ascii="宋体" w:hAnsi="宋体" w:cs="宋体"/>
              </w:rPr>
              <w:t>8</w:t>
            </w:r>
            <w:r>
              <w:rPr>
                <w:rFonts w:ascii="宋体" w:hAnsi="宋体" w:cs="宋体" w:hint="eastAsia"/>
              </w:rPr>
              <w:t>月1</w:t>
            </w:r>
            <w:r>
              <w:rPr>
                <w:rFonts w:ascii="宋体" w:hAnsi="宋体" w:cs="宋体"/>
              </w:rPr>
              <w:t>8</w:t>
            </w:r>
            <w:r>
              <w:rPr>
                <w:rFonts w:ascii="宋体" w:hAnsi="宋体" w:cs="宋体" w:hint="eastAsia"/>
              </w:rPr>
              <w:t>日；</w:t>
            </w:r>
            <w:r>
              <w:rPr>
                <w:rFonts w:ascii="宋体" w:hAnsi="宋体" w:cs="宋体"/>
              </w:rPr>
              <w:t>个别</w:t>
            </w:r>
            <w:r>
              <w:rPr>
                <w:rFonts w:ascii="宋体" w:hAnsi="宋体" w:cs="宋体" w:hint="eastAsia"/>
              </w:rPr>
              <w:t>设备</w:t>
            </w:r>
            <w:r>
              <w:rPr>
                <w:rFonts w:ascii="宋体" w:hAnsi="宋体" w:cs="宋体"/>
              </w:rPr>
              <w:t>未过保，</w:t>
            </w:r>
            <w:r>
              <w:rPr>
                <w:rFonts w:ascii="宋体" w:hAnsi="宋体" w:cs="宋体" w:hint="eastAsia"/>
              </w:rPr>
              <w:t>履约时间从过保之日</w:t>
            </w:r>
            <w:r>
              <w:rPr>
                <w:rFonts w:ascii="宋体" w:hAnsi="宋体" w:cs="宋体"/>
              </w:rPr>
              <w:t>（不早于2024年11月23日）</w:t>
            </w:r>
            <w:r>
              <w:rPr>
                <w:rFonts w:ascii="宋体" w:hAnsi="宋体" w:cs="宋体" w:hint="eastAsia"/>
              </w:rPr>
              <w:t>起至202</w:t>
            </w:r>
            <w:r>
              <w:rPr>
                <w:rFonts w:ascii="宋体" w:hAnsi="宋体" w:cs="宋体"/>
              </w:rPr>
              <w:t>5</w:t>
            </w:r>
            <w:r>
              <w:rPr>
                <w:rFonts w:ascii="宋体" w:hAnsi="宋体" w:cs="宋体" w:hint="eastAsia"/>
              </w:rPr>
              <w:t>年</w:t>
            </w:r>
            <w:r>
              <w:rPr>
                <w:rFonts w:ascii="宋体" w:hAnsi="宋体" w:cs="宋体"/>
              </w:rPr>
              <w:t>8</w:t>
            </w:r>
            <w:r>
              <w:rPr>
                <w:rFonts w:ascii="宋体" w:hAnsi="宋体" w:cs="宋体" w:hint="eastAsia"/>
              </w:rPr>
              <w:t>月1</w:t>
            </w:r>
            <w:r>
              <w:rPr>
                <w:rFonts w:ascii="宋体" w:hAnsi="宋体" w:cs="宋体"/>
              </w:rPr>
              <w:t>8</w:t>
            </w:r>
            <w:r>
              <w:rPr>
                <w:rFonts w:ascii="宋体" w:hAnsi="宋体" w:cs="宋体" w:hint="eastAsia"/>
              </w:rPr>
              <w:t>日(详见设备清单)。</w:t>
            </w:r>
            <w:r>
              <w:rPr>
                <w:rFonts w:ascii="宋体" w:hAnsi="宋体" w:cs="宋体"/>
              </w:rPr>
              <w:t>提供承诺函并加盖单位公章。</w:t>
            </w:r>
          </w:p>
        </w:tc>
      </w:tr>
    </w:tbl>
    <w:p>
      <w:pPr>
        <w:rPr>
          <w:rFonts w:ascii="宋体" w:eastAsia="宋体"/>
        </w:rPr>
      </w:pPr>
    </w:p>
    <w:p>
      <w:pPr>
        <w:numPr>
          <w:ilvl w:val="0"/>
          <w:numId w:val="2"/>
        </w:numPr>
        <w:rPr>
          <w:rFonts w:ascii="宋体" w:eastAsia="宋体" w:hint="eastAsia"/>
        </w:rPr>
      </w:pPr>
      <w:bookmarkStart w:id="35" w:name="集成需求"/>
      <w:r>
        <w:rPr>
          <w:rFonts w:ascii="宋体" w:eastAsia="宋体" w:hint="eastAsia"/>
        </w:rPr>
        <w:t>集成需求</w:t>
      </w:r>
      <w:bookmarkEnd w:id="35"/>
    </w:p>
    <w:tbl>
      <w:tblPr>
        <w:tblW w:w="826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95"/>
        <w:gridCol w:w="1173"/>
        <w:gridCol w:w="6400"/>
      </w:tblGrid>
      <w:tr>
        <w:tblPrEx>
          <w:tblW w:w="826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0"/>
          <w:jc w:val="left"/>
        </w:trPr>
        <w:tc>
          <w:tcPr>
            <w:tcW w:w="695" w:type="dxa"/>
            <w:shd w:val="clear" w:color="A6A6A6" w:fill="A6A6A6"/>
          </w:tcPr>
          <w:p>
            <w:pPr>
              <w:ind w:firstLine="0"/>
              <w:jc w:val="center"/>
              <w:rPr>
                <w:rFonts w:ascii="宋体" w:eastAsia="宋体"/>
                <w:b/>
              </w:rPr>
            </w:pPr>
            <w:r>
              <w:rPr>
                <w:rFonts w:ascii="宋体" w:eastAsia="宋体" w:hint="eastAsia"/>
                <w:b/>
              </w:rPr>
              <w:t>序号</w:t>
            </w:r>
          </w:p>
        </w:tc>
        <w:tc>
          <w:tcPr>
            <w:tcW w:w="1173" w:type="dxa"/>
            <w:shd w:val="clear" w:color="A6A6A6" w:fill="A6A6A6"/>
          </w:tcPr>
          <w:p>
            <w:pPr>
              <w:ind w:firstLine="0"/>
              <w:jc w:val="center"/>
              <w:rPr>
                <w:rFonts w:ascii="宋体" w:eastAsia="宋体"/>
                <w:b/>
              </w:rPr>
            </w:pPr>
            <w:r>
              <w:rPr>
                <w:rFonts w:ascii="宋体" w:eastAsia="宋体" w:hint="eastAsia"/>
                <w:b/>
              </w:rPr>
              <w:t>内容</w:t>
            </w:r>
          </w:p>
        </w:tc>
        <w:tc>
          <w:tcPr>
            <w:tcW w:w="6400" w:type="dxa"/>
            <w:shd w:val="clear" w:color="A6A6A6" w:fill="A6A6A6"/>
          </w:tcPr>
          <w:p>
            <w:pPr>
              <w:ind w:firstLine="0"/>
              <w:jc w:val="center"/>
              <w:rPr>
                <w:rFonts w:ascii="宋体" w:eastAsia="宋体"/>
                <w:b/>
              </w:rPr>
            </w:pPr>
            <w:bookmarkStart w:id="36" w:name="集成需求_Title_说明_Required_Table"/>
            <w:r>
              <w:rPr>
                <w:rFonts w:ascii="宋体" w:eastAsia="宋体" w:hint="eastAsia"/>
                <w:b/>
              </w:rPr>
              <w:t>说明</w:t>
            </w:r>
            <w:bookmarkEnd w:id="36"/>
          </w:p>
        </w:tc>
      </w:tr>
      <w:tr>
        <w:tblPrEx>
          <w:tblW w:w="8268" w:type="dxa"/>
          <w:jc w:val="left"/>
          <w:tblCellMar>
            <w:top w:w="0" w:type="dxa"/>
            <w:left w:w="108" w:type="dxa"/>
            <w:bottom w:w="0" w:type="dxa"/>
            <w:right w:w="108" w:type="dxa"/>
          </w:tblCellMar>
        </w:tblPrEx>
        <w:trPr>
          <w:trHeight w:val="566"/>
          <w:jc w:val="left"/>
        </w:trPr>
        <w:tc>
          <w:tcPr>
            <w:tcW w:w="695" w:type="dxa"/>
            <w:vAlign w:val="center"/>
          </w:tcPr>
          <w:p>
            <w:pPr>
              <w:ind w:firstLine="0"/>
              <w:jc w:val="center"/>
              <w:rPr>
                <w:rFonts w:ascii="宋体" w:eastAsia="宋体"/>
              </w:rPr>
            </w:pPr>
            <w:r>
              <w:rPr>
                <w:rFonts w:ascii="宋体" w:eastAsia="宋体" w:hint="eastAsia"/>
                <w:b/>
              </w:rPr>
              <w:t>1</w:t>
            </w:r>
          </w:p>
        </w:tc>
        <w:tc>
          <w:tcPr>
            <w:tcW w:w="1173" w:type="dxa"/>
            <w:vAlign w:val="center"/>
          </w:tcPr>
          <w:p>
            <w:pPr>
              <w:ind w:firstLine="0"/>
              <w:rPr>
                <w:rFonts w:ascii="宋体" w:eastAsia="宋体"/>
                <w:b/>
              </w:rPr>
            </w:pPr>
            <w:r>
              <w:rPr>
                <w:rFonts w:ascii="宋体" w:eastAsia="宋体" w:hint="eastAsia"/>
                <w:b/>
              </w:rPr>
              <w:t>业务需求</w:t>
            </w:r>
          </w:p>
        </w:tc>
        <w:tc>
          <w:tcPr>
            <w:tcW w:w="6400" w:type="dxa"/>
            <w:vAlign w:val="center"/>
          </w:tcPr>
          <w:p>
            <w:pPr>
              <w:ind w:firstLine="0"/>
              <w:rPr>
                <w:rFonts w:ascii="宋体" w:eastAsia="宋体"/>
                <w:lang w:bidi="en-US"/>
              </w:rPr>
            </w:pPr>
            <w:r>
              <w:rPr>
                <w:rFonts w:ascii="宋体" w:eastAsia="宋体"/>
                <w:lang w:bidi="en-US"/>
              </w:rPr>
              <w:t>无</w:t>
            </w:r>
          </w:p>
        </w:tc>
      </w:tr>
      <w:tr>
        <w:tblPrEx>
          <w:tblW w:w="8268" w:type="dxa"/>
          <w:jc w:val="left"/>
          <w:tblCellMar>
            <w:top w:w="0" w:type="dxa"/>
            <w:left w:w="108" w:type="dxa"/>
            <w:bottom w:w="0" w:type="dxa"/>
            <w:right w:w="108" w:type="dxa"/>
          </w:tblCellMar>
        </w:tblPrEx>
        <w:trPr>
          <w:trHeight w:val="566"/>
          <w:jc w:val="left"/>
        </w:trPr>
        <w:tc>
          <w:tcPr>
            <w:tcW w:w="695" w:type="dxa"/>
            <w:vAlign w:val="center"/>
          </w:tcPr>
          <w:p>
            <w:pPr>
              <w:ind w:firstLine="0"/>
              <w:jc w:val="center"/>
              <w:rPr>
                <w:rFonts w:ascii="宋体" w:eastAsia="宋体"/>
              </w:rPr>
            </w:pPr>
            <w:r>
              <w:rPr>
                <w:rFonts w:ascii="宋体" w:eastAsia="宋体" w:hint="eastAsia"/>
                <w:b/>
              </w:rPr>
              <w:t>2</w:t>
            </w:r>
          </w:p>
        </w:tc>
        <w:tc>
          <w:tcPr>
            <w:tcW w:w="1173" w:type="dxa"/>
            <w:vAlign w:val="center"/>
          </w:tcPr>
          <w:p>
            <w:pPr>
              <w:ind w:firstLine="0"/>
              <w:rPr>
                <w:rFonts w:ascii="宋体" w:eastAsia="宋体"/>
                <w:b/>
              </w:rPr>
            </w:pPr>
            <w:r>
              <w:rPr>
                <w:rFonts w:ascii="宋体" w:eastAsia="宋体" w:hint="eastAsia"/>
                <w:b/>
              </w:rPr>
              <w:t>技术需求</w:t>
            </w:r>
          </w:p>
        </w:tc>
        <w:tc>
          <w:tcPr>
            <w:tcW w:w="6400" w:type="dxa"/>
            <w:vAlign w:val="center"/>
          </w:tcPr>
          <w:p>
            <w:pPr>
              <w:ind w:firstLine="0"/>
              <w:rPr>
                <w:rFonts w:ascii="宋体" w:eastAsia="宋体"/>
                <w:lang w:bidi="en-US"/>
              </w:rPr>
            </w:pPr>
            <w:r>
              <w:rPr>
                <w:rFonts w:ascii="宋体" w:eastAsia="宋体"/>
                <w:lang w:bidi="en-US"/>
              </w:rPr>
              <w:t>无</w:t>
            </w:r>
          </w:p>
        </w:tc>
      </w:tr>
      <w:tr>
        <w:tblPrEx>
          <w:tblW w:w="8268" w:type="dxa"/>
          <w:jc w:val="left"/>
          <w:tblCellMar>
            <w:top w:w="0" w:type="dxa"/>
            <w:left w:w="108" w:type="dxa"/>
            <w:bottom w:w="0" w:type="dxa"/>
            <w:right w:w="108" w:type="dxa"/>
          </w:tblCellMar>
        </w:tblPrEx>
        <w:trPr>
          <w:trHeight w:val="566"/>
          <w:jc w:val="left"/>
        </w:trPr>
        <w:tc>
          <w:tcPr>
            <w:tcW w:w="695" w:type="dxa"/>
            <w:vAlign w:val="center"/>
          </w:tcPr>
          <w:p>
            <w:pPr>
              <w:ind w:firstLine="0"/>
              <w:jc w:val="center"/>
              <w:rPr>
                <w:rFonts w:ascii="宋体" w:eastAsia="宋体"/>
              </w:rPr>
            </w:pPr>
            <w:r>
              <w:rPr>
                <w:rFonts w:ascii="宋体" w:eastAsia="宋体" w:hint="eastAsia"/>
                <w:b/>
              </w:rPr>
              <w:t>3</w:t>
            </w:r>
          </w:p>
        </w:tc>
        <w:tc>
          <w:tcPr>
            <w:tcW w:w="1173" w:type="dxa"/>
            <w:vAlign w:val="center"/>
          </w:tcPr>
          <w:p>
            <w:pPr>
              <w:ind w:firstLine="0"/>
              <w:rPr>
                <w:rFonts w:ascii="宋体" w:eastAsia="宋体"/>
                <w:b/>
              </w:rPr>
            </w:pPr>
            <w:r>
              <w:rPr>
                <w:rFonts w:ascii="宋体" w:eastAsia="宋体" w:hint="eastAsia"/>
                <w:b/>
              </w:rPr>
              <w:t>系统需求</w:t>
            </w:r>
          </w:p>
        </w:tc>
        <w:tc>
          <w:tcPr>
            <w:tcW w:w="6400" w:type="dxa"/>
            <w:vAlign w:val="center"/>
          </w:tcPr>
          <w:p>
            <w:pPr>
              <w:ind w:firstLine="0"/>
              <w:rPr>
                <w:rFonts w:ascii="宋体" w:eastAsia="宋体"/>
                <w:lang w:bidi="en-US"/>
              </w:rPr>
            </w:pPr>
            <w:r>
              <w:rPr>
                <w:rFonts w:ascii="宋体" w:eastAsia="宋体"/>
                <w:lang w:bidi="en-US"/>
              </w:rPr>
              <w:t>无</w:t>
            </w:r>
          </w:p>
        </w:tc>
      </w:tr>
    </w:tbl>
    <w:p>
      <w:pPr>
        <w:rPr>
          <w:rFonts w:ascii="宋体" w:eastAsia="宋体"/>
        </w:rPr>
      </w:pPr>
    </w:p>
    <w:p>
      <w:pPr>
        <w:numPr>
          <w:ilvl w:val="0"/>
          <w:numId w:val="2"/>
        </w:numPr>
        <w:rPr>
          <w:rFonts w:ascii="宋体" w:eastAsia="宋体" w:hint="eastAsia"/>
        </w:rPr>
      </w:pPr>
      <w:bookmarkStart w:id="37" w:name="货物或服务指标要求"/>
      <w:r>
        <w:rPr>
          <w:rFonts w:ascii="宋体" w:eastAsia="宋体" w:hint="eastAsia"/>
        </w:rPr>
        <w:t>货物或服务指标要求</w:t>
      </w:r>
      <w:bookmarkEnd w:id="37"/>
    </w:p>
    <w:p>
      <w:pPr>
        <w:rPr>
          <w:rFonts w:ascii="宋体" w:eastAsia="宋体"/>
        </w:rPr>
      </w:pPr>
      <w:r>
        <w:rPr>
          <w:rFonts w:ascii="宋体" w:eastAsia="宋体" w:hint="eastAsia"/>
        </w:rPr>
        <w:t>参数指标要求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firstLine="0"/>
        <w:rPr>
          <w:rFonts w:ascii="宋体" w:eastAsia="宋体"/>
        </w:rPr>
      </w:pP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2780"/>
        <w:gridCol w:w="1919"/>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tcPr>
          <w:p>
            <w:pPr>
              <w:ind w:firstLine="0"/>
              <w:jc w:val="center"/>
              <w:rPr>
                <w:rFonts w:ascii="宋体" w:eastAsia="宋体"/>
                <w:b/>
              </w:rPr>
            </w:pPr>
            <w:bookmarkStart w:id="38" w:name="指标明细_index_Required_goodsId"/>
            <w:bookmarkEnd w:id="38"/>
            <w:r>
              <w:rPr>
                <w:rFonts w:ascii="宋体" w:eastAsia="宋体" w:hint="eastAsia"/>
                <w:b/>
              </w:rPr>
              <w:t>序号</w:t>
            </w:r>
          </w:p>
        </w:tc>
        <w:tc>
          <w:tcPr>
            <w:tcW w:w="1132" w:type="dxa"/>
            <w:shd w:val="clear" w:color="A6A6A6" w:fill="A6A6A6"/>
          </w:tcPr>
          <w:p>
            <w:pPr>
              <w:ind w:firstLine="0"/>
              <w:jc w:val="center"/>
              <w:rPr>
                <w:rFonts w:ascii="宋体" w:eastAsia="宋体"/>
                <w:b/>
              </w:rPr>
            </w:pPr>
            <w:r>
              <w:rPr>
                <w:rFonts w:ascii="宋体" w:eastAsia="宋体" w:hint="eastAsia"/>
                <w:b/>
              </w:rPr>
              <w:t>重要性</w:t>
            </w:r>
          </w:p>
        </w:tc>
        <w:tc>
          <w:tcPr>
            <w:tcW w:w="1795" w:type="dxa"/>
            <w:shd w:val="clear" w:color="A6A6A6" w:fill="A6A6A6"/>
          </w:tcPr>
          <w:p>
            <w:pPr>
              <w:ind w:firstLine="0"/>
              <w:jc w:val="center"/>
              <w:rPr>
                <w:rFonts w:ascii="宋体" w:eastAsia="宋体"/>
                <w:b/>
              </w:rPr>
            </w:pPr>
            <w:r>
              <w:rPr>
                <w:rFonts w:ascii="宋体" w:eastAsia="宋体" w:hint="eastAsia"/>
                <w:b/>
              </w:rPr>
              <w:t>指标项</w:t>
            </w:r>
          </w:p>
        </w:tc>
        <w:tc>
          <w:tcPr>
            <w:tcW w:w="2780" w:type="dxa"/>
            <w:shd w:val="clear" w:color="A6A6A6" w:fill="A6A6A6"/>
          </w:tcPr>
          <w:p>
            <w:pPr>
              <w:ind w:firstLine="0"/>
              <w:jc w:val="center"/>
              <w:rPr>
                <w:rFonts w:ascii="宋体" w:eastAsia="宋体"/>
                <w:b/>
              </w:rPr>
            </w:pPr>
            <w:r>
              <w:rPr>
                <w:rFonts w:ascii="宋体" w:eastAsia="宋体" w:hint="eastAsia"/>
                <w:b/>
              </w:rPr>
              <w:t>指标要求</w:t>
            </w:r>
          </w:p>
        </w:tc>
        <w:tc>
          <w:tcPr>
            <w:tcW w:w="1919" w:type="dxa"/>
            <w:shd w:val="clear" w:color="A6A6A6" w:fill="A6A6A6"/>
          </w:tcPr>
          <w:p>
            <w:pPr>
              <w:ind w:firstLine="0"/>
              <w:jc w:val="center"/>
              <w:rPr>
                <w:rFonts w:ascii="宋体" w:eastAsia="宋体"/>
                <w:b/>
              </w:rPr>
            </w:pPr>
            <w:r>
              <w:rPr>
                <w:rFonts w:ascii="宋体" w:eastAsia="宋体" w:hint="eastAsia"/>
                <w:b/>
              </w:rPr>
              <w:t>证明材料要求</w:t>
            </w:r>
          </w:p>
        </w:tc>
      </w:tr>
      <w:tr>
        <w:tblPrEx>
          <w:tblW w:w="8519" w:type="dxa"/>
          <w:jc w:val="left"/>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hint="eastAsia"/>
              </w:rPr>
            </w:pPr>
            <w:r>
              <w:rPr>
                <w:rFonts w:ascii="宋体" w:cs="宋体" w:hint="eastAsia"/>
              </w:rPr>
              <w:t>无</w:t>
            </w:r>
          </w:p>
        </w:tc>
        <w:tc>
          <w:tcPr>
            <w:tcW w:w="1132" w:type="dxa"/>
            <w:vAlign w:val="center"/>
          </w:tcPr>
          <w:p>
            <w:pPr>
              <w:ind w:firstLine="0"/>
              <w:jc w:val="center"/>
              <w:rPr>
                <w:rFonts w:ascii="宋体" w:hint="eastAsia"/>
              </w:rPr>
            </w:pPr>
            <w:r>
              <w:rPr>
                <w:rFonts w:ascii="宋体" w:cs="宋体" w:hint="eastAsia"/>
              </w:rPr>
              <w:t>无</w:t>
            </w:r>
          </w:p>
        </w:tc>
        <w:tc>
          <w:tcPr>
            <w:tcW w:w="1795" w:type="dxa"/>
            <w:vAlign w:val="center"/>
          </w:tcPr>
          <w:p>
            <w:pPr>
              <w:jc w:val="center"/>
              <w:rPr>
                <w:rFonts w:ascii="宋体" w:hint="eastAsia"/>
              </w:rPr>
            </w:pPr>
            <w:r>
              <w:rPr>
                <w:rFonts w:ascii="宋体" w:cs="宋体" w:hint="eastAsia"/>
              </w:rPr>
              <w:t>无</w:t>
            </w:r>
          </w:p>
        </w:tc>
        <w:tc>
          <w:tcPr>
            <w:tcW w:w="2780" w:type="dxa"/>
            <w:vAlign w:val="center"/>
          </w:tcPr>
          <w:p>
            <w:pPr>
              <w:jc w:val="center"/>
              <w:rPr>
                <w:rFonts w:ascii="宋体" w:hint="eastAsia"/>
              </w:rPr>
            </w:pPr>
            <w:r>
              <w:rPr>
                <w:rFonts w:ascii="宋体" w:cs="宋体" w:hint="eastAsia"/>
              </w:rPr>
              <w:t>无</w:t>
            </w:r>
          </w:p>
        </w:tc>
        <w:tc>
          <w:tcPr>
            <w:tcW w:w="1919" w:type="dxa"/>
            <w:vAlign w:val="center"/>
          </w:tcPr>
          <w:p>
            <w:pPr>
              <w:jc w:val="center"/>
              <w:rPr>
                <w:rFonts w:ascii="宋体" w:hint="eastAsia"/>
              </w:rPr>
            </w:pPr>
            <w:r>
              <w:rPr>
                <w:rFonts w:ascii="宋体" w:cs="宋体" w:hint="eastAsia"/>
              </w:rPr>
              <w:t>无</w:t>
            </w:r>
          </w:p>
        </w:tc>
      </w:tr>
    </w:tbl>
    <w:p>
      <w:pPr>
        <w:rPr>
          <w:rFonts w:ascii="宋体" w:eastAsia="宋体"/>
        </w:rPr>
      </w:pPr>
    </w:p>
    <w:p>
      <w:pPr>
        <w:numPr>
          <w:ilvl w:val="0"/>
          <w:numId w:val="2"/>
        </w:numPr>
        <w:rPr>
          <w:rFonts w:ascii="宋体" w:eastAsia="宋体" w:hint="eastAsia"/>
        </w:rPr>
      </w:pPr>
      <w:bookmarkStart w:id="39" w:name="服务要求"/>
      <w:r>
        <w:rPr>
          <w:rFonts w:ascii="宋体" w:eastAsia="宋体" w:hint="eastAsia"/>
        </w:rPr>
        <w:t>服务要求</w:t>
      </w:r>
      <w:bookmarkEnd w:id="39"/>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②“证明材料要求”项可填“是”和“否”。填“是”的，投标人须按“服务要求标准”提供相关证明材料。</w:t>
      </w: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bookmarkStart w:id="40" w:name="服务要求_Title_服务要求标准_Required_Table"/>
            <w:r>
              <w:rPr>
                <w:rFonts w:ascii="宋体" w:eastAsia="宋体" w:hint="eastAsia"/>
              </w:rPr>
              <w:t>服务要求标准</w:t>
            </w:r>
            <w:bookmarkEnd w:id="40"/>
          </w:p>
        </w:tc>
        <w:tc>
          <w:tcPr>
            <w:tcW w:w="1685" w:type="dxa"/>
          </w:tcPr>
          <w:p>
            <w:pPr>
              <w:ind w:firstLine="0"/>
              <w:jc w:val="center"/>
              <w:rPr>
                <w:rFonts w:ascii="宋体" w:eastAsia="宋体"/>
              </w:rPr>
            </w:pPr>
            <w:bookmarkStart w:id="41" w:name="服务要求_Title_证明材料要求_Required_Table"/>
            <w:r>
              <w:rPr>
                <w:rFonts w:ascii="宋体" w:eastAsia="宋体" w:hint="eastAsia"/>
              </w:rPr>
              <w:t>证明材料要求</w:t>
            </w:r>
            <w:bookmarkEnd w:id="41"/>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w:t>
            </w:r>
          </w:p>
        </w:tc>
        <w:tc>
          <w:tcPr>
            <w:tcW w:w="1140" w:type="dxa"/>
            <w:vAlign w:val="center"/>
          </w:tcPr>
          <w:p>
            <w:pPr>
              <w:ind w:firstLine="0"/>
              <w:jc w:val="center"/>
              <w:rPr>
                <w:rFonts w:ascii="宋体" w:eastAsia="宋体"/>
              </w:rPr>
            </w:pPr>
            <w:r>
              <w:rPr>
                <w:rFonts w:ascii="宋体" w:eastAsia="宋体"/>
              </w:rPr>
              <w:t>维保服务</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ind w:firstLine="0"/>
              <w:rPr>
                <w:rFonts w:ascii="宋体" w:hAnsi="宋体" w:cs="宋体"/>
              </w:rPr>
            </w:pPr>
            <w:r>
              <w:rPr>
                <w:rFonts w:ascii="宋体" w:hAnsi="宋体" w:cs="宋体" w:hint="eastAsia"/>
              </w:rPr>
              <w:t>1、提供Veritas NetBackup备份软件</w:t>
            </w:r>
            <w:r>
              <w:rPr>
                <w:rFonts w:ascii="宋体" w:eastAsia="宋体"/>
                <w:lang w:bidi="en-US"/>
              </w:rPr>
              <w:t>（详见设备清单）</w:t>
            </w:r>
            <w:r>
              <w:rPr>
                <w:rFonts w:ascii="宋体" w:hAnsi="宋体" w:cs="宋体" w:hint="eastAsia"/>
              </w:rPr>
              <w:t>维保服务，包括7*24小时电话技术支持、5人天现场服务、软件免费升级服务以及技术咨询服务</w:t>
            </w:r>
            <w:r>
              <w:rPr>
                <w:rFonts w:ascii="宋体" w:hAnsi="宋体" w:cs="宋体"/>
              </w:rPr>
              <w:t>。</w:t>
            </w:r>
            <w:r>
              <w:rPr>
                <w:rFonts w:ascii="宋体" w:hAnsi="宋体" w:cs="宋体" w:hint="eastAsia"/>
                <w:bCs/>
                <w:bdr w:val="none" w:sz="0" w:space="0" w:color="auto"/>
              </w:rPr>
              <w:t>投标人</w:t>
            </w:r>
            <w:r>
              <w:rPr>
                <w:rFonts w:ascii="宋体" w:hAnsi="宋体" w:cs="宋体"/>
                <w:bCs/>
                <w:bdr w:val="none" w:sz="0" w:space="0" w:color="auto"/>
              </w:rPr>
              <w:t>须</w:t>
            </w:r>
            <w:r>
              <w:rPr>
                <w:rFonts w:ascii="宋体" w:hAnsi="宋体" w:cs="宋体" w:hint="eastAsia"/>
                <w:bCs/>
                <w:bdr w:val="none" w:sz="0" w:space="0" w:color="auto"/>
              </w:rPr>
              <w:t>出具售后服务承诺函，承诺</w:t>
            </w:r>
            <w:r>
              <w:rPr>
                <w:rFonts w:ascii="宋体" w:hAnsi="宋体" w:cs="宋体"/>
                <w:bCs/>
                <w:bdr w:val="none" w:sz="0" w:space="0" w:color="auto"/>
              </w:rPr>
              <w:t>能</w:t>
            </w:r>
            <w:r>
              <w:rPr>
                <w:rFonts w:ascii="宋体" w:hAnsi="宋体" w:cs="宋体" w:hint="eastAsia"/>
                <w:bCs/>
                <w:bdr w:val="none" w:sz="0" w:space="0" w:color="auto"/>
              </w:rPr>
              <w:t>调动原厂专家</w:t>
            </w:r>
            <w:r>
              <w:rPr>
                <w:rFonts w:ascii="宋体" w:hAnsi="宋体" w:cs="宋体"/>
                <w:bCs/>
                <w:bdr w:val="none" w:sz="0" w:space="0" w:color="auto"/>
              </w:rPr>
              <w:t>或力量提供现场服务等</w:t>
            </w:r>
            <w:r>
              <w:rPr>
                <w:rFonts w:ascii="宋体" w:hAnsi="宋体" w:cs="宋体" w:hint="eastAsia"/>
              </w:rPr>
              <w:t>。</w:t>
            </w:r>
          </w:p>
          <w:p>
            <w:pPr>
              <w:ind w:firstLine="0"/>
            </w:pPr>
            <w:r>
              <w:rPr>
                <w:rFonts w:ascii="宋体" w:hAnsi="宋体" w:cs="宋体" w:hint="eastAsia"/>
              </w:rPr>
              <w:t>2、提供</w:t>
            </w:r>
            <w:r>
              <w:rPr>
                <w:rFonts w:ascii="宋体" w:eastAsia="宋体"/>
                <w:lang w:bidi="en-US"/>
              </w:rPr>
              <w:t>12台（套）网络和安全设备（详见设备清单）</w:t>
            </w:r>
            <w:r>
              <w:rPr>
                <w:rFonts w:ascii="宋体" w:hAnsi="宋体" w:cs="宋体" w:hint="eastAsia"/>
              </w:rPr>
              <w:t>的维保服务，包括7*24小时电话技术支持</w:t>
            </w:r>
            <w:r>
              <w:rPr>
                <w:rFonts w:ascii="宋体" w:hAnsi="宋体" w:cs="宋体"/>
              </w:rPr>
              <w:t>，提供</w:t>
            </w:r>
            <w:r>
              <w:rPr>
                <w:rFonts w:ascii="宋体" w:hAnsi="宋体" w:cs="宋体" w:hint="eastAsia"/>
              </w:rPr>
              <w:t>软件免费升级服务以及技术咨询服务。</w:t>
            </w:r>
            <w:r>
              <w:rPr>
                <w:rFonts w:ascii="宋体" w:hAnsi="宋体" w:cs="宋体"/>
              </w:rPr>
              <w:t>投标人出具售后服务承诺函，承诺能调动原厂专家或力量提供远程和现场支持服务，承诺更换的设备和部件都是全新设备和部件。</w:t>
            </w:r>
          </w:p>
        </w:tc>
        <w:tc>
          <w:tcPr>
            <w:tcW w:w="1685" w:type="dxa"/>
            <w:vAlign w:val="center"/>
          </w:tcPr>
          <w:p>
            <w:pPr>
              <w:ind w:firstLine="0"/>
              <w:rPr>
                <w:rFonts w:ascii="宋体" w:eastAsia="宋体"/>
              </w:rPr>
            </w:pPr>
            <w:r>
              <w:rPr>
                <w:rFonts w:ascii="宋体" w:eastAsia="宋体"/>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2</w:t>
            </w:r>
          </w:p>
        </w:tc>
        <w:tc>
          <w:tcPr>
            <w:tcW w:w="1140" w:type="dxa"/>
            <w:vAlign w:val="center"/>
          </w:tcPr>
          <w:p>
            <w:pPr>
              <w:ind w:firstLine="0"/>
              <w:jc w:val="center"/>
              <w:rPr>
                <w:rFonts w:ascii="宋体" w:eastAsia="宋体"/>
              </w:rPr>
            </w:pPr>
            <w:r>
              <w:rPr>
                <w:rFonts w:ascii="宋体" w:eastAsia="宋体" w:hint="eastAsia"/>
              </w:rPr>
              <w:t>驻场人员要求</w:t>
            </w:r>
          </w:p>
        </w:tc>
        <w:tc>
          <w:tcPr>
            <w:tcW w:w="1196" w:type="dxa"/>
            <w:vAlign w:val="center"/>
          </w:tcPr>
          <w:p>
            <w:pPr>
              <w:ind w:firstLine="0"/>
              <w:jc w:val="center"/>
              <w:rPr>
                <w:rFonts w:ascii="宋体" w:eastAsia="宋体"/>
              </w:rPr>
            </w:pPr>
          </w:p>
        </w:tc>
        <w:tc>
          <w:tcPr>
            <w:tcW w:w="3690" w:type="dxa"/>
            <w:vAlign w:val="center"/>
          </w:tcPr>
          <w:p>
            <w:pPr>
              <w:ind w:firstLine="0"/>
              <w:jc w:val="left"/>
              <w:rPr>
                <w:rFonts w:ascii="宋体" w:eastAsia="宋体"/>
              </w:rPr>
            </w:pPr>
            <w:r>
              <w:rPr>
                <w:rFonts w:ascii="宋体" w:eastAsia="宋体"/>
              </w:rPr>
              <w:t>无</w:t>
            </w:r>
          </w:p>
        </w:tc>
        <w:tc>
          <w:tcPr>
            <w:tcW w:w="1685" w:type="dxa"/>
            <w:vAlign w:val="center"/>
          </w:tcPr>
          <w:p>
            <w:pPr>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3</w:t>
            </w:r>
          </w:p>
        </w:tc>
        <w:tc>
          <w:tcPr>
            <w:tcW w:w="1140" w:type="dxa"/>
            <w:vAlign w:val="center"/>
          </w:tcPr>
          <w:p>
            <w:pPr>
              <w:ind w:firstLine="0"/>
              <w:jc w:val="center"/>
              <w:rPr>
                <w:rFonts w:ascii="宋体" w:eastAsia="宋体"/>
              </w:rPr>
            </w:pPr>
            <w:r>
              <w:rPr>
                <w:rFonts w:ascii="宋体" w:eastAsia="宋体" w:hint="eastAsia"/>
              </w:rPr>
              <w:t>投标人服务标准</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ind w:firstLine="0"/>
              <w:rPr>
                <w:rFonts w:ascii="宋体" w:hAnsi="宋体" w:cs="宋体"/>
              </w:rPr>
            </w:pPr>
            <w:r>
              <w:rPr>
                <w:rFonts w:ascii="宋体" w:hAnsi="宋体" w:cs="宋体" w:hint="eastAsia"/>
              </w:rPr>
              <w:t>1.维保期内，投标人须提供7*24小时技术支持和故障报修服务热线电话，热线电话10分钟响应，工程师2小时到达服务现场，备件2小时到现场，故障排除时间不超过8小时。重要设备故障如8小时内还不能解决，应提供备用设备，并须在8小时内恢复运行。故障处理完毕后，投标人应及时提交详细的故障处理报告。</w:t>
            </w:r>
          </w:p>
          <w:p>
            <w:pPr>
              <w:ind w:firstLine="0"/>
              <w:rPr>
                <w:rFonts w:ascii="宋体" w:eastAsia="宋体"/>
              </w:rPr>
            </w:pPr>
            <w:r>
              <w:rPr>
                <w:rFonts w:ascii="宋体" w:hAnsi="宋体" w:cs="宋体" w:hint="eastAsia"/>
              </w:rPr>
              <w:t>2.维保期内更换的存储介质免回收。</w:t>
            </w:r>
          </w:p>
        </w:tc>
        <w:tc>
          <w:tcPr>
            <w:tcW w:w="1685" w:type="dxa"/>
            <w:vAlign w:val="center"/>
          </w:tcPr>
          <w:p>
            <w:pPr>
              <w:ind w:left="0" w:firstLine="0"/>
              <w:rPr>
                <w:rFonts w:ascii="宋体" w:eastAsia="宋体"/>
              </w:rPr>
            </w:pPr>
            <w:r>
              <w:rPr>
                <w:rFonts w:ascii="宋体" w:eastAsia="宋体"/>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4</w:t>
            </w:r>
          </w:p>
        </w:tc>
        <w:tc>
          <w:tcPr>
            <w:tcW w:w="1140" w:type="dxa"/>
            <w:vAlign w:val="center"/>
          </w:tcPr>
          <w:p>
            <w:pPr>
              <w:ind w:firstLine="0"/>
              <w:jc w:val="center"/>
              <w:rPr>
                <w:rFonts w:ascii="宋体" w:eastAsia="宋体"/>
              </w:rPr>
            </w:pPr>
            <w:r>
              <w:rPr>
                <w:rFonts w:ascii="宋体" w:eastAsia="宋体" w:hint="eastAsia"/>
              </w:rPr>
              <w:t>硬件、软件制造商服务标准</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rPr>
            </w:pPr>
            <w:r>
              <w:rPr>
                <w:rFonts w:ascii="宋体" w:eastAsia="宋体"/>
              </w:rPr>
              <w:t>无</w:t>
            </w:r>
          </w:p>
        </w:tc>
        <w:tc>
          <w:tcPr>
            <w:tcW w:w="1685" w:type="dxa"/>
            <w:vAlign w:val="center"/>
          </w:tcPr>
          <w:p>
            <w:pPr>
              <w:ind w:firstLine="0"/>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5</w:t>
            </w:r>
          </w:p>
        </w:tc>
        <w:tc>
          <w:tcPr>
            <w:tcW w:w="1140" w:type="dxa"/>
            <w:vAlign w:val="center"/>
          </w:tcPr>
          <w:p>
            <w:pPr>
              <w:ind w:firstLine="0"/>
              <w:jc w:val="center"/>
              <w:rPr>
                <w:rFonts w:ascii="宋体" w:eastAsia="宋体"/>
              </w:rPr>
            </w:pPr>
            <w:r>
              <w:rPr>
                <w:rFonts w:ascii="宋体" w:eastAsia="宋体" w:hint="eastAsia"/>
              </w:rPr>
              <w:t>人员资格标准</w:t>
            </w:r>
          </w:p>
        </w:tc>
        <w:tc>
          <w:tcPr>
            <w:tcW w:w="1196" w:type="dxa"/>
            <w:vAlign w:val="center"/>
          </w:tcPr>
          <w:p>
            <w:pPr>
              <w:ind w:firstLine="0"/>
              <w:jc w:val="center"/>
              <w:rPr>
                <w:rFonts w:ascii="宋体" w:eastAsia="宋体"/>
              </w:rPr>
            </w:pPr>
          </w:p>
        </w:tc>
        <w:tc>
          <w:tcPr>
            <w:tcW w:w="3690" w:type="dxa"/>
          </w:tcPr>
          <w:p>
            <w:pPr>
              <w:ind w:firstLine="0"/>
              <w:rPr>
                <w:rFonts w:ascii="宋体" w:hAnsi="宋体" w:cs="宋体" w:hint="eastAsia"/>
                <w:bdr w:val="none" w:sz="0" w:space="0" w:color="auto"/>
              </w:rPr>
            </w:pPr>
            <w:r>
              <w:rPr>
                <w:rFonts w:ascii="宋体" w:hAnsi="宋体" w:cs="宋体" w:hint="eastAsia"/>
              </w:rPr>
              <w:t>1.项目经理须取得以下证书：</w:t>
            </w:r>
            <w:r>
              <w:rPr>
                <w:rFonts w:ascii="宋体" w:hAnsi="宋体" w:cs="宋体" w:hint="eastAsia"/>
                <w:kern w:val="2"/>
                <w:bdr w:val="none" w:sz="0" w:space="0" w:color="auto"/>
                <w:lang w:val="en-US" w:eastAsia="zh-CN"/>
              </w:rPr>
              <w:t>信息系统项目管理师证书（计算机技术与软件专业技术资格）</w:t>
            </w:r>
            <w:r>
              <w:rPr>
                <w:rFonts w:ascii="宋体" w:hAnsi="宋体" w:cs="宋体" w:hint="eastAsia"/>
                <w:bdr w:val="none" w:sz="0" w:space="0" w:color="auto"/>
              </w:rPr>
              <w:t>。</w:t>
            </w:r>
          </w:p>
          <w:p>
            <w:pPr>
              <w:ind w:firstLine="0"/>
              <w:rPr>
                <w:rFonts w:ascii="宋体" w:eastAsia="宋体"/>
              </w:rPr>
            </w:pPr>
            <w:r>
              <w:rPr>
                <w:rFonts w:ascii="宋体" w:hAnsi="宋体" w:cs="宋体" w:hint="eastAsia"/>
              </w:rPr>
              <w:t xml:space="preserve">2. </w:t>
            </w:r>
            <w:r>
              <w:rPr>
                <w:rFonts w:ascii="宋体" w:eastAsia="宋体"/>
              </w:rPr>
              <w:t>一线技术支持工程师须具有2年及以上相关产品的配置维修经验；</w:t>
            </w:r>
          </w:p>
          <w:p>
            <w:pPr>
              <w:ind w:firstLine="0"/>
              <w:rPr>
                <w:rFonts w:ascii="宋体" w:eastAsia="宋体"/>
              </w:rPr>
            </w:pPr>
            <w:r>
              <w:rPr>
                <w:rFonts w:ascii="宋体" w:eastAsia="宋体"/>
              </w:rPr>
              <w:t>3.二线资深专家须有从事重大项目维护支撑经验，具备独立维护高端设备的能力。</w:t>
            </w:r>
          </w:p>
          <w:p>
            <w:pPr>
              <w:ind w:firstLine="0"/>
              <w:rPr>
                <w:rFonts w:ascii="宋体" w:eastAsia="宋体"/>
              </w:rPr>
            </w:pPr>
          </w:p>
        </w:tc>
        <w:tc>
          <w:tcPr>
            <w:tcW w:w="1685" w:type="dxa"/>
            <w:vAlign w:val="center"/>
          </w:tcPr>
          <w:p>
            <w:pPr>
              <w:ind w:firstLine="0"/>
              <w:rPr>
                <w:rFonts w:ascii="宋体" w:eastAsia="宋体"/>
              </w:rPr>
            </w:pPr>
            <w:r>
              <w:rPr>
                <w:rFonts w:ascii="宋体" w:eastAsia="宋体"/>
              </w:rPr>
              <w:t>是，提供项目经理的认证证书复印件，一线技术支持工程师和二线资深专家的经验提供承诺函，所有团队人员距开标之日半年内任意一个月的社保证明等材料。提供人员团队方案，详见</w:t>
            </w:r>
            <w:r>
              <w:rPr>
                <w:rFonts w:ascii="宋体" w:eastAsia="宋体"/>
                <w:bdr w:val="none" w:sz="0" w:space="0" w:color="auto"/>
              </w:rPr>
              <w:t>投标人须知部分相关内容要求，加盖单位公章，</w:t>
            </w:r>
            <w:r>
              <w:rPr>
                <w:rFonts w:ascii="宋体" w:eastAsia="宋体" w:hint="eastAsia"/>
              </w:rPr>
              <w:t>并进行承诺。</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6</w:t>
            </w:r>
          </w:p>
        </w:tc>
        <w:tc>
          <w:tcPr>
            <w:tcW w:w="1140" w:type="dxa"/>
            <w:vAlign w:val="center"/>
          </w:tcPr>
          <w:p>
            <w:pPr>
              <w:ind w:firstLine="0"/>
              <w:jc w:val="center"/>
              <w:rPr>
                <w:rFonts w:ascii="宋体" w:eastAsia="宋体"/>
              </w:rPr>
            </w:pPr>
            <w:r>
              <w:rPr>
                <w:rFonts w:ascii="宋体" w:eastAsia="宋体" w:hint="eastAsia"/>
              </w:rPr>
              <w:t>服务网络标准</w:t>
            </w:r>
          </w:p>
        </w:tc>
        <w:tc>
          <w:tcPr>
            <w:tcW w:w="1196" w:type="dxa"/>
            <w:vAlign w:val="center"/>
          </w:tcPr>
          <w:p>
            <w:pPr>
              <w:ind w:firstLine="0"/>
              <w:jc w:val="center"/>
              <w:rPr>
                <w:rFonts w:ascii="宋体" w:eastAsia="宋体"/>
              </w:rPr>
            </w:pPr>
            <w:r>
              <w:rPr>
                <w:rFonts w:ascii="宋体" w:eastAsia="宋体" w:hint="eastAsia"/>
              </w:rPr>
              <w:t>▲</w:t>
            </w:r>
          </w:p>
        </w:tc>
        <w:tc>
          <w:tcPr>
            <w:tcW w:w="3690" w:type="dxa"/>
          </w:tcPr>
          <w:p>
            <w:pPr>
              <w:ind w:firstLine="0"/>
              <w:rPr>
                <w:rFonts w:ascii="宋体" w:eastAsia="宋体" w:cs="宋体"/>
              </w:rPr>
            </w:pPr>
            <w:r>
              <w:rPr>
                <w:rFonts w:ascii="宋体" w:eastAsia="宋体" w:cs="宋体" w:hint="eastAsia"/>
              </w:rPr>
              <w:t>投标人提供备份</w:t>
            </w:r>
            <w:r>
              <w:rPr>
                <w:rFonts w:ascii="宋体" w:eastAsia="宋体" w:cs="宋体"/>
              </w:rPr>
              <w:t>网络设备</w:t>
            </w:r>
            <w:r>
              <w:rPr>
                <w:rFonts w:ascii="宋体" w:eastAsia="宋体" w:cs="宋体" w:hint="eastAsia"/>
              </w:rPr>
              <w:t>放置于采购人场所，服务期结束后归还设备。所提供设备功能和性能要求相近或强于采购人设备，须在应急情况下1小时内平滑替换采购人设备。如果备份防火墙投入使用，存储类配件不归还或进行填零操作后归还。具体如下：</w:t>
            </w:r>
          </w:p>
          <w:p>
            <w:pPr>
              <w:ind w:firstLine="0"/>
              <w:rPr>
                <w:rFonts w:ascii="宋体" w:eastAsia="宋体" w:cs="宋体"/>
              </w:rPr>
            </w:pPr>
            <w:r>
              <w:rPr>
                <w:rFonts w:ascii="宋体" w:eastAsia="宋体" w:cs="宋体" w:hint="eastAsia"/>
              </w:rPr>
              <w:t>1、提供2台备份网络防火墙，要求为下一代防火墙，可双机冗余，万兆处理能力，双AC电源，不少于8个千兆多模光接口和8个万兆度模光接口。采购人设备：天融信NG-81542。</w:t>
            </w:r>
          </w:p>
          <w:p>
            <w:pPr>
              <w:ind w:firstLine="0"/>
              <w:rPr>
                <w:rFonts w:ascii="宋体" w:eastAsia="宋体" w:cs="宋体"/>
              </w:rPr>
            </w:pPr>
            <w:r>
              <w:rPr>
                <w:rFonts w:ascii="宋体" w:eastAsia="宋体" w:cs="宋体" w:hint="eastAsia"/>
              </w:rPr>
              <w:t>2、提供2台备份web应用防火墙，要求配置双AC电源，可双机冗余，不低于6GB吞吐，不少于4个千兆电口（Bypass）。采购人设备：绿盟WAF NX3-P1600B。</w:t>
            </w:r>
          </w:p>
          <w:p>
            <w:pPr>
              <w:ind w:left="0" w:firstLine="0"/>
            </w:pPr>
            <w:r>
              <w:rPr>
                <w:rFonts w:ascii="宋体" w:eastAsia="宋体" w:cs="宋体" w:hint="eastAsia"/>
                <w:color w:val="auto"/>
                <w:sz w:val="24"/>
              </w:rPr>
              <w:t>3、提供</w:t>
            </w:r>
            <w:r>
              <w:rPr>
                <w:rFonts w:ascii="宋体" w:eastAsia="宋体" w:cs="宋体"/>
                <w:color w:val="auto"/>
                <w:sz w:val="24"/>
              </w:rPr>
              <w:t>2</w:t>
            </w:r>
            <w:r>
              <w:rPr>
                <w:rFonts w:ascii="宋体" w:eastAsia="宋体" w:cs="宋体" w:hint="eastAsia"/>
                <w:color w:val="auto"/>
                <w:sz w:val="24"/>
              </w:rPr>
              <w:t>台框式交换机，不少于8个业务槽位，交换容量不少于184T，包转发率不低于110000Mpps，板卡&amp;授权：48口千光板x2（含10个光转电模块），24口万光板x2，12口万光板x2，6口4万光板x4，虚拟化授权：CE128-LIC-VS。采购人设备：华为CE12808</w:t>
            </w:r>
          </w:p>
        </w:tc>
        <w:tc>
          <w:tcPr>
            <w:tcW w:w="1685" w:type="dxa"/>
            <w:vAlign w:val="center"/>
          </w:tcPr>
          <w:p>
            <w:pPr>
              <w:ind w:firstLine="0"/>
              <w:rPr>
                <w:rFonts w:ascii="宋体" w:eastAsia="宋体"/>
              </w:rPr>
            </w:pPr>
            <w:r>
              <w:rPr>
                <w:rFonts w:ascii="宋体" w:eastAsia="宋体"/>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vAlign w:val="center"/>
          </w:tcPr>
          <w:p>
            <w:pPr>
              <w:ind w:firstLine="0"/>
              <w:jc w:val="center"/>
              <w:rPr>
                <w:rFonts w:ascii="宋体" w:eastAsia="宋体"/>
              </w:rPr>
            </w:pPr>
            <w:r>
              <w:rPr>
                <w:rFonts w:ascii="宋体" w:eastAsia="宋体" w:hint="eastAsia"/>
              </w:rPr>
              <w:t>培训标准</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rPr>
            </w:pPr>
            <w:r>
              <w:rPr>
                <w:rFonts w:ascii="宋体" w:eastAsia="宋体"/>
              </w:rPr>
              <w:t>无</w:t>
            </w:r>
          </w:p>
        </w:tc>
        <w:tc>
          <w:tcPr>
            <w:tcW w:w="1685" w:type="dxa"/>
            <w:vAlign w:val="center"/>
          </w:tcPr>
          <w:p>
            <w:pPr>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8</w:t>
            </w:r>
          </w:p>
        </w:tc>
        <w:tc>
          <w:tcPr>
            <w:tcW w:w="1140" w:type="dxa"/>
            <w:vAlign w:val="center"/>
          </w:tcPr>
          <w:p>
            <w:pPr>
              <w:ind w:firstLine="0"/>
              <w:jc w:val="center"/>
              <w:rPr>
                <w:rFonts w:ascii="宋体" w:eastAsia="宋体"/>
              </w:rPr>
            </w:pPr>
            <w:r>
              <w:rPr>
                <w:rFonts w:ascii="宋体" w:eastAsia="宋体" w:hint="eastAsia"/>
              </w:rPr>
              <w:t>集成标准</w:t>
            </w:r>
          </w:p>
        </w:tc>
        <w:tc>
          <w:tcPr>
            <w:tcW w:w="1196" w:type="dxa"/>
            <w:vAlign w:val="center"/>
          </w:tcPr>
          <w:p>
            <w:pPr>
              <w:ind w:firstLine="0"/>
              <w:jc w:val="center"/>
              <w:rPr>
                <w:rFonts w:ascii="宋体" w:eastAsia="宋体"/>
              </w:rPr>
            </w:pPr>
            <w:r>
              <w:rPr>
                <w:rFonts w:ascii="宋体" w:eastAsia="宋体" w:hint="eastAsia"/>
              </w:rPr>
              <w:t>▲</w:t>
            </w:r>
          </w:p>
        </w:tc>
        <w:tc>
          <w:tcPr>
            <w:tcW w:w="3690" w:type="dxa"/>
            <w:vAlign w:val="center"/>
          </w:tcPr>
          <w:p>
            <w:pPr>
              <w:ind w:firstLine="0"/>
              <w:rPr>
                <w:rFonts w:ascii="宋体" w:eastAsia="宋体"/>
              </w:rPr>
            </w:pPr>
            <w:r>
              <w:rPr>
                <w:rStyle w:val="97Char"/>
                <w:rFonts w:ascii="宋体" w:eastAsia="宋体" w:cs="宋体"/>
                <w:bdr w:val="none" w:sz="0" w:space="0" w:color="auto"/>
              </w:rPr>
              <w:t>投标人须针对采购人现网在用的一套H3C Onestor分布式块存储提供许可升级服务，包含800TB裸容量的块存储企业版容量授权License，当前存储系统版本为ONEStor-E3332。</w:t>
            </w:r>
          </w:p>
        </w:tc>
        <w:tc>
          <w:tcPr>
            <w:tcW w:w="1685" w:type="dxa"/>
            <w:vAlign w:val="center"/>
          </w:tcPr>
          <w:p>
            <w:pPr>
              <w:ind w:firstLine="0"/>
              <w:rPr>
                <w:rFonts w:ascii="宋体" w:eastAsia="宋体"/>
              </w:rPr>
            </w:pPr>
            <w:r>
              <w:rPr>
                <w:rFonts w:ascii="宋体" w:eastAsia="宋体"/>
              </w:rPr>
              <w:t>是，提供承诺函并加盖单位公章。</w:t>
            </w:r>
          </w:p>
        </w:tc>
      </w:tr>
      <w:tr>
        <w:tblPrEx>
          <w:tblW w:w="8519" w:type="dxa"/>
          <w:jc w:val="left"/>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rPr>
              <w:t>9</w:t>
            </w:r>
          </w:p>
        </w:tc>
        <w:tc>
          <w:tcPr>
            <w:tcW w:w="1140" w:type="dxa"/>
            <w:vAlign w:val="center"/>
          </w:tcPr>
          <w:p>
            <w:pPr>
              <w:ind w:firstLine="0"/>
              <w:jc w:val="center"/>
              <w:rPr>
                <w:rFonts w:ascii="宋体" w:eastAsia="宋体"/>
              </w:rPr>
            </w:pPr>
            <w:r>
              <w:rPr>
                <w:rFonts w:ascii="宋体" w:hAnsi="宋体" w:cs="宋体" w:hint="eastAsia"/>
              </w:rPr>
              <w:t>投标人备件保障能力</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cs="宋体"/>
              </w:rPr>
            </w:pPr>
            <w:r>
              <w:rPr>
                <w:rFonts w:ascii="宋体" w:eastAsia="宋体" w:cs="宋体" w:hint="eastAsia"/>
              </w:rPr>
              <w:t>1、投标人须在2小时内将备品备件送达用户的机房现场并提供承诺函。</w:t>
            </w:r>
          </w:p>
          <w:p>
            <w:pPr>
              <w:ind w:firstLine="0"/>
              <w:rPr>
                <w:rFonts w:ascii="宋体" w:eastAsia="宋体" w:cs="宋体"/>
              </w:rPr>
            </w:pPr>
            <w:r>
              <w:rPr>
                <w:rFonts w:ascii="宋体" w:eastAsia="宋体" w:cs="宋体" w:hint="eastAsia"/>
              </w:rPr>
              <w:t>2、投标人对</w:t>
            </w:r>
            <w:r>
              <w:rPr>
                <w:rFonts w:ascii="宋体" w:eastAsia="宋体" w:cs="宋体"/>
              </w:rPr>
              <w:t>维保清单</w:t>
            </w:r>
            <w:r>
              <w:rPr>
                <w:rFonts w:ascii="宋体" w:eastAsia="宋体" w:cs="宋体" w:hint="eastAsia"/>
              </w:rPr>
              <w:t>设备的备件覆盖率不得低于90%，按照设备清单型号覆盖率达到90%，单个设备必须有电源、硬盘、内存、背板等并提供承诺函。</w:t>
            </w:r>
          </w:p>
          <w:p>
            <w:pPr>
              <w:ind w:firstLine="0"/>
              <w:rPr>
                <w:rFonts w:ascii="宋体" w:eastAsia="宋体" w:cs="宋体"/>
              </w:rPr>
            </w:pPr>
            <w:r>
              <w:rPr>
                <w:rFonts w:ascii="宋体" w:eastAsia="宋体" w:cs="宋体" w:hint="eastAsia"/>
              </w:rPr>
              <w:t>3、投标人提供一批易损备件放置在采购人场所，备件清单包括但不限于电源、硬盘、内存、阵列卡、光模块、小型机稳压模块及GX卡等。</w:t>
            </w:r>
          </w:p>
          <w:p>
            <w:pPr>
              <w:ind w:firstLine="0"/>
              <w:rPr>
                <w:rFonts w:ascii="宋体" w:eastAsia="宋体"/>
              </w:rPr>
            </w:pPr>
            <w:r>
              <w:rPr>
                <w:rFonts w:ascii="宋体" w:eastAsia="宋体" w:cs="宋体" w:hint="eastAsia"/>
              </w:rPr>
              <w:t>4、投标人保证维护过程和维修配件（硬件设备、软件产品）的正版化合法性，由此引发的法律责任由投标人完全承担。</w:t>
            </w:r>
          </w:p>
        </w:tc>
        <w:tc>
          <w:tcPr>
            <w:tcW w:w="1685" w:type="dxa"/>
            <w:vAlign w:val="center"/>
          </w:tcPr>
          <w:p>
            <w:pPr>
              <w:ind w:firstLine="0"/>
              <w:rPr>
                <w:rFonts w:ascii="宋体" w:eastAsia="宋体"/>
              </w:rPr>
            </w:pPr>
            <w:r>
              <w:rPr>
                <w:rFonts w:ascii="宋体" w:eastAsia="宋体"/>
              </w:rPr>
              <w:t>是，提供承诺函并加盖单位公章。</w:t>
            </w:r>
          </w:p>
        </w:tc>
      </w:tr>
      <w:tr>
        <w:tblPrEx>
          <w:tblW w:w="8519" w:type="dxa"/>
          <w:jc w:val="left"/>
          <w:tblLayout w:type="fixed"/>
          <w:tblCellMar>
            <w:top w:w="0" w:type="dxa"/>
            <w:left w:w="108" w:type="dxa"/>
            <w:bottom w:w="0" w:type="dxa"/>
            <w:right w:w="108" w:type="dxa"/>
          </w:tblCellMar>
        </w:tblPrEx>
        <w:trPr>
          <w:trHeight w:val="478"/>
          <w:jc w:val="left"/>
        </w:trPr>
        <w:tc>
          <w:tcPr>
            <w:tcW w:w="808" w:type="dxa"/>
            <w:vAlign w:val="center"/>
          </w:tcPr>
          <w:p>
            <w:pPr>
              <w:ind w:firstLine="0"/>
              <w:jc w:val="center"/>
              <w:rPr>
                <w:rFonts w:ascii="宋体" w:eastAsia="宋体"/>
              </w:rPr>
            </w:pPr>
            <w:r>
              <w:rPr>
                <w:rFonts w:ascii="宋体" w:eastAsia="宋体"/>
              </w:rPr>
              <w:t>10</w:t>
            </w:r>
          </w:p>
        </w:tc>
        <w:tc>
          <w:tcPr>
            <w:tcW w:w="1140" w:type="dxa"/>
            <w:vAlign w:val="center"/>
          </w:tcPr>
          <w:p>
            <w:pPr>
              <w:ind w:firstLine="0"/>
              <w:jc w:val="center"/>
              <w:rPr>
                <w:rFonts w:ascii="宋体" w:eastAsia="宋体"/>
              </w:rPr>
            </w:pPr>
            <w:r>
              <w:rPr>
                <w:rFonts w:ascii="宋体" w:hAnsi="宋体" w:cs="宋体" w:hint="eastAsia"/>
              </w:rPr>
              <w:t>投标人综合服务能力</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cs="宋体"/>
              </w:rPr>
            </w:pPr>
            <w:r>
              <w:rPr>
                <w:rFonts w:ascii="宋体" w:eastAsia="宋体" w:cs="宋体" w:hint="eastAsia"/>
              </w:rPr>
              <w:t>1、提供每</w:t>
            </w:r>
            <w:r>
              <w:rPr>
                <w:rFonts w:ascii="宋体" w:eastAsia="宋体" w:cs="宋体"/>
              </w:rPr>
              <w:t>季度</w:t>
            </w:r>
            <w:r>
              <w:rPr>
                <w:rFonts w:ascii="宋体" w:eastAsia="宋体" w:cs="宋体" w:hint="eastAsia"/>
              </w:rPr>
              <w:t>不少于</w:t>
            </w:r>
            <w:r>
              <w:rPr>
                <w:rFonts w:ascii="宋体" w:eastAsia="宋体" w:cs="宋体"/>
              </w:rPr>
              <w:t>一</w:t>
            </w:r>
            <w:r>
              <w:rPr>
                <w:rFonts w:ascii="宋体" w:eastAsia="宋体" w:cs="宋体" w:hint="eastAsia"/>
              </w:rPr>
              <w:t>次的巡检服务，包括检查设备（软件）的运行状况、机房环境检查和设备灰尘清洁，提交服务报告；</w:t>
            </w:r>
          </w:p>
          <w:p>
            <w:pPr>
              <w:ind w:firstLine="0"/>
              <w:rPr>
                <w:rFonts w:ascii="宋体" w:eastAsia="宋体" w:cs="宋体"/>
              </w:rPr>
            </w:pPr>
            <w:r>
              <w:rPr>
                <w:rFonts w:ascii="宋体" w:eastAsia="宋体" w:cs="宋体" w:hint="eastAsia"/>
              </w:rPr>
              <w:t>2、重大节日、网络安全保障时段（如春节、国庆节、“双11”电商节等）提前普查系统一次，提供应急保障团队，负责此期间硬件设备保障工作。</w:t>
            </w:r>
          </w:p>
          <w:p>
            <w:pPr>
              <w:ind w:firstLine="0"/>
              <w:rPr>
                <w:rFonts w:ascii="宋体" w:eastAsia="宋体" w:cs="宋体"/>
              </w:rPr>
            </w:pPr>
            <w:r>
              <w:rPr>
                <w:rFonts w:ascii="宋体" w:eastAsia="宋体" w:cs="宋体" w:hint="eastAsia"/>
              </w:rPr>
              <w:t>3、设备（软件）</w:t>
            </w:r>
            <w:r>
              <w:rPr>
                <w:rFonts w:ascii="宋体" w:eastAsia="宋体" w:cs="宋体"/>
                <w:color w:val="000000"/>
              </w:rPr>
              <w:t>厂商</w:t>
            </w:r>
            <w:r>
              <w:rPr>
                <w:rFonts w:ascii="宋体" w:eastAsia="宋体" w:cs="宋体" w:hint="eastAsia"/>
              </w:rPr>
              <w:t>发布新的稳定可靠系统版本、补丁、事件库、管理软件等，投标人要及时通知采购人，根据采购人的需求进行相应的升级。</w:t>
            </w:r>
          </w:p>
          <w:p>
            <w:pPr>
              <w:ind w:firstLine="0"/>
              <w:rPr>
                <w:rFonts w:ascii="宋体" w:eastAsia="宋体" w:cs="宋体"/>
              </w:rPr>
            </w:pPr>
            <w:r>
              <w:rPr>
                <w:rFonts w:ascii="宋体" w:eastAsia="宋体" w:cs="宋体" w:hint="eastAsia"/>
              </w:rPr>
              <w:t>4、投标人要提供设备（软件）安全漏洞修复服务，解决设备的安全漏洞风险。</w:t>
            </w:r>
          </w:p>
          <w:p>
            <w:pPr>
              <w:ind w:firstLine="0"/>
              <w:rPr>
                <w:rFonts w:ascii="宋体" w:eastAsia="宋体" w:cs="宋体"/>
              </w:rPr>
            </w:pPr>
            <w:r>
              <w:rPr>
                <w:rFonts w:ascii="宋体" w:eastAsia="宋体" w:cs="宋体" w:hint="eastAsia"/>
              </w:rPr>
              <w:t>5、提供设备（软件）性能优化服务。根据采购人的要求，分析设备的性能情况，编写性能分析报告，并进行性能优化。</w:t>
            </w:r>
          </w:p>
          <w:p>
            <w:pPr>
              <w:ind w:firstLine="0"/>
              <w:rPr>
                <w:rFonts w:ascii="宋体" w:eastAsia="宋体"/>
              </w:rPr>
            </w:pPr>
            <w:r>
              <w:rPr>
                <w:rFonts w:ascii="宋体" w:eastAsia="宋体" w:cs="宋体" w:hint="eastAsia"/>
              </w:rPr>
              <w:t>6、提供30人天的现场服务，服务内容包括：机房光纤线整理、设备机架位置调整、设备搬迁等。</w:t>
            </w:r>
          </w:p>
        </w:tc>
        <w:tc>
          <w:tcPr>
            <w:tcW w:w="1685" w:type="dxa"/>
            <w:vAlign w:val="center"/>
          </w:tcPr>
          <w:p>
            <w:pPr>
              <w:ind w:firstLine="0"/>
              <w:rPr>
                <w:rFonts w:ascii="宋体" w:eastAsia="宋体"/>
              </w:rPr>
            </w:pPr>
            <w:r>
              <w:rPr>
                <w:rFonts w:ascii="宋体" w:eastAsia="宋体"/>
              </w:rPr>
              <w:t>是，提供承诺函并加盖单位公章。</w:t>
            </w:r>
          </w:p>
        </w:tc>
      </w:tr>
      <w:tr>
        <w:tblPrEx>
          <w:tblW w:w="8519" w:type="dxa"/>
          <w:jc w:val="left"/>
          <w:tblLayout w:type="fixed"/>
          <w:tblCellMar>
            <w:top w:w="0" w:type="dxa"/>
            <w:left w:w="108" w:type="dxa"/>
            <w:bottom w:w="0" w:type="dxa"/>
            <w:right w:w="108" w:type="dxa"/>
          </w:tblCellMar>
        </w:tblPrEx>
        <w:trPr>
          <w:trHeight w:val="1133"/>
          <w:jc w:val="left"/>
        </w:trPr>
        <w:tc>
          <w:tcPr>
            <w:tcW w:w="808" w:type="dxa"/>
            <w:vAlign w:val="center"/>
          </w:tcPr>
          <w:p>
            <w:pPr>
              <w:ind w:firstLine="0"/>
              <w:rPr>
                <w:rFonts w:ascii="宋体" w:eastAsia="宋体" w:cs="宋体" w:hint="eastAsia"/>
              </w:rPr>
            </w:pPr>
            <w:r>
              <w:rPr>
                <w:rFonts w:ascii="宋体" w:eastAsia="宋体" w:cs="宋体" w:hint="eastAsia"/>
              </w:rPr>
              <w:t>11</w:t>
            </w:r>
          </w:p>
        </w:tc>
        <w:tc>
          <w:tcPr>
            <w:tcW w:w="1140" w:type="dxa"/>
            <w:vAlign w:val="center"/>
          </w:tcPr>
          <w:p>
            <w:pPr>
              <w:ind w:firstLine="0"/>
              <w:rPr>
                <w:rFonts w:ascii="宋体" w:eastAsia="宋体" w:cs="宋体" w:hint="eastAsia"/>
              </w:rPr>
            </w:pPr>
            <w:r>
              <w:rPr>
                <w:rFonts w:ascii="宋体" w:eastAsia="宋体" w:cs="宋体" w:hint="eastAsia"/>
              </w:rPr>
              <w:t>保密方案</w:t>
            </w:r>
          </w:p>
        </w:tc>
        <w:tc>
          <w:tcPr>
            <w:tcW w:w="1196" w:type="dxa"/>
            <w:vAlign w:val="center"/>
          </w:tcPr>
          <w:p>
            <w:pPr>
              <w:ind w:firstLine="0"/>
              <w:rPr>
                <w:rFonts w:ascii="宋体" w:eastAsia="宋体" w:cs="宋体" w:hint="eastAsia"/>
              </w:rPr>
            </w:pPr>
          </w:p>
        </w:tc>
        <w:tc>
          <w:tcPr>
            <w:tcW w:w="3690" w:type="dxa"/>
            <w:vAlign w:val="center"/>
          </w:tcPr>
          <w:p>
            <w:pPr>
              <w:ind w:firstLine="0"/>
              <w:rPr>
                <w:rFonts w:ascii="宋体" w:eastAsia="宋体" w:cs="宋体" w:hint="eastAsia"/>
              </w:rPr>
            </w:pPr>
            <w:r>
              <w:rPr>
                <w:rFonts w:ascii="宋体" w:eastAsia="宋体" w:cs="宋体" w:hint="eastAsia"/>
              </w:rPr>
              <w:t>方案中包括但不限于风险管理，保密管理，保密管理体系、服务标准及承诺</w:t>
            </w:r>
          </w:p>
        </w:tc>
        <w:tc>
          <w:tcPr>
            <w:tcW w:w="1685" w:type="dxa"/>
            <w:vAlign w:val="center"/>
          </w:tcPr>
          <w:p>
            <w:pPr>
              <w:ind w:firstLine="0"/>
              <w:rPr>
                <w:rFonts w:ascii="宋体" w:eastAsia="宋体" w:cs="宋体" w:hint="eastAsia"/>
              </w:rPr>
            </w:pPr>
            <w:r>
              <w:rPr>
                <w:rFonts w:ascii="宋体" w:eastAsia="宋体" w:cs="宋体"/>
              </w:rPr>
              <w:t>是（保密方案）</w:t>
            </w:r>
          </w:p>
        </w:tc>
      </w:tr>
    </w:tbl>
    <w:p>
      <w:pPr>
        <w:numPr>
          <w:ilvl w:val="0"/>
          <w:numId w:val="2"/>
        </w:numPr>
        <w:rPr>
          <w:rFonts w:ascii="宋体" w:eastAsia="宋体" w:hint="eastAsia"/>
        </w:rPr>
      </w:pPr>
      <w:bookmarkStart w:id="42" w:name="实施方案"/>
      <w:r>
        <w:rPr>
          <w:rFonts w:ascii="宋体" w:eastAsia="宋体" w:hint="eastAsia"/>
        </w:rPr>
        <w:t>实施</w:t>
      </w:r>
      <w:bookmarkEnd w:id="42"/>
      <w:r>
        <w:rPr>
          <w:rFonts w:ascii="宋体" w:eastAsia="宋体"/>
        </w:rPr>
        <w:t>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eastAsia="宋体"/>
              </w:rPr>
            </w:pPr>
            <w:r>
              <w:rPr>
                <w:rFonts w:ascii="宋体" w:eastAsia="宋体" w:hint="eastAsia"/>
              </w:rPr>
              <w:t>序号</w:t>
            </w:r>
          </w:p>
        </w:tc>
        <w:tc>
          <w:tcPr>
            <w:tcW w:w="1140" w:type="dxa"/>
          </w:tcPr>
          <w:p>
            <w:pPr>
              <w:ind w:firstLine="0"/>
              <w:jc w:val="center"/>
              <w:rPr>
                <w:rFonts w:ascii="宋体" w:eastAsia="宋体"/>
              </w:rPr>
            </w:pPr>
            <w:r>
              <w:rPr>
                <w:rFonts w:ascii="宋体" w:eastAsia="宋体" w:hint="eastAsia"/>
              </w:rPr>
              <w:t>内容</w:t>
            </w:r>
          </w:p>
        </w:tc>
        <w:tc>
          <w:tcPr>
            <w:tcW w:w="1196" w:type="dxa"/>
          </w:tcPr>
          <w:p>
            <w:pPr>
              <w:ind w:firstLine="0"/>
              <w:jc w:val="center"/>
              <w:rPr>
                <w:rFonts w:ascii="宋体" w:eastAsia="宋体"/>
              </w:rPr>
            </w:pPr>
            <w:r>
              <w:rPr>
                <w:rFonts w:ascii="宋体" w:eastAsia="宋体" w:hint="eastAsia"/>
              </w:rPr>
              <w:t>重要性</w:t>
            </w:r>
          </w:p>
        </w:tc>
        <w:tc>
          <w:tcPr>
            <w:tcW w:w="3690" w:type="dxa"/>
          </w:tcPr>
          <w:p>
            <w:pPr>
              <w:ind w:firstLine="0"/>
              <w:jc w:val="center"/>
              <w:rPr>
                <w:rFonts w:ascii="宋体" w:eastAsia="宋体"/>
              </w:rPr>
            </w:pPr>
            <w:bookmarkStart w:id="43" w:name="实施方案_Title_实施标准_Required_Table"/>
            <w:r>
              <w:rPr>
                <w:rFonts w:ascii="宋体" w:eastAsia="宋体" w:hint="eastAsia"/>
              </w:rPr>
              <w:t>实施标准</w:t>
            </w:r>
            <w:bookmarkEnd w:id="43"/>
          </w:p>
        </w:tc>
        <w:tc>
          <w:tcPr>
            <w:tcW w:w="1685" w:type="dxa"/>
          </w:tcPr>
          <w:p>
            <w:pPr>
              <w:ind w:firstLine="0"/>
              <w:jc w:val="center"/>
              <w:rPr>
                <w:rFonts w:ascii="宋体" w:eastAsia="宋体"/>
              </w:rPr>
            </w:pPr>
            <w:bookmarkStart w:id="44" w:name="实施方案_Title_证明材料要求_Required_Table"/>
            <w:r>
              <w:rPr>
                <w:rFonts w:ascii="宋体" w:eastAsia="宋体" w:hint="eastAsia"/>
              </w:rPr>
              <w:t>证明材料要求</w:t>
            </w:r>
            <w:bookmarkEnd w:id="44"/>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1</w:t>
            </w:r>
          </w:p>
        </w:tc>
        <w:tc>
          <w:tcPr>
            <w:tcW w:w="1140" w:type="dxa"/>
            <w:vAlign w:val="center"/>
          </w:tcPr>
          <w:p>
            <w:pPr>
              <w:ind w:firstLine="0"/>
              <w:jc w:val="center"/>
              <w:rPr>
                <w:rFonts w:ascii="宋体" w:eastAsia="宋体"/>
              </w:rPr>
            </w:pPr>
            <w:r>
              <w:rPr>
                <w:rFonts w:ascii="宋体" w:eastAsia="宋体" w:hint="eastAsia"/>
              </w:rPr>
              <w:t>项目实施过程控制</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rPr>
            </w:pPr>
            <w:r>
              <w:rPr>
                <w:rFonts w:ascii="宋体" w:eastAsia="宋体"/>
              </w:rPr>
              <w:t>无</w:t>
            </w:r>
          </w:p>
        </w:tc>
        <w:tc>
          <w:tcPr>
            <w:tcW w:w="1685" w:type="dxa"/>
            <w:vAlign w:val="center"/>
          </w:tcPr>
          <w:p>
            <w:pPr>
              <w:ind w:firstLine="0"/>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2</w:t>
            </w:r>
          </w:p>
        </w:tc>
        <w:tc>
          <w:tcPr>
            <w:tcW w:w="1140" w:type="dxa"/>
            <w:vAlign w:val="center"/>
          </w:tcPr>
          <w:p>
            <w:pPr>
              <w:ind w:firstLine="0"/>
              <w:jc w:val="center"/>
              <w:rPr>
                <w:rFonts w:ascii="宋体" w:eastAsia="宋体"/>
              </w:rPr>
            </w:pPr>
            <w:r>
              <w:rPr>
                <w:rFonts w:ascii="宋体" w:eastAsia="宋体" w:hint="eastAsia"/>
              </w:rPr>
              <w:t>项目实施过程文档管理</w:t>
            </w:r>
          </w:p>
        </w:tc>
        <w:tc>
          <w:tcPr>
            <w:tcW w:w="1196" w:type="dxa"/>
            <w:vAlign w:val="center"/>
          </w:tcPr>
          <w:p>
            <w:pPr>
              <w:ind w:firstLine="0"/>
              <w:jc w:val="center"/>
              <w:rPr>
                <w:rFonts w:ascii="宋体" w:eastAsia="宋体"/>
              </w:rPr>
            </w:pPr>
          </w:p>
        </w:tc>
        <w:tc>
          <w:tcPr>
            <w:tcW w:w="3690" w:type="dxa"/>
          </w:tcPr>
          <w:p>
            <w:pPr>
              <w:ind w:firstLine="0"/>
              <w:rPr>
                <w:rFonts w:ascii="宋体" w:eastAsia="宋体" w:cs="Times New Roman"/>
              </w:rPr>
            </w:pPr>
            <w:r>
              <w:rPr>
                <w:rFonts w:ascii="宋体" w:eastAsia="宋体" w:cs="Times New Roman" w:hint="eastAsia"/>
              </w:rPr>
              <w:t>1、投标人应预先制定出维护方案，并严格执行，以保证维护的及时性和有效性。</w:t>
            </w:r>
          </w:p>
          <w:p>
            <w:pPr>
              <w:ind w:firstLine="0"/>
              <w:rPr>
                <w:rFonts w:ascii="宋体" w:eastAsia="宋体"/>
              </w:rPr>
            </w:pPr>
            <w:r>
              <w:rPr>
                <w:rFonts w:ascii="宋体" w:eastAsia="宋体" w:cs="Times New Roman" w:hint="eastAsia"/>
              </w:rPr>
              <w:t>2、投标人应针对服务内容建立维护、维修档案，详细记录每次巡检、维修、更换等与设备有关的事项。</w:t>
            </w:r>
          </w:p>
        </w:tc>
        <w:tc>
          <w:tcPr>
            <w:tcW w:w="1685" w:type="dxa"/>
            <w:vAlign w:val="center"/>
          </w:tcPr>
          <w:p>
            <w:pPr>
              <w:ind w:firstLine="0"/>
              <w:rPr>
                <w:rFonts w:ascii="宋体" w:eastAsia="宋体"/>
              </w:rPr>
            </w:pPr>
            <w:r>
              <w:rPr>
                <w:rFonts w:ascii="宋体" w:eastAsia="宋体"/>
              </w:rPr>
              <w:t>是（</w:t>
            </w:r>
            <w:r>
              <w:rPr>
                <w:rFonts w:ascii="宋体" w:eastAsia="宋体" w:cs="宋体"/>
                <w:color w:val="000000"/>
              </w:rPr>
              <w:t>提供文档管理方案</w:t>
            </w:r>
            <w:r>
              <w:rPr>
                <w:rFonts w:ascii="宋体" w:eastAsia="宋体"/>
              </w:rPr>
              <w:t>）</w:t>
            </w:r>
          </w:p>
        </w:tc>
      </w:tr>
      <w:tr>
        <w:tblPrEx>
          <w:tblW w:w="8519" w:type="dxa"/>
          <w:jc w:val="left"/>
          <w:tblLayout w:type="fixed"/>
          <w:tblCellMar>
            <w:top w:w="0" w:type="dxa"/>
            <w:left w:w="108" w:type="dxa"/>
            <w:bottom w:w="0" w:type="dxa"/>
            <w:right w:w="108" w:type="dxa"/>
          </w:tblCellMar>
        </w:tblPrEx>
        <w:trPr>
          <w:trHeight w:val="478"/>
          <w:jc w:val="left"/>
        </w:trPr>
        <w:tc>
          <w:tcPr>
            <w:tcW w:w="808" w:type="dxa"/>
            <w:vAlign w:val="center"/>
          </w:tcPr>
          <w:p>
            <w:pPr>
              <w:ind w:firstLine="0"/>
              <w:jc w:val="center"/>
              <w:rPr>
                <w:rFonts w:ascii="宋体" w:eastAsia="宋体"/>
              </w:rPr>
            </w:pPr>
            <w:r>
              <w:rPr>
                <w:rFonts w:ascii="宋体" w:eastAsia="宋体" w:hint="eastAsia"/>
              </w:rPr>
              <w:t>3</w:t>
            </w:r>
          </w:p>
        </w:tc>
        <w:tc>
          <w:tcPr>
            <w:tcW w:w="1140" w:type="dxa"/>
            <w:vAlign w:val="center"/>
          </w:tcPr>
          <w:p>
            <w:pPr>
              <w:ind w:firstLine="0"/>
              <w:jc w:val="center"/>
              <w:rPr>
                <w:rFonts w:ascii="宋体" w:eastAsia="宋体"/>
              </w:rPr>
            </w:pPr>
            <w:r>
              <w:rPr>
                <w:rFonts w:ascii="宋体" w:eastAsia="宋体" w:hint="eastAsia"/>
              </w:rPr>
              <w:t>项目实施组织架构</w:t>
            </w:r>
          </w:p>
        </w:tc>
        <w:tc>
          <w:tcPr>
            <w:tcW w:w="1196" w:type="dxa"/>
            <w:vAlign w:val="center"/>
          </w:tcPr>
          <w:p>
            <w:pPr>
              <w:ind w:firstLine="0"/>
              <w:jc w:val="center"/>
              <w:rPr>
                <w:rFonts w:ascii="宋体" w:eastAsia="宋体"/>
              </w:rPr>
            </w:pPr>
          </w:p>
        </w:tc>
        <w:tc>
          <w:tcPr>
            <w:tcW w:w="3690" w:type="dxa"/>
          </w:tcPr>
          <w:p>
            <w:pPr>
              <w:ind w:firstLine="0"/>
              <w:rPr>
                <w:rFonts w:ascii="宋体" w:hAnsi="宋体"/>
              </w:rPr>
            </w:pPr>
            <w:r>
              <w:rPr>
                <w:rFonts w:ascii="宋体" w:eastAsia="宋体" w:cs="Times New Roman" w:hint="eastAsia"/>
              </w:rPr>
              <w:t>投标人应为本项目配备专业的技术服务团队。技术服务团队包括1名负责整体维保工作的项目经理、15名具有2年及以上维修经验的技术支持工程师。</w:t>
            </w:r>
          </w:p>
        </w:tc>
        <w:tc>
          <w:tcPr>
            <w:tcW w:w="1685" w:type="dxa"/>
            <w:vAlign w:val="center"/>
          </w:tcPr>
          <w:p>
            <w:pPr>
              <w:ind w:firstLine="0"/>
              <w:rPr>
                <w:rFonts w:ascii="宋体" w:eastAsia="宋体"/>
              </w:rPr>
            </w:pPr>
            <w:r>
              <w:rPr>
                <w:rFonts w:ascii="宋体" w:eastAsia="宋体"/>
              </w:rPr>
              <w:t>是（提供人员团队方案）</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4</w:t>
            </w:r>
          </w:p>
        </w:tc>
        <w:tc>
          <w:tcPr>
            <w:tcW w:w="1140" w:type="dxa"/>
            <w:vAlign w:val="center"/>
          </w:tcPr>
          <w:p>
            <w:pPr>
              <w:ind w:firstLine="0"/>
              <w:jc w:val="center"/>
              <w:rPr>
                <w:rFonts w:ascii="宋体" w:eastAsia="宋体"/>
              </w:rPr>
            </w:pPr>
            <w:r>
              <w:rPr>
                <w:rFonts w:ascii="宋体" w:eastAsia="宋体" w:hint="eastAsia"/>
              </w:rPr>
              <w:t>项目实施进度安排</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rPr>
            </w:pPr>
            <w:r>
              <w:rPr>
                <w:rFonts w:ascii="宋体" w:eastAsia="宋体"/>
              </w:rPr>
              <w:t>无</w:t>
            </w:r>
          </w:p>
        </w:tc>
        <w:tc>
          <w:tcPr>
            <w:tcW w:w="1685" w:type="dxa"/>
            <w:vAlign w:val="center"/>
          </w:tcPr>
          <w:p>
            <w:pPr>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5</w:t>
            </w:r>
          </w:p>
        </w:tc>
        <w:tc>
          <w:tcPr>
            <w:tcW w:w="1140" w:type="dxa"/>
            <w:vAlign w:val="center"/>
          </w:tcPr>
          <w:p>
            <w:pPr>
              <w:ind w:firstLine="0"/>
              <w:jc w:val="center"/>
              <w:rPr>
                <w:rFonts w:ascii="宋体" w:eastAsia="宋体"/>
              </w:rPr>
            </w:pPr>
            <w:r>
              <w:rPr>
                <w:rFonts w:ascii="宋体" w:eastAsia="宋体" w:hint="eastAsia"/>
              </w:rPr>
              <w:t>项目安装过程安排</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rPr>
            </w:pPr>
            <w:r>
              <w:rPr>
                <w:rFonts w:ascii="宋体" w:eastAsia="宋体"/>
              </w:rPr>
              <w:t>无</w:t>
            </w:r>
          </w:p>
        </w:tc>
        <w:tc>
          <w:tcPr>
            <w:tcW w:w="1685" w:type="dxa"/>
            <w:vAlign w:val="center"/>
          </w:tcPr>
          <w:p>
            <w:pPr>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6</w:t>
            </w:r>
          </w:p>
        </w:tc>
        <w:tc>
          <w:tcPr>
            <w:tcW w:w="1140" w:type="dxa"/>
            <w:vAlign w:val="center"/>
          </w:tcPr>
          <w:p>
            <w:pPr>
              <w:ind w:firstLine="0"/>
              <w:jc w:val="center"/>
              <w:rPr>
                <w:rFonts w:ascii="宋体" w:eastAsia="宋体"/>
              </w:rPr>
            </w:pPr>
            <w:r>
              <w:rPr>
                <w:rFonts w:ascii="宋体" w:eastAsia="宋体" w:hint="eastAsia"/>
              </w:rPr>
              <w:t>项目验收安排</w:t>
            </w:r>
          </w:p>
        </w:tc>
        <w:tc>
          <w:tcPr>
            <w:tcW w:w="1196" w:type="dxa"/>
            <w:vAlign w:val="center"/>
          </w:tcPr>
          <w:p>
            <w:pPr>
              <w:ind w:firstLine="0"/>
              <w:jc w:val="center"/>
              <w:rPr>
                <w:rFonts w:ascii="宋体" w:eastAsia="宋体"/>
              </w:rPr>
            </w:pPr>
          </w:p>
        </w:tc>
        <w:tc>
          <w:tcPr>
            <w:tcW w:w="3690" w:type="dxa"/>
          </w:tcPr>
          <w:p>
            <w:pPr>
              <w:ind w:firstLine="0"/>
              <w:rPr>
                <w:rFonts w:ascii="宋体" w:eastAsia="宋体" w:cs="Times New Roman"/>
              </w:rPr>
            </w:pPr>
            <w:r>
              <w:rPr>
                <w:rFonts w:ascii="宋体" w:eastAsia="宋体" w:cs="Times New Roman" w:hint="eastAsia"/>
              </w:rPr>
              <w:t>维保服务结束后，甲方技术部门联合本单位技术管理部门组建验收小组，对本项目进行最终验收，并出具最终验收报告。</w:t>
            </w:r>
          </w:p>
          <w:p>
            <w:pPr>
              <w:ind w:firstLine="0"/>
              <w:rPr>
                <w:rFonts w:ascii="宋体" w:eastAsia="宋体"/>
              </w:rPr>
            </w:pPr>
            <w:r>
              <w:rPr>
                <w:rFonts w:ascii="宋体" w:eastAsia="宋体" w:cs="Times New Roman" w:hint="eastAsia"/>
              </w:rPr>
              <w:t>验收标准：甲方按照本项目采购要求进行验收，如有不符，乙方有责任继续完善、修改，直至符合要求为止。</w:t>
            </w:r>
          </w:p>
        </w:tc>
        <w:tc>
          <w:tcPr>
            <w:tcW w:w="1685" w:type="dxa"/>
            <w:vAlign w:val="center"/>
          </w:tcPr>
          <w:p>
            <w:pPr>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hint="eastAsia"/>
              </w:rPr>
              <w:t>7</w:t>
            </w:r>
          </w:p>
        </w:tc>
        <w:tc>
          <w:tcPr>
            <w:tcW w:w="1140" w:type="dxa"/>
            <w:vAlign w:val="center"/>
          </w:tcPr>
          <w:p>
            <w:pPr>
              <w:ind w:firstLine="0"/>
              <w:jc w:val="center"/>
              <w:rPr>
                <w:rFonts w:ascii="宋体" w:eastAsia="宋体"/>
              </w:rPr>
            </w:pPr>
            <w:r>
              <w:rPr>
                <w:rFonts w:ascii="宋体" w:eastAsia="宋体" w:hint="eastAsia"/>
              </w:rPr>
              <w:t>项目培训安排</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rPr>
            </w:pPr>
            <w:r>
              <w:rPr>
                <w:rFonts w:ascii="宋体" w:eastAsia="宋体"/>
              </w:rPr>
              <w:t>无</w:t>
            </w:r>
          </w:p>
        </w:tc>
        <w:tc>
          <w:tcPr>
            <w:tcW w:w="1685" w:type="dxa"/>
            <w:vAlign w:val="center"/>
          </w:tcPr>
          <w:p>
            <w:pPr>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hint="eastAsia"/>
              </w:rPr>
              <w:t>8</w:t>
            </w:r>
          </w:p>
        </w:tc>
        <w:tc>
          <w:tcPr>
            <w:tcW w:w="1140" w:type="dxa"/>
            <w:vAlign w:val="center"/>
          </w:tcPr>
          <w:p>
            <w:pPr>
              <w:ind w:firstLine="0"/>
              <w:jc w:val="center"/>
              <w:rPr>
                <w:rFonts w:ascii="宋体" w:eastAsia="宋体"/>
              </w:rPr>
            </w:pPr>
            <w:r>
              <w:rPr>
                <w:rFonts w:ascii="宋体" w:eastAsia="宋体" w:hint="eastAsia"/>
              </w:rPr>
              <w:t>集成标准</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rPr>
            </w:pPr>
            <w:r>
              <w:rPr>
                <w:rFonts w:ascii="宋体" w:eastAsia="宋体"/>
              </w:rPr>
              <w:t>无</w:t>
            </w:r>
          </w:p>
        </w:tc>
        <w:tc>
          <w:tcPr>
            <w:tcW w:w="1685" w:type="dxa"/>
            <w:vAlign w:val="center"/>
          </w:tcPr>
          <w:p>
            <w:pPr>
              <w:jc w:val="center"/>
              <w:rPr>
                <w:rFonts w:ascii="宋体" w:eastAsia="宋体"/>
              </w:rPr>
            </w:pPr>
            <w:r>
              <w:rPr>
                <w:rFonts w:ascii="宋体" w:eastAsia="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rPr>
            </w:pPr>
            <w:r>
              <w:rPr>
                <w:rFonts w:ascii="宋体" w:eastAsia="宋体"/>
              </w:rPr>
              <w:t>9</w:t>
            </w:r>
          </w:p>
        </w:tc>
        <w:tc>
          <w:tcPr>
            <w:tcW w:w="1140" w:type="dxa"/>
            <w:vAlign w:val="center"/>
          </w:tcPr>
          <w:p>
            <w:pPr>
              <w:ind w:firstLine="0"/>
              <w:jc w:val="center"/>
              <w:rPr>
                <w:rFonts w:ascii="宋体" w:eastAsia="宋体"/>
              </w:rPr>
            </w:pPr>
            <w:r>
              <w:rPr>
                <w:rFonts w:ascii="宋体" w:eastAsia="宋体"/>
              </w:rPr>
              <w:t>交付或实施地点</w:t>
            </w:r>
          </w:p>
        </w:tc>
        <w:tc>
          <w:tcPr>
            <w:tcW w:w="1196" w:type="dxa"/>
            <w:vAlign w:val="center"/>
          </w:tcPr>
          <w:p>
            <w:pPr>
              <w:ind w:firstLine="0"/>
              <w:jc w:val="center"/>
              <w:rPr>
                <w:rFonts w:ascii="宋体" w:eastAsia="宋体"/>
              </w:rPr>
            </w:pPr>
          </w:p>
        </w:tc>
        <w:tc>
          <w:tcPr>
            <w:tcW w:w="3690" w:type="dxa"/>
            <w:vAlign w:val="center"/>
          </w:tcPr>
          <w:p>
            <w:pPr>
              <w:ind w:firstLine="0"/>
              <w:rPr>
                <w:rFonts w:ascii="宋体" w:eastAsia="宋体"/>
              </w:rPr>
            </w:pPr>
            <w:r>
              <w:rPr>
                <w:rFonts w:ascii="宋体" w:eastAsia="宋体" w:cs="Times New Roman" w:hint="eastAsia"/>
              </w:rPr>
              <w:t>广州市海珠区滨江西路26-28</w:t>
            </w:r>
            <w:r>
              <w:rPr>
                <w:rFonts w:ascii="宋体" w:eastAsia="宋体" w:cs="Times New Roman"/>
              </w:rPr>
              <w:t>号</w:t>
            </w:r>
            <w:r>
              <w:rPr>
                <w:rFonts w:ascii="宋体" w:eastAsia="宋体" w:cs="Times New Roman" w:hint="eastAsia"/>
              </w:rPr>
              <w:t>海天大厦</w:t>
            </w:r>
          </w:p>
        </w:tc>
        <w:tc>
          <w:tcPr>
            <w:tcW w:w="1685" w:type="dxa"/>
            <w:vAlign w:val="center"/>
          </w:tcPr>
          <w:p>
            <w:pPr>
              <w:jc w:val="center"/>
              <w:rPr>
                <w:rFonts w:ascii="宋体" w:eastAsia="宋体"/>
              </w:rPr>
            </w:pPr>
            <w:r>
              <w:rPr>
                <w:rFonts w:ascii="宋体" w:eastAsia="宋体"/>
              </w:rPr>
              <w:t>否</w:t>
            </w:r>
          </w:p>
        </w:tc>
      </w:tr>
    </w:tbl>
    <w:p>
      <w:pPr>
        <w:numPr>
          <w:ilvl w:val="0"/>
          <w:numId w:val="2"/>
        </w:numPr>
        <w:rPr>
          <w:rFonts w:ascii="宋体" w:eastAsia="宋体" w:hint="eastAsia"/>
        </w:rPr>
      </w:pPr>
      <w:r>
        <w:rPr>
          <w:rFonts w:ascii="宋体" w:eastAsia="宋体" w:hint="eastAsia"/>
        </w:rPr>
        <w:t>其它内容</w:t>
      </w:r>
    </w:p>
    <w:p>
      <w:pPr>
        <w:rPr>
          <w:rFonts w:ascii="宋体" w:eastAsia="宋体"/>
          <w:color w:val="000000"/>
        </w:rPr>
      </w:pPr>
      <w:r>
        <w:rPr>
          <w:rFonts w:ascii="宋体" w:eastAsia="宋体"/>
          <w:color w:val="000000"/>
        </w:rPr>
        <w:t>1</w:t>
      </w:r>
      <w:r>
        <w:rPr>
          <w:rFonts w:ascii="宋体" w:eastAsia="宋体" w:hint="eastAsia"/>
          <w:color w:val="000000"/>
        </w:rPr>
        <w:t>.</w:t>
      </w:r>
      <w:r>
        <w:rPr>
          <w:rFonts w:ascii="宋体" w:eastAsia="宋体"/>
          <w:color w:val="000000"/>
        </w:rPr>
        <w:t>业绩要求。</w:t>
      </w:r>
    </w:p>
    <w:p>
      <w:pPr>
        <w:rPr>
          <w:rFonts w:ascii="宋体" w:eastAsia="宋体"/>
          <w:color w:val="000000"/>
        </w:rPr>
      </w:pPr>
      <w:r>
        <w:rPr>
          <w:rFonts w:ascii="宋体" w:eastAsia="宋体"/>
          <w:color w:val="000000"/>
        </w:rPr>
        <w:t>投标人提供2022年8月1日起至本项目招标公告发布之日止（以合同签订日期为准），与本项目同类维保服务项目业绩相关材料。</w:t>
      </w:r>
    </w:p>
    <w:p/>
    <w:p>
      <w:pPr>
        <w:rPr>
          <w:rFonts w:ascii="宋体" w:eastAsia="宋体"/>
          <w:color w:val="000000"/>
        </w:rPr>
      </w:pPr>
      <w:r>
        <w:rPr>
          <w:rFonts w:ascii="宋体" w:eastAsia="宋体"/>
          <w:color w:val="000000"/>
        </w:rPr>
        <w:t>2.相关主观评审因素要求。</w:t>
      </w:r>
    </w:p>
    <w:p>
      <w:pPr>
        <w:rPr>
          <w:rFonts w:ascii="宋体" w:eastAsia="宋体" w:cs="宋体"/>
          <w:color w:val="000000"/>
        </w:rPr>
      </w:pPr>
      <w:r>
        <w:rPr>
          <w:rFonts w:ascii="宋体" w:eastAsia="宋体" w:cs="宋体"/>
          <w:color w:val="000000"/>
        </w:rPr>
        <w:t>（</w:t>
      </w:r>
      <w:r>
        <w:rPr>
          <w:rFonts w:ascii="宋体" w:eastAsia="宋体" w:cs="宋体" w:hint="eastAsia"/>
          <w:color w:val="000000"/>
        </w:rPr>
        <w:t>1</w:t>
      </w:r>
      <w:r>
        <w:rPr>
          <w:rFonts w:ascii="宋体" w:eastAsia="宋体" w:cs="宋体"/>
          <w:color w:val="000000"/>
        </w:rPr>
        <w:t>）</w:t>
      </w:r>
      <w:r>
        <w:rPr>
          <w:rFonts w:ascii="宋体" w:eastAsia="宋体" w:cs="宋体" w:hint="eastAsia"/>
          <w:color w:val="000000"/>
        </w:rPr>
        <w:t>投标人须提供技术支持服务方案，内容包含但不限于：服务体系，服务标准及承诺，风险管理，保密管理，服务成果物管理，</w:t>
      </w:r>
      <w:r>
        <w:rPr>
          <w:rFonts w:ascii="宋体" w:eastAsia="宋体" w:cs="宋体"/>
          <w:color w:val="000000"/>
        </w:rPr>
        <w:t>重要敏感时期保障</w:t>
      </w:r>
      <w:r>
        <w:rPr>
          <w:rFonts w:ascii="宋体" w:eastAsia="宋体" w:cs="宋体" w:hint="eastAsia"/>
          <w:color w:val="000000"/>
        </w:rPr>
        <w:t>方案，完善的维护保障计划。</w:t>
      </w:r>
    </w:p>
    <w:p>
      <w:pPr>
        <w:rPr>
          <w:rFonts w:ascii="宋体" w:eastAsia="宋体" w:cs="宋体"/>
          <w:color w:val="000000"/>
        </w:rPr>
      </w:pPr>
      <w:r>
        <w:rPr>
          <w:rFonts w:ascii="宋体" w:eastAsia="宋体" w:cs="宋体"/>
          <w:color w:val="000000"/>
        </w:rPr>
        <w:t>（</w:t>
      </w:r>
      <w:r>
        <w:rPr>
          <w:rFonts w:ascii="宋体" w:eastAsia="宋体" w:cs="宋体" w:hint="eastAsia"/>
          <w:color w:val="000000"/>
        </w:rPr>
        <w:t>2</w:t>
      </w:r>
      <w:r>
        <w:rPr>
          <w:rFonts w:ascii="宋体" w:eastAsia="宋体" w:cs="宋体"/>
          <w:color w:val="000000"/>
        </w:rPr>
        <w:t>）</w:t>
      </w:r>
      <w:r>
        <w:rPr>
          <w:rFonts w:ascii="宋体" w:eastAsia="宋体" w:cs="宋体" w:hint="eastAsia"/>
          <w:color w:val="000000"/>
        </w:rPr>
        <w:t>投标人须提供应急保障服务方案，内容包含但不限于：应急服务标准、制度、流程，应急现场保障方案，紧急故障处理预案。</w:t>
      </w:r>
    </w:p>
    <w:p>
      <w:pPr>
        <w:rPr>
          <w:rFonts w:ascii="宋体" w:eastAsia="宋体" w:cs="宋体"/>
          <w:color w:val="000000"/>
        </w:rPr>
      </w:pPr>
      <w:r>
        <w:rPr>
          <w:rFonts w:ascii="宋体" w:eastAsia="宋体" w:cs="宋体"/>
          <w:color w:val="000000"/>
        </w:rPr>
        <w:t>（</w:t>
      </w:r>
      <w:r>
        <w:rPr>
          <w:rFonts w:ascii="宋体" w:eastAsia="宋体" w:cs="宋体" w:hint="eastAsia"/>
          <w:color w:val="000000"/>
        </w:rPr>
        <w:t>3</w:t>
      </w:r>
      <w:r>
        <w:rPr>
          <w:rFonts w:ascii="宋体" w:eastAsia="宋体" w:cs="宋体"/>
          <w:color w:val="000000"/>
        </w:rPr>
        <w:t>）</w:t>
      </w:r>
      <w:r>
        <w:rPr>
          <w:rFonts w:ascii="宋体" w:eastAsia="宋体" w:cs="宋体" w:hint="eastAsia"/>
          <w:color w:val="000000"/>
        </w:rPr>
        <w:t>投标人须提供服务质量保障方案，内容包含但不限于：服务质量标准和承诺，服务质量保证</w:t>
      </w:r>
      <w:r>
        <w:rPr>
          <w:rFonts w:ascii="宋体" w:eastAsia="宋体" w:cs="宋体"/>
          <w:color w:val="000000"/>
        </w:rPr>
        <w:t>，</w:t>
      </w:r>
      <w:r>
        <w:rPr>
          <w:rFonts w:ascii="宋体" w:eastAsia="宋体" w:cs="宋体" w:hint="eastAsia"/>
          <w:color w:val="000000"/>
        </w:rPr>
        <w:t>须针对服务内容建立维护、维修档案，详细记录每次巡检、维修、更换</w:t>
      </w:r>
      <w:r>
        <w:rPr>
          <w:rFonts w:ascii="宋体" w:eastAsia="宋体" w:cs="宋体"/>
          <w:color w:val="000000"/>
        </w:rPr>
        <w:t>配件</w:t>
      </w:r>
      <w:r>
        <w:rPr>
          <w:rFonts w:ascii="宋体" w:eastAsia="宋体" w:cs="宋体" w:hint="eastAsia"/>
          <w:color w:val="000000"/>
        </w:rPr>
        <w:t>等与设备有关的事项。</w:t>
      </w:r>
    </w:p>
    <w:p/>
    <w:p>
      <w:pPr>
        <w:rPr>
          <w:rFonts w:ascii="宋体" w:eastAsia="宋体"/>
          <w:color w:val="000000"/>
        </w:rPr>
      </w:pPr>
      <w:r>
        <w:rPr>
          <w:rFonts w:ascii="宋体" w:eastAsia="宋体"/>
          <w:color w:val="000000"/>
        </w:rPr>
        <w:t>3</w:t>
      </w:r>
      <w:r>
        <w:rPr>
          <w:rFonts w:ascii="宋体" w:eastAsia="宋体" w:hint="eastAsia"/>
          <w:color w:val="000000"/>
        </w:rPr>
        <w:t>.</w:t>
      </w:r>
      <w:r>
        <w:rPr>
          <w:rFonts w:ascii="宋体" w:eastAsia="宋体"/>
          <w:color w:val="000000"/>
        </w:rPr>
        <w:t>服务清单（若有）。无。</w:t>
      </w:r>
    </w:p>
    <w:p>
      <w:pPr>
        <w:rPr>
          <w:rFonts w:ascii="宋体" w:eastAsia="宋体" w:hint="eastAsia"/>
          <w:color w:val="000000"/>
        </w:rPr>
      </w:pPr>
      <w:r>
        <w:rPr>
          <w:rFonts w:ascii="宋体" w:eastAsia="宋体"/>
          <w:color w:val="000000"/>
        </w:rPr>
        <w:t>4.其它认为有必要的内容,如未尽的技术指标要求、中标原则、是否专门针对中小企业等等（若有）。无。</w:t>
      </w:r>
    </w:p>
    <w:p>
      <w:pPr>
        <w:rPr>
          <w:rFonts w:eastAsia="宋体" w:hint="eastAsia"/>
        </w:rPr>
      </w:pPr>
    </w:p>
    <w:p>
      <w:pPr>
        <w:rPr>
          <w:rFonts w:ascii="宋体" w:eastAsia="宋体"/>
          <w:color w:val="000000"/>
        </w:rPr>
      </w:pPr>
      <w:r>
        <w:rPr>
          <w:rFonts w:ascii="宋体" w:eastAsia="宋体"/>
          <w:color w:val="000000"/>
        </w:rPr>
        <w:t>5.技术服务需求响应程度表</w:t>
      </w:r>
    </w:p>
    <w:tbl>
      <w:tblPr>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ind w:firstLine="0"/>
              <w:jc w:val="center"/>
              <w:rPr>
                <w:rFonts w:ascii="宋体" w:eastAsia="宋体"/>
                <w:color w:val="000000"/>
              </w:rPr>
            </w:pPr>
            <w:r>
              <w:rPr>
                <w:rFonts w:ascii="宋体" w:eastAsia="宋体" w:hint="eastAsia"/>
                <w:color w:val="000000"/>
              </w:rPr>
              <w:t>序号</w:t>
            </w:r>
          </w:p>
        </w:tc>
        <w:tc>
          <w:tcPr>
            <w:tcW w:w="1140" w:type="dxa"/>
          </w:tcPr>
          <w:p>
            <w:pPr>
              <w:ind w:firstLine="0"/>
              <w:jc w:val="center"/>
              <w:rPr>
                <w:rFonts w:ascii="宋体" w:eastAsia="宋体"/>
                <w:color w:val="000000"/>
              </w:rPr>
            </w:pPr>
            <w:r>
              <w:rPr>
                <w:rFonts w:ascii="宋体" w:eastAsia="宋体" w:hint="eastAsia"/>
                <w:color w:val="000000"/>
              </w:rPr>
              <w:t>内容</w:t>
            </w:r>
          </w:p>
        </w:tc>
        <w:tc>
          <w:tcPr>
            <w:tcW w:w="1880" w:type="dxa"/>
          </w:tcPr>
          <w:p>
            <w:pPr>
              <w:ind w:firstLine="0"/>
              <w:jc w:val="center"/>
              <w:rPr>
                <w:rFonts w:ascii="宋体" w:eastAsia="宋体"/>
                <w:color w:val="000000"/>
              </w:rPr>
            </w:pPr>
            <w:r>
              <w:rPr>
                <w:rFonts w:ascii="宋体" w:eastAsia="宋体" w:hint="eastAsia"/>
                <w:color w:val="000000"/>
              </w:rPr>
              <w:t>数量</w:t>
            </w:r>
          </w:p>
        </w:tc>
        <w:tc>
          <w:tcPr>
            <w:tcW w:w="4680" w:type="dxa"/>
          </w:tcPr>
          <w:p>
            <w:pPr>
              <w:ind w:firstLine="0"/>
              <w:jc w:val="center"/>
              <w:rPr>
                <w:rFonts w:ascii="宋体" w:eastAsia="宋体"/>
                <w:color w:val="000000"/>
              </w:rPr>
            </w:pPr>
            <w:r>
              <w:rPr>
                <w:rFonts w:ascii="宋体" w:eastAsia="宋体" w:hint="eastAsia"/>
                <w:color w:val="000000"/>
              </w:rPr>
              <w:t>所在位置</w:t>
            </w:r>
          </w:p>
        </w:tc>
      </w:tr>
      <w:tr>
        <w:tblPrEx>
          <w:tblW w:w="8508" w:type="dxa"/>
          <w:jc w:val="left"/>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color w:val="000000"/>
              </w:rPr>
            </w:pPr>
            <w:r>
              <w:rPr>
                <w:rFonts w:ascii="宋体" w:eastAsia="宋体" w:hint="eastAsia"/>
                <w:color w:val="000000"/>
              </w:rPr>
              <w:t>1</w:t>
            </w:r>
          </w:p>
        </w:tc>
        <w:tc>
          <w:tcPr>
            <w:tcW w:w="1140" w:type="dxa"/>
            <w:vAlign w:val="center"/>
          </w:tcPr>
          <w:p>
            <w:pPr>
              <w:ind w:firstLine="0"/>
              <w:jc w:val="center"/>
              <w:rPr>
                <w:rFonts w:ascii="宋体" w:eastAsia="宋体"/>
                <w:color w:val="000000"/>
              </w:rPr>
            </w:pPr>
            <w:r>
              <w:rPr>
                <w:rFonts w:ascii="宋体" w:eastAsia="宋体" w:hint="eastAsia"/>
                <w:color w:val="000000"/>
              </w:rPr>
              <w:t>重要指标项</w:t>
            </w:r>
          </w:p>
        </w:tc>
        <w:tc>
          <w:tcPr>
            <w:tcW w:w="1880" w:type="dxa"/>
            <w:vAlign w:val="center"/>
          </w:tcPr>
          <w:p>
            <w:pPr>
              <w:ind w:firstLine="0"/>
              <w:jc w:val="center"/>
              <w:rPr>
                <w:rFonts w:ascii="宋体" w:eastAsia="宋体"/>
                <w:color w:val="000000"/>
              </w:rPr>
            </w:pPr>
            <w:r>
              <w:rPr>
                <w:rFonts w:ascii="宋体" w:eastAsia="宋体"/>
                <w:color w:val="000000"/>
              </w:rPr>
              <w:t>4个</w:t>
            </w:r>
          </w:p>
        </w:tc>
        <w:tc>
          <w:tcPr>
            <w:tcW w:w="4680" w:type="dxa"/>
            <w:vAlign w:val="center"/>
          </w:tcPr>
          <w:p>
            <w:pPr>
              <w:ind w:firstLine="0"/>
              <w:rPr>
                <w:rFonts w:ascii="宋体" w:eastAsia="宋体"/>
                <w:color w:val="000000"/>
                <w:sz w:val="21"/>
                <w:szCs w:val="21"/>
              </w:rPr>
            </w:pPr>
            <w:r>
              <w:rPr>
                <w:rFonts w:ascii="宋体" w:eastAsia="宋体"/>
                <w:color w:val="000000"/>
                <w:sz w:val="21"/>
                <w:szCs w:val="21"/>
              </w:rPr>
              <w:t>第七部分服务要求（4个）：第6项3个、第8项1个。</w:t>
            </w:r>
          </w:p>
        </w:tc>
      </w:tr>
      <w:tr>
        <w:tblPrEx>
          <w:tblW w:w="8508" w:type="dxa"/>
          <w:jc w:val="left"/>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eastAsia="宋体"/>
                <w:color w:val="000000"/>
              </w:rPr>
            </w:pPr>
            <w:r>
              <w:rPr>
                <w:rFonts w:ascii="宋体" w:eastAsia="宋体" w:hint="eastAsia"/>
                <w:color w:val="000000"/>
              </w:rPr>
              <w:t>2</w:t>
            </w:r>
          </w:p>
        </w:tc>
        <w:tc>
          <w:tcPr>
            <w:tcW w:w="1140" w:type="dxa"/>
            <w:vAlign w:val="center"/>
          </w:tcPr>
          <w:p>
            <w:pPr>
              <w:ind w:firstLine="0"/>
              <w:jc w:val="center"/>
              <w:rPr>
                <w:rFonts w:ascii="宋体" w:eastAsia="宋体"/>
                <w:color w:val="000000"/>
              </w:rPr>
            </w:pPr>
            <w:r>
              <w:rPr>
                <w:rFonts w:ascii="宋体" w:eastAsia="宋体" w:hint="eastAsia"/>
                <w:color w:val="000000"/>
              </w:rPr>
              <w:t>一般指标项</w:t>
            </w:r>
          </w:p>
        </w:tc>
        <w:tc>
          <w:tcPr>
            <w:tcW w:w="1880" w:type="dxa"/>
            <w:vAlign w:val="center"/>
          </w:tcPr>
          <w:p>
            <w:pPr>
              <w:ind w:firstLine="0"/>
              <w:jc w:val="center"/>
              <w:rPr>
                <w:rFonts w:ascii="宋体" w:eastAsia="宋体"/>
                <w:color w:val="000000"/>
              </w:rPr>
            </w:pPr>
            <w:r>
              <w:rPr>
                <w:rFonts w:ascii="宋体" w:eastAsia="宋体"/>
                <w:color w:val="000000"/>
              </w:rPr>
              <w:t>20个</w:t>
            </w:r>
          </w:p>
        </w:tc>
        <w:tc>
          <w:tcPr>
            <w:tcW w:w="4680" w:type="dxa"/>
          </w:tcPr>
          <w:p>
            <w:pPr>
              <w:spacing w:line="360" w:lineRule="auto"/>
              <w:ind w:firstLine="0"/>
              <w:jc w:val="left"/>
              <w:rPr>
                <w:rFonts w:ascii="宋体" w:eastAsia="宋体"/>
                <w:color w:val="000000"/>
                <w:sz w:val="21"/>
                <w:szCs w:val="21"/>
              </w:rPr>
            </w:pPr>
            <w:r>
              <w:rPr>
                <w:rFonts w:ascii="宋体" w:eastAsia="宋体"/>
                <w:color w:val="000000"/>
                <w:sz w:val="21"/>
                <w:szCs w:val="21"/>
              </w:rPr>
              <w:t xml:space="preserve">四、项目概述1个：第3项1个。   </w:t>
            </w:r>
          </w:p>
          <w:p>
            <w:pPr>
              <w:spacing w:line="360" w:lineRule="auto"/>
              <w:ind w:firstLine="0"/>
              <w:jc w:val="left"/>
              <w:rPr>
                <w:rFonts w:ascii="宋体" w:eastAsia="宋体"/>
                <w:color w:val="000000"/>
                <w:sz w:val="21"/>
                <w:szCs w:val="21"/>
              </w:rPr>
            </w:pPr>
            <w:r>
              <w:rPr>
                <w:rFonts w:ascii="宋体" w:eastAsia="宋体"/>
                <w:color w:val="000000"/>
                <w:sz w:val="21"/>
                <w:szCs w:val="21"/>
              </w:rPr>
              <w:t xml:space="preserve">七、服务要求14个：第5项3个，第9项4个，第10项6个，第11项1个。  </w:t>
            </w:r>
          </w:p>
          <w:p>
            <w:pPr>
              <w:ind w:firstLine="0"/>
              <w:jc w:val="left"/>
              <w:rPr>
                <w:rFonts w:ascii="宋体" w:eastAsia="宋体"/>
                <w:color w:val="000000"/>
                <w:sz w:val="44"/>
                <w:szCs w:val="44"/>
              </w:rPr>
            </w:pPr>
            <w:r>
              <w:rPr>
                <w:rFonts w:ascii="宋体" w:eastAsia="宋体"/>
                <w:color w:val="000000"/>
                <w:sz w:val="21"/>
                <w:szCs w:val="21"/>
              </w:rPr>
              <w:t>八、实施要求5个：第2项2个，第3项1个，第6、9项各1个。</w:t>
            </w:r>
          </w:p>
        </w:tc>
      </w:tr>
    </w:tbl>
    <w:p>
      <w:pPr>
        <w:pStyle w:val="364"/>
        <w:rPr>
          <w:rFonts w:ascii="宋体" w:eastAsia="宋体"/>
          <w:b/>
          <w:bCs/>
          <w:color w:val="000000"/>
        </w:rPr>
      </w:pPr>
      <w:r>
        <w:rPr>
          <w:rFonts w:ascii="宋体" w:eastAsia="宋体" w:hint="eastAsia"/>
          <w:b/>
          <w:bCs/>
          <w:color w:val="000000"/>
        </w:rPr>
        <w:t>备注：</w:t>
      </w:r>
    </w:p>
    <w:p>
      <w:pPr>
        <w:pStyle w:val="364"/>
        <w:rPr>
          <w:rFonts w:ascii="宋体" w:eastAsia="宋体"/>
          <w:color w:val="000000"/>
        </w:rPr>
      </w:pPr>
      <w:r>
        <w:rPr>
          <w:rFonts w:ascii="宋体" w:eastAsia="宋体" w:hint="eastAsia"/>
          <w:color w:val="000000"/>
        </w:rPr>
        <w:t>①表格内容填写完整、规范，确保无缺漏项。</w:t>
      </w:r>
    </w:p>
    <w:p>
      <w:pPr>
        <w:rPr>
          <w:rFonts w:ascii="宋体" w:eastAsia="宋体"/>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rPr>
          <w:rFonts w:ascii="宋体" w:eastAsia="宋体"/>
          <w:color w:val="000000"/>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rPr>
          <w:rFonts w:ascii="宋体" w:eastAsia="宋体"/>
          <w:color w:val="000000"/>
        </w:rPr>
      </w:pPr>
    </w:p>
    <w:p>
      <w:pPr>
        <w:numPr>
          <w:ilvl w:val="0"/>
          <w:numId w:val="2"/>
        </w:numPr>
        <w:rPr>
          <w:rFonts w:ascii="宋体" w:eastAsia="宋体"/>
          <w:color w:val="000000"/>
        </w:rPr>
      </w:pPr>
      <w:r>
        <w:rPr>
          <w:rFonts w:ascii="宋体" w:eastAsia="宋体"/>
        </w:rPr>
        <w:t>附设备清单</w:t>
      </w:r>
    </w:p>
    <w:p>
      <w:pPr>
        <w:rPr>
          <w:rFonts w:ascii="宋体"/>
          <w:lang w:eastAsia="zh-CN"/>
        </w:rPr>
      </w:pPr>
      <w:r>
        <w:rPr>
          <w:rFonts w:ascii="宋体" w:cs="宋体"/>
          <w:lang w:eastAsia="zh-CN"/>
        </w:rPr>
        <w:t>（1）采购</w:t>
      </w:r>
      <w:r>
        <w:rPr>
          <w:rFonts w:ascii="宋体" w:cs="宋体" w:hint="eastAsia"/>
          <w:lang w:eastAsia="zh-CN"/>
        </w:rPr>
        <w:t>Veritas NetBackup备份软件维保服务</w:t>
      </w:r>
    </w:p>
    <w:p>
      <w:pPr>
        <w:rPr>
          <w:rFonts w:ascii="宋体"/>
        </w:rPr>
      </w:pPr>
      <w:r>
        <w:rPr>
          <w:rFonts w:ascii="宋体" w:cs="宋体" w:hint="eastAsia"/>
        </w:rPr>
        <w:t>服务期:202</w:t>
      </w:r>
      <w:r>
        <w:rPr>
          <w:rFonts w:ascii="宋体" w:cs="宋体"/>
        </w:rPr>
        <w:t>4</w:t>
      </w:r>
      <w:r>
        <w:rPr>
          <w:rFonts w:ascii="宋体" w:cs="宋体" w:hint="eastAsia"/>
        </w:rPr>
        <w:t>年</w:t>
      </w:r>
      <w:r>
        <w:rPr>
          <w:rFonts w:ascii="宋体" w:cs="宋体"/>
        </w:rPr>
        <w:t>10</w:t>
      </w:r>
      <w:r>
        <w:rPr>
          <w:rFonts w:ascii="宋体" w:cs="宋体" w:hint="eastAsia"/>
        </w:rPr>
        <w:t>月1</w:t>
      </w:r>
      <w:r>
        <w:rPr>
          <w:rFonts w:ascii="宋体" w:cs="宋体"/>
        </w:rPr>
        <w:t>9</w:t>
      </w:r>
      <w:r>
        <w:rPr>
          <w:rFonts w:ascii="宋体" w:cs="宋体" w:hint="eastAsia"/>
        </w:rPr>
        <w:t>日至202</w:t>
      </w:r>
      <w:r>
        <w:rPr>
          <w:rFonts w:ascii="宋体" w:cs="宋体"/>
        </w:rPr>
        <w:t>5</w:t>
      </w:r>
      <w:r>
        <w:rPr>
          <w:rFonts w:ascii="宋体" w:cs="宋体" w:hint="eastAsia"/>
        </w:rPr>
        <w:t>年</w:t>
      </w:r>
      <w:r>
        <w:rPr>
          <w:rFonts w:ascii="宋体" w:cs="宋体"/>
        </w:rPr>
        <w:t>8</w:t>
      </w:r>
      <w:r>
        <w:rPr>
          <w:rFonts w:ascii="宋体" w:cs="宋体" w:hint="eastAsia"/>
        </w:rPr>
        <w:t>月1</w:t>
      </w:r>
      <w:r>
        <w:rPr>
          <w:rFonts w:ascii="宋体" w:cs="宋体"/>
        </w:rPr>
        <w:t>8</w:t>
      </w:r>
      <w:r>
        <w:rPr>
          <w:rFonts w:ascii="宋体" w:cs="宋体" w:hint="eastAsia"/>
        </w:rPr>
        <w:t>日，软件清单见下表。</w:t>
      </w:r>
    </w:p>
    <w:tbl>
      <w:tblPr>
        <w:tblW w:w="4971" w:type="pct"/>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18"/>
        <w:gridCol w:w="6219"/>
        <w:gridCol w:w="1135"/>
      </w:tblGrid>
      <w:tr>
        <w:tblPrEx>
          <w:tblW w:w="4971" w:type="pct"/>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1"/>
          <w:jc w:val="left"/>
        </w:trPr>
        <w:tc>
          <w:tcPr>
            <w:tcW w:w="1118" w:type="dxa"/>
            <w:tcBorders>
              <w:top w:val="single" w:sz="4" w:space="0" w:color="auto"/>
              <w:left w:val="single" w:sz="4" w:space="0" w:color="auto"/>
              <w:bottom w:val="single" w:sz="4" w:space="0" w:color="auto"/>
              <w:right w:val="single" w:sz="4" w:space="0" w:color="auto"/>
            </w:tcBorders>
            <w:shd w:val="clear" w:color="auto" w:fill="FFFFFF"/>
            <w:noWrap/>
            <w:vAlign w:val="center"/>
          </w:tcPr>
          <w:p>
            <w:pPr>
              <w:spacing w:line="315" w:lineRule="atLeast"/>
              <w:jc w:val="center"/>
              <w:rPr>
                <w:rFonts w:ascii="宋体"/>
                <w:b/>
                <w:bCs/>
                <w:szCs w:val="21"/>
              </w:rPr>
            </w:pPr>
            <w:r>
              <w:rPr>
                <w:rFonts w:ascii="宋体" w:cs="宋体" w:hint="eastAsia"/>
                <w:b/>
                <w:bCs/>
                <w:szCs w:val="21"/>
              </w:rPr>
              <w:t>编号</w:t>
            </w:r>
          </w:p>
        </w:tc>
        <w:tc>
          <w:tcPr>
            <w:tcW w:w="6219" w:type="dxa"/>
            <w:tcBorders>
              <w:top w:val="single" w:sz="4" w:space="0" w:color="auto"/>
              <w:left w:val="single" w:sz="4" w:space="0" w:color="auto"/>
              <w:bottom w:val="single" w:sz="4" w:space="0" w:color="auto"/>
              <w:right w:val="single" w:sz="4" w:space="0" w:color="auto"/>
            </w:tcBorders>
            <w:shd w:val="clear" w:color="auto" w:fill="FFFFFF"/>
            <w:noWrap/>
            <w:vAlign w:val="center"/>
          </w:tcPr>
          <w:p>
            <w:pPr>
              <w:spacing w:line="315" w:lineRule="atLeast"/>
              <w:jc w:val="center"/>
              <w:rPr>
                <w:rFonts w:ascii="宋体"/>
                <w:b/>
                <w:bCs/>
                <w:szCs w:val="21"/>
              </w:rPr>
            </w:pPr>
            <w:r>
              <w:rPr>
                <w:rFonts w:ascii="宋体" w:cs="宋体" w:hint="eastAsia"/>
                <w:b/>
                <w:bCs/>
                <w:szCs w:val="21"/>
              </w:rPr>
              <w:t>软件内容</w:t>
            </w:r>
          </w:p>
        </w:tc>
        <w:tc>
          <w:tcPr>
            <w:tcW w:w="1135" w:type="dxa"/>
            <w:tcBorders>
              <w:top w:val="single" w:sz="4" w:space="0" w:color="auto"/>
              <w:left w:val="single" w:sz="4" w:space="0" w:color="auto"/>
              <w:bottom w:val="single" w:sz="4" w:space="0" w:color="auto"/>
              <w:right w:val="single" w:sz="4" w:space="0" w:color="auto"/>
            </w:tcBorders>
            <w:shd w:val="clear" w:color="auto" w:fill="FFFFFF"/>
            <w:noWrap/>
            <w:vAlign w:val="center"/>
          </w:tcPr>
          <w:p>
            <w:pPr>
              <w:spacing w:line="315" w:lineRule="atLeast"/>
              <w:jc w:val="center"/>
              <w:rPr>
                <w:rFonts w:ascii="宋体"/>
                <w:b/>
                <w:bCs/>
                <w:szCs w:val="21"/>
              </w:rPr>
            </w:pPr>
            <w:r>
              <w:rPr>
                <w:rFonts w:ascii="宋体" w:cs="宋体" w:hint="eastAsia"/>
                <w:b/>
                <w:bCs/>
                <w:szCs w:val="21"/>
              </w:rPr>
              <w:t>数量</w:t>
            </w:r>
          </w:p>
        </w:tc>
      </w:tr>
      <w:tr>
        <w:tblPrEx>
          <w:tblW w:w="4971" w:type="pct"/>
          <w:jc w:val="left"/>
          <w:tblInd w:w="-106" w:type="dxa"/>
          <w:tblCellMar>
            <w:top w:w="0" w:type="dxa"/>
            <w:left w:w="108" w:type="dxa"/>
            <w:bottom w:w="0" w:type="dxa"/>
            <w:right w:w="108" w:type="dxa"/>
          </w:tblCellMar>
        </w:tblPrEx>
        <w:trPr>
          <w:trHeight w:val="601"/>
          <w:jc w:val="left"/>
        </w:trPr>
        <w:tc>
          <w:tcPr>
            <w:tcW w:w="1118" w:type="dxa"/>
            <w:shd w:val="clear" w:color="auto" w:fill="FFFFFF"/>
            <w:noWrap/>
            <w:vAlign w:val="center"/>
          </w:tcPr>
          <w:p>
            <w:pPr>
              <w:rPr>
                <w:rFonts w:ascii="宋体" w:cs="宋体"/>
                <w:szCs w:val="21"/>
              </w:rPr>
            </w:pPr>
            <w:r>
              <w:rPr>
                <w:rFonts w:ascii="宋体" w:cs="宋体" w:hint="eastAsia"/>
                <w:szCs w:val="21"/>
              </w:rPr>
              <w:t>3512174</w:t>
            </w:r>
          </w:p>
        </w:tc>
        <w:tc>
          <w:tcPr>
            <w:tcW w:w="6219" w:type="dxa"/>
            <w:shd w:val="clear" w:color="auto" w:fill="FFFFFF"/>
            <w:noWrap/>
            <w:vAlign w:val="center"/>
          </w:tcPr>
          <w:p>
            <w:pPr>
              <w:jc w:val="left"/>
              <w:rPr>
                <w:rFonts w:ascii="宋体" w:cs="宋体"/>
                <w:szCs w:val="21"/>
              </w:rPr>
            </w:pPr>
            <w:r>
              <w:rPr>
                <w:rFonts w:ascii="宋体" w:cs="宋体" w:hint="eastAsia"/>
                <w:szCs w:val="21"/>
              </w:rPr>
              <w:t>NETBACKUP CLIENT APPLICATION AND DB PACK WLS 1 SERVER HARDWARE TIER 1 ONPREMISE STANDARD PERPETUAL LICENSE CORPORATE</w:t>
            </w:r>
          </w:p>
        </w:tc>
        <w:tc>
          <w:tcPr>
            <w:tcW w:w="1135" w:type="dxa"/>
            <w:shd w:val="clear" w:color="auto" w:fill="FFFFFF"/>
            <w:noWrap/>
            <w:vAlign w:val="center"/>
          </w:tcPr>
          <w:p>
            <w:pPr>
              <w:jc w:val="center"/>
              <w:rPr>
                <w:rFonts w:ascii="宋体" w:cs="宋体"/>
                <w:szCs w:val="21"/>
              </w:rPr>
            </w:pPr>
            <w:r>
              <w:rPr>
                <w:rFonts w:ascii="宋体" w:cs="宋体" w:hint="eastAsia"/>
                <w:szCs w:val="21"/>
              </w:rPr>
              <w:t>8</w:t>
            </w:r>
          </w:p>
        </w:tc>
      </w:tr>
      <w:tr>
        <w:tblPrEx>
          <w:tblW w:w="4971" w:type="pct"/>
          <w:jc w:val="left"/>
          <w:tblInd w:w="-106" w:type="dxa"/>
          <w:tblCellMar>
            <w:top w:w="0" w:type="dxa"/>
            <w:left w:w="108" w:type="dxa"/>
            <w:bottom w:w="0" w:type="dxa"/>
            <w:right w:w="108" w:type="dxa"/>
          </w:tblCellMar>
        </w:tblPrEx>
        <w:trPr>
          <w:trHeight w:val="768"/>
          <w:jc w:val="left"/>
        </w:trPr>
        <w:tc>
          <w:tcPr>
            <w:tcW w:w="1118" w:type="dxa"/>
            <w:shd w:val="clear" w:color="auto" w:fill="FFFFFF"/>
            <w:noWrap/>
            <w:vAlign w:val="center"/>
          </w:tcPr>
          <w:p>
            <w:pPr>
              <w:rPr>
                <w:rFonts w:ascii="宋体" w:cs="宋体"/>
                <w:szCs w:val="21"/>
              </w:rPr>
            </w:pPr>
            <w:r>
              <w:rPr>
                <w:rFonts w:ascii="宋体" w:cs="宋体" w:hint="eastAsia"/>
                <w:szCs w:val="21"/>
              </w:rPr>
              <w:t>3512175</w:t>
            </w:r>
          </w:p>
        </w:tc>
        <w:tc>
          <w:tcPr>
            <w:tcW w:w="6219" w:type="dxa"/>
            <w:shd w:val="clear" w:color="auto" w:fill="FFFFFF"/>
            <w:noWrap/>
            <w:vAlign w:val="center"/>
          </w:tcPr>
          <w:p>
            <w:pPr>
              <w:jc w:val="left"/>
              <w:rPr>
                <w:rFonts w:ascii="宋体" w:cs="宋体"/>
                <w:szCs w:val="21"/>
              </w:rPr>
            </w:pPr>
            <w:r>
              <w:rPr>
                <w:rFonts w:ascii="宋体" w:cs="宋体" w:hint="eastAsia"/>
                <w:szCs w:val="21"/>
              </w:rPr>
              <w:t>NETBACKUP OPT LIBRARY BASED TAPE DRIVE XPLAT 1 DRIVE ONPREMISE STANDARD PERPETUAL LICENSE CORPORATE</w:t>
            </w:r>
          </w:p>
        </w:tc>
        <w:tc>
          <w:tcPr>
            <w:tcW w:w="1135" w:type="dxa"/>
            <w:shd w:val="clear" w:color="auto" w:fill="FFFFFF"/>
            <w:noWrap/>
            <w:vAlign w:val="center"/>
          </w:tcPr>
          <w:p>
            <w:pPr>
              <w:jc w:val="center"/>
              <w:rPr>
                <w:rFonts w:ascii="宋体" w:cs="宋体"/>
                <w:szCs w:val="21"/>
              </w:rPr>
            </w:pPr>
            <w:r>
              <w:rPr>
                <w:rFonts w:ascii="宋体" w:cs="宋体" w:hint="eastAsia"/>
                <w:szCs w:val="21"/>
              </w:rPr>
              <w:t>4</w:t>
            </w:r>
          </w:p>
        </w:tc>
      </w:tr>
      <w:tr>
        <w:tblPrEx>
          <w:tblW w:w="4971" w:type="pct"/>
          <w:jc w:val="left"/>
          <w:tblInd w:w="-106" w:type="dxa"/>
          <w:tblCellMar>
            <w:top w:w="0" w:type="dxa"/>
            <w:left w:w="108" w:type="dxa"/>
            <w:bottom w:w="0" w:type="dxa"/>
            <w:right w:w="108" w:type="dxa"/>
          </w:tblCellMar>
        </w:tblPrEx>
        <w:trPr>
          <w:trHeight w:val="412"/>
          <w:jc w:val="left"/>
        </w:trPr>
        <w:tc>
          <w:tcPr>
            <w:tcW w:w="1118" w:type="dxa"/>
            <w:shd w:val="clear" w:color="auto" w:fill="FFFFFF"/>
            <w:noWrap/>
            <w:vAlign w:val="center"/>
          </w:tcPr>
          <w:p>
            <w:pPr>
              <w:rPr>
                <w:rFonts w:ascii="宋体" w:cs="宋体"/>
                <w:szCs w:val="21"/>
              </w:rPr>
            </w:pPr>
            <w:r>
              <w:rPr>
                <w:rFonts w:ascii="宋体" w:cs="宋体" w:hint="eastAsia"/>
                <w:szCs w:val="21"/>
              </w:rPr>
              <w:t>3512176</w:t>
            </w:r>
          </w:p>
        </w:tc>
        <w:tc>
          <w:tcPr>
            <w:tcW w:w="6219" w:type="dxa"/>
            <w:shd w:val="clear" w:color="auto" w:fill="FFFFFF"/>
            <w:noWrap/>
            <w:vAlign w:val="center"/>
          </w:tcPr>
          <w:p>
            <w:pPr>
              <w:jc w:val="left"/>
              <w:rPr>
                <w:rFonts w:ascii="宋体" w:cs="宋体"/>
                <w:szCs w:val="21"/>
              </w:rPr>
            </w:pPr>
            <w:r>
              <w:rPr>
                <w:rFonts w:ascii="宋体" w:cs="宋体" w:hint="eastAsia"/>
                <w:szCs w:val="21"/>
              </w:rPr>
              <w:t>NETBACKUP OPT VAULT BASE XPLAT ONPREMISE STANDARD PERPETUAL LICENSE CORPORATE</w:t>
            </w:r>
          </w:p>
        </w:tc>
        <w:tc>
          <w:tcPr>
            <w:tcW w:w="1135" w:type="dxa"/>
            <w:shd w:val="clear" w:color="auto" w:fill="FFFFFF"/>
            <w:noWrap/>
            <w:vAlign w:val="center"/>
          </w:tcPr>
          <w:p>
            <w:pPr>
              <w:jc w:val="center"/>
              <w:rPr>
                <w:rFonts w:ascii="宋体" w:cs="宋体"/>
                <w:szCs w:val="21"/>
              </w:rPr>
            </w:pPr>
            <w:r>
              <w:rPr>
                <w:rFonts w:ascii="宋体" w:cs="宋体" w:hint="eastAsia"/>
                <w:szCs w:val="21"/>
              </w:rPr>
              <w:t>1</w:t>
            </w:r>
          </w:p>
        </w:tc>
      </w:tr>
      <w:tr>
        <w:tblPrEx>
          <w:tblW w:w="4971" w:type="pct"/>
          <w:jc w:val="left"/>
          <w:tblInd w:w="-106" w:type="dxa"/>
          <w:tblCellMar>
            <w:top w:w="0" w:type="dxa"/>
            <w:left w:w="108" w:type="dxa"/>
            <w:bottom w:w="0" w:type="dxa"/>
            <w:right w:w="108" w:type="dxa"/>
          </w:tblCellMar>
        </w:tblPrEx>
        <w:trPr>
          <w:trHeight w:val="419"/>
          <w:jc w:val="left"/>
        </w:trPr>
        <w:tc>
          <w:tcPr>
            <w:tcW w:w="1118" w:type="dxa"/>
            <w:shd w:val="clear" w:color="auto" w:fill="FFFFFF"/>
            <w:noWrap/>
            <w:vAlign w:val="center"/>
          </w:tcPr>
          <w:p>
            <w:pPr>
              <w:rPr>
                <w:rFonts w:ascii="宋体" w:cs="宋体"/>
                <w:szCs w:val="21"/>
              </w:rPr>
            </w:pPr>
            <w:r>
              <w:rPr>
                <w:rFonts w:ascii="宋体" w:cs="宋体" w:hint="eastAsia"/>
                <w:szCs w:val="21"/>
              </w:rPr>
              <w:t>3512177</w:t>
            </w:r>
          </w:p>
        </w:tc>
        <w:tc>
          <w:tcPr>
            <w:tcW w:w="6219" w:type="dxa"/>
            <w:shd w:val="clear" w:color="auto" w:fill="FFFFFF"/>
            <w:noWrap/>
            <w:vAlign w:val="center"/>
          </w:tcPr>
          <w:p>
            <w:pPr>
              <w:jc w:val="left"/>
              <w:rPr>
                <w:rFonts w:ascii="宋体" w:cs="宋体"/>
                <w:szCs w:val="21"/>
              </w:rPr>
            </w:pPr>
            <w:r>
              <w:rPr>
                <w:rFonts w:ascii="宋体" w:cs="宋体" w:hint="eastAsia"/>
                <w:szCs w:val="21"/>
              </w:rPr>
              <w:t>NETBACKUP ENT SERVER WLS 1 SERVER HARDWARE TIER 1 ONPREMISE STANDARD PERPETUAL LICENSE CORPORATE</w:t>
            </w:r>
          </w:p>
        </w:tc>
        <w:tc>
          <w:tcPr>
            <w:tcW w:w="1135" w:type="dxa"/>
            <w:shd w:val="clear" w:color="auto" w:fill="FFFFFF"/>
            <w:noWrap/>
            <w:vAlign w:val="center"/>
          </w:tcPr>
          <w:p>
            <w:pPr>
              <w:jc w:val="center"/>
              <w:rPr>
                <w:rFonts w:ascii="宋体" w:cs="宋体"/>
                <w:szCs w:val="21"/>
              </w:rPr>
            </w:pPr>
            <w:r>
              <w:rPr>
                <w:rFonts w:ascii="宋体" w:cs="宋体" w:hint="eastAsia"/>
                <w:szCs w:val="21"/>
              </w:rPr>
              <w:t>1</w:t>
            </w:r>
          </w:p>
        </w:tc>
      </w:tr>
      <w:tr>
        <w:tblPrEx>
          <w:tblW w:w="4971" w:type="pct"/>
          <w:jc w:val="left"/>
          <w:tblInd w:w="-106" w:type="dxa"/>
          <w:tblCellMar>
            <w:top w:w="0" w:type="dxa"/>
            <w:left w:w="108" w:type="dxa"/>
            <w:bottom w:w="0" w:type="dxa"/>
            <w:right w:w="108" w:type="dxa"/>
          </w:tblCellMar>
        </w:tblPrEx>
        <w:trPr>
          <w:trHeight w:val="62"/>
          <w:jc w:val="left"/>
        </w:trPr>
        <w:tc>
          <w:tcPr>
            <w:tcW w:w="1118" w:type="dxa"/>
            <w:shd w:val="clear" w:color="auto" w:fill="FFFFFF"/>
            <w:noWrap/>
            <w:vAlign w:val="center"/>
          </w:tcPr>
          <w:p>
            <w:pPr>
              <w:rPr>
                <w:rFonts w:ascii="宋体" w:cs="宋体"/>
                <w:szCs w:val="21"/>
              </w:rPr>
            </w:pPr>
            <w:r>
              <w:rPr>
                <w:rFonts w:ascii="宋体" w:cs="宋体" w:hint="eastAsia"/>
                <w:szCs w:val="21"/>
              </w:rPr>
              <w:t>3512178</w:t>
            </w:r>
          </w:p>
        </w:tc>
        <w:tc>
          <w:tcPr>
            <w:tcW w:w="6219" w:type="dxa"/>
            <w:shd w:val="clear" w:color="auto" w:fill="FFFFFF"/>
            <w:noWrap/>
            <w:vAlign w:val="center"/>
          </w:tcPr>
          <w:p>
            <w:pPr>
              <w:jc w:val="left"/>
              <w:rPr>
                <w:rFonts w:ascii="宋体" w:cs="宋体"/>
                <w:szCs w:val="21"/>
              </w:rPr>
            </w:pPr>
            <w:r>
              <w:rPr>
                <w:rFonts w:ascii="宋体" w:cs="宋体" w:hint="eastAsia"/>
                <w:szCs w:val="21"/>
              </w:rPr>
              <w:t>NETBACKUP DEDUPLICATION DATA PROTECTION OPTIMIZATION OPT XPLAT 1 FRONT END TB ONPREMISE STANDARD PERPETUAL LICENSE CORPORATE</w:t>
            </w:r>
          </w:p>
        </w:tc>
        <w:tc>
          <w:tcPr>
            <w:tcW w:w="1135" w:type="dxa"/>
            <w:shd w:val="clear" w:color="auto" w:fill="FFFFFF"/>
            <w:noWrap/>
            <w:vAlign w:val="center"/>
          </w:tcPr>
          <w:p>
            <w:pPr>
              <w:jc w:val="center"/>
              <w:rPr>
                <w:rFonts w:ascii="宋体" w:cs="宋体"/>
                <w:szCs w:val="21"/>
              </w:rPr>
            </w:pPr>
            <w:r>
              <w:rPr>
                <w:rFonts w:ascii="宋体" w:cs="宋体" w:hint="eastAsia"/>
                <w:szCs w:val="21"/>
              </w:rPr>
              <w:t>1</w:t>
            </w:r>
          </w:p>
        </w:tc>
      </w:tr>
      <w:tr>
        <w:tblPrEx>
          <w:tblW w:w="4971" w:type="pct"/>
          <w:jc w:val="left"/>
          <w:tblInd w:w="-106" w:type="dxa"/>
          <w:tblCellMar>
            <w:top w:w="0" w:type="dxa"/>
            <w:left w:w="108" w:type="dxa"/>
            <w:bottom w:w="0" w:type="dxa"/>
            <w:right w:w="108" w:type="dxa"/>
          </w:tblCellMar>
        </w:tblPrEx>
        <w:trPr>
          <w:trHeight w:val="609"/>
          <w:jc w:val="left"/>
        </w:trPr>
        <w:tc>
          <w:tcPr>
            <w:tcW w:w="1118" w:type="dxa"/>
            <w:shd w:val="clear" w:color="auto" w:fill="FFFFFF"/>
            <w:noWrap/>
            <w:vAlign w:val="center"/>
          </w:tcPr>
          <w:p>
            <w:pPr>
              <w:rPr>
                <w:rFonts w:ascii="宋体" w:cs="宋体"/>
                <w:szCs w:val="21"/>
              </w:rPr>
            </w:pPr>
            <w:r>
              <w:rPr>
                <w:rFonts w:ascii="宋体" w:cs="宋体" w:hint="eastAsia"/>
                <w:szCs w:val="21"/>
              </w:rPr>
              <w:t>3512179</w:t>
            </w:r>
          </w:p>
        </w:tc>
        <w:tc>
          <w:tcPr>
            <w:tcW w:w="6219" w:type="dxa"/>
            <w:shd w:val="clear" w:color="auto" w:fill="FFFFFF"/>
            <w:noWrap/>
            <w:vAlign w:val="center"/>
          </w:tcPr>
          <w:p>
            <w:pPr>
              <w:jc w:val="left"/>
              <w:rPr>
                <w:rFonts w:ascii="宋体" w:cs="宋体"/>
                <w:szCs w:val="21"/>
              </w:rPr>
            </w:pPr>
            <w:r>
              <w:rPr>
                <w:rFonts w:ascii="宋体" w:cs="宋体" w:hint="eastAsia"/>
                <w:szCs w:val="21"/>
              </w:rPr>
              <w:t>NETBACKUP ENT CLIENT WLS 1 SERVER HARDWARE TIER 1 ONPREMISE STANDARD PERPETUAL LICENSE CORPORATE</w:t>
            </w:r>
          </w:p>
        </w:tc>
        <w:tc>
          <w:tcPr>
            <w:tcW w:w="1135" w:type="dxa"/>
            <w:shd w:val="clear" w:color="auto" w:fill="FFFFFF"/>
            <w:noWrap/>
            <w:vAlign w:val="center"/>
          </w:tcPr>
          <w:p>
            <w:pPr>
              <w:jc w:val="center"/>
              <w:rPr>
                <w:rFonts w:ascii="宋体" w:cs="宋体"/>
                <w:szCs w:val="21"/>
              </w:rPr>
            </w:pPr>
            <w:r>
              <w:rPr>
                <w:rFonts w:ascii="宋体" w:cs="宋体" w:hint="eastAsia"/>
                <w:szCs w:val="21"/>
              </w:rPr>
              <w:t>8</w:t>
            </w:r>
          </w:p>
        </w:tc>
      </w:tr>
      <w:tr>
        <w:tblPrEx>
          <w:tblW w:w="4971" w:type="pct"/>
          <w:jc w:val="left"/>
          <w:tblInd w:w="-106" w:type="dxa"/>
          <w:tblCellMar>
            <w:top w:w="0" w:type="dxa"/>
            <w:left w:w="108" w:type="dxa"/>
            <w:bottom w:w="0" w:type="dxa"/>
            <w:right w:w="108" w:type="dxa"/>
          </w:tblCellMar>
        </w:tblPrEx>
        <w:trPr>
          <w:trHeight w:val="547"/>
          <w:jc w:val="left"/>
        </w:trPr>
        <w:tc>
          <w:tcPr>
            <w:tcW w:w="1118" w:type="dxa"/>
            <w:shd w:val="clear" w:color="auto" w:fill="FFFFFF"/>
            <w:noWrap/>
            <w:vAlign w:val="center"/>
          </w:tcPr>
          <w:p>
            <w:pPr>
              <w:rPr>
                <w:rFonts w:ascii="宋体" w:cs="宋体"/>
                <w:szCs w:val="21"/>
              </w:rPr>
            </w:pPr>
            <w:r>
              <w:rPr>
                <w:rFonts w:ascii="宋体" w:cs="宋体" w:hint="eastAsia"/>
                <w:szCs w:val="21"/>
              </w:rPr>
              <w:t>3512180</w:t>
            </w:r>
          </w:p>
        </w:tc>
        <w:tc>
          <w:tcPr>
            <w:tcW w:w="6219" w:type="dxa"/>
            <w:shd w:val="clear" w:color="auto" w:fill="FFFFFF"/>
            <w:noWrap/>
            <w:vAlign w:val="center"/>
          </w:tcPr>
          <w:p>
            <w:pPr>
              <w:jc w:val="left"/>
              <w:rPr>
                <w:rFonts w:ascii="宋体" w:cs="宋体"/>
                <w:szCs w:val="21"/>
              </w:rPr>
            </w:pPr>
            <w:r>
              <w:rPr>
                <w:rFonts w:ascii="宋体" w:cs="宋体" w:hint="eastAsia"/>
                <w:szCs w:val="21"/>
              </w:rPr>
              <w:t>NETBACKUP ENT CLIENT UX 1 SERVER HARDWARE TIER 1 ONPREMISE STANDARD PERPETUAL LICENSE CORPORATE</w:t>
            </w:r>
          </w:p>
        </w:tc>
        <w:tc>
          <w:tcPr>
            <w:tcW w:w="1135" w:type="dxa"/>
            <w:shd w:val="clear" w:color="auto" w:fill="FFFFFF"/>
            <w:noWrap/>
            <w:vAlign w:val="center"/>
          </w:tcPr>
          <w:p>
            <w:pPr>
              <w:jc w:val="center"/>
              <w:rPr>
                <w:rFonts w:ascii="宋体" w:cs="宋体"/>
                <w:szCs w:val="21"/>
              </w:rPr>
            </w:pPr>
            <w:r>
              <w:rPr>
                <w:rFonts w:ascii="宋体" w:cs="宋体" w:hint="eastAsia"/>
                <w:szCs w:val="21"/>
              </w:rPr>
              <w:t>2</w:t>
            </w:r>
          </w:p>
        </w:tc>
      </w:tr>
      <w:tr>
        <w:tblPrEx>
          <w:tblW w:w="4971" w:type="pct"/>
          <w:jc w:val="left"/>
          <w:tblInd w:w="-106" w:type="dxa"/>
          <w:tblCellMar>
            <w:top w:w="0" w:type="dxa"/>
            <w:left w:w="108" w:type="dxa"/>
            <w:bottom w:w="0" w:type="dxa"/>
            <w:right w:w="108" w:type="dxa"/>
          </w:tblCellMar>
        </w:tblPrEx>
        <w:trPr>
          <w:trHeight w:val="852"/>
          <w:jc w:val="left"/>
        </w:trPr>
        <w:tc>
          <w:tcPr>
            <w:tcW w:w="1118" w:type="dxa"/>
            <w:shd w:val="clear" w:color="auto" w:fill="FFFFFF"/>
            <w:noWrap/>
            <w:vAlign w:val="center"/>
          </w:tcPr>
          <w:p>
            <w:pPr>
              <w:rPr>
                <w:rFonts w:ascii="宋体" w:cs="宋体"/>
                <w:szCs w:val="21"/>
              </w:rPr>
            </w:pPr>
            <w:r>
              <w:rPr>
                <w:rFonts w:ascii="宋体" w:cs="宋体" w:hint="eastAsia"/>
                <w:szCs w:val="21"/>
              </w:rPr>
              <w:t>3512181</w:t>
            </w:r>
          </w:p>
        </w:tc>
        <w:tc>
          <w:tcPr>
            <w:tcW w:w="6219" w:type="dxa"/>
            <w:shd w:val="clear" w:color="auto" w:fill="FFFFFF"/>
            <w:noWrap/>
            <w:vAlign w:val="center"/>
          </w:tcPr>
          <w:p>
            <w:pPr>
              <w:jc w:val="left"/>
              <w:rPr>
                <w:rFonts w:ascii="宋体" w:cs="宋体"/>
                <w:szCs w:val="21"/>
              </w:rPr>
            </w:pPr>
            <w:r>
              <w:rPr>
                <w:rFonts w:ascii="宋体" w:cs="宋体" w:hint="eastAsia"/>
                <w:szCs w:val="21"/>
              </w:rPr>
              <w:t>NETBACKUP CLIENT APPLICATION AND DB PACK UX 1 SERVER HARDWARE TIER 1 ONPREMISE STANDARD PERPETUAL LICENSE CORPORATE</w:t>
            </w:r>
          </w:p>
        </w:tc>
        <w:tc>
          <w:tcPr>
            <w:tcW w:w="1135" w:type="dxa"/>
            <w:shd w:val="clear" w:color="auto" w:fill="FFFFFF"/>
            <w:noWrap/>
            <w:vAlign w:val="center"/>
          </w:tcPr>
          <w:p>
            <w:pPr>
              <w:jc w:val="center"/>
              <w:rPr>
                <w:rFonts w:ascii="宋体" w:cs="宋体"/>
                <w:szCs w:val="21"/>
              </w:rPr>
            </w:pPr>
            <w:r>
              <w:rPr>
                <w:rFonts w:ascii="宋体" w:cs="宋体" w:hint="eastAsia"/>
                <w:szCs w:val="21"/>
              </w:rPr>
              <w:t>2</w:t>
            </w:r>
          </w:p>
        </w:tc>
      </w:tr>
    </w:tbl>
    <w:p>
      <w:pPr>
        <w:rPr>
          <w:rFonts w:ascii="宋体"/>
        </w:rPr>
      </w:pPr>
    </w:p>
    <w:p>
      <w:pPr>
        <w:rPr>
          <w:rFonts w:ascii="宋体" w:cs="宋体"/>
          <w:lang w:eastAsia="zh-CN"/>
        </w:rPr>
      </w:pPr>
      <w:r>
        <w:rPr>
          <w:rFonts w:ascii="宋体" w:cs="宋体"/>
          <w:lang w:eastAsia="zh-CN"/>
        </w:rPr>
        <w:t>（2）</w:t>
      </w:r>
      <w:r>
        <w:rPr>
          <w:rFonts w:ascii="宋体" w:cs="宋体" w:hint="eastAsia"/>
          <w:lang w:eastAsia="zh-CN"/>
        </w:rPr>
        <w:t>采购</w:t>
      </w:r>
      <w:r>
        <w:rPr>
          <w:rFonts w:ascii="宋体" w:eastAsia="宋体"/>
          <w:lang w:bidi="en-US"/>
        </w:rPr>
        <w:t>12台（套）网络和安全设备</w:t>
      </w:r>
      <w:r>
        <w:rPr>
          <w:rFonts w:ascii="宋体" w:cs="宋体"/>
          <w:lang w:eastAsia="zh-CN"/>
        </w:rPr>
        <w:t>的</w:t>
      </w:r>
      <w:r>
        <w:rPr>
          <w:rFonts w:ascii="宋体" w:cs="宋体" w:hint="eastAsia"/>
          <w:lang w:eastAsia="zh-CN"/>
        </w:rPr>
        <w:t>维保服务</w:t>
      </w:r>
    </w:p>
    <w:tbl>
      <w:tblPr>
        <w:tblW w:w="52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576"/>
        <w:gridCol w:w="1206"/>
        <w:gridCol w:w="1538"/>
        <w:gridCol w:w="3015"/>
        <w:gridCol w:w="736"/>
        <w:gridCol w:w="1721"/>
      </w:tblGrid>
      <w:tr>
        <w:tblPrEx>
          <w:tblW w:w="52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Ex>
        <w:trPr>
          <w:trHeight w:val="469"/>
          <w:jc w:val="center"/>
        </w:trPr>
        <w:tc>
          <w:tcPr>
            <w:tcW w:w="575"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b/>
                <w:bCs/>
              </w:rPr>
            </w:pPr>
            <w:r>
              <w:rPr>
                <w:rFonts w:ascii="宋体" w:cs="宋体" w:hint="eastAsia"/>
                <w:b/>
                <w:bCs/>
              </w:rPr>
              <w:t>序号</w:t>
            </w:r>
          </w:p>
        </w:tc>
        <w:tc>
          <w:tcPr>
            <w:tcW w:w="1205"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b/>
                <w:bCs/>
              </w:rPr>
            </w:pPr>
            <w:r>
              <w:rPr>
                <w:rFonts w:ascii="宋体" w:cs="宋体" w:hint="eastAsia"/>
                <w:b/>
                <w:bCs/>
              </w:rPr>
              <w:t>设备类型</w:t>
            </w:r>
          </w:p>
        </w:tc>
        <w:tc>
          <w:tcPr>
            <w:tcW w:w="1537"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b/>
                <w:bCs/>
              </w:rPr>
            </w:pPr>
            <w:r>
              <w:rPr>
                <w:rFonts w:ascii="宋体" w:cs="宋体" w:hint="eastAsia"/>
                <w:b/>
                <w:bCs/>
              </w:rPr>
              <w:t>设备品牌型号</w:t>
            </w:r>
          </w:p>
        </w:tc>
        <w:tc>
          <w:tcPr>
            <w:tcW w:w="3013"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b/>
                <w:bCs/>
              </w:rPr>
            </w:pPr>
            <w:r>
              <w:rPr>
                <w:rFonts w:ascii="宋体" w:cs="宋体" w:hint="eastAsia"/>
                <w:b/>
                <w:bCs/>
              </w:rPr>
              <w:t>主要配置情况</w:t>
            </w:r>
          </w:p>
        </w:tc>
        <w:tc>
          <w:tcPr>
            <w:tcW w:w="735"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b/>
                <w:bCs/>
              </w:rPr>
            </w:pPr>
            <w:r>
              <w:rPr>
                <w:rFonts w:ascii="宋体" w:cs="宋体" w:hint="eastAsia"/>
                <w:b/>
                <w:bCs/>
              </w:rPr>
              <w:t>数量</w:t>
            </w:r>
          </w:p>
        </w:tc>
        <w:tc>
          <w:tcPr>
            <w:tcW w:w="1720"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b/>
                <w:bCs/>
              </w:rPr>
            </w:pPr>
            <w:r>
              <w:rPr>
                <w:rFonts w:ascii="宋体" w:cs="宋体" w:hint="eastAsia"/>
                <w:b/>
                <w:bCs/>
              </w:rPr>
              <w:t>服务期</w:t>
            </w:r>
          </w:p>
        </w:tc>
      </w:tr>
      <w:tr>
        <w:tblPrEx>
          <w:tblW w:w="5282" w:type="pct"/>
          <w:jc w:val="center"/>
          <w:tblLayout w:type="fixed"/>
          <w:tblCellMar>
            <w:top w:w="0" w:type="dxa"/>
            <w:left w:w="0" w:type="dxa"/>
            <w:bottom w:w="0" w:type="dxa"/>
            <w:right w:w="0" w:type="dxa"/>
          </w:tblCellMar>
        </w:tblPrEx>
        <w:trPr>
          <w:trHeight w:val="360"/>
          <w:jc w:val="center"/>
        </w:trPr>
        <w:tc>
          <w:tcPr>
            <w:tcW w:w="575" w:type="dxa"/>
            <w:noWrap/>
            <w:vAlign w:val="center"/>
          </w:tcPr>
          <w:p>
            <w:pPr>
              <w:jc w:val="center"/>
              <w:rPr>
                <w:rFonts w:ascii="宋体" w:cs="宋体"/>
              </w:rPr>
            </w:pPr>
            <w:r>
              <w:rPr>
                <w:rFonts w:ascii="宋体" w:cs="宋体" w:hint="eastAsia"/>
              </w:rPr>
              <w:t>1</w:t>
            </w:r>
          </w:p>
        </w:tc>
        <w:tc>
          <w:tcPr>
            <w:tcW w:w="1205" w:type="dxa"/>
            <w:noWrap/>
            <w:vAlign w:val="center"/>
          </w:tcPr>
          <w:p>
            <w:pPr>
              <w:tabs>
                <w:tab w:val="left" w:pos="2040"/>
              </w:tabs>
              <w:jc w:val="center"/>
              <w:rPr>
                <w:rFonts w:ascii="宋体"/>
                <w:color w:val="000000"/>
              </w:rPr>
            </w:pPr>
            <w:r>
              <w:rPr>
                <w:rFonts w:ascii="宋体" w:cs="宋体" w:hint="eastAsia"/>
                <w:color w:val="000000"/>
              </w:rPr>
              <w:t>负载均衡设备</w:t>
            </w:r>
          </w:p>
        </w:tc>
        <w:tc>
          <w:tcPr>
            <w:tcW w:w="1537" w:type="dxa"/>
            <w:noWrap/>
            <w:vAlign w:val="center"/>
          </w:tcPr>
          <w:p>
            <w:pPr>
              <w:jc w:val="center"/>
              <w:rPr>
                <w:rFonts w:ascii="宋体" w:cs="宋体"/>
              </w:rPr>
            </w:pPr>
            <w:r>
              <w:rPr>
                <w:rFonts w:ascii="宋体" w:cs="宋体" w:hint="eastAsia"/>
              </w:rPr>
              <w:t>神州云科YK-BIG-LTM-i4600</w:t>
            </w:r>
          </w:p>
        </w:tc>
        <w:tc>
          <w:tcPr>
            <w:tcW w:w="3013" w:type="dxa"/>
            <w:noWrap/>
            <w:vAlign w:val="center"/>
          </w:tcPr>
          <w:p>
            <w:pPr>
              <w:jc w:val="left"/>
              <w:rPr>
                <w:rFonts w:ascii="宋体"/>
              </w:rPr>
            </w:pPr>
            <w:r>
              <w:rPr>
                <w:rFonts w:ascii="宋体"/>
              </w:rPr>
              <w:t>双电源，4个SFP-10GBASE-SR（10G多模光）模块，4个SFP-10GBASE-LR（光转电）模块，2个SFP-10GBASE-SR（10G单模光）模块，4个SFP-1000BASE-SX（1G多模光）模块</w:t>
            </w:r>
          </w:p>
          <w:p>
            <w:pPr>
              <w:jc w:val="left"/>
              <w:rPr>
                <w:rFonts w:ascii="宋体"/>
              </w:rPr>
            </w:pPr>
            <w:r>
              <w:rPr>
                <w:rFonts w:ascii="宋体"/>
              </w:rPr>
              <w:t>序列号：</w:t>
            </w:r>
          </w:p>
          <w:p>
            <w:pPr>
              <w:jc w:val="left"/>
              <w:rPr>
                <w:rFonts w:ascii="宋体"/>
              </w:rPr>
            </w:pPr>
            <w:r>
              <w:rPr>
                <w:rFonts w:ascii="宋体"/>
              </w:rPr>
              <w:t>yk-0000-0339、yk-0000-0340</w:t>
            </w:r>
          </w:p>
        </w:tc>
        <w:tc>
          <w:tcPr>
            <w:tcW w:w="735" w:type="dxa"/>
            <w:noWrap/>
            <w:vAlign w:val="center"/>
          </w:tcPr>
          <w:p>
            <w:pPr>
              <w:jc w:val="center"/>
              <w:rPr>
                <w:rFonts w:ascii="宋体" w:cs="宋体"/>
              </w:rPr>
            </w:pPr>
            <w:r>
              <w:rPr>
                <w:rFonts w:ascii="宋体" w:cs="宋体" w:hint="eastAsia"/>
              </w:rPr>
              <w:t>2</w:t>
            </w:r>
          </w:p>
        </w:tc>
        <w:tc>
          <w:tcPr>
            <w:tcW w:w="1720" w:type="dxa"/>
            <w:noWrap/>
            <w:vAlign w:val="center"/>
          </w:tcPr>
          <w:p>
            <w:pPr>
              <w:jc w:val="left"/>
              <w:rPr>
                <w:rFonts w:ascii="宋体"/>
              </w:rPr>
            </w:pPr>
            <w:r>
              <w:rPr>
                <w:rFonts w:ascii="宋体"/>
              </w:rPr>
              <w:t>2024年10月19日至2025年8月18日</w:t>
            </w:r>
          </w:p>
        </w:tc>
      </w:tr>
      <w:tr>
        <w:tblPrEx>
          <w:tblW w:w="5282" w:type="pct"/>
          <w:jc w:val="center"/>
          <w:tblLayout w:type="fixed"/>
          <w:tblCellMar>
            <w:top w:w="0" w:type="dxa"/>
            <w:left w:w="0" w:type="dxa"/>
            <w:bottom w:w="0" w:type="dxa"/>
            <w:right w:w="0" w:type="dxa"/>
          </w:tblCellMar>
        </w:tblPrEx>
        <w:trPr>
          <w:trHeight w:val="360"/>
          <w:jc w:val="center"/>
        </w:trPr>
        <w:tc>
          <w:tcPr>
            <w:tcW w:w="575" w:type="dxa"/>
            <w:noWrap/>
            <w:vAlign w:val="center"/>
          </w:tcPr>
          <w:p>
            <w:pPr>
              <w:jc w:val="center"/>
              <w:rPr>
                <w:rFonts w:ascii="宋体" w:cs="宋体"/>
              </w:rPr>
            </w:pPr>
            <w:r>
              <w:rPr>
                <w:rFonts w:ascii="宋体" w:cs="宋体" w:hint="eastAsia"/>
              </w:rPr>
              <w:t>2</w:t>
            </w:r>
          </w:p>
        </w:tc>
        <w:tc>
          <w:tcPr>
            <w:tcW w:w="1205" w:type="dxa"/>
            <w:noWrap/>
            <w:vAlign w:val="center"/>
          </w:tcPr>
          <w:p>
            <w:pPr>
              <w:jc w:val="center"/>
              <w:rPr>
                <w:rFonts w:ascii="宋体"/>
                <w:color w:val="000000"/>
              </w:rPr>
            </w:pPr>
            <w:r>
              <w:rPr>
                <w:rFonts w:ascii="宋体" w:cs="宋体" w:hint="eastAsia"/>
              </w:rPr>
              <w:t>防火墙</w:t>
            </w:r>
          </w:p>
        </w:tc>
        <w:tc>
          <w:tcPr>
            <w:tcW w:w="1537" w:type="dxa"/>
            <w:noWrap/>
            <w:vAlign w:val="center"/>
          </w:tcPr>
          <w:p>
            <w:pPr>
              <w:jc w:val="left"/>
              <w:rPr>
                <w:rFonts w:ascii="宋体" w:cs="宋体"/>
              </w:rPr>
            </w:pPr>
            <w:r>
              <w:rPr>
                <w:rFonts w:ascii="宋体" w:cs="宋体" w:hint="eastAsia"/>
              </w:rPr>
              <w:t>迪普FW1000-TE-N</w:t>
            </w:r>
          </w:p>
        </w:tc>
        <w:tc>
          <w:tcPr>
            <w:tcW w:w="3013" w:type="dxa"/>
            <w:noWrap/>
            <w:vAlign w:val="center"/>
          </w:tcPr>
          <w:p>
            <w:pPr>
              <w:jc w:val="left"/>
              <w:rPr>
                <w:rFonts w:ascii="宋体" w:cs="宋体"/>
              </w:rPr>
            </w:pPr>
            <w:r>
              <w:rPr>
                <w:rFonts w:ascii="宋体" w:cs="宋体" w:hint="eastAsia"/>
              </w:rPr>
              <w:t>12GEP、12GET(12口千光12口千电接口板)*2 32XGES（32口万光接口板）*2 2QXP（2口40G接口板）*1 FW1000-BLADE-A（防火墙业务板）*2 MPUA-E（主控板）*2</w:t>
            </w:r>
          </w:p>
          <w:p>
            <w:pPr>
              <w:jc w:val="left"/>
              <w:rPr>
                <w:rFonts w:ascii="宋体" w:cs="宋体"/>
              </w:rPr>
            </w:pPr>
            <w:r>
              <w:rPr>
                <w:rFonts w:ascii="宋体" w:cs="宋体"/>
              </w:rPr>
              <w:t>序列号：</w:t>
            </w:r>
          </w:p>
          <w:p>
            <w:pPr>
              <w:jc w:val="left"/>
              <w:rPr>
                <w:rFonts w:ascii="宋体" w:cs="宋体"/>
              </w:rPr>
            </w:pPr>
            <w:r>
              <w:rPr>
                <w:rFonts w:ascii="宋体" w:cs="宋体"/>
              </w:rPr>
              <w:t>02050112P163000474、</w:t>
            </w:r>
          </w:p>
          <w:p>
            <w:pPr>
              <w:jc w:val="left"/>
              <w:rPr>
                <w:rFonts w:ascii="宋体" w:cs="宋体"/>
              </w:rPr>
            </w:pPr>
            <w:r>
              <w:rPr>
                <w:rFonts w:ascii="宋体" w:cs="宋体"/>
              </w:rPr>
              <w:t>02050112P163000480、</w:t>
            </w:r>
          </w:p>
          <w:p>
            <w:pPr>
              <w:jc w:val="left"/>
              <w:rPr>
                <w:rFonts w:ascii="宋体" w:cs="宋体"/>
              </w:rPr>
            </w:pPr>
            <w:r>
              <w:rPr>
                <w:rFonts w:ascii="宋体" w:cs="宋体"/>
              </w:rPr>
              <w:t>02050112P163000452、</w:t>
            </w:r>
          </w:p>
          <w:p>
            <w:pPr>
              <w:jc w:val="left"/>
              <w:rPr>
                <w:rFonts w:ascii="宋体" w:cs="宋体"/>
              </w:rPr>
            </w:pPr>
            <w:r>
              <w:rPr>
                <w:rFonts w:ascii="宋体" w:cs="宋体"/>
              </w:rPr>
              <w:t>02050112P163000472</w:t>
            </w:r>
          </w:p>
        </w:tc>
        <w:tc>
          <w:tcPr>
            <w:tcW w:w="735" w:type="dxa"/>
            <w:noWrap/>
            <w:vAlign w:val="center"/>
          </w:tcPr>
          <w:p>
            <w:pPr>
              <w:jc w:val="center"/>
              <w:rPr>
                <w:rFonts w:ascii="宋体" w:cs="宋体"/>
              </w:rPr>
            </w:pPr>
            <w:r>
              <w:rPr>
                <w:rFonts w:ascii="宋体" w:cs="宋体" w:hint="eastAsia"/>
              </w:rPr>
              <w:t>4</w:t>
            </w:r>
          </w:p>
        </w:tc>
        <w:tc>
          <w:tcPr>
            <w:tcW w:w="1720" w:type="dxa"/>
            <w:noWrap/>
            <w:vAlign w:val="center"/>
          </w:tcPr>
          <w:p>
            <w:pPr>
              <w:jc w:val="left"/>
              <w:rPr>
                <w:rFonts w:ascii="宋体"/>
              </w:rPr>
            </w:pPr>
            <w:r>
              <w:rPr>
                <w:rFonts w:ascii="宋体"/>
              </w:rPr>
              <w:t>2024年10月19日至2025年8月18日</w:t>
            </w:r>
          </w:p>
        </w:tc>
      </w:tr>
      <w:tr>
        <w:tblPrEx>
          <w:tblW w:w="5282" w:type="pct"/>
          <w:jc w:val="center"/>
          <w:tblLayout w:type="fixed"/>
          <w:tblCellMar>
            <w:top w:w="0" w:type="dxa"/>
            <w:left w:w="0" w:type="dxa"/>
            <w:bottom w:w="0" w:type="dxa"/>
            <w:right w:w="0" w:type="dxa"/>
          </w:tblCellMar>
        </w:tblPrEx>
        <w:trPr>
          <w:trHeight w:val="359"/>
          <w:jc w:val="center"/>
        </w:trPr>
        <w:tc>
          <w:tcPr>
            <w:tcW w:w="575" w:type="dxa"/>
            <w:noWrap/>
            <w:vAlign w:val="center"/>
          </w:tcPr>
          <w:p>
            <w:pPr>
              <w:jc w:val="center"/>
              <w:rPr>
                <w:rFonts w:ascii="宋体" w:cs="宋体"/>
              </w:rPr>
            </w:pPr>
            <w:r>
              <w:rPr>
                <w:rFonts w:ascii="宋体" w:cs="宋体"/>
              </w:rPr>
              <w:t>3</w:t>
            </w:r>
          </w:p>
        </w:tc>
        <w:tc>
          <w:tcPr>
            <w:tcW w:w="1205" w:type="dxa"/>
            <w:noWrap/>
            <w:vAlign w:val="center"/>
          </w:tcPr>
          <w:p>
            <w:pPr>
              <w:jc w:val="center"/>
              <w:rPr>
                <w:rFonts w:ascii="宋体" w:cs="宋体"/>
              </w:rPr>
            </w:pPr>
            <w:r>
              <w:rPr>
                <w:rFonts w:ascii="宋体" w:cs="宋体"/>
              </w:rPr>
              <w:t>风险探知系统</w:t>
            </w:r>
          </w:p>
        </w:tc>
        <w:tc>
          <w:tcPr>
            <w:tcW w:w="1537" w:type="dxa"/>
            <w:noWrap/>
            <w:vAlign w:val="center"/>
          </w:tcPr>
          <w:p>
            <w:pPr>
              <w:jc w:val="left"/>
              <w:rPr>
                <w:rFonts w:ascii="宋体" w:cs="宋体"/>
              </w:rPr>
            </w:pPr>
            <w:r>
              <w:rPr>
                <w:rFonts w:ascii="宋体" w:cs="宋体"/>
              </w:rPr>
              <w:t>天融信TSM-TopAnalyzer-RP</w:t>
            </w:r>
          </w:p>
        </w:tc>
        <w:tc>
          <w:tcPr>
            <w:tcW w:w="3013" w:type="dxa"/>
            <w:noWrap/>
            <w:vAlign w:val="center"/>
          </w:tcPr>
          <w:p>
            <w:pPr>
              <w:jc w:val="left"/>
              <w:rPr>
                <w:rFonts w:ascii="宋体" w:cs="宋体"/>
                <w:lang w:eastAsia="zh-CN"/>
              </w:rPr>
            </w:pPr>
            <w:r>
              <w:rPr>
                <w:rFonts w:ascii="宋体" w:cs="宋体"/>
                <w:lang w:eastAsia="zh-CN"/>
              </w:rPr>
              <w:t>2U，6个10/100/1000M自适应电口、4个光纤接口</w:t>
            </w:r>
          </w:p>
          <w:p>
            <w:pPr>
              <w:jc w:val="left"/>
              <w:rPr>
                <w:rFonts w:ascii="宋体" w:cs="宋体"/>
                <w:lang w:eastAsia="zh-CN"/>
              </w:rPr>
            </w:pPr>
            <w:r>
              <w:rPr>
                <w:rFonts w:ascii="宋体" w:cs="宋体"/>
                <w:lang w:eastAsia="zh-CN"/>
              </w:rPr>
              <w:t>序列号：Q1610475136</w:t>
            </w:r>
          </w:p>
        </w:tc>
        <w:tc>
          <w:tcPr>
            <w:tcW w:w="735" w:type="dxa"/>
            <w:noWrap/>
            <w:vAlign w:val="center"/>
          </w:tcPr>
          <w:p>
            <w:pPr>
              <w:jc w:val="center"/>
              <w:rPr>
                <w:rFonts w:ascii="宋体" w:cs="宋体"/>
              </w:rPr>
            </w:pPr>
            <w:r>
              <w:rPr>
                <w:rFonts w:ascii="宋体" w:cs="宋体"/>
              </w:rPr>
              <w:t>1</w:t>
            </w:r>
          </w:p>
        </w:tc>
        <w:tc>
          <w:tcPr>
            <w:tcW w:w="1720" w:type="dxa"/>
            <w:noWrap/>
            <w:vAlign w:val="center"/>
          </w:tcPr>
          <w:p>
            <w:pPr>
              <w:jc w:val="left"/>
              <w:rPr>
                <w:rFonts w:ascii="宋体"/>
              </w:rPr>
            </w:pPr>
            <w:r>
              <w:rPr>
                <w:rFonts w:ascii="宋体"/>
              </w:rPr>
              <w:t>2024年8月29日至2025年8月18日</w:t>
            </w:r>
          </w:p>
        </w:tc>
      </w:tr>
      <w:tr>
        <w:tblPrEx>
          <w:tblW w:w="5282" w:type="pct"/>
          <w:jc w:val="center"/>
          <w:tblLayout w:type="fixed"/>
          <w:tblCellMar>
            <w:top w:w="0" w:type="dxa"/>
            <w:left w:w="0" w:type="dxa"/>
            <w:bottom w:w="0" w:type="dxa"/>
            <w:right w:w="0" w:type="dxa"/>
          </w:tblCellMar>
        </w:tblPrEx>
        <w:trPr>
          <w:trHeight w:val="359"/>
          <w:jc w:val="center"/>
        </w:trPr>
        <w:tc>
          <w:tcPr>
            <w:tcW w:w="575" w:type="dxa"/>
            <w:noWrap/>
            <w:vAlign w:val="center"/>
          </w:tcPr>
          <w:p>
            <w:pPr>
              <w:jc w:val="center"/>
              <w:rPr>
                <w:rFonts w:ascii="宋体" w:cs="宋体"/>
              </w:rPr>
            </w:pPr>
            <w:r>
              <w:rPr>
                <w:rFonts w:ascii="宋体" w:cs="宋体"/>
              </w:rPr>
              <w:t>4</w:t>
            </w:r>
          </w:p>
        </w:tc>
        <w:tc>
          <w:tcPr>
            <w:tcW w:w="1205" w:type="dxa"/>
            <w:noWrap/>
            <w:vAlign w:val="center"/>
          </w:tcPr>
          <w:p>
            <w:pPr>
              <w:jc w:val="center"/>
              <w:rPr>
                <w:rFonts w:ascii="宋体" w:cs="宋体"/>
              </w:rPr>
            </w:pPr>
            <w:r>
              <w:rPr>
                <w:rFonts w:ascii="宋体" w:cs="宋体"/>
              </w:rPr>
              <w:t>风险探知系统</w:t>
            </w:r>
          </w:p>
        </w:tc>
        <w:tc>
          <w:tcPr>
            <w:tcW w:w="1537" w:type="dxa"/>
            <w:noWrap/>
            <w:vAlign w:val="center"/>
          </w:tcPr>
          <w:p>
            <w:pPr>
              <w:jc w:val="left"/>
              <w:rPr>
                <w:rFonts w:ascii="宋体" w:cs="宋体"/>
              </w:rPr>
            </w:pPr>
            <w:r>
              <w:rPr>
                <w:rFonts w:ascii="宋体" w:cs="宋体"/>
              </w:rPr>
              <w:t>天融信TSM-BIAP</w:t>
            </w:r>
          </w:p>
        </w:tc>
        <w:tc>
          <w:tcPr>
            <w:tcW w:w="3013" w:type="dxa"/>
            <w:noWrap/>
            <w:vAlign w:val="center"/>
          </w:tcPr>
          <w:p>
            <w:pPr>
              <w:jc w:val="left"/>
              <w:rPr>
                <w:rFonts w:ascii="宋体" w:cs="宋体"/>
                <w:lang w:eastAsia="zh-CN"/>
              </w:rPr>
            </w:pPr>
            <w:r>
              <w:rPr>
                <w:rFonts w:ascii="宋体" w:cs="宋体"/>
                <w:lang w:eastAsia="zh-CN"/>
              </w:rPr>
              <w:t>2U，6个10/100/1000M自适应电口、4个光纤接口</w:t>
            </w:r>
          </w:p>
          <w:p>
            <w:pPr>
              <w:jc w:val="left"/>
              <w:rPr>
                <w:rFonts w:ascii="宋体" w:cs="宋体"/>
                <w:lang w:eastAsia="zh-CN"/>
              </w:rPr>
            </w:pPr>
            <w:r>
              <w:rPr>
                <w:rFonts w:ascii="宋体" w:cs="宋体"/>
                <w:lang w:eastAsia="zh-CN"/>
              </w:rPr>
              <w:t>序列号：</w:t>
            </w:r>
          </w:p>
          <w:p>
            <w:pPr>
              <w:jc w:val="left"/>
              <w:rPr>
                <w:rFonts w:ascii="宋体" w:cs="宋体"/>
                <w:lang w:eastAsia="zh-CN"/>
              </w:rPr>
            </w:pPr>
            <w:r>
              <w:rPr>
                <w:rFonts w:ascii="宋体" w:cs="宋体"/>
                <w:lang w:eastAsia="zh-CN"/>
              </w:rPr>
              <w:t>Q1610475318、</w:t>
            </w:r>
          </w:p>
          <w:p>
            <w:pPr>
              <w:jc w:val="left"/>
              <w:rPr>
                <w:rFonts w:ascii="宋体" w:cs="宋体"/>
                <w:lang w:eastAsia="zh-CN"/>
              </w:rPr>
            </w:pPr>
            <w:r>
              <w:rPr>
                <w:rFonts w:ascii="宋体" w:cs="宋体"/>
                <w:lang w:eastAsia="zh-CN"/>
              </w:rPr>
              <w:t>Q1610475317、</w:t>
            </w:r>
          </w:p>
          <w:p>
            <w:pPr>
              <w:jc w:val="left"/>
              <w:rPr>
                <w:rFonts w:ascii="宋体" w:cs="宋体"/>
                <w:lang w:eastAsia="zh-CN"/>
              </w:rPr>
            </w:pPr>
            <w:r>
              <w:rPr>
                <w:rFonts w:ascii="宋体" w:cs="宋体"/>
                <w:lang w:eastAsia="zh-CN"/>
              </w:rPr>
              <w:t>Q1610475319</w:t>
            </w:r>
          </w:p>
        </w:tc>
        <w:tc>
          <w:tcPr>
            <w:tcW w:w="735" w:type="dxa"/>
            <w:noWrap/>
            <w:vAlign w:val="center"/>
          </w:tcPr>
          <w:p>
            <w:pPr>
              <w:jc w:val="center"/>
              <w:rPr>
                <w:rFonts w:ascii="宋体" w:cs="宋体"/>
              </w:rPr>
            </w:pPr>
            <w:r>
              <w:rPr>
                <w:rFonts w:ascii="宋体" w:cs="宋体"/>
              </w:rPr>
              <w:t>3</w:t>
            </w:r>
          </w:p>
        </w:tc>
        <w:tc>
          <w:tcPr>
            <w:tcW w:w="1720" w:type="dxa"/>
            <w:noWrap/>
            <w:vAlign w:val="center"/>
          </w:tcPr>
          <w:p>
            <w:pPr>
              <w:jc w:val="left"/>
              <w:rPr>
                <w:rFonts w:ascii="宋体"/>
              </w:rPr>
            </w:pPr>
            <w:r>
              <w:rPr>
                <w:rFonts w:ascii="宋体"/>
              </w:rPr>
              <w:t>2024年8月29日至2025年8月18日</w:t>
            </w:r>
          </w:p>
        </w:tc>
      </w:tr>
      <w:tr>
        <w:tblPrEx>
          <w:tblW w:w="5282" w:type="pct"/>
          <w:jc w:val="center"/>
          <w:tblLayout w:type="fixed"/>
          <w:tblCellMar>
            <w:top w:w="0" w:type="dxa"/>
            <w:left w:w="0" w:type="dxa"/>
            <w:bottom w:w="0" w:type="dxa"/>
            <w:right w:w="0" w:type="dxa"/>
          </w:tblCellMar>
        </w:tblPrEx>
        <w:trPr>
          <w:trHeight w:val="359"/>
          <w:jc w:val="center"/>
        </w:trPr>
        <w:tc>
          <w:tcPr>
            <w:tcW w:w="575" w:type="dxa"/>
            <w:noWrap/>
            <w:vAlign w:val="center"/>
          </w:tcPr>
          <w:p>
            <w:pPr>
              <w:jc w:val="center"/>
              <w:rPr>
                <w:rFonts w:ascii="宋体" w:cs="宋体"/>
              </w:rPr>
            </w:pPr>
            <w:r>
              <w:rPr>
                <w:rFonts w:ascii="宋体" w:cs="宋体"/>
              </w:rPr>
              <w:t>5</w:t>
            </w:r>
          </w:p>
        </w:tc>
        <w:tc>
          <w:tcPr>
            <w:tcW w:w="1205" w:type="dxa"/>
            <w:noWrap/>
            <w:vAlign w:val="center"/>
          </w:tcPr>
          <w:p>
            <w:pPr>
              <w:jc w:val="center"/>
              <w:rPr>
                <w:rFonts w:ascii="宋体" w:cs="宋体"/>
              </w:rPr>
            </w:pPr>
            <w:r>
              <w:rPr>
                <w:rFonts w:ascii="宋体" w:cs="宋体"/>
              </w:rPr>
              <w:t>风险探知系统</w:t>
            </w:r>
          </w:p>
        </w:tc>
        <w:tc>
          <w:tcPr>
            <w:tcW w:w="1537" w:type="dxa"/>
            <w:noWrap/>
            <w:vAlign w:val="center"/>
          </w:tcPr>
          <w:p>
            <w:pPr>
              <w:jc w:val="left"/>
              <w:rPr>
                <w:rFonts w:ascii="宋体" w:cs="宋体"/>
              </w:rPr>
            </w:pPr>
            <w:r>
              <w:rPr>
                <w:rFonts w:ascii="宋体" w:cs="宋体"/>
              </w:rPr>
              <w:t>天融信TSM-TWAP</w:t>
            </w:r>
          </w:p>
        </w:tc>
        <w:tc>
          <w:tcPr>
            <w:tcW w:w="3013" w:type="dxa"/>
            <w:noWrap/>
            <w:vAlign w:val="center"/>
          </w:tcPr>
          <w:p>
            <w:pPr>
              <w:jc w:val="left"/>
              <w:rPr>
                <w:rFonts w:ascii="宋体" w:cs="宋体"/>
                <w:lang w:eastAsia="zh-CN"/>
              </w:rPr>
            </w:pPr>
            <w:r>
              <w:rPr>
                <w:rFonts w:ascii="宋体" w:cs="宋体"/>
                <w:lang w:eastAsia="zh-CN"/>
              </w:rPr>
              <w:t>2U，6个10/100/1000M自适应电口、4个光纤接口</w:t>
            </w:r>
          </w:p>
          <w:p>
            <w:pPr>
              <w:jc w:val="left"/>
              <w:rPr>
                <w:rFonts w:ascii="宋体" w:cs="宋体"/>
                <w:lang w:eastAsia="zh-CN"/>
              </w:rPr>
            </w:pPr>
            <w:r>
              <w:rPr>
                <w:rFonts w:ascii="宋体" w:cs="宋体"/>
                <w:lang w:eastAsia="zh-CN"/>
              </w:rPr>
              <w:t>序列号：</w:t>
            </w:r>
          </w:p>
          <w:p>
            <w:pPr>
              <w:jc w:val="left"/>
              <w:rPr>
                <w:rFonts w:ascii="宋体" w:cs="宋体"/>
                <w:lang w:eastAsia="zh-CN"/>
              </w:rPr>
            </w:pPr>
            <w:r>
              <w:rPr>
                <w:rFonts w:ascii="宋体" w:cs="宋体"/>
                <w:lang w:eastAsia="zh-CN"/>
              </w:rPr>
              <w:t>Q1610475091、</w:t>
            </w:r>
          </w:p>
          <w:p>
            <w:pPr>
              <w:jc w:val="left"/>
              <w:rPr>
                <w:rFonts w:ascii="宋体" w:cs="宋体"/>
                <w:lang w:eastAsia="zh-CN"/>
              </w:rPr>
            </w:pPr>
            <w:r>
              <w:rPr>
                <w:rFonts w:ascii="宋体" w:cs="宋体"/>
                <w:lang w:eastAsia="zh-CN"/>
              </w:rPr>
              <w:t>Q1610475090</w:t>
            </w:r>
          </w:p>
        </w:tc>
        <w:tc>
          <w:tcPr>
            <w:tcW w:w="735" w:type="dxa"/>
            <w:noWrap/>
            <w:vAlign w:val="center"/>
          </w:tcPr>
          <w:p>
            <w:pPr>
              <w:jc w:val="center"/>
              <w:rPr>
                <w:rFonts w:ascii="宋体" w:cs="宋体"/>
              </w:rPr>
            </w:pPr>
            <w:r>
              <w:rPr>
                <w:rFonts w:ascii="宋体" w:cs="宋体"/>
              </w:rPr>
              <w:t>2</w:t>
            </w:r>
          </w:p>
        </w:tc>
        <w:tc>
          <w:tcPr>
            <w:tcW w:w="1720" w:type="dxa"/>
            <w:noWrap/>
            <w:vAlign w:val="center"/>
          </w:tcPr>
          <w:p>
            <w:pPr>
              <w:jc w:val="left"/>
              <w:rPr>
                <w:rFonts w:ascii="宋体"/>
              </w:rPr>
            </w:pPr>
            <w:r>
              <w:rPr>
                <w:rFonts w:ascii="宋体"/>
              </w:rPr>
              <w:t>2024年8月29日至2025年8月18日</w:t>
            </w:r>
          </w:p>
        </w:tc>
      </w:tr>
    </w:tbl>
    <w:p>
      <w:pPr>
        <w:rPr>
          <w:rFonts w:ascii="宋体" w:cs="宋体"/>
        </w:rPr>
      </w:pPr>
    </w:p>
    <w:p>
      <w:pPr>
        <w:rPr>
          <w:rFonts w:ascii="宋体" w:cs="宋体" w:hint="eastAsia"/>
          <w:lang w:eastAsia="zh-CN"/>
        </w:rPr>
      </w:pPr>
      <w:r>
        <w:rPr>
          <w:rFonts w:ascii="宋体" w:cs="宋体" w:hint="eastAsia"/>
          <w:lang w:eastAsia="zh-CN"/>
        </w:rPr>
        <w:t>（3）采购硬件设备第三方维保服务</w:t>
      </w:r>
    </w:p>
    <w:tbl>
      <w:tblPr>
        <w:tblW w:w="9404" w:type="dxa"/>
        <w:jc w:val="lef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0"/>
        <w:gridCol w:w="1275"/>
        <w:gridCol w:w="1701"/>
        <w:gridCol w:w="2835"/>
        <w:gridCol w:w="722"/>
        <w:gridCol w:w="2161"/>
      </w:tblGrid>
      <w:tr>
        <w:tblPrEx>
          <w:tblW w:w="9404" w:type="dxa"/>
          <w:jc w:val="lef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spacing w:line="380" w:lineRule="exact"/>
              <w:jc w:val="center"/>
              <w:rPr>
                <w:b/>
                <w:bCs/>
                <w:iCs/>
                <w:szCs w:val="21"/>
              </w:rPr>
            </w:pPr>
            <w:r>
              <w:rPr>
                <w:rFonts w:hint="eastAsia"/>
                <w:b/>
                <w:bCs/>
                <w:iCs/>
                <w:szCs w:val="21"/>
              </w:rPr>
              <w:t>序号</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spacing w:line="380" w:lineRule="exact"/>
              <w:jc w:val="center"/>
              <w:rPr>
                <w:b/>
                <w:bCs/>
                <w:iCs/>
                <w:szCs w:val="21"/>
              </w:rPr>
            </w:pPr>
            <w:r>
              <w:rPr>
                <w:rFonts w:hint="eastAsia"/>
                <w:b/>
                <w:bCs/>
                <w:iCs/>
                <w:szCs w:val="21"/>
              </w:rPr>
              <w:t>设备类型</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spacing w:line="380" w:lineRule="exact"/>
              <w:jc w:val="center"/>
              <w:rPr>
                <w:b/>
                <w:bCs/>
                <w:iCs/>
                <w:szCs w:val="21"/>
              </w:rPr>
            </w:pPr>
            <w:r>
              <w:rPr>
                <w:rFonts w:hint="eastAsia"/>
                <w:b/>
                <w:bCs/>
                <w:iCs/>
                <w:szCs w:val="21"/>
              </w:rPr>
              <w:t>设备品牌型号</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spacing w:line="380" w:lineRule="exact"/>
              <w:jc w:val="center"/>
              <w:rPr>
                <w:b/>
                <w:bCs/>
                <w:iCs/>
                <w:szCs w:val="21"/>
              </w:rPr>
            </w:pPr>
            <w:r>
              <w:rPr>
                <w:b/>
                <w:bCs/>
                <w:iCs/>
                <w:szCs w:val="21"/>
              </w:rPr>
              <w:t>主要配置</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spacing w:line="380" w:lineRule="exact"/>
              <w:jc w:val="center"/>
              <w:rPr>
                <w:b/>
                <w:bCs/>
                <w:iCs/>
                <w:szCs w:val="21"/>
              </w:rPr>
            </w:pPr>
            <w:r>
              <w:rPr>
                <w:rFonts w:hint="eastAsia"/>
                <w:b/>
                <w:bCs/>
                <w:iCs/>
                <w:szCs w:val="21"/>
              </w:rPr>
              <w:t>数量</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spacing w:line="380" w:lineRule="exact"/>
              <w:jc w:val="center"/>
              <w:rPr>
                <w:b/>
                <w:bCs/>
                <w:iCs/>
                <w:szCs w:val="21"/>
              </w:rPr>
            </w:pPr>
            <w:r>
              <w:rPr>
                <w:b/>
                <w:bCs/>
                <w:iCs/>
                <w:szCs w:val="21"/>
              </w:rPr>
              <w:t>服务期</w:t>
            </w:r>
          </w:p>
        </w:tc>
      </w:tr>
      <w:tr>
        <w:tblPrEx>
          <w:tblW w:w="9404" w:type="dxa"/>
          <w:jc w:val="left"/>
          <w:tblInd w:w="-176" w:type="dxa"/>
          <w:tblLayout w:type="fixed"/>
          <w:tblCellMar>
            <w:top w:w="0" w:type="dxa"/>
            <w:left w:w="108" w:type="dxa"/>
            <w:bottom w:w="0" w:type="dxa"/>
            <w:right w:w="108" w:type="dxa"/>
          </w:tblCellMar>
        </w:tblPrEx>
        <w:trPr>
          <w:trHeight w:val="557"/>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小型机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szCs w:val="21"/>
              </w:rPr>
              <w:t>IBM P780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left"/>
              <w:rPr>
                <w:rFonts w:ascii="宋体"/>
                <w:lang w:eastAsia="zh-CN"/>
              </w:rPr>
            </w:pPr>
            <w:r>
              <w:rPr>
                <w:rFonts w:ascii="宋体" w:cs="宋体" w:hint="eastAsia"/>
                <w:lang w:eastAsia="zh-CN"/>
              </w:rPr>
              <w:t>每台配置如下：</w:t>
            </w:r>
          </w:p>
          <w:p>
            <w:pPr>
              <w:adjustRightInd w:val="0"/>
              <w:snapToGrid w:val="0"/>
              <w:jc w:val="center"/>
              <w:rPr>
                <w:szCs w:val="21"/>
              </w:rPr>
            </w:pPr>
            <w:r>
              <w:rPr>
                <w:rFonts w:ascii="宋体" w:cs="宋体" w:hint="eastAsia"/>
              </w:rPr>
              <w:t>64个IBM POWER7+ 3.7GHZ 处理器核/512GB内存/2个内置DVD-RAM/24个300G 15KRPM SAS接口硬盘/4个387GB SSD固态盘/2张集成的多功能网卡（包含2个千兆电口以太网口和2个10Gb光口以太网口）/16张8Gbps HBA卡(双端口）/16张光口千兆以太网卡（双端口）/2张电口千兆以太网卡（四端口）/5张SAS卡</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ascii="宋体"/>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光纤交换机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HP DCX</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ascii="宋体" w:cs="宋体" w:hint="eastAsia"/>
              </w:rPr>
              <w:t>每台配置240个8Gbps光模块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EMC VMAX 10K</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cs="宋体"/>
              </w:rPr>
            </w:pPr>
            <w:r>
              <w:rPr>
                <w:rFonts w:ascii="宋体" w:cs="宋体" w:hint="eastAsia"/>
              </w:rPr>
              <w:t>4个Engine，76块800GB EFD、36块400GB EFD、350块10K 600GB、120块15K 600GB</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HPE 3PAR S8450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四控制器、24块3.84 TB SSD盘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Netapp FAS3220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96块900GB 10K SAS硬盘、60块600GB 15K SAS硬盘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color w:val="000000"/>
                <w:szCs w:val="21"/>
              </w:rPr>
              <w:t>Lenovo|EMC VNX5600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lang w:eastAsia="zh-CN"/>
              </w:rPr>
            </w:pPr>
            <w:r>
              <w:rPr>
                <w:rFonts w:ascii="宋体" w:cs="宋体" w:hint="eastAsia"/>
                <w:lang w:eastAsia="zh-CN"/>
              </w:rPr>
              <w:t>2块200GB闪盘、34块600GB SAS硬盘、64块1.2TB SAS硬盘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EMC VNX5200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5块300GB SAS硬盘、38块600GB SAS硬盘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华为OceanStor 5800 V3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87块600GB SAS硬盘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光纤交换机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华为OceanStor SNS2248</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lang w:eastAsia="zh-CN"/>
              </w:rPr>
            </w:pPr>
            <w:r>
              <w:rPr>
                <w:rFonts w:ascii="宋体" w:cs="宋体" w:hint="eastAsia"/>
                <w:lang w:eastAsia="zh-CN"/>
              </w:rPr>
              <w:t>每台配置36个8Gbps光模块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华为OceanStor5500T V1</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14块2.5寸900GB 10K SAS硬盘、24块3.5寸2TB 7.2K 近线SAS硬盘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trHeight w:val="496"/>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光纤交换机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Lenovo|Brocade6510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lang w:eastAsia="zh-CN"/>
              </w:rPr>
            </w:pPr>
            <w:r>
              <w:rPr>
                <w:rFonts w:ascii="宋体" w:cs="宋体" w:hint="eastAsia"/>
                <w:lang w:eastAsia="zh-CN"/>
              </w:rPr>
              <w:t>每台配置48个8Gbps光模块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物理带库</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昆腾I6000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lang w:eastAsia="zh-CN"/>
              </w:rPr>
            </w:pPr>
            <w:r>
              <w:rPr>
                <w:rFonts w:ascii="宋体" w:cs="宋体" w:hint="eastAsia"/>
                <w:lang w:eastAsia="zh-CN"/>
              </w:rPr>
              <w:t>1个第二代机械手、6个LTO 4磁带机</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浪潮AS5600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266块600GB 15K SAS硬盘、20块400GB SSD盘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虚拟带库</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DXi6900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132块4TB SATA硬盘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光纤交换机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Lenovo|Brocade6520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lang w:eastAsia="zh-CN"/>
              </w:rPr>
            </w:pPr>
            <w:r>
              <w:rPr>
                <w:rFonts w:ascii="宋体" w:cs="宋体" w:hint="eastAsia"/>
                <w:lang w:eastAsia="zh-CN"/>
              </w:rPr>
              <w:t>每台配置96个8Gbps光模块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w:t>
            </w:r>
            <w:r>
              <w:rPr>
                <w:rFonts w:hint="eastAsia"/>
                <w:bCs/>
                <w:iCs/>
                <w:szCs w:val="21"/>
              </w:rPr>
              <w:t>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宏杉MS3000 G2</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4块2.5寸400GB SAS硬盘、45块2.5寸900GB SAS 10K硬盘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w:t>
            </w:r>
            <w:r>
              <w:rPr>
                <w:rFonts w:hint="eastAsia"/>
                <w:bCs/>
                <w:iCs/>
                <w:szCs w:val="21"/>
              </w:rPr>
              <w:t>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备份设备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鼎甲备份一体机</w:t>
            </w:r>
            <w:r>
              <w:rPr>
                <w:bCs/>
                <w:iCs/>
                <w:szCs w:val="21"/>
              </w:rPr>
              <w:t>DK4211</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64块3.5寸4TB SATA硬盘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w:t>
            </w:r>
            <w:r>
              <w:rPr>
                <w:rFonts w:hint="eastAsia"/>
                <w:bCs/>
                <w:iCs/>
                <w:szCs w:val="21"/>
              </w:rPr>
              <w:t>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光纤交换机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HPE SN6500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lang w:eastAsia="zh-CN"/>
              </w:rPr>
            </w:pPr>
            <w:r>
              <w:rPr>
                <w:rFonts w:ascii="宋体" w:cs="宋体" w:hint="eastAsia"/>
                <w:lang w:eastAsia="zh-CN"/>
              </w:rPr>
              <w:t>每台配置96个16Gbps光模块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光纤交换机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EMC DCN DS6520B</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lang w:eastAsia="zh-CN"/>
              </w:rPr>
            </w:pPr>
            <w:r>
              <w:rPr>
                <w:rFonts w:ascii="宋体" w:cs="宋体" w:hint="eastAsia"/>
                <w:lang w:eastAsia="zh-CN"/>
              </w:rPr>
              <w:t>每台配置96个16Gbps光模块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华为Dorado6000V3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157块1.92TB SSD硬盘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HPE 3PAR 20850 R2</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rPr>
            </w:pPr>
            <w:r>
              <w:rPr>
                <w:rFonts w:ascii="宋体" w:cs="宋体" w:hint="eastAsia"/>
              </w:rPr>
              <w:t>106块1.92TB SSD硬盘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浪潮AS5500G2</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jc w:val="center"/>
              <w:rPr>
                <w:rFonts w:ascii="宋体"/>
                <w:lang w:eastAsia="zh-CN"/>
              </w:rPr>
            </w:pPr>
            <w:r>
              <w:rPr>
                <w:rFonts w:ascii="宋体" w:cs="宋体" w:hint="eastAsia"/>
                <w:lang w:eastAsia="zh-CN"/>
              </w:rPr>
              <w:t>16块1.92TB SSD硬盘、225块10000转1.2TB SAS硬盘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23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光纤交换机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HPE SN6500B</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ascii="宋体" w:cs="宋体" w:hint="eastAsia"/>
              </w:rPr>
              <w:t>每台配置96个16Gbps光模块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bCs/>
                <w:iCs/>
              </w:rPr>
            </w:pPr>
            <w:r>
              <w:rPr>
                <w:rFonts w:ascii="宋体" w:cs="Calibri"/>
              </w:rPr>
              <w:t>2024年10月26日至2025年8月18日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浪潮AS5500G2</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ascii="宋体" w:cs="宋体" w:hint="eastAsia"/>
              </w:rPr>
              <w:t>21块1.92TB SSD硬盘、300块10000转1.2TB SAS硬盘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bCs/>
                <w:iCs/>
              </w:rPr>
            </w:pPr>
            <w:r>
              <w:rPr>
                <w:rFonts w:ascii="宋体" w:cs="Calibri"/>
              </w:rPr>
              <w:t>2025年1月31日至2025年8月18日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华为Dorado6000V3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ascii="宋体" w:cs="宋体" w:hint="eastAsia"/>
              </w:rPr>
              <w:t>157块1.92TB SSD硬盘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bCs/>
                <w:iCs/>
              </w:rPr>
            </w:pPr>
            <w:r>
              <w:rPr>
                <w:rFonts w:ascii="宋体" w:cs="Calibri"/>
              </w:rPr>
              <w:t>2025年3月10日至2025年8月18日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华为OceanStor S5500T V2</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ascii="宋体" w:cs="宋体" w:hint="eastAsia"/>
              </w:rPr>
              <w:t>48块10000转900GB SAS硬盘、24块7200转2TB NL-SAS硬盘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bCs/>
                <w:iCs/>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存储设备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华为OceanStor 5500 V3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ascii="宋体" w:cs="宋体" w:hint="eastAsia"/>
              </w:rPr>
              <w:t>14块10000转1200GB SAS硬盘、50块7200转2TB NL-SAS硬盘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bCs/>
                <w:iCs/>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28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光纤交换机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t>华为OceanStor SNS2248</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rPr>
            </w:pPr>
            <w:r>
              <w:rPr>
                <w:rFonts w:ascii="宋体" w:cs="宋体" w:hint="eastAsia"/>
              </w:rPr>
              <w:t>每台配置48个8Gbps光模块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bCs/>
                <w:iCs/>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29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联想ThinkServer RD640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113</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华为RH5885H V3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华为RH8100 V3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八路PC服务器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联想 System x3950 x6</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八路PC服务器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20</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HP ProLiant DL580 G2</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HP ProLiant DL580 G5</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HP ProLiant DL580 G7</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浪潮NF5270M3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10</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浪潮NF8460M3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7</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联想万全R680G7</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39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曙光天阔i840r-GP</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13</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DELL PowerEdge2950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联想 System X3850 X6</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联想ThinkServer RD450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浪潮NF5240M3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DELL PowerEdge R720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浪潮NF8460M4</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5</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DELL PowerEdge630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47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华为RH2288H</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天阔I620-G20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49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浪潮NF5280M4</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18</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浪潮TS860G3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八路PC服务器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w:t>
            </w:r>
            <w:r>
              <w:rPr>
                <w:bCs/>
                <w:iCs/>
                <w:szCs w:val="21"/>
              </w:rPr>
              <w:t>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SRJ1104</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浪潮NF8520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6</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时间戳服务器V1（SFJ1301）</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浪潮NF8260M5</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18</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H3CUniServer R2900 G3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67</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H3CUniServer R6700 G3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曙光I980-G30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八路PC服务器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浪潮TS860M5</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八路PC服务器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59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DELL EMC PowerEdge R740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60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H3C UniServer R4900 G3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46</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2024年11月23日至2025年8月18日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61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H3CUniServer R6700 G3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78</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2025年1月24日至2025年8月18日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62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华为2288H V5</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16</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2025年1月5日至2025年8月18日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63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华为鲲鹏FusionInsightB（D）200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40</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2025年3月19日至2025年8月18日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64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浪潮NF5280M5</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6</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65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联想ThinkServer RQ940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175</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66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曙光I980-G30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八路PC服务器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67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IBM eserver xSeries 345 -[8670IN9]-</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68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浪潮NF8470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6</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69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浪潮NF5270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二路PC服务器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戴尔R920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戴尔R830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二路PC服务器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3</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戴尔R820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二路PC服务器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戴尔R720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二路PC服务器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联想RQ940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3</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华为RH2288V3</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二路PC服务器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3</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color w:val="000000"/>
                <w:szCs w:val="21"/>
              </w:rP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华为2288H V5</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二路PC服务器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8</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华为5885H</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二路PC服务器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曙光天阔840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四路PC服务器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79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color w:val="000000"/>
                <w:szCs w:val="21"/>
              </w:rPr>
              <w:t>PC服务器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DELL PowerEdge730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两路PC服务器</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Cs w:val="21"/>
              </w:rPr>
            </w:pPr>
            <w:r>
              <w:rPr>
                <w:rFonts w:ascii="宋体" w:cs="宋体" w:hint="eastAsia"/>
                <w:szCs w:val="21"/>
              </w:rPr>
              <w:t>18</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80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HW CE12812</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t>2*主控板A,6*交换网板A,12*2700W 交流电源)</w:t>
              <w:br/>
              <w:t>CE-L48GT-EA*2（48端口十兆/百兆/千兆以太网电接口板(EA,RJ45)）</w:t>
            </w:r>
            <w:r>
              <w:rPr>
                <w:rFonts w:hint="eastAsia"/>
              </w:rPr>
              <w:t>；</w:t>
            </w:r>
            <w:r>
              <w:t>CE-L48GS-EA-1*2（48端口百兆/千兆以太网光接口板(EA,SFP)（含24个GE多模模块））</w:t>
            </w:r>
            <w:r>
              <w:rPr>
                <w:rFonts w:hint="eastAsia"/>
              </w:rPr>
              <w:t>；</w:t>
            </w:r>
            <w:r>
              <w:t>CE-L24XS-EC-1*2（24端口万兆以太网光接口板(EC,SFP+)（含24个10GE多模模块））</w:t>
            </w:r>
            <w:r>
              <w:rPr>
                <w:rFonts w:hint="eastAsia"/>
              </w:rPr>
              <w:t>；</w:t>
            </w:r>
            <w:r>
              <w:t>CE-L06LQ-EC-1*4（6端口40G以太网光接口板(EC,QSFP+)（含6个40G多模模块））</w:t>
            </w:r>
            <w:r>
              <w:rPr>
                <w:rFonts w:hint="eastAsia"/>
              </w:rPr>
              <w:t>；</w:t>
            </w:r>
            <w:r>
              <w:t>CE-L12XS-ED*2</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81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HW CE12808S</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t>2*主控板,4*交换网板B,2*3000W 电源CE-L48GT-EA*1（48端口十兆/百兆/千兆以太网电接口板(EA,RJ45)）</w:t>
            </w:r>
            <w:r>
              <w:rPr>
                <w:rFonts w:hint="eastAsia"/>
              </w:rPr>
              <w:t>；</w:t>
            </w:r>
            <w:r>
              <w:t>CE-L24XS-EC-1*5（24端口万兆以太网光接口板(EC,SFP+)（含24个10GE多模模块））</w:t>
            </w:r>
            <w:r>
              <w:rPr>
                <w:rFonts w:hint="eastAsia"/>
              </w:rPr>
              <w:t>；</w:t>
            </w:r>
            <w:r>
              <w:t>CE-L48GS-EA-1*1（48端口百兆/千兆以太网光接口板(EA,SFP)（含24个GE多模模块））</w:t>
            </w:r>
            <w:r>
              <w:rPr>
                <w:rFonts w:hint="eastAsia"/>
              </w:rPr>
              <w:t>；</w:t>
            </w:r>
            <w:r>
              <w:t>CE-L06LQ-EC-1*1（6端口40G以太网光接口板(EC,QSFP+)（含6个40G多模模块））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82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HW CE12804S</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t>2*主控板,2*交换网板B,2*3000W 电源CE-L48GT-EA*1（48端口十兆/百兆/千兆以太网电接口板(EA,RJ45)）</w:t>
            </w:r>
            <w:r>
              <w:rPr>
                <w:rFonts w:hint="eastAsia"/>
              </w:rPr>
              <w:t>；</w:t>
            </w:r>
            <w:r>
              <w:t>CE-L24XS-EC-1*1（24端口万兆以太网光接口板(EC,SFP+)（含24个10GE多模模块））</w:t>
            </w:r>
            <w:r>
              <w:rPr>
                <w:rFonts w:hint="eastAsia"/>
              </w:rPr>
              <w:t>；</w:t>
            </w:r>
            <w:r>
              <w:t>CE-L48GS-EA-1*1（48端口百兆/千兆以太网光接口板(EA,SFP)（含24个GE多模模块））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83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H3C  S12504X-AF</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t>捆绑LSXM1SUP04B1-捆绑LSXM1SFF04B1*6-捆绑PSR2400-54A*8-捆绑LSXM104XFAN*4，2块H3CS12504X-AF 主控制引擎模块，2块H3CS12500-X 36端口40G以太网光接口模块(QSFP+)(FX)，4块H3CS12500-X 48端口万兆以太网光接口模块(SFP+,LC)(FX)，2块H3CS12500-X 48端口千兆电口以太网接口模块(RJ45)(FX)，8个H3CS12500X-AF 业务板适配器，6个S12504X-AF交换网板,F型(B类)</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84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H3CLS-S5110-28P-PWR</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t>双电源 24口1G电,4口1G光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8</w:t>
            </w:r>
            <w:r>
              <w:rPr>
                <w:bCs/>
                <w:iCs/>
                <w:szCs w:val="21"/>
              </w:rPr>
              <w:t>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H3CS6800-2C</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双电源 24口10G光,24口1G电,6口40G光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86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HW CE6810-48S4Q-EI</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双电源 48口10G光,4口40G光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9</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8</w:t>
            </w:r>
            <w:r>
              <w:rPr>
                <w:bCs/>
                <w:iCs/>
                <w:szCs w:val="21"/>
              </w:rPr>
              <w:t>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HW CE6851-48S6Q-HI</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双电源 48口10G光,6口40G光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8</w:t>
            </w:r>
            <w:r>
              <w:rPr>
                <w:bCs/>
                <w:iCs/>
                <w:szCs w:val="21"/>
              </w:rPr>
              <w:t>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H3C S6520X-54QC-EI</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rPr>
            </w:pPr>
            <w:r>
              <w:rPr>
                <w:rFonts w:hint="eastAsia"/>
              </w:rPr>
              <w:t>双电源 48口10G光+4口40G光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27</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hint="eastAsia"/>
              </w:rPr>
            </w:pPr>
            <w:r>
              <w:rPr>
                <w:rFonts w:ascii="宋体" w:cs="Calibri" w:hint="eastAsia"/>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89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H3C S5560-54C-EI</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rPr>
            </w:pPr>
            <w:r>
              <w:rPr>
                <w:rFonts w:hint="eastAsia"/>
              </w:rPr>
              <w:t>双电源 48口1G电+4口10G光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20</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hint="eastAsia"/>
              </w:rPr>
            </w:pPr>
            <w:r>
              <w:rPr>
                <w:rFonts w:ascii="宋体" w:cs="Calibri" w:hint="eastAsia"/>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9</w:t>
            </w:r>
            <w:r>
              <w:rPr>
                <w:bCs/>
                <w:iCs/>
                <w:szCs w:val="21"/>
              </w:rPr>
              <w:t>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H3C S5560X-54C-EI</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rPr>
            </w:pPr>
            <w:r>
              <w:rPr>
                <w:rFonts w:hint="eastAsia"/>
              </w:rPr>
              <w:t>双电源 48口1G电+4口10G光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hint="eastAsia"/>
                <w:szCs w:val="21"/>
              </w:rPr>
            </w:pPr>
            <w:r>
              <w:rPr>
                <w:rFonts w:hint="eastAsia"/>
                <w:szCs w:val="21"/>
              </w:rPr>
              <w:t>15</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hint="eastAsia"/>
              </w:rPr>
            </w:pPr>
            <w:r>
              <w:rPr>
                <w:rFonts w:ascii="宋体" w:cs="Calibri" w:hint="eastAsia"/>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9</w:t>
            </w:r>
            <w:r>
              <w:rPr>
                <w:bCs/>
                <w:iCs/>
                <w:szCs w:val="21"/>
              </w:rPr>
              <w:t>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网络交换机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H3C S5560X-30C-EI</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rPr>
            </w:pPr>
            <w:r>
              <w:rPr>
                <w:rFonts w:hint="eastAsia"/>
              </w:rPr>
              <w:t>双电源 24口1G电+4口10G光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40</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hint="eastAsia"/>
              </w:rPr>
            </w:pPr>
            <w:r>
              <w:rPr>
                <w:rFonts w:ascii="宋体" w:cs="Calibri" w:hint="eastAsia"/>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92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语音设备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软交换设备（U1981）</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eSpace U1981 交流主机(含1 SCU,1 MTU)_Hi-Care高级服务标准+ U1981_12月_续保。10000个语音用户端口许可包(每用户)_Hi-Care应用软件升级支持服务 U1900 语音用户端口许可包(每用户)。</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9</w:t>
            </w:r>
            <w:r>
              <w:rPr>
                <w:bCs/>
                <w:iCs/>
                <w:szCs w:val="21"/>
              </w:rPr>
              <w:t>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语音设备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中继网关（U1960）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eSpace U1981 交流主机(含1 SCU,1 MTU)_Hi-Care高级服务标准+ U1981_12月_续保。300个语音用户端口许可包(每用户)_Hi-Care应用软件升级支持服务 U1900 语音用户端口许可包(每用户)。</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9</w:t>
            </w:r>
            <w:r>
              <w:rPr>
                <w:bCs/>
                <w:iCs/>
                <w:szCs w:val="21"/>
              </w:rPr>
              <w:t>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语音设备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eSpace IAD1224</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eSpace U1960 (交流,1 SCU,1 MTU,16GSD卡,2E1含线缆,100个语音用户,6路Voice Mail并发,30方语音会议并发)_Hi-Care高级服务标准+ U1960_12月_续保。100个语音用户端口许可包(每用户)_Hi-Care应用软件升级支持服务 U1900 语音用户端口许可包(每用户)。</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95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负载均衡设备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深信服  AD-5000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双电源 4个千兆光口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9</w:t>
            </w:r>
            <w:r>
              <w:rPr>
                <w:bCs/>
                <w:iCs/>
                <w:szCs w:val="21"/>
              </w:rPr>
              <w:t>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负载均衡设备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深信服  AD-6000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双电源，6个千兆电口 ，4个千兆光 ，2个万兆光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9</w:t>
            </w:r>
            <w:r>
              <w:rPr>
                <w:bCs/>
                <w:iCs/>
                <w:szCs w:val="21"/>
              </w:rPr>
              <w:t>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负载均衡设备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深信服AD-1000-E640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2U，双电源，6个千兆电口，4个千兆光口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9</w:t>
            </w:r>
            <w:r>
              <w:rPr>
                <w:bCs/>
                <w:iCs/>
                <w:szCs w:val="21"/>
              </w:rPr>
              <w:t>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无线控制器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H3CEWP-WX5510E</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双电源 ，8个千兆电口，8个千兆光，2个万兆光</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99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会议视频终端</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华为TE50-1080P60-00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2个高清摄像头（VPC400-12X-00），1个阵列麦克风（VC8MVP220M01），1个无线阵列麦克风（VC8M01WMIC）</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10</w:t>
            </w:r>
            <w:r>
              <w:rPr>
                <w:bCs/>
                <w:iCs/>
                <w:szCs w:val="21"/>
              </w:rPr>
              <w:t>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H3C智能管理中心平台</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H3C</w:t>
            </w:r>
            <w:r>
              <w:rPr>
                <w:rFonts w:cs="宋体"/>
                <w:szCs w:val="21"/>
              </w:rPr>
              <w:t xml:space="preserve"> </w:t>
            </w:r>
            <w:r>
              <w:rPr>
                <w:rFonts w:cs="宋体" w:hint="eastAsia"/>
                <w:szCs w:val="21"/>
              </w:rPr>
              <w:t>IMC</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H3CSWP-IMC7-IMP软件1套，H3CIMC-WSM无线业务管理组件（SWP-IMC7-WSM）1个，H3CSWP-IMC7-EIA软件1套，H3CLIS-IMC7-WSMA-50软件1套，50个AP管理授权，H3CLIS-IMC7-EIAA-50软件2套，100个终端管理授权。含服务授权（按维保期进行更新）。</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10</w:t>
            </w:r>
            <w:r>
              <w:rPr>
                <w:bCs/>
                <w:iCs/>
                <w:szCs w:val="21"/>
              </w:rPr>
              <w:t>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szCs w:val="21"/>
              </w:rPr>
            </w:pPr>
            <w:r>
              <w:rPr>
                <w:rFonts w:hint="eastAsia"/>
                <w:szCs w:val="21"/>
              </w:rPr>
              <w:t>H3C智能管理中心平台</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hint="eastAsia"/>
                <w:szCs w:val="21"/>
              </w:rPr>
            </w:pPr>
            <w:r>
              <w:rPr>
                <w:rFonts w:cs="宋体" w:hint="eastAsia"/>
                <w:szCs w:val="21"/>
              </w:rPr>
              <w:t>H3C</w:t>
            </w:r>
            <w:r>
              <w:rPr>
                <w:rFonts w:cs="宋体"/>
                <w:szCs w:val="21"/>
              </w:rPr>
              <w:t xml:space="preserve"> </w:t>
            </w:r>
            <w:r>
              <w:rPr>
                <w:rFonts w:cs="宋体" w:hint="eastAsia"/>
                <w:szCs w:val="21"/>
              </w:rPr>
              <w:t>IMC</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t>H3CSWP-IMC7-IMP软件1套，H3CSWP-IMC7-EIA软件1套，H3CLIS-IMC7-EIAA-50软件1套，50个终端管理授权，SWP-IMC7-IMPA-25软件1套，25台设备管理。</w:t>
            </w:r>
          </w:p>
          <w:p>
            <w:pPr>
              <w:adjustRightInd w:val="0"/>
              <w:snapToGrid w:val="0"/>
              <w:jc w:val="center"/>
              <w:rPr>
                <w:rFonts w:hint="eastAsia"/>
              </w:rPr>
            </w:pPr>
            <w:r>
              <w:t>含服务授权（按维保期进行更新）</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hint="eastAsia"/>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10</w:t>
            </w:r>
            <w:r>
              <w:rPr>
                <w:bCs/>
                <w:iCs/>
                <w:szCs w:val="21"/>
              </w:rPr>
              <w:t>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DSVIEW</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DSVIEW4.5</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DSVIEW4软件包：SView 软件包，1xHub许可，1xSpoke许可，可管理250个IT设备许可</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10</w:t>
            </w:r>
            <w:r>
              <w:rPr>
                <w:bCs/>
                <w:iCs/>
                <w:szCs w:val="21"/>
              </w:rPr>
              <w:t>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KVM设备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Avocent MPU2032DAC</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32端口，2数字通道，双交流电源，32个MPUIQ-VMCHS模块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r>
              <w:rPr>
                <w:bCs/>
                <w:iCs/>
                <w:szCs w:val="21"/>
              </w:rPr>
              <w:t>04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KVM设备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Avocent MPU4032DAC</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32端口，4数字通道，双交流电源，12个MPUIQ-VMCHS模块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r>
              <w:rPr>
                <w:bCs/>
                <w:iCs/>
                <w:szCs w:val="21"/>
              </w:rPr>
              <w:t>05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KVM设备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Avocent MPU8032DAC</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32端口，8数字通道，双交流电源，12个MPUIQ-VMCHS模块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r>
              <w:rPr>
                <w:bCs/>
                <w:iCs/>
                <w:szCs w:val="21"/>
              </w:rPr>
              <w:t>06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网络流量分析设备</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科来NG2502-V3.0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rPr>
            </w:pPr>
            <w:r>
              <w:rPr>
                <w:rFonts w:hint="eastAsia"/>
              </w:rPr>
              <w:t>双电源2个万兆光口，4个千兆光口，2个千兆电口含服务授权（按维保期进行更新）</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r>
              <w:rPr>
                <w:bCs/>
                <w:iCs/>
                <w:szCs w:val="21"/>
              </w:rPr>
              <w:t>07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以太网分路器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佳讯Power V6000-A53CH-G10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rPr>
            </w:pPr>
            <w:r>
              <w:rPr>
                <w:rFonts w:hint="eastAsia"/>
              </w:rPr>
              <w:t>双电源4个万兆光口，24个千兆光口，24个千兆电口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3</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r>
              <w:rPr>
                <w:bCs/>
                <w:iCs/>
                <w:szCs w:val="21"/>
              </w:rPr>
              <w:t>08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以太网分路器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NetTAP  NT-iMXTAP-24G</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rPr>
            </w:pPr>
            <w:r>
              <w:rPr>
                <w:rFonts w:hint="eastAsia"/>
              </w:rPr>
              <w:t>双电源12个千兆光口，12个千兆点口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r>
              <w:rPr>
                <w:bCs/>
                <w:iCs/>
                <w:szCs w:val="21"/>
              </w:rPr>
              <w:t>09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以太网分路器</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Netapp Nwell-2400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rPr>
            </w:pPr>
            <w:r>
              <w:rPr>
                <w:rFonts w:hint="eastAsia"/>
              </w:rPr>
              <w:t>单电源4个千兆光口，24个千兆点口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rFonts w:hint="eastAsia"/>
                <w:bCs/>
                <w:iCs/>
                <w:szCs w:val="21"/>
              </w:rPr>
              <w:t>1</w:t>
            </w:r>
            <w:r>
              <w:rPr>
                <w:bCs/>
                <w:iCs/>
                <w:szCs w:val="21"/>
              </w:rPr>
              <w:t>10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防火墙</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天融信    TG-5130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hint="eastAsia"/>
              </w:rPr>
            </w:pPr>
            <w:r>
              <w:rPr>
                <w:rFonts w:hint="eastAsia"/>
              </w:rPr>
              <w:t>双电源 4个千兆光口， 4个千兆电口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111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防火墙</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天融信NGFW4000-UF(TG-61540）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2U，6个10/100/1000M自适应电口、4个光纤接口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sz w:val="24"/>
              </w:rPr>
              <w:t>3</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112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防火墙</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天融信NGFW4000-UF(TG-83782)</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2U，6个10/100/1000M自适应电口、4个光纤接口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113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szCs w:val="21"/>
              </w:rPr>
            </w:pPr>
            <w:r>
              <w:rPr>
                <w:rFonts w:hint="eastAsia"/>
                <w:szCs w:val="21"/>
              </w:rPr>
              <w:t>VPN</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SJJ1325-4050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双电源，6个千兆电口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114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VPN</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sangfor2050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1U，双电源，4个千兆电口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115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堡垒机</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齐治堡垒机RIS-MGT500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2U机，双电源，3电口，8核，16GB内存，4个磁盘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116</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单导</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国保金泰单导IGAP-5000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2U，双电源，8电口</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117</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STA</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深信服STA-100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2U，双电源，4电口，4光槽</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118</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入侵检测与管理系统</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启明星辰  NT16000-CSW-HG</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2U，Intel xeon Silver 4210 Processor，交流双电，1管理电口，4业务电口，2业务光口含模块</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119</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waf</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绿盟NX3-P1600B</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2U，交流冗余电源模块，2*USB接口，1*RJ45串口，2*GE管理口，4个10/100/1000（2路Bypass），4个接口扩展槽位，1*1TB硬盘；含服务授权（按维保期进行更新）</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6</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120</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防病毒网关</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联想网御 Power V6000-A53CH-G10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2U，6个10/100/1000M自适应电口、4个光纤接口；含服务授权（按维保期进行更新）</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121</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防病毒网关</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联想网御 Power V1200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2U，双电源，7电口，6光槽（含4个模块）；含服务授权（按维保期进行更新）</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122</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360天擎网络安全准入系统</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360 TQ-NAC-1000SE</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2U，双电源，6电口，CPU：Intel I3-2120；8GB内存；1T硬盘</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1</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123</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入侵检测系统</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启明星辰天阗NT10000</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2U，双电源，4电口，4光口；含服务授权（按维保期进行更新）</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124</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color w:val="000000"/>
                <w:szCs w:val="21"/>
              </w:rPr>
            </w:pPr>
            <w:r>
              <w:rPr>
                <w:rFonts w:hint="eastAsia"/>
                <w:color w:val="000000"/>
                <w:szCs w:val="21"/>
              </w:rPr>
              <w:t>入侵防御系统</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启明星辰天清NGIPS5000-A-C</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2U，双电源，4电口，4光口；含服务授权（按维保期进行更新）</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4</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r>
        <w:tblPrEx>
          <w:tblW w:w="9404" w:type="dxa"/>
          <w:jc w:val="left"/>
          <w:tblInd w:w="-176" w:type="dxa"/>
          <w:tblLayout w:type="fixed"/>
          <w:tblCellMar>
            <w:top w:w="0" w:type="dxa"/>
            <w:left w:w="108" w:type="dxa"/>
            <w:bottom w:w="0" w:type="dxa"/>
            <w:right w:w="108" w:type="dxa"/>
          </w:tblCellMar>
        </w:tblPrEx>
        <w:trPr>
          <w:jc w:val="left"/>
        </w:trPr>
        <w:tc>
          <w:tcPr>
            <w:tcW w:w="710"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bCs/>
                <w:iCs/>
                <w:szCs w:val="21"/>
              </w:rPr>
            </w:pPr>
            <w:r>
              <w:rPr>
                <w:bCs/>
                <w:iCs/>
                <w:szCs w:val="21"/>
              </w:rPr>
              <w:t>125</w:t>
            </w:r>
          </w:p>
        </w:tc>
        <w:tc>
          <w:tcPr>
            <w:tcW w:w="127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color w:val="000000"/>
                <w:szCs w:val="21"/>
              </w:rPr>
            </w:pPr>
            <w:r>
              <w:rPr>
                <w:rFonts w:cs="宋体" w:hint="eastAsia"/>
                <w:color w:val="000000"/>
                <w:szCs w:val="21"/>
              </w:rPr>
              <w:t>远程安全评估系统</w:t>
            </w:r>
          </w:p>
        </w:tc>
        <w:tc>
          <w:tcPr>
            <w:tcW w:w="170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cs="宋体"/>
                <w:szCs w:val="21"/>
              </w:rPr>
            </w:pPr>
            <w:r>
              <w:rPr>
                <w:rFonts w:cs="宋体" w:hint="eastAsia"/>
                <w:szCs w:val="21"/>
              </w:rPr>
              <w:t>绿盟 RSAS NX3-E</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pPr>
            <w:r>
              <w:rPr>
                <w:rFonts w:hint="eastAsia"/>
              </w:rPr>
              <w:t>含服务授权（按维保期进行更新）</w:t>
            </w:r>
          </w:p>
        </w:tc>
        <w:tc>
          <w:tcPr>
            <w:tcW w:w="722"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宋体"/>
                <w:sz w:val="24"/>
              </w:rPr>
            </w:pPr>
            <w:r>
              <w:rPr>
                <w:rFonts w:ascii="宋体" w:cs="宋体" w:hint="eastAsia"/>
                <w:sz w:val="24"/>
              </w:rPr>
              <w:t>2</w:t>
            </w:r>
          </w:p>
        </w:tc>
        <w:tc>
          <w:tcPr>
            <w:tcW w:w="2161" w:type="dxa"/>
            <w:tcBorders>
              <w:top w:val="single" w:sz="4" w:space="0" w:color="auto"/>
              <w:left w:val="single" w:sz="4" w:space="0" w:color="auto"/>
              <w:bottom w:val="single" w:sz="4" w:space="0" w:color="auto"/>
              <w:right w:val="single" w:sz="4" w:space="0" w:color="auto"/>
              <w:tl2br w:val="nil"/>
              <w:tr2bl w:val="nil"/>
            </w:tcBorders>
            <w:shd w:val="clear" w:color="auto" w:fill="auto"/>
            <w:vAlign w:val="center"/>
          </w:tcPr>
          <w:p>
            <w:pPr>
              <w:adjustRightInd w:val="0"/>
              <w:snapToGrid w:val="0"/>
              <w:jc w:val="center"/>
              <w:rPr>
                <w:rFonts w:ascii="宋体" w:cs="Calibri"/>
              </w:rPr>
            </w:pPr>
            <w:r>
              <w:rPr>
                <w:rFonts w:ascii="宋体" w:cs="Calibri"/>
              </w:rPr>
              <w:t>2024年10月19日至2025年8月18日</w:t>
            </w:r>
          </w:p>
        </w:tc>
      </w:tr>
    </w:tbl>
    <w:p>
      <w:pPr>
        <w:ind w:left="482"/>
        <w:rPr>
          <w:rFonts w:ascii="宋体" w:eastAsia="宋体"/>
        </w:rPr>
      </w:pPr>
    </w:p>
    <w:p>
      <w:pPr>
        <w:ind w:left="482"/>
        <w:rPr>
          <w:rFonts w:ascii="宋体" w:eastAsia="宋体"/>
        </w:rPr>
      </w:pPr>
    </w:p>
    <w:p>
      <w:pPr>
        <w:rPr>
          <w:color w:val="0000FF"/>
          <w:lang w:val="en-US" w:eastAsia="zh-CN"/>
        </w:rPr>
      </w:pPr>
    </w:p>
    <w:p>
      <w:pPr>
        <w:rPr>
          <w:rFonts w:hint="eastAsia"/>
          <w:highlight w:val="white"/>
        </w:rPr>
      </w:pPr>
    </w:p>
    <w:p>
      <w:pPr>
        <w:pStyle w:val="Heading1"/>
      </w:pPr>
      <w:r>
        <w:rPr>
          <w:highlight w:val="white"/>
        </w:rPr>
        <w:br w:type="page"/>
      </w:r>
      <w:bookmarkStart w:id="45"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5"/>
    </w:p>
    <w:p>
      <w:bookmarkStart w:id="46"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763"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64"/>
        <w:gridCol w:w="880"/>
        <w:gridCol w:w="6736"/>
        <w:gridCol w:w="1751"/>
      </w:tblGrid>
      <w:tr>
        <w:tblPrEx>
          <w:tblW w:w="5763"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64" w:type="dxa"/>
          </w:tcPr>
          <w:p>
            <w:r>
              <w:t>主客观项</w:t>
            </w:r>
          </w:p>
        </w:tc>
        <w:tc>
          <w:tcPr>
            <w:tcW w:w="880" w:type="dxa"/>
          </w:tcPr>
          <w:p>
            <w:r>
              <w:t>评审因素</w:t>
            </w:r>
          </w:p>
        </w:tc>
        <w:tc>
          <w:tcPr>
            <w:tcW w:w="6736" w:type="dxa"/>
          </w:tcPr>
          <w:p>
            <w:r>
              <w:t>评分标准说明</w:t>
            </w:r>
          </w:p>
        </w:tc>
        <w:tc>
          <w:tcPr>
            <w:tcW w:w="1751" w:type="dxa"/>
          </w:tcPr>
          <w:p>
            <w:r>
              <w:t>分值范围</w:t>
            </w:r>
          </w:p>
        </w:tc>
      </w:tr>
      <w:tr>
        <w:tblPrEx>
          <w:tblW w:w="5763" w:type="pct"/>
          <w:jc w:val="left"/>
          <w:tblInd w:w="0" w:type="dxa"/>
          <w:tblCellMar>
            <w:top w:w="0" w:type="dxa"/>
            <w:left w:w="108" w:type="dxa"/>
            <w:bottom w:w="0" w:type="dxa"/>
            <w:right w:w="108" w:type="dxa"/>
          </w:tblCellMar>
        </w:tblPrEx>
        <w:trPr>
          <w:jc w:val="left"/>
        </w:trPr>
        <w:tc>
          <w:tcPr>
            <w:tcW w:w="464" w:type="dxa"/>
          </w:tcPr>
          <w:p>
            <w:r>
              <w:t>价格分</w:t>
            </w:r>
          </w:p>
        </w:tc>
        <w:tc>
          <w:tcPr>
            <w:tcW w:w="880" w:type="dxa"/>
          </w:tcPr>
          <w:p>
            <w:r>
              <w:t>价格评审</w:t>
            </w:r>
          </w:p>
        </w:tc>
        <w:tc>
          <w:tcPr>
            <w:tcW w:w="6736" w:type="dxa"/>
          </w:tcPr>
          <w:p>
            <w:r>
              <w:t>综合评分法中的价格分统一采用低价优先法计算，即满足招标文件要求且投标价格最低的投标报价为评标基准价，其价格分为满分。其他投标人的价格分按照下列公式计算：价格得分=(评标基准价／投标报价)×10％×100。</w:t>
            </w:r>
          </w:p>
        </w:tc>
        <w:tc>
          <w:tcPr>
            <w:tcW w:w="1751" w:type="dxa"/>
          </w:tcPr>
          <w:p>
            <w:r>
              <w:t>区间打分(0-10)</w:t>
            </w:r>
          </w:p>
        </w:tc>
      </w:tr>
      <w:tr>
        <w:tblPrEx>
          <w:tblW w:w="5763" w:type="pct"/>
          <w:jc w:val="left"/>
          <w:tblInd w:w="0" w:type="dxa"/>
          <w:tblCellMar>
            <w:top w:w="0" w:type="dxa"/>
            <w:left w:w="108" w:type="dxa"/>
            <w:bottom w:w="0" w:type="dxa"/>
            <w:right w:w="108" w:type="dxa"/>
          </w:tblCellMar>
        </w:tblPrEx>
        <w:trPr>
          <w:jc w:val="left"/>
        </w:trPr>
        <w:tc>
          <w:tcPr>
            <w:tcW w:w="464" w:type="dxa"/>
            <w:vMerge w:val="restart"/>
          </w:tcPr>
          <w:p>
            <w:r>
              <w:t>商务部分</w:t>
            </w:r>
          </w:p>
        </w:tc>
        <w:tc>
          <w:tcPr>
            <w:tcW w:w="880" w:type="dxa"/>
          </w:tcPr>
          <w:p>
            <w:r>
              <w:t>企业综合实力</w:t>
            </w:r>
          </w:p>
        </w:tc>
        <w:tc>
          <w:tcPr>
            <w:tcW w:w="6736" w:type="dxa"/>
          </w:tcPr>
          <w:p>
            <w:r>
              <w:t xml:space="preserve">1.投标人具有ISO9001质量管理体系认证证书得0.5分，没有不得分。   2.投标人具有ISO20000信息技术服务管理体系认证证书得0.5分，没有不得分。   </w:t>
            </w:r>
          </w:p>
          <w:p>
            <w:r>
              <w:t xml:space="preserve">3.投标人具有ISO27001信息安全管理体系认证证书得0.5分，没有不得分。     </w:t>
            </w:r>
          </w:p>
          <w:p/>
          <w:p>
            <w:r>
              <w:t>注：上述证书均需处于有效期内，否则不得分。需提供证书复印件并加盖投标人电子签章。</w:t>
            </w:r>
          </w:p>
        </w:tc>
        <w:tc>
          <w:tcPr>
            <w:tcW w:w="1751" w:type="dxa"/>
          </w:tcPr>
          <w:p>
            <w:r>
              <w:t>勾选打分(0;0.5;1;1.5)</w:t>
            </w:r>
          </w:p>
        </w:tc>
      </w:tr>
      <w:tr>
        <w:tblPrEx>
          <w:tblW w:w="5763" w:type="pct"/>
          <w:jc w:val="left"/>
          <w:tblInd w:w="0" w:type="dxa"/>
          <w:tblCellMar>
            <w:top w:w="0" w:type="dxa"/>
            <w:left w:w="108" w:type="dxa"/>
            <w:bottom w:w="0" w:type="dxa"/>
            <w:right w:w="108" w:type="dxa"/>
          </w:tblCellMar>
        </w:tblPrEx>
        <w:trPr>
          <w:jc w:val="left"/>
        </w:trPr>
        <w:tc>
          <w:tcPr>
            <w:tcW w:w="277" w:type="dxa"/>
            <w:vMerge/>
          </w:tcPr>
          <w:p/>
        </w:tc>
        <w:tc>
          <w:tcPr>
            <w:tcW w:w="880" w:type="dxa"/>
          </w:tcPr>
          <w:p>
            <w:r>
              <w:t>投标文件编制质量、对招标文件的响应程度</w:t>
            </w:r>
          </w:p>
        </w:tc>
        <w:tc>
          <w:tcPr>
            <w:tcW w:w="6736" w:type="dxa"/>
          </w:tcPr>
          <w:p>
            <w:r>
              <w:t xml:space="preserve">电子投标文件的逐项响应、定位和绑定清晰准确得1.5分； </w:t>
            </w:r>
          </w:p>
          <w:p>
            <w:r>
              <w:t xml:space="preserve">有一项未响应或定位和绑定模糊、有偏差的得0.7分； </w:t>
            </w:r>
          </w:p>
          <w:p>
            <w:r>
              <w:t>有两项或两项以上未响应或定位和绑定模糊、有偏差的得0分。</w:t>
            </w:r>
          </w:p>
        </w:tc>
        <w:tc>
          <w:tcPr>
            <w:tcW w:w="1751" w:type="dxa"/>
          </w:tcPr>
          <w:p>
            <w:r>
              <w:t>区间打分</w:t>
            </w:r>
            <w:r>
              <w:rPr>
                <w:rFonts w:hint="eastAsia"/>
              </w:rPr>
              <w:t>(0;0.7;1.5)</w:t>
            </w:r>
            <w:bookmarkStart w:id="47" w:name="_GoBack"/>
            <w:bookmarkEnd w:id="47"/>
          </w:p>
        </w:tc>
      </w:tr>
      <w:tr>
        <w:tblPrEx>
          <w:tblW w:w="5763" w:type="pct"/>
          <w:jc w:val="left"/>
          <w:tblInd w:w="0" w:type="dxa"/>
          <w:tblCellMar>
            <w:top w:w="0" w:type="dxa"/>
            <w:left w:w="108" w:type="dxa"/>
            <w:bottom w:w="0" w:type="dxa"/>
            <w:right w:w="108" w:type="dxa"/>
          </w:tblCellMar>
        </w:tblPrEx>
        <w:trPr>
          <w:jc w:val="left"/>
        </w:trPr>
        <w:tc>
          <w:tcPr>
            <w:tcW w:w="277" w:type="dxa"/>
            <w:vMerge/>
          </w:tcPr>
          <w:p/>
        </w:tc>
        <w:tc>
          <w:tcPr>
            <w:tcW w:w="880" w:type="dxa"/>
          </w:tcPr>
          <w:p>
            <w:r>
              <w:t>投标人业绩</w:t>
            </w:r>
          </w:p>
        </w:tc>
        <w:tc>
          <w:tcPr>
            <w:tcW w:w="6736" w:type="dxa"/>
          </w:tcPr>
          <w:p>
            <w:r>
              <w:t xml:space="preserve">投标人提供2022年8月1日起至本项目招标公告发布之日止（以合同签订日期为准），与本项目同类维保服务项目业绩相关材料。每提供一个有效业绩得1分，最多得5分。   </w:t>
            </w:r>
          </w:p>
          <w:p/>
          <w:p>
            <w:r>
              <w:t xml:space="preserve">注：（1）合同销售方（乙方）必须为投标人自身，需提供合同及验收合格报告复印件并加盖公章，其中合同中必须至少包含合同首页、服务内容、双方印章、签字、签订时间、付款条件页，以及合同履行第一笔付款乙方开具的发票复印件等信息内容（以上内容缺少一项，不予承认）； （2）提供的业绩合同材料复印件须字迹清晰，辨识无误； </w:t>
            </w:r>
          </w:p>
          <w:p>
            <w:r>
              <w:t>（3）不符合上述要求或未按要求提供有效证明文件的业绩在评审时将不予以承认。</w:t>
            </w:r>
          </w:p>
        </w:tc>
        <w:tc>
          <w:tcPr>
            <w:tcW w:w="1751" w:type="dxa"/>
          </w:tcPr>
          <w:p>
            <w:r>
              <w:t>勾选打分(0;1;2;3;4;5)</w:t>
            </w:r>
          </w:p>
        </w:tc>
      </w:tr>
      <w:tr>
        <w:tblPrEx>
          <w:tblW w:w="5763" w:type="pct"/>
          <w:jc w:val="left"/>
          <w:tblInd w:w="0" w:type="dxa"/>
          <w:tblCellMar>
            <w:top w:w="0" w:type="dxa"/>
            <w:left w:w="108" w:type="dxa"/>
            <w:bottom w:w="0" w:type="dxa"/>
            <w:right w:w="108" w:type="dxa"/>
          </w:tblCellMar>
        </w:tblPrEx>
        <w:trPr>
          <w:jc w:val="left"/>
        </w:trPr>
        <w:tc>
          <w:tcPr>
            <w:tcW w:w="464" w:type="dxa"/>
            <w:vMerge w:val="restart"/>
          </w:tcPr>
          <w:p>
            <w:r>
              <w:t>技术部分</w:t>
            </w:r>
          </w:p>
        </w:tc>
        <w:tc>
          <w:tcPr>
            <w:tcW w:w="880" w:type="dxa"/>
          </w:tcPr>
          <w:p>
            <w:r>
              <w:t>技术需求响应程度</w:t>
            </w:r>
          </w:p>
        </w:tc>
        <w:tc>
          <w:tcPr>
            <w:tcW w:w="6736" w:type="dxa"/>
          </w:tcPr>
          <w:p>
            <w:r>
              <w:t xml:space="preserve">完全满足招标文件项目需求书相关要求得67分，标注▲重要指标项每有一项不满足扣4分，一般指标项每有一项不满足扣2.55分。                      </w:t>
            </w:r>
          </w:p>
          <w:p/>
          <w:p>
            <w:r>
              <w:t xml:space="preserve">重要指标项共4个，分别为：        </w:t>
            </w:r>
          </w:p>
          <w:p>
            <w:r>
              <w:t xml:space="preserve">七、服务要求4个：第6项3个，第8项1个。     </w:t>
            </w:r>
          </w:p>
          <w:p/>
          <w:p>
            <w:r>
              <w:t xml:space="preserve">一般指标项共20个： 分别为：         </w:t>
            </w:r>
          </w:p>
          <w:p>
            <w:r>
              <w:t xml:space="preserve">四、项目概述1个：第3项1个。   </w:t>
            </w:r>
          </w:p>
          <w:p>
            <w:r>
              <w:t xml:space="preserve">七、服务要求14个：第5项3个，第9项4个，第10项6个，第11项1个。  </w:t>
            </w:r>
          </w:p>
          <w:p>
            <w:r>
              <w:t>八、实施要求5个：第2项2个，第3项1个，第6、9项各1个。</w:t>
            </w:r>
          </w:p>
        </w:tc>
        <w:tc>
          <w:tcPr>
            <w:tcW w:w="1751" w:type="dxa"/>
          </w:tcPr>
          <w:p>
            <w:r>
              <w:t>区间打分(0-67)</w:t>
            </w:r>
          </w:p>
        </w:tc>
      </w:tr>
      <w:tr>
        <w:tblPrEx>
          <w:tblW w:w="5763" w:type="pct"/>
          <w:jc w:val="left"/>
          <w:tblInd w:w="0" w:type="dxa"/>
          <w:tblCellMar>
            <w:top w:w="0" w:type="dxa"/>
            <w:left w:w="108" w:type="dxa"/>
            <w:bottom w:w="0" w:type="dxa"/>
            <w:right w:w="108" w:type="dxa"/>
          </w:tblCellMar>
        </w:tblPrEx>
        <w:trPr>
          <w:jc w:val="left"/>
        </w:trPr>
        <w:tc>
          <w:tcPr>
            <w:tcW w:w="277" w:type="dxa"/>
            <w:vMerge/>
          </w:tcPr>
          <w:p/>
        </w:tc>
        <w:tc>
          <w:tcPr>
            <w:tcW w:w="880" w:type="dxa"/>
          </w:tcPr>
          <w:p>
            <w:r>
              <w:t>技术支持服务方案</w:t>
            </w:r>
          </w:p>
        </w:tc>
        <w:tc>
          <w:tcPr>
            <w:tcW w:w="6736" w:type="dxa"/>
          </w:tcPr>
          <w:p>
            <w:r>
              <w:t xml:space="preserve">投标人须提供技术支持服务方案，内容包含但不限于：服务体系，服务标准及承诺，风险管理，保密管理，服务成果物管理，重要敏感时期保障方案，完善的维护保障计划。  </w:t>
            </w:r>
          </w:p>
          <w:p/>
          <w:p>
            <w:r>
              <w:t xml:space="preserve">技术支持服务方案科学周密，内容全面，完全契合项目实际，针对性可行性强，得5分。   </w:t>
            </w:r>
          </w:p>
          <w:p>
            <w:r>
              <w:t xml:space="preserve">技术支持服务方案内容完整，可以满足项目需要，针对性可行性较强，但方案内容（两个及以下）中有缺陷（缺陷包括：与事实不符、前后内容不一致、逻辑错误、不符合采购需求、内容有缺失等），得3.4分。              技术支持服务方案内容有漏项，未完全包括上述内容要求，或三个及以上内容中存在缺陷，得1.7分。                </w:t>
            </w:r>
          </w:p>
          <w:p>
            <w:r>
              <w:t>未提供技术支持服务方案或方案严重脱离项目实际，得0分。</w:t>
            </w:r>
          </w:p>
        </w:tc>
        <w:tc>
          <w:tcPr>
            <w:tcW w:w="1751" w:type="dxa"/>
          </w:tcPr>
          <w:p>
            <w:r>
              <w:t>勾选打分(0;1.7;3.4;5)</w:t>
            </w:r>
          </w:p>
        </w:tc>
      </w:tr>
      <w:tr>
        <w:tblPrEx>
          <w:tblW w:w="5763" w:type="pct"/>
          <w:jc w:val="left"/>
          <w:tblInd w:w="0" w:type="dxa"/>
          <w:tblCellMar>
            <w:top w:w="0" w:type="dxa"/>
            <w:left w:w="108" w:type="dxa"/>
            <w:bottom w:w="0" w:type="dxa"/>
            <w:right w:w="108" w:type="dxa"/>
          </w:tblCellMar>
        </w:tblPrEx>
        <w:trPr>
          <w:jc w:val="left"/>
        </w:trPr>
        <w:tc>
          <w:tcPr>
            <w:tcW w:w="464" w:type="dxa"/>
            <w:vMerge w:val="restart"/>
          </w:tcPr>
          <w:p>
            <w:r>
              <w:t>服务部分</w:t>
            </w:r>
          </w:p>
        </w:tc>
        <w:tc>
          <w:tcPr>
            <w:tcW w:w="880" w:type="dxa"/>
          </w:tcPr>
          <w:p>
            <w:r>
              <w:t>应急保障服务方案</w:t>
            </w:r>
          </w:p>
        </w:tc>
        <w:tc>
          <w:tcPr>
            <w:tcW w:w="6736" w:type="dxa"/>
          </w:tcPr>
          <w:p>
            <w:r>
              <w:t xml:space="preserve">投标人须提供应急保障服务方案，内容包含但不限于：应急服务标准、制度、流程，应急现场保障方案，紧急故障处理预案等。  </w:t>
            </w:r>
          </w:p>
          <w:p/>
          <w:p>
            <w:r>
              <w:t xml:space="preserve">应急保障服务方案科学周密，内容全面，完全契合项目实际，针对性可行性强，得5分。  </w:t>
            </w:r>
          </w:p>
          <w:p>
            <w:r>
              <w:t xml:space="preserve">应急保障服务方案内容完整，可以满足项目需要，针对性可行性较强，但方案内容（两个及以下）中有缺陷（缺陷包括：与事实不符、前后内容不一致、逻辑错误、不符合采购需求、内容有缺失等），得3.4分。              应急保障服务方案内容有漏项，未完全包括上述内容要求，或三个及以上内容中存在缺陷，得1.7分。                </w:t>
            </w:r>
          </w:p>
          <w:p>
            <w:r>
              <w:t>未提供应急保障服务方案或方案严重脱离项目实际，得0分。</w:t>
            </w:r>
          </w:p>
        </w:tc>
        <w:tc>
          <w:tcPr>
            <w:tcW w:w="1751" w:type="dxa"/>
          </w:tcPr>
          <w:p>
            <w:r>
              <w:t>勾选打分(0;1.7;3.4;5)</w:t>
            </w:r>
          </w:p>
        </w:tc>
      </w:tr>
      <w:tr>
        <w:tblPrEx>
          <w:tblW w:w="5763" w:type="pct"/>
          <w:jc w:val="left"/>
          <w:tblInd w:w="0" w:type="dxa"/>
          <w:tblCellMar>
            <w:top w:w="0" w:type="dxa"/>
            <w:left w:w="108" w:type="dxa"/>
            <w:bottom w:w="0" w:type="dxa"/>
            <w:right w:w="108" w:type="dxa"/>
          </w:tblCellMar>
        </w:tblPrEx>
        <w:trPr>
          <w:jc w:val="left"/>
        </w:trPr>
        <w:tc>
          <w:tcPr>
            <w:tcW w:w="277" w:type="dxa"/>
            <w:vMerge/>
          </w:tcPr>
          <w:p/>
        </w:tc>
        <w:tc>
          <w:tcPr>
            <w:tcW w:w="880" w:type="dxa"/>
          </w:tcPr>
          <w:p>
            <w:r>
              <w:t>服务质量保障方案</w:t>
            </w:r>
          </w:p>
        </w:tc>
        <w:tc>
          <w:tcPr>
            <w:tcW w:w="6736" w:type="dxa"/>
          </w:tcPr>
          <w:p>
            <w:r>
              <w:t>投标人须提供服务质量保障方案，内容包含但不限于：服务质量标准和承诺，服务质量保证，须针对服务内容建立维护、维修档案，详细记录每次巡检、维修、更换配件等与设备有关的事项。</w:t>
            </w:r>
          </w:p>
          <w:p/>
          <w:p>
            <w:r>
              <w:t xml:space="preserve">服务质量保障方案科学周密，内容全面，完全契合项目实际，针对性可行性强，得5分。   </w:t>
            </w:r>
          </w:p>
          <w:p>
            <w:r>
              <w:t xml:space="preserve">服务质量保障方案内容完整，可以满足项目需要，针对性可行性较强，但方案内容（两个及以下）中有缺陷（缺陷包括：与事实不符、前后内容不一致、逻辑错误、不符合采购需求、内容有缺失等），得3.4分。              服务质量保障方案内容有漏项，未完全包括上述内容要求，或三个及以上内容中存在缺陷，得1.7分。                </w:t>
            </w:r>
          </w:p>
          <w:p>
            <w:r>
              <w:t>未提供服务质量保障方案或方案严重脱离项目实际，得0分。</w:t>
            </w:r>
          </w:p>
        </w:tc>
        <w:tc>
          <w:tcPr>
            <w:tcW w:w="1751" w:type="dxa"/>
          </w:tcPr>
          <w:p>
            <w:r>
              <w:t>勾选打分(0;1.7;3.4;5)</w:t>
            </w:r>
          </w:p>
        </w:tc>
      </w:tr>
    </w:tbl>
    <w:p>
      <w:pPr>
        <w:pStyle w:val="1414"/>
      </w:pPr>
      <w:bookmarkEnd w:id="46"/>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48"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48"/>
    </w:p>
    <w:p>
      <w:pPr>
        <w:pBdr>
          <w:top w:val="none" w:sz="0" w:space="0" w:color="auto"/>
          <w:left w:val="none" w:sz="0" w:space="0" w:color="auto"/>
          <w:bottom w:val="none" w:sz="0" w:space="0" w:color="auto"/>
          <w:right w:val="none" w:sz="0" w:space="0" w:color="auto"/>
        </w:pBdr>
        <w:jc w:val="center"/>
        <w:rPr>
          <w:vanish w:val="0"/>
          <w:sz w:val="32"/>
          <w:szCs w:val="32"/>
        </w:rPr>
      </w:pPr>
      <w:bookmarkStart w:id="49" w:name="插入_TBWJGS_CONTRACT"/>
      <w:r>
        <w:t xml:space="preserve">                   </w:t>
      </w:r>
      <w:r>
        <w:rPr>
          <w:rFonts w:ascii="Times New Roman" w:eastAsia="宋体" w:hAnsi="Times New Roman" w:hint="eastAsia"/>
          <w:vanish w:val="0"/>
          <w:sz w:val="32"/>
          <w:szCs w:val="32"/>
        </w:rPr>
        <w:t>全国海关信息中心广东分中心</w:t>
      </w:r>
      <w:r>
        <w:rPr>
          <w:vanish w:val="0"/>
          <w:sz w:val="32"/>
          <w:szCs w:val="32"/>
        </w:rPr>
        <w:t>2024</w:t>
      </w:r>
      <w:r>
        <w:rPr>
          <w:rFonts w:ascii="Times New Roman" w:eastAsia="宋体" w:hAnsi="Times New Roman" w:hint="eastAsia"/>
          <w:vanish w:val="0"/>
          <w:sz w:val="32"/>
          <w:szCs w:val="32"/>
        </w:rPr>
        <w:t>年度硬件设备维保服务采购项目合同</w:t>
      </w:r>
    </w:p>
    <w:p/>
    <w:p>
      <w:r>
        <w:rPr>
          <w:rFonts w:ascii="Times New Roman" w:eastAsia="宋体" w:hAnsi="Times New Roman" w:hint="eastAsia"/>
        </w:rPr>
        <w:t>项目编号：</w:t>
      </w:r>
    </w:p>
    <w:p/>
    <w:p/>
    <w:p>
      <w:r>
        <w:rPr>
          <w:rFonts w:ascii="Times New Roman" w:eastAsia="宋体" w:hAnsi="Times New Roman" w:hint="eastAsia"/>
        </w:rPr>
        <w:t>甲　　方：全国海关信息中心广东分中心　　　　　　　　　　</w:t>
      </w:r>
    </w:p>
    <w:p>
      <w:r>
        <w:rPr>
          <w:rFonts w:ascii="Times New Roman" w:eastAsia="宋体" w:hAnsi="Times New Roman" w:hint="eastAsia"/>
        </w:rPr>
        <w:t>地　　址：广州市海珠区滨江西路</w:t>
      </w:r>
      <w:r>
        <w:t>26-28</w:t>
      </w:r>
      <w:r>
        <w:rPr>
          <w:rFonts w:ascii="Times New Roman" w:eastAsia="宋体" w:hAnsi="Times New Roman" w:hint="eastAsia"/>
        </w:rPr>
        <w:t>海天大厦　　　　　　　　　</w:t>
      </w:r>
    </w:p>
    <w:p>
      <w:r>
        <w:rPr>
          <w:rFonts w:ascii="Times New Roman" w:eastAsia="宋体" w:hAnsi="Times New Roman" w:hint="eastAsia"/>
        </w:rPr>
        <w:t>电　　话：　　　　　传　　真：　　　　　　　</w:t>
      </w:r>
    </w:p>
    <w:p/>
    <w:p/>
    <w:p>
      <w:r>
        <w:rPr>
          <w:rFonts w:ascii="Times New Roman" w:eastAsia="宋体" w:hAnsi="Times New Roman" w:hint="eastAsia"/>
        </w:rPr>
        <w:t>乙　　方：　　　　　　　　　　</w:t>
      </w:r>
    </w:p>
    <w:p>
      <w:r>
        <w:rPr>
          <w:rFonts w:ascii="Times New Roman" w:eastAsia="宋体" w:hAnsi="Times New Roman" w:hint="eastAsia"/>
        </w:rPr>
        <w:t>地　　址：　　　　　　　　　</w:t>
      </w:r>
    </w:p>
    <w:p>
      <w:r>
        <w:rPr>
          <w:rFonts w:ascii="Times New Roman" w:eastAsia="宋体" w:hAnsi="Times New Roman" w:hint="eastAsia"/>
        </w:rPr>
        <w:t>电　　话：　　　　　　　　传　　真：　　　　　　　　</w:t>
      </w:r>
    </w:p>
    <w:p>
      <w:pPr>
        <w:pBdr>
          <w:top w:val="none" w:sz="0" w:space="0" w:color="auto"/>
          <w:left w:val="none" w:sz="0" w:space="0" w:color="auto"/>
          <w:bottom w:val="none" w:sz="0" w:space="0" w:color="auto"/>
          <w:right w:val="none" w:sz="0" w:space="0" w:color="auto"/>
        </w:pBdr>
        <w:ind w:firstLine="525" w:firstLineChars="250"/>
        <w:rPr>
          <w:vanish w:val="0"/>
        </w:rPr>
      </w:pPr>
      <w:r>
        <w:rPr>
          <w:rFonts w:ascii="Times New Roman" w:eastAsia="宋体" w:hAnsi="Times New Roman"/>
          <w:kern w:val="2"/>
          <w:sz w:val="21"/>
          <w:szCs w:val="24"/>
          <w:lang w:val="en-US" w:eastAsia="zh-CN"/>
        </w:rPr>
        <w:br w:type="page"/>
      </w:r>
      <w:r>
        <w:rPr>
          <w:rFonts w:ascii="Times New Roman" w:eastAsia="宋体" w:hAnsi="Times New Roman" w:hint="eastAsia"/>
          <w:vanish w:val="0"/>
        </w:rPr>
        <w:t>根据全国海关信息中心广东分中心</w:t>
      </w:r>
      <w:r>
        <w:rPr>
          <w:vanish w:val="0"/>
        </w:rPr>
        <w:t>2024</w:t>
      </w:r>
      <w:r>
        <w:rPr>
          <w:rFonts w:ascii="Times New Roman" w:eastAsia="宋体" w:hAnsi="Times New Roman" w:hint="eastAsia"/>
          <w:vanish w:val="0"/>
        </w:rPr>
        <w:t>年度硬件设备维保服务采购项目的采购结果，按照《中华人民共和国政府采购法》、《中华人民共和国政府采购法实施条例》、《中华人民共和国民法典》的相关规定，经双方协商，本着平等互利和诚实信用的原则，一致同意签订本合同如下。</w:t>
      </w:r>
    </w:p>
    <w:p>
      <w:r>
        <w:rPr>
          <w:rFonts w:ascii="Times New Roman" w:eastAsia="宋体" w:hAnsi="Times New Roman" w:hint="eastAsia"/>
        </w:rPr>
        <w:t>一、</w:t>
      </w:r>
      <w:r>
        <w:tab/>
      </w:r>
      <w:r>
        <w:rPr>
          <w:rFonts w:ascii="Times New Roman" w:eastAsia="宋体" w:hAnsi="Times New Roman" w:hint="eastAsia"/>
        </w:rPr>
        <w:t>合同标的</w:t>
      </w:r>
    </w:p>
    <w:p>
      <w:pPr>
        <w:pBdr>
          <w:top w:val="none" w:sz="0" w:space="0" w:color="auto"/>
          <w:left w:val="none" w:sz="0" w:space="0" w:color="auto"/>
          <w:bottom w:val="none" w:sz="0" w:space="0" w:color="auto"/>
          <w:right w:val="none" w:sz="0" w:space="0" w:color="auto"/>
        </w:pBdr>
        <w:kinsoku/>
        <w:wordWrap/>
        <w:overflowPunct/>
        <w:topLinePunct w:val="0"/>
        <w:autoSpaceDE/>
        <w:autoSpaceDN/>
        <w:rPr>
          <w:vanish w:val="0"/>
          <w:szCs w:val="21"/>
        </w:rPr>
      </w:pPr>
      <w:r>
        <w:rPr>
          <w:rFonts w:ascii="Times New Roman" w:eastAsia="宋体" w:hAnsi="Times New Roman" w:hint="eastAsia"/>
          <w:vanish w:val="0"/>
        </w:rPr>
        <w:t>本项目服务地点为广州市，甲方委托乙方提供以下服务：</w:t>
      </w:r>
      <w:r>
        <w:rPr>
          <w:vanish w:val="0"/>
          <w:szCs w:val="21"/>
        </w:rPr>
        <w:t xml:space="preserve"> </w:t>
      </w:r>
      <w:r>
        <w:rPr>
          <w:rFonts w:ascii="Times New Roman" w:eastAsia="宋体" w:hAnsi="Times New Roman" w:hint="eastAsia"/>
          <w:vanish w:val="0"/>
          <w:szCs w:val="21"/>
        </w:rPr>
        <w:t>为</w:t>
      </w:r>
      <w:r>
        <w:rPr>
          <w:vanish w:val="0"/>
          <w:szCs w:val="21"/>
        </w:rPr>
        <w:t>NetBackup</w:t>
      </w:r>
      <w:r>
        <w:rPr>
          <w:rFonts w:ascii="Times New Roman" w:eastAsia="宋体" w:hAnsi="Times New Roman" w:hint="eastAsia"/>
          <w:vanish w:val="0"/>
          <w:szCs w:val="21"/>
        </w:rPr>
        <w:t>备份软件、</w:t>
      </w:r>
      <w:r>
        <w:rPr>
          <w:vanish w:val="0"/>
          <w:szCs w:val="21"/>
        </w:rPr>
        <w:t>2</w:t>
      </w:r>
      <w:r>
        <w:rPr>
          <w:rFonts w:ascii="Times New Roman" w:eastAsia="宋体" w:hAnsi="Times New Roman" w:hint="eastAsia"/>
          <w:vanish w:val="0"/>
          <w:szCs w:val="21"/>
        </w:rPr>
        <w:t>台神州云科负载均衡设备、</w:t>
      </w:r>
      <w:r>
        <w:rPr>
          <w:vanish w:val="0"/>
          <w:szCs w:val="21"/>
        </w:rPr>
        <w:t>4</w:t>
      </w:r>
      <w:r>
        <w:rPr>
          <w:rFonts w:ascii="Times New Roman" w:eastAsia="宋体" w:hAnsi="Times New Roman" w:hint="eastAsia"/>
          <w:vanish w:val="0"/>
          <w:szCs w:val="21"/>
        </w:rPr>
        <w:t>台迪普防火墙和</w:t>
      </w:r>
      <w:r>
        <w:rPr>
          <w:vanish w:val="0"/>
          <w:szCs w:val="21"/>
        </w:rPr>
        <w:t>6</w:t>
      </w:r>
      <w:r>
        <w:rPr>
          <w:rFonts w:ascii="Times New Roman" w:eastAsia="宋体" w:hAnsi="Times New Roman" w:hint="eastAsia"/>
          <w:vanish w:val="0"/>
          <w:szCs w:val="21"/>
        </w:rPr>
        <w:t>套天融信风险探知系统购买原厂维保服务，为存储设备、备份设备、服务器、网络、安全、通讯等设备购买第三方维保服务。</w:t>
      </w:r>
    </w:p>
    <w:p>
      <w:pPr>
        <w:pBdr>
          <w:top w:val="none" w:sz="0" w:space="0" w:color="auto"/>
          <w:left w:val="none" w:sz="0" w:space="0" w:color="auto"/>
          <w:bottom w:val="none" w:sz="0" w:space="0" w:color="auto"/>
          <w:right w:val="none" w:sz="0" w:space="0" w:color="auto"/>
        </w:pBdr>
        <w:kinsoku/>
        <w:wordWrap/>
        <w:overflowPunct/>
        <w:topLinePunct w:val="0"/>
        <w:autoSpaceDE/>
        <w:autoSpaceDN/>
        <w:rPr>
          <w:vanish w:val="0"/>
          <w:szCs w:val="21"/>
        </w:rPr>
      </w:pPr>
      <w:r>
        <w:rPr>
          <w:rFonts w:ascii="Times New Roman" w:eastAsia="宋体" w:hAnsi="Times New Roman" w:hint="eastAsia"/>
          <w:vanish w:val="0"/>
          <w:szCs w:val="21"/>
        </w:rPr>
        <w:t>详细服务内容、方式及要求详见附件</w:t>
      </w:r>
      <w:r>
        <w:rPr>
          <w:vanish w:val="0"/>
          <w:szCs w:val="21"/>
        </w:rPr>
        <w:t>1</w:t>
      </w:r>
      <w:r>
        <w:rPr>
          <w:rFonts w:ascii="Times New Roman" w:eastAsia="宋体" w:hAnsi="Times New Roman" w:hint="eastAsia"/>
          <w:vanish w:val="0"/>
          <w:szCs w:val="21"/>
        </w:rPr>
        <w:t>：《服务内容及要求》。</w:t>
      </w:r>
    </w:p>
    <w:p>
      <w:r>
        <w:rPr>
          <w:rFonts w:ascii="Times New Roman" w:eastAsia="宋体" w:hAnsi="Times New Roman" w:hint="eastAsia"/>
        </w:rPr>
        <w:t>二、合同服务周期：自</w:t>
      </w:r>
      <w:r>
        <w:t xml:space="preserve"> _ __</w:t>
      </w:r>
      <w:r>
        <w:rPr>
          <w:rFonts w:ascii="Times New Roman" w:eastAsia="宋体" w:hAnsi="Times New Roman" w:hint="eastAsia"/>
        </w:rPr>
        <w:t>年</w:t>
      </w:r>
      <w:r>
        <w:t>_ __</w:t>
      </w:r>
      <w:r>
        <w:rPr>
          <w:rFonts w:ascii="Times New Roman" w:eastAsia="宋体" w:hAnsi="Times New Roman" w:hint="eastAsia"/>
        </w:rPr>
        <w:t>月</w:t>
      </w:r>
      <w:r>
        <w:t>___</w:t>
      </w:r>
      <w:r>
        <w:rPr>
          <w:rFonts w:ascii="Times New Roman" w:eastAsia="宋体" w:hAnsi="Times New Roman" w:hint="eastAsia"/>
        </w:rPr>
        <w:t>日</w:t>
      </w:r>
      <w:r>
        <w:t xml:space="preserve"> </w:t>
      </w:r>
      <w:r>
        <w:rPr>
          <w:rFonts w:ascii="Times New Roman" w:eastAsia="宋体" w:hAnsi="Times New Roman" w:hint="eastAsia"/>
        </w:rPr>
        <w:t>至</w:t>
      </w:r>
      <w:r>
        <w:t xml:space="preserve"> ____ </w:t>
      </w:r>
      <w:r>
        <w:rPr>
          <w:rFonts w:ascii="Times New Roman" w:eastAsia="宋体" w:hAnsi="Times New Roman" w:hint="eastAsia"/>
        </w:rPr>
        <w:t>年</w:t>
      </w:r>
      <w:r>
        <w:t>___</w:t>
      </w:r>
      <w:r>
        <w:rPr>
          <w:rFonts w:ascii="Times New Roman" w:eastAsia="宋体" w:hAnsi="Times New Roman" w:hint="eastAsia"/>
        </w:rPr>
        <w:t>月</w:t>
      </w:r>
      <w:r>
        <w:t>___</w:t>
      </w:r>
      <w:r>
        <w:rPr>
          <w:rFonts w:ascii="Times New Roman" w:eastAsia="宋体" w:hAnsi="Times New Roman" w:hint="eastAsia"/>
        </w:rPr>
        <w:t>日止。具体软件</w:t>
      </w:r>
      <w:r>
        <w:t>/</w:t>
      </w:r>
      <w:r>
        <w:rPr>
          <w:rFonts w:ascii="Times New Roman" w:eastAsia="宋体" w:hAnsi="Times New Roman" w:hint="eastAsia"/>
        </w:rPr>
        <w:t>硬件设备提供维保服务起始日以附件</w:t>
      </w:r>
      <w:r>
        <w:t>1</w:t>
      </w:r>
      <w:r>
        <w:rPr>
          <w:rFonts w:ascii="Times New Roman" w:eastAsia="宋体" w:hAnsi="Times New Roman" w:hint="eastAsia"/>
        </w:rPr>
        <w:t>约定为准。</w:t>
      </w:r>
    </w:p>
    <w:p>
      <w:r>
        <w:rPr>
          <w:rFonts w:ascii="Times New Roman" w:eastAsia="宋体" w:hAnsi="Times New Roman" w:hint="eastAsia"/>
        </w:rPr>
        <w:t>三、</w:t>
      </w:r>
      <w:r>
        <w:tab/>
      </w:r>
      <w:r>
        <w:rPr>
          <w:rFonts w:ascii="Times New Roman" w:eastAsia="宋体" w:hAnsi="Times New Roman" w:hint="eastAsia"/>
        </w:rPr>
        <w:t>甲方权利与义务</w:t>
      </w:r>
    </w:p>
    <w:p>
      <w:r>
        <w:t>1.</w:t>
      </w:r>
      <w:r>
        <w:rPr>
          <w:rFonts w:ascii="Times New Roman" w:eastAsia="宋体" w:hAnsi="Times New Roman" w:hint="eastAsia"/>
        </w:rPr>
        <w:t>甲方有权对乙方提供服务的工作成果进行评估和确认及提出修改意见。</w:t>
      </w:r>
    </w:p>
    <w:p>
      <w:r>
        <w:t>2.</w:t>
      </w:r>
      <w:r>
        <w:rPr>
          <w:rFonts w:ascii="Times New Roman" w:eastAsia="宋体" w:hAnsi="Times New Roman" w:hint="eastAsia"/>
        </w:rPr>
        <w:t>在乙方完成相应阶段工作并满足付款条件时，甲方应按照本合同的约定及时支付合同价款。</w:t>
      </w:r>
    </w:p>
    <w:p>
      <w:r>
        <w:rPr>
          <w:rFonts w:ascii="Times New Roman" w:eastAsia="宋体" w:hAnsi="Times New Roman" w:hint="eastAsia"/>
        </w:rPr>
        <w:t>四、</w:t>
      </w:r>
      <w:r>
        <w:tab/>
      </w:r>
      <w:r>
        <w:rPr>
          <w:rFonts w:ascii="Times New Roman" w:eastAsia="宋体" w:hAnsi="Times New Roman" w:hint="eastAsia"/>
        </w:rPr>
        <w:t>乙方权利与义务</w:t>
      </w:r>
    </w:p>
    <w:p>
      <w:r>
        <w:t>1.</w:t>
      </w:r>
      <w:r>
        <w:rPr>
          <w:rFonts w:ascii="Times New Roman" w:eastAsia="宋体" w:hAnsi="Times New Roman" w:hint="eastAsia"/>
        </w:rPr>
        <w:t>乙方提供的服务应符合本合同及合同附件的要求，具体内容及要求详见附件</w:t>
      </w:r>
      <w:r>
        <w:t>1</w:t>
      </w:r>
      <w:r>
        <w:rPr>
          <w:rFonts w:ascii="Times New Roman" w:eastAsia="宋体" w:hAnsi="Times New Roman" w:hint="eastAsia"/>
        </w:rPr>
        <w:t>。</w:t>
      </w:r>
    </w:p>
    <w:p>
      <w:r>
        <w:t>2.</w:t>
      </w:r>
      <w:r>
        <w:rPr>
          <w:rFonts w:ascii="Times New Roman" w:eastAsia="宋体" w:hAnsi="Times New Roman" w:hint="eastAsia"/>
        </w:rPr>
        <w:t>在履行合同过程中，由于乙方人员的过错、过失造成甲方设备或系统的损坏、损失、人身安全事故，其责任由乙方承担。</w:t>
      </w:r>
    </w:p>
    <w:p>
      <w:r>
        <w:t>3.</w:t>
      </w:r>
      <w:r>
        <w:rPr>
          <w:rFonts w:ascii="Times New Roman" w:eastAsia="宋体" w:hAnsi="Times New Roman" w:hint="eastAsia"/>
        </w:rPr>
        <w:t>乙方指定</w:t>
      </w:r>
      <w:r>
        <w:rPr>
          <w:u w:val="single"/>
        </w:rPr>
        <w:t xml:space="preserve">         </w:t>
      </w:r>
      <w:r>
        <w:rPr>
          <w:rFonts w:ascii="Times New Roman" w:eastAsia="宋体" w:hAnsi="Times New Roman" w:hint="eastAsia"/>
        </w:rPr>
        <w:t>为项目经理。未经甲方书面同意，乙方不得擅自更换项目经理；如果甲方认为项目经理不能履行合同约定的职责，则甲方有权要求乙方限期更换相同资历或者更高资历的项目经理。</w:t>
      </w:r>
    </w:p>
    <w:p>
      <w:r>
        <w:t>4.</w:t>
      </w:r>
      <w:r>
        <w:rPr>
          <w:rFonts w:ascii="Times New Roman" w:eastAsia="宋体" w:hAnsi="Times New Roman" w:hint="eastAsia"/>
        </w:rPr>
        <w:t>乙方服务人员在甲方工作期间，应遵守甲方单位的有关规章制度；在法律法规规定范围内充分维护甲方的利益与声誉；在提供服务时，应该谨慎尽职，符合本合同条款，遵守所有适用的法律法规。</w:t>
      </w:r>
    </w:p>
    <w:p>
      <w:r>
        <w:t>5.</w:t>
      </w:r>
      <w:r>
        <w:rPr>
          <w:rFonts w:ascii="Times New Roman" w:eastAsia="宋体" w:hAnsi="Times New Roman" w:hint="eastAsia"/>
        </w:rPr>
        <w:t>乙方按照本合同的约定，派遣其健康、熟练、有经验、有能力、有专业资质的技术服务人员向甲方提供维保服务。</w:t>
      </w:r>
    </w:p>
    <w:p>
      <w:r>
        <w:t>6.</w:t>
      </w:r>
      <w:r>
        <w:rPr>
          <w:rFonts w:ascii="Times New Roman" w:eastAsia="宋体" w:hAnsi="Times New Roman" w:hint="eastAsia"/>
        </w:rPr>
        <w:t>乙方或乙方工作人员均不得利用其提供产品和服务的便利条件非法获取甲方（或甲方相关用户）数据、非法控制和操纵甲方（或甲方相关用户）设备，乙方应保障甲方及甲方的客户信息的安全性。</w:t>
      </w:r>
    </w:p>
    <w:p>
      <w:r>
        <w:rPr>
          <w:rFonts w:ascii="Times New Roman" w:eastAsia="宋体" w:hAnsi="Times New Roman" w:hint="eastAsia"/>
        </w:rPr>
        <w:t>五、</w:t>
      </w:r>
      <w:r>
        <w:tab/>
      </w:r>
      <w:r>
        <w:rPr>
          <w:rFonts w:ascii="Times New Roman" w:eastAsia="宋体" w:hAnsi="Times New Roman" w:hint="eastAsia"/>
        </w:rPr>
        <w:t>验收</w:t>
      </w:r>
    </w:p>
    <w:p>
      <w:r>
        <w:rPr>
          <w:rFonts w:ascii="Times New Roman" w:eastAsia="宋体" w:hAnsi="Times New Roman" w:hint="eastAsia"/>
        </w:rPr>
        <w:t>本项目按照合同要求及招标文件、投标响应文件承诺的服务内容及服务标准，双方共同组织验收。维保服务结束后，甲方技术部门联合本单位技术管理部门组建验收小组，对本项目进行最终验收，并出具最终验收报告。甲方按照本项目采购要求进行验收，如有不符，乙方有责任继续完善、修改，直至符合要求为止。</w:t>
      </w:r>
    </w:p>
    <w:p>
      <w:r>
        <w:rPr>
          <w:rFonts w:ascii="Times New Roman" w:eastAsia="宋体" w:hAnsi="Times New Roman" w:hint="eastAsia"/>
        </w:rPr>
        <w:t>六、</w:t>
      </w:r>
      <w:r>
        <w:tab/>
      </w:r>
      <w:r>
        <w:rPr>
          <w:rFonts w:ascii="Times New Roman" w:eastAsia="宋体" w:hAnsi="Times New Roman" w:hint="eastAsia"/>
        </w:rPr>
        <w:t>服务价格及支付方式</w:t>
      </w:r>
    </w:p>
    <w:p>
      <w:r>
        <w:t>1</w:t>
      </w:r>
      <w:r>
        <w:rPr>
          <w:rFonts w:ascii="Times New Roman" w:eastAsia="宋体" w:hAnsi="Times New Roman" w:hint="eastAsia"/>
        </w:rPr>
        <w:t>．服务价格：根据双方商定的服务内容，甲方支付乙方技术服务费（合同总价，含税）：</w:t>
      </w:r>
    </w:p>
    <w:p>
      <w:r>
        <w:rPr>
          <w:rFonts w:ascii="Times New Roman" w:eastAsia="宋体" w:hAnsi="Times New Roman" w:hint="eastAsia"/>
        </w:rPr>
        <w:t>（大写）人民币</w:t>
      </w:r>
      <w:r>
        <w:t xml:space="preserve">____________ </w:t>
      </w:r>
      <w:r>
        <w:rPr>
          <w:rFonts w:ascii="Times New Roman" w:eastAsia="宋体" w:hAnsi="Times New Roman" w:hint="eastAsia"/>
        </w:rPr>
        <w:t>元整（小写：￥</w:t>
      </w:r>
      <w:r>
        <w:t>____________</w:t>
      </w:r>
      <w:r>
        <w:rPr>
          <w:rFonts w:ascii="Times New Roman" w:eastAsia="宋体" w:hAnsi="Times New Roman" w:hint="eastAsia"/>
        </w:rPr>
        <w:t>）。</w:t>
      </w:r>
    </w:p>
    <w:p>
      <w:r>
        <w:t>2</w:t>
      </w:r>
      <w:r>
        <w:rPr>
          <w:rFonts w:ascii="Times New Roman" w:eastAsia="宋体" w:hAnsi="Times New Roman" w:hint="eastAsia"/>
        </w:rPr>
        <w:t>．服务费由甲方分期支付乙方，支付方式如下：</w:t>
      </w:r>
    </w:p>
    <w:p>
      <w:r>
        <w:rPr>
          <w:rFonts w:ascii="Times New Roman" w:eastAsia="宋体" w:hAnsi="Times New Roman" w:hint="eastAsia"/>
        </w:rPr>
        <w:t>（</w:t>
      </w:r>
      <w:r>
        <w:t>1</w:t>
      </w:r>
      <w:r>
        <w:rPr>
          <w:rFonts w:ascii="Times New Roman" w:eastAsia="宋体" w:hAnsi="Times New Roman" w:hint="eastAsia"/>
        </w:rPr>
        <w:t>）</w:t>
      </w:r>
      <w:r>
        <w:rPr>
          <w:rFonts w:ascii="Times New Roman" w:eastAsia="宋体" w:hAnsi="Times New Roman" w:hint="eastAsia"/>
          <w:szCs w:val="21"/>
        </w:rPr>
        <w:t>服务期开始后</w:t>
      </w:r>
      <w:r>
        <w:rPr>
          <w:szCs w:val="21"/>
        </w:rPr>
        <w:t>3</w:t>
      </w:r>
      <w:r>
        <w:rPr>
          <w:rFonts w:ascii="Times New Roman" w:eastAsia="宋体" w:hAnsi="Times New Roman" w:hint="eastAsia"/>
          <w:szCs w:val="21"/>
        </w:rPr>
        <w:t>个月内，且甲方收到乙方提交的下列单据之日起</w:t>
      </w:r>
      <w:r>
        <w:rPr>
          <w:szCs w:val="21"/>
        </w:rPr>
        <w:t>10</w:t>
      </w:r>
      <w:r>
        <w:rPr>
          <w:rFonts w:ascii="Times New Roman" w:eastAsia="宋体" w:hAnsi="Times New Roman" w:hint="eastAsia"/>
          <w:szCs w:val="21"/>
        </w:rPr>
        <w:t>个工作日内，向乙方支付合同总价</w:t>
      </w:r>
      <w:r>
        <w:rPr>
          <w:szCs w:val="21"/>
        </w:rPr>
        <w:t>30%</w:t>
      </w:r>
      <w:r>
        <w:rPr>
          <w:rFonts w:ascii="Times New Roman" w:eastAsia="宋体" w:hAnsi="Times New Roman" w:hint="eastAsia"/>
          <w:szCs w:val="21"/>
        </w:rPr>
        <w:t>的合同款；</w:t>
      </w:r>
      <w:r>
        <w:t xml:space="preserve"> </w:t>
      </w:r>
    </w:p>
    <w:p>
      <w:r>
        <w:rPr>
          <w:rFonts w:ascii="Times New Roman" w:eastAsia="宋体" w:hAnsi="Times New Roman" w:hint="eastAsia"/>
        </w:rPr>
        <w:t>乙方提交单据：合同（正文部分复印件）、中标通知书（复印件）、增值税普通发票（原件）、履约保证金单据。</w:t>
      </w:r>
    </w:p>
    <w:p>
      <w:r>
        <w:rPr>
          <w:rFonts w:ascii="Times New Roman" w:eastAsia="宋体" w:hAnsi="Times New Roman" w:hint="eastAsia"/>
        </w:rPr>
        <w:t>（</w:t>
      </w:r>
      <w:r>
        <w:t>2</w:t>
      </w:r>
      <w:r>
        <w:rPr>
          <w:rFonts w:ascii="Times New Roman" w:eastAsia="宋体" w:hAnsi="Times New Roman" w:hint="eastAsia"/>
        </w:rPr>
        <w:t>）合同服务周期执行超过</w:t>
      </w:r>
      <w:r>
        <w:t>50%</w:t>
      </w:r>
      <w:r>
        <w:rPr>
          <w:rFonts w:ascii="Times New Roman" w:eastAsia="宋体" w:hAnsi="Times New Roman" w:hint="eastAsia"/>
        </w:rPr>
        <w:t>时，即最早在</w:t>
      </w:r>
      <w:r>
        <w:t xml:space="preserve">   </w:t>
      </w:r>
      <w:r>
        <w:rPr>
          <w:rFonts w:ascii="Times New Roman" w:eastAsia="宋体" w:hAnsi="Times New Roman" w:hint="eastAsia"/>
        </w:rPr>
        <w:t>年</w:t>
      </w:r>
      <w:r>
        <w:t xml:space="preserve">   </w:t>
      </w:r>
      <w:r>
        <w:rPr>
          <w:rFonts w:ascii="Times New Roman" w:eastAsia="宋体" w:hAnsi="Times New Roman" w:hint="eastAsia"/>
        </w:rPr>
        <w:t>月</w:t>
      </w:r>
      <w:r>
        <w:t xml:space="preserve">   </w:t>
      </w:r>
      <w:r>
        <w:rPr>
          <w:rFonts w:ascii="Times New Roman" w:eastAsia="宋体" w:hAnsi="Times New Roman" w:hint="eastAsia"/>
        </w:rPr>
        <w:t>日时，且甲方收到乙方提交的下列单据后</w:t>
      </w:r>
      <w:r>
        <w:t>15</w:t>
      </w:r>
      <w:r>
        <w:rPr>
          <w:rFonts w:ascii="Times New Roman" w:eastAsia="宋体" w:hAnsi="Times New Roman" w:hint="eastAsia"/>
        </w:rPr>
        <w:t>个工作日内，甲方支付合同总价的</w:t>
      </w:r>
      <w:r>
        <w:t>40%</w:t>
      </w:r>
      <w:r>
        <w:rPr>
          <w:rFonts w:ascii="Times New Roman" w:eastAsia="宋体" w:hAnsi="Times New Roman" w:hint="eastAsia"/>
        </w:rPr>
        <w:t>；</w:t>
      </w:r>
    </w:p>
    <w:p>
      <w:r>
        <w:rPr>
          <w:rFonts w:ascii="Times New Roman" w:eastAsia="宋体" w:hAnsi="Times New Roman" w:hint="eastAsia"/>
        </w:rPr>
        <w:t>乙方提交单据：合同（正文部分复印件）、中标通知书（复印件）、增值税普通发票（原件）。</w:t>
      </w:r>
    </w:p>
    <w:p>
      <w:r>
        <w:rPr>
          <w:rFonts w:ascii="Times New Roman" w:eastAsia="宋体" w:hAnsi="Times New Roman" w:hint="eastAsia"/>
        </w:rPr>
        <w:t>（</w:t>
      </w:r>
      <w:r>
        <w:t>3</w:t>
      </w:r>
      <w:r>
        <w:rPr>
          <w:rFonts w:ascii="Times New Roman" w:eastAsia="宋体" w:hAnsi="Times New Roman" w:hint="eastAsia"/>
        </w:rPr>
        <w:t>）维保服务结束后，本合同经过甲方技术部门验收合格后，且甲方收到乙方提交的下列单据后</w:t>
      </w:r>
      <w:r>
        <w:t>15</w:t>
      </w:r>
      <w:r>
        <w:rPr>
          <w:rFonts w:ascii="Times New Roman" w:eastAsia="宋体" w:hAnsi="Times New Roman" w:hint="eastAsia"/>
        </w:rPr>
        <w:t>个工作日内，甲方支付合同总价的</w:t>
      </w:r>
      <w:r>
        <w:t>30%</w:t>
      </w:r>
      <w:r>
        <w:rPr>
          <w:rFonts w:ascii="Times New Roman" w:eastAsia="宋体" w:hAnsi="Times New Roman" w:hint="eastAsia"/>
        </w:rPr>
        <w:t>，无息退还乙方合同总价</w:t>
      </w:r>
      <w:r>
        <w:t>5%</w:t>
      </w:r>
      <w:r>
        <w:rPr>
          <w:rFonts w:ascii="Times New Roman" w:eastAsia="宋体" w:hAnsi="Times New Roman" w:hint="eastAsia"/>
        </w:rPr>
        <w:t>的履约保函或履约保证金。</w:t>
      </w:r>
    </w:p>
    <w:p>
      <w:r>
        <w:rPr>
          <w:rFonts w:ascii="Times New Roman" w:eastAsia="宋体" w:hAnsi="Times New Roman" w:hint="eastAsia"/>
        </w:rPr>
        <w:t>乙方提交单据：合同（正文部分复印件）、中标通知书（复印件）、增值税普通发票（原件）、合同验收合格报告（原件），退保申请（原件）。</w:t>
      </w:r>
    </w:p>
    <w:p>
      <w:r>
        <w:t xml:space="preserve">3. </w:t>
      </w:r>
      <w:r>
        <w:rPr>
          <w:rFonts w:ascii="Times New Roman" w:eastAsia="宋体" w:hAnsi="Times New Roman" w:hint="eastAsia"/>
        </w:rPr>
        <w:t>乙方户名、开户银行名称和账号为：</w:t>
      </w:r>
      <w:r>
        <w:t xml:space="preserve"> </w:t>
      </w:r>
    </w:p>
    <w:p>
      <w:r>
        <w:rPr>
          <w:rFonts w:ascii="Times New Roman" w:eastAsia="宋体" w:hAnsi="Times New Roman" w:hint="eastAsia"/>
        </w:rPr>
        <w:t>户</w:t>
      </w:r>
      <w:r>
        <w:t xml:space="preserve">  </w:t>
      </w:r>
      <w:r>
        <w:rPr>
          <w:rFonts w:ascii="Times New Roman" w:eastAsia="宋体" w:hAnsi="Times New Roman" w:hint="eastAsia"/>
        </w:rPr>
        <w:t>名</w:t>
      </w:r>
      <w:r>
        <w:t xml:space="preserve">:  </w:t>
      </w:r>
    </w:p>
    <w:p>
      <w:r>
        <w:rPr>
          <w:rFonts w:ascii="Times New Roman" w:eastAsia="宋体" w:hAnsi="Times New Roman" w:hint="eastAsia"/>
        </w:rPr>
        <w:t>开户行</w:t>
      </w:r>
      <w:r>
        <w:t xml:space="preserve">:  </w:t>
      </w:r>
    </w:p>
    <w:p>
      <w:r>
        <w:rPr>
          <w:rFonts w:ascii="Times New Roman" w:eastAsia="宋体" w:hAnsi="Times New Roman" w:hint="eastAsia"/>
        </w:rPr>
        <w:t>账</w:t>
      </w:r>
      <w:r>
        <w:t xml:space="preserve">  </w:t>
      </w:r>
      <w:r>
        <w:rPr>
          <w:rFonts w:ascii="Times New Roman" w:eastAsia="宋体" w:hAnsi="Times New Roman" w:hint="eastAsia"/>
        </w:rPr>
        <w:t>号</w:t>
      </w:r>
      <w:r>
        <w:t xml:space="preserve">:  </w:t>
      </w:r>
    </w:p>
    <w:p>
      <w:r>
        <w:rPr>
          <w:rFonts w:ascii="Times New Roman" w:eastAsia="宋体" w:hAnsi="Times New Roman" w:hint="eastAsia"/>
        </w:rPr>
        <w:t>乙方保证上述账户信息真实合法有效。</w:t>
      </w:r>
    </w:p>
    <w:p>
      <w:r>
        <w:rPr>
          <w:rFonts w:ascii="Times New Roman" w:eastAsia="宋体" w:hAnsi="Times New Roman" w:hint="eastAsia"/>
        </w:rPr>
        <w:t>七、</w:t>
      </w:r>
      <w:r>
        <w:tab/>
      </w:r>
      <w:r>
        <w:rPr>
          <w:rFonts w:ascii="Times New Roman" w:eastAsia="宋体" w:hAnsi="Times New Roman" w:hint="eastAsia"/>
        </w:rPr>
        <w:t>责任追究</w:t>
      </w:r>
    </w:p>
    <w:p>
      <w:r>
        <w:t>1.</w:t>
      </w:r>
      <w:r>
        <w:rPr>
          <w:rFonts w:ascii="Times New Roman" w:eastAsia="宋体" w:hAnsi="Times New Roman" w:hint="eastAsia"/>
        </w:rPr>
        <w:t>本项目内受保设备硬件出现故障后，若乙方不能及时到场处理问题，甲方保留每次以不超过合同金额</w:t>
      </w:r>
      <w:r>
        <w:t>1%</w:t>
      </w:r>
      <w:r>
        <w:rPr>
          <w:rFonts w:ascii="Times New Roman" w:eastAsia="宋体" w:hAnsi="Times New Roman" w:hint="eastAsia"/>
        </w:rPr>
        <w:t>的幅度扣减合同费用的权利；若乙方不能及时解决，且不能提供有效的应急方案，由于维保设备不可用造成甲方应用系统中断超过</w:t>
      </w:r>
      <w:r>
        <w:t>2</w:t>
      </w:r>
      <w:r>
        <w:rPr>
          <w:rFonts w:ascii="Times New Roman" w:eastAsia="宋体" w:hAnsi="Times New Roman" w:hint="eastAsia"/>
        </w:rPr>
        <w:t>小时的，甲方保留每次以不超过合同金额</w:t>
      </w:r>
      <w:r>
        <w:t xml:space="preserve"> 2%</w:t>
      </w:r>
      <w:r>
        <w:rPr>
          <w:rFonts w:ascii="Times New Roman" w:eastAsia="宋体" w:hAnsi="Times New Roman" w:hint="eastAsia"/>
        </w:rPr>
        <w:t>的幅度扣减合同费用的权利。</w:t>
      </w:r>
    </w:p>
    <w:p>
      <w:r>
        <w:t>2.</w:t>
      </w:r>
      <w:r>
        <w:rPr>
          <w:rFonts w:ascii="Times New Roman" w:eastAsia="宋体" w:hAnsi="Times New Roman" w:hint="eastAsia"/>
        </w:rPr>
        <w:t>若乙方未能按甲方要求的时间、合同约定的次数提供巡检服务，甲方保留每次以不超过合同金额</w:t>
      </w:r>
      <w:r>
        <w:t>1%</w:t>
      </w:r>
      <w:r>
        <w:rPr>
          <w:rFonts w:ascii="Times New Roman" w:eastAsia="宋体" w:hAnsi="Times New Roman" w:hint="eastAsia"/>
        </w:rPr>
        <w:t>的幅度扣减合同费用的权利；若因巡检时已存在乙方却未及时发现的问题，对甲方业务系统正常运行造成影响，甲方保留每次以不超过合同金额</w:t>
      </w:r>
      <w:r>
        <w:t>1%</w:t>
      </w:r>
      <w:r>
        <w:rPr>
          <w:rFonts w:ascii="Times New Roman" w:eastAsia="宋体" w:hAnsi="Times New Roman" w:hint="eastAsia"/>
        </w:rPr>
        <w:t>的幅度扣减合同费用的权利；如果造成业务系统中断服务则参照责任追究条款第</w:t>
      </w:r>
      <w:r>
        <w:t>1</w:t>
      </w:r>
      <w:r>
        <w:rPr>
          <w:rFonts w:ascii="Times New Roman" w:eastAsia="宋体" w:hAnsi="Times New Roman" w:hint="eastAsia"/>
        </w:rPr>
        <w:t>条处罚。</w:t>
      </w:r>
    </w:p>
    <w:p>
      <w:r>
        <w:t>3.</w:t>
      </w:r>
      <w:r>
        <w:rPr>
          <w:rFonts w:ascii="Times New Roman" w:eastAsia="宋体" w:hAnsi="Times New Roman" w:hint="eastAsia"/>
        </w:rPr>
        <w:t>如乙方违反安全责任，甲方保留每次以不超过合同总价</w:t>
      </w:r>
      <w:r>
        <w:t xml:space="preserve"> 5%</w:t>
      </w:r>
      <w:r>
        <w:rPr>
          <w:rFonts w:ascii="Times New Roman" w:eastAsia="宋体" w:hAnsi="Times New Roman" w:hint="eastAsia"/>
        </w:rPr>
        <w:t>的幅度扣减合同费用的权利。如造成甲方损失的，乙方还应赔偿损失。如乙方或乙方工作人员通过履行本合同之便利非法获取</w:t>
      </w:r>
      <w:bookmarkStart w:id="50" w:name="_Hlk148448497"/>
      <w:r>
        <w:rPr>
          <w:rFonts w:ascii="Times New Roman" w:eastAsia="宋体" w:hAnsi="Times New Roman" w:hint="eastAsia"/>
        </w:rPr>
        <w:t>甲方（或甲方相关用户）数据</w:t>
      </w:r>
      <w:bookmarkEnd w:id="50"/>
      <w:r>
        <w:rPr>
          <w:rFonts w:ascii="Times New Roman" w:eastAsia="宋体" w:hAnsi="Times New Roman" w:hint="eastAsia"/>
        </w:rPr>
        <w:t>、非法控制和操纵甲方（或甲方相关用户）设备，甲方有权解除合同，并要求乙方向甲方返还已支付的合同费用，同时乙方赔偿由此给甲方带来的所有损失，还应按合同总价款</w:t>
      </w:r>
      <w:r>
        <w:t>20%</w:t>
      </w:r>
      <w:r>
        <w:rPr>
          <w:rFonts w:ascii="Times New Roman" w:eastAsia="宋体" w:hAnsi="Times New Roman" w:hint="eastAsia"/>
        </w:rPr>
        <w:t>支付惩罚性违约金。如构成刑事犯罪，甲方还将向相应部门反映。</w:t>
      </w:r>
    </w:p>
    <w:p>
      <w:r>
        <w:t>4.</w:t>
      </w:r>
      <w:r>
        <w:rPr>
          <w:rFonts w:ascii="Times New Roman" w:eastAsia="宋体" w:hAnsi="Times New Roman" w:hint="eastAsia"/>
        </w:rPr>
        <w:t>若乙方向甲方提供维保服务中使用的软件产品带有病毒或恶意代码且未造成数据外泄等严重后果的，乙方应在</w:t>
      </w:r>
      <w:r>
        <w:t>1</w:t>
      </w:r>
      <w:r>
        <w:rPr>
          <w:rFonts w:ascii="Times New Roman" w:eastAsia="宋体" w:hAnsi="Times New Roman" w:hint="eastAsia"/>
        </w:rPr>
        <w:t>日内解决，并承担因此产生的全部费用。乙方不能在前述时间内解决，甲方自行或通过第三方解决所产生的费用由乙方承担，甲方同时保留每次以不超过合同总价</w:t>
      </w:r>
      <w:r>
        <w:t xml:space="preserve"> 2%</w:t>
      </w:r>
      <w:r>
        <w:rPr>
          <w:rFonts w:ascii="Times New Roman" w:eastAsia="宋体" w:hAnsi="Times New Roman" w:hint="eastAsia"/>
        </w:rPr>
        <w:t>的幅度扣减合同费用的权利。若乙方向甲方提供维保服务中使用的软件产品带有病毒或恶意代码并导致甲方（或甲方相关用户）数据外泄，无论该数据外泄是否对甲方造成损失或影响，甲方均有权解除合同，并要求乙方向甲方返还已支付的合同费用，同时乙方赔偿由此给甲方带来的所有损失，还应按合同总价款</w:t>
      </w:r>
      <w:r>
        <w:t>20%</w:t>
      </w:r>
      <w:r>
        <w:rPr>
          <w:rFonts w:ascii="Times New Roman" w:eastAsia="宋体" w:hAnsi="Times New Roman" w:hint="eastAsia"/>
        </w:rPr>
        <w:t>支付惩罚性违约金。</w:t>
      </w:r>
    </w:p>
    <w:p>
      <w:r>
        <w:t>5.</w:t>
      </w:r>
      <w:r>
        <w:rPr>
          <w:rFonts w:ascii="Times New Roman" w:eastAsia="宋体" w:hAnsi="Times New Roman" w:hint="eastAsia"/>
        </w:rPr>
        <w:t>前述违约金的金额可以累加，如违约金总额超过合同总价款的</w:t>
      </w:r>
      <w:r>
        <w:t>20%</w:t>
      </w:r>
      <w:r>
        <w:rPr>
          <w:rFonts w:ascii="Times New Roman" w:eastAsia="宋体" w:hAnsi="Times New Roman" w:hint="eastAsia"/>
        </w:rPr>
        <w:t>，甲方有权解除合同，并要求乙方向甲方返还已支付的合同费用，同时乙方赔偿由此给甲方带来的所有损失。</w:t>
      </w:r>
    </w:p>
    <w:p>
      <w:r>
        <w:t xml:space="preserve">6. </w:t>
      </w:r>
      <w:r>
        <w:rPr>
          <w:rFonts w:ascii="Times New Roman" w:eastAsia="宋体" w:hAnsi="Times New Roman" w:hint="eastAsia"/>
        </w:rPr>
        <w:t>如甲方未按合同规定时间支付保修服务款项，应按日向乙方支付逾期所涉金额的万分之二的违约金，最高不超过合同总价款的</w:t>
      </w:r>
      <w:r>
        <w:t>5%</w:t>
      </w:r>
      <w:r>
        <w:rPr>
          <w:rFonts w:ascii="Times New Roman" w:eastAsia="宋体" w:hAnsi="Times New Roman" w:hint="eastAsia"/>
        </w:rPr>
        <w:t>。由于甲方使用的是财政资金，甲方在约定期限内办理了财政支付申请手续即为付款，因财政审批或财政拨款未及时到位致乙方收款延迟到账，不属甲方违约情形，甲方无需承担任何责任，乙方不得以此为由怠于履行己方义务。</w:t>
      </w:r>
    </w:p>
    <w:p>
      <w:r>
        <w:rPr>
          <w:rFonts w:ascii="Times New Roman" w:eastAsia="宋体" w:hAnsi="Times New Roman" w:hint="eastAsia"/>
        </w:rPr>
        <w:t>八、</w:t>
      </w:r>
      <w:r>
        <w:tab/>
      </w:r>
      <w:r>
        <w:rPr>
          <w:rFonts w:ascii="Times New Roman" w:eastAsia="宋体" w:hAnsi="Times New Roman" w:hint="eastAsia"/>
        </w:rPr>
        <w:t>知识产权和保密</w:t>
      </w:r>
    </w:p>
    <w:p>
      <w:r>
        <w:t>1</w:t>
      </w:r>
      <w:r>
        <w:rPr>
          <w:rFonts w:ascii="Times New Roman" w:eastAsia="宋体" w:hAnsi="Times New Roman" w:hint="eastAsia"/>
        </w:rPr>
        <w:t>．本项目服务过程中所涉及的知识产权及既有成果，属原拥有者所有，不因双方本次的合作而改变。乙方根据本合同为甲方提供服务过程中形成的所有知识产权归甲方所有。</w:t>
      </w:r>
    </w:p>
    <w:p>
      <w:r>
        <w:t>2</w:t>
      </w:r>
      <w:r>
        <w:rPr>
          <w:rFonts w:ascii="Times New Roman" w:eastAsia="宋体" w:hAnsi="Times New Roman" w:hint="eastAsia"/>
        </w:rPr>
        <w:t>．本合同提及的有关信息和资料的版权属于甲方所有。</w:t>
      </w:r>
    </w:p>
    <w:p>
      <w:r>
        <w:t>3</w:t>
      </w:r>
      <w:r>
        <w:rPr>
          <w:rFonts w:ascii="Times New Roman" w:eastAsia="宋体" w:hAnsi="Times New Roman" w:hint="eastAsia"/>
        </w:rPr>
        <w:t>．乙方在项目服务期间，应遵守甲方制定的安全保密规定。乙方对因提供服务过程中所获取的甲方的所有信息和秘密承担保密义务。</w:t>
      </w:r>
    </w:p>
    <w:p>
      <w:r>
        <w:t>4</w:t>
      </w:r>
      <w:r>
        <w:rPr>
          <w:rFonts w:ascii="Times New Roman" w:eastAsia="宋体" w:hAnsi="Times New Roman" w:hint="eastAsia"/>
        </w:rPr>
        <w:t>．</w:t>
      </w:r>
      <w:r>
        <w:t xml:space="preserve"> </w:t>
      </w:r>
      <w:r>
        <w:rPr>
          <w:rFonts w:ascii="Times New Roman" w:eastAsia="宋体" w:hAnsi="Times New Roman" w:hint="eastAsia"/>
        </w:rPr>
        <w:t>合同有效期间及合同终止后，甲乙双方应对各自了解到的对方的业务信息（书面或口头的）保守机密</w:t>
      </w:r>
      <w:r>
        <w:t>,</w:t>
      </w:r>
      <w:r>
        <w:rPr>
          <w:rFonts w:ascii="Times New Roman" w:eastAsia="宋体" w:hAnsi="Times New Roman" w:hint="eastAsia"/>
        </w:rPr>
        <w:t>甲乙双方均同意遵守本协议保密原则。未经一方书面同意，另一方不得将其了解的信息向任何第三方披露，否则违约方除承担全部赔偿责任外，还应按合同总价款</w:t>
      </w:r>
      <w:r>
        <w:t>20%</w:t>
      </w:r>
      <w:r>
        <w:rPr>
          <w:rFonts w:ascii="Times New Roman" w:eastAsia="宋体" w:hAnsi="Times New Roman" w:hint="eastAsia"/>
        </w:rPr>
        <w:t>支付惩罚性违约金。如乙方违反上述保密条款，甲方可要求乙方返还甲方已支付的合同费用并承担由此给甲方带来的全部经济赔偿和支付合同总价款</w:t>
      </w:r>
      <w:r>
        <w:t>20%</w:t>
      </w:r>
      <w:r>
        <w:rPr>
          <w:rFonts w:ascii="Times New Roman" w:eastAsia="宋体" w:hAnsi="Times New Roman" w:hint="eastAsia"/>
        </w:rPr>
        <w:t>惩罚性违约金。</w:t>
      </w:r>
    </w:p>
    <w:p>
      <w:r>
        <w:rPr>
          <w:rFonts w:ascii="Times New Roman" w:eastAsia="宋体" w:hAnsi="Times New Roman" w:hint="eastAsia"/>
        </w:rPr>
        <w:t>九、</w:t>
      </w:r>
      <w:r>
        <w:tab/>
      </w:r>
      <w:r>
        <w:rPr>
          <w:rFonts w:ascii="Times New Roman" w:eastAsia="宋体" w:hAnsi="Times New Roman" w:hint="eastAsia"/>
        </w:rPr>
        <w:t>争端的解决</w:t>
      </w:r>
    </w:p>
    <w:p>
      <w:r>
        <w:rPr>
          <w:rFonts w:ascii="Times New Roman" w:eastAsia="宋体" w:hAnsi="Times New Roman" w:hint="eastAsia"/>
        </w:rPr>
        <w:t>合同执行过程中发生的任何争议，如双方不能通过友好协商解决，任何一方有权向甲方所在地人民法院提起诉讼。</w:t>
      </w:r>
    </w:p>
    <w:p>
      <w:r>
        <w:rPr>
          <w:rFonts w:ascii="Times New Roman" w:eastAsia="宋体" w:hAnsi="Times New Roman" w:hint="eastAsia"/>
        </w:rPr>
        <w:t>十、</w:t>
      </w:r>
      <w:r>
        <w:tab/>
      </w:r>
      <w:r>
        <w:rPr>
          <w:rFonts w:ascii="Times New Roman" w:eastAsia="宋体" w:hAnsi="Times New Roman" w:hint="eastAsia"/>
        </w:rPr>
        <w:t>不可抗力</w:t>
      </w:r>
    </w:p>
    <w:p>
      <w:r>
        <w:rPr>
          <w:rFonts w:ascii="Times New Roman" w:eastAsia="宋体" w:hAnsi="Times New Roman" w:hint="eastAsia"/>
        </w:rPr>
        <w:t>在合同履行期间，甲乙双方中任何一方遭受不可抗力所阻，如战争、严重水灾、洪水、台风、地震、政府有关新规定及其他双方合同认定为不可抗力事件发生而无法履约，如双方一致同意待不可抗力结束后继续履约的，则履约期限按不可抗力影响的时间作相应的延长。但若一方违约在先，不得以此后发生不可抗力为由免除其违约的责任。受不可抗力影响的一方应在事件发生后，尽快以传真、电报或电子邮件方式通知对方，并在十日内用挂号信件将有关政府部门出具的证明文件交另一方。不可抗力事件结束后也应尽快以电传或传真通知对方，并随后用挂号信加上确认。如果不可抗力时间的后果影响合同的执行超过</w:t>
      </w:r>
      <w:r>
        <w:t>60</w:t>
      </w:r>
      <w:r>
        <w:rPr>
          <w:rFonts w:ascii="Times New Roman" w:eastAsia="宋体" w:hAnsi="Times New Roman" w:hint="eastAsia"/>
        </w:rPr>
        <w:t>天，双方将举行例会并就合同的进一步执行达成新的合同。由于非人为和不可抗拒因素造成合同执行困难的情况发生时双方友好协商解决。</w:t>
      </w:r>
    </w:p>
    <w:p>
      <w:r>
        <w:rPr>
          <w:rFonts w:ascii="Times New Roman" w:eastAsia="宋体" w:hAnsi="Times New Roman" w:hint="eastAsia"/>
        </w:rPr>
        <w:t>十一、</w:t>
      </w:r>
      <w:r>
        <w:tab/>
      </w:r>
      <w:r>
        <w:rPr>
          <w:rFonts w:ascii="Times New Roman" w:eastAsia="宋体" w:hAnsi="Times New Roman" w:hint="eastAsia"/>
        </w:rPr>
        <w:t>合同的变更与终止</w:t>
      </w:r>
    </w:p>
    <w:p>
      <w:r>
        <w:t>1.</w:t>
      </w:r>
      <w:r>
        <w:rPr>
          <w:rFonts w:ascii="Times New Roman" w:eastAsia="宋体" w:hAnsi="Times New Roman" w:hint="eastAsia"/>
        </w:rPr>
        <w:t>如无重大变故，甲乙双方不得擅自变更合同。如确需变更合同，甲乙双方应签署书面变更协议。变更协议为本合同不可分割的一部分。</w:t>
      </w:r>
    </w:p>
    <w:p>
      <w:r>
        <w:t>2.</w:t>
      </w:r>
      <w:r>
        <w:rPr>
          <w:rFonts w:ascii="Times New Roman" w:eastAsia="宋体" w:hAnsi="Times New Roman" w:hint="eastAsia"/>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r>
        <w:t>3.</w:t>
      </w:r>
      <w:r>
        <w:rPr>
          <w:rFonts w:ascii="Times New Roman" w:eastAsia="宋体" w:hAnsi="Times New Roman" w:hint="eastAsia"/>
        </w:rPr>
        <w:t>合同终止时，双方应立即归还用于履行合同但所有权属对方所有的硬件、软件、资料和使用手册。</w:t>
      </w:r>
      <w:r>
        <w:t xml:space="preserve"> </w:t>
      </w:r>
    </w:p>
    <w:p>
      <w:r>
        <w:rPr>
          <w:rFonts w:ascii="Times New Roman" w:eastAsia="宋体" w:hAnsi="Times New Roman" w:hint="eastAsia"/>
        </w:rPr>
        <w:t>十二、</w:t>
      </w:r>
      <w:r>
        <w:tab/>
      </w:r>
      <w:r>
        <w:rPr>
          <w:rFonts w:ascii="Times New Roman" w:eastAsia="宋体" w:hAnsi="Times New Roman" w:hint="eastAsia"/>
        </w:rPr>
        <w:t>税费</w:t>
      </w:r>
    </w:p>
    <w:p>
      <w:r>
        <w:rPr>
          <w:rFonts w:ascii="Times New Roman" w:eastAsia="宋体" w:hAnsi="Times New Roman" w:hint="eastAsia"/>
        </w:rPr>
        <w:t>在中国境内、外发生的与本合同执行有关的一切税费均由乙方负担。</w:t>
      </w:r>
    </w:p>
    <w:p>
      <w:r>
        <w:rPr>
          <w:rFonts w:ascii="Times New Roman" w:eastAsia="宋体" w:hAnsi="Times New Roman" w:hint="eastAsia"/>
        </w:rPr>
        <w:t>十三、</w:t>
      </w:r>
      <w:r>
        <w:tab/>
      </w:r>
      <w:r>
        <w:rPr>
          <w:rFonts w:ascii="Times New Roman" w:eastAsia="宋体" w:hAnsi="Times New Roman" w:hint="eastAsia"/>
        </w:rPr>
        <w:t>其它</w:t>
      </w:r>
    </w:p>
    <w:p>
      <w:r>
        <w:t xml:space="preserve"> 1. </w:t>
      </w:r>
      <w:r>
        <w:rPr>
          <w:rFonts w:ascii="Times New Roman" w:eastAsia="宋体" w:hAnsi="Times New Roman" w:hint="eastAsia"/>
        </w:rPr>
        <w:t>本合同所有附件、采购文件、投标文件、中标通知书均为合同的有效组成部分，与本合同具有同等法律效力。</w:t>
      </w:r>
    </w:p>
    <w:p>
      <w:r>
        <w:t xml:space="preserve"> 2.</w:t>
      </w:r>
      <w:r>
        <w:rPr>
          <w:rFonts w:ascii="Times New Roman" w:eastAsia="宋体" w:hAnsi="Times New Roman" w:hint="eastAsia"/>
        </w:rPr>
        <w:t>除甲方事先书面同意外，乙方不得部分或全部转让其应履行的合同项下的义务。</w:t>
      </w:r>
    </w:p>
    <w:p>
      <w:r>
        <w:rPr>
          <w:rFonts w:ascii="Times New Roman" w:eastAsia="宋体" w:hAnsi="Times New Roman" w:hint="eastAsia"/>
        </w:rPr>
        <w:t>十四、</w:t>
      </w:r>
      <w:r>
        <w:tab/>
      </w:r>
      <w:r>
        <w:rPr>
          <w:rFonts w:ascii="Times New Roman" w:eastAsia="宋体" w:hAnsi="Times New Roman" w:hint="eastAsia"/>
        </w:rPr>
        <w:t>合同生效</w:t>
      </w:r>
    </w:p>
    <w:p>
      <w:r>
        <w:t>1.</w:t>
      </w:r>
      <w:r>
        <w:rPr>
          <w:rFonts w:ascii="Times New Roman" w:eastAsia="宋体" w:hAnsi="Times New Roman" w:hint="eastAsia"/>
        </w:rPr>
        <w:t>本合同在甲乙双方法定代表人或其授权代表签字和单位盖章后生效。</w:t>
      </w:r>
    </w:p>
    <w:p>
      <w:r>
        <w:t>2.</w:t>
      </w:r>
      <w:r>
        <w:rPr>
          <w:rFonts w:ascii="Times New Roman" w:eastAsia="宋体" w:hAnsi="Times New Roman" w:hint="eastAsia"/>
        </w:rPr>
        <w:t>合同一式柒份，双方各执叁份，采购代理机构执壹份，均具有同等法律效力。</w:t>
      </w:r>
    </w:p>
    <w:p>
      <w:r>
        <w:rPr>
          <w:rFonts w:ascii="Times New Roman" w:eastAsia="宋体" w:hAnsi="Times New Roman" w:hint="eastAsia"/>
        </w:rPr>
        <w:t>（以下无正文）</w:t>
      </w:r>
    </w:p>
    <w:p/>
    <w:p>
      <w:r>
        <w:rPr>
          <w:rFonts w:ascii="Times New Roman" w:eastAsia="宋体" w:hAnsi="Times New Roman" w:hint="eastAsia"/>
        </w:rPr>
        <w:t>甲方（盖章）：</w:t>
      </w:r>
      <w:r>
        <w:rPr>
          <w:rFonts w:ascii="Times New Roman" w:eastAsia="宋体" w:hAnsi="Times New Roman" w:hint="eastAsia"/>
          <w:spacing w:val="-30"/>
          <w:szCs w:val="21"/>
        </w:rPr>
        <w:t>全国海关信息中心广东分中心</w:t>
      </w:r>
      <w:r>
        <w:t xml:space="preserve">       </w:t>
      </w:r>
      <w:r>
        <w:rPr>
          <w:rFonts w:ascii="Times New Roman" w:eastAsia="宋体" w:hAnsi="Times New Roman" w:hint="eastAsia"/>
        </w:rPr>
        <w:t>乙方（盖章）：</w:t>
      </w:r>
    </w:p>
    <w:p>
      <w:r>
        <w:rPr>
          <w:rFonts w:ascii="Times New Roman" w:eastAsia="宋体" w:hAnsi="Times New Roman" w:hint="eastAsia"/>
        </w:rPr>
        <w:t>法定代表</w:t>
      </w:r>
      <w:r>
        <w:t>/</w:t>
      </w:r>
      <w:r>
        <w:rPr>
          <w:rFonts w:ascii="Times New Roman" w:eastAsia="宋体" w:hAnsi="Times New Roman" w:hint="eastAsia"/>
        </w:rPr>
        <w:t>授权代表（签字）：</w:t>
      </w:r>
      <w:r>
        <w:t xml:space="preserve">             </w:t>
      </w:r>
      <w:r>
        <w:rPr>
          <w:rFonts w:ascii="Times New Roman" w:eastAsia="宋体" w:hAnsi="Times New Roman" w:hint="eastAsia"/>
        </w:rPr>
        <w:t>法定代表</w:t>
      </w:r>
      <w:r>
        <w:t>/</w:t>
      </w:r>
      <w:r>
        <w:rPr>
          <w:rFonts w:ascii="Times New Roman" w:eastAsia="宋体" w:hAnsi="Times New Roman" w:hint="eastAsia"/>
        </w:rPr>
        <w:t>授权代表（签字）：</w:t>
      </w:r>
    </w:p>
    <w:p>
      <w:r>
        <w:rPr>
          <w:rFonts w:ascii="Times New Roman" w:eastAsia="宋体" w:hAnsi="Times New Roman" w:hint="eastAsia"/>
        </w:rPr>
        <w:t>日期：</w:t>
      </w:r>
      <w:r>
        <w:t xml:space="preserve">                                 </w:t>
      </w:r>
      <w:r>
        <w:rPr>
          <w:rFonts w:ascii="Times New Roman" w:eastAsia="宋体" w:hAnsi="Times New Roman" w:hint="eastAsia"/>
        </w:rPr>
        <w:t>日期：</w:t>
      </w:r>
    </w:p>
    <w:p/>
    <w:p>
      <w:pPr>
        <w:rPr>
          <w:rFonts w:ascii="Times New Roman" w:eastAsia="宋体" w:hAnsi="Times New Roman"/>
        </w:rPr>
      </w:pPr>
      <w:r>
        <w:rPr>
          <w:rFonts w:ascii="Times New Roman" w:eastAsia="宋体" w:hAnsi="Times New Roman" w:hint="eastAsia"/>
        </w:rPr>
        <w:t>附件</w:t>
      </w:r>
      <w:r>
        <w:t>1</w:t>
      </w:r>
      <w:r>
        <w:rPr>
          <w:rFonts w:ascii="Times New Roman" w:eastAsia="宋体" w:hAnsi="Times New Roman" w:hint="eastAsia"/>
        </w:rPr>
        <w:t>：服务内容及要求</w:t>
      </w:r>
    </w:p>
    <w:p>
      <w:pPr>
        <w:rPr>
          <w:b/>
          <w:bCs/>
        </w:rPr>
      </w:pPr>
      <w:r>
        <w:rPr>
          <w:rFonts w:ascii="Times New Roman" w:eastAsia="宋体" w:hAnsi="Times New Roman"/>
          <w:b/>
          <w:bCs/>
        </w:rPr>
        <w:t>附件2：相关方案</w:t>
      </w:r>
    </w:p>
    <w:p>
      <w:pPr>
        <w:spacing w:line="360" w:lineRule="auto"/>
        <w:ind w:left="420" w:right="-60" w:leftChars="200"/>
        <w:jc w:val="center"/>
        <w:rPr>
          <w:rFonts w:ascii="宋体" w:eastAsia="宋体" w:hint="eastAsia"/>
          <w:sz w:val="21"/>
          <w:szCs w:val="21"/>
        </w:rPr>
      </w:pPr>
    </w:p>
    <w:p>
      <w:pPr>
        <w:pStyle w:val="Heading1"/>
        <w:rPr>
          <w:highlight w:val="white"/>
        </w:rPr>
      </w:pPr>
      <w:bookmarkStart w:id="51" w:name="_Toc65406668"/>
      <w:bookmarkEnd w:id="49"/>
    </w:p>
    <w:p>
      <w:pPr>
        <w:pStyle w:val="Heading1"/>
        <w:jc w:val="both"/>
        <w:rPr>
          <w:highlight w:val="white"/>
        </w:rPr>
      </w:pPr>
    </w:p>
    <w:p>
      <w:pPr>
        <w:jc w:val="both"/>
      </w:pPr>
    </w:p>
    <w:p>
      <w:pPr>
        <w:jc w:val="both"/>
      </w:pPr>
    </w:p>
    <w:p>
      <w:pPr>
        <w:jc w:val="both"/>
      </w:pPr>
    </w:p>
    <w:p>
      <w:pPr>
        <w:pStyle w:val="Heading1"/>
        <w:jc w:val="both"/>
        <w:rPr>
          <w:highlight w:val="white"/>
        </w:rPr>
      </w:pPr>
    </w:p>
    <w:p>
      <w:pPr>
        <w:jc w:val="both"/>
      </w:pPr>
    </w:p>
    <w:p>
      <w:pPr>
        <w:jc w:val="both"/>
      </w:pPr>
    </w:p>
    <w:p>
      <w:pPr>
        <w:jc w:val="both"/>
      </w:pPr>
    </w:p>
    <w:p>
      <w:pPr>
        <w:pStyle w:val="Heading1"/>
        <w:rPr>
          <w:rFonts w:hint="eastAsia"/>
          <w:highlight w:val="white"/>
        </w:rPr>
      </w:pPr>
      <w:r>
        <w:rPr>
          <w:rFonts w:hint="eastAsia"/>
          <w:highlight w:val="white"/>
        </w:rPr>
        <w:t>第六部分  投标文件格式</w:t>
      </w:r>
      <w:bookmarkEnd w:id="51"/>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2"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3" w:name="_Ref462505451"/>
      <w:bookmarkStart w:id="54"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3"/>
      <w:bookmarkEnd w:id="54"/>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5" w:name="_Toc499068169"/>
      <w:bookmarkStart w:id="56" w:name="_Toc485990833"/>
      <w:bookmarkStart w:id="57" w:name="_Toc46196323"/>
      <w:r>
        <w:rPr>
          <w:rFonts w:ascii="宋体" w:eastAsia="宋体" w:hint="eastAsia"/>
          <w:szCs w:val="32"/>
          <w:lang w:eastAsia="zh-CN"/>
        </w:rPr>
        <w:t>投标函</w:t>
      </w:r>
      <w:bookmarkEnd w:id="55"/>
      <w:bookmarkEnd w:id="56"/>
      <w:bookmarkEnd w:id="57"/>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8" w:name="_Toc499068185"/>
      <w:bookmarkStart w:id="59" w:name="_Toc485990851"/>
      <w:r>
        <w:rPr>
          <w:rFonts w:ascii="宋体" w:eastAsia="宋体" w:hint="eastAsia"/>
          <w:szCs w:val="32"/>
          <w:lang w:eastAsia="zh-CN"/>
        </w:rPr>
        <w:t>技术偏离表</w:t>
      </w:r>
      <w:bookmarkEnd w:id="58"/>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59"/>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0" w:name="_Toc499068185_0"/>
      <w:r>
        <w:rPr>
          <w:rFonts w:ascii="宋体" w:eastAsia="宋体" w:hint="eastAsia"/>
          <w:szCs w:val="32"/>
          <w:lang w:eastAsia="zh-CN"/>
        </w:rPr>
        <w:t>技术偏离表</w:t>
      </w:r>
      <w:bookmarkEnd w:id="60"/>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个月任意1个月的缴纳社保证明（未提供的不予认定）</w:t>
      </w:r>
      <w:r>
        <w:rPr>
          <w:rFonts w:ascii="宋体"/>
          <w:color w:val="000000"/>
          <w:sz w:val="22"/>
        </w:rPr>
        <w:t>。</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2"/>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Calibri">
    <w:altName w:val="Times New Roman"/>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仿宋_GBK">
    <w:altName w:val="宋体"/>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永中仿宋"/>
    <w:panose1 w:val="02010609060101010101"/>
    <w:charset w:val="86"/>
    <w:family w:val="modern"/>
    <w:pitch w:val="variable"/>
    <w:sig w:usb0="800002BF" w:usb1="38CF7CFA" w:usb2="00000016" w:usb3="00000000" w:csb0="00040001" w:csb1="00000000"/>
  </w:font>
  <w:font w:name="黑体">
    <w:altName w:val="宋体"/>
    <w:panose1 w:val="02010609060101010101"/>
    <w:charset w:val="86"/>
    <w:family w:val="modern"/>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modern"/>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DejaVu Sans">
    <w:altName w:val="Segoe Script"/>
    <w:panose1 w:val="00000000000000000000"/>
    <w:charset w:val="00"/>
    <w:family w:val="auto"/>
    <w:pitch w:val="variable"/>
    <w:sig w:usb0="00000000" w:usb1="00000000" w:usb2="00000000" w:usb3="00000000" w:csb0="00000000"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rP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Style w:val="PageNumber"/>
        <w:rFonts w:ascii="Batang" w:eastAsia="Batang" w:hint="eastAsia"/>
        <w:sz w:val="28"/>
        <w:szCs w:val="28"/>
      </w:rPr>
      <w:fldChar w:fldCharType="separate"/>
    </w:r>
    <w:r>
      <w:rPr>
        <w:rStyle w:val="PageNumber"/>
        <w:rFonts w:ascii="Batang" w:eastAsia="Batang" w:hint="eastAsia"/>
        <w:sz w:val="28"/>
        <w:szCs w:val="28"/>
      </w:rPr>
      <w:t>1</w:t>
    </w:r>
    <w:r>
      <w:rPr>
        <w:rStyle w:val="PageNumber"/>
        <w:rFonts w:ascii="Batang" w:eastAsia="Batang" w:hint="eastAsia"/>
        <w:sz w:val="28"/>
        <w:szCs w:val="28"/>
      </w:rPr>
      <w:fldChar w:fldCharType="end"/>
    </w:r>
  </w:p>
  <w:p>
    <w:pPr>
      <w:pStyle w:val="237"/>
      <w:tabs>
        <w:tab w:val="center" w:pos="4153"/>
        <w:tab w:val="right" w:pos="8306"/>
      </w:tabs>
      <w:ind w:right="360"/>
      <w:jc w:val="center"/>
      <w:rPr>
        <w:rFonts w:ascii="Batang" w:eastAsia="Batang" w:hint="eastAsia"/>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E7D80A5"/>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4">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5">
    <w:nsid w:val="00000008"/>
    <w:multiLevelType w:val="singleLevel"/>
    <w:tmpl w:val="00000000"/>
    <w:lvl w:ilvl="0">
      <w:start w:val="1"/>
      <w:numFmt w:val="decimal"/>
      <w:lvlText w:val="%1."/>
      <w:lvlJc w:val="left"/>
      <w:pPr>
        <w:tabs>
          <w:tab w:val="num" w:pos="1200"/>
        </w:tabs>
        <w:ind w:left="1200" w:hanging="360"/>
      </w:pPr>
    </w:lvl>
  </w:abstractNum>
  <w:abstractNum w:abstractNumId="6">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8">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0">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3">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6">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7">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8">
    <w:nsid w:val="1BA4C287"/>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19">
    <w:nsid w:val="2B6E6CA4"/>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1">
    <w:nsid w:val="497302E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3">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num w:numId="1">
    <w:abstractNumId w:val="0"/>
  </w:num>
  <w:num w:numId="2">
    <w:abstractNumId w:val="23"/>
  </w:num>
  <w:num w:numId="3">
    <w:abstractNumId w:val="18"/>
  </w:num>
  <w:num w:numId="4">
    <w:abstractNumId w:val="19"/>
  </w:num>
  <w:num w:numId="5">
    <w:abstractNumId w:val="21"/>
  </w:num>
  <w:num w:numId="6">
    <w:abstractNumId w:val="4"/>
  </w:num>
  <w:num w:numId="7">
    <w:abstractNumId w:val="5"/>
  </w:num>
  <w:num w:numId="8">
    <w:abstractNumId w:val="6"/>
  </w:num>
  <w:num w:numId="9">
    <w:abstractNumId w:val="7"/>
  </w:num>
  <w:num w:numId="10">
    <w:abstractNumId w:val="17"/>
  </w:num>
  <w:num w:numId="11">
    <w:abstractNumId w:val="3"/>
  </w:num>
  <w:num w:numId="12">
    <w:abstractNumId w:val="1"/>
  </w:num>
  <w:num w:numId="13">
    <w:abstractNumId w:val="20"/>
  </w:num>
  <w:num w:numId="14">
    <w:abstractNumId w:val="8"/>
  </w:num>
  <w:num w:numId="15">
    <w:abstractNumId w:val="9"/>
  </w:num>
  <w:num w:numId="16">
    <w:abstractNumId w:val="10"/>
  </w:num>
  <w:num w:numId="17">
    <w:abstractNumId w:val="2"/>
  </w:num>
  <w:num w:numId="18">
    <w:abstractNumId w:val="11"/>
  </w:num>
  <w:num w:numId="19">
    <w:abstractNumId w:val="12"/>
  </w:num>
  <w:num w:numId="20">
    <w:abstractNumId w:val="22"/>
  </w:num>
  <w:num w:numId="21">
    <w:abstractNumId w:val="13"/>
  </w:num>
  <w:num w:numId="22">
    <w:abstractNumId w:val="14"/>
  </w:num>
  <w:num w:numId="23">
    <w:abstractNumId w:val="15"/>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6"/>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next w:val="ListBullet5"/>
    <w:pPr>
      <w:widowControl w:val="0"/>
      <w:spacing w:line="360" w:lineRule="auto"/>
      <w:ind w:firstLine="480"/>
      <w:jc w:val="left"/>
    </w:pPr>
    <w:rPr>
      <w:rFonts w:ascii="Calibri" w:eastAsia="Calibri" w:hAnsi="Calibri" w:cs="Calibri"/>
      <w:sz w:val="24"/>
      <w:szCs w:val="24"/>
      <w:lang w:val="en-US" w:eastAsia="zh-CN"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TOC8"/>
    <w:pPr>
      <w:widowControl w:val="0"/>
      <w:spacing w:line="360" w:lineRule="auto"/>
      <w:ind w:firstLine="480"/>
    </w:pPr>
    <w:rPr>
      <w:rFonts w:ascii="Calibri" w:eastAsia="Calibri" w:hAnsi="Calibri" w:cs="Calibri"/>
      <w:b/>
      <w:sz w:val="24"/>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154810"/>
    <w:link w:val="97Char"/>
    <w:pPr>
      <w:widowControl w:val="0"/>
      <w:spacing w:line="360" w:lineRule="auto"/>
      <w:ind w:firstLine="480"/>
      <w:jc w:val="both"/>
    </w:pPr>
    <w:rPr>
      <w:rFonts w:ascii="Calibri" w:eastAsia="Calibri" w:hAnsi="Calibri" w:cs="Calibri"/>
      <w:sz w:val="24"/>
      <w:szCs w:val="24"/>
      <w:lang w:val="en-US" w:eastAsia="zh-CN" w:bidi="ar-SA"/>
    </w:rPr>
  </w:style>
  <w:style w:type="character" w:customStyle="1" w:styleId="97Char">
    <w:name w:val="样式 97 小四 Char"/>
    <w:basedOn w:val="DefaultParagraphFont"/>
    <w:link w:val="97"/>
    <w:rPr>
      <w:rFonts w:ascii="Calibri" w:eastAsia="Calibri" w:hAnsi="Calibri" w:cs="Calibri"/>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9"/>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1"/>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4"/>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5"/>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6"/>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7"/>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5"/>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18"/>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19"/>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9"/>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next w:val="CharChar3"/>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2"/>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3"/>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4"/>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3601">
    <w:name w:val="样式 36 小四_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812">
    <w:name w:val="样式 1 8 磅"/>
    <w:pPr>
      <w:widowControl w:val="0"/>
      <w:spacing w:after="120"/>
      <w:jc w:val="both"/>
    </w:pPr>
    <w:rPr>
      <w:rFonts w:ascii="Times New Roman" w:eastAsia="宋体" w:hAnsi="Times New Roman" w:cs="Times New Roman"/>
      <w:kern w:val="2"/>
      <w:sz w:val="16"/>
      <w:szCs w:val="16"/>
      <w:lang w:val="en-US" w:eastAsia="en-US" w:bidi="ar-SA"/>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 w:type="paragraph" w:customStyle="1" w:styleId="201810">
    <w:name w:val="样式 2018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14093802</TotalTime>
  <Pages>63</Pages>
  <Words>33193</Words>
  <Characters>39680</Characters>
  <Application>Microsoft Office Word</Application>
  <DocSecurity>0</DocSecurity>
  <Lines>3222</Lines>
  <Paragraphs>1768</Paragraphs>
  <ScaleCrop>false</ScaleCrop>
  <Company>ms</Company>
  <LinksUpToDate>false</LinksUpToDate>
  <CharactersWithSpaces>41442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2024-06-28T07:39:01Z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