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bookmarkStart w:id="0" w:name="_GoBack"/>
      <w:bookmarkEnd w:id="0"/>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1" w:name="封面_projectNo_1"/>
      <w:r>
        <w:rPr>
          <w:rFonts w:ascii="宋体" w:hint="eastAsia"/>
          <w:color w:val="0000FF"/>
          <w:sz w:val="32"/>
        </w:rPr>
        <w:t>CG2024-WT-GK-FW-065</w:t>
      </w:r>
      <w:bookmarkEnd w:id="1"/>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2" w:name="封面_projectName"/>
      <w:r>
        <w:rPr>
          <w:rFonts w:ascii="宋体" w:hint="eastAsia"/>
          <w:color w:val="0000FF"/>
          <w:sz w:val="32"/>
          <w:lang w:val="en-US" w:eastAsia="zh-CN"/>
        </w:rPr>
        <w:t>大连海关2024年“智慧关税”部分功能软件开发服务采购项目</w:t>
      </w:r>
      <w:bookmarkEnd w:id="2"/>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3" w:name="封面_createTime_ym"/>
      <w:r>
        <w:rPr>
          <w:rFonts w:ascii="宋体" w:hint="eastAsia"/>
          <w:b/>
          <w:bCs/>
          <w:color w:val="0000FF"/>
          <w:sz w:val="32"/>
          <w:szCs w:val="32"/>
        </w:rPr>
        <w:t>2024年10月</w:t>
      </w:r>
      <w:bookmarkEnd w:id="3"/>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110</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114</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123</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4" w:name="_Toc65406663"/>
      <w:r>
        <w:rPr>
          <w:rFonts w:hint="eastAsia"/>
          <w:highlight w:val="white"/>
        </w:rPr>
        <w:t>第一部分  招标公告</w:t>
      </w:r>
      <w:bookmarkEnd w:id="4"/>
    </w:p>
    <w:p>
      <w:pPr>
        <w:autoSpaceDN w:val="0"/>
        <w:spacing w:line="360" w:lineRule="auto"/>
        <w:ind w:firstLine="480"/>
        <w:rPr>
          <w:rFonts w:ascii="宋体" w:hint="eastAsia"/>
          <w:sz w:val="24"/>
        </w:rPr>
      </w:pPr>
      <w:bookmarkStart w:id="5" w:name="采购公告_ZBGG"/>
      <w:r>
        <w:rPr>
          <w:rFonts w:ascii="宋体" w:hint="eastAsia"/>
          <w:sz w:val="24"/>
        </w:rPr>
        <w:t>海关总署物资装备采购中心就“</w:t>
      </w:r>
      <w:bookmarkStart w:id="6" w:name="项目_projectName_2"/>
      <w:r>
        <w:rPr>
          <w:rFonts w:ascii="宋体" w:hint="eastAsia"/>
          <w:b/>
          <w:bCs/>
          <w:color w:val="0000FF"/>
          <w:sz w:val="24"/>
        </w:rPr>
        <w:t>大连海关2024年“智慧关税”部分功能软件开发服务采购项目</w:t>
      </w:r>
      <w:bookmarkEnd w:id="6"/>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7" w:name="项目_projectNo"/>
      <w:r>
        <w:rPr>
          <w:rFonts w:ascii="宋体" w:hint="eastAsia"/>
          <w:b/>
          <w:bCs/>
          <w:color w:val="0000FF"/>
          <w:sz w:val="24"/>
          <w:lang w:val="en-US" w:eastAsia="zh-CN"/>
        </w:rPr>
        <w:t>CG2024-WT-GK-FW-065</w:t>
      </w:r>
      <w:bookmarkEnd w:id="7"/>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8" w:name="项目_projectName_3"/>
      <w:r>
        <w:rPr>
          <w:rFonts w:ascii="宋体" w:hint="eastAsia"/>
          <w:b/>
          <w:bCs/>
          <w:color w:val="0000FF"/>
          <w:sz w:val="24"/>
        </w:rPr>
        <w:t>大连海关2024年“智慧关税”部分功能软件开发服务采购项目</w:t>
      </w:r>
      <w:bookmarkEnd w:id="8"/>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9" w:name="项目预算和包件预算_0"/>
      <w:r>
        <w:rPr>
          <w:rFonts w:ascii="宋体" w:hint="eastAsia"/>
          <w:b/>
          <w:bCs/>
          <w:color w:val="0000FF"/>
          <w:sz w:val="24"/>
        </w:rPr>
        <w:t>本项目预算金额合计总金额人民币5,810,000.00元，其中包1人民币4,600,000.00元，包2人民币1,210,000.00元。</w:t>
      </w:r>
      <w:bookmarkEnd w:id="9"/>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7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593"/>
        <w:gridCol w:w="525"/>
        <w:gridCol w:w="2520"/>
        <w:gridCol w:w="735"/>
        <w:gridCol w:w="712"/>
      </w:tblGrid>
      <w:tr>
        <w:tblPrEx>
          <w:tblW w:w="7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jc w:val="center"/>
              <w:rPr>
                <w:rFonts w:ascii="宋体"/>
                <w:b/>
                <w:bCs/>
                <w:color w:val="000000"/>
                <w:sz w:val="24"/>
                <w:highlight w:val="white"/>
              </w:rPr>
            </w:pPr>
            <w:r>
              <w:rPr>
                <w:rFonts w:ascii="宋体"/>
                <w:b/>
                <w:bCs/>
                <w:color w:val="000000"/>
                <w:sz w:val="24"/>
                <w:highlight w:val="white"/>
              </w:rPr>
              <w:t>包件号</w:t>
            </w:r>
          </w:p>
        </w:tc>
        <w:tc>
          <w:tcPr>
            <w:tcW w:w="748" w:type="dxa"/>
            <w:vAlign w:val="center"/>
          </w:tcPr>
          <w:p>
            <w:pPr>
              <w:pStyle w:val="1100"/>
              <w:spacing w:after="120" w:line="240" w:lineRule="auto"/>
              <w:jc w:val="center"/>
              <w:rPr>
                <w:rFonts w:ascii="宋体"/>
                <w:b/>
                <w:bCs/>
                <w:color w:val="000000"/>
                <w:sz w:val="24"/>
                <w:highlight w:val="white"/>
              </w:rPr>
            </w:pPr>
            <w:r>
              <w:rPr>
                <w:rFonts w:ascii="宋体"/>
                <w:b/>
                <w:bCs/>
                <w:color w:val="000000"/>
                <w:sz w:val="24"/>
                <w:highlight w:val="white"/>
              </w:rPr>
              <w:t>序号</w:t>
            </w:r>
          </w:p>
        </w:tc>
        <w:tc>
          <w:tcPr>
            <w:tcW w:w="1593" w:type="dxa"/>
            <w:vAlign w:val="center"/>
          </w:tcPr>
          <w:p>
            <w:pPr>
              <w:pStyle w:val="2100"/>
              <w:spacing w:after="120" w:line="240" w:lineRule="auto"/>
              <w:jc w:val="center"/>
              <w:rPr>
                <w:rFonts w:ascii="宋体"/>
                <w:b/>
                <w:bCs/>
                <w:color w:val="000000"/>
                <w:sz w:val="24"/>
                <w:highlight w:val="white"/>
              </w:rPr>
            </w:pPr>
            <w:r>
              <w:rPr>
                <w:rFonts w:ascii="宋体" w:hint="eastAsia"/>
                <w:b/>
                <w:bCs/>
                <w:color w:val="000000"/>
                <w:sz w:val="24"/>
                <w:szCs w:val="24"/>
                <w:highlight w:val="white"/>
                <w:lang w:val="en-US" w:eastAsia="zh-CN"/>
              </w:rPr>
              <w:t>服务内容</w:t>
            </w:r>
          </w:p>
        </w:tc>
        <w:tc>
          <w:tcPr>
            <w:tcW w:w="525" w:type="dxa"/>
            <w:vAlign w:val="center"/>
          </w:tcPr>
          <w:p>
            <w:pPr>
              <w:pStyle w:val="3100"/>
              <w:spacing w:after="120" w:line="240" w:lineRule="auto"/>
              <w:jc w:val="center"/>
              <w:rPr>
                <w:rFonts w:ascii="宋体"/>
                <w:b/>
                <w:bCs/>
                <w:color w:val="000000"/>
                <w:sz w:val="24"/>
                <w:highlight w:val="white"/>
              </w:rPr>
            </w:pPr>
            <w:r>
              <w:rPr>
                <w:rFonts w:ascii="宋体"/>
                <w:b/>
                <w:bCs/>
                <w:color w:val="000000"/>
                <w:sz w:val="24"/>
                <w:highlight w:val="white"/>
              </w:rPr>
              <w:t>数量</w:t>
            </w:r>
          </w:p>
        </w:tc>
        <w:tc>
          <w:tcPr>
            <w:tcW w:w="2520" w:type="dxa"/>
            <w:vAlign w:val="center"/>
          </w:tcPr>
          <w:p>
            <w:pPr>
              <w:pStyle w:val="4100"/>
              <w:spacing w:after="120" w:line="240" w:lineRule="auto"/>
              <w:jc w:val="center"/>
              <w:rPr>
                <w:rFonts w:ascii="宋体"/>
                <w:b/>
                <w:bCs/>
                <w:color w:val="000000"/>
                <w:sz w:val="24"/>
                <w:highlight w:val="white"/>
              </w:rPr>
            </w:pPr>
            <w:r>
              <w:rPr>
                <w:rFonts w:ascii="宋体" w:hint="eastAsia"/>
                <w:b/>
                <w:bCs/>
                <w:color w:val="000000"/>
                <w:sz w:val="24"/>
                <w:highlight w:val="white"/>
                <w:lang w:val="en-US" w:eastAsia="zh-CN"/>
              </w:rPr>
              <w:t>服务完成时间及节点要求</w:t>
            </w:r>
          </w:p>
        </w:tc>
        <w:tc>
          <w:tcPr>
            <w:tcW w:w="735" w:type="dxa"/>
            <w:vAlign w:val="center"/>
          </w:tcPr>
          <w:p>
            <w:pPr>
              <w:pStyle w:val="5100"/>
              <w:spacing w:after="120" w:line="240" w:lineRule="auto"/>
              <w:jc w:val="center"/>
              <w:rPr>
                <w:rFonts w:ascii="宋体"/>
                <w:b/>
                <w:bCs/>
                <w:color w:val="000000"/>
                <w:sz w:val="24"/>
                <w:highlight w:val="white"/>
              </w:rPr>
            </w:pPr>
            <w:r>
              <w:rPr>
                <w:rFonts w:ascii="宋体" w:hint="eastAsia"/>
                <w:b/>
                <w:bCs/>
                <w:color w:val="000000"/>
                <w:sz w:val="24"/>
                <w:highlight w:val="white"/>
                <w:lang w:val="en-US" w:eastAsia="zh-CN"/>
              </w:rPr>
              <w:t>服务</w:t>
            </w:r>
            <w:r>
              <w:rPr>
                <w:rFonts w:ascii="宋体"/>
                <w:b/>
                <w:bCs/>
                <w:color w:val="000000"/>
                <w:sz w:val="24"/>
                <w:highlight w:val="white"/>
              </w:rPr>
              <w:t>地点</w:t>
            </w:r>
          </w:p>
        </w:tc>
        <w:tc>
          <w:tcPr>
            <w:tcW w:w="712" w:type="dxa"/>
            <w:vAlign w:val="center"/>
          </w:tcPr>
          <w:p>
            <w:pPr>
              <w:pStyle w:val="6102"/>
              <w:spacing w:after="120" w:line="240" w:lineRule="auto"/>
              <w:jc w:val="center"/>
              <w:rPr>
                <w:rFonts w:ascii="宋体" w:hint="eastAsia"/>
                <w:b/>
                <w:bCs/>
                <w:color w:val="000000"/>
                <w:sz w:val="24"/>
                <w:highlight w:val="white"/>
              </w:rPr>
            </w:pPr>
            <w:r>
              <w:rPr>
                <w:rFonts w:ascii="宋体" w:hint="eastAsia"/>
                <w:b/>
                <w:bCs/>
                <w:color w:val="000000"/>
                <w:sz w:val="24"/>
                <w:szCs w:val="24"/>
                <w:highlight w:val="white"/>
                <w:lang w:val="en-US" w:eastAsia="zh-CN"/>
              </w:rPr>
              <w:t>服务要求</w:t>
            </w:r>
          </w:p>
        </w:tc>
      </w:tr>
      <w:tr>
        <w:tblPrEx>
          <w:tblW w:w="7818"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1593" w:type="dxa"/>
            <w:vAlign w:val="center"/>
          </w:tcPr>
          <w:p>
            <w:pPr>
              <w:spacing w:after="120" w:line="240" w:lineRule="auto"/>
              <w:jc w:val="center"/>
              <w:rPr>
                <w:rFonts w:ascii="宋体"/>
                <w:b/>
                <w:color w:val="0000FF"/>
                <w:sz w:val="24"/>
                <w:highlight w:val="white"/>
              </w:rPr>
            </w:pPr>
            <w:r>
              <w:t>税收风险大数据智能筛查（“数智筛”）二期升级改造项目</w:t>
            </w:r>
          </w:p>
        </w:tc>
        <w:tc>
          <w:tcPr>
            <w:tcW w:w="525" w:type="dxa"/>
            <w:vAlign w:val="center"/>
          </w:tcPr>
          <w:p>
            <w:pPr>
              <w:spacing w:after="120" w:line="240" w:lineRule="auto"/>
              <w:jc w:val="center"/>
              <w:rPr>
                <w:rFonts w:ascii="宋体"/>
                <w:b/>
                <w:color w:val="0000FF"/>
                <w:sz w:val="24"/>
                <w:highlight w:val="white"/>
              </w:rPr>
            </w:pPr>
            <w:r>
              <w:t>1</w:t>
            </w:r>
          </w:p>
        </w:tc>
        <w:tc>
          <w:tcPr>
            <w:tcW w:w="2520" w:type="dxa"/>
            <w:vMerge w:val="restart"/>
            <w:vAlign w:val="center"/>
          </w:tcPr>
          <w:p>
            <w:pPr>
              <w:spacing w:after="120" w:line="240" w:lineRule="auto"/>
              <w:jc w:val="center"/>
            </w:pPr>
            <w:r>
              <w:t>包件1：自合同签订之日起10个月内。</w:t>
            </w:r>
          </w:p>
          <w:p>
            <w:pPr>
              <w:spacing w:after="120" w:line="240" w:lineRule="auto"/>
              <w:jc w:val="center"/>
              <w:rPr>
                <w:rFonts w:ascii="宋体"/>
                <w:b/>
                <w:color w:val="0000FF"/>
                <w:sz w:val="24"/>
                <w:highlight w:val="white"/>
              </w:rPr>
            </w:pPr>
            <w:r>
              <w:t>包件2：自合同签订之日起8个月内，基于海关的技术开发框架，完成系统的需求分析、设计、开发、联调测试、部署上线、试运行等工作。</w:t>
            </w:r>
          </w:p>
        </w:tc>
        <w:tc>
          <w:tcPr>
            <w:tcW w:w="735" w:type="dxa"/>
            <w:vMerge w:val="restart"/>
            <w:vAlign w:val="center"/>
          </w:tcPr>
          <w:p>
            <w:pPr>
              <w:spacing w:after="120" w:line="240" w:lineRule="auto"/>
              <w:jc w:val="center"/>
              <w:rPr>
                <w:rFonts w:ascii="宋体"/>
                <w:b/>
                <w:color w:val="0000FF"/>
                <w:sz w:val="24"/>
                <w:highlight w:val="white"/>
              </w:rPr>
            </w:pPr>
            <w:r>
              <w:t>海关指定地点</w:t>
            </w:r>
          </w:p>
        </w:tc>
        <w:tc>
          <w:tcPr>
            <w:tcW w:w="712" w:type="dxa"/>
            <w:vMerge w:val="restart"/>
            <w:vAlign w:val="center"/>
          </w:tcPr>
          <w:p>
            <w:pPr>
              <w:spacing w:after="120" w:line="240" w:lineRule="auto"/>
              <w:jc w:val="center"/>
              <w:rPr>
                <w:rFonts w:ascii="宋体" w:hint="eastAsia"/>
                <w:b/>
                <w:color w:val="0000FF"/>
                <w:sz w:val="24"/>
                <w:highlight w:val="white"/>
              </w:rPr>
            </w:pPr>
            <w:r>
              <w:t>详见项目需求书</w:t>
            </w:r>
          </w:p>
        </w:tc>
      </w:tr>
      <w:tr>
        <w:tblPrEx>
          <w:tblW w:w="7818"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包件2</w:t>
            </w:r>
          </w:p>
        </w:tc>
        <w:tc>
          <w:tcPr>
            <w:tcW w:w="748" w:type="dxa"/>
          </w:tcPr>
          <w:p>
            <w:pPr>
              <w:spacing w:after="120" w:line="240" w:lineRule="auto"/>
              <w:rPr>
                <w:rFonts w:ascii="宋体"/>
                <w:b/>
                <w:color w:val="0000FF"/>
                <w:sz w:val="24"/>
                <w:highlight w:val="white"/>
              </w:rPr>
            </w:pPr>
            <w:r>
              <w:t>1</w:t>
            </w:r>
          </w:p>
        </w:tc>
        <w:tc>
          <w:tcPr>
            <w:tcW w:w="1593" w:type="dxa"/>
          </w:tcPr>
          <w:p>
            <w:pPr>
              <w:spacing w:after="120" w:line="240" w:lineRule="auto"/>
              <w:rPr>
                <w:rFonts w:ascii="宋体"/>
                <w:b/>
                <w:color w:val="0000FF"/>
                <w:sz w:val="24"/>
                <w:highlight w:val="white"/>
              </w:rPr>
            </w:pPr>
            <w:r>
              <w:t>海关进出口商品涉税要素规范申报智能管理项目</w:t>
            </w:r>
          </w:p>
        </w:tc>
        <w:tc>
          <w:tcPr>
            <w:tcW w:w="525" w:type="dxa"/>
          </w:tcPr>
          <w:p>
            <w:pPr>
              <w:spacing w:after="120" w:line="240" w:lineRule="auto"/>
              <w:rPr>
                <w:rFonts w:ascii="宋体"/>
                <w:b/>
                <w:color w:val="0000FF"/>
                <w:sz w:val="24"/>
                <w:highlight w:val="white"/>
              </w:rPr>
            </w:pPr>
            <w:r>
              <w:t>1</w:t>
            </w:r>
          </w:p>
        </w:tc>
        <w:tc>
          <w:tcPr>
            <w:tcW w:w="0" w:type="dxa"/>
            <w:vMerge/>
            <w:vAlign w:val="center"/>
          </w:tcPr>
          <w:p/>
        </w:tc>
        <w:tc>
          <w:tcPr>
            <w:tcW w:w="0" w:type="dxa"/>
            <w:vMerge/>
            <w:vAlign w:val="center"/>
          </w:tcPr>
          <w:p/>
        </w:tc>
        <w:tc>
          <w:tcPr>
            <w:tcW w:w="0" w:type="dxa"/>
            <w:vMerge/>
            <w:vAlign w:val="center"/>
          </w:tcPr>
          <w:p/>
        </w:tc>
      </w:tr>
    </w:tbl>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0" w:name="公告_industryType_0"/>
      <w:r>
        <w:rPr>
          <w:rFonts w:ascii="宋体" w:hint="eastAsia"/>
          <w:b/>
          <w:bCs/>
          <w:color w:val="0000FF"/>
          <w:sz w:val="24"/>
          <w:highlight w:val="none"/>
        </w:rPr>
        <w:t xml:space="preserve">软件和信息技术服务业 </w:t>
      </w:r>
      <w:bookmarkEnd w:id="10"/>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1"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3.评审时将按照第1包、第2包次序进行评标。一家投标人可以对其中一个包或两个包进行投标，但只能中其中1包。若投标人成为第1包的第一中标候选人，则该投标人不能成为第2包的第一中标候选人，第2包第一中标候选人按得分排序顺延。</w:t>
      </w:r>
      <w:bookmarkEnd w:id="11"/>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2"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line="360" w:lineRule="auto"/>
        <w:ind w:firstLine="480"/>
        <w:rPr>
          <w:rFonts w:ascii="宋体" w:hint="eastAsia"/>
          <w:b/>
          <w:bCs/>
          <w:color w:val="0000FF"/>
          <w:sz w:val="24"/>
        </w:rPr>
      </w:pPr>
      <w:r>
        <w:rPr>
          <w:rFonts w:ascii="宋体" w:hint="eastAsia"/>
          <w:b/>
          <w:bCs/>
          <w:color w:val="0000FF"/>
          <w:sz w:val="24"/>
        </w:rPr>
        <w:t>（3）本项目专门面向中小企业。</w:t>
      </w:r>
      <w:bookmarkEnd w:id="12"/>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3" w:name="公告_signUpFirstTime"/>
      <w:r>
        <w:rPr>
          <w:rFonts w:ascii="宋体" w:hint="eastAsia"/>
          <w:sz w:val="24"/>
        </w:rPr>
        <w:t>2024-11-15 00:00:00</w:t>
      </w:r>
      <w:bookmarkEnd w:id="13"/>
      <w:r>
        <w:rPr>
          <w:rFonts w:ascii="宋体" w:hint="eastAsia"/>
          <w:sz w:val="24"/>
        </w:rPr>
        <w:t>至</w:t>
      </w:r>
      <w:bookmarkStart w:id="14" w:name="公告_signUpLastTime"/>
      <w:r>
        <w:rPr>
          <w:rFonts w:ascii="宋体" w:hint="eastAsia"/>
          <w:sz w:val="24"/>
        </w:rPr>
        <w:t>2024-11-22 23:59:59</w:t>
      </w:r>
      <w:bookmarkEnd w:id="14"/>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5" w:name="项目公告_bidLastTime_1"/>
      <w:r>
        <w:rPr>
          <w:rFonts w:ascii="宋体" w:hint="eastAsia"/>
          <w:sz w:val="24"/>
        </w:rPr>
        <w:t>2024-12-12 08:30:00</w:t>
      </w:r>
      <w:bookmarkEnd w:id="15"/>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6" w:name="项目公告_openBidTime"/>
      <w:r>
        <w:rPr>
          <w:rFonts w:ascii="宋体" w:hint="eastAsia"/>
          <w:b/>
          <w:bCs/>
          <w:sz w:val="24"/>
        </w:rPr>
        <w:t>2024-12-12 08:30:00</w:t>
      </w:r>
      <w:bookmarkEnd w:id="16"/>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7"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7"/>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8" w:name="公告_siteSurvey"/>
      <w:r>
        <w:rPr>
          <w:rFonts w:ascii="Wingdings 2" w:hAnsi="Wingdings 2"/>
          <w:b/>
          <w:color w:val="0000FF"/>
          <w:sz w:val="24"/>
          <w:highlight w:val="white"/>
        </w:rPr>
        <w:t>不适用</w:t>
      </w:r>
      <w:bookmarkEnd w:id="18"/>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9" w:name="任务单_publicDate"/>
      <w:r>
        <w:rPr>
          <w:rFonts w:ascii="宋体" w:hint="eastAsia"/>
          <w:b/>
          <w:sz w:val="24"/>
          <w:highlight w:val="white"/>
        </w:rPr>
        <w:t>于2024-08-05</w:t>
      </w:r>
      <w:bookmarkEnd w:id="19"/>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5"/>
    </w:p>
    <w:p>
      <w:pPr>
        <w:pStyle w:val="Heading1"/>
        <w:rPr>
          <w:highlight w:val="white"/>
        </w:rPr>
      </w:pPr>
      <w:r>
        <w:rPr>
          <w:rFonts w:hint="eastAsia"/>
          <w:highlight w:val="white"/>
        </w:rPr>
        <w:br w:type="page"/>
      </w:r>
      <w:bookmarkStart w:id="20" w:name="_Toc65406664"/>
      <w:r>
        <w:rPr>
          <w:rFonts w:hint="eastAsia"/>
          <w:highlight w:val="white"/>
        </w:rPr>
        <w:t>第二部分  投标人须知</w:t>
      </w:r>
      <w:bookmarkEnd w:id="20"/>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1" w:name="采购任务单_purchaserOrgName"/>
            <w:r>
              <w:rPr>
                <w:rFonts w:ascii="宋体" w:cs="微软雅黑" w:hint="eastAsia"/>
                <w:bCs/>
                <w:color w:val="0000FF"/>
                <w:sz w:val="24"/>
                <w:highlight w:val="white"/>
                <w:lang w:bidi="ar-SA"/>
              </w:rPr>
              <w:t>大连海关</w:t>
            </w:r>
            <w:bookmarkEnd w:id="21"/>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2" w:name="项目预算和包件预算"/>
            <w:r>
              <w:rPr>
                <w:rFonts w:ascii="宋体" w:cs="微软雅黑" w:hint="eastAsia"/>
                <w:bCs/>
                <w:color w:val="0000FF"/>
                <w:sz w:val="24"/>
                <w:lang w:bidi="ar-SA"/>
              </w:rPr>
              <w:t>本项目预算金额合计总金额人民币5,810,000.00元，其中包1人民币4,600,000.00元，包2人民币1,210,000.00元。</w:t>
            </w:r>
            <w:bookmarkEnd w:id="22"/>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3" w:name="项目公告_maxPrice"/>
            <w:r>
              <w:rPr>
                <w:rFonts w:ascii="宋体" w:cs="微软雅黑" w:hint="eastAsia"/>
                <w:color w:val="0000FF"/>
                <w:sz w:val="24"/>
                <w:highlight w:val="white"/>
                <w:lang w:bidi="ar-SA"/>
              </w:rPr>
              <w:t>5,810,000.00</w:t>
            </w:r>
            <w:bookmarkEnd w:id="23"/>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w:t>
            </w:r>
            <w:r>
              <w:rPr>
                <w:rFonts w:ascii="宋体" w:cs="微软雅黑"/>
                <w:bCs/>
                <w:color w:val="0000FF"/>
                <w:sz w:val="24"/>
                <w:lang w:bidi="ar-SA"/>
              </w:rPr>
              <w:t>最高限价</w:t>
            </w:r>
            <w:r>
              <w:rPr>
                <w:rFonts w:ascii="宋体" w:cs="微软雅黑" w:hint="eastAsia"/>
                <w:bCs/>
                <w:color w:val="0000FF"/>
                <w:sz w:val="24"/>
                <w:lang w:bidi="ar-SA"/>
              </w:rPr>
              <w:t>人民币4,600,000.00元，包2</w:t>
            </w:r>
            <w:r>
              <w:rPr>
                <w:rFonts w:ascii="宋体" w:cs="微软雅黑"/>
                <w:bCs/>
                <w:color w:val="0000FF"/>
                <w:sz w:val="24"/>
                <w:lang w:bidi="ar-SA"/>
              </w:rPr>
              <w:t>最高限价</w:t>
            </w:r>
            <w:r>
              <w:rPr>
                <w:rFonts w:ascii="宋体" w:cs="微软雅黑" w:hint="eastAsia"/>
                <w:bCs/>
                <w:color w:val="0000FF"/>
                <w:sz w:val="24"/>
                <w:lang w:bidi="ar-SA"/>
              </w:rPr>
              <w:t>人民币1,210,000.00元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4" w:name="投标须知_agentBidding"/>
            <w:r>
              <w:rPr>
                <w:rFonts w:ascii="宋体" w:cs="微软雅黑" w:hint="eastAsia"/>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5" w:name="投标人须知_canUnion"/>
            <w:r>
              <w:rPr>
                <w:rFonts w:ascii="宋体" w:cs="微软雅黑" w:hint="eastAsia"/>
                <w:bCs/>
                <w:color w:val="0000FF"/>
                <w:sz w:val="24"/>
                <w:lang w:bidi="ar-SA"/>
              </w:rPr>
              <w:t>否</w:t>
            </w:r>
            <w:bookmarkEnd w:id="25"/>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top w:val="single" w:sz="4" w:space="0" w:color="auto"/>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top w:val="single" w:sz="4" w:space="0" w:color="auto"/>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r>
        <w:tblPrEx>
          <w:jc w:val="center"/>
          <w:tblLayout w:type="fixed"/>
          <w:tblCellMar>
            <w:top w:w="0" w:type="dxa"/>
            <w:left w:w="108" w:type="dxa"/>
            <w:bottom w:w="0" w:type="dxa"/>
            <w:right w:w="108" w:type="dxa"/>
          </w:tblCellMar>
        </w:tblPrEx>
        <w:trPr>
          <w:trHeight w:val="313"/>
          <w:jc w:val="center"/>
        </w:trPr>
        <w:tc>
          <w:tcPr>
            <w:tcW w:w="739" w:type="dxa"/>
            <w:noWrap/>
            <w:vAlign w:val="center"/>
          </w:tcPr>
          <w:p>
            <w:pPr>
              <w:tabs>
                <w:tab w:val="left" w:pos="588"/>
              </w:tabs>
              <w:autoSpaceDN w:val="0"/>
              <w:spacing w:line="360" w:lineRule="auto"/>
              <w:ind w:left="1"/>
              <w:rPr>
                <w:rFonts w:ascii="宋体" w:cs="微软雅黑"/>
                <w:bCs/>
                <w:sz w:val="24"/>
                <w:lang w:bidi="ar-SA"/>
              </w:rPr>
            </w:pPr>
            <w:r>
              <w:rPr>
                <w:rFonts w:ascii="宋体" w:cs="微软雅黑"/>
                <w:bCs/>
                <w:sz w:val="24"/>
                <w:lang w:bidi="ar-SA"/>
              </w:rPr>
              <w:t>16</w:t>
            </w:r>
          </w:p>
        </w:tc>
        <w:tc>
          <w:tcPr>
            <w:tcW w:w="2101"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firstLine="0"/>
              <w:rPr>
                <w:rFonts w:ascii="宋体" w:cs="微软雅黑"/>
                <w:bCs/>
                <w:sz w:val="24"/>
                <w:lang w:bidi="ar-SA"/>
              </w:rPr>
            </w:pPr>
            <w:r>
              <w:rPr>
                <w:rFonts w:ascii="宋体" w:cs="微软雅黑"/>
                <w:bCs/>
                <w:sz w:val="24"/>
                <w:lang w:bidi="ar-SA"/>
              </w:rPr>
              <w:t>中标原则</w:t>
            </w:r>
          </w:p>
        </w:tc>
        <w:tc>
          <w:tcPr>
            <w:tcW w:w="7546" w:type="dxa"/>
            <w:noWrap/>
            <w:vAlign w:val="center"/>
          </w:tcPr>
          <w:p>
            <w:pPr>
              <w:autoSpaceDN w:val="0"/>
              <w:spacing w:line="360" w:lineRule="auto"/>
              <w:ind w:left="0"/>
              <w:rPr>
                <w:rFonts w:ascii="宋体" w:hint="eastAsia"/>
                <w:color w:val="000000"/>
                <w:sz w:val="24"/>
              </w:rPr>
            </w:pPr>
            <w:r>
              <w:rPr>
                <w:rFonts w:ascii="宋体" w:hint="eastAsia"/>
                <w:color w:val="000000"/>
                <w:sz w:val="24"/>
              </w:rPr>
              <w:t>评审时将按照第1包、第2包次序进行评标。一家投标人可以对其中一个包或两个包进行投标，但只能中其中1包。若投标人成为第1包的第一中标候选人，则该投标人不能成为第2包的第一中标候选人，第2包第一中标候选人按得分排序顺延。</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6" w:name="采购任务单_purchaserOrgName_1"/>
      <w:r>
        <w:rPr>
          <w:rFonts w:ascii="宋体" w:hint="eastAsia"/>
          <w:color w:val="0000FF"/>
          <w:sz w:val="24"/>
          <w:lang w:val="en-US" w:eastAsia="zh-CN"/>
        </w:rPr>
        <w:t>大连海关</w:t>
      </w:r>
      <w:bookmarkEnd w:id="2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本项目专门面向中小企业，当投标人为中小企业时，须提供《中小企业声明函》；监狱企业参加本次招标活动的，应当提供由省级以上监狱管理局、戒毒管理局(含新疆生产建设兵团)出具的属于监狱企业的证明文件；残疾人福利性单位须提供《残疾人福利性单位声明函》。（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（3）投标人提供2021年11月1日起至本项目招标公告发布之日止（以合同签订日期为准），与本项目同类开发服务项目的相关业绩材料，具体要求详见评分标准（加盖投标人电子签章）。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7"/>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8"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提供项目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团队人员个人简历、相关领域职称或资质证书及相关领域工作经验情况，以及团队人员距开标之日6个月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（3）投标人按要求进行需求理解分析，提供技术设计方案、系统集成方案等，具体要求见第四部分评分标准（加盖投标人电子签章）。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8"/>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9" w:name="服务应答文件服务应答文件"/>
      <w:r>
        <w:rPr>
          <w:rFonts w:ascii="Times New Roman" w:hAnsi="Times New Roman" w:hint="eastAsia"/>
          <w:color w:val="0000FF"/>
          <w:kern w:val="0"/>
          <w:sz w:val="24"/>
          <w:szCs w:val="21"/>
          <w:highlight w:val="white"/>
        </w:rPr>
        <w:t>（1）投标人提供项目实施管理方案、运维服务方案等，具体要求见第四部分评分标准（加盖投标人电子签章）。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（2）投标人认为应该提供的证明材料（如有）（加盖投标人电子签章）。</w:t>
      </w:r>
      <w:bookmarkEnd w:id="29"/>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30" w:name="_Toc65406665"/>
      <w:r>
        <w:rPr>
          <w:rFonts w:hint="eastAsia"/>
          <w:lang w:val="en-US" w:eastAsia="zh-CN"/>
        </w:rPr>
        <w:t>第三部分  项目需求书</w:t>
      </w:r>
      <w:bookmarkEnd w:id="30"/>
    </w:p>
    <w:p>
      <w:pPr>
        <w:rPr>
          <w:highlight w:val="white"/>
        </w:rPr>
      </w:pPr>
    </w:p>
    <w:p>
      <w:pPr>
        <w:rPr>
          <w:highlight w:val="white"/>
        </w:rPr>
      </w:pPr>
    </w:p>
    <w:p>
      <w:pPr>
        <w:rPr>
          <w:rFonts w:ascii="宋体" w:eastAsia="宋体"/>
        </w:rPr>
      </w:pPr>
      <w:bookmarkStart w:id="31" w:name="采购政策落实"/>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b/>
          <w:bCs/>
        </w:rPr>
      </w:pPr>
      <w:r>
        <w:rPr>
          <w:rFonts w:ascii="宋体" w:eastAsia="宋体" w:cs="微软雅黑" w:hint="eastAsia"/>
          <w:b/>
          <w:bCs/>
        </w:rPr>
        <w:t>提交投标文件时，须注明需提供证明材料或承诺函等材料项所在位置（页码）。</w:t>
      </w:r>
    </w:p>
    <w:p>
      <w:pPr>
        <w:numPr>
          <w:ilvl w:val="0"/>
          <w:numId w:val="2"/>
        </w:numPr>
        <w:rPr>
          <w:rFonts w:ascii="宋体" w:eastAsia="宋体" w:cs="宋体" w:hint="eastAsia"/>
        </w:rPr>
      </w:pPr>
      <w:r>
        <w:rPr>
          <w:rFonts w:ascii="宋体" w:eastAsia="宋体" w:cs="宋体" w:hint="eastAsia"/>
        </w:rPr>
        <w:t>承诺项</w:t>
      </w:r>
    </w:p>
    <w:p>
      <w:pPr>
        <w:rPr>
          <w:rFonts w:ascii="宋体" w:eastAsia="宋体" w:cs="Times New Roman"/>
          <w:kern w:val="2"/>
        </w:rPr>
      </w:pPr>
      <w:r>
        <w:rPr>
          <w:rFonts w:ascii="宋体" w:eastAsia="宋体" w:cs="宋体"/>
          <w:kern w:val="2"/>
        </w:rPr>
        <w:t>1.</w:t>
      </w:r>
      <w:r>
        <w:rPr>
          <w:rFonts w:ascii="宋体" w:eastAsia="宋体" w:cs="宋体" w:hint="eastAsia"/>
          <w:kern w:val="2"/>
        </w:rPr>
        <w:t>行业类型（必填项）：</w:t>
      </w:r>
      <w:bookmarkStart w:id="32" w:name="公告_industryType"/>
      <w:r>
        <w:rPr>
          <w:rFonts w:ascii="宋体" w:eastAsia="宋体" w:cs="宋体" w:hint="eastAsia"/>
          <w:kern w:val="2"/>
          <w:u w:val="single"/>
        </w:rPr>
        <w:t>软件和信息技术服务业</w:t>
      </w:r>
      <w:bookmarkEnd w:id="32"/>
      <w:r>
        <w:rPr>
          <w:rFonts w:ascii="宋体" w:eastAsia="宋体" w:cs="Times New Roman" w:hint="eastAsia"/>
          <w:kern w:val="2"/>
        </w:rPr>
        <w:t xml:space="preserve">                                           </w:t>
      </w:r>
    </w:p>
    <w:p>
      <w:pPr>
        <w:rPr>
          <w:rFonts w:ascii="宋体" w:eastAsia="宋体" w:cs="Times New Roman"/>
          <w:kern w:val="2"/>
        </w:rPr>
      </w:pPr>
      <w:r>
        <w:rPr>
          <w:rFonts w:ascii="宋体" w:eastAsia="宋体" w:cs="方正仿宋_GBK" w:hint="eastAsia"/>
          <w:kern w:val="2"/>
        </w:rPr>
        <w:t>注：行业类型依据工业和信息化部等主管部门印发的《中小企业划型标准规定》（工信部联企业〔2011〕300号），参考《国民经济行业分类注释》（国家统计局2017年），如工业、建筑业、其他未列明行业等。</w:t>
      </w:r>
    </w:p>
    <w:p>
      <w:pPr>
        <w:rPr>
          <w:rFonts w:ascii="宋体" w:eastAsia="宋体" w:cs="方正仿宋_GBK"/>
          <w:kern w:val="2"/>
        </w:rPr>
      </w:pPr>
      <w:r>
        <w:rPr>
          <w:rFonts w:ascii="宋体" w:eastAsia="宋体" w:cs="方正仿宋_GBK" w:hint="eastAsia"/>
          <w:kern w:val="2"/>
        </w:rPr>
        <w:t>2.项目立项审核</w:t>
      </w:r>
      <w:r>
        <w:rPr>
          <w:rFonts w:ascii="宋体" w:eastAsia="宋体" w:cs="方正仿宋_GBK"/>
          <w:kern w:val="2"/>
        </w:rPr>
        <w:t>情况</w:t>
      </w:r>
    </w:p>
    <w:p>
      <w:pPr>
        <w:rPr>
          <w:rFonts w:ascii="宋体" w:eastAsia="宋体" w:cs="方正仿宋_GBK"/>
          <w:kern w:val="2"/>
        </w:rPr>
      </w:pPr>
      <w:r>
        <w:rPr>
          <w:rFonts w:ascii="宋体" w:eastAsia="宋体" w:cs="方正仿宋_GBK"/>
          <w:kern w:val="2"/>
        </w:rPr>
        <w:t>本项目属于新建、改建或者采用购买服务方式的政务应用程序项目。如果否，请删除以下内容。如果是，请对应勾选以下内容：</w:t>
      </w:r>
    </w:p>
    <w:p>
      <w:pPr>
        <w:rPr>
          <w:rFonts w:ascii="宋体" w:eastAsia="宋体" w:cs="方正仿宋_GBK"/>
          <w:kern w:val="2"/>
        </w:rPr>
      </w:pPr>
      <w:r>
        <w:rPr>
          <w:rFonts w:ascii="宋体" w:eastAsia="宋体" w:cs="方正仿宋_GBK"/>
          <w:kern w:val="2"/>
        </w:rPr>
        <w:t>（1）是否纳入信息化项目审批范围。</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rPr>
          <w:rFonts w:ascii="宋体" w:eastAsia="宋体" w:cs="方正仿宋_GBK"/>
          <w:kern w:val="2"/>
        </w:rPr>
      </w:pPr>
      <w:r>
        <w:rPr>
          <w:rFonts w:ascii="宋体" w:eastAsia="宋体" w:cs="方正仿宋_GBK" w:hint="eastAsia"/>
          <w:kern w:val="2"/>
        </w:rPr>
        <w:t>（</w:t>
      </w:r>
      <w:r>
        <w:rPr>
          <w:rFonts w:ascii="宋体" w:eastAsia="宋体" w:cs="方正仿宋_GBK"/>
          <w:kern w:val="2"/>
        </w:rPr>
        <w:t>2</w:t>
      </w:r>
      <w:r>
        <w:rPr>
          <w:rFonts w:ascii="宋体" w:eastAsia="宋体" w:cs="方正仿宋_GBK" w:hint="eastAsia"/>
          <w:kern w:val="2"/>
        </w:rPr>
        <w:t>）</w:t>
      </w:r>
      <w:r>
        <w:rPr>
          <w:rFonts w:ascii="宋体" w:eastAsia="宋体" w:cs="方正仿宋_GBK"/>
          <w:kern w:val="2"/>
        </w:rPr>
        <w:t>是否符合信息化数字化规划。</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rPr>
          <w:rFonts w:ascii="宋体" w:eastAsia="宋体" w:cs="方正仿宋_GBK"/>
          <w:kern w:val="2"/>
        </w:rPr>
      </w:pPr>
      <w:r>
        <w:rPr>
          <w:rFonts w:ascii="宋体" w:eastAsia="宋体" w:cs="方正仿宋_GBK"/>
          <w:kern w:val="2"/>
        </w:rPr>
        <w:t>（3）是否与已有政务应用程序存在功能交叉重复。</w:t>
      </w:r>
      <w:r>
        <w:rPr>
          <w:rFonts w:ascii="Wingdings 2" w:eastAsia="宋体" w:hAnsi="Wingdings 2" w:cs="方正仿宋_GBK"/>
          <w:kern w:val="2"/>
        </w:rPr>
        <w:sym w:font="Wingdings 2" w:char="F0A3"/>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rPr>
          <w:rFonts w:ascii="宋体" w:eastAsia="宋体" w:cs="方正仿宋_GBK"/>
          <w:kern w:val="2"/>
        </w:rPr>
      </w:pPr>
      <w:r>
        <w:rPr>
          <w:rFonts w:ascii="宋体" w:eastAsia="宋体" w:cs="方正仿宋_GBK"/>
          <w:kern w:val="2"/>
        </w:rPr>
        <w:t>（4）是否能作为功能模块嵌入到已有政务应用程序。</w:t>
      </w:r>
      <w:r>
        <w:rPr>
          <w:rFonts w:ascii="Wingdings 2" w:eastAsia="宋体" w:hAnsi="Wingdings 2" w:cs="方正仿宋_GBK"/>
          <w:kern w:val="2"/>
        </w:rPr>
        <w:sym w:font="Wingdings 2" w:char="F0A3"/>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不涉及</w:t>
      </w:r>
    </w:p>
    <w:p>
      <w:pPr>
        <w:rPr>
          <w:rFonts w:ascii="宋体" w:eastAsia="宋体" w:cs="方正仿宋_GBK"/>
          <w:kern w:val="2"/>
        </w:rPr>
      </w:pPr>
      <w:r>
        <w:rPr>
          <w:rFonts w:ascii="宋体" w:eastAsia="宋体" w:cs="方正仿宋_GBK"/>
          <w:kern w:val="2"/>
        </w:rPr>
        <w:t>（5）是否能与相关政务应用程序项目进行协同。</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p>
    <w:p>
      <w:pPr>
        <w:rPr>
          <w:rFonts w:ascii="宋体" w:eastAsia="宋体" w:cs="宋体"/>
          <w:kern w:val="2"/>
        </w:rPr>
      </w:pPr>
      <w:r>
        <w:rPr>
          <w:rFonts w:ascii="宋体" w:eastAsia="宋体" w:cs="方正仿宋_GBK"/>
          <w:kern w:val="2"/>
        </w:rPr>
        <w:t>（6）是否满足数据管理和共享要求。</w:t>
      </w:r>
      <w:r>
        <w:rPr>
          <w:rFonts w:ascii="宋体" w:eastAsia="宋体" w:cs="方正仿宋_GBK" w:hint="eastAsia"/>
          <w:kern w:val="2"/>
        </w:rPr>
        <w:t>■</w:t>
      </w:r>
      <w:r>
        <w:rPr>
          <w:rFonts w:ascii="宋体" w:eastAsia="宋体" w:cs="方正仿宋_GBK"/>
          <w:kern w:val="2"/>
        </w:rPr>
        <w:t xml:space="preserve">是  </w:t>
      </w:r>
      <w:r>
        <w:rPr>
          <w:rFonts w:ascii="宋体" w:eastAsia="宋体" w:cs="方正仿宋_GBK" w:hint="eastAsia"/>
          <w:kern w:val="2"/>
        </w:rPr>
        <w:t>□</w:t>
      </w:r>
      <w:r>
        <w:rPr>
          <w:rFonts w:ascii="宋体" w:eastAsia="宋体" w:cs="方正仿宋_GBK"/>
          <w:kern w:val="2"/>
        </w:rPr>
        <w:t>否</w:t>
      </w:r>
      <w:r>
        <w:rPr>
          <w:rFonts w:ascii="宋体" w:eastAsia="宋体" w:cs="宋体" w:hint="eastAsia"/>
          <w:kern w:val="2"/>
        </w:rPr>
        <w:t xml:space="preserve">                          </w:t>
      </w:r>
    </w:p>
    <w:p>
      <w:pPr>
        <w:numPr>
          <w:ilvl w:val="0"/>
          <w:numId w:val="2"/>
        </w:numPr>
        <w:rPr>
          <w:rFonts w:ascii="宋体" w:eastAsia="宋体" w:cs="宋体" w:hint="eastAsia"/>
        </w:rPr>
      </w:pPr>
      <w:r>
        <w:rPr>
          <w:rFonts w:ascii="宋体" w:eastAsia="宋体" w:cs="宋体" w:hint="eastAsia"/>
        </w:rPr>
        <w:t>采购政策落实</w:t>
      </w:r>
      <w:bookmarkEnd w:id="31"/>
    </w:p>
    <w:tbl>
      <w:tblPr>
        <w:tblW w:w="857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182"/>
      </w:tblGrid>
      <w:tr>
        <w:tblPrEx>
          <w:tblW w:w="857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内容</w:t>
            </w:r>
          </w:p>
        </w:tc>
        <w:tc>
          <w:tcPr>
            <w:tcW w:w="5182"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说明</w:t>
            </w:r>
          </w:p>
        </w:tc>
      </w:tr>
      <w:tr>
        <w:tblPrEx>
          <w:tblW w:w="857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是否面向中小微企业</w:t>
            </w:r>
          </w:p>
        </w:tc>
        <w:tc>
          <w:tcPr>
            <w:tcW w:w="5182" w:type="dxa"/>
            <w:tcBorders>
              <w:top w:val="single" w:sz="4" w:space="0" w:color="auto"/>
              <w:left w:val="single" w:sz="4" w:space="0" w:color="auto"/>
              <w:bottom w:val="single" w:sz="4" w:space="0" w:color="auto"/>
              <w:right w:val="single" w:sz="4" w:space="0" w:color="auto"/>
            </w:tcBorders>
            <w:vAlign w:val="center"/>
          </w:tcPr>
          <w:p>
            <w:pPr>
              <w:jc w:val="left"/>
              <w:rPr>
                <w:rFonts w:ascii="宋体"/>
                <w:sz w:val="24"/>
              </w:rPr>
            </w:pPr>
            <w:r>
              <w:rPr>
                <w:rFonts w:ascii="宋体" w:hint="eastAsia"/>
                <w:sz w:val="24"/>
              </w:rPr>
              <w:t>是，提供《中小企业声明函》并加盖单位公章</w:t>
            </w:r>
          </w:p>
        </w:tc>
      </w:tr>
      <w:tr>
        <w:tblPrEx>
          <w:tblW w:w="857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cs="Calibri"/>
                <w:b/>
                <w:sz w:val="24"/>
              </w:rPr>
            </w:pPr>
            <w:r>
              <w:rPr>
                <w:rFonts w:ascii="宋体" w:hint="eastAsia"/>
                <w:sz w:val="24"/>
              </w:rPr>
              <w:t>是否允许进口产品</w:t>
            </w:r>
          </w:p>
        </w:tc>
        <w:tc>
          <w:tcPr>
            <w:tcW w:w="5182"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 w:val="24"/>
              </w:rPr>
            </w:pPr>
            <w:r>
              <w:rPr>
                <w:rFonts w:ascii="宋体" w:hint="eastAsia"/>
                <w:sz w:val="24"/>
              </w:rPr>
              <w:t>否</w:t>
            </w:r>
          </w:p>
        </w:tc>
      </w:tr>
      <w:tr>
        <w:tblPrEx>
          <w:tblW w:w="857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cs="Calibri"/>
                <w:b/>
                <w:sz w:val="24"/>
              </w:rPr>
            </w:pPr>
            <w:r>
              <w:rPr>
                <w:rFonts w:ascii="宋体" w:hint="eastAsia"/>
                <w:sz w:val="24"/>
              </w:rPr>
              <w:t>是否需要节能产品</w:t>
            </w:r>
          </w:p>
        </w:tc>
        <w:tc>
          <w:tcPr>
            <w:tcW w:w="5182"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 w:val="24"/>
              </w:rPr>
            </w:pPr>
            <w:r>
              <w:rPr>
                <w:rFonts w:ascii="宋体" w:hint="eastAsia"/>
                <w:sz w:val="24"/>
              </w:rPr>
              <w:t>否</w:t>
            </w:r>
          </w:p>
        </w:tc>
      </w:tr>
      <w:tr>
        <w:tblPrEx>
          <w:tblW w:w="857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是否需要环保标志产品</w:t>
            </w:r>
          </w:p>
        </w:tc>
        <w:tc>
          <w:tcPr>
            <w:tcW w:w="5182" w:type="dxa"/>
            <w:tcBorders>
              <w:top w:val="single" w:sz="4" w:space="0" w:color="auto"/>
              <w:left w:val="single" w:sz="4" w:space="0" w:color="auto"/>
              <w:bottom w:val="single" w:sz="4" w:space="0" w:color="auto"/>
              <w:right w:val="single" w:sz="4" w:space="0" w:color="auto"/>
            </w:tcBorders>
            <w:vAlign w:val="center"/>
          </w:tcPr>
          <w:p>
            <w:pPr>
              <w:rPr>
                <w:rFonts w:ascii="宋体"/>
                <w:i/>
                <w:iCs/>
                <w:sz w:val="24"/>
              </w:rPr>
            </w:pPr>
            <w:r>
              <w:rPr>
                <w:rFonts w:ascii="宋体" w:hint="eastAsia"/>
                <w:sz w:val="24"/>
              </w:rPr>
              <w:t>否</w:t>
            </w:r>
          </w:p>
        </w:tc>
      </w:tr>
      <w:tr>
        <w:tblPrEx>
          <w:tblW w:w="857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是否面向监狱企业</w:t>
            </w:r>
          </w:p>
        </w:tc>
        <w:tc>
          <w:tcPr>
            <w:tcW w:w="5182" w:type="dxa"/>
            <w:tcBorders>
              <w:top w:val="single" w:sz="4" w:space="0" w:color="auto"/>
              <w:left w:val="single" w:sz="4" w:space="0" w:color="auto"/>
              <w:bottom w:val="single" w:sz="4" w:space="0" w:color="auto"/>
              <w:right w:val="single" w:sz="4" w:space="0" w:color="auto"/>
            </w:tcBorders>
            <w:vAlign w:val="center"/>
          </w:tcPr>
          <w:p>
            <w:pPr>
              <w:rPr>
                <w:rFonts w:ascii="宋体"/>
                <w:i/>
                <w:iCs/>
                <w:sz w:val="24"/>
              </w:rPr>
            </w:pPr>
            <w:r>
              <w:rPr>
                <w:rFonts w:ascii="宋体" w:hint="eastAsia"/>
                <w:sz w:val="24"/>
              </w:rPr>
              <w:t>是，提供证明资料，并加盖单位公章</w:t>
            </w:r>
          </w:p>
        </w:tc>
      </w:tr>
      <w:tr>
        <w:tblPrEx>
          <w:tblW w:w="857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jc w:val="left"/>
              <w:rPr>
                <w:rFonts w:ascii="宋体"/>
                <w:sz w:val="24"/>
              </w:rPr>
            </w:pPr>
            <w:r>
              <w:rPr>
                <w:rFonts w:ascii="宋体" w:hint="eastAsia"/>
                <w:sz w:val="24"/>
              </w:rPr>
              <w:t>是否面向残疾人福利性单位</w:t>
            </w:r>
          </w:p>
        </w:tc>
        <w:tc>
          <w:tcPr>
            <w:tcW w:w="5182"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是，提供《残疾人福利性单位声明函》并加盖单位公章</w:t>
            </w:r>
          </w:p>
        </w:tc>
      </w:tr>
    </w:tbl>
    <w:p/>
    <w:p>
      <w:pPr>
        <w:rPr>
          <w:rFonts w:ascii="宋体" w:eastAsia="宋体"/>
          <w:color w:val="000000"/>
        </w:rPr>
      </w:pPr>
      <w:bookmarkStart w:id="33" w:name="采购政策落实_index"/>
      <w:bookmarkStart w:id="34" w:name="商务需求"/>
      <w:bookmarkEnd w:id="33"/>
      <w:r>
        <w:rPr>
          <w:rFonts w:ascii="宋体" w:eastAsia="宋体" w:hint="eastAsia"/>
          <w:color w:val="000000"/>
        </w:rPr>
        <w:t>注：本项目专门面向中小微企业、监狱企业、残疾人企业。</w:t>
      </w:r>
    </w:p>
    <w:p>
      <w:pPr>
        <w:numPr>
          <w:ilvl w:val="0"/>
          <w:numId w:val="2"/>
        </w:numPr>
        <w:rPr>
          <w:rFonts w:ascii="宋体" w:eastAsia="宋体" w:cs="宋体" w:hint="eastAsia"/>
        </w:rPr>
      </w:pPr>
      <w:r>
        <w:rPr>
          <w:rFonts w:ascii="宋体" w:eastAsia="宋体" w:cs="宋体" w:hint="eastAsia"/>
        </w:rPr>
        <w:t>商务需求</w:t>
      </w:r>
      <w:bookmarkEnd w:id="34"/>
    </w:p>
    <w:tbl>
      <w:tblPr>
        <w:tblW w:w="860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1"/>
        <w:gridCol w:w="1669"/>
        <w:gridCol w:w="6183"/>
      </w:tblGrid>
      <w:tr>
        <w:tblPrEx>
          <w:tblW w:w="860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1" w:type="dxa"/>
            <w:shd w:val="clear" w:color="A6A6A6" w:fill="A6A6A6"/>
            <w:vAlign w:val="center"/>
          </w:tcPr>
          <w:p>
            <w:pPr>
              <w:ind w:firstLine="0"/>
              <w:rPr>
                <w:rFonts w:ascii="宋体" w:eastAsia="宋体" w:cs="宋体"/>
                <w:b/>
              </w:rPr>
            </w:pPr>
            <w:r>
              <w:rPr>
                <w:rFonts w:ascii="宋体" w:eastAsia="宋体" w:cs="宋体" w:hint="eastAsia"/>
                <w:b/>
              </w:rPr>
              <w:t>序号</w:t>
            </w:r>
          </w:p>
        </w:tc>
        <w:tc>
          <w:tcPr>
            <w:tcW w:w="1669" w:type="dxa"/>
            <w:shd w:val="clear" w:color="A6A6A6" w:fill="A6A6A6"/>
            <w:vAlign w:val="center"/>
          </w:tcPr>
          <w:p>
            <w:pPr>
              <w:ind w:firstLine="0"/>
              <w:jc w:val="center"/>
              <w:rPr>
                <w:rFonts w:ascii="宋体" w:eastAsia="宋体" w:cs="宋体"/>
                <w:b/>
              </w:rPr>
            </w:pPr>
            <w:r>
              <w:rPr>
                <w:rFonts w:ascii="宋体" w:eastAsia="宋体" w:cs="宋体" w:hint="eastAsia"/>
                <w:b/>
              </w:rPr>
              <w:t>内容</w:t>
            </w:r>
          </w:p>
        </w:tc>
        <w:tc>
          <w:tcPr>
            <w:tcW w:w="6183" w:type="dxa"/>
            <w:shd w:val="clear" w:color="A6A6A6" w:fill="A6A6A6"/>
            <w:vAlign w:val="center"/>
          </w:tcPr>
          <w:p>
            <w:pPr>
              <w:ind w:firstLine="0"/>
              <w:jc w:val="center"/>
              <w:rPr>
                <w:rFonts w:ascii="宋体" w:eastAsia="宋体" w:cs="宋体"/>
                <w:b/>
              </w:rPr>
            </w:pPr>
            <w:r>
              <w:rPr>
                <w:rFonts w:ascii="宋体" w:eastAsia="宋体" w:cs="宋体" w:hint="eastAsia"/>
                <w:b/>
              </w:rPr>
              <w:t>说明</w:t>
            </w:r>
          </w:p>
        </w:tc>
      </w:tr>
      <w:tr>
        <w:tblPrEx>
          <w:tblW w:w="8603" w:type="dxa"/>
          <w:jc w:val="left"/>
          <w:tblInd w:w="0" w:type="dxa"/>
          <w:tblLayout w:type="fixed"/>
          <w:tblCellMar>
            <w:top w:w="0" w:type="dxa"/>
            <w:left w:w="108" w:type="dxa"/>
            <w:bottom w:w="0" w:type="dxa"/>
            <w:right w:w="108" w:type="dxa"/>
          </w:tblCellMar>
        </w:tblPrEx>
        <w:trPr>
          <w:trHeight w:val="156"/>
          <w:jc w:val="left"/>
        </w:trPr>
        <w:tc>
          <w:tcPr>
            <w:tcW w:w="751" w:type="dxa"/>
            <w:vMerge w:val="restart"/>
            <w:vAlign w:val="center"/>
          </w:tcPr>
          <w:p>
            <w:pPr>
              <w:ind w:firstLine="0"/>
              <w:jc w:val="center"/>
              <w:rPr>
                <w:rFonts w:ascii="宋体" w:eastAsia="宋体" w:cs="宋体"/>
                <w:bCs/>
              </w:rPr>
            </w:pPr>
            <w:r>
              <w:rPr>
                <w:rFonts w:ascii="宋体" w:eastAsia="宋体" w:cs="宋体" w:hint="eastAsia"/>
                <w:bCs/>
              </w:rPr>
              <w:t>1</w:t>
            </w:r>
          </w:p>
        </w:tc>
        <w:tc>
          <w:tcPr>
            <w:tcW w:w="1669" w:type="dxa"/>
            <w:vMerge w:val="restart"/>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投标人资质</w:t>
            </w:r>
          </w:p>
        </w:tc>
        <w:tc>
          <w:tcPr>
            <w:tcW w:w="6183" w:type="dxa"/>
            <w:vAlign w:val="center"/>
          </w:tcPr>
          <w:p>
            <w:pPr>
              <w:ind w:firstLine="0"/>
              <w:rPr>
                <w:rFonts w:ascii="宋体" w:eastAsia="宋体" w:cs="Times New Roman"/>
                <w:kern w:val="2"/>
              </w:rPr>
            </w:pPr>
            <w:r>
              <w:rPr>
                <w:rFonts w:ascii="宋体" w:eastAsia="宋体" w:cs="Times New Roman" w:hint="eastAsia"/>
                <w:kern w:val="2"/>
              </w:rPr>
              <w:t>★1、投标人资格条件</w:t>
            </w:r>
            <w:r>
              <w:rPr>
                <w:rFonts w:ascii="宋体" w:hAnsi="宋体"/>
                <w:szCs w:val="21"/>
              </w:rPr>
              <w:t>，详见招标公告</w:t>
            </w:r>
          </w:p>
        </w:tc>
      </w:tr>
      <w:tr>
        <w:tblPrEx>
          <w:tblW w:w="8603" w:type="dxa"/>
          <w:jc w:val="left"/>
          <w:tblInd w:w="0" w:type="dxa"/>
          <w:tblLayout w:type="fixed"/>
          <w:tblCellMar>
            <w:top w:w="0" w:type="dxa"/>
            <w:left w:w="108" w:type="dxa"/>
            <w:bottom w:w="0" w:type="dxa"/>
            <w:right w:w="108" w:type="dxa"/>
          </w:tblCellMar>
        </w:tblPrEx>
        <w:trPr>
          <w:trHeight w:val="602"/>
          <w:jc w:val="left"/>
        </w:trPr>
        <w:tc>
          <w:tcPr>
            <w:tcW w:w="751" w:type="dxa"/>
            <w:vMerge/>
            <w:vAlign w:val="center"/>
          </w:tcPr>
          <w:p/>
        </w:tc>
        <w:tc>
          <w:tcPr>
            <w:tcW w:w="1669" w:type="dxa"/>
            <w:vMerge/>
            <w:tcBorders>
              <w:top w:val="single" w:sz="4" w:space="0" w:color="auto"/>
              <w:left w:val="single" w:sz="4" w:space="0" w:color="auto"/>
              <w:right w:val="single" w:sz="4" w:space="0" w:color="auto"/>
            </w:tcBorders>
            <w:vAlign w:val="center"/>
          </w:tcPr>
          <w:p/>
        </w:tc>
        <w:tc>
          <w:tcPr>
            <w:tcW w:w="6183" w:type="dxa"/>
            <w:vAlign w:val="center"/>
          </w:tcPr>
          <w:p>
            <w:pPr>
              <w:ind w:firstLine="0"/>
              <w:rPr>
                <w:rFonts w:ascii="宋体" w:eastAsia="宋体" w:cs="宋体"/>
                <w:lang w:bidi="en-US"/>
              </w:rPr>
            </w:pPr>
            <w:r>
              <w:rPr>
                <w:rFonts w:ascii="宋体" w:eastAsia="宋体" w:cs="宋体" w:hint="eastAsia"/>
              </w:rPr>
              <w:t>★2、</w:t>
            </w:r>
            <w:r>
              <w:rPr>
                <w:rFonts w:ascii="宋体" w:eastAsia="宋体" w:cs="宋体" w:hint="eastAsia"/>
                <w:lang w:bidi="en-US"/>
              </w:rPr>
              <w:t>其他条件：</w:t>
            </w:r>
          </w:p>
          <w:p>
            <w:pPr>
              <w:numPr>
                <w:ilvl w:val="0"/>
                <w:numId w:val="3"/>
              </w:numPr>
              <w:rPr>
                <w:rFonts w:ascii="宋体" w:eastAsia="宋体" w:cs="宋体"/>
                <w:lang w:bidi="en-US"/>
              </w:rPr>
            </w:pPr>
            <w:r>
              <w:rPr>
                <w:rFonts w:ascii="宋体" w:eastAsia="宋体" w:cs="宋体" w:hint="eastAsia"/>
                <w:lang w:bidi="en-US"/>
              </w:rPr>
              <w:t>本项目不接受联合体投标。</w:t>
            </w:r>
          </w:p>
          <w:p>
            <w:pPr>
              <w:ind w:firstLine="0"/>
              <w:rPr>
                <w:rFonts w:ascii="宋体" w:eastAsia="宋体" w:cs="宋体"/>
                <w:lang w:bidi="en-US"/>
              </w:rPr>
            </w:pPr>
            <w:r>
              <w:rPr>
                <w:rFonts w:ascii="宋体" w:eastAsia="宋体" w:cs="宋体" w:hint="eastAsia"/>
                <w:lang w:bidi="en-US"/>
              </w:rPr>
              <w:t>（2）本项目不接受进口产品。</w:t>
            </w:r>
          </w:p>
        </w:tc>
      </w:tr>
      <w:tr>
        <w:tblPrEx>
          <w:tblW w:w="8603" w:type="dxa"/>
          <w:jc w:val="left"/>
          <w:tblInd w:w="0" w:type="dxa"/>
          <w:tblLayout w:type="fixed"/>
          <w:tblCellMar>
            <w:top w:w="0" w:type="dxa"/>
            <w:left w:w="108" w:type="dxa"/>
            <w:bottom w:w="0" w:type="dxa"/>
            <w:right w:w="108" w:type="dxa"/>
          </w:tblCellMar>
        </w:tblPrEx>
        <w:trPr>
          <w:trHeight w:val="540"/>
          <w:jc w:val="left"/>
        </w:trPr>
        <w:tc>
          <w:tcPr>
            <w:tcW w:w="751" w:type="dxa"/>
            <w:vMerge/>
            <w:vAlign w:val="center"/>
          </w:tcPr>
          <w:p/>
        </w:tc>
        <w:tc>
          <w:tcPr>
            <w:tcW w:w="1669" w:type="dxa"/>
            <w:vMerge/>
            <w:tcBorders>
              <w:top w:val="single" w:sz="4" w:space="0" w:color="auto"/>
              <w:left w:val="single" w:sz="4" w:space="0" w:color="auto"/>
              <w:right w:val="single" w:sz="4" w:space="0" w:color="auto"/>
            </w:tcBorders>
            <w:vAlign w:val="center"/>
          </w:tcPr>
          <w:p/>
        </w:tc>
        <w:tc>
          <w:tcPr>
            <w:tcW w:w="6183" w:type="dxa"/>
            <w:vAlign w:val="center"/>
          </w:tcPr>
          <w:p>
            <w:pPr>
              <w:ind w:firstLine="0"/>
              <w:rPr>
                <w:rFonts w:ascii="宋体" w:eastAsia="宋体" w:cs="宋体"/>
                <w:lang w:bidi="en-US"/>
              </w:rPr>
            </w:pPr>
            <w:r>
              <w:rPr>
                <w:rFonts w:ascii="宋体" w:eastAsia="宋体" w:cs="宋体" w:hint="eastAsia"/>
                <w:lang w:bidi="en-US"/>
              </w:rPr>
              <w:t>3、可作为评审因素的资质证书等。</w:t>
            </w:r>
          </w:p>
          <w:p>
            <w:pPr>
              <w:ind w:left="0" w:firstLine="0"/>
              <w:rPr>
                <w:rFonts w:ascii="宋体" w:eastAsia="宋体" w:cs="宋体"/>
                <w:lang w:bidi="en-US"/>
              </w:rPr>
            </w:pPr>
            <w:r>
              <w:rPr>
                <w:rFonts w:ascii="宋体" w:eastAsia="宋体" w:cs="宋体" w:hint="eastAsia"/>
                <w:lang w:bidi="en-US"/>
              </w:rPr>
              <w:t>具有ISO9001质量管理体系认证证书。</w:t>
            </w:r>
          </w:p>
          <w:p>
            <w:pPr>
              <w:rPr>
                <w:rFonts w:ascii="Calibri" w:eastAsia="Calibri" w:hAnsi="Calibri" w:cs="Calibri"/>
                <w:lang w:bidi="en-US"/>
              </w:rPr>
            </w:pPr>
            <w:r>
              <w:rPr>
                <w:rFonts w:hint="eastAsia"/>
              </w:rPr>
              <w:t>提供复印件，并加盖单位公章</w:t>
            </w:r>
          </w:p>
        </w:tc>
      </w:tr>
      <w:tr>
        <w:tblPrEx>
          <w:tblW w:w="8603" w:type="dxa"/>
          <w:jc w:val="left"/>
          <w:tblInd w:w="0" w:type="dxa"/>
          <w:tblLayout w:type="fixed"/>
          <w:tblCellMar>
            <w:top w:w="0" w:type="dxa"/>
            <w:left w:w="108" w:type="dxa"/>
            <w:bottom w:w="0" w:type="dxa"/>
            <w:right w:w="108" w:type="dxa"/>
          </w:tblCellMar>
        </w:tblPrEx>
        <w:trPr>
          <w:trHeight w:val="1020"/>
          <w:jc w:val="left"/>
        </w:trPr>
        <w:tc>
          <w:tcPr>
            <w:tcW w:w="751" w:type="dxa"/>
            <w:vAlign w:val="center"/>
          </w:tcPr>
          <w:p>
            <w:pPr>
              <w:ind w:firstLine="0"/>
              <w:jc w:val="center"/>
              <w:rPr>
                <w:rFonts w:ascii="宋体" w:eastAsia="宋体" w:cs="宋体"/>
                <w:bCs/>
              </w:rPr>
            </w:pPr>
            <w:r>
              <w:rPr>
                <w:rFonts w:ascii="宋体" w:eastAsia="宋体" w:cs="宋体" w:hint="eastAsia"/>
                <w:bCs/>
              </w:rPr>
              <w:t>2</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投标产品资质</w:t>
            </w:r>
          </w:p>
        </w:tc>
        <w:tc>
          <w:tcPr>
            <w:tcW w:w="6183" w:type="dxa"/>
            <w:vAlign w:val="center"/>
          </w:tcPr>
          <w:p>
            <w:pPr>
              <w:spacing w:line="240" w:lineRule="auto"/>
              <w:ind w:firstLine="0"/>
              <w:rPr>
                <w:rFonts w:ascii="宋体" w:eastAsia="宋体" w:cs="宋体"/>
                <w:lang w:bidi="en-US"/>
              </w:rPr>
            </w:pPr>
            <w:r>
              <w:rPr>
                <w:rFonts w:ascii="宋体" w:eastAsia="宋体" w:cs="宋体" w:hint="eastAsia"/>
                <w:lang w:bidi="en-US"/>
              </w:rPr>
              <w:t>无</w:t>
            </w:r>
          </w:p>
        </w:tc>
      </w:tr>
      <w:tr>
        <w:tblPrEx>
          <w:tblW w:w="8603" w:type="dxa"/>
          <w:jc w:val="left"/>
          <w:tblInd w:w="0" w:type="dxa"/>
          <w:tblLayout w:type="fixed"/>
          <w:tblCellMar>
            <w:top w:w="0" w:type="dxa"/>
            <w:left w:w="108" w:type="dxa"/>
            <w:bottom w:w="0" w:type="dxa"/>
            <w:right w:w="108" w:type="dxa"/>
          </w:tblCellMar>
        </w:tblPrEx>
        <w:trPr>
          <w:trHeight w:val="1020"/>
          <w:jc w:val="left"/>
        </w:trPr>
        <w:tc>
          <w:tcPr>
            <w:tcW w:w="751" w:type="dxa"/>
            <w:vAlign w:val="center"/>
          </w:tcPr>
          <w:p>
            <w:pPr>
              <w:ind w:firstLine="0"/>
              <w:jc w:val="center"/>
              <w:rPr>
                <w:rFonts w:ascii="宋体" w:eastAsia="宋体" w:cs="宋体"/>
                <w:bCs/>
              </w:rPr>
            </w:pPr>
            <w:r>
              <w:rPr>
                <w:rFonts w:ascii="宋体" w:eastAsia="宋体" w:cs="宋体" w:hint="eastAsia"/>
                <w:bCs/>
              </w:rPr>
              <w:t>3</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核心产品</w:t>
            </w:r>
          </w:p>
        </w:tc>
        <w:tc>
          <w:tcPr>
            <w:tcW w:w="6183" w:type="dxa"/>
            <w:vAlign w:val="center"/>
          </w:tcPr>
          <w:p>
            <w:pPr>
              <w:spacing w:line="240" w:lineRule="auto"/>
              <w:ind w:firstLine="0"/>
              <w:rPr>
                <w:rFonts w:ascii="宋体" w:eastAsia="宋体" w:cs="宋体"/>
                <w:lang w:bidi="en-US"/>
              </w:rPr>
            </w:pPr>
            <w:r>
              <w:rPr>
                <w:rFonts w:ascii="宋体" w:eastAsia="宋体" w:cs="宋体" w:hint="eastAsia"/>
                <w:lang w:bidi="en-US"/>
              </w:rPr>
              <w:t>无</w:t>
            </w:r>
          </w:p>
        </w:tc>
      </w:tr>
      <w:tr>
        <w:tblPrEx>
          <w:tblW w:w="8603" w:type="dxa"/>
          <w:jc w:val="left"/>
          <w:tblInd w:w="0" w:type="dxa"/>
          <w:tblLayout w:type="fixed"/>
          <w:tblCellMar>
            <w:top w:w="0" w:type="dxa"/>
            <w:left w:w="108" w:type="dxa"/>
            <w:bottom w:w="0" w:type="dxa"/>
            <w:right w:w="108" w:type="dxa"/>
          </w:tblCellMar>
        </w:tblPrEx>
        <w:trPr>
          <w:trHeight w:val="1020"/>
          <w:jc w:val="left"/>
        </w:trPr>
        <w:tc>
          <w:tcPr>
            <w:tcW w:w="751" w:type="dxa"/>
            <w:vAlign w:val="center"/>
          </w:tcPr>
          <w:p>
            <w:pPr>
              <w:ind w:firstLine="0"/>
              <w:jc w:val="center"/>
              <w:rPr>
                <w:rFonts w:ascii="宋体" w:eastAsia="宋体" w:cs="宋体"/>
                <w:bCs/>
              </w:rPr>
            </w:pPr>
            <w:r>
              <w:rPr>
                <w:rFonts w:ascii="宋体" w:eastAsia="宋体" w:cs="宋体" w:hint="eastAsia"/>
                <w:bCs/>
              </w:rPr>
              <w:t>4</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信息安全要求</w:t>
            </w:r>
          </w:p>
        </w:tc>
        <w:tc>
          <w:tcPr>
            <w:tcW w:w="6183" w:type="dxa"/>
            <w:vAlign w:val="center"/>
          </w:tcPr>
          <w:p>
            <w:pPr>
              <w:ind w:firstLine="0"/>
              <w:rPr>
                <w:rFonts w:ascii="宋体" w:eastAsia="宋体" w:cs="宋体"/>
                <w:lang w:bidi="en-US"/>
              </w:rPr>
            </w:pPr>
            <w:r>
              <w:rPr>
                <w:rFonts w:ascii="宋体" w:eastAsia="宋体" w:cs="宋体" w:hint="eastAsia"/>
                <w:bCs/>
                <w:lang w:bidi="en-US"/>
              </w:rPr>
              <w:t xml:space="preserve">★ </w:t>
            </w:r>
            <w:r>
              <w:rPr>
                <w:rFonts w:ascii="宋体" w:eastAsia="宋体" w:cs="宋体" w:hint="eastAsia"/>
                <w:snapToGrid w:val="0"/>
                <w:lang w:val="zh-CN"/>
              </w:rPr>
              <w:t>投标人须</w:t>
            </w:r>
            <w:r>
              <w:rPr>
                <w:rFonts w:ascii="宋体" w:eastAsia="宋体" w:cs="宋体" w:hint="eastAsia"/>
                <w:snapToGrid w:val="0"/>
              </w:rPr>
              <w:t>提供安全承诺书</w:t>
            </w:r>
            <w:r>
              <w:rPr>
                <w:rFonts w:ascii="宋体" w:eastAsia="宋体" w:cs="宋体" w:hint="eastAsia"/>
                <w:snapToGrid w:val="0"/>
                <w:lang w:val="zh-CN"/>
              </w:rPr>
              <w:t>。（承诺内容包括</w:t>
            </w:r>
            <w:r>
              <w:rPr>
                <w:rFonts w:ascii="宋体" w:eastAsia="宋体" w:cs="宋体" w:hint="eastAsia"/>
                <w:snapToGrid w:val="0"/>
              </w:rPr>
              <w:t>系统不存在后门，如发现漏洞及时修复，</w:t>
            </w:r>
            <w:r>
              <w:rPr>
                <w:rFonts w:ascii="宋体" w:eastAsia="宋体" w:cs="宋体" w:hint="eastAsia"/>
                <w:snapToGrid w:val="0"/>
                <w:lang w:val="zh-CN"/>
              </w:rPr>
              <w:t>项目人员不得向外泄露海关相关信息等）。</w:t>
            </w:r>
            <w:r>
              <w:rPr>
                <w:rFonts w:ascii="宋体" w:eastAsia="宋体" w:cs="宋体" w:hint="eastAsia"/>
              </w:rPr>
              <w:t>提供《承诺函》并加盖单位公章</w:t>
            </w:r>
          </w:p>
        </w:tc>
      </w:tr>
      <w:tr>
        <w:tblPrEx>
          <w:tblW w:w="8603" w:type="dxa"/>
          <w:jc w:val="left"/>
          <w:tblInd w:w="0" w:type="dxa"/>
          <w:tblLayout w:type="fixed"/>
          <w:tblCellMar>
            <w:top w:w="0" w:type="dxa"/>
            <w:left w:w="108" w:type="dxa"/>
            <w:bottom w:w="0" w:type="dxa"/>
            <w:right w:w="108" w:type="dxa"/>
          </w:tblCellMar>
        </w:tblPrEx>
        <w:trPr>
          <w:trHeight w:val="940"/>
          <w:jc w:val="left"/>
        </w:trPr>
        <w:tc>
          <w:tcPr>
            <w:tcW w:w="751" w:type="dxa"/>
            <w:vAlign w:val="center"/>
          </w:tcPr>
          <w:p>
            <w:pPr>
              <w:ind w:firstLine="0"/>
              <w:jc w:val="center"/>
              <w:rPr>
                <w:rFonts w:ascii="宋体" w:eastAsia="宋体" w:cs="宋体"/>
                <w:bCs/>
              </w:rPr>
            </w:pPr>
            <w:r>
              <w:rPr>
                <w:rFonts w:ascii="宋体" w:eastAsia="宋体" w:cs="宋体" w:hint="eastAsia"/>
                <w:bCs/>
              </w:rPr>
              <w:t>5</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是否需要现场考察</w:t>
            </w:r>
          </w:p>
        </w:tc>
        <w:tc>
          <w:tcPr>
            <w:tcW w:w="6183" w:type="dxa"/>
            <w:vAlign w:val="center"/>
          </w:tcPr>
          <w:p>
            <w:pPr>
              <w:ind w:firstLine="0"/>
              <w:rPr>
                <w:rFonts w:ascii="宋体" w:eastAsia="宋体" w:cs="宋体"/>
                <w:lang w:bidi="en-US"/>
              </w:rPr>
            </w:pPr>
            <w:r>
              <w:rPr>
                <w:rFonts w:ascii="宋体" w:eastAsia="宋体" w:cs="宋体" w:hint="eastAsia"/>
                <w:lang w:bidi="en-US"/>
              </w:rPr>
              <w:t>无</w:t>
            </w:r>
          </w:p>
        </w:tc>
      </w:tr>
      <w:tr>
        <w:tblPrEx>
          <w:tblW w:w="8603" w:type="dxa"/>
          <w:jc w:val="left"/>
          <w:tblInd w:w="0" w:type="dxa"/>
          <w:tblLayout w:type="fixed"/>
          <w:tblCellMar>
            <w:top w:w="0" w:type="dxa"/>
            <w:left w:w="108" w:type="dxa"/>
            <w:bottom w:w="0" w:type="dxa"/>
            <w:right w:w="108" w:type="dxa"/>
          </w:tblCellMar>
        </w:tblPrEx>
        <w:trPr>
          <w:trHeight w:val="1020"/>
          <w:jc w:val="left"/>
        </w:trPr>
        <w:tc>
          <w:tcPr>
            <w:tcW w:w="751" w:type="dxa"/>
            <w:vAlign w:val="center"/>
          </w:tcPr>
          <w:p>
            <w:pPr>
              <w:ind w:firstLine="0"/>
              <w:jc w:val="center"/>
              <w:rPr>
                <w:rFonts w:ascii="宋体" w:eastAsia="宋体" w:cs="宋体"/>
                <w:bCs/>
              </w:rPr>
            </w:pPr>
            <w:r>
              <w:rPr>
                <w:rFonts w:ascii="宋体" w:eastAsia="宋体" w:cs="宋体" w:hint="eastAsia"/>
                <w:bCs/>
              </w:rPr>
              <w:t>6</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是否收取履约保证金</w:t>
            </w:r>
          </w:p>
        </w:tc>
        <w:tc>
          <w:tcPr>
            <w:tcW w:w="6183" w:type="dxa"/>
            <w:vAlign w:val="center"/>
          </w:tcPr>
          <w:p>
            <w:pPr>
              <w:ind w:firstLine="0"/>
              <w:rPr>
                <w:rFonts w:ascii="宋体" w:eastAsia="宋体" w:cs="宋体" w:hint="eastAsia"/>
                <w:lang w:eastAsia="zh-CN" w:bidi="en-US"/>
              </w:rPr>
            </w:pPr>
            <w:r>
              <w:rPr>
                <w:rFonts w:ascii="宋体" w:eastAsia="宋体" w:cs="宋体" w:hint="eastAsia"/>
                <w:lang w:val="en-US" w:eastAsia="zh-CN" w:bidi="en-US"/>
              </w:rPr>
              <w:t>无</w:t>
            </w:r>
          </w:p>
        </w:tc>
      </w:tr>
      <w:tr>
        <w:tblPrEx>
          <w:tblW w:w="8603" w:type="dxa"/>
          <w:jc w:val="left"/>
          <w:tblInd w:w="0" w:type="dxa"/>
          <w:tblLayout w:type="fixed"/>
          <w:tblCellMar>
            <w:top w:w="0" w:type="dxa"/>
            <w:left w:w="108" w:type="dxa"/>
            <w:bottom w:w="0" w:type="dxa"/>
            <w:right w:w="108" w:type="dxa"/>
          </w:tblCellMar>
        </w:tblPrEx>
        <w:trPr>
          <w:trHeight w:val="1019"/>
          <w:jc w:val="left"/>
        </w:trPr>
        <w:tc>
          <w:tcPr>
            <w:tcW w:w="751" w:type="dxa"/>
            <w:vAlign w:val="center"/>
          </w:tcPr>
          <w:p>
            <w:pPr>
              <w:ind w:firstLine="0"/>
              <w:jc w:val="center"/>
              <w:rPr>
                <w:rFonts w:ascii="宋体" w:eastAsia="宋体" w:cs="宋体"/>
                <w:bCs/>
              </w:rPr>
            </w:pPr>
            <w:r>
              <w:rPr>
                <w:rFonts w:ascii="宋体" w:eastAsia="宋体" w:cs="宋体" w:hint="eastAsia"/>
                <w:bCs/>
              </w:rPr>
              <w:t>7</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支付方式</w:t>
            </w:r>
          </w:p>
        </w:tc>
        <w:tc>
          <w:tcPr>
            <w:tcW w:w="6183" w:type="dxa"/>
            <w:vAlign w:val="center"/>
          </w:tcPr>
          <w:p>
            <w:pPr>
              <w:ind w:firstLine="0"/>
              <w:rPr>
                <w:rFonts w:ascii="宋体" w:eastAsia="宋体" w:cs="宋体"/>
                <w:bCs/>
                <w:lang w:bidi="en-US"/>
              </w:rPr>
            </w:pPr>
            <w:r>
              <w:rPr>
                <w:rFonts w:ascii="宋体" w:hAnsi="宋体" w:cs="宋体" w:hint="eastAsia"/>
                <w:bCs/>
              </w:rPr>
              <w:t>支付方式：合同签订且乙方完成软件需求规格书、系统设计审核确认后，支付合同款项的</w:t>
            </w:r>
            <w:r>
              <w:rPr>
                <w:rFonts w:ascii="宋体" w:eastAsia="宋体" w:cs="宋体"/>
                <w:bCs/>
                <w:color w:val="000000"/>
                <w:lang w:val="en-US" w:eastAsia="zh-CN"/>
              </w:rPr>
              <w:t>2</w:t>
            </w:r>
            <w:r>
              <w:rPr>
                <w:rFonts w:ascii="宋体" w:hAnsi="宋体" w:cs="宋体" w:hint="eastAsia"/>
                <w:bCs/>
                <w:color w:val="000000"/>
              </w:rPr>
              <w:t>0%；系统上线后，支付合同款项的</w:t>
            </w:r>
            <w:r>
              <w:rPr>
                <w:rFonts w:ascii="宋体" w:eastAsia="宋体" w:cs="宋体"/>
                <w:bCs/>
                <w:color w:val="000000"/>
                <w:lang w:val="en-US" w:eastAsia="zh-CN"/>
              </w:rPr>
              <w:t>7</w:t>
            </w:r>
            <w:r>
              <w:rPr>
                <w:rFonts w:ascii="宋体" w:hAnsi="宋体" w:cs="宋体" w:hint="eastAsia"/>
                <w:bCs/>
                <w:color w:val="000000"/>
              </w:rPr>
              <w:t>0%；合同验收后，支</w:t>
            </w:r>
            <w:r>
              <w:rPr>
                <w:rFonts w:ascii="宋体" w:hAnsi="宋体" w:cs="宋体" w:hint="eastAsia"/>
                <w:bCs/>
              </w:rPr>
              <w:t>付合同款项的10%。</w:t>
            </w:r>
          </w:p>
        </w:tc>
      </w:tr>
    </w:tbl>
    <w:p>
      <w:pPr>
        <w:ind w:firstLine="0"/>
        <w:rPr>
          <w:rFonts w:eastAsia="宋体"/>
        </w:rPr>
      </w:pPr>
    </w:p>
    <w:p>
      <w:pPr>
        <w:ind w:firstLine="0"/>
        <w:rPr>
          <w:rFonts w:eastAsia="宋体"/>
        </w:rPr>
      </w:pPr>
    </w:p>
    <w:p>
      <w:pPr>
        <w:numPr>
          <w:ilvl w:val="0"/>
          <w:numId w:val="2"/>
        </w:numPr>
        <w:rPr>
          <w:rFonts w:ascii="宋体" w:eastAsia="宋体" w:cs="宋体" w:hint="eastAsia"/>
        </w:rPr>
      </w:pPr>
      <w:bookmarkStart w:id="35" w:name="项目概述"/>
      <w:r>
        <w:rPr>
          <w:rFonts w:ascii="宋体" w:eastAsia="宋体" w:cs="宋体" w:hint="eastAsia"/>
        </w:rPr>
        <w:t>项目概述</w:t>
      </w:r>
      <w:bookmarkEnd w:id="35"/>
    </w:p>
    <w:tbl>
      <w:tblPr>
        <w:tblW w:w="858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1630"/>
        <w:gridCol w:w="6193"/>
      </w:tblGrid>
      <w:tr>
        <w:tblPrEx>
          <w:tblW w:w="858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b/>
              </w:rPr>
            </w:pPr>
            <w:r>
              <w:rPr>
                <w:rFonts w:ascii="宋体" w:eastAsia="宋体" w:cs="宋体" w:hint="eastAsia"/>
                <w:b/>
              </w:rPr>
              <w:t>序号</w:t>
            </w:r>
          </w:p>
        </w:tc>
        <w:tc>
          <w:tcPr>
            <w:tcW w:w="1630"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b/>
              </w:rPr>
            </w:pPr>
            <w:r>
              <w:rPr>
                <w:rFonts w:ascii="宋体" w:eastAsia="宋体" w:cs="宋体" w:hint="eastAsia"/>
                <w:b/>
              </w:rPr>
              <w:t>内容</w:t>
            </w:r>
          </w:p>
        </w:tc>
        <w:tc>
          <w:tcPr>
            <w:tcW w:w="6193"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b/>
              </w:rPr>
            </w:pPr>
            <w:bookmarkStart w:id="36" w:name="项目概述_Title_说明_Required_Table"/>
            <w:r>
              <w:rPr>
                <w:rFonts w:ascii="宋体" w:eastAsia="宋体" w:cs="宋体" w:hint="eastAsia"/>
                <w:b/>
              </w:rPr>
              <w:t>说明</w:t>
            </w:r>
            <w:bookmarkEnd w:id="36"/>
          </w:p>
        </w:tc>
      </w:tr>
      <w:tr>
        <w:tblPrEx>
          <w:tblW w:w="8581" w:type="dxa"/>
          <w:jc w:val="left"/>
          <w:tblInd w:w="0" w:type="dxa"/>
          <w:tblLayout w:type="fixed"/>
          <w:tblCellMar>
            <w:top w:w="0" w:type="dxa"/>
            <w:left w:w="108" w:type="dxa"/>
            <w:bottom w:w="0" w:type="dxa"/>
            <w:right w:w="108" w:type="dxa"/>
          </w:tblCellMar>
        </w:tblPrEx>
        <w:trPr>
          <w:trHeight w:val="526"/>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Cs/>
              </w:rPr>
              <w:t>1</w:t>
            </w:r>
          </w:p>
        </w:tc>
        <w:tc>
          <w:tcPr>
            <w:tcW w:w="163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项目背景</w:t>
            </w:r>
          </w:p>
        </w:tc>
        <w:tc>
          <w:tcPr>
            <w:tcW w:w="6193" w:type="dxa"/>
            <w:tcBorders>
              <w:top w:val="single" w:sz="4" w:space="0" w:color="auto"/>
              <w:left w:val="single" w:sz="4" w:space="0" w:color="auto"/>
              <w:bottom w:val="single" w:sz="4" w:space="0" w:color="auto"/>
              <w:right w:val="single" w:sz="4" w:space="0" w:color="auto"/>
            </w:tcBorders>
            <w:noWrap/>
            <w:vAlign w:val="center"/>
          </w:tcPr>
          <w:p>
            <w:r>
              <w:rPr>
                <w:rFonts w:hint="eastAsia"/>
              </w:rPr>
              <w:t>加强税收征管是海关的法定职责，海关税收约占中央财政收入的四分之一，是国家财政的重要来源。全国通关一体化改革后，海关税收征管模式、体制机制发生颠覆性变革，实现了全国海关税收执法的集约、统一，有力促进了整体通关效率的提升，海关税收总量由改革前的1.5万亿元增至2.3万亿元，为经济社会发展提供了有力的财力保障。然而，关税领域业务复杂，运行亟需创新应用技术手段，依托信息化、智能化系统强化统一执法、协同监管、风险防控和高效服务。</w:t>
            </w:r>
          </w:p>
          <w:p>
            <w:pPr>
              <w:rPr>
                <w:rFonts w:ascii="宋体" w:eastAsia="宋体" w:cs="宋体"/>
                <w:spacing w:val="-4"/>
              </w:rPr>
            </w:pPr>
            <w:r>
              <w:rPr>
                <w:rFonts w:ascii="宋体" w:eastAsia="宋体" w:cs="宋体" w:hint="eastAsia"/>
                <w:spacing w:val="-4"/>
              </w:rPr>
              <w:t>税收风险大数据智能筛查系统在一期建设中已取得显著成效，通过自然语言处理、海量数据分析等措施实现了“未知风险”和“已知风险”的联动防控，提高了风险分析的准确性和前瞻性，填补了领域空白。</w:t>
            </w:r>
          </w:p>
          <w:p>
            <w:pPr>
              <w:rPr>
                <w:rFonts w:ascii="宋体" w:eastAsia="宋体" w:cs="宋体"/>
                <w:spacing w:val="-4"/>
              </w:rPr>
            </w:pPr>
            <w:r>
              <w:rPr>
                <w:rFonts w:ascii="宋体" w:eastAsia="宋体" w:cs="宋体" w:hint="eastAsia"/>
                <w:spacing w:val="-4"/>
              </w:rPr>
              <w:t>随着业务需求的不断深化和智慧海关总体要求的快速推进，迫切需要在现有系统的用户体验、商品类别覆盖范围、模型管理、规范申报要素和数据标注等多个方面进一步扩大和补充，以便适应系统的智能化水平和整体效能提高，确保海关税收管理能够持续适应复杂多变的业务环境，全面支撑国家经济社会的高质量发展。</w:t>
            </w:r>
          </w:p>
        </w:tc>
      </w:tr>
      <w:tr>
        <w:tblPrEx>
          <w:tblW w:w="8581" w:type="dxa"/>
          <w:jc w:val="left"/>
          <w:tblInd w:w="0" w:type="dxa"/>
          <w:tblLayout w:type="fixed"/>
          <w:tblCellMar>
            <w:top w:w="0" w:type="dxa"/>
            <w:left w:w="108" w:type="dxa"/>
            <w:bottom w:w="0" w:type="dxa"/>
            <w:right w:w="108" w:type="dxa"/>
          </w:tblCellMar>
        </w:tblPrEx>
        <w:trPr>
          <w:trHeight w:val="1273"/>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Cs/>
              </w:rPr>
              <w:t>2</w:t>
            </w:r>
          </w:p>
        </w:tc>
        <w:tc>
          <w:tcPr>
            <w:tcW w:w="163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执行依据</w:t>
            </w:r>
          </w:p>
        </w:tc>
        <w:tc>
          <w:tcPr>
            <w:tcW w:w="6193" w:type="dxa"/>
            <w:tcBorders>
              <w:top w:val="single" w:sz="4" w:space="0" w:color="auto"/>
              <w:left w:val="single" w:sz="4" w:space="0" w:color="auto"/>
              <w:bottom w:val="single" w:sz="4" w:space="0" w:color="auto"/>
              <w:right w:val="single" w:sz="4" w:space="0" w:color="auto"/>
            </w:tcBorders>
            <w:noWrap/>
            <w:vAlign w:val="center"/>
          </w:tcPr>
          <w:p>
            <w:pPr>
              <w:ind w:firstLine="0"/>
              <w:rPr>
                <w:rFonts w:ascii="宋体" w:eastAsia="宋体"/>
                <w:lang w:bidi="en-US"/>
              </w:rPr>
            </w:pPr>
            <w:r>
              <w:rPr>
                <w:rFonts w:ascii="宋体" w:eastAsia="宋体" w:hint="eastAsia"/>
                <w:lang w:bidi="en-US"/>
              </w:rPr>
              <w:t>《中华人民共和国海关法》（中华人民共和国主席令第81号）</w:t>
            </w:r>
          </w:p>
          <w:p>
            <w:pPr>
              <w:ind w:firstLine="0"/>
              <w:rPr>
                <w:rFonts w:ascii="宋体" w:eastAsia="宋体"/>
                <w:lang w:bidi="en-US"/>
              </w:rPr>
            </w:pPr>
            <w:r>
              <w:rPr>
                <w:rFonts w:ascii="宋体" w:eastAsia="宋体" w:hint="eastAsia"/>
                <w:lang w:bidi="en-US"/>
              </w:rPr>
              <w:t>《中华人民共和国进出口关税条例》（中华人民共和国国务院令第676号）</w:t>
            </w:r>
          </w:p>
          <w:p>
            <w:pPr>
              <w:ind w:firstLine="0"/>
              <w:rPr>
                <w:rFonts w:ascii="宋体" w:eastAsia="宋体"/>
                <w:lang w:bidi="en-US"/>
              </w:rPr>
            </w:pPr>
            <w:r>
              <w:rPr>
                <w:rFonts w:ascii="宋体" w:eastAsia="宋体" w:hint="eastAsia"/>
                <w:lang w:bidi="en-US"/>
              </w:rPr>
              <w:t>《中华人民共和国海关审定进出口货物完税价格办法》（海关总署令第213号）</w:t>
            </w:r>
          </w:p>
          <w:p>
            <w:pPr>
              <w:ind w:firstLine="0"/>
              <w:rPr>
                <w:rFonts w:ascii="宋体" w:eastAsia="宋体"/>
                <w:lang w:bidi="en-US"/>
              </w:rPr>
            </w:pPr>
            <w:r>
              <w:rPr>
                <w:rFonts w:ascii="宋体" w:eastAsia="宋体" w:hint="eastAsia"/>
                <w:lang w:bidi="en-US"/>
              </w:rPr>
              <w:t>《中华人民共和国海关审定内销保税货物完税价格办法》</w:t>
            </w:r>
            <w:r>
              <w:rPr>
                <w:rFonts w:ascii="宋体" w:eastAsia="宋体" w:hint="eastAsia"/>
                <w:lang w:eastAsia="zh-CN" w:bidi="en-US"/>
              </w:rPr>
              <w:t>（</w:t>
            </w:r>
            <w:r>
              <w:rPr>
                <w:rFonts w:ascii="宋体" w:eastAsia="宋体" w:hint="eastAsia"/>
                <w:lang w:bidi="en-US"/>
              </w:rPr>
              <w:t>海关总署令第211号</w:t>
            </w:r>
            <w:r>
              <w:rPr>
                <w:rFonts w:ascii="宋体" w:eastAsia="宋体" w:hint="eastAsia"/>
                <w:lang w:eastAsia="zh-CN" w:bidi="en-US"/>
              </w:rPr>
              <w:t>）</w:t>
            </w:r>
          </w:p>
          <w:p>
            <w:pPr>
              <w:ind w:firstLine="0"/>
              <w:rPr>
                <w:rFonts w:ascii="宋体" w:eastAsia="宋体"/>
                <w:lang w:bidi="en-US"/>
              </w:rPr>
            </w:pPr>
            <w:r>
              <w:rPr>
                <w:rFonts w:ascii="宋体" w:eastAsia="宋体" w:hint="eastAsia"/>
                <w:lang w:bidi="en-US"/>
              </w:rPr>
              <w:t>《中华人民共和国海关进出口货物征税管理办法》</w:t>
            </w:r>
          </w:p>
          <w:p>
            <w:pPr>
              <w:ind w:firstLine="0"/>
              <w:rPr>
                <w:rFonts w:ascii="宋体" w:eastAsia="宋体"/>
                <w:lang w:bidi="en-US"/>
              </w:rPr>
            </w:pPr>
            <w:r>
              <w:rPr>
                <w:rFonts w:ascii="宋体" w:eastAsia="宋体" w:hint="eastAsia"/>
                <w:lang w:bidi="en-US"/>
              </w:rPr>
              <w:t>《海关总署公告2018年第15号关于公布&lt;中华人民共和国海关进出口货物征税管理办法&gt;涉及法律文书格式的公告》</w:t>
            </w:r>
          </w:p>
          <w:p>
            <w:pPr>
              <w:ind w:firstLine="0"/>
              <w:rPr>
                <w:rFonts w:ascii="宋体" w:eastAsia="宋体"/>
                <w:lang w:bidi="en-US"/>
              </w:rPr>
            </w:pPr>
            <w:r>
              <w:rPr>
                <w:rFonts w:ascii="宋体" w:eastAsia="宋体" w:hint="eastAsia"/>
                <w:lang w:bidi="en-US"/>
              </w:rPr>
              <w:t>《关于明确税款滞纳金减免相关事宜的公告》（海关总署2015年27号公告）</w:t>
            </w:r>
          </w:p>
          <w:p>
            <w:pPr>
              <w:ind w:firstLine="0"/>
              <w:rPr>
                <w:rFonts w:ascii="宋体" w:eastAsia="宋体"/>
                <w:lang w:bidi="en-US"/>
              </w:rPr>
            </w:pPr>
            <w:r>
              <w:rPr>
                <w:rFonts w:ascii="宋体" w:eastAsia="宋体" w:hint="eastAsia"/>
                <w:lang w:bidi="en-US"/>
              </w:rPr>
              <w:t>《关于进一步明确税款滞纳金减免事宜的公告》（海关总署2017</w:t>
            </w:r>
            <w:r>
              <w:rPr>
                <w:rFonts w:ascii="宋体" w:eastAsia="宋体" w:hint="eastAsia"/>
                <w:lang w:eastAsia="zh-CN" w:bidi="en-US"/>
              </w:rPr>
              <w:t>年第</w:t>
            </w:r>
            <w:r>
              <w:rPr>
                <w:rFonts w:ascii="宋体" w:eastAsia="宋体" w:hint="eastAsia"/>
                <w:lang w:bidi="en-US"/>
              </w:rPr>
              <w:t>32号公告）</w:t>
            </w:r>
          </w:p>
          <w:p>
            <w:pPr>
              <w:ind w:firstLine="0"/>
              <w:rPr>
                <w:rFonts w:ascii="宋体" w:eastAsia="宋体"/>
                <w:lang w:bidi="en-US"/>
              </w:rPr>
            </w:pPr>
            <w:r>
              <w:rPr>
                <w:rFonts w:ascii="宋体" w:eastAsia="宋体" w:hint="eastAsia"/>
                <w:lang w:bidi="en-US"/>
              </w:rPr>
              <w:t>《中华人民共和国海关进出口货物减免税管理办法》</w:t>
            </w:r>
            <w:r>
              <w:rPr>
                <w:rFonts w:ascii="宋体" w:eastAsia="宋体" w:hint="eastAsia"/>
                <w:lang w:eastAsia="zh-CN" w:bidi="en-US"/>
              </w:rPr>
              <w:t>（</w:t>
            </w:r>
            <w:r>
              <w:rPr>
                <w:rFonts w:ascii="宋体" w:eastAsia="宋体" w:hint="eastAsia"/>
                <w:lang w:bidi="en-US"/>
              </w:rPr>
              <w:t>海关总署令第245号</w:t>
            </w:r>
            <w:r>
              <w:rPr>
                <w:rFonts w:ascii="宋体" w:eastAsia="宋体" w:hint="eastAsia"/>
                <w:lang w:eastAsia="zh-CN" w:bidi="en-US"/>
              </w:rPr>
              <w:t>）</w:t>
            </w:r>
            <w:r>
              <w:rPr>
                <w:rFonts w:ascii="宋体" w:eastAsia="宋体" w:hint="eastAsia"/>
                <w:lang w:bidi="en-US"/>
              </w:rPr>
              <w:t xml:space="preserve"> </w:t>
            </w:r>
          </w:p>
          <w:p>
            <w:pPr>
              <w:ind w:firstLine="0"/>
              <w:rPr>
                <w:rFonts w:ascii="宋体" w:eastAsia="宋体" w:cs="宋体"/>
                <w:spacing w:val="-4"/>
              </w:rPr>
            </w:pPr>
            <w:r>
              <w:rPr>
                <w:rFonts w:ascii="宋体" w:eastAsia="宋体" w:hint="eastAsia"/>
                <w:lang w:bidi="en-US"/>
              </w:rPr>
              <w:t>《中华人民共和国海关进出口货物优惠原产地管理规定》</w:t>
            </w:r>
          </w:p>
        </w:tc>
      </w:tr>
      <w:tr>
        <w:tblPrEx>
          <w:tblW w:w="8581" w:type="dxa"/>
          <w:jc w:val="left"/>
          <w:tblInd w:w="0" w:type="dxa"/>
          <w:tblLayout w:type="fixed"/>
          <w:tblCellMar>
            <w:top w:w="0" w:type="dxa"/>
            <w:left w:w="108" w:type="dxa"/>
            <w:bottom w:w="0" w:type="dxa"/>
            <w:right w:w="108" w:type="dxa"/>
          </w:tblCellMar>
        </w:tblPrEx>
        <w:trPr>
          <w:trHeight w:val="253"/>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Cs/>
              </w:rPr>
              <w:t>3</w:t>
            </w:r>
          </w:p>
        </w:tc>
        <w:tc>
          <w:tcPr>
            <w:tcW w:w="163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项目内容</w:t>
            </w:r>
          </w:p>
        </w:tc>
        <w:tc>
          <w:tcPr>
            <w:tcW w:w="6193" w:type="dxa"/>
            <w:tcBorders>
              <w:top w:val="single" w:sz="4" w:space="0" w:color="auto"/>
              <w:left w:val="single" w:sz="4" w:space="0" w:color="auto"/>
              <w:bottom w:val="single" w:sz="4" w:space="0" w:color="auto"/>
              <w:right w:val="single" w:sz="4" w:space="0" w:color="auto"/>
            </w:tcBorders>
            <w:noWrap/>
            <w:vAlign w:val="center"/>
          </w:tcPr>
          <w:p>
            <w:pPr>
              <w:ind w:firstLine="480" w:firstLineChars="200"/>
              <w:rPr>
                <w:rFonts w:ascii="宋体" w:eastAsia="宋体" w:cs="宋体"/>
                <w:spacing w:val="-4"/>
                <w:lang w:val="zh-CN"/>
              </w:rPr>
            </w:pPr>
            <w:r>
              <w:rPr>
                <w:rFonts w:ascii="宋体" w:eastAsia="宋体" w:hint="eastAsia"/>
                <w:lang w:val="en-US" w:eastAsia="zh-CN" w:bidi="en-US"/>
              </w:rPr>
              <w:t>项目已完成一期建设，基于智能模型算法实现了归类、价格、产地等涉税风险要素在海量数据中的提取分析</w:t>
            </w:r>
            <w:r>
              <w:rPr>
                <w:rFonts w:ascii="宋体" w:eastAsia="宋体" w:hint="eastAsia"/>
                <w:lang w:eastAsia="zh-CN" w:bidi="en-US"/>
              </w:rPr>
              <w:t>，</w:t>
            </w:r>
            <w:r>
              <w:rPr>
                <w:rFonts w:ascii="宋体" w:eastAsia="宋体" w:hint="eastAsia"/>
                <w:lang w:val="en-US" w:eastAsia="zh-CN" w:bidi="en-US"/>
              </w:rPr>
              <w:t>本期</w:t>
            </w:r>
            <w:r>
              <w:rPr>
                <w:rFonts w:ascii="宋体" w:eastAsia="宋体" w:hint="eastAsia"/>
                <w:lang w:bidi="en-US"/>
              </w:rPr>
              <w:t>将对现有功能进行升级改造，并新增定制筛功能，通过自定义筛查规则和参数提供灵活精准的风险识别解决方案，满足复杂税收管理需求。扩展模型覆盖范围，增加对更多商品类别和业务场景的支持，确保系统能够适应多样化的税收管理需求。通过完善模型管理和算法，采用先进的数据分析技术和自然语言处理算法，提升系统在处理复杂申报数据时的智能化水平和准确性。升级核心标注程序，确保从实验室系统向生产系统的完整过渡。全面升级系统架构，结合海关应用</w:t>
            </w:r>
            <w:r>
              <w:rPr>
                <w:rFonts w:ascii="宋体" w:eastAsia="宋体" w:hint="eastAsia"/>
                <w:lang w:val="en-US" w:eastAsia="zh-CN" w:bidi="en-US"/>
              </w:rPr>
              <w:t>支撑</w:t>
            </w:r>
            <w:r>
              <w:rPr>
                <w:rFonts w:ascii="宋体" w:eastAsia="宋体" w:hint="eastAsia"/>
                <w:lang w:bidi="en-US"/>
              </w:rPr>
              <w:t>平台的框架结构和技术特点进行改造，增强系统的稳定性和</w:t>
            </w:r>
            <w:r>
              <w:rPr>
                <w:rFonts w:ascii="宋体" w:eastAsia="宋体" w:hint="eastAsia"/>
                <w:lang w:eastAsia="zh-CN" w:bidi="en-US"/>
              </w:rPr>
              <w:t>可扩展性</w:t>
            </w:r>
            <w:r>
              <w:rPr>
                <w:rFonts w:ascii="宋体" w:eastAsia="宋体" w:hint="eastAsia"/>
                <w:lang w:bidi="en-US"/>
              </w:rPr>
              <w:t>，实现运维服务的一体化。进行系统集成与全面测试，确保新功能和改进措施的有效性和可靠性，确保平稳过渡系统改造功能的正常运行。数据源向云平台迁移，满足海关统一部署并确保各类业务数据的实时更新和一致性。改造多数据源的适配与数据质量管理，提升数据采集的准确性和系统兼容性。优化数据加载管理，提升数据处理的效率和可靠性。优化和提升用户体验，优化升级风险筛查及报告分享逻辑，便于系统更加直观、易用，提高海关人员的工作效率。通过这些全面的改造和优化措施，系统将具备更高的智能化水平、稳定性和扩展性，全力支持智慧海关建设。</w:t>
            </w:r>
          </w:p>
        </w:tc>
      </w:tr>
      <w:tr>
        <w:tblPrEx>
          <w:tblW w:w="8581" w:type="dxa"/>
          <w:jc w:val="left"/>
          <w:tblInd w:w="0" w:type="dxa"/>
          <w:tblLayout w:type="fixed"/>
          <w:tblCellMar>
            <w:top w:w="0" w:type="dxa"/>
            <w:left w:w="108" w:type="dxa"/>
            <w:bottom w:w="0" w:type="dxa"/>
            <w:right w:w="108" w:type="dxa"/>
          </w:tblCellMar>
        </w:tblPrEx>
        <w:trPr>
          <w:trHeight w:val="53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4</w:t>
            </w:r>
          </w:p>
        </w:tc>
        <w:tc>
          <w:tcPr>
            <w:tcW w:w="163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项目范围</w:t>
            </w:r>
          </w:p>
        </w:tc>
        <w:tc>
          <w:tcPr>
            <w:tcW w:w="6193" w:type="dxa"/>
            <w:tcBorders>
              <w:top w:val="single" w:sz="4" w:space="0" w:color="auto"/>
              <w:left w:val="single" w:sz="4" w:space="0" w:color="auto"/>
              <w:bottom w:val="single" w:sz="4" w:space="0" w:color="auto"/>
              <w:right w:val="single" w:sz="4" w:space="0" w:color="auto"/>
            </w:tcBorders>
            <w:noWrap/>
            <w:vAlign w:val="center"/>
          </w:tcPr>
          <w:p>
            <w:pPr>
              <w:ind w:firstLine="480" w:firstLineChars="200"/>
              <w:rPr>
                <w:rFonts w:ascii="宋体" w:eastAsia="宋体" w:cs="宋体"/>
              </w:rPr>
            </w:pPr>
            <w:r>
              <w:rPr>
                <w:rFonts w:ascii="宋体" w:eastAsia="宋体" w:cs="宋体" w:hint="eastAsia"/>
              </w:rPr>
              <w:t>本项目范围涵盖多个关键业务领域，总体上确保在智慧关税项目范畴内的高效实施。首先，在一期项目基础上，根据海关用户反馈意见进行全面升级改造，优化系统的用户体验和操作流程。新增定制筛功能，提供灵活精准的风险识别解决方案，满足海关税收风险管理的复杂需求。扩展模型覆盖范围，支持更多商品类别和业务场景，以满足各税管局的多样化业务需求。完善模型管理和算法，允许业务人员参与模型的定制和微调，提升系统的智能化水平和处理复杂数据的准确性。升级核心标注程序，统一开发语言和通信标准，确保数据标注的规范性和一致性。</w:t>
            </w:r>
          </w:p>
          <w:p>
            <w:pPr>
              <w:ind w:firstLine="480" w:firstLineChars="200"/>
              <w:rPr>
                <w:rFonts w:ascii="宋体" w:eastAsia="宋体" w:cs="宋体"/>
              </w:rPr>
            </w:pPr>
            <w:r>
              <w:rPr>
                <w:rFonts w:ascii="宋体" w:eastAsia="宋体" w:cs="宋体" w:hint="eastAsia"/>
              </w:rPr>
              <w:t>全面升级系统架构，结合海关“四横四纵”信息化体系架构和“五平台”“三机制”的科技支撑能力，按照“大平台、微服务、富生态”的理念，升级“数智筛”应用。完成基础</w:t>
            </w:r>
            <w:r>
              <w:rPr>
                <w:rFonts w:ascii="宋体" w:eastAsia="宋体" w:hint="eastAsia"/>
                <w:lang w:bidi="en-US"/>
              </w:rPr>
              <w:t>数据源向云平台迁移</w:t>
            </w:r>
            <w:r>
              <w:rPr>
                <w:rFonts w:ascii="宋体" w:eastAsia="宋体" w:cs="宋体" w:hint="eastAsia"/>
              </w:rPr>
              <w:t>，确保各类业务数据的及时更新和一致性，涵盖企业数据、国别数据、贸易方式数据、币种数据、税则数据、关区数据、报关单表头表体数据和计税数据的同步管理。改造数据采集管理，优化多数据源适配与数据质量管理，确保数据准确性和系统兼容性。</w:t>
            </w:r>
          </w:p>
          <w:p>
            <w:pPr>
              <w:ind w:firstLine="480" w:firstLineChars="200"/>
              <w:rPr>
                <w:rFonts w:ascii="宋体" w:eastAsia="宋体" w:cs="宋体"/>
              </w:rPr>
            </w:pPr>
            <w:r>
              <w:rPr>
                <w:rFonts w:ascii="宋体" w:eastAsia="宋体" w:cs="宋体" w:hint="eastAsia"/>
              </w:rPr>
              <w:t>升级数据加载管理，提升数据处理和传输效率，通过并行数据加载和缓存策略管理优化内存使用，确保任务按时完成。优化内存管理，提升系统性能和稳定性，通过内存分配策略、垃圾回收策略、内存数据压缩和内存监控改造实现高效的内存管理。规范申报要素编码，实现“一义一码”，统一申报要素数据分析标准和过程，提高数据的可读性和操作性，支持高效的风险识别和数据分析。</w:t>
            </w:r>
          </w:p>
          <w:p>
            <w:pPr>
              <w:ind w:firstLine="480" w:firstLineChars="200"/>
              <w:rPr>
                <w:rFonts w:ascii="宋体" w:eastAsia="宋体" w:cs="宋体"/>
                <w:spacing w:val="-4"/>
              </w:rPr>
            </w:pPr>
            <w:r>
              <w:rPr>
                <w:rFonts w:ascii="宋体" w:eastAsia="宋体" w:cs="宋体" w:hint="eastAsia"/>
              </w:rPr>
              <w:t>新增语料训练系统对接功能，提升数据处理的精准性和系统的智能化水平，通过语料库接口对接和数据维护功能，确保数据持续更新和一致性。新增和优化多任务管理功能，提升任务管理能力和效率，包括全量同步任务、增量同步任务、数据采集任务、数据标注任务、数据加载任务、分析日志清理和任务日志清理等。新增和优化系统安全日志清理功能，确保数据时效性和系统安全性。</w:t>
            </w:r>
          </w:p>
        </w:tc>
      </w:tr>
      <w:tr>
        <w:tblPrEx>
          <w:tblW w:w="8581" w:type="dxa"/>
          <w:jc w:val="left"/>
          <w:tblInd w:w="0" w:type="dxa"/>
          <w:tblLayout w:type="fixed"/>
          <w:tblCellMar>
            <w:top w:w="0" w:type="dxa"/>
            <w:left w:w="108" w:type="dxa"/>
            <w:bottom w:w="0" w:type="dxa"/>
            <w:right w:w="108" w:type="dxa"/>
          </w:tblCellMar>
        </w:tblPrEx>
        <w:trPr>
          <w:trHeight w:val="90"/>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5</w:t>
            </w:r>
          </w:p>
        </w:tc>
        <w:tc>
          <w:tcPr>
            <w:tcW w:w="163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需求分析</w:t>
            </w:r>
          </w:p>
        </w:tc>
        <w:tc>
          <w:tcPr>
            <w:tcW w:w="6193" w:type="dxa"/>
            <w:tcBorders>
              <w:top w:val="single" w:sz="4" w:space="0" w:color="auto"/>
              <w:left w:val="single" w:sz="4" w:space="0" w:color="auto"/>
              <w:bottom w:val="single" w:sz="4" w:space="0" w:color="auto"/>
              <w:right w:val="single" w:sz="4" w:space="0" w:color="auto"/>
            </w:tcBorders>
            <w:noWrap/>
            <w:vAlign w:val="center"/>
          </w:tcPr>
          <w:p>
            <w:pPr>
              <w:ind w:firstLine="480" w:firstLineChars="200"/>
              <w:rPr>
                <w:rFonts w:ascii="宋体" w:eastAsia="宋体" w:cs="宋体"/>
                <w:spacing w:val="-4"/>
              </w:rPr>
            </w:pPr>
            <w:r>
              <w:rPr>
                <w:rFonts w:ascii="宋体" w:eastAsia="宋体" w:cs="宋体" w:hint="eastAsia"/>
                <w:spacing w:val="-4"/>
              </w:rPr>
              <w:t>1、升级改造风险分析和报告管理</w:t>
            </w:r>
          </w:p>
          <w:p>
            <w:pPr>
              <w:ind w:firstLine="480" w:firstLineChars="200"/>
              <w:rPr>
                <w:rFonts w:ascii="宋体" w:eastAsia="宋体" w:cs="宋体"/>
                <w:spacing w:val="-4"/>
              </w:rPr>
            </w:pPr>
            <w:r>
              <w:rPr>
                <w:rFonts w:ascii="宋体" w:eastAsia="宋体" w:cs="宋体" w:hint="eastAsia"/>
                <w:spacing w:val="-4"/>
              </w:rPr>
              <w:t>全面升级筛选条件和处理逻辑，提升系统的交互体验；加强复杂逻辑的分析和权限控制机制，确保数据处理和分析的精确性；优化任务执行和反馈机制，大幅提升系统响应速度和用户操作体验；强化数据保存和报告生成功能，确保数据的一致性和报告的准确性；改进查询功能和数据过滤逻辑，确保系统在高负载情况下的稳定性和安全性。新增报告分享功能，支持灵活的数据分享需求。通过全面且深入的升级改造措施，大幅提升系统的智能化水平和整体效能，以满足复杂和多样化的业务需求，全力支持智慧海关建设，确保系统在高强度和高复杂性的业务环境中持续稳定高效运行。</w:t>
            </w:r>
          </w:p>
          <w:p>
            <w:pPr>
              <w:ind w:firstLine="480" w:firstLineChars="200"/>
              <w:rPr>
                <w:rFonts w:ascii="宋体" w:eastAsia="宋体" w:cs="宋体"/>
                <w:spacing w:val="-4"/>
              </w:rPr>
            </w:pPr>
            <w:r>
              <w:rPr>
                <w:rFonts w:ascii="宋体" w:eastAsia="宋体" w:cs="宋体" w:hint="eastAsia"/>
                <w:spacing w:val="-4"/>
              </w:rPr>
              <w:t>2、新增定制筛风险分析和报告管理</w:t>
            </w:r>
          </w:p>
          <w:p>
            <w:pPr>
              <w:ind w:firstLine="480" w:firstLineChars="200"/>
              <w:rPr>
                <w:rFonts w:ascii="宋体" w:eastAsia="宋体" w:cs="宋体"/>
                <w:spacing w:val="-4"/>
              </w:rPr>
            </w:pPr>
            <w:r>
              <w:rPr>
                <w:rFonts w:ascii="宋体" w:eastAsia="宋体" w:cs="宋体" w:hint="eastAsia"/>
                <w:spacing w:val="-4"/>
              </w:rPr>
              <w:t>针对海关税收风险管理的复杂需求，项目将实现定制筛功能，提供灵活精准的风险识别解决方案。用户可自定义筛查规则和参数，通过定制筛分析条件管理，根据申报起止日期、完税价格、税率差异等设置分析条件，实现精细化的数据筛选。定制筛过滤条件管理支持最低完税价格、输出组数等过滤条件，确保结果的精确性。定制筛聚合条件管理允许多维度自定义分析条件。用户可通过定制筛任务创建功能，创建个性化分析任务，并查看任务执行信息和结果。定制筛大数据过滤功能确保大数据量下的流畅交互，多模式数据聚合处理功能生成结构化分析结果。定制筛分析结果详情查看功能展示任务结果，报告保存功能允许用户保存并生成报告。定制筛报告查询和详情展示功能支持已保存报告的查询、编辑和删除。定制筛风险数据转研判功能实现风险数据批量处理，报告结果打标签功能允许标签化管理，辅助识别税收风险特征。</w:t>
            </w:r>
          </w:p>
          <w:p>
            <w:pPr>
              <w:ind w:firstLine="480" w:firstLineChars="200"/>
              <w:rPr>
                <w:rFonts w:ascii="宋体" w:eastAsia="宋体" w:cs="宋体"/>
                <w:spacing w:val="-4"/>
              </w:rPr>
            </w:pPr>
            <w:r>
              <w:rPr>
                <w:rFonts w:ascii="宋体" w:eastAsia="宋体" w:cs="宋体" w:hint="eastAsia"/>
                <w:spacing w:val="-4"/>
              </w:rPr>
              <w:t>3、升级改造系统多任务管理</w:t>
            </w:r>
          </w:p>
          <w:p>
            <w:pPr>
              <w:ind w:firstLine="480" w:firstLineChars="200"/>
              <w:rPr>
                <w:rFonts w:ascii="宋体" w:eastAsia="宋体" w:cs="宋体"/>
                <w:spacing w:val="-4"/>
              </w:rPr>
            </w:pPr>
            <w:r>
              <w:rPr>
                <w:rFonts w:ascii="宋体" w:eastAsia="宋体" w:cs="宋体" w:hint="eastAsia"/>
                <w:spacing w:val="-4"/>
              </w:rPr>
              <w:t>实现全面的多任务管理功能升级。新增全量同步任务，确保大规模数据迁移的完整性和准确性，并提供实时进度反馈。增量同步任务改造允许用户调整同步频率，优化同步逻辑处理变动数据，增强自动完成标记和失败任务重试功能，确保同步精度和任务及时完成。数据采集任务改造引入用户可定制的执行频率和手动触发功能，增强数据预处理和增量保存机制，支持自动重试和详尽的执行历史记录。数据标注任务改造允许用户定制标注任务的触发频率，优化数据预处理和增量保存，加强自动重试功能和任务历史记录。数据加载任务改造设置自动任务执行频率和手动触发选项，优化数据解密和解压缩步骤，引入分类增量加载优化内存使用，确保任务按时完成。新增日志清理功能，配置清理频率和日志保留周期，自动删除超期日志，优化存储管理，提供详细记录供审计和监控使用。通过这些改造，使系统具备更高的任务管理能力和效率，以满足复杂业务需求，提升系统的稳定性和可操作性。</w:t>
            </w:r>
          </w:p>
          <w:p>
            <w:pPr>
              <w:ind w:firstLine="480" w:firstLineChars="200"/>
              <w:rPr>
                <w:rFonts w:ascii="宋体" w:eastAsia="宋体" w:cs="宋体"/>
                <w:spacing w:val="-4"/>
              </w:rPr>
            </w:pPr>
            <w:r>
              <w:rPr>
                <w:rFonts w:ascii="宋体" w:eastAsia="宋体" w:cs="宋体" w:hint="eastAsia"/>
                <w:spacing w:val="-4"/>
              </w:rPr>
              <w:t>4、扩大各类模型的覆盖范围</w:t>
            </w:r>
          </w:p>
          <w:p>
            <w:pPr>
              <w:ind w:firstLine="480" w:firstLineChars="200"/>
              <w:rPr>
                <w:rFonts w:ascii="宋体" w:eastAsia="宋体" w:cs="宋体"/>
                <w:spacing w:val="-4"/>
              </w:rPr>
            </w:pPr>
            <w:r>
              <w:rPr>
                <w:rFonts w:ascii="宋体" w:eastAsia="宋体" w:cs="宋体" w:hint="eastAsia"/>
                <w:spacing w:val="-4"/>
              </w:rPr>
              <w:t>扩展系统的各类模型覆盖范围，以满足更广泛的业务场景和分析需求。首先，实现专业领域的分词提取，对行业商品税则文本进行细粒度分词处理，并通过关键词提取算法识别和提取关键术语，进行同义词及异义词替换，确保数据的一致性和准确性。利用聚类技术优化数据结构，通过智能聚类实现高效的数据组织和管理。对文本和数值信息进行高效编码，减少存储需求并提升处理速度，同时独立保存分词结果、关键词、同义词和数值模型，支持精准的数据处理和查询。通过模型的训练和优化，提升数据处理和分析的智能化水平，建立多层次、多维度的模型体系，实现对更多业务场景和商品类别的覆盖。动态模型更新机制将根据业务需求和数据变化实时调整和优化模型参数，确保系统始终保持最优性能。</w:t>
            </w:r>
          </w:p>
          <w:p>
            <w:pPr>
              <w:ind w:firstLine="480" w:firstLineChars="200"/>
              <w:rPr>
                <w:rFonts w:ascii="宋体" w:eastAsia="宋体" w:cs="宋体"/>
                <w:spacing w:val="-4"/>
              </w:rPr>
            </w:pPr>
            <w:r>
              <w:rPr>
                <w:rFonts w:ascii="宋体" w:eastAsia="宋体" w:cs="宋体" w:hint="eastAsia"/>
                <w:spacing w:val="-4"/>
              </w:rPr>
              <w:t>5、升级改造模型适配算法</w:t>
            </w:r>
          </w:p>
          <w:p>
            <w:pPr>
              <w:ind w:firstLine="480" w:firstLineChars="200"/>
              <w:rPr>
                <w:rFonts w:ascii="宋体" w:eastAsia="宋体" w:cs="宋体"/>
                <w:spacing w:val="-4"/>
              </w:rPr>
            </w:pPr>
            <w:r>
              <w:rPr>
                <w:rFonts w:ascii="宋体" w:eastAsia="宋体" w:cs="宋体" w:hint="eastAsia"/>
                <w:spacing w:val="-4"/>
              </w:rPr>
              <w:t>优化报关单数据预处理和模型数据匹配流程。首先，通过自动化技术优化报关单中的商品信息处理，分词功能将自动分割文本，加快数据处理速度并提升准确性。商品申报要素信息的分词精确切分关键数据，便于进行风险评估和合规性检查。商品行业分类功能则自动将商品归类到相应行业，提升分类效率。其次，特征数据解析通过优化文本分析工具增强数据处理精度和一致性，包括中心词扫描和转换确保关键词的标准化，限定词扫描和转换自动识别关键语句，同义词扫描和转换增强文本一致性，数值提取解析精确捕捉关键数值。最后，模型数据匹配功能确保各商品分类与最新行业标准一致，对重点税源商品和热门商品实施特别的模型匹配，提升匹配效率和准确性，确保数据处理的高效性和数据输出的可靠性。通过这些改造，系统将具备更高的智能化水平和处理效率，以支持复杂的业务需求和精确的业务决策。</w:t>
            </w:r>
          </w:p>
          <w:p>
            <w:pPr>
              <w:ind w:firstLine="480" w:firstLineChars="200"/>
              <w:rPr>
                <w:rFonts w:ascii="宋体" w:eastAsia="宋体" w:cs="宋体"/>
                <w:spacing w:val="-4"/>
              </w:rPr>
            </w:pPr>
            <w:r>
              <w:rPr>
                <w:rFonts w:ascii="宋体" w:eastAsia="宋体" w:cs="宋体" w:hint="eastAsia"/>
                <w:spacing w:val="-4"/>
              </w:rPr>
              <w:t>6、新增语料训练系统对接</w:t>
            </w:r>
          </w:p>
          <w:p>
            <w:pPr>
              <w:ind w:firstLine="480" w:firstLineChars="200"/>
              <w:rPr>
                <w:rFonts w:ascii="宋体" w:eastAsia="宋体" w:cs="宋体"/>
                <w:spacing w:val="-4"/>
              </w:rPr>
            </w:pPr>
            <w:r>
              <w:rPr>
                <w:rFonts w:ascii="宋体" w:eastAsia="宋体" w:cs="宋体" w:hint="eastAsia"/>
                <w:spacing w:val="-4"/>
              </w:rPr>
              <w:t>新增语料训练系统对接功能，以提升数据处理的精准性和系统的智能化水平。首先，语料库接口对接功能通过自动和手动同步频率设置，确保数据持续更新。同义词和独立词的同步保存功能维护语料库的准确性，支持有效的文本处理。版本化数据管理和数据对比与合并功能</w:t>
            </w:r>
            <w:r>
              <w:rPr>
                <w:rFonts w:ascii="宋体" w:eastAsia="宋体" w:cs="宋体" w:hint="eastAsia"/>
                <w:spacing w:val="-4"/>
                <w:lang w:eastAsia="zh-CN"/>
              </w:rPr>
              <w:t>提高</w:t>
            </w:r>
            <w:r>
              <w:rPr>
                <w:rFonts w:ascii="宋体" w:eastAsia="宋体" w:cs="宋体" w:hint="eastAsia"/>
                <w:spacing w:val="-4"/>
              </w:rPr>
              <w:t>数据一致性和质量。接口调用日志记录与查询提升系统透明度，自动重试机制确保调用失败时数据同步的连续性和稳定性，</w:t>
            </w:r>
            <w:r>
              <w:rPr>
                <w:rFonts w:ascii="宋体" w:eastAsia="宋体" w:cs="宋体" w:hint="eastAsia"/>
                <w:spacing w:val="-4"/>
                <w:lang w:eastAsia="zh-CN"/>
              </w:rPr>
              <w:t>提高</w:t>
            </w:r>
            <w:r>
              <w:rPr>
                <w:rFonts w:ascii="宋体" w:eastAsia="宋体" w:cs="宋体" w:hint="eastAsia"/>
                <w:spacing w:val="-4"/>
              </w:rPr>
              <w:t>整体系统效率和可靠性。其次，语料库数据维护功能集中于同义词和独立词的精确更新，确保词汇准确和时效，并定期更新独立词条目维持数据精确性。此外，生成外部同义词和独立词模型，支持跨平台一致性和专门的数据需求，提升数据的应用价值和系统的灵活性。通过这些对接和维护功能，系统将在文本处理和数据分析方面具备更高的精准性和智能化水平，以更好地支持业务需求和数据处理任务。</w:t>
            </w:r>
          </w:p>
          <w:p>
            <w:pPr>
              <w:ind w:firstLine="480" w:firstLineChars="200"/>
              <w:rPr>
                <w:rFonts w:ascii="宋体" w:eastAsia="宋体" w:cs="宋体"/>
                <w:spacing w:val="-4"/>
              </w:rPr>
            </w:pPr>
            <w:r>
              <w:rPr>
                <w:rFonts w:ascii="宋体" w:eastAsia="宋体" w:cs="宋体" w:hint="eastAsia"/>
                <w:spacing w:val="-4"/>
              </w:rPr>
              <w:t>7、升级模型和参数管理功能</w:t>
            </w:r>
          </w:p>
          <w:p>
            <w:pPr>
              <w:ind w:firstLine="480" w:firstLineChars="200"/>
              <w:rPr>
                <w:rFonts w:ascii="宋体" w:eastAsia="宋体" w:cs="宋体"/>
                <w:spacing w:val="-4"/>
              </w:rPr>
            </w:pPr>
            <w:r>
              <w:rPr>
                <w:rFonts w:ascii="宋体" w:eastAsia="宋体" w:cs="宋体" w:hint="eastAsia"/>
                <w:spacing w:val="-4"/>
              </w:rPr>
              <w:t>升级模型和参数管理功能，以应对复杂的智能基础模型及参数的维护和管理需求。提供图形界面化的管理模式，使业务用户能够参与模型的维护和调整工作。支持模型历史版本维护功能，便于追踪和管理模型变更历史，让用户可以对比不同版本的模型差异，提高版本控制的精准度。支持在线编辑和删除模型参数，提供复杂且直观的参数展示，增强模型的可维护性。支持详尽的版本查询、发布、回退和作废等操作，确保模型版本的正确应用。支持模型参数的加密存储，保障数据安全性。通过这些升级措施，显著提升系统在模型参数管理方面的能力，确保高精度、高效率的数据处理和分析，全面支持业务的可持续发展，提高系统的透明度和可操作性，使系统能够在不断变化的规则下稳定高效运行。</w:t>
            </w:r>
          </w:p>
          <w:p>
            <w:pPr>
              <w:ind w:firstLine="480" w:firstLineChars="200"/>
              <w:rPr>
                <w:rFonts w:ascii="宋体" w:eastAsia="宋体" w:cs="宋体"/>
                <w:spacing w:val="-4"/>
              </w:rPr>
            </w:pPr>
            <w:r>
              <w:rPr>
                <w:rFonts w:ascii="宋体" w:eastAsia="宋体" w:cs="宋体" w:hint="eastAsia"/>
                <w:spacing w:val="-4"/>
              </w:rPr>
              <w:t>8、升级改造数据同步管理</w:t>
            </w:r>
          </w:p>
          <w:p>
            <w:pPr>
              <w:ind w:firstLine="480" w:firstLineChars="200"/>
              <w:rPr>
                <w:rFonts w:ascii="宋体" w:eastAsia="宋体" w:cs="宋体"/>
                <w:spacing w:val="-4"/>
              </w:rPr>
            </w:pPr>
            <w:r>
              <w:rPr>
                <w:rFonts w:ascii="宋体" w:eastAsia="宋体" w:cs="宋体" w:hint="eastAsia"/>
                <w:spacing w:val="-4"/>
              </w:rPr>
              <w:t>升级改造数据同步管理功能以确保各类业务数据的及时更新和一致性。企业数据同步通过自动同步频率设定和手工触发选项保持数据实时更新，优化增量同步以提升速度，仅处理变更数据，删除同步以确保系统数据一致。自动重试机制减少同步失败，历史记录和查询功能增强任务追踪与分析，超时监控防止任务延误，确保数据同步的效率和准确性。国别数据、贸易方式数据、币种数据、税则数据、关区数据的同步也采用同样的方法，保障数据的高效传输和处理。报关单表头和表体数据同步功能进一步增强系统的数据管理能力，支持自动和手动触发同步，确保数据完整性和准确性。新增报关单计税数据同步功能，通过优化增量同步和自动重试机制，确保所有计税数据的准确同步，并提供详尽的历史记录和查询功能，增强系统的可追溯性和透明度。通过这些全面的数据同步管理功能，系统将具备更高的稳定性和可靠性，确保各类业务数据的实时更新和一致性，提升整体数据管理效率。</w:t>
            </w:r>
          </w:p>
          <w:p>
            <w:pPr>
              <w:ind w:firstLine="480" w:firstLineChars="200"/>
              <w:rPr>
                <w:rFonts w:ascii="宋体" w:eastAsia="宋体" w:cs="宋体"/>
                <w:spacing w:val="-4"/>
              </w:rPr>
            </w:pPr>
            <w:r>
              <w:rPr>
                <w:rFonts w:ascii="宋体" w:eastAsia="宋体" w:cs="宋体" w:hint="eastAsia"/>
                <w:spacing w:val="-4"/>
              </w:rPr>
              <w:t>9、升级改造数据采集管理</w:t>
            </w:r>
          </w:p>
          <w:p>
            <w:pPr>
              <w:ind w:firstLine="480" w:firstLineChars="200"/>
              <w:rPr>
                <w:rFonts w:ascii="宋体" w:eastAsia="宋体" w:cs="宋体"/>
                <w:spacing w:val="-4"/>
              </w:rPr>
            </w:pPr>
            <w:r>
              <w:rPr>
                <w:rFonts w:ascii="宋体" w:eastAsia="宋体" w:cs="宋体" w:hint="eastAsia"/>
                <w:spacing w:val="-4"/>
              </w:rPr>
              <w:t>升级改造多数据源的适配与数据质量。多数据源适配功能包括数据源配置管理，允许管理员设置多数据源的连接属性，提升集成效率。数据采集路由规则设定动态导向数据处理，提高处理灵活性。数据汇总功能整合各源数据，支持全面分析。数据统计功能提供详细分析，包括频率和异常值，增强数据洞察力。数据质量管理确保数据准确性和系统兼容性。通过原始数据验证防止错误数据影响，通过检查数据格式和一致性来确保准确性。数据清洗功能移除无效记录和重复，修正格式错误，</w:t>
            </w:r>
            <w:r>
              <w:rPr>
                <w:rFonts w:ascii="宋体" w:eastAsia="宋体" w:cs="宋体" w:hint="eastAsia"/>
                <w:spacing w:val="-4"/>
                <w:lang w:eastAsia="zh-CN"/>
              </w:rPr>
              <w:t>提高</w:t>
            </w:r>
            <w:r>
              <w:rPr>
                <w:rFonts w:ascii="宋体" w:eastAsia="宋体" w:cs="宋体" w:hint="eastAsia"/>
                <w:spacing w:val="-4"/>
              </w:rPr>
              <w:t>数据质量。数据标准化功能统一不同格式的数据，保持系统内数据的一致性，支持有效分析和决策。异常数据管理通过自动化检测、记录、查询和统计数据采集中的异常，提高数据处理流程的效率。自动检测机制识别数据范围异常和格式错误，所有异常数据记录在日志中，便于后续分析和修正。查询功能允许按条件检索异常记录，便于追踪和处理。统计分析帮助评估数据采集的质量和稳定性，指出常见异常类型和频率，优化数据处理流程。通过这些全面的数据采集管理功能，使系统具备更高的灵活性、准确性和稳定性，确保高质量的数据采集和处理。</w:t>
            </w:r>
          </w:p>
          <w:p>
            <w:pPr>
              <w:ind w:firstLine="480" w:firstLineChars="200"/>
              <w:rPr>
                <w:rFonts w:ascii="宋体" w:eastAsia="宋体" w:cs="宋体"/>
                <w:spacing w:val="-4"/>
              </w:rPr>
            </w:pPr>
            <w:r>
              <w:rPr>
                <w:rFonts w:ascii="宋体" w:eastAsia="宋体" w:cs="宋体" w:hint="eastAsia"/>
                <w:spacing w:val="-4"/>
              </w:rPr>
              <w:t>10、升级改造数据加载管理</w:t>
            </w:r>
          </w:p>
          <w:p>
            <w:pPr>
              <w:ind w:firstLine="480" w:firstLineChars="200"/>
              <w:rPr>
                <w:rFonts w:ascii="宋体" w:eastAsia="宋体" w:cs="宋体"/>
                <w:spacing w:val="-4"/>
              </w:rPr>
            </w:pPr>
            <w:r>
              <w:rPr>
                <w:rFonts w:ascii="宋体" w:eastAsia="宋体" w:cs="宋体" w:hint="eastAsia"/>
                <w:spacing w:val="-4"/>
              </w:rPr>
              <w:t>提升数据加载的效率和可靠性。并行数据加载通过配置节点数量和资源分配，提高处理速度和效率。任务管理监控节点状态，确保加载顺利进行，并在完成后自动通知相关人员。数据统计分析加载效率和执行量，帮助识别优化点。缓存策略管理设置缓存大小、失效时间和刷新规则，提高数据访问速度和资源利用率，确保数据更新后缓存同步更新。缓存查询功能让用户监控缓存使用情况，评估效率和命中率。加载错误处理功能通过自动检测和记录数据加载中的异常，确保数据质量。异常数据查询和统计分析帮助识别和解决常见问题，持续改进数据处理系统。通过这些功能，使系统具备更高的效率、准确性和稳定性，确保高效的数据处理和传输。</w:t>
            </w:r>
          </w:p>
          <w:p>
            <w:pPr>
              <w:ind w:firstLine="480" w:firstLineChars="200"/>
              <w:rPr>
                <w:rFonts w:ascii="宋体" w:eastAsia="宋体" w:cs="宋体"/>
                <w:spacing w:val="-4"/>
              </w:rPr>
            </w:pPr>
            <w:r>
              <w:rPr>
                <w:rFonts w:ascii="宋体" w:eastAsia="宋体" w:cs="宋体" w:hint="eastAsia"/>
                <w:spacing w:val="-4"/>
              </w:rPr>
              <w:t>11、升级改造内存使用管理</w:t>
            </w:r>
          </w:p>
          <w:p>
            <w:pPr>
              <w:ind w:firstLine="480" w:firstLineChars="200"/>
              <w:rPr>
                <w:rFonts w:ascii="宋体" w:eastAsia="宋体" w:cs="宋体"/>
                <w:spacing w:val="-4"/>
              </w:rPr>
            </w:pPr>
            <w:r>
              <w:rPr>
                <w:rFonts w:ascii="宋体" w:eastAsia="宋体" w:cs="宋体" w:hint="eastAsia"/>
                <w:spacing w:val="-4"/>
              </w:rPr>
              <w:t>提升系统性能和稳定性。通过优化内存分配策略减少碎片化，重新设计垃圾回收策略以降低高负载下的开销。实时监控内存使用情况，支持优化决策，早期识别</w:t>
            </w:r>
            <w:r>
              <w:rPr>
                <w:rFonts w:ascii="宋体" w:eastAsia="宋体" w:cs="宋体" w:hint="eastAsia"/>
                <w:spacing w:val="-4"/>
                <w:lang w:eastAsia="zh-CN"/>
              </w:rPr>
              <w:t>内存泄漏</w:t>
            </w:r>
            <w:r>
              <w:rPr>
                <w:rFonts w:ascii="宋体" w:eastAsia="宋体" w:cs="宋体" w:hint="eastAsia"/>
                <w:spacing w:val="-4"/>
              </w:rPr>
              <w:t>问题，防止应用崩溃。资源动态分配功能通过计算预测各应用和任务的内存需求，确保系统有足够内存支持运行和扩展。配置资源分配策略，动态调整内存分配，提高系统响应和效率，实时查看内存使用情况，确保透明高效管理。内存数据压缩功能选择合适的压缩算法和级别，减少内存和存储占用，提升传输效率。管理员可根据需求调整算法，平衡压缩比和速度，自定义压缩级别满足性能需求。内存监控改造包括实时内存查询、内存水位预防溢出、告警通知机制和使用统计分析。通过这些改造，使系统具备更佳的内存管理能力，确保稳定运行和性能优化。</w:t>
            </w:r>
          </w:p>
          <w:p>
            <w:pPr>
              <w:ind w:firstLine="480" w:firstLineChars="200"/>
              <w:rPr>
                <w:rFonts w:ascii="宋体" w:eastAsia="宋体" w:cs="宋体"/>
                <w:spacing w:val="-4"/>
              </w:rPr>
            </w:pPr>
            <w:r>
              <w:rPr>
                <w:rFonts w:ascii="宋体" w:eastAsia="宋体" w:cs="宋体" w:hint="eastAsia"/>
                <w:spacing w:val="-4"/>
              </w:rPr>
              <w:t>12、升级改造核心标注程序</w:t>
            </w:r>
          </w:p>
          <w:p>
            <w:pPr>
              <w:ind w:firstLine="480" w:firstLineChars="200"/>
              <w:rPr>
                <w:rFonts w:ascii="宋体" w:eastAsia="宋体" w:cs="宋体"/>
                <w:spacing w:val="-4"/>
              </w:rPr>
            </w:pPr>
            <w:r>
              <w:rPr>
                <w:rFonts w:ascii="宋体" w:eastAsia="宋体" w:cs="宋体" w:hint="eastAsia"/>
                <w:spacing w:val="-4"/>
              </w:rPr>
              <w:t>全面升级核心标注程序，统一结构和开发语言，以提升系统的整体性能和稳定性。通过应用统一开发语言，实现原有标注程序的数据读取、验证、清洗、标注和缓存等功能，确保数据的完整性和格式正确性。实现标注数据的动态加载和更新，重新设计标注算法、任务调度和结果保存逻辑，以提高标注准确性和处理速度。此外，将标注模型更新接口、任务执行接口和结果查询接口全部重构至新平台，利用并发和多线程能力，实现高并发的数据标注任务。优化标注监控，重构性能监控和日志系统至新平台，提高监测精度和响应速度，并重构日志查询功能以适应系统整体架构。通过这些改造，提升系统在处理海量数据标注任务时的效率和可靠性，确保高精度、高效率的数据标注过程。</w:t>
            </w:r>
          </w:p>
          <w:p>
            <w:pPr>
              <w:ind w:firstLine="480" w:firstLineChars="200"/>
              <w:rPr>
                <w:rFonts w:ascii="宋体" w:eastAsia="宋体" w:cs="宋体"/>
                <w:spacing w:val="-4"/>
              </w:rPr>
            </w:pPr>
            <w:r>
              <w:rPr>
                <w:rFonts w:ascii="宋体" w:eastAsia="宋体" w:cs="宋体" w:hint="eastAsia"/>
                <w:spacing w:val="-4"/>
              </w:rPr>
              <w:t>13、规范申报要素编码</w:t>
            </w:r>
          </w:p>
          <w:p>
            <w:pPr>
              <w:ind w:firstLine="480" w:firstLineChars="200"/>
              <w:rPr>
                <w:rFonts w:ascii="宋体" w:eastAsia="宋体" w:cs="宋体"/>
                <w:spacing w:val="-4"/>
              </w:rPr>
            </w:pPr>
            <w:r>
              <w:rPr>
                <w:rFonts w:ascii="宋体" w:eastAsia="宋体" w:cs="宋体" w:hint="eastAsia"/>
                <w:spacing w:val="-4"/>
              </w:rPr>
              <w:t>为了提升数据处理的准确度和效率，项目将对申报要素进行规范化编码管理，实现“一义一码”。通过统一编码，标准化申报要素数据分析过程，提高数据的可读性和操作性，支持高效的风险识别和数据分析。具体需求包括：创建和维护要素编码，展示和管理年度有效编码，支持编码的查询、修改和删除；管理年度编码记录，支持手工新增和导入年度申报要素；提供年度对比功能，实现自动匹配和人工修正未能自动匹配的申报要素；管理编码变更记录，确保变更过程的可追踪性；实现编码变更的审批流程，管理和发布年度申报要素版本，确保版本的一致性和稳定性；系统将登记操作用户信息，提供当前版本的查询展示和发布历史记录，按年度生成并加密申报要素模型文件，确保数据安全。</w:t>
            </w:r>
          </w:p>
          <w:p>
            <w:pPr>
              <w:ind w:firstLine="480" w:firstLineChars="200"/>
              <w:rPr>
                <w:rFonts w:ascii="宋体" w:eastAsia="宋体" w:cs="宋体"/>
                <w:spacing w:val="-4"/>
              </w:rPr>
            </w:pPr>
            <w:r>
              <w:rPr>
                <w:rFonts w:ascii="宋体" w:eastAsia="宋体" w:cs="宋体" w:hint="eastAsia"/>
                <w:spacing w:val="-4"/>
              </w:rPr>
              <w:t>14、升级统一平台架构</w:t>
            </w:r>
          </w:p>
          <w:p>
            <w:pPr>
              <w:ind w:firstLine="480" w:firstLineChars="200"/>
              <w:rPr>
                <w:rFonts w:ascii="宋体" w:eastAsia="宋体" w:cs="宋体"/>
                <w:spacing w:val="-4"/>
              </w:rPr>
            </w:pPr>
            <w:r>
              <w:rPr>
                <w:rFonts w:ascii="宋体" w:eastAsia="宋体" w:cs="宋体" w:hint="eastAsia"/>
                <w:spacing w:val="-4"/>
              </w:rPr>
              <w:t>结合海关总署统一平台的微服务架构进行改造升级，以提升系统的稳定性和扩展性。首先，对同步程序、采集程序、标注程序和分析程序等涉及的数据交互流程进行全面升级，确保数据的高效传输和处理。重构管理应用，包括前后端功能的全面重构，集成平台SDK，并解决项目原有的依赖冲突问题。通过重构和优化，实现微服务架构的高可扩展性和高可维护性，显著提升系统的响应速度和并发处理能力。重构后的架构将更好地支持高并发和大数据量处理需求，确保系统在复杂业务场景中的稳定运行。通过这些改造，系统将具备更高的灵活性和适应性，为系统的长远发展提供坚实的技术保障。</w:t>
            </w:r>
          </w:p>
          <w:p>
            <w:pPr>
              <w:numPr>
                <w:ilvl w:val="0"/>
                <w:numId w:val="4"/>
              </w:numPr>
              <w:ind w:left="0" w:firstLine="480" w:firstLineChars="200"/>
              <w:rPr>
                <w:rFonts w:ascii="宋体" w:eastAsia="宋体"/>
                <w:lang w:bidi="en-US"/>
              </w:rPr>
            </w:pPr>
            <w:r>
              <w:rPr>
                <w:rFonts w:ascii="宋体" w:eastAsia="宋体" w:hint="eastAsia"/>
                <w:lang w:bidi="en-US"/>
              </w:rPr>
              <w:t>数据源向云平台迁移</w:t>
            </w:r>
          </w:p>
          <w:p>
            <w:pPr>
              <w:ind w:left="0" w:firstLine="480" w:firstLineChars="200"/>
              <w:rPr>
                <w:rFonts w:ascii="宋体" w:eastAsia="宋体"/>
                <w:lang w:bidi="en-US"/>
              </w:rPr>
            </w:pPr>
            <w:r>
              <w:rPr>
                <w:rFonts w:ascii="宋体" w:eastAsia="宋体" w:cs="宋体" w:hint="eastAsia"/>
                <w:spacing w:val="-4"/>
              </w:rPr>
              <w:t>在未来条件允许的情况下，需要将系统目前存储于关系型数据资源池中使用的基础业务数据以及应用采集、标注、加载和分析的逻辑数据，迁移至大数据分析平台处理。旨在通过利用云平台的先进技术，确保数据的高效处理、存储与分析能力。在数据迁移过程中，确保数据的一致性与完整性，同时为后续的深度数据分析、二次处理以及业务扩展提供支持。利用平台自动化处理流程，实时监控与问题解决机制，确保迁移任务的顺利进行。通过迁移，使系统具备更强的扩展性和灵活性，以满足未来业务发展的需求并提升整体运行效率。</w:t>
            </w:r>
          </w:p>
        </w:tc>
      </w:tr>
      <w:tr>
        <w:tblPrEx>
          <w:tblW w:w="8581" w:type="dxa"/>
          <w:jc w:val="left"/>
          <w:tblInd w:w="0" w:type="dxa"/>
          <w:tblLayout w:type="fixed"/>
          <w:tblCellMar>
            <w:top w:w="0" w:type="dxa"/>
            <w:left w:w="108" w:type="dxa"/>
            <w:bottom w:w="0" w:type="dxa"/>
            <w:right w:w="108" w:type="dxa"/>
          </w:tblCellMar>
        </w:tblPrEx>
        <w:trPr>
          <w:trHeight w:val="773"/>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6</w:t>
            </w:r>
          </w:p>
        </w:tc>
        <w:tc>
          <w:tcPr>
            <w:tcW w:w="163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与前期项目的关系</w:t>
            </w:r>
          </w:p>
        </w:tc>
        <w:tc>
          <w:tcPr>
            <w:tcW w:w="6193" w:type="dxa"/>
            <w:tcBorders>
              <w:top w:val="single" w:sz="4" w:space="0" w:color="auto"/>
              <w:left w:val="single" w:sz="4" w:space="0" w:color="auto"/>
              <w:bottom w:val="single" w:sz="4" w:space="0" w:color="auto"/>
              <w:right w:val="single" w:sz="4" w:space="0" w:color="auto"/>
            </w:tcBorders>
            <w:noWrap/>
            <w:vAlign w:val="center"/>
          </w:tcPr>
          <w:p>
            <w:pPr>
              <w:ind w:firstLine="480" w:firstLineChars="200"/>
              <w:rPr>
                <w:rFonts w:ascii="宋体" w:eastAsia="宋体" w:cs="宋体"/>
              </w:rPr>
            </w:pPr>
            <w:r>
              <w:rPr>
                <w:rFonts w:ascii="宋体" w:eastAsia="宋体" w:cs="宋体" w:hint="eastAsia"/>
              </w:rPr>
              <w:t>本项目基于前期税收风险大数据智能筛查系统的建设成果，旨在对系统进行全面升级和改造，以提升其功能性和效能。在前期项目中，系统已经通过自然语言处理和大数据分析，实现了初步的风险筛查功能，并取得了显著成效。本次升级工作将充分利用前期项目的技术积累，并根据智慧海关总体建设要求和用户反馈意见，对系统的技术架构和功能进行进一步优化和完善。</w:t>
            </w:r>
          </w:p>
          <w:p>
            <w:pPr>
              <w:ind w:firstLine="480" w:firstLineChars="200"/>
              <w:rPr>
                <w:rFonts w:ascii="宋体" w:eastAsia="宋体" w:cs="宋体"/>
              </w:rPr>
            </w:pPr>
            <w:r>
              <w:rPr>
                <w:rFonts w:ascii="宋体" w:eastAsia="宋体" w:cs="宋体" w:hint="eastAsia"/>
              </w:rPr>
              <w:t>在本次升级中，将对原有的技术架构进行优化，改善系统之间的信息交互，确保各模块的数据流动更加高效，同时扩展系统的业务覆盖范围。新增功能包括对模型管理的升级，以及对标注程序的改造，目的是进一步提升系统的智能化水平，确保对各类业务需求的支持。此外，系统将采用统一的平台架构，以增强其稳定性、可靠性和可扩展性，满足未来可能出现的复杂需求。</w:t>
            </w:r>
          </w:p>
          <w:p>
            <w:pPr>
              <w:ind w:firstLine="480" w:firstLineChars="200"/>
              <w:rPr>
                <w:rFonts w:ascii="宋体" w:eastAsia="宋体" w:cs="宋体"/>
                <w:spacing w:val="-4"/>
              </w:rPr>
            </w:pPr>
            <w:r>
              <w:rPr>
                <w:rFonts w:ascii="宋体" w:eastAsia="宋体" w:cs="宋体" w:hint="eastAsia"/>
              </w:rPr>
              <w:t>数智筛项目的二期建设，重点聚焦于内存计算的优化和升级。一期项目由于内存限制，尚未实现对单章商品税则机械类章节标注数据的全量加载，内存使用量已超过256G。因此，二期部署环境将升级到512G内存，以支持更大规模的标注数据处理。为了充分利用大内存的优势，二期标注程序的设计和部署需要根据512G内存的特点进行优化改造。具体而言，系统需通过合理分配和管理内存资源，提升计算性能和数据处理效率。优化工作将确保标注数据在大内存环境下能够实现全量加载和实时计算，从而满足更广泛的税则章节覆盖需求，支持更高效的风险筛查任务。</w:t>
            </w:r>
          </w:p>
        </w:tc>
      </w:tr>
      <w:tr>
        <w:tblPrEx>
          <w:tblW w:w="858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7</w:t>
            </w:r>
          </w:p>
        </w:tc>
        <w:tc>
          <w:tcPr>
            <w:tcW w:w="1630"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rPr>
              <w:t>项目履约时间</w:t>
            </w:r>
          </w:p>
        </w:tc>
        <w:tc>
          <w:tcPr>
            <w:tcW w:w="6193"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0"/>
              <w:rPr>
                <w:rFonts w:ascii="宋体" w:eastAsia="宋体" w:cs="宋体"/>
                <w:spacing w:val="-4"/>
              </w:rPr>
            </w:pPr>
            <w:r>
              <w:rPr>
                <w:rFonts w:ascii="宋体" w:eastAsia="宋体" w:cs="宋体" w:hint="eastAsia"/>
                <w:lang w:bidi="en-US"/>
              </w:rPr>
              <w:t>★</w:t>
            </w:r>
            <w:r>
              <w:rPr>
                <w:rFonts w:ascii="宋体" w:eastAsia="宋体" w:cs="宋体" w:hint="eastAsia"/>
              </w:rPr>
              <w:t>自合同签订之日起10个月内</w:t>
            </w:r>
            <w:r>
              <w:rPr>
                <w:rFonts w:ascii="宋体" w:eastAsia="宋体" w:cs="宋体"/>
              </w:rPr>
              <w:t>。提供承诺函并加盖投标人公章。</w:t>
            </w:r>
          </w:p>
        </w:tc>
      </w:tr>
    </w:tbl>
    <w:p>
      <w:pPr>
        <w:numPr>
          <w:ilvl w:val="0"/>
          <w:numId w:val="2"/>
        </w:numPr>
        <w:rPr>
          <w:rFonts w:ascii="宋体" w:eastAsia="宋体" w:cs="宋体" w:hint="eastAsia"/>
        </w:rPr>
      </w:pPr>
      <w:bookmarkStart w:id="37" w:name="集成需求"/>
      <w:bookmarkStart w:id="38" w:name="货物或服务指标要求"/>
      <w:r>
        <w:rPr>
          <w:rFonts w:ascii="宋体" w:eastAsia="宋体" w:cs="宋体" w:hint="eastAsia"/>
        </w:rPr>
        <w:t>集成需求</w:t>
      </w:r>
      <w:bookmarkEnd w:id="37"/>
    </w:p>
    <w:tbl>
      <w:tblPr>
        <w:tblW w:w="854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1497"/>
        <w:gridCol w:w="6283"/>
      </w:tblGrid>
      <w:tr>
        <w:tblPrEx>
          <w:tblW w:w="854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noWrap/>
          </w:tcPr>
          <w:p>
            <w:pPr>
              <w:ind w:firstLine="0"/>
              <w:jc w:val="center"/>
              <w:rPr>
                <w:rFonts w:ascii="宋体" w:eastAsia="宋体" w:cs="宋体"/>
                <w:b/>
              </w:rPr>
            </w:pPr>
            <w:r>
              <w:rPr>
                <w:rFonts w:ascii="宋体" w:eastAsia="宋体" w:cs="宋体" w:hint="eastAsia"/>
                <w:b/>
              </w:rPr>
              <w:t>序号</w:t>
            </w:r>
          </w:p>
        </w:tc>
        <w:tc>
          <w:tcPr>
            <w:tcW w:w="1497" w:type="dxa"/>
            <w:shd w:val="clear" w:color="A6A6A6" w:fill="A6A6A6"/>
            <w:noWrap/>
          </w:tcPr>
          <w:p>
            <w:pPr>
              <w:ind w:firstLine="0"/>
              <w:jc w:val="center"/>
              <w:rPr>
                <w:rFonts w:ascii="宋体" w:eastAsia="宋体" w:cs="宋体"/>
                <w:b/>
              </w:rPr>
            </w:pPr>
            <w:r>
              <w:rPr>
                <w:rFonts w:ascii="宋体" w:eastAsia="宋体" w:cs="宋体" w:hint="eastAsia"/>
                <w:b/>
              </w:rPr>
              <w:t>内容</w:t>
            </w:r>
          </w:p>
        </w:tc>
        <w:tc>
          <w:tcPr>
            <w:tcW w:w="6283" w:type="dxa"/>
            <w:shd w:val="clear" w:color="A6A6A6" w:fill="A6A6A6"/>
            <w:noWrap/>
          </w:tcPr>
          <w:p>
            <w:pPr>
              <w:ind w:firstLine="0"/>
              <w:jc w:val="center"/>
              <w:rPr>
                <w:rFonts w:ascii="宋体" w:eastAsia="宋体" w:cs="宋体"/>
                <w:b/>
              </w:rPr>
            </w:pPr>
            <w:bookmarkStart w:id="39" w:name="集成需求_Title_说明_Required_Table"/>
            <w:r>
              <w:rPr>
                <w:rFonts w:ascii="宋体" w:eastAsia="宋体" w:cs="宋体" w:hint="eastAsia"/>
                <w:b/>
              </w:rPr>
              <w:t>说明</w:t>
            </w:r>
            <w:bookmarkEnd w:id="39"/>
          </w:p>
        </w:tc>
      </w:tr>
      <w:tr>
        <w:tblPrEx>
          <w:tblW w:w="8549" w:type="dxa"/>
          <w:jc w:val="left"/>
          <w:tblInd w:w="0" w:type="dxa"/>
          <w:tblLayout w:type="fixed"/>
          <w:tblCellMar>
            <w:top w:w="0" w:type="dxa"/>
            <w:left w:w="108" w:type="dxa"/>
            <w:bottom w:w="0" w:type="dxa"/>
            <w:right w:w="108" w:type="dxa"/>
          </w:tblCellMar>
        </w:tblPrEx>
        <w:trPr>
          <w:trHeight w:val="776"/>
          <w:jc w:val="left"/>
        </w:trPr>
        <w:tc>
          <w:tcPr>
            <w:tcW w:w="769" w:type="dxa"/>
            <w:noWrap/>
            <w:vAlign w:val="center"/>
          </w:tcPr>
          <w:p>
            <w:pPr>
              <w:ind w:firstLine="0"/>
              <w:jc w:val="center"/>
              <w:rPr>
                <w:rFonts w:ascii="宋体" w:eastAsia="宋体" w:cs="宋体"/>
              </w:rPr>
            </w:pPr>
            <w:r>
              <w:rPr>
                <w:rFonts w:ascii="宋体" w:eastAsia="宋体" w:cs="宋体" w:hint="eastAsia"/>
                <w:b/>
              </w:rPr>
              <w:t>1</w:t>
            </w:r>
          </w:p>
        </w:tc>
        <w:tc>
          <w:tcPr>
            <w:tcW w:w="1497"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宋体"/>
                <w:b/>
              </w:rPr>
            </w:pPr>
            <w:r>
              <w:rPr>
                <w:rFonts w:ascii="宋体" w:eastAsia="宋体" w:cs="宋体" w:hint="eastAsia"/>
                <w:b/>
              </w:rPr>
              <w:t>业务需求</w:t>
            </w:r>
          </w:p>
        </w:tc>
        <w:tc>
          <w:tcPr>
            <w:tcW w:w="6283" w:type="dxa"/>
            <w:noWrap/>
            <w:vAlign w:val="center"/>
          </w:tcPr>
          <w:p>
            <w:pPr>
              <w:ind w:firstLine="480" w:firstLineChars="200"/>
              <w:rPr>
                <w:rFonts w:ascii="宋体" w:eastAsia="宋体"/>
                <w:color w:val="000000"/>
                <w:szCs w:val="21"/>
              </w:rPr>
            </w:pPr>
            <w:r>
              <w:rPr>
                <w:rFonts w:ascii="宋体" w:eastAsia="宋体" w:hint="eastAsia"/>
                <w:color w:val="000000"/>
                <w:szCs w:val="21"/>
                <w:lang w:val="en-US" w:eastAsia="zh-CN"/>
              </w:rPr>
              <w:t>集成</w:t>
            </w:r>
            <w:r>
              <w:rPr>
                <w:rFonts w:ascii="宋体" w:eastAsia="宋体" w:hint="eastAsia"/>
                <w:color w:val="000000"/>
                <w:szCs w:val="21"/>
              </w:rPr>
              <w:t>权限管理平台：“数智筛”</w:t>
            </w:r>
            <w:r>
              <w:rPr>
                <w:rFonts w:ascii="宋体" w:eastAsia="宋体" w:cs="宋体" w:hint="eastAsia"/>
                <w:color w:val="000000"/>
              </w:rPr>
              <w:t>系统</w:t>
            </w:r>
            <w:r>
              <w:rPr>
                <w:rFonts w:ascii="宋体" w:eastAsia="宋体" w:hint="eastAsia"/>
                <w:color w:val="000000"/>
                <w:szCs w:val="21"/>
              </w:rPr>
              <w:t>需要与H4A平台集成，实现单点登录、统一授权、菜单控制、页面控制以及数据权限控制等功能，确保操作安全合规。H4A系统是为海关应用系统和其他底层平台提供统一的认证（Authentication）、账号（Account）、授权（Authorization）、审计（Audit）功能而设计的基础平台。</w:t>
            </w:r>
          </w:p>
          <w:p>
            <w:pPr>
              <w:ind w:firstLine="480" w:firstLineChars="200"/>
              <w:rPr>
                <w:rFonts w:ascii="宋体" w:eastAsia="宋体"/>
                <w:color w:val="000000"/>
                <w:szCs w:val="21"/>
              </w:rPr>
            </w:pPr>
            <w:r>
              <w:rPr>
                <w:rFonts w:ascii="宋体" w:eastAsia="宋体" w:hint="eastAsia"/>
                <w:color w:val="000000"/>
                <w:szCs w:val="21"/>
              </w:rPr>
              <w:t>对接税管作业平台：“数智筛”</w:t>
            </w:r>
            <w:r>
              <w:rPr>
                <w:rFonts w:ascii="宋体" w:eastAsia="宋体" w:cs="宋体" w:hint="eastAsia"/>
                <w:color w:val="000000"/>
              </w:rPr>
              <w:t>系统</w:t>
            </w:r>
            <w:r>
              <w:rPr>
                <w:rFonts w:ascii="宋体" w:eastAsia="宋体" w:hint="eastAsia"/>
                <w:color w:val="000000"/>
                <w:szCs w:val="21"/>
              </w:rPr>
              <w:t>将与税管作业平台无缝对接，自动发送需要研判的风险数据，接收并处理反馈状态，确保不同系统间的有效数据传输和协同工作。税管作业平台</w:t>
            </w:r>
            <w:r>
              <w:rPr>
                <w:rFonts w:ascii="宋体" w:eastAsia="宋体" w:hint="eastAsia"/>
                <w:color w:val="000000"/>
                <w:szCs w:val="21"/>
                <w:lang w:val="en-US" w:eastAsia="zh-CN"/>
              </w:rPr>
              <w:t>是智慧关税子项目之一，通过风险处置、属地纳税人管理和商品识别码管理等多模块，实现跨部门数据共享、企业纳税信用底账建立、纳税遵从度评估及商品识别码优化的综合税务管理系统。</w:t>
            </w:r>
          </w:p>
          <w:p>
            <w:pPr>
              <w:ind w:firstLine="480" w:firstLineChars="200"/>
              <w:rPr>
                <w:rFonts w:ascii="宋体" w:eastAsia="宋体" w:hint="eastAsia"/>
                <w:color w:val="000000"/>
                <w:szCs w:val="21"/>
                <w:lang w:eastAsia="zh-CN"/>
              </w:rPr>
            </w:pPr>
            <w:r>
              <w:rPr>
                <w:rFonts w:ascii="宋体" w:eastAsia="宋体" w:hint="eastAsia"/>
                <w:color w:val="000000"/>
                <w:szCs w:val="21"/>
              </w:rPr>
              <w:t>对接大数据分析平台：“数智筛”</w:t>
            </w:r>
            <w:r>
              <w:rPr>
                <w:rFonts w:ascii="宋体" w:eastAsia="宋体" w:cs="宋体" w:hint="eastAsia"/>
                <w:color w:val="000000"/>
              </w:rPr>
              <w:t>系统</w:t>
            </w:r>
            <w:r>
              <w:rPr>
                <w:rFonts w:ascii="宋体" w:eastAsia="宋体" w:hint="eastAsia"/>
                <w:color w:val="000000"/>
                <w:szCs w:val="21"/>
              </w:rPr>
              <w:t>需要与</w:t>
            </w:r>
            <w:r>
              <w:rPr>
                <w:rFonts w:ascii="宋体" w:eastAsia="宋体" w:hint="eastAsia"/>
                <w:color w:val="000000"/>
                <w:szCs w:val="21"/>
                <w:lang w:val="en-US" w:eastAsia="zh-CN"/>
              </w:rPr>
              <w:t>大数据资源池、</w:t>
            </w:r>
            <w:r>
              <w:rPr>
                <w:rFonts w:ascii="宋体" w:eastAsia="宋体" w:hint="eastAsia"/>
                <w:color w:val="000000"/>
                <w:szCs w:val="21"/>
              </w:rPr>
              <w:t>大数据分析平台紧密集成，同步获取和更新各类业务数据。大</w:t>
            </w:r>
            <w:r>
              <w:rPr>
                <w:rFonts w:ascii="宋体" w:eastAsia="宋体"/>
                <w:color w:val="000000"/>
                <w:szCs w:val="21"/>
              </w:rPr>
              <w:t>数据资源池是一个集中存储和管理海关全量及增量业务数据的平台，它支持其他系统通过ETL工具同步数据或通过信息共享服务平台接口访问数据，以满足各种数据需求和应用场景</w:t>
            </w:r>
            <w:r>
              <w:rPr>
                <w:rFonts w:ascii="宋体" w:eastAsia="宋体" w:hint="eastAsia"/>
                <w:color w:val="000000"/>
                <w:szCs w:val="21"/>
                <w:lang w:val="en-US" w:eastAsia="zh-CN"/>
              </w:rPr>
              <w:t>；</w:t>
            </w:r>
            <w:r>
              <w:rPr>
                <w:rFonts w:ascii="宋体" w:eastAsia="宋体" w:hint="eastAsia"/>
                <w:color w:val="000000"/>
                <w:szCs w:val="21"/>
              </w:rPr>
              <w:t>大数据分析平台是一个集数据存储、处理、分析、展示于一体的综合系统，它通过整合海关全量业务数据，利用多种数据处理工具和服务，为授权用户提供高效、灵活的数据支持和应用服务</w:t>
            </w:r>
            <w:r>
              <w:rPr>
                <w:rFonts w:ascii="宋体" w:eastAsia="宋体" w:hint="eastAsia"/>
                <w:color w:val="000000"/>
                <w:szCs w:val="21"/>
                <w:lang w:eastAsia="zh-CN"/>
              </w:rPr>
              <w:t>。</w:t>
            </w:r>
          </w:p>
          <w:p>
            <w:pPr>
              <w:ind w:firstLine="480" w:firstLineChars="200"/>
              <w:rPr>
                <w:rFonts w:ascii="宋体" w:eastAsia="宋体" w:cs="宋体" w:hint="eastAsia"/>
                <w:color w:val="000000"/>
                <w:lang w:eastAsia="zh-CN"/>
              </w:rPr>
            </w:pPr>
            <w:r>
              <w:rPr>
                <w:rFonts w:ascii="宋体" w:eastAsia="宋体" w:hint="eastAsia"/>
                <w:color w:val="000000"/>
                <w:szCs w:val="21"/>
              </w:rPr>
              <w:t>对接信息资源共享</w:t>
            </w:r>
            <w:r>
              <w:rPr>
                <w:rFonts w:ascii="宋体" w:eastAsia="宋体" w:hint="eastAsia"/>
                <w:color w:val="000000"/>
                <w:szCs w:val="21"/>
                <w:lang w:val="en-US" w:eastAsia="zh-CN"/>
              </w:rPr>
              <w:t>服务</w:t>
            </w:r>
            <w:r>
              <w:rPr>
                <w:rFonts w:ascii="宋体" w:eastAsia="宋体" w:hint="eastAsia"/>
                <w:color w:val="000000"/>
                <w:szCs w:val="21"/>
              </w:rPr>
              <w:t>平台：“数智筛”</w:t>
            </w:r>
            <w:r>
              <w:rPr>
                <w:rFonts w:ascii="宋体" w:eastAsia="宋体" w:cs="宋体" w:hint="eastAsia"/>
                <w:color w:val="000000"/>
              </w:rPr>
              <w:t>系统</w:t>
            </w:r>
            <w:r>
              <w:rPr>
                <w:rFonts w:ascii="宋体" w:eastAsia="宋体" w:cs="宋体"/>
                <w:color w:val="000000"/>
              </w:rPr>
              <w:t>通过接口访问</w:t>
            </w:r>
            <w:r>
              <w:rPr>
                <w:rFonts w:ascii="宋体" w:eastAsia="宋体" w:cs="宋体" w:hint="eastAsia"/>
                <w:color w:val="000000"/>
              </w:rPr>
              <w:t>信息资源共享</w:t>
            </w:r>
            <w:r>
              <w:rPr>
                <w:rFonts w:ascii="宋体" w:eastAsia="宋体" w:cs="宋体" w:hint="eastAsia"/>
                <w:color w:val="000000"/>
                <w:lang w:val="en-US" w:eastAsia="zh-CN"/>
              </w:rPr>
              <w:t>服务</w:t>
            </w:r>
            <w:r>
              <w:rPr>
                <w:rFonts w:ascii="宋体" w:eastAsia="宋体" w:cs="宋体" w:hint="eastAsia"/>
                <w:color w:val="000000"/>
              </w:rPr>
              <w:t>平台</w:t>
            </w:r>
            <w:r>
              <w:rPr>
                <w:rFonts w:ascii="宋体" w:eastAsia="宋体" w:cs="宋体"/>
                <w:color w:val="000000"/>
              </w:rPr>
              <w:t>中的数据，</w:t>
            </w:r>
            <w:r>
              <w:rPr>
                <w:rFonts w:ascii="宋体" w:eastAsia="宋体" w:cs="宋体" w:hint="eastAsia"/>
                <w:color w:val="000000"/>
              </w:rPr>
              <w:t>获取业务单据的详细信息</w:t>
            </w:r>
            <w:r>
              <w:rPr>
                <w:rFonts w:ascii="宋体" w:eastAsia="宋体" w:cs="宋体"/>
                <w:color w:val="000000"/>
              </w:rPr>
              <w:t>。</w:t>
            </w:r>
            <w:r>
              <w:rPr>
                <w:rFonts w:ascii="宋体" w:eastAsia="宋体" w:cs="宋体" w:hint="eastAsia"/>
                <w:color w:val="000000"/>
              </w:rPr>
              <w:t>信息资源共享服务平台是一个提供数据访问和共享服务的系统，它通过接口</w:t>
            </w:r>
            <w:r>
              <w:rPr>
                <w:rFonts w:ascii="宋体" w:eastAsia="宋体" w:cs="宋体" w:hint="eastAsia"/>
                <w:color w:val="000000"/>
                <w:lang w:val="en-US" w:eastAsia="zh-CN"/>
              </w:rPr>
              <w:t>调用等</w:t>
            </w:r>
            <w:r>
              <w:rPr>
                <w:rFonts w:ascii="宋体" w:eastAsia="宋体" w:cs="宋体" w:hint="eastAsia"/>
                <w:color w:val="000000"/>
              </w:rPr>
              <w:t>方式，使各类信息系统能够便捷地获取和利用大数据资源池中的数据资源</w:t>
            </w:r>
            <w:r>
              <w:rPr>
                <w:rFonts w:ascii="宋体" w:eastAsia="宋体" w:cs="宋体" w:hint="eastAsia"/>
                <w:color w:val="000000"/>
                <w:lang w:eastAsia="zh-CN"/>
              </w:rPr>
              <w:t>。</w:t>
            </w:r>
          </w:p>
          <w:p>
            <w:pPr>
              <w:ind w:firstLine="480" w:firstLineChars="200"/>
              <w:rPr>
                <w:rFonts w:ascii="宋体" w:eastAsia="宋体" w:cs="宋体" w:hint="eastAsia"/>
                <w:lang w:eastAsia="zh-CN"/>
              </w:rPr>
            </w:pPr>
            <w:r>
              <w:rPr>
                <w:rFonts w:ascii="宋体" w:eastAsia="宋体" w:cs="宋体" w:hint="eastAsia"/>
                <w:color w:val="000000"/>
                <w:lang w:val="en-US" w:eastAsia="zh-CN"/>
              </w:rPr>
              <w:t>集成海关应用支撑平台：采用海关应用支撑平台的前后端开发框架完成系统架构的整体升级，完成前端服务界面框架的集成，保持用户体验一致性。应用支撑平台是基于微服务、容器、DevOps等技术，为海关系统提供可复用、高效、灵活的信息化基础平台。</w:t>
            </w:r>
          </w:p>
        </w:tc>
      </w:tr>
      <w:tr>
        <w:tblPrEx>
          <w:tblW w:w="8549" w:type="dxa"/>
          <w:jc w:val="left"/>
          <w:tblInd w:w="0" w:type="dxa"/>
          <w:tblLayout w:type="fixed"/>
          <w:tblCellMar>
            <w:top w:w="0" w:type="dxa"/>
            <w:left w:w="108" w:type="dxa"/>
            <w:bottom w:w="0" w:type="dxa"/>
            <w:right w:w="108" w:type="dxa"/>
          </w:tblCellMar>
        </w:tblPrEx>
        <w:trPr>
          <w:trHeight w:val="1601"/>
          <w:jc w:val="left"/>
        </w:trPr>
        <w:tc>
          <w:tcPr>
            <w:tcW w:w="769" w:type="dxa"/>
            <w:noWrap/>
            <w:vAlign w:val="center"/>
          </w:tcPr>
          <w:p>
            <w:pPr>
              <w:ind w:firstLine="0"/>
              <w:jc w:val="center"/>
              <w:rPr>
                <w:rFonts w:ascii="宋体" w:eastAsia="宋体" w:cs="宋体"/>
              </w:rPr>
            </w:pPr>
            <w:r>
              <w:rPr>
                <w:rFonts w:ascii="宋体" w:eastAsia="宋体" w:cs="宋体" w:hint="eastAsia"/>
                <w:b/>
              </w:rPr>
              <w:t>2</w:t>
            </w:r>
          </w:p>
        </w:tc>
        <w:tc>
          <w:tcPr>
            <w:tcW w:w="1497"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宋体"/>
                <w:b/>
              </w:rPr>
            </w:pPr>
            <w:r>
              <w:rPr>
                <w:rFonts w:ascii="宋体" w:eastAsia="宋体" w:cs="宋体" w:hint="eastAsia"/>
                <w:b/>
              </w:rPr>
              <w:t>技术需求</w:t>
            </w:r>
          </w:p>
        </w:tc>
        <w:tc>
          <w:tcPr>
            <w:tcW w:w="6283" w:type="dxa"/>
            <w:noWrap/>
            <w:vAlign w:val="center"/>
          </w:tcPr>
          <w:p>
            <w:pPr>
              <w:ind w:firstLine="480" w:firstLineChars="200"/>
              <w:rPr>
                <w:rFonts w:ascii="宋体" w:eastAsia="宋体" w:cs="宋体"/>
                <w:lang w:bidi="en-US"/>
              </w:rPr>
            </w:pPr>
            <w:r>
              <w:rPr>
                <w:rFonts w:ascii="宋体" w:eastAsia="宋体" w:hint="eastAsia"/>
                <w:lang w:bidi="en-US"/>
              </w:rPr>
              <w:t>本项目建设需符合中国海关的技术约束要求。</w:t>
            </w:r>
          </w:p>
        </w:tc>
      </w:tr>
      <w:tr>
        <w:tblPrEx>
          <w:tblW w:w="8549" w:type="dxa"/>
          <w:jc w:val="left"/>
          <w:tblInd w:w="0" w:type="dxa"/>
          <w:tblLayout w:type="fixed"/>
          <w:tblCellMar>
            <w:top w:w="0" w:type="dxa"/>
            <w:left w:w="108" w:type="dxa"/>
            <w:bottom w:w="0" w:type="dxa"/>
            <w:right w:w="108" w:type="dxa"/>
          </w:tblCellMar>
        </w:tblPrEx>
        <w:trPr>
          <w:trHeight w:val="371"/>
          <w:jc w:val="left"/>
        </w:trPr>
        <w:tc>
          <w:tcPr>
            <w:tcW w:w="769" w:type="dxa"/>
            <w:noWrap/>
            <w:vAlign w:val="center"/>
          </w:tcPr>
          <w:p>
            <w:pPr>
              <w:ind w:firstLine="0"/>
              <w:jc w:val="center"/>
              <w:rPr>
                <w:rFonts w:ascii="宋体" w:eastAsia="宋体" w:cs="宋体"/>
              </w:rPr>
            </w:pPr>
            <w:r>
              <w:rPr>
                <w:rFonts w:ascii="宋体" w:eastAsia="宋体" w:cs="宋体" w:hint="eastAsia"/>
                <w:b/>
              </w:rPr>
              <w:t>3</w:t>
            </w:r>
          </w:p>
        </w:tc>
        <w:tc>
          <w:tcPr>
            <w:tcW w:w="1497"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宋体"/>
                <w:b/>
              </w:rPr>
            </w:pPr>
            <w:r>
              <w:rPr>
                <w:rFonts w:ascii="宋体" w:eastAsia="宋体" w:cs="宋体" w:hint="eastAsia"/>
                <w:b/>
              </w:rPr>
              <w:t>系统需求</w:t>
            </w:r>
          </w:p>
        </w:tc>
        <w:tc>
          <w:tcPr>
            <w:tcW w:w="6283" w:type="dxa"/>
            <w:noWrap/>
            <w:vAlign w:val="center"/>
          </w:tcPr>
          <w:p>
            <w:pPr>
              <w:ind w:firstLine="480" w:firstLineChars="200"/>
              <w:rPr>
                <w:rFonts w:ascii="宋体" w:eastAsia="宋体" w:cs="宋体"/>
                <w:lang w:bidi="en-US"/>
              </w:rPr>
            </w:pPr>
            <w:r>
              <w:rPr>
                <w:rFonts w:ascii="宋体" w:eastAsia="宋体" w:cs="宋体" w:hint="eastAsia"/>
                <w:lang w:bidi="en-US"/>
              </w:rPr>
              <w:t>本项目的建设与管理要符合同类工程的有关管理规定、技术架构、标准规范等方面要求，符合相关工程集成的设计要求及相关标准规范。</w:t>
            </w:r>
          </w:p>
          <w:p>
            <w:pPr>
              <w:ind w:firstLine="480" w:firstLineChars="200"/>
              <w:rPr>
                <w:rFonts w:ascii="宋体" w:eastAsia="宋体" w:cs="宋体"/>
                <w:lang w:bidi="en-US"/>
              </w:rPr>
            </w:pPr>
            <w:r>
              <w:rPr>
                <w:rFonts w:ascii="宋体" w:eastAsia="宋体" w:cs="宋体" w:hint="eastAsia"/>
                <w:lang w:bidi="en-US"/>
              </w:rPr>
              <w:t>本系统能够完全兼容国产化操作系统，包括但不限于国产主流操作系统版本；支持国产化数据库系统，确保数据的安全存储与高效处理；兼容国产化中间件，保证系统架构的完整性与稳定性。</w:t>
            </w:r>
          </w:p>
          <w:p>
            <w:pPr>
              <w:ind w:firstLine="480" w:firstLineChars="200"/>
              <w:rPr>
                <w:rFonts w:ascii="宋体" w:eastAsia="宋体" w:cs="宋体"/>
                <w:lang w:bidi="en-US"/>
              </w:rPr>
            </w:pPr>
            <w:r>
              <w:rPr>
                <w:rFonts w:ascii="宋体" w:eastAsia="宋体" w:cs="宋体" w:hint="eastAsia"/>
                <w:lang w:bidi="en-US"/>
              </w:rPr>
              <w:t>新建、重构类项目相关的系统应按照智慧海关最新应用架构、技术架构相关要求，按照统一界面设计、统一技术路线、统一研发框架、统一开发环境要求开展技术实施，遵循海关总署“大平台、微服务、小终端、富生态”信息化建设模式，严格规范、充分复用已发布的海关服务能力，包括但不限于云计算、大数据、</w:t>
            </w:r>
            <w:r>
              <w:rPr>
                <w:rFonts w:ascii="宋体" w:eastAsia="宋体" w:cs="宋体" w:hint="eastAsia"/>
                <w:lang w:eastAsia="zh-CN" w:bidi="en-US"/>
              </w:rPr>
              <w:t>人工智能</w:t>
            </w:r>
            <w:r>
              <w:rPr>
                <w:rFonts w:ascii="宋体" w:eastAsia="宋体" w:cs="宋体" w:hint="eastAsia"/>
                <w:lang w:bidi="en-US"/>
              </w:rPr>
              <w:t>的重复建设与引用，确保项目建设规范科学。</w:t>
            </w:r>
          </w:p>
        </w:tc>
      </w:tr>
    </w:tbl>
    <w:p>
      <w:pPr>
        <w:rPr>
          <w:rFonts w:ascii="宋体" w:eastAsia="宋体" w:cs="宋体"/>
        </w:rPr>
      </w:pPr>
    </w:p>
    <w:p>
      <w:pPr>
        <w:numPr>
          <w:ilvl w:val="0"/>
          <w:numId w:val="2"/>
        </w:numPr>
        <w:rPr>
          <w:rFonts w:ascii="宋体" w:eastAsia="宋体" w:cs="宋体" w:hint="eastAsia"/>
        </w:rPr>
      </w:pPr>
      <w:r>
        <w:rPr>
          <w:rFonts w:ascii="宋体" w:eastAsia="宋体" w:cs="宋体" w:hint="eastAsia"/>
        </w:rPr>
        <w:t>货物或服务指标要求</w:t>
      </w:r>
      <w:bookmarkEnd w:id="38"/>
    </w:p>
    <w:p>
      <w:pPr>
        <w:rPr>
          <w:rFonts w:ascii="宋体" w:eastAsia="宋体" w:cs="宋体"/>
        </w:rPr>
      </w:pPr>
      <w:r>
        <w:rPr>
          <w:rFonts w:ascii="宋体" w:eastAsia="宋体" w:cs="宋体" w:hint="eastAsia"/>
        </w:rPr>
        <w:t>参数指标要求</w:t>
      </w:r>
    </w:p>
    <w:p>
      <w:pPr>
        <w:rPr>
          <w:rFonts w:ascii="宋体" w:eastAsia="宋体" w:cs="宋体"/>
        </w:rPr>
      </w:pPr>
      <w:r>
        <w:rPr>
          <w:rFonts w:ascii="宋体" w:eastAsia="宋体" w:cs="宋体" w:hint="eastAsia"/>
        </w:rPr>
        <w:t>①★代表实质性指标，不满足该指标项将导致投标被拒绝</w:t>
      </w:r>
      <w:r>
        <w:rPr>
          <w:rFonts w:ascii="宋体" w:eastAsia="宋体" w:hint="eastAsia"/>
        </w:rPr>
        <w:t>；加 “▲”标记表示为重要指标项</w:t>
      </w:r>
      <w:r>
        <w:rPr>
          <w:rFonts w:ascii="宋体" w:eastAsia="宋体" w:cs="宋体" w:hint="eastAsia"/>
        </w:rPr>
        <w:t>，无标识则表示一般指标项</w:t>
      </w:r>
      <w:r>
        <w:rPr>
          <w:rFonts w:ascii="宋体" w:eastAsia="宋体" w:hint="eastAsia"/>
        </w:rPr>
        <w:t>，如不满足将影响评分</w:t>
      </w:r>
      <w:r>
        <w:rPr>
          <w:rFonts w:ascii="宋体" w:eastAsia="宋体" w:cs="宋体" w:hint="eastAsia"/>
        </w:rPr>
        <w:t>。</w:t>
      </w:r>
    </w:p>
    <w:p>
      <w:pPr>
        <w:rPr>
          <w:rFonts w:ascii="宋体" w:eastAsia="宋体" w:cs="宋体"/>
        </w:rPr>
      </w:pPr>
      <w:r>
        <w:rPr>
          <w:rFonts w:ascii="宋体" w:eastAsia="宋体" w:cs="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2780"/>
        <w:gridCol w:w="1919"/>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tcPr>
          <w:p>
            <w:pPr>
              <w:ind w:firstLine="0"/>
              <w:jc w:val="center"/>
              <w:rPr>
                <w:rFonts w:ascii="宋体" w:eastAsia="宋体"/>
                <w:b/>
              </w:rPr>
            </w:pPr>
            <w:r>
              <w:rPr>
                <w:rFonts w:ascii="宋体" w:eastAsia="宋体" w:hint="eastAsia"/>
                <w:b/>
              </w:rPr>
              <w:t>序号</w:t>
            </w:r>
          </w:p>
        </w:tc>
        <w:tc>
          <w:tcPr>
            <w:tcW w:w="1132" w:type="dxa"/>
            <w:shd w:val="clear" w:color="A6A6A6" w:fill="A6A6A6"/>
          </w:tcPr>
          <w:p>
            <w:pPr>
              <w:ind w:firstLine="0"/>
              <w:jc w:val="center"/>
              <w:rPr>
                <w:rFonts w:ascii="宋体" w:eastAsia="宋体"/>
                <w:b/>
              </w:rPr>
            </w:pPr>
            <w:r>
              <w:rPr>
                <w:rFonts w:ascii="宋体" w:eastAsia="宋体" w:hint="eastAsia"/>
                <w:b/>
              </w:rPr>
              <w:t>重要性</w:t>
            </w:r>
          </w:p>
        </w:tc>
        <w:tc>
          <w:tcPr>
            <w:tcW w:w="1795" w:type="dxa"/>
            <w:shd w:val="clear" w:color="A6A6A6" w:fill="A6A6A6"/>
          </w:tcPr>
          <w:p>
            <w:pPr>
              <w:ind w:firstLine="0"/>
              <w:jc w:val="center"/>
              <w:rPr>
                <w:rFonts w:ascii="宋体" w:eastAsia="宋体"/>
                <w:b/>
              </w:rPr>
            </w:pPr>
            <w:r>
              <w:rPr>
                <w:rFonts w:ascii="宋体" w:eastAsia="宋体" w:hint="eastAsia"/>
                <w:b/>
              </w:rPr>
              <w:t>指标项</w:t>
            </w:r>
          </w:p>
        </w:tc>
        <w:tc>
          <w:tcPr>
            <w:tcW w:w="2780" w:type="dxa"/>
            <w:shd w:val="clear" w:color="A6A6A6" w:fill="A6A6A6"/>
          </w:tcPr>
          <w:p>
            <w:pPr>
              <w:ind w:firstLine="0"/>
              <w:jc w:val="center"/>
              <w:rPr>
                <w:rFonts w:ascii="宋体" w:eastAsia="宋体"/>
                <w:b/>
              </w:rPr>
            </w:pPr>
            <w:r>
              <w:rPr>
                <w:rFonts w:ascii="宋体" w:eastAsia="宋体" w:hint="eastAsia"/>
                <w:b/>
              </w:rPr>
              <w:t>指标要求</w:t>
            </w:r>
          </w:p>
        </w:tc>
        <w:tc>
          <w:tcPr>
            <w:tcW w:w="1919" w:type="dxa"/>
            <w:shd w:val="clear" w:color="A6A6A6" w:fill="A6A6A6"/>
          </w:tcPr>
          <w:p>
            <w:pPr>
              <w:ind w:firstLine="0"/>
              <w:jc w:val="center"/>
              <w:rPr>
                <w:rFonts w:ascii="宋体" w:eastAsia="宋体"/>
                <w:b/>
              </w:rPr>
            </w:pPr>
            <w:r>
              <w:rPr>
                <w:rFonts w:ascii="宋体" w:eastAsia="宋体" w:hint="eastAsia"/>
                <w:b/>
              </w:rPr>
              <w:t>证明材料要求</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b/>
              </w:rPr>
            </w:pPr>
            <w:r>
              <w:rPr>
                <w:rFonts w:ascii="宋体" w:eastAsia="宋体" w:hint="eastAsia"/>
              </w:rPr>
              <w:t>▲</w:t>
            </w: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lang w:bidi="en-US"/>
              </w:rPr>
            </w:pPr>
            <w:r>
              <w:rPr>
                <w:rFonts w:ascii="宋体" w:eastAsia="宋体" w:hint="eastAsia"/>
                <w:lang w:bidi="en-US"/>
              </w:rPr>
              <w:t>业务要求</w:t>
            </w:r>
          </w:p>
        </w:tc>
        <w:tc>
          <w:tcPr>
            <w:tcW w:w="2780" w:type="dxa"/>
            <w:tcBorders>
              <w:top w:val="single" w:sz="4" w:space="0" w:color="auto"/>
              <w:left w:val="single" w:sz="4" w:space="0" w:color="auto"/>
              <w:right w:val="single" w:sz="4" w:space="0" w:color="auto"/>
            </w:tcBorders>
            <w:vAlign w:val="center"/>
          </w:tcPr>
          <w:p>
            <w:pPr>
              <w:ind w:firstLine="480" w:firstLineChars="200"/>
              <w:rPr>
                <w:rFonts w:ascii="宋体" w:eastAsia="宋体"/>
                <w:lang w:bidi="en-US"/>
              </w:rPr>
            </w:pPr>
            <w:r>
              <w:rPr>
                <w:rFonts w:ascii="宋体" w:eastAsia="宋体" w:hint="eastAsia"/>
                <w:lang w:bidi="en-US"/>
              </w:rPr>
              <w:t>1、投标人需具备智能信息类应用系统项目建设能力，包含自然语言处理和专家系统等领域的技术</w:t>
            </w:r>
            <w:r>
              <w:rPr>
                <w:rFonts w:ascii="宋体" w:eastAsia="宋体" w:hint="eastAsia"/>
                <w:lang w:val="en-US" w:eastAsia="zh-CN" w:bidi="en-US"/>
              </w:rPr>
              <w:t>能力</w:t>
            </w:r>
            <w:r>
              <w:rPr>
                <w:rFonts w:ascii="宋体" w:eastAsia="宋体" w:hint="eastAsia"/>
                <w:lang w:bidi="en-US"/>
              </w:rPr>
              <w:t>。</w:t>
            </w:r>
          </w:p>
          <w:p>
            <w:pPr>
              <w:ind w:firstLine="480" w:firstLineChars="200"/>
              <w:rPr>
                <w:rFonts w:ascii="宋体" w:eastAsia="宋体"/>
                <w:lang w:bidi="en-US"/>
              </w:rPr>
            </w:pPr>
            <w:r>
              <w:rPr>
                <w:rFonts w:ascii="宋体" w:eastAsia="宋体" w:hint="eastAsia"/>
                <w:lang w:bidi="en-US"/>
              </w:rPr>
              <w:t>2、投标人需具备风险分析和报告管理的能力，能够提供优质的系统交互体验和高效的操作感受。</w:t>
            </w:r>
          </w:p>
          <w:p>
            <w:pPr>
              <w:ind w:firstLine="480" w:firstLineChars="200"/>
              <w:rPr>
                <w:rFonts w:ascii="宋体" w:eastAsia="宋体"/>
                <w:lang w:bidi="en-US"/>
              </w:rPr>
            </w:pPr>
            <w:r>
              <w:rPr>
                <w:rFonts w:ascii="宋体" w:eastAsia="宋体" w:hint="eastAsia"/>
                <w:lang w:bidi="en-US"/>
              </w:rPr>
              <w:t>3、投标人需具备大数据处理能力，能够进行数据分词提取、关键词提取、同义词替换和聚类技术应用，提升数据组织和管理效率。</w:t>
            </w:r>
          </w:p>
          <w:p>
            <w:pPr>
              <w:ind w:firstLine="480" w:firstLineChars="200"/>
              <w:rPr>
                <w:rFonts w:ascii="宋体" w:eastAsia="宋体"/>
                <w:lang w:bidi="en-US"/>
              </w:rPr>
            </w:pPr>
            <w:r>
              <w:rPr>
                <w:rFonts w:ascii="宋体" w:eastAsia="宋体" w:hint="eastAsia"/>
                <w:lang w:bidi="en-US"/>
              </w:rPr>
              <w:t>4、投标人需具备模型管理和参数优化能力，能够提供图形界面化管理模式，支持模型历史版本维护、在线编辑和加密存储等功能。</w:t>
            </w:r>
          </w:p>
          <w:p>
            <w:pPr>
              <w:ind w:firstLine="480" w:firstLineChars="200"/>
              <w:rPr>
                <w:rFonts w:ascii="宋体" w:eastAsia="宋体"/>
                <w:lang w:bidi="en-US"/>
              </w:rPr>
            </w:pPr>
            <w:r>
              <w:rPr>
                <w:rFonts w:ascii="宋体" w:eastAsia="宋体" w:hint="eastAsia"/>
                <w:lang w:bidi="en-US"/>
              </w:rPr>
              <w:t>5、投标人需具备外贸进出口海量数据的统计分析能力，能够处理和分析复杂的进出口业务数据。</w:t>
            </w:r>
          </w:p>
        </w:tc>
        <w:tc>
          <w:tcPr>
            <w:tcW w:w="1919" w:type="dxa"/>
            <w:vAlign w:val="center"/>
          </w:tcPr>
          <w:p>
            <w:pPr>
              <w:ind w:firstLine="0"/>
              <w:jc w:val="left"/>
              <w:rPr>
                <w:rFonts w:ascii="宋体" w:eastAsia="宋体" w:hint="eastAsia"/>
                <w:lang w:eastAsia="zh-CN" w:bidi="en-US"/>
              </w:rPr>
            </w:pPr>
            <w:r>
              <w:rPr>
                <w:rFonts w:ascii="宋体" w:eastAsia="宋体" w:hint="eastAsia"/>
                <w:lang w:bidi="en-US"/>
              </w:rPr>
              <w:t>是</w:t>
            </w:r>
            <w:r>
              <w:rPr>
                <w:rFonts w:ascii="宋体" w:eastAsia="宋体" w:hint="eastAsia"/>
                <w:lang w:eastAsia="zh-CN" w:bidi="en-US"/>
              </w:rPr>
              <w:t>，提供《承诺函》并加盖单位公章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w:t>
            </w: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lang w:bidi="en-US"/>
              </w:rPr>
            </w:pPr>
            <w:r>
              <w:rPr>
                <w:rFonts w:ascii="宋体" w:eastAsia="宋体" w:hint="eastAsia"/>
                <w:lang w:bidi="en-US"/>
              </w:rPr>
              <w:t>技术要求</w:t>
            </w:r>
          </w:p>
        </w:tc>
        <w:tc>
          <w:tcPr>
            <w:tcW w:w="2780" w:type="dxa"/>
            <w:tcBorders>
              <w:top w:val="single" w:sz="4" w:space="0" w:color="auto"/>
              <w:left w:val="single" w:sz="4" w:space="0" w:color="auto"/>
              <w:right w:val="single" w:sz="4" w:space="0" w:color="auto"/>
            </w:tcBorders>
            <w:vAlign w:val="center"/>
          </w:tcPr>
          <w:p>
            <w:pPr>
              <w:ind w:firstLine="480" w:firstLineChars="200"/>
              <w:rPr>
                <w:rFonts w:ascii="宋体" w:eastAsia="宋体"/>
                <w:lang w:bidi="en-US"/>
              </w:rPr>
            </w:pPr>
            <w:r>
              <w:rPr>
                <w:rFonts w:ascii="宋体" w:eastAsia="宋体" w:hint="eastAsia"/>
                <w:lang w:bidi="en-US"/>
              </w:rPr>
              <w:t>1、本项目所用的开发语言、开发工具、技术架构及数据库需符合中国海关的技术约束要求。</w:t>
            </w:r>
          </w:p>
          <w:p>
            <w:pPr>
              <w:ind w:firstLine="480" w:firstLineChars="200"/>
              <w:rPr>
                <w:rFonts w:ascii="宋体" w:eastAsia="宋体"/>
                <w:lang w:bidi="en-US"/>
              </w:rPr>
            </w:pPr>
            <w:r>
              <w:rPr>
                <w:rFonts w:ascii="宋体" w:eastAsia="宋体" w:hint="eastAsia"/>
                <w:lang w:bidi="en-US"/>
              </w:rPr>
              <w:t>2、容错处理周全，考虑到用户可能的误操作以及非法参数设置，能够及时提示，避免因用户操作或系统原因导致系统死机或让用户长时间等待。</w:t>
            </w:r>
          </w:p>
          <w:p>
            <w:pPr>
              <w:ind w:firstLine="480" w:firstLineChars="200"/>
              <w:rPr>
                <w:rFonts w:ascii="宋体" w:eastAsia="宋体"/>
                <w:lang w:bidi="en-US"/>
              </w:rPr>
            </w:pPr>
            <w:r>
              <w:rPr>
                <w:rFonts w:ascii="宋体" w:eastAsia="宋体" w:hint="eastAsia"/>
                <w:lang w:bidi="en-US"/>
              </w:rPr>
              <w:t>3、具备VUE、JAVA和PASCAL语言的项目开发能力，确保能够对现有系统进行有效的维护和升级。</w:t>
            </w:r>
          </w:p>
          <w:p>
            <w:pPr>
              <w:ind w:firstLine="480" w:firstLineChars="200"/>
              <w:rPr>
                <w:rFonts w:ascii="宋体" w:eastAsia="宋体"/>
                <w:lang w:bidi="en-US"/>
              </w:rPr>
            </w:pPr>
            <w:r>
              <w:rPr>
                <w:rFonts w:ascii="宋体" w:eastAsia="宋体" w:hint="eastAsia"/>
                <w:lang w:bidi="en-US"/>
              </w:rPr>
              <w:t>4、本项目应用软件的运行环境，须兼容国产化硬件和操作系统、中间件，例如国产服务器、国产操作系统等。对于应用软件的开发环境，须采用符合国产化技术路线的开发工具和开发环境，以确保软件开发过程与国产化方向的一致性。</w:t>
            </w:r>
          </w:p>
          <w:p>
            <w:pPr>
              <w:ind w:firstLine="480" w:firstLineChars="200"/>
              <w:rPr>
                <w:rFonts w:ascii="宋体" w:eastAsia="宋体"/>
                <w:lang w:bidi="en-US"/>
              </w:rPr>
            </w:pPr>
            <w:r>
              <w:rPr>
                <w:rFonts w:ascii="宋体" w:eastAsia="宋体" w:hint="eastAsia"/>
                <w:lang w:bidi="en-US"/>
              </w:rPr>
              <w:t>5、本项目需通过国产化适配测试，包括但不限于与国产化硬件设备的兼容性测试。投标方应提供详细的国产化适配方案，包括适配范围、适配步骤及预期效果。应用软件在国产化环境中的性能表现应不低于原有非国产化环境。需满足国产化适配的具体要求，包括但不限于软件架构、编程语言、数据库、中间件等方面的适配要求。对于国产化软硬件产品的兼容性测试，须确保软件与国产化环境的无缝集成和互操作性。提供必要的技术支持，包括解决在国产化适配过程中可能出现的技术问题。</w:t>
            </w:r>
          </w:p>
          <w:p>
            <w:pPr>
              <w:ind w:firstLine="480" w:firstLineChars="200"/>
              <w:rPr>
                <w:rFonts w:ascii="宋体" w:eastAsia="宋体"/>
                <w:lang w:bidi="en-US"/>
              </w:rPr>
            </w:pPr>
            <w:r>
              <w:rPr>
                <w:rFonts w:ascii="宋体" w:eastAsia="宋体" w:hint="eastAsia"/>
                <w:lang w:bidi="en-US"/>
              </w:rPr>
              <w:t>6、软件产品工具须满足遵守中国海关的相关内控规定，系统平台具备较强的稳定性、高效性、灵活性、安全性和可靠性。</w:t>
            </w:r>
          </w:p>
          <w:p>
            <w:pPr>
              <w:ind w:firstLine="480" w:firstLineChars="200"/>
              <w:rPr>
                <w:rFonts w:ascii="宋体" w:eastAsia="宋体"/>
                <w:lang w:bidi="en-US"/>
              </w:rPr>
            </w:pPr>
            <w:r>
              <w:rPr>
                <w:rFonts w:ascii="宋体" w:eastAsia="宋体" w:hint="eastAsia"/>
                <w:lang w:bidi="en-US"/>
              </w:rPr>
              <w:t>7、本项目系统设计、编码应当符合海关网络安全架构体系和数据安全要求，满足国家等级保护测评要求和国家商用密码应用测评要求。</w:t>
            </w:r>
          </w:p>
        </w:tc>
        <w:tc>
          <w:tcPr>
            <w:tcW w:w="1919" w:type="dxa"/>
            <w:vAlign w:val="center"/>
          </w:tcPr>
          <w:p>
            <w:pPr>
              <w:ind w:firstLine="0"/>
              <w:jc w:val="left"/>
              <w:rPr>
                <w:rFonts w:ascii="宋体" w:eastAsia="宋体"/>
                <w:color w:val="FF0000"/>
                <w:lang w:bidi="en-US"/>
              </w:rPr>
            </w:pPr>
            <w:r>
              <w:rPr>
                <w:rFonts w:ascii="宋体" w:eastAsia="宋体" w:hint="eastAsia"/>
                <w:color w:val="auto"/>
                <w:lang w:bidi="en-US"/>
              </w:rPr>
              <w:t>是</w:t>
            </w:r>
            <w:r>
              <w:rPr>
                <w:rFonts w:ascii="宋体" w:eastAsia="宋体" w:hint="eastAsia"/>
                <w:color w:val="auto"/>
                <w:lang w:eastAsia="zh-CN" w:bidi="en-US"/>
              </w:rPr>
              <w:t>，提供《承诺函》并加盖单位公章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w:t>
            </w: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lang w:bidi="en-US"/>
              </w:rPr>
            </w:pPr>
            <w:r>
              <w:rPr>
                <w:rFonts w:ascii="宋体" w:eastAsia="宋体" w:hint="eastAsia"/>
                <w:lang w:bidi="en-US"/>
              </w:rPr>
              <w:t>性能要求</w:t>
            </w:r>
          </w:p>
        </w:tc>
        <w:tc>
          <w:tcPr>
            <w:tcW w:w="2780" w:type="dxa"/>
            <w:tcBorders>
              <w:top w:val="single" w:sz="4" w:space="0" w:color="auto"/>
              <w:left w:val="single" w:sz="4" w:space="0" w:color="auto"/>
              <w:right w:val="single" w:sz="4" w:space="0" w:color="auto"/>
            </w:tcBorders>
            <w:vAlign w:val="center"/>
          </w:tcPr>
          <w:p>
            <w:pPr>
              <w:ind w:firstLine="480" w:firstLineChars="200"/>
              <w:rPr>
                <w:rFonts w:ascii="宋体" w:eastAsia="宋体"/>
                <w:lang w:bidi="en-US"/>
              </w:rPr>
            </w:pPr>
            <w:r>
              <w:rPr>
                <w:rFonts w:ascii="宋体" w:eastAsia="宋体" w:hint="eastAsia"/>
                <w:lang w:bidi="en-US"/>
              </w:rPr>
              <w:t>数智筛的数据分析和结果查询系统预计每日使用人数为1000人，高峰时段并发用户为100人；现场业务日常工作时间为8:30到17:30，业务高峰时段为上午9时到11时。页面打开时间应控制在5秒以内，流转时间不应超过20秒，简单查询功能的查询时间需在10秒以内，复杂查询功能的查询时间需在60秒以内。系统需具备高并发处理能力，能够在高强度和高复杂性的业务环境中稳定高效运行，并保证业务操作的成功率在99%以上。系统需具备全年可用性不低于99.9%，并具备完善的容灾恢复能力，确保在发生故障时能够在30分钟内恢复关键业务系统。系统需具备实时性能监控能力，支持日志记录和分析功能，确保系统在高负载下的性能和稳定性，并具备良好的扩展性以支持未来的业务增长。</w:t>
            </w:r>
          </w:p>
        </w:tc>
        <w:tc>
          <w:tcPr>
            <w:tcW w:w="1919" w:type="dxa"/>
            <w:vAlign w:val="center"/>
          </w:tcPr>
          <w:p>
            <w:pPr>
              <w:ind w:firstLine="0"/>
              <w:rPr>
                <w:rFonts w:ascii="宋体" w:eastAsia="宋体"/>
                <w:lang w:bidi="en-US"/>
              </w:rPr>
            </w:pPr>
            <w:r>
              <w:rPr>
                <w:rFonts w:ascii="宋体" w:eastAsia="宋体" w:hint="eastAsia"/>
                <w:lang w:bidi="en-US"/>
              </w:rPr>
              <w:t>是</w:t>
            </w:r>
            <w:r>
              <w:rPr>
                <w:rFonts w:ascii="宋体" w:eastAsia="宋体" w:cs="宋体" w:hint="eastAsia"/>
              </w:rPr>
              <w:t>，提供《承诺函》并加盖单位公章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w:t>
            </w: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lang w:bidi="en-US"/>
              </w:rPr>
            </w:pPr>
            <w:r>
              <w:rPr>
                <w:rFonts w:ascii="宋体" w:eastAsia="宋体" w:hint="eastAsia"/>
                <w:lang w:bidi="en-US"/>
              </w:rPr>
              <w:t>环境要求</w:t>
            </w:r>
          </w:p>
        </w:tc>
        <w:tc>
          <w:tcPr>
            <w:tcW w:w="2780" w:type="dxa"/>
            <w:tcBorders>
              <w:top w:val="single" w:sz="4" w:space="0" w:color="auto"/>
              <w:left w:val="single" w:sz="4" w:space="0" w:color="auto"/>
              <w:right w:val="single" w:sz="4" w:space="0" w:color="auto"/>
            </w:tcBorders>
            <w:vAlign w:val="center"/>
          </w:tcPr>
          <w:p>
            <w:pPr>
              <w:ind w:firstLine="480" w:firstLineChars="200"/>
              <w:rPr>
                <w:rFonts w:ascii="宋体" w:eastAsia="宋体"/>
                <w:lang w:bidi="en-US"/>
              </w:rPr>
            </w:pPr>
            <w:r>
              <w:rPr>
                <w:rFonts w:ascii="宋体" w:eastAsia="宋体" w:hint="eastAsia"/>
                <w:lang w:bidi="en-US"/>
              </w:rPr>
              <w:t>本项目所有操作系统和客户端浏览器需遵循中国海关的相关约束。</w:t>
            </w:r>
          </w:p>
        </w:tc>
        <w:tc>
          <w:tcPr>
            <w:tcW w:w="1919" w:type="dxa"/>
            <w:vAlign w:val="center"/>
          </w:tcPr>
          <w:p>
            <w:pPr>
              <w:ind w:firstLine="0"/>
              <w:jc w:val="center"/>
              <w:rPr>
                <w:rFonts w:ascii="宋体" w:eastAsia="宋体"/>
                <w:lang w:bidi="en-US"/>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lang w:bidi="en-US"/>
              </w:rPr>
            </w:pPr>
            <w:r>
              <w:rPr>
                <w:rFonts w:ascii="宋体" w:eastAsia="宋体" w:cs="宋体" w:hint="eastAsia"/>
                <w:spacing w:val="-4"/>
                <w:lang w:bidi="en-US"/>
              </w:rPr>
              <w:t>扩展需求指标</w:t>
            </w:r>
          </w:p>
        </w:tc>
        <w:tc>
          <w:tcPr>
            <w:tcW w:w="278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ascii="宋体" w:eastAsia="宋体"/>
                <w:lang w:bidi="en-US"/>
              </w:rPr>
            </w:pPr>
            <w:r>
              <w:rPr>
                <w:rFonts w:ascii="宋体" w:eastAsia="宋体" w:cs="宋体" w:hint="eastAsia"/>
                <w:spacing w:val="-4"/>
              </w:rPr>
              <w:t>系统应同时满足技术和业务上的扩展性，在技术设计上能够考虑到用户数及业务量增长的情况下，系统性能可以满足稳定运行的要求：同时根据业务需要，为今后新增的功能模块做好预留准备。</w:t>
            </w:r>
          </w:p>
        </w:tc>
        <w:tc>
          <w:tcPr>
            <w:tcW w:w="1919" w:type="dxa"/>
            <w:vAlign w:val="center"/>
          </w:tcPr>
          <w:p>
            <w:pPr>
              <w:spacing w:line="240" w:lineRule="auto"/>
              <w:ind w:firstLine="0"/>
              <w:jc w:val="center"/>
              <w:rPr>
                <w:rFonts w:ascii="宋体" w:eastAsia="宋体"/>
                <w:lang w:bidi="en-US"/>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pacing w:val="-4"/>
                <w:lang w:bidi="en-US"/>
              </w:rPr>
            </w:pPr>
            <w:r>
              <w:rPr>
                <w:rFonts w:ascii="宋体" w:eastAsia="宋体" w:cs="宋体" w:hint="eastAsia"/>
                <w:spacing w:val="-4"/>
                <w:lang w:bidi="en-US"/>
              </w:rPr>
              <w:t>业务应急要求</w:t>
            </w:r>
          </w:p>
        </w:tc>
        <w:tc>
          <w:tcPr>
            <w:tcW w:w="278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ascii="宋体" w:eastAsia="宋体" w:cs="宋体"/>
                <w:spacing w:val="-4"/>
              </w:rPr>
            </w:pPr>
            <w:r>
              <w:rPr>
                <w:rFonts w:ascii="宋体" w:eastAsia="宋体" w:cs="宋体" w:hint="eastAsia"/>
                <w:spacing w:val="-4"/>
              </w:rPr>
              <w:t>系统出现故障，技术人员可立即排查恢复。对系统数据进行备份，防止数据丢失。</w:t>
            </w:r>
          </w:p>
        </w:tc>
        <w:tc>
          <w:tcPr>
            <w:tcW w:w="1919" w:type="dxa"/>
            <w:vAlign w:val="center"/>
          </w:tcPr>
          <w:p>
            <w:pPr>
              <w:spacing w:line="240" w:lineRule="auto"/>
              <w:ind w:firstLine="0"/>
              <w:jc w:val="cente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7</w:t>
            </w:r>
          </w:p>
        </w:tc>
        <w:tc>
          <w:tcPr>
            <w:tcW w:w="1132" w:type="dxa"/>
            <w:tcBorders>
              <w:top w:val="single" w:sz="4" w:space="0" w:color="auto"/>
              <w:left w:val="single" w:sz="4" w:space="0" w:color="auto"/>
              <w:right w:val="single" w:sz="4" w:space="0" w:color="auto"/>
            </w:tcBorders>
            <w:vAlign w:val="center"/>
          </w:tcPr>
          <w:p>
            <w:pPr>
              <w:spacing w:line="240" w:lineRule="auto"/>
              <w:ind w:firstLine="240" w:firstLineChars="100"/>
              <w:rPr>
                <w:rFonts w:ascii="宋体" w:eastAsia="宋体" w:cs="宋体"/>
              </w:rPr>
            </w:pPr>
            <w:r>
              <w:rPr>
                <w:rFonts w:ascii="宋体" w:eastAsia="宋体" w:cs="宋体" w:hint="eastAsia"/>
              </w:rPr>
              <w:t>▲</w:t>
            </w: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pacing w:val="-4"/>
                <w:lang w:bidi="en-US"/>
              </w:rPr>
            </w:pPr>
            <w:r>
              <w:rPr>
                <w:rFonts w:ascii="宋体" w:eastAsia="宋体" w:cs="宋体" w:hint="eastAsia"/>
                <w:spacing w:val="-4"/>
                <w:lang w:bidi="en-US"/>
              </w:rPr>
              <w:t>业务安全要求</w:t>
            </w:r>
          </w:p>
        </w:tc>
        <w:tc>
          <w:tcPr>
            <w:tcW w:w="278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ascii="宋体" w:eastAsia="宋体" w:cs="宋体"/>
                <w:spacing w:val="-4"/>
              </w:rPr>
            </w:pPr>
            <w:r>
              <w:rPr>
                <w:rFonts w:ascii="宋体" w:eastAsia="宋体" w:cs="宋体" w:hint="eastAsia"/>
                <w:spacing w:val="-4"/>
              </w:rPr>
              <w:t>1、数据保密性</w:t>
            </w:r>
            <w:r>
              <w:rPr>
                <w:rFonts w:ascii="宋体" w:eastAsia="宋体" w:cs="宋体" w:hint="eastAsia"/>
              </w:rPr>
              <w:t>需求</w:t>
            </w:r>
          </w:p>
          <w:p>
            <w:pPr>
              <w:tabs>
                <w:tab w:val="left" w:pos="709"/>
              </w:tabs>
              <w:spacing w:line="440" w:lineRule="exact"/>
              <w:ind w:firstLine="464"/>
              <w:rPr>
                <w:rFonts w:ascii="宋体" w:eastAsia="宋体" w:cs="宋体"/>
                <w:spacing w:val="-4"/>
              </w:rPr>
            </w:pPr>
            <w:r>
              <w:rPr>
                <w:rFonts w:ascii="宋体" w:eastAsia="宋体" w:cs="宋体" w:hint="eastAsia"/>
                <w:spacing w:val="-4"/>
              </w:rPr>
              <w:t>系统数据为海关重要数据，暂不涉及敏感数据。系统配置文件中涉及数据库连接的数据库账号及密码存储，应采取中国海关认可的、统一的、标准的密码技术对其进行加密，确保其存储的保密性。</w:t>
            </w:r>
          </w:p>
          <w:p>
            <w:pPr>
              <w:tabs>
                <w:tab w:val="left" w:pos="709"/>
              </w:tabs>
              <w:spacing w:line="440" w:lineRule="exact"/>
              <w:ind w:firstLine="464"/>
              <w:rPr>
                <w:rFonts w:ascii="宋体" w:eastAsia="宋体" w:cs="宋体"/>
                <w:spacing w:val="-4"/>
                <w:highlight w:val="yellow"/>
              </w:rPr>
            </w:pPr>
            <w:r>
              <w:rPr>
                <w:rFonts w:ascii="宋体" w:eastAsia="宋体" w:cs="宋体" w:hint="eastAsia"/>
                <w:spacing w:val="-4"/>
              </w:rPr>
              <w:t>2、角色及权限</w:t>
            </w:r>
            <w:r>
              <w:rPr>
                <w:rFonts w:ascii="宋体" w:eastAsia="宋体" w:cs="宋体" w:hint="eastAsia"/>
              </w:rPr>
              <w:t>需求</w:t>
            </w:r>
          </w:p>
          <w:p>
            <w:pPr>
              <w:tabs>
                <w:tab w:val="left" w:pos="709"/>
              </w:tabs>
              <w:spacing w:line="440" w:lineRule="exact"/>
              <w:ind w:firstLine="464"/>
              <w:rPr>
                <w:rFonts w:ascii="宋体" w:eastAsia="宋体" w:cs="宋体"/>
              </w:rPr>
            </w:pPr>
            <w:r>
              <w:rPr>
                <w:rFonts w:ascii="宋体" w:eastAsia="宋体" w:cs="宋体" w:hint="eastAsia"/>
              </w:rPr>
              <w:t>对登录用户的身份进行鉴别，为不同角色的用户授予不同功能权限和数据权限，用户仅能进行权限范围内允许的操作，防止未授权的功能访问和数据访问。</w:t>
            </w:r>
          </w:p>
          <w:p>
            <w:pPr>
              <w:tabs>
                <w:tab w:val="left" w:pos="709"/>
              </w:tabs>
              <w:spacing w:line="440" w:lineRule="exact"/>
              <w:rPr>
                <w:rFonts w:ascii="宋体" w:eastAsia="宋体" w:cs="宋体"/>
                <w:spacing w:val="-4"/>
              </w:rPr>
            </w:pPr>
            <w:r>
              <w:rPr>
                <w:rFonts w:ascii="宋体" w:eastAsia="宋体" w:cs="宋体" w:hint="eastAsia"/>
                <w:spacing w:val="-4"/>
              </w:rPr>
              <w:t>3、安全审计</w:t>
            </w:r>
            <w:r>
              <w:rPr>
                <w:rFonts w:ascii="宋体" w:eastAsia="宋体" w:cs="宋体" w:hint="eastAsia"/>
              </w:rPr>
              <w:t>需求</w:t>
            </w:r>
          </w:p>
          <w:p>
            <w:pPr>
              <w:tabs>
                <w:tab w:val="left" w:pos="709"/>
              </w:tabs>
              <w:spacing w:line="440" w:lineRule="exact"/>
              <w:ind w:firstLine="464"/>
              <w:rPr>
                <w:rFonts w:ascii="宋体" w:eastAsia="宋体" w:cs="宋体"/>
                <w:spacing w:val="-4"/>
              </w:rPr>
            </w:pPr>
            <w:r>
              <w:rPr>
                <w:rFonts w:ascii="宋体" w:eastAsia="宋体" w:cs="宋体" w:hint="eastAsia"/>
                <w:spacing w:val="-4"/>
              </w:rPr>
              <w:t>为确保业务安全，系统需要记录详尽的用户操作行为日志，包括用户的关键操作行为、操作时间戳等。日志记录应被保存至少6个月，并且在整个保存周期内，其内容不应被删除、修改或覆盖。</w:t>
            </w:r>
          </w:p>
        </w:tc>
        <w:tc>
          <w:tcPr>
            <w:tcW w:w="1919" w:type="dxa"/>
            <w:vAlign w:val="center"/>
          </w:tcPr>
          <w:p>
            <w:pPr>
              <w:ind w:firstLine="0"/>
              <w:jc w:val="cente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pacing w:val="-4"/>
                <w:lang w:bidi="en-US"/>
              </w:rPr>
            </w:pPr>
            <w:r>
              <w:rPr>
                <w:rFonts w:ascii="宋体" w:eastAsia="宋体" w:cs="宋体" w:hint="eastAsia"/>
                <w:spacing w:val="-4"/>
                <w:lang w:bidi="en-US"/>
              </w:rPr>
              <w:t>标准规范要求</w:t>
            </w:r>
          </w:p>
        </w:tc>
        <w:tc>
          <w:tcPr>
            <w:tcW w:w="278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ascii="宋体" w:eastAsia="宋体" w:cs="宋体"/>
                <w:spacing w:val="-4"/>
              </w:rPr>
            </w:pPr>
            <w:r>
              <w:rPr>
                <w:rFonts w:ascii="宋体" w:eastAsia="宋体" w:cs="宋体" w:hint="eastAsia"/>
                <w:spacing w:val="-4"/>
              </w:rPr>
              <w:t>1、系统建设应遵从中国海关信息化标准体系，包括总体标准、基础设施标准、信息资源标准、应用标准、信息安全标准和信息化管理标准六个分体系。</w:t>
            </w:r>
          </w:p>
          <w:p>
            <w:pPr>
              <w:tabs>
                <w:tab w:val="left" w:pos="709"/>
              </w:tabs>
              <w:spacing w:line="440" w:lineRule="exact"/>
              <w:ind w:firstLine="464"/>
              <w:rPr>
                <w:rFonts w:ascii="宋体" w:eastAsia="宋体" w:cs="宋体"/>
                <w:spacing w:val="-4"/>
              </w:rPr>
            </w:pPr>
            <w:r>
              <w:rPr>
                <w:rFonts w:ascii="宋体" w:eastAsia="宋体" w:cs="宋体" w:hint="eastAsia"/>
                <w:spacing w:val="-4"/>
              </w:rPr>
              <w:t>2、系统需要采用统一数据规范标准，遵从应用建设的各项技术标准及规范，遵从相关的海关标准要求。</w:t>
            </w:r>
          </w:p>
          <w:p>
            <w:pPr>
              <w:tabs>
                <w:tab w:val="left" w:pos="709"/>
              </w:tabs>
              <w:spacing w:line="440" w:lineRule="exact"/>
              <w:ind w:firstLine="464"/>
              <w:rPr>
                <w:rFonts w:ascii="宋体" w:eastAsia="宋体" w:cs="宋体"/>
              </w:rPr>
            </w:pPr>
            <w:r>
              <w:rPr>
                <w:rFonts w:ascii="宋体" w:eastAsia="宋体" w:cs="宋体" w:hint="eastAsia"/>
                <w:spacing w:val="-4"/>
              </w:rPr>
              <w:t>3、投标人需向采购人提供服务相关体系文件进行报备，包括但不限于制度、标准、指南、模板、说明等内容。</w:t>
            </w:r>
          </w:p>
        </w:tc>
        <w:tc>
          <w:tcPr>
            <w:tcW w:w="1919" w:type="dxa"/>
            <w:vAlign w:val="center"/>
          </w:tcPr>
          <w:p>
            <w:pPr>
              <w:spacing w:line="240" w:lineRule="auto"/>
              <w:ind w:firstLine="0"/>
              <w:jc w:val="cente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9</w:t>
            </w:r>
          </w:p>
        </w:tc>
        <w:tc>
          <w:tcPr>
            <w:tcW w:w="1132" w:type="dxa"/>
            <w:tcBorders>
              <w:top w:val="single" w:sz="4" w:space="0" w:color="auto"/>
              <w:left w:val="single" w:sz="4" w:space="0" w:color="auto"/>
              <w:right w:val="single" w:sz="4" w:space="0" w:color="auto"/>
            </w:tcBorders>
            <w:vAlign w:val="center"/>
          </w:tcPr>
          <w:p>
            <w:pPr>
              <w:spacing w:line="240" w:lineRule="auto"/>
              <w:ind w:firstLine="0"/>
              <w:jc w:val="center"/>
              <w:rPr>
                <w:rFonts w:ascii="宋体" w:eastAsia="宋体" w:cs="宋体"/>
              </w:rPr>
            </w:pPr>
            <w:r>
              <w:rPr>
                <w:rFonts w:ascii="宋体" w:eastAsia="宋体" w:cs="宋体" w:hint="eastAsia"/>
              </w:rPr>
              <w:t>★</w:t>
            </w: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pacing w:val="-4"/>
                <w:lang w:bidi="en-US"/>
              </w:rPr>
            </w:pPr>
            <w:r>
              <w:rPr>
                <w:rFonts w:ascii="宋体" w:eastAsia="宋体" w:cs="宋体" w:hint="eastAsia"/>
              </w:rPr>
              <w:t>安全要求</w:t>
            </w:r>
          </w:p>
        </w:tc>
        <w:tc>
          <w:tcPr>
            <w:tcW w:w="2780" w:type="dxa"/>
            <w:tcBorders>
              <w:top w:val="single" w:sz="4" w:space="0" w:color="auto"/>
              <w:left w:val="single" w:sz="4" w:space="0" w:color="auto"/>
              <w:right w:val="single" w:sz="4" w:space="0" w:color="auto"/>
            </w:tcBorders>
            <w:vAlign w:val="center"/>
          </w:tcPr>
          <w:p>
            <w:pPr>
              <w:ind w:firstLine="480" w:firstLineChars="200"/>
              <w:rPr>
                <w:rFonts w:ascii="宋体" w:eastAsia="宋体" w:cs="宋体"/>
              </w:rPr>
            </w:pPr>
            <w:r>
              <w:rPr>
                <w:rFonts w:ascii="宋体" w:eastAsia="宋体" w:cs="宋体" w:hint="eastAsia"/>
              </w:rPr>
              <w:t>1、系统开发应遵循海关信息系统开发建设的有关标准和规范，并在海关信息化项目管理、网络安全管理相关规定的指导下进行设计、开发、实施。</w:t>
            </w:r>
          </w:p>
          <w:p>
            <w:pPr>
              <w:ind w:firstLine="480" w:firstLineChars="200"/>
              <w:rPr>
                <w:rFonts w:ascii="宋体" w:eastAsia="宋体" w:cs="宋体"/>
              </w:rPr>
            </w:pPr>
            <w:r>
              <w:rPr>
                <w:rFonts w:ascii="宋体" w:eastAsia="宋体" w:cs="宋体" w:hint="eastAsia"/>
              </w:rPr>
              <w:t>2、交付物中必须使用正版工具软件。</w:t>
            </w:r>
          </w:p>
          <w:p>
            <w:pPr>
              <w:ind w:firstLine="480" w:firstLineChars="200"/>
              <w:rPr>
                <w:rFonts w:ascii="宋体" w:eastAsia="宋体" w:cs="宋体"/>
              </w:rPr>
            </w:pPr>
            <w:r>
              <w:rPr>
                <w:rFonts w:ascii="宋体" w:eastAsia="宋体" w:cs="宋体" w:hint="eastAsia"/>
              </w:rPr>
              <w:t>3、系统在安全运行方面可采用多种手段以满足《</w:t>
            </w:r>
            <w:r>
              <w:rPr>
                <w:rFonts w:ascii="宋体" w:eastAsia="宋体" w:cs="宋体" w:hint="eastAsia"/>
                <w:lang w:eastAsia="zh-CN"/>
              </w:rPr>
              <w:t>中华人民共和国网络安全法</w:t>
            </w:r>
            <w:r>
              <w:rPr>
                <w:rFonts w:ascii="宋体" w:eastAsia="宋体" w:cs="宋体" w:hint="eastAsia"/>
              </w:rPr>
              <w:t>》和网络安全等级保护的相关要求：如服务器和开发客户端均须严格遵守海关信息安全规定；用户认证及授权管理应采用统一管理的安全平台，严格管理用户账号和权限：建立系统审计日志；系统应具备软件容错性；系统应确保满足数据在传输及存储过程中的完整性、保密性的要求；确保系统的密码产品符合国家密码管理主管部门的要求；系统应提供剩余信息保护及个人信息保护；加强系统监控，当系统发生异常时可在第一时间得到及时处理；建立系统数据备份和清理机制。</w:t>
            </w:r>
          </w:p>
          <w:p>
            <w:pPr>
              <w:ind w:firstLine="480" w:firstLineChars="200"/>
              <w:rPr>
                <w:rFonts w:ascii="宋体" w:eastAsia="宋体" w:cs="宋体"/>
              </w:rPr>
            </w:pPr>
            <w:r>
              <w:rPr>
                <w:rFonts w:ascii="宋体" w:eastAsia="宋体" w:cs="宋体" w:hint="eastAsia"/>
              </w:rPr>
              <w:t>4、</w:t>
            </w:r>
            <w:r>
              <w:rPr>
                <w:rFonts w:ascii="宋体" w:eastAsia="宋体" w:cs="宋体" w:hint="eastAsia"/>
                <w:color w:val="000000"/>
              </w:rPr>
              <w:t>网络安全等保级别为三级</w:t>
            </w:r>
            <w:r>
              <w:rPr>
                <w:rFonts w:ascii="宋体" w:eastAsia="宋体" w:cs="宋体" w:hint="eastAsia"/>
              </w:rPr>
              <w:t>。</w:t>
            </w:r>
          </w:p>
          <w:p>
            <w:pPr>
              <w:ind w:firstLine="480" w:firstLineChars="200"/>
              <w:rPr>
                <w:rFonts w:ascii="宋体" w:eastAsia="宋体" w:cs="宋体"/>
              </w:rPr>
            </w:pPr>
            <w:r>
              <w:rPr>
                <w:rFonts w:ascii="宋体" w:eastAsia="宋体" w:cs="宋体" w:hint="eastAsia"/>
              </w:rPr>
              <w:t>5、本项目中应用系统数据传输及存储需按海关相关管理规定执行。</w:t>
            </w:r>
          </w:p>
          <w:p>
            <w:pPr>
              <w:ind w:firstLine="480" w:firstLineChars="200"/>
              <w:rPr>
                <w:rFonts w:ascii="宋体" w:eastAsia="宋体" w:cs="宋体"/>
              </w:rPr>
            </w:pPr>
            <w:r>
              <w:rPr>
                <w:rFonts w:ascii="宋体" w:eastAsia="宋体" w:cs="宋体" w:hint="eastAsia"/>
              </w:rPr>
              <w:t>6、满足采购人关于项目团队及工作场地等方面的安全与保密管理的策略或具体措施。</w:t>
            </w:r>
          </w:p>
          <w:p>
            <w:pPr>
              <w:ind w:firstLine="480" w:firstLineChars="200"/>
              <w:rPr>
                <w:rFonts w:ascii="宋体" w:eastAsia="宋体" w:cs="宋体"/>
              </w:rPr>
            </w:pPr>
            <w:r>
              <w:rPr>
                <w:rFonts w:ascii="宋体" w:eastAsia="宋体" w:cs="宋体" w:hint="eastAsia"/>
              </w:rPr>
              <w:t>7、签订保密协议，约定双方权利与义务；投标人应与服务人员签订保密协议，落实相应网络安全相关要求；投标人应接受海关对其提供的服务的定期监督、评审和审核；投标人及服务人员在双方约定的保密期限内如违反协议中的保密义务，投标人和服务人员承担相应违约责任。</w:t>
            </w:r>
          </w:p>
          <w:p>
            <w:pPr>
              <w:ind w:firstLine="480" w:firstLineChars="200"/>
              <w:rPr>
                <w:rFonts w:ascii="宋体" w:eastAsia="宋体" w:cs="宋体"/>
              </w:rPr>
            </w:pPr>
            <w:r>
              <w:rPr>
                <w:rFonts w:ascii="宋体" w:eastAsia="宋体" w:cs="宋体" w:hint="eastAsia"/>
              </w:rPr>
              <w:t>8、开发团队和测试团队必须在海关内部研发网进行工作，所有成果物都不能从海关内部研发网传出。</w:t>
            </w:r>
          </w:p>
          <w:p>
            <w:pPr>
              <w:ind w:firstLine="480" w:firstLineChars="200"/>
              <w:rPr>
                <w:rFonts w:ascii="宋体" w:eastAsia="宋体" w:cs="宋体"/>
              </w:rPr>
            </w:pPr>
            <w:r>
              <w:rPr>
                <w:rFonts w:ascii="宋体" w:eastAsia="宋体" w:cs="宋体" w:hint="eastAsia"/>
              </w:rPr>
              <w:t>9、对于海关提供的资料，不得以任何形式向第三方传播。保密期限不受本项目期限的限制，在本项目履行完毕后，需承担保密义务。</w:t>
            </w:r>
          </w:p>
          <w:p>
            <w:pPr>
              <w:ind w:firstLine="480" w:firstLineChars="200"/>
              <w:rPr>
                <w:rFonts w:ascii="宋体" w:eastAsia="宋体" w:cs="宋体"/>
                <w:spacing w:val="-4"/>
                <w:lang w:bidi="en-US"/>
              </w:rPr>
            </w:pPr>
            <w:r>
              <w:rPr>
                <w:rFonts w:ascii="宋体" w:eastAsia="宋体" w:cs="宋体" w:hint="eastAsia"/>
              </w:rPr>
              <w:t>10、必须保障系统的开发安全、应用程序安全、网络安全、设备安全和数据安全。用户身份认证必须符合海关安全管理规定。系统在有效地为管理部门和生产部门提供服务的同时，还必须确保不影响数据网络的安全、可靠、稳定运行。除了保证系统设计安全、使用安全以外，还必须建立一套完善的安全防范体制，形成一个安全的系统。在服务过程中需对信息安全给予充分投入，与项目开发同步进行信息安全规划设计，须单独制定安全设计方案或在总体设计方案中包含安全设计部分。</w:t>
            </w:r>
          </w:p>
        </w:tc>
        <w:tc>
          <w:tcPr>
            <w:tcW w:w="1919" w:type="dxa"/>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10</w:t>
            </w:r>
          </w:p>
        </w:tc>
        <w:tc>
          <w:tcPr>
            <w:tcW w:w="1132" w:type="dxa"/>
            <w:tcBorders>
              <w:top w:val="single" w:sz="4" w:space="0" w:color="auto"/>
              <w:left w:val="single" w:sz="4" w:space="0" w:color="auto"/>
              <w:right w:val="single" w:sz="4" w:space="0" w:color="auto"/>
            </w:tcBorders>
            <w:vAlign w:val="center"/>
          </w:tcPr>
          <w:p>
            <w:pPr>
              <w:spacing w:line="240" w:lineRule="auto"/>
              <w:rPr>
                <w:rFonts w:ascii="宋体" w:eastAsia="宋体"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pacing w:val="-4"/>
                <w:lang w:bidi="en-US"/>
              </w:rPr>
            </w:pPr>
            <w:r>
              <w:rPr>
                <w:rFonts w:ascii="宋体" w:eastAsia="宋体" w:cs="宋体" w:hint="eastAsia"/>
                <w:spacing w:val="-4"/>
                <w:lang w:bidi="en-US"/>
              </w:rPr>
              <w:t>风险及质量管理要求</w:t>
            </w:r>
          </w:p>
        </w:tc>
        <w:tc>
          <w:tcPr>
            <w:tcW w:w="2780"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ascii="宋体" w:eastAsia="宋体" w:cs="宋体"/>
                <w:spacing w:val="-4"/>
              </w:rPr>
            </w:pPr>
            <w:r>
              <w:rPr>
                <w:rFonts w:ascii="宋体" w:eastAsia="宋体" w:cs="宋体" w:hint="eastAsia"/>
                <w:spacing w:val="-4"/>
              </w:rPr>
              <w:t>1、投标人应提供完整的风险管理方案，分析本应用建设过程中的风险，并提出规避及应对措施。</w:t>
            </w:r>
          </w:p>
          <w:p>
            <w:pPr>
              <w:tabs>
                <w:tab w:val="left" w:pos="709"/>
              </w:tabs>
              <w:spacing w:line="440" w:lineRule="exact"/>
              <w:ind w:firstLine="464"/>
              <w:rPr>
                <w:rFonts w:ascii="宋体" w:eastAsia="宋体" w:cs="宋体"/>
                <w:spacing w:val="-4"/>
              </w:rPr>
            </w:pPr>
            <w:r>
              <w:rPr>
                <w:rFonts w:ascii="宋体" w:eastAsia="宋体" w:cs="宋体" w:hint="eastAsia"/>
                <w:spacing w:val="-4"/>
              </w:rPr>
              <w:t>2、投标人应提供质量管理方案，旨在确保项目及其交付结果符合相关质量标准要求，方案需包括制定质量管理总体框架，</w:t>
            </w:r>
            <w:r>
              <w:rPr>
                <w:rFonts w:ascii="宋体" w:eastAsia="宋体" w:cs="宋体" w:hint="eastAsia"/>
                <w:spacing w:val="-4"/>
                <w:lang w:eastAsia="zh-CN"/>
              </w:rPr>
              <w:t>制定</w:t>
            </w:r>
            <w:r>
              <w:rPr>
                <w:rFonts w:ascii="宋体" w:eastAsia="宋体" w:cs="宋体" w:hint="eastAsia"/>
                <w:spacing w:val="-4"/>
              </w:rPr>
              <w:t>项目质量保证原则等。</w:t>
            </w:r>
          </w:p>
          <w:p>
            <w:pPr>
              <w:tabs>
                <w:tab w:val="left" w:pos="709"/>
              </w:tabs>
              <w:spacing w:line="440" w:lineRule="exact"/>
              <w:ind w:firstLine="464"/>
              <w:rPr>
                <w:rFonts w:ascii="宋体" w:eastAsia="宋体" w:cs="宋体"/>
                <w:spacing w:val="-4"/>
              </w:rPr>
            </w:pPr>
            <w:r>
              <w:rPr>
                <w:rFonts w:ascii="宋体" w:eastAsia="宋体" w:cs="宋体" w:hint="eastAsia"/>
                <w:spacing w:val="-4"/>
              </w:rPr>
              <w:t>3、投标人需按采购人要求，解决各类风险、问题。</w:t>
            </w:r>
          </w:p>
          <w:p>
            <w:pPr>
              <w:tabs>
                <w:tab w:val="left" w:pos="709"/>
              </w:tabs>
              <w:spacing w:line="440" w:lineRule="exact"/>
              <w:ind w:firstLine="464"/>
              <w:rPr>
                <w:rFonts w:ascii="宋体" w:eastAsia="宋体" w:cs="宋体"/>
                <w:spacing w:val="-4"/>
              </w:rPr>
            </w:pPr>
            <w:r>
              <w:rPr>
                <w:rFonts w:ascii="宋体" w:eastAsia="宋体" w:cs="宋体" w:hint="eastAsia"/>
                <w:spacing w:val="-4"/>
              </w:rPr>
              <w:t>4、项目开展中架构管控要求变更，投标人应配合开展相关工作。</w:t>
            </w:r>
          </w:p>
          <w:p>
            <w:pPr>
              <w:tabs>
                <w:tab w:val="left" w:pos="709"/>
              </w:tabs>
              <w:spacing w:line="440" w:lineRule="exact"/>
              <w:ind w:firstLine="464"/>
              <w:rPr>
                <w:rFonts w:ascii="宋体" w:eastAsia="宋体" w:cs="宋体"/>
                <w:spacing w:val="-4"/>
                <w:lang w:bidi="en-US"/>
              </w:rPr>
            </w:pPr>
            <w:r>
              <w:rPr>
                <w:rFonts w:ascii="宋体" w:eastAsia="宋体" w:cs="宋体" w:hint="eastAsia"/>
                <w:spacing w:val="-4"/>
              </w:rPr>
              <w:t>5、投标人需接受采购人监管，为相应工作开展提供便利条件，协助完成相应审核、检查等。</w:t>
            </w:r>
          </w:p>
        </w:tc>
        <w:tc>
          <w:tcPr>
            <w:tcW w:w="1919" w:type="dxa"/>
            <w:vAlign w:val="center"/>
          </w:tcPr>
          <w:p>
            <w:pPr>
              <w:spacing w:line="240" w:lineRule="auto"/>
              <w:ind w:firstLine="0"/>
              <w:jc w:val="center"/>
              <w:rPr>
                <w:rFonts w:ascii="宋体" w:eastAsia="宋体" w:cs="宋体"/>
              </w:rPr>
            </w:pPr>
            <w:r>
              <w:rPr>
                <w:rFonts w:ascii="宋体" w:eastAsia="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eastAsia="宋体"/>
              </w:rPr>
            </w:pPr>
            <w:r>
              <w:rPr>
                <w:rFonts w:ascii="宋体" w:eastAsia="宋体" w:hint="eastAsia"/>
              </w:rPr>
              <w:t>11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lang w:bidi="en-US"/>
              </w:rPr>
            </w:pPr>
            <w:r>
              <w:rPr>
                <w:rFonts w:ascii="宋体" w:eastAsia="宋体" w:hint="eastAsia"/>
                <w:lang w:bidi="en-US"/>
              </w:rPr>
              <w:t>非功能性要求</w:t>
            </w:r>
          </w:p>
        </w:tc>
        <w:tc>
          <w:tcPr>
            <w:tcW w:w="2780" w:type="dxa"/>
            <w:tcBorders>
              <w:top w:val="single" w:sz="4" w:space="0" w:color="auto"/>
              <w:left w:val="single" w:sz="4" w:space="0" w:color="auto"/>
              <w:right w:val="single" w:sz="4" w:space="0" w:color="auto"/>
            </w:tcBorders>
            <w:vAlign w:val="center"/>
          </w:tcPr>
          <w:p>
            <w:pPr>
              <w:ind w:firstLine="480" w:firstLineChars="200"/>
              <w:rPr>
                <w:rFonts w:ascii="宋体" w:eastAsia="宋体"/>
                <w:lang w:bidi="en-US"/>
              </w:rPr>
            </w:pPr>
            <w:r>
              <w:rPr>
                <w:rFonts w:ascii="宋体" w:eastAsia="宋体" w:hint="eastAsia"/>
                <w:lang w:bidi="en-US"/>
              </w:rPr>
              <w:t>1、系统应支持便捷的更新和修复，减少停机时间。提供详细的技术文档和维护手册，确保技术人员快速解决问题。</w:t>
            </w:r>
          </w:p>
          <w:p>
            <w:pPr>
              <w:ind w:firstLine="480" w:firstLineChars="200"/>
              <w:rPr>
                <w:rFonts w:ascii="宋体" w:eastAsia="宋体"/>
                <w:lang w:bidi="en-US"/>
              </w:rPr>
            </w:pPr>
            <w:r>
              <w:rPr>
                <w:rFonts w:ascii="宋体" w:eastAsia="宋体" w:hint="eastAsia"/>
                <w:lang w:bidi="en-US"/>
              </w:rPr>
              <w:t>2、系统界面需设计友好，操作简便。提供用户手册和培训材料，确保用户快速上手并熟练使用系统。界面设计需符合用户习惯。</w:t>
            </w:r>
          </w:p>
          <w:p>
            <w:pPr>
              <w:ind w:firstLine="480" w:firstLineChars="200"/>
              <w:rPr>
                <w:rFonts w:ascii="宋体" w:eastAsia="宋体"/>
                <w:lang w:bidi="en-US"/>
              </w:rPr>
            </w:pPr>
            <w:r>
              <w:rPr>
                <w:rFonts w:ascii="宋体" w:eastAsia="宋体" w:hint="eastAsia"/>
                <w:lang w:bidi="en-US"/>
              </w:rPr>
              <w:t>3、提供完整的系统文档，包括用户手册、技术文档和维护手册，确保用户和技术人员参考使用。提供系统培训服务，确保用户和技术人员熟练操作和维护系统。</w:t>
            </w:r>
          </w:p>
          <w:p>
            <w:pPr>
              <w:ind w:firstLine="480" w:firstLineChars="200"/>
              <w:rPr>
                <w:rFonts w:ascii="宋体" w:eastAsia="宋体"/>
                <w:lang w:bidi="en-US"/>
              </w:rPr>
            </w:pPr>
            <w:r>
              <w:rPr>
                <w:rFonts w:ascii="宋体" w:eastAsia="宋体" w:hint="eastAsia"/>
                <w:lang w:bidi="en-US"/>
              </w:rPr>
              <w:t>4、系统需支持数据备份和恢复，确保在突发事件时数据不丢失并迅速恢复运行。制定应急预案，确保故障发生时能迅速响应并恢复系统功能。系统应提供冗余设计，确保业务连续性。</w:t>
            </w:r>
          </w:p>
          <w:p>
            <w:pPr>
              <w:ind w:firstLine="480" w:firstLineChars="200"/>
              <w:rPr>
                <w:rFonts w:ascii="宋体" w:eastAsia="宋体"/>
                <w:lang w:bidi="en-US"/>
              </w:rPr>
            </w:pPr>
            <w:r>
              <w:rPr>
                <w:rFonts w:ascii="宋体" w:eastAsia="宋体" w:hint="eastAsia"/>
                <w:lang w:bidi="en-US"/>
              </w:rPr>
              <w:t>5、系统需具备良好的配置管理能力，支持灵活调整和管理。提供详细的配置文档，确保配置过程透明、可追踪，确保系统平滑切换和高效运行。</w:t>
            </w:r>
          </w:p>
          <w:p>
            <w:pPr>
              <w:ind w:firstLine="480" w:firstLineChars="200"/>
              <w:rPr>
                <w:rFonts w:ascii="宋体" w:eastAsia="宋体"/>
                <w:lang w:bidi="en-US"/>
              </w:rPr>
            </w:pPr>
            <w:r>
              <w:rPr>
                <w:rFonts w:ascii="宋体" w:eastAsia="宋体" w:hint="eastAsia"/>
                <w:lang w:bidi="en-US"/>
              </w:rPr>
              <w:t>6、系统部署模式类别：集中部署。</w:t>
            </w:r>
          </w:p>
          <w:p>
            <w:pPr>
              <w:ind w:firstLine="480" w:firstLineChars="200"/>
              <w:rPr>
                <w:rFonts w:ascii="宋体" w:eastAsia="宋体"/>
                <w:lang w:bidi="en-US"/>
              </w:rPr>
            </w:pPr>
            <w:r>
              <w:rPr>
                <w:rFonts w:ascii="宋体" w:eastAsia="宋体" w:hint="eastAsia"/>
                <w:lang w:bidi="en-US"/>
              </w:rPr>
              <w:t>7、系统架构模式类别：B/S。</w:t>
            </w:r>
          </w:p>
        </w:tc>
        <w:tc>
          <w:tcPr>
            <w:tcW w:w="1919" w:type="dxa"/>
            <w:vAlign w:val="center"/>
          </w:tcPr>
          <w:p>
            <w:pPr>
              <w:ind w:firstLine="0"/>
              <w:jc w:val="center"/>
              <w:rPr>
                <w:rFonts w:ascii="宋体" w:eastAsia="宋体"/>
                <w:lang w:bidi="en-US"/>
              </w:rPr>
            </w:pPr>
            <w:r>
              <w:rPr>
                <w:rFonts w:ascii="宋体" w:eastAsia="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cs="宋体"/>
              </w:rPr>
            </w:pPr>
            <w:r>
              <w:rPr>
                <w:rFonts w:ascii="宋体" w:eastAsia="宋体" w:cs="宋体" w:hint="eastAsia"/>
              </w:rPr>
              <w:t>★</w:t>
            </w: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cs="宋体"/>
              </w:rPr>
            </w:pPr>
            <w:r>
              <w:rPr>
                <w:rFonts w:ascii="宋体" w:eastAsia="宋体" w:cs="宋体" w:hint="eastAsia"/>
              </w:rPr>
              <w:t>其他要求</w:t>
            </w:r>
          </w:p>
        </w:tc>
        <w:tc>
          <w:tcPr>
            <w:tcW w:w="2780" w:type="dxa"/>
            <w:tcBorders>
              <w:top w:val="single" w:sz="4" w:space="0" w:color="auto"/>
              <w:left w:val="single" w:sz="4" w:space="0" w:color="auto"/>
              <w:right w:val="single" w:sz="4" w:space="0" w:color="auto"/>
            </w:tcBorders>
            <w:vAlign w:val="center"/>
          </w:tcPr>
          <w:p>
            <w:pPr>
              <w:rPr>
                <w:rFonts w:ascii="宋体" w:eastAsia="宋体" w:cs="宋体"/>
              </w:rPr>
            </w:pPr>
            <w:r>
              <w:rPr>
                <w:rFonts w:ascii="宋体" w:eastAsia="宋体" w:cs="宋体" w:hint="eastAsia"/>
              </w:rPr>
              <w:t>项目实施过程中软件需求可做合理调整或者细化，以保证项目功能的完整性和可用性。</w:t>
            </w:r>
          </w:p>
        </w:tc>
        <w:tc>
          <w:tcPr>
            <w:tcW w:w="1919" w:type="dxa"/>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归类筛分析条件升级改造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实现快速重置筛选条件。</w:t>
            </w:r>
            <w:r>
              <w:rPr>
                <w:rFonts w:ascii="宋体" w:eastAsia="宋体" w:hint="eastAsia"/>
              </w:rPr>
              <w:t>升级改造</w:t>
            </w:r>
            <w:r>
              <w:rPr>
                <w:rFonts w:ascii="宋体" w:eastAsia="宋体" w:cs="宋体" w:hint="eastAsia"/>
                <w:color w:val="000000"/>
              </w:rPr>
              <w:t>“过滤条件”的显示逻辑，调整“商品分组”与“聚合水平”的交互逻辑，实现智能联动。新增分析条件快速复制功能，在“国家（地区）”模块中，增加享惠贸易国别的一键勾选功能，支持对已执行完毕的分析任务进行修改并重新执行。</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归类筛过滤条件升级改造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对指定内容的过滤方式进行升级改造，将数字税号的匹配模式改为右匹配，改进税号筛选算法。调整“全部条目”的过滤条件，升级改造“L/M/H/N”等标签的视觉效果。</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归类筛分析任务升级改造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执行扫描任务后，系统即时反馈数据条目、成功匹配数量及耗时。新增任务完成后的点击查看模式，展示详细品名、型号。分析等待提示更详尽，显示前置任务数。操作后页面即显遮罩效果，提升用户体验。</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归类筛分析功能升级改造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加强权限管理，设置“参考补税”和“参考退税”标签的级别权限。重新设计“分析详情”模块交互格式，避免数据过大问题。同时，增加字段含义提示功能，便于用户理解“税率差</w:t>
            </w:r>
            <w:r>
              <w:rPr>
                <w:rFonts w:ascii="宋体" w:eastAsia="宋体" w:cs="宋体" w:hint="eastAsia"/>
                <w:color w:val="000000"/>
                <w:lang w:eastAsia="zh-CN"/>
              </w:rPr>
              <w:t>”“</w:t>
            </w:r>
            <w:r>
              <w:rPr>
                <w:rFonts w:ascii="宋体" w:eastAsia="宋体" w:cs="宋体" w:hint="eastAsia"/>
                <w:color w:val="000000"/>
              </w:rPr>
              <w:t>实征税率”等关键数据，提升用户体验。</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归类筛分析结果保存</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调整税差率为“0”时的税额显示，确保清晰准确。新增规格型号拖拉条、排序、复制功能，鼠标悬停显示全部信息。增加“保存报告”功能，确保用户明确保存内容。优化“弹出组内全部”界面排序功能，并新增页面监管方式代码翻译。</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归类筛过滤结果保存</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调整税率差选项，确保适应实际业务。新增“商品编号对比”显示逻辑，直观指示差异位置。优化处理多组相同数据。针对直属关用户，优先展示所属关区数据，提高查找效率。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归类筛报关单查询升级改造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针对特定标记的报关单记录，增强数据检索的查询逻辑，优化信息筛选与数据反馈的关联性，确保查询结果的精准与可操作性。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价格筛分析条件升级改造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监管方式进行调整，新增排除功能提升筛选灵活性。数据处理效率提升，含“等”数据归入B组。优化商品分组与聚合水平的交互逻辑，实现智能联动。新增分析条件快速复制及享惠贸易国别一键勾选功能，支持修改已执行任务的分析条件并重新执行。</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价格筛过滤条件升级改造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多项过滤条件，包括完税价、税号差、输出组数等，支持精确筛选和输出控制。筛选模式灵活多样，覆盖所有国家、指定国家和排除国家。页面设置优化，快速选定输出条目。标签颜色醒目，提升数据可视化效果。</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价格筛分析任务升级改造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新增指定参考价格功能，提升分组分析准确性。扫描过程实时显示数据量和用时，确保体验流畅。优化分析等待提示，显示前置任务数。操作后页面即时遮罩，提升用户体验。</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价格筛分析功能升级改造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新增相同境外发货商筛查选项，便于价格差异分析。设定“参考补税”与“退税”标签权限，保障数据安全。优化“分析详情”模块交互格式，提升用户体验。增加字段含义提示，方便用户理解数据内容。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价格筛分析结果保存</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合理价格差”表头及数值显示，优化规格型号显示方式，修正补税额为负的数据显示，确保报告准确性。价格筛分析过滤高价退税信息，使报告更聚焦。新增“保存报告”及确认功能，优化“弹出组内全部”排序功能，提升用户体验，并增加页面监管方式代码翻译。</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价格筛过滤结果保存</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新增规格型号完整显示，提升数据理解度。同时，“基本要素</w:t>
            </w:r>
            <w:r>
              <w:rPr>
                <w:rFonts w:ascii="宋体" w:eastAsia="宋体" w:cs="宋体" w:hint="eastAsia"/>
                <w:color w:val="000000"/>
                <w:lang w:eastAsia="zh-CN"/>
              </w:rPr>
              <w:t>”“</w:t>
            </w:r>
            <w:r>
              <w:rPr>
                <w:rFonts w:ascii="宋体" w:eastAsia="宋体" w:cs="宋体" w:hint="eastAsia"/>
                <w:color w:val="000000"/>
              </w:rPr>
              <w:t>商品分组”和“聚合水平”增加一键清除功能，操作更便捷。优化处理多组相同数据，提升数据准确性。针对直属关用户，优先展示所属关区数据，增强数据相关性。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价格筛报关单查询升级改造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针对特定标记的报关单记录，增强数据检索的查询逻辑，优化信息筛选与数据反馈的关联性，确保查询结果的精准与可操作性</w:t>
            </w:r>
            <w:r>
              <w:rPr>
                <w:rFonts w:ascii="宋体" w:eastAsia="宋体" w:cs="宋体" w:hint="eastAsia"/>
                <w:color w:val="000000"/>
              </w:rPr>
              <w:t>。</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产地筛分析条件升级改造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升级改造分析条件设置，允许税率设为0以满足多样需求。新增排除功能精确选择国家（地区）。调整商品分组与聚合水平交互逻辑，简化操作。增加分析条件快速复制和享惠贸易国别勾选功能。支持已完成任务的条件修改和重执行，提升用户体验。</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产地筛过滤条件升级改造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新增产地筛过滤条件，优化筛选模式，支持“不输出同一企业记录”选项。调整数字税号匹配模式为右匹配，提高准确性。优化“全部条目”输出条件，增强数据可视化效果，如标签颜色区分。</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产地筛分析任务升级改造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改进产地筛逻辑，提高筛选精确度和效率。新增企业编码维度，便于精确定位企业数据。优化分析等待提示，显示前置任务数。操作后即时添加遮罩效果，减少等待焦虑。</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产地筛分析功能升级改造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升级改造规格型号悬浮显示，确保清晰准确。取消无意义标签，简化数据展示。改进“分析详情”模块前后台交互，避免数据过大问题。增加字段含义提示功能，提升对关键字段的理解。</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产地筛分析结果保存</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默认屏蔽重复国家选项，简化筛选结果。新增“保存报告”功能，清晰展示已选组别。在“弹出组内全部”中增加排序功能，方便信息定位。增加页面监管方式的代码翻译。</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产地筛过滤结果保存</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新增功能支持多选国家（地区）和商品分组生成综合分析结果。筛选时增加同品牌型号显示，提供原产地数据。优化处理多组相同数据，提升分析结果准确性。针对直属关用户，优先展示所属关区数据。</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产地筛报关单查询升级改造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针对特定标记的报关单记录，增强数据检索的查询逻辑，优化信息筛选与数据反馈的关联性，确保查询结果的精准与可操作性</w:t>
            </w:r>
            <w:r>
              <w:rPr>
                <w:rFonts w:ascii="宋体" w:eastAsia="宋体" w:cs="宋体" w:hint="eastAsia"/>
                <w:color w:val="000000"/>
              </w:rPr>
              <w:t>。</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逆向筛分析条件升级改造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升级商品分组与聚合水平的交互逻辑，新增分析条件快速复制和享惠贸易国别一键勾选功能，允许用户对已完成任务修改条件并重新执行。</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逆向筛过滤条件升级改造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对当前页面设置进行优化，调整输出“全部条目”的过滤条件，方便快速选定需展示的组别。对“L/M/H/N”等标签采用醒目颜色进行区分，增强数据的视觉效果。</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逆向筛分析任务升级改造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改进分析等待提示，提供前置任务数等详尽信息。在页面操作后增加遮罩效果，确保能够及时解任务进度。</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逆向筛分析功能升级改造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重新设计“分析详情”模块的数据交互格式，减少数据量，确保结果顺畅返回。新增字段含义提示功能，解释“税率差</w:t>
            </w:r>
            <w:r>
              <w:rPr>
                <w:rFonts w:ascii="宋体" w:eastAsia="宋体" w:cs="宋体" w:hint="eastAsia"/>
                <w:color w:val="000000"/>
                <w:lang w:eastAsia="zh-CN"/>
              </w:rPr>
              <w:t>”“</w:t>
            </w:r>
            <w:r>
              <w:rPr>
                <w:rFonts w:ascii="宋体" w:eastAsia="宋体" w:cs="宋体" w:hint="eastAsia"/>
                <w:color w:val="000000"/>
              </w:rPr>
              <w:t>实征税率”等关键字段，提高对分析结果的理解。</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逆向筛分析结果保存</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新增“保存报告”功能，支持选择并确认保存分析结果。“弹出组内全部”界面增加排序功能，新增页面监管方式的代码翻译。</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39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逆向筛过滤结果保存</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新增处理功能，解决分析结果中多组相同内容的问题。为直属关用户优化排序方式，优先展示所属关区数据。</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逆向筛报关单查询升级改造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针对特定标记的报关单记录，增强数据检索的查询逻辑，优化信息筛选与数据反馈的关联性，确保查询结果的精准与可操作性</w:t>
            </w:r>
            <w:r>
              <w:rPr>
                <w:rFonts w:ascii="宋体" w:eastAsia="宋体" w:cs="宋体" w:hint="eastAsia"/>
                <w:color w:val="000000"/>
              </w:rPr>
              <w:t>。</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定制筛分析条件管理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提供一套完整的自定义筛选条件管理功能，允许用户根据申报起止日期、完税价格、税率差异等关键参数设置分析条件，以实现精细化的数据筛选和分析。</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定制筛过滤条件管理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实现基于最低完税价格、输出组数等过滤条件的数据筛选，支持排除不匹配或零税率条目，确保输出结果的精确性和数据分析的深入性。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定制筛聚合条件管理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允许用户根据商品章节、申报要素、聚合水平等多维度自由定制聚合分析条件，以满足不同角度的数据分析需求。</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定制筛任务创建功能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根据用户自定义的分析和过滤条件，创建个性化的分析任务，支持任务执行信息的查看、状态监控和结果详情的展示。</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定制筛大数据过滤功能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针对大规模数据分析结果，提供基于自定义过滤条件的数据过滤功能，确保大数据量下过滤结果的即时浏览和系统交互的流畅性。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定制筛多模式数据聚合处理功能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支持归类、价格、产地等多维度数据的聚合处理，生成结构化的聚合分析结果，为深入数据分析提供支持。</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定制筛分析结果详情查看功能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展示定制筛分析任务结果的通用和特殊内容，包括任务分析条件、过滤条件，以及聚合分析后的数据概况。</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定制筛报告保存功能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允许用户在浏览分析结果时选择并保存所需报告，创建保存任务，并组织处理报告数据，实现报告的生成和管理。</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49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新增全量同步任务</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为大规模数据迁移需求制定完整的同步策略，确保从源到目标的数据完整性与准确性。系统应具备数据一致性校验、冲突解决方案，并在同步过程中提供实时进度反馈，以便及时发现并解决任何潜在问题。</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增量同步任务升级改造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增量同步任务升级改造允许用户根据需求调整同步频率，优化同步逻辑以仅处理变动数据，提高系统效率。现增加自动完成标记和失败任务重试，减少人工干预。增强的历史记录功能支持详尽的任务审计，新的数据过滤和冲突解决机制确保同步精度。超时监控功能确保任务及时完成，保持系统稳定。</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数据采集任务升级改造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引入用户可定制的自动执行频率和手动触发功能，适应不同场景的数据更新需求。增强的数据预处理和增量保存机制保证数据准确性和及时性。失败任务的自动重试和详尽的执行历史记录功能优化系统的可靠性和可追溯性。数据版本校验和加密压缩确保数据在采集和传输过程中的安全与一致性。超时监控功能确保所有任务在规定时间内完成，提升整体数据处理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数据标注任务升级改造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用户定制自动或手动触发标注任务的频率，适应即时和周期性需求。升级改造包括优化数据预处理，如解密和解压，以及实现增量数据保存以防数据丢失。加强自动重试功能以提升成功率，同时增强任务历史记录和查询功能，提高透明度和追踪能力。新增数据版本校验和加密压缩保护数据安全，集成超时监控自动处理执行延迟，确保效率和数据一致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数据加载任务升级改造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通过设置自动任务执行频率和提供手动触发选项，适应各种数据处理需求和优先级。升级改造数据解密和解压缩步骤，确保加密数据能迅速转换为可用格式，支持高效处理。引入分类增量加载优化内存使用，特别在大数据环境下提高性能，减轻服务器负载。增强失败任务自动重试功能和执行历史记录，提升系统可靠性和追踪能力。实现内存数据的有效管理和查询接口，优化资源使用。集成超时监控确保任务按时完成，提高整体数据加载效率和系统稳定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新增分析日志清理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分析日志清理功能使用户能配置清理频率和日志保留周期，自动删除超期日志，优化存储管理。批量删除功能自动识别并清理过期日志，释放资源。失败的清理任务将自动重试，确保无间断执行。所有清理活动记录详细，支持后续审计与问题追踪。超时任务监控保障任务按时完成，提高系统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新增自动任务日志清理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自动任务日志清理功能允许用户设置清理频率和保留周期，自动删除过期日志以释放存储空间。批量删除机制自动处理过期文件，优化系统效率。失败任务的自动重试确保日志清理的连续性。所有清理操作都会被详细记录和可查询，支持系统审计和性能监控。超时任务监控功能确保清理按时完成，防止过程中的延误影响系统性能。</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新增系统安全日志清理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管理员设置日志的自动清理频率和保留周期，自动化处理确保数据时效性并优化存储空间利用。系统能自动检测并删除超期的安全日志，简化管理并维护系统整洁。若清理任务失败，自动重试机制减少需要人工介入，保证操作的连续性。所有清理活动详细记录，可供后续审计和监控使用。超时任务监控功能确保任务在设定时间内完成，避免执行延误影响系统性能。</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新增报告编辑</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新增列移动、组内序号、报告编号等功能，提升报告布局灵活性和查看效率。同时，支持修改报告描述、筛选特定税号或商品名称数据，并引入点击弹出详细信息和记录条收缩功能，优化体验和数据分析能力。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新增报告分享</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新增报告分享功能，支持特定数据和分组分享。“报告管理”中新增删除功能，优化重复商品编号显示逻辑，并增加批量打标功能。</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59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报告查询升级改造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针对直属关用户优化数据排序，优先展示关区数据。同时增加商品编号记录总数显示、已转研判字段及多个查询条件，简化查询过程。新增标签查询和转研判状态过滤功能，提升报告内单证查询效率。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新增分组数据</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新增分组序号功能，增加商品编号和商品名称作为查询条件，新增指定分组数据全部弹出展示的功能，进一步增强数据查看和分析能力。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归类筛表结构升级改造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对组内数据排序功能进行增强，支持多字段排序。新增组内信息概述，展示关键信息。提供全部商品编号明细及税则税率，便于快速解组内数据分布和商品税率信息。</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归类筛界面升级改造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对标识的展示形式进行改进，通过醒目的颜色区分“L/M/H/N”等标签。操作后自动增加区域遮罩以提示等待状态。优化页面监管方式的代码翻译。同时，简化打标颜色的调整过程，能直观选择并管理标签。</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新增报告编辑</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支持取消蓝黄红标志选择，改进报告分组显示问题。新增</w:t>
            </w:r>
            <w:r>
              <w:rPr>
                <w:rFonts w:ascii="宋体" w:eastAsia="宋体" w:cs="宋体" w:hint="eastAsia"/>
                <w:color w:val="000000"/>
                <w:lang w:eastAsia="zh-CN"/>
              </w:rPr>
              <w:t>规格型号</w:t>
            </w:r>
            <w:r>
              <w:rPr>
                <w:rFonts w:ascii="宋体" w:eastAsia="宋体" w:cs="宋体" w:hint="eastAsia"/>
                <w:color w:val="000000"/>
              </w:rPr>
              <w:t>弹窗显示、列移动功能及组内序号，便于查看与整理信息。同时增加报告编号与描述修改编辑功能。</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新增报告分享</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新增报告分享功能，支持报告分享。报告管理新增组和项删除，优化重复商品编号显示逻辑。同时增加批量打标功能。</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报告查询升级改造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新增报告查翻页功能，优化数据排序并优先展示直属关区数据。增加商品编号记录总数显示、“已转研判”字段及多条件查询。报告内单证查询支持标签筛选，并新增转研判状态过滤。</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新增分组数据</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新增分组序号功能，增加商品编号和商品名称作为查询条件，新增指定分组数据全部弹出展示的功能，进一步增强数据查看和分析能力。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价格筛表结构升级改造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升级改造价格筛分析报告，新增“合理价差”条件显示。调整参考补税额为负数的显示方式，确保数据准确性。增强数据排序功能，支持多字段排序。新增组内信息概述及商品编号明细，提升报告的可读性和数据分析能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价格筛界面升级改造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升级统计模式，重置按钮优化，一键清除数据。标识展示改进，采用醒目颜色区分。操作后增加遮罩提示，代码翻译优化。</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69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新增报告编辑</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升级改造税差设置机制与报告表头计算逻辑，确保数据准确性。新增组内序号、报告编号和报告描述修改功能，提升数据定位与报告管理效率。增加税号、商品名称筛选和单项显示功能，方便深入分析研究。</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新增报告分享</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新增报告分享功能，支持报告分享。报告管理新增组和项删除，优化重复商品编号显示逻辑。同时增加批量打标功能。</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报告查询升级改造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调整产地筛分析报告，调整列表顺序，增加取消蓝黄红标志功能，展示实征税率</w:t>
            </w:r>
            <w:r>
              <w:rPr>
                <w:rFonts w:ascii="宋体" w:eastAsia="宋体" w:cs="宋体" w:hint="eastAsia"/>
                <w:color w:val="000000"/>
                <w:lang w:eastAsia="zh-CN"/>
              </w:rPr>
              <w:t>等</w:t>
            </w:r>
            <w:r>
              <w:rPr>
                <w:rFonts w:ascii="宋体" w:eastAsia="宋体" w:cs="宋体" w:hint="eastAsia"/>
                <w:color w:val="000000"/>
              </w:rPr>
              <w:t>数据。优化数据排序，增加商品编号记录总数显示和“已转研判”字段。简化查询条件，增加标签查询和转研判状态过滤功能。</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新增分组数据</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新增分组序号功能，增加商品编号和商品名称作为查询条件，新增指定分组数据全部弹出展示的功能，进一步增强数据查看和分析能力。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产地筛表结构升级改造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对组内数据排序功能进行升级改造，支持多字段排序。新增组内信息概述功能，显示关键数据分布。同时，增加商品编号明细及税则税率。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产地筛界面升级改造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对标识的展示形式进行改进，通过醒目的颜色区分“L/M/H/N”等标签。操作后自动增加区域遮罩以提示等待状态。优化页面监管方式的代码翻译。同时，简化打标颜色的调整过程，能直观选择并管理标签。</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新增报告编辑</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新增“组内序号”和“报告编号”功能，支持修改“报告描述”和筛选特定税号或商品名称。新增点击弹出单项显示和收缩记录条功能，提升报告浏览和管理效率。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新增报告分享</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新增报告分享功能，支持报告分享。报告管理新增组和项删除，优化重复商品编号显示逻辑。同时增加批量打标功能。</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报告查询升级改造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升级改造数据排序，优先展示直属关区数据。增加商品编号记录总数显示和“已转研判”字段。简化查询条件，新增关键词匹配和转研判状态过滤功能。报告内单证查询支持标签筛选，提升数据检索和报告管理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新增分组数据</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新增分组序号功能，增加商品编号和商品名称作为查询条件，新增指定分组数据全部弹出展示的功能，进一步增强数据查看和分析能力。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79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逆向筛表结构升级改造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对组内数据排序功能进行升级改造，支持多字段排序。新增组内信息概述功能，显示关键数据分布。同时，增加商品编号明细及税则税率。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逆向筛界面升级改造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对标识的展示形式进行改进，通过醒目的颜色区分“L/M/H/N”等标签。操作后自动增加区域遮罩以提示等待状态。优化页面监管方式的代码翻译。同时，简化打标颜色的调整过程，能直观选择并管理标签。</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定制筛报告查询</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提供已保存定制筛报告的查询功能，支持报告描述和生成时间的查询，以及报告记录的编辑和删除。</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定制筛报告详情展示功能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展示定制筛报告的详细信息，包括分析条件、过滤条件，以及报告内记录的过滤查询和数据删除。</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定制筛风险数据转研判功能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实现风险数据的批量转研判处理，提供转研判记录的查询、接口对接和研判结果的更新。</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定制筛报告结果打标签功能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允许用户在浏览报告时对记录进行标签化管理，以辅助识别税收风险特征，包括标签的添加、修改和删除。</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新增行业商品模型覆盖</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针对行业商品税则文本的自动分词、关键词提取、同义及异义词替换，以及利用聚类技术优化数据结构。此外，对文本和数值信息进行编码以减少存储需求并提升处理速度，同时保存独立词、关键词、同义词和数值模型，支持精准的数据处理和查询需求，提升数据分析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新增重点税源商品模型覆盖</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针对重点税源商品税则文本的自动分词、关键词提取、同义及异义词替换，以及利用聚类技术优化数据结构。此外，对文本和数值信息进行编码以减少存储需求并提升处理速度，同时保存独立词、关键词、同义词和数值模型，支持精准的数据处理和查询需求，提升数据分析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新增热门商品模型覆盖</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针对热门商品税则文本的自动分词、关键词提取、同义及异义词替换，以及利用聚类技术优化数据结构。此外，对文本和数值信息进行编码以减少存储需求并提升处理速度，同时保存独立词、关键词、同义词和数值模型，支持精准的数据处理和查询需求，提升数据分析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报关单数据预处理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通过自动化技术优化报关单中的商品信息处理。首先，商品信息分词功能通过优化算法自动分割文本，加快数据处理速度并提升准确性，支持深入的数据分析和特征提取。接着，商品申报要素信息分词精确切分关键数据，便于进行风险评估和合规性检查。最后，商品行业分类自动将商品归类到相应行业，提升分类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89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报关单特征数据解析</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通过优化文本分析工具增强数据处理精度和一致性。中心词扫描和转换确保关键词的标准化，提高数据处理准确性。限定词扫描和转换自动识别关键语句，标准化输入以支持复杂任务，如合规性审核。同义词扫描和转换增强文本的一致性，支持跨数据源的分析。数值提取解析则精确捕捉关键数值，为进一步的分析提供基础。</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模型数据匹配</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行业商品模型数据匹配确保各商品分类与最新行业标准一致，支持精确的业务决策。对重点税源商品和热门商品实施特别的模型匹配，提升匹配效率和准确性。确保数据处理的高效性和数据输出的可靠性。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语料库接口对接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语料库接口对接功能通过自动和手动同步频率设置确保数据持续更新。同义词和独立词的同步保存功能维护语料库的准确性，支持有效的文本处理。版本化数据管理和数据对比与合并功能</w:t>
            </w:r>
            <w:r>
              <w:rPr>
                <w:rFonts w:ascii="宋体" w:eastAsia="宋体" w:cs="宋体" w:hint="eastAsia"/>
                <w:color w:val="000000"/>
                <w:lang w:eastAsia="zh-CN"/>
              </w:rPr>
              <w:t>提高</w:t>
            </w:r>
            <w:r>
              <w:rPr>
                <w:rFonts w:ascii="宋体" w:eastAsia="宋体" w:cs="宋体" w:hint="eastAsia"/>
                <w:color w:val="000000"/>
              </w:rPr>
              <w:t>数据一致性和质量。接口调用日志记录与查询提升系统透明度，自动重试机制确保调用失败时数据同步的连续性和稳定性，</w:t>
            </w:r>
            <w:r>
              <w:rPr>
                <w:rFonts w:ascii="宋体" w:eastAsia="宋体" w:cs="宋体" w:hint="eastAsia"/>
                <w:color w:val="000000"/>
                <w:lang w:eastAsia="zh-CN"/>
              </w:rPr>
              <w:t>提高</w:t>
            </w:r>
            <w:r>
              <w:rPr>
                <w:rFonts w:ascii="宋体" w:eastAsia="宋体" w:cs="宋体" w:hint="eastAsia"/>
                <w:color w:val="000000"/>
              </w:rPr>
              <w:t>整体系统效率和可靠性。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语料库数据维护</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语料库数据维护功能集中于同义词和独立词的精确更新。维护同义词数据确保词汇准确和时效，同时定期更新独立词条目维持数据精确性。此外，生成外部同义词和独立词模型，支持跨平台一致性和专门的数据需求，提升数据的应用价值和系统的灵活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品牌库模型表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创建和维护品牌库模型表，支持品牌库模型数据的创建、查询、更新、删除，以及模型文件的导入和管理。</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品牌库模型文件导入功能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实现品牌库模型文件的上传与解析，支持加密数据的加载，为后续的品牌信息管理提供数据基础。</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品牌库模型历史版本查询功能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提供品牌库模型历史版本的查询、删除和修改，便于追踪和管理模型的变更历史。</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品牌库模型可视化比对功能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通过可视化界面对比不同版本的品牌库模型，快速识别版本差异，提高版本控制的效率。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品牌库模型编辑功能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允许用户在线编辑和删除品牌库模型参数，提供直观的参数展示，增强模型的可维护性。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品牌库模型版本管理功能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管理品牌库模型的各个版本，支持版本查询、发布、回退和作废，确保模型版本的正确应用。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99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生成品牌库模型文件功能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整合品牌库模型数据，生成模型文件，并在写入前进行加密，保障模型文件的安全性。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企业库模型表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创建和维护企业库模型表，提供企业库模型数据的管理功能，包括数据的创建、查询、更新、删除和文件导入。</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企业库模型文件导入功能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支持企业库模型文件的上传与解析，为企业管理提供数据输入和加密保护。</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企业库模型历史版本查询功能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查询、删除和修改企业库模型的历史版本，维护模型的版本控制和历史记录。</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企业库模型可视化比对功能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实现企业库模型不同版本的可视化对比，便于识别版本差异和进行版本管理。</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企业库模型编辑功能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在线编辑和删除企业库模型参数，提升模型管理的便捷性和实时性。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企业库模型版本管理功能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版本管理功能，包括查询、发布、回退和作废操作，确保企业库模型版本的准确性和有效性。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生成企业库模型文件功能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生成企业库模型文件，并执行数据加密，确保文件安全，便于数据的存储和传输。</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申报要素模型表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构建并维护申报要素模型表结构，确保数据生命周期管理的完整性，涵盖数据的创建、精确查询、增量更新、逻辑删除以及批量文件导入的支持。</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申报要素模型文件导入功能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导入申报要素模型文件，解析加密数据，为申报要素的管理提供数据输入。</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109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申报要素模型历史版本查询功能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查询、修改和删除申报要素模型的历史版本，实现模型版本的历史跟踪。</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申报要素模型可视化比对功能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可视化比对申报要素模型的不同版本，快速识别参数差异，优化版本控制。</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申报要素模型编辑功能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在线编辑和删除申报要素模型参数，提升申报要素数据的维护效率。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申报要素模型版本管理功能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管理申报要素模型的版本，包括查询、发布、回退和作废，保障模型版本的规范使用。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生成申报要素模型文件功能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整合申报要素数据生成模型文件，执行加密操作，确保文件的安全性。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配额税号模型表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构建并维护配额税号模型表结构，支持多维度数据的生成、检索、更新、删除及批量导入，提升配额税号模型数据的管理效率。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配额税号模型文件导入功能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支持配额税号模型文件的上传与解析，为配额税号数据管理提供输入。</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配额税号模型历史版本查询功能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查询配额税号模型的历史版本，支持版本信息的删除和修改。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配额税号模型可视化比对功能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通过可视化界面比对配额税号模型的不同版本，提高版本识别和控制的效率。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配额税号模型编辑功能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在线编辑和删除配额税号模型参数，增强模型数据的动态管理能力。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119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配额税号模型版本管理功能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管理配额税号模型的版本，包括查询、发布、回退和作废，确保模型版本的规范应用。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生成配额税号模型文件功能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生成配额税号模型文件，执行数据加密，确保文件安全和规范使用。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新增J表达式模型表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构建并管理J表达式模型表结构，确保对模型文件数据的多维度操作，包括文件的存储、检索、更新及归档，提升模型数据的维护效率。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J表达式模型文件导入功能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允许上传和解析J表达式模型文件，为逻辑表达式管理提供数据基础。</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J表达式模型历史版本查询功能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查询J表达式模型的历史版本，支持版本信息的删除和修改。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J表达式模型版本管理功能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管理J表达式模型的版本，包括查询、发布、回退和作废，维护模型版本的正确使用。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新增K表达式模型表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建立K表达式模型表结构，支持模型文件的数据持久化、查询与更新操作，确保数据维护的完整性和高效性。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K表达式模型文件导入功能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支持K表达式模型文件的上传与解析，为逻辑表达式数据管理提供输入。</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K表达式模型历史版本查询功能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查询K表达式模型的历史版本，包括版本信息的删除和修改。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K表达式模型版本管理功能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管理K表达式模型的版本，包括查询、发布、回退和作废，确保逻辑表达式的准确性。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129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新增L表达式模型表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构建L表达式模型表以支持数据的全面管理，涵盖文件存储、查询、更新及删除，保障模型文件的高效操作。</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L表达式模型文件导入功能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实现L表达式模型文件的上传与解析，为逻辑表达式管理提供数据输入。</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L表达式模型历史版本查询功能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查询L表达式模型的历史版本，支持版本信息的删除和修改。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L表达式模型版本管理功能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管理L表达式模型的版本，包括查询、发布、回退和作废，维护模型版本的规范使用。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基本分词字典表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构建并维护基本分词字典表，涵盖数据的生成、查询、更新及归档管理，确保分词字典的准确性和完整性。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基本分词字典文件导入功能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支持基本分词字典文件的上传与解析，为文本处理提供基础分词数据。</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基本分词字典历史版本查询功能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查询基本分词字典的历史版本，支持版本信息的删除和修改。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基本分词字典可视化比对功能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可视化比对基本分词字典的不同版本，快速识别版本差异，优化文本处理。</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基本分词字典编辑功能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在线编辑和删除基本分词字典参数，增强分词数据的动态管理能力。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基本分词字典版本管理功能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管理基本分词字典的版本，包括查询、发布、回退和作废，确保分词数据的规范使用。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139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生成基本分词字典文件功能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生成基本分词字典文件，执行数据加密，确保文件安全和规范使用。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新增Hed限定词模型表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建立并维护Hed限定词模型表，以支持模型文件的存储、检索、更新及删除操作，确保限定词管理的高效性。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Hed限定词模型文件导入功能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允许上传和解析Hed限定词模型文件，为限定词管理提供数据基础。</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Hed限定词模型历史版本查询功能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查询Hed限定词模型的历史版本，支持版本信息的删除和修改。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Hed限定词模型版本管理功能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管理Hed限定词模型的版本，包括查询、发布、回退和作废，维护限定词模型的准确性。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新增Att限定词模型表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构建并管理Att限定词模型表，支持数据的存储、查询、更新及文件导入，确保限定词模型的全面管理。</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Att限定词模型文件导入功能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支持Att限定词模型文件的上传与解析，为限定词数据管理提供输入。</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Att限定词模型历史版本查询功能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查询Att限定词模型的历史版本，包括版本信息的删除和修改。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Att限定词模型版本管理功能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管理Att限定词模型的版本，包括查询、发布、回退和作废，确保限定词模型的规范使用。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Mdf辅助词字典表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构建Mdf辅助词字典表，支持数据的创建、查询、更新及导入，确保辅助词管理的系统性和数据的高效操作。</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149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Mdf辅助词字典文件导入功能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实现Mdf辅助词字典文件的上传与解析，为辅助词数据管理提供数据输入。</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Mdf辅助词字典历史版本查询功能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查询Mdf辅助词字典的历史版本，支持版本信息的删除和修改。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Mdf辅助词字典可视化比对功能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可视化比对Mdf辅助词字典的不同版本，提高版本识别和控制的效率。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Mdf辅助词字典编辑功能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在线编辑和删除Mdf辅助词字典参数，增强辅助词数据的动态管理能力。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Mdf辅助词字典版本管理功能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管理Mdf辅助词字典的版本，包括查询、发布、回退和作废，确保辅助词字典的规范使用。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生成Mdf辅助词字典文件功能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生成Mdf辅助词字典文件，执行数据加密，确保文件安全和规范使用。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非零部件字典表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rPr>
              <w:t>构建并维护非零部件字典表，确保字典数据的创建、查询、更新与导入，提升非零部件数据的管理效率。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非零部件字典文件导入功能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支持非零部件字典文件的上传与解析，为非零部件数据管理提供数据输入</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非零部件字典历史版本查询功能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查询非零部件字典的历史版本，包括版本信息的删除和修改，实现版本追踪。</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非零部件字典可视化比对功能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通过可视化界面比对非零部件字典的不同版本，快速识别版本差异。</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159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非零部件字典编辑功能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在线编辑和删除非零部件字典参数，提升数据维护的灵活性和响应速度。</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非零部件字典版本管理功能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管理非零部件字典的版本，包括查询、发布、回退和作废，确保数据版本的准确性。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生成非零部件字典文件功能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生成非零部件字典文件，执行数据加密，确保文件在存储和传输过程中的安全性。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逆向筛模型表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创建用于存储逆向筛模型参数的结构化数据库表，包括模型参数、创建和更新时间等信息，以支持逆向筛选功能。</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逆向筛模型文件导入功能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提供模型文件的上传和解析功能，允许加载并解析加密的逆向筛模型数据，并将解析后的数据结构化存储。</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逆向筛模型历史版本查询功能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允许用户查询逆向筛模型的历史版本，包括版本列表查询、特定版本的数据查询，以及历史版本的删除和修改。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逆向筛模型可视化比对功能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通过可视化界面展示不同历史版本的逆向筛模型数据，使用户能够直观地比较和识别版本之间的差异。</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逆向筛模型编辑功能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提供逆向筛模型参数的可视化展示和在线编辑功能，允许用户直接在浏览器端修改和删除模型参数。</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逆向筛模型版本管理功能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管理逆向筛模型的不同版本，包括版本查询、发布、回退、生效和作废，确保模型的版本控制和有效服务。</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生成逆向筛模型文件功能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实现逆向筛模型的数据查询、结构化处理、加密保护及文件生成，确保模型文件的安全性和数据的完整性，便于模型的存储与分发。</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169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企业数据同步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企业数据同步功能通过自动同步频率设定和手工触发选项保持数据及时更新。增量同步优化同步速度，仅处理变更数据，而删除同步确保所有系统数据一致。自动重试机制减少同步失败，历史记录和查询功能增强任务追踪与分析。超时监控防止任务延误，确保数据同步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国别数据同步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国别数据同步功能通过自动同步频率设定和手工触发选项保持数据及时更新。增量同步优化同步速度，仅处理变更数据，而删除同步确保所有系统数据一致。自动重试机制减少同步失败，历史记录和查询功能增强任务追踪与分析。超时监控防止任务延误，确保数据同步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贸易方式数据同步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贸易方式数据同步功能通过自动同步频率设定和手工触发选项保持数据及时更新。增量同步优化同步速度，仅处理变更数据，而删除同步确保所有系统数据一致。自动重试机制减少同步失败，历史记录和查询功能增强任务追踪与分析。超时监控防止任务延误，确保数据同步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币种数据同步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币种数据同步功能通过自动同步频率设定和手工触发选项保持数据及时更新。增量同步优化同步速度，仅处理变更数据，而删除同步确保所有系统数据一致。自动重试机制减少同步失败，历史记录和查询功能增强任务追踪与分析。超时监控防止任务延误，确保数据同步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税则数据同步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税则数据同步功能通过自动同步频率设定和手工触发选项保持数据及时更新。增量同步优化同步速度，仅处理变更数据，而删除同步确保所有系统数据一致。自动重试机制减少同步失败，历史记录和查询功能增强任务追踪与分析。超时监控防止任务延误，确保数据同步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关区数据同步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关区数据同步功能通过自动同步频率设定和手工触发选项保持数据及时更新。增量同步优化同步速度，仅处理变更数据，而删除同步确保所有系统数据一致。自动重试机制减少同步失败，历史记录和查询功能增强任务追踪与分析。超时监控防止任务延误，确保数据同步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报关单表头数据同步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报关单表头数据同步功能通过自动同步频率设定和手工触发选项保持数据及时更新。增量同步优化同步速度，仅处理变更数据，而删除同步确保所有系统数据一致。自动重试机制减少同步失败，历史记录和查询功能增强任务追踪与分析。超时监控防止任务延误，确保数据同步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报关单表体数据同步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报关单表体数据同步功能通过自动同步频率设定和手工触发选项保持数据及时更新。增量同步优化同步速度，仅处理变更数据，而删除同步确保所有系统数据一致。自动重试机制减少同步失败，历史记录和查询功能增强任务追踪与分析。超时监控防止任务延误，确保数据同步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报关单计税数据同步</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报关单计税数据同步功能通过自动同步频率设定和手工触发选项保持数据及时更新。增量同步优化同步速度，仅处理变更数据，而删除同步确保所有系统数据一致。自动重试机制减少同步失败，历史记录和查询功能增强任务追踪与分析。超时监控防止任务延误，确保数据同步的效率和准确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多数据源适配</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多数据源适配功能包括数据源配置管理，允许管理员设置多数据源的连接属性，优化集成效率。数据采集路由规则设定动态导向数据处理，提高处理灵活性。数据汇总功能整合各源数据，支持全面分析。数据统计提供详细分析，包括频率和异常值，增强数据洞察力。</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179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数据质量管理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数据质量管理确保数据准确性和系统兼容性。原始数据验证防止错误数据影响，通过检查数据格式和一致性来确保准确性。数据清洗移除无效记录和重复，修正格式错误，</w:t>
            </w:r>
            <w:r>
              <w:rPr>
                <w:rFonts w:ascii="宋体" w:eastAsia="宋体" w:cs="宋体" w:hint="eastAsia"/>
                <w:color w:val="000000"/>
                <w:lang w:eastAsia="zh-CN"/>
              </w:rPr>
              <w:t>提高</w:t>
            </w:r>
            <w:r>
              <w:rPr>
                <w:rFonts w:ascii="宋体" w:eastAsia="宋体" w:cs="宋体" w:hint="eastAsia"/>
                <w:color w:val="000000"/>
              </w:rPr>
              <w:t>数据质量。数据标准化统一不同格式数据，保持系统内数据一致性，支持有效分析和决策。</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异常数据管理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自动化检测、记录、查询和统计数据采集中的异常。自动检测机制识别数据范围异常和格式错误。所有异常数据记录在日志中，便于后续分析修正。查询功能允许按条件检索异常记录，便于追踪和处理。统计分析帮助评估数据采集的质量和稳定性，指出常见异常类型和频率，优化数据处理流程。</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并行数据加载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并行数据加载功能通过配置定义、任务管理、完成通知和数据统计来优化加载过程。配置定义允许设定加载节点数量和资源分配，提高处理速度和效率。任务管理监控各节点状态，确保加载顺利进行。加载完成后，系统自动通知相关人员或系统，确认和总结加载结果。数据统计分析加载效率和执行量，帮助评估性能并识别优化点，确保数据加载操作的最优化。</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缓存策略管理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缓存策略管理功能通过设置、更新确认和查询优化数据处理。缓存策略设置允许定义缓存大小、失效时间和刷新规则，提高数据访问速度和资源效率。缓存更新确认确保数据更新后缓存也同步更新，保持数据一致性。缓存情况查询功能让用户和管理员能够监控缓存使用状况，评估缓存效率和命中率，确保缓存系统的有效运行。</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加载错误处理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加载错误处理功能通过自动检测、记录、查询和统计提高数据加载质量。自动化机制检测数据加载中的异常如格式错误或数据完整性问题，确保数据质量。所有异常数据都被详尽记录，方便后续分析和修正。异常数据查询允许管理员按条件如日期或类型查找异常，提高问题解决效率。统计分析记录的异常数据，识别常见问题和评估加载流程的稳定性，助力持续改进数据处理系统。</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内存管理升级改造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内存管理升级改造旨在提升系统性能和稳定性。内存分配策略升级改造减少碎片化，优化性能。垃圾回收策略重新设计以减少开销和影响，特别是在高负载下。内存使用情况收集监控各应用的内存占用，支持优化决策。</w:t>
            </w:r>
            <w:r>
              <w:rPr>
                <w:rFonts w:ascii="宋体" w:eastAsia="宋体" w:cs="宋体" w:hint="eastAsia"/>
                <w:color w:val="000000"/>
                <w:lang w:eastAsia="zh-CN"/>
              </w:rPr>
              <w:t>内存泄漏</w:t>
            </w:r>
            <w:r>
              <w:rPr>
                <w:rFonts w:ascii="宋体" w:eastAsia="宋体" w:cs="宋体" w:hint="eastAsia"/>
                <w:color w:val="000000"/>
              </w:rPr>
              <w:t>预防检测功能早期识别潜在问题，防止应用崩溃和系统不稳定。</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资源动态分配</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资源动态分配功能优化系统内存管理和性能。资源需求计算帮助预测各应用和任务的内存需求，确保系统有足够内存支持运行和扩展。资源分配策略配置允许管理员调整内存分配策略，优化内存利用和性能。动态资源分配根据实时负载自动调整内存，提高系统响应和效率。资源分配查询功能使用户和管理员能够查看当前内存使用情况，确保资源管理的透明性和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内存数据压缩</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内存数据压缩功能优化数据存储和传输效率。选择合适的压缩算法和级别可最大化压缩效果。管理员可根据数据类型和需求选择最适合的算法，平衡压缩比和速度。用户可自定义压缩级别，满足性能需求。实施压缩操作减少内存和存储占用，提升传输效率。评估压缩效果支持策略优化。</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内存监控升级改造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内存监控升级改造包括实现实时内存查询功能，设置内存水位以预防内存溢出，实施内存告警通知机制，以及进行内存使用统计分析，旨在提高系统对内存的监控和管理能力，确保系统运行的稳定性和性能优化。</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数据加载升级改造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数据加载升级改造包括用Java实现原有Pascal程序的数据读取、验证、清洗和缓存功能。数据读取从数据库或文件系统加载采集到的数据，供标注程序使用。数据验证检查数据完整性和格式正确性。数据清洗去除无关信息，标准化格式。数据缓存提高处理速度，减少重复读取。</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189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数据标注升级改造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数据标注升级改造包括在Java平台上实现标注模型的动态加载和更新、重新设计标注算法逻辑、调度任务逻辑和保存结果逻辑。这些升级改造旨在提升标注准确性、处理速度和系统效率。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标注接口升级改造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标注接口升级改造的目标包括将模型更新接口从Pascal转移到Java，引入灵活的数据模型管理功能，实现实时模型更新和多版本控制；优化标注任务执行接口以利用Java的并发和多线程能力，支持高并发的数据标注任务；迁移标注结果查询接口至Java平台，提升查询性能和响应速度，特别是对大数据集的处理，以及重构标注统计信息接口。</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标注监控升级改造</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标注监控升级改造目标包括将实时性能监控逻辑迁移到Java平台，优化监控指标提高监测精度和反应速度，保持实时性能监控；将日志记录系统迁移到Java，优化日志记录机制降低性能开销，提高数据存储效率和查询响应速度；重构日志查询功能以适应Java环境，提升查询效率和数据处理能力，保证快速响应用户查询请求；重新设计标注过程中的异常处理逻辑，利用Java的异常处理框架提高错误处理的准确性和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文本结构分析</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对文本数据进行结构化分析，识别和处理倒装语句等复杂结构，以提高文本处理的准确性和效率。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中文分词处理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对中文文本进行分词处理，根据预设的参数模型对文本进行精确解析，为后续的文本分析提供基础。</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同义词替换处理</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在文本分析中识别同义词，并根据模型设定进行替换处理，以统一文本表达，增强数据的一致性。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数据噪声滤除</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滤除数据中的噪声和无意义信息，提高数据质量，确保数据分析的准确性和有效性。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计量单位转换</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识别文本中的计量单位并进行单位转换，确保数值数据的统一性和可比性。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数值格式识别</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识别和提取文本中的数值格式数据，为数值分析和处理提供准确的数据基础。</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数据提取标注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根据业务需求，提取和标注数据字段中的要素信息，包括特征要素提取、中心词和限定词扫描替换，以及数值解析处理。</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199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增量处理模式</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针对数据的新增、修改和删除操作进行增量处理，提高数据处理的效率和响应速度。</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数据交互接口</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为系统其他模块提供数据交互接口，实现数据标注参数的发送、标注状态查询和标注结果的获取。</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要素编码维护功能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创建和维护要素编码表，提供要素编码的查询、删除、修改、生效和作废功能，确保编码的准确性和服务的有效性。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要素编码展示功能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展示和管理年度有效的要素编码，支持多种筛选条件，提供要素编码的结构化在线展示。</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年度编码管理功能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管理年度编码记录，包括记录表的创建、查询、删除和复制，以及年度记录的创建和维护。</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手工新增要素编码功能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允许用户手动新增要素编码，包括要素分类设置、税则类号设置、序号生成、冲突校验和申报要素关联创建。</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本年度申报要素导入功能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支持年度商品编码和申报要素的导入，包括数据文件解析、记录保存和与年度商品编码表的关联。</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申报要素按年度对比功能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允许用户按年度查询和对比申报要素记录，自动对比商品编码和申报要素内容的差异。</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年度申报要素与要素编码自动匹配</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创建申报要素编码映射表，实现年度申报要素与要素编码的自动匹配，简化编码映射流程。</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要素编码自动映射功能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在要素编码自动映射过程中，根据不同类型将申报要素映射为相应类型的要素编码，提高编码映射效率。</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209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人工识别申报要素编码功能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对于未能自动匹配的申报要素，提供人工识别和修正功能，允许新增要素编码并进行映射关联。</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要素编码映射变更管理功能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管理申报要素映射编码的变更记录，提供查询、修改、删除和版本预览，以及版本变更申请和审批。</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211</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编码修改记录查询列表</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创建和查询申报要素编码变更记录表，记录版本变更和审批信息，提供详细的变更历史追踪。</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212</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编码修改详情展示功能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提供变更申请的详细展示，包括版本信息、申请描述和变更映射记录数，以及年度申报要素数据的预览。</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213</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编码修改审批功能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实现对申报要素编码变更申请的审批流程，包括审批通过、拒绝以及备注变更映射的拒绝原因。</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214</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变更版本发布管理功能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管理审批通过的年度申报要素版本，支持版本发布、信息维护和版本回退，确保服务的一致性和稳定性。</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215</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数据变更关联H4A用户功能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在进行要素编码映射修改、年度版本编辑、审批操作和发布时，系统自动登记操作用户信息，形成可追踪的用户记录。</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216</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要素编码当前版本数据查询展示</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创建要素编码版本表，存储和展示当前已发布的在用版本申报要素编码信息，提供直观的查询界面。</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217</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发布历史记录功能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查询和展示全部发布过的申报要素版本信息，提供发布历史的查询和删除功能，维护版本发布的历史记录。</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218</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发布历史详情及关联文件展示功能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允许用户查看指定发布历史的详情，并展示关联的模型文件记录，支持在线查看模型文件数据。</w:t>
            </w:r>
          </w:p>
        </w:tc>
        <w:tc>
          <w:tcPr>
            <w:tcW w:w="1919" w:type="dxa"/>
            <w:vAlign w:val="center"/>
          </w:tcPr>
          <w:p>
            <w:pPr>
              <w:ind w:firstLine="0"/>
              <w:jc w:val="center"/>
              <w:rPr>
                <w:rFonts w:ascii="宋体" w:eastAsia="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219</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模型文件界面预览功能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在用户查看模型文件数据时，系统加载并解密模型文件，解析并格式化文件数据，提供在线的结构化查看。</w:t>
            </w:r>
          </w:p>
        </w:tc>
        <w:tc>
          <w:tcPr>
            <w:tcW w:w="1919" w:type="dxa"/>
            <w:vAlign w:val="center"/>
          </w:tcPr>
          <w:p>
            <w:pPr>
              <w:ind w:firstLine="0"/>
              <w:jc w:val="center"/>
              <w:rPr>
                <w:rFonts w:ascii="宋体" w:eastAsia="宋体" w:cs="宋体"/>
              </w:rPr>
            </w:pPr>
            <w:r>
              <w:rPr>
                <w:rFonts w:ascii="宋体" w:eastAsia="宋体"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93" w:type="dxa"/>
            <w:vAlign w:val="center"/>
          </w:tcPr>
          <w:p>
            <w:pPr>
              <w:ind w:firstLine="0"/>
              <w:jc w:val="center"/>
              <w:rPr>
                <w:rFonts w:ascii="宋体" w:eastAsia="宋体"/>
              </w:rPr>
            </w:pPr>
            <w:r>
              <w:rPr>
                <w:rFonts w:ascii="宋体" w:eastAsia="宋体" w:hint="eastAsia"/>
              </w:rPr>
              <w:t>220</w:t>
            </w:r>
          </w:p>
        </w:tc>
        <w:tc>
          <w:tcPr>
            <w:tcW w:w="1132"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1795" w:type="dxa"/>
            <w:tcBorders>
              <w:top w:val="single" w:sz="4" w:space="0" w:color="auto"/>
              <w:left w:val="single" w:sz="4" w:space="0" w:color="auto"/>
              <w:right w:val="single" w:sz="4" w:space="0" w:color="auto"/>
            </w:tcBorders>
            <w:vAlign w:val="center"/>
          </w:tcPr>
          <w:p>
            <w:pPr>
              <w:ind w:firstLine="0"/>
              <w:jc w:val="center"/>
              <w:rPr>
                <w:rFonts w:ascii="宋体" w:eastAsia="宋体"/>
              </w:rPr>
            </w:pPr>
            <w:r>
              <w:rPr>
                <w:rFonts w:ascii="宋体" w:eastAsia="宋体" w:hint="eastAsia"/>
              </w:rPr>
              <w:t>生成年度申报要素模型文件功能</w:t>
            </w:r>
          </w:p>
        </w:tc>
        <w:tc>
          <w:tcPr>
            <w:tcW w:w="2780" w:type="dxa"/>
            <w:tcBorders>
              <w:top w:val="single" w:sz="4" w:space="0" w:color="auto"/>
              <w:left w:val="single" w:sz="4" w:space="0" w:color="auto"/>
              <w:right w:val="single" w:sz="4" w:space="0" w:color="auto"/>
            </w:tcBorders>
            <w:vAlign w:val="center"/>
          </w:tcPr>
          <w:p>
            <w:pPr>
              <w:widowControl/>
              <w:textAlignment w:val="center"/>
              <w:rPr>
                <w:rFonts w:ascii="宋体" w:eastAsia="宋体" w:cs="宋体"/>
              </w:rPr>
            </w:pPr>
            <w:r>
              <w:rPr>
                <w:rFonts w:ascii="宋体" w:eastAsia="宋体" w:cs="宋体" w:hint="eastAsia"/>
                <w:color w:val="000000"/>
              </w:rPr>
              <w:t>按年度查询并组织申报要素版本信息，允许指定版本生成年度申报要素模型文件，并对模型数据进行加密，确保安全。</w:t>
            </w:r>
          </w:p>
        </w:tc>
        <w:tc>
          <w:tcPr>
            <w:tcW w:w="1919" w:type="dxa"/>
            <w:vAlign w:val="center"/>
          </w:tcPr>
          <w:p>
            <w:pPr>
              <w:ind w:firstLine="0"/>
              <w:jc w:val="center"/>
              <w:rPr>
                <w:rFonts w:ascii="宋体" w:eastAsia="宋体" w:cs="宋体"/>
              </w:rPr>
            </w:pPr>
            <w:r>
              <w:rPr>
                <w:rFonts w:ascii="宋体" w:eastAsia="宋体" w:cs="宋体" w:hint="eastAsia"/>
                <w:color w:val="000000"/>
              </w:rPr>
              <w:t>否</w:t>
            </w:r>
          </w:p>
        </w:tc>
      </w:tr>
    </w:tbl>
    <w:p>
      <w:pPr>
        <w:ind w:firstLine="0"/>
      </w:pPr>
      <w:r>
        <w:rPr>
          <w:rFonts w:ascii="宋体" w:eastAsia="宋体" w:cs="宋体" w:hint="eastAsia"/>
        </w:rPr>
        <w:br w:type="page"/>
      </w:r>
    </w:p>
    <w:p>
      <w:pPr>
        <w:ind w:firstLine="0"/>
        <w:rPr>
          <w:rFonts w:ascii="宋体" w:eastAsia="宋体" w:cs="宋体"/>
          <w:color w:val="auto"/>
        </w:rPr>
      </w:pPr>
      <w:bookmarkStart w:id="40" w:name="指标明细_index_Required_goodsId"/>
      <w:bookmarkEnd w:id="40"/>
    </w:p>
    <w:p>
      <w:pPr>
        <w:numPr>
          <w:ilvl w:val="0"/>
          <w:numId w:val="2"/>
        </w:numPr>
        <w:rPr>
          <w:rFonts w:ascii="宋体" w:eastAsia="宋体" w:cs="宋体" w:hint="eastAsia"/>
        </w:rPr>
      </w:pPr>
      <w:bookmarkStart w:id="41" w:name="服务要求"/>
      <w:r>
        <w:rPr>
          <w:rFonts w:ascii="宋体" w:eastAsia="宋体" w:cs="宋体" w:hint="eastAsia"/>
        </w:rPr>
        <w:t>服务要求</w:t>
      </w:r>
      <w:bookmarkEnd w:id="41"/>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ind w:firstLine="482"/>
        <w:rPr>
          <w:rFonts w:ascii="宋体" w:eastAsia="宋体" w:cs="宋体"/>
        </w:rPr>
      </w:pPr>
      <w:r>
        <w:rPr>
          <w:rFonts w:ascii="宋体" w:eastAsia="宋体" w:hint="eastAsia"/>
        </w:rPr>
        <w:t>②“证明材料要求”项可填“是”和“否”。填“是”的，投标人须按“服务要求标准”提供相关证明材料</w:t>
      </w:r>
      <w:r>
        <w:rPr>
          <w:rFonts w:ascii="宋体" w:eastAsia="宋体" w:cs="宋体" w:hint="eastAsia"/>
        </w:rPr>
        <w:t>。</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left"/>
        </w:trPr>
        <w:tc>
          <w:tcPr>
            <w:tcW w:w="808" w:type="dxa"/>
            <w:shd w:val="clear" w:color="auto" w:fill="BEBEBE"/>
            <w:noWrap/>
          </w:tcPr>
          <w:p>
            <w:pPr>
              <w:ind w:firstLine="0"/>
              <w:jc w:val="center"/>
              <w:rPr>
                <w:rFonts w:ascii="宋体" w:eastAsia="宋体" w:cs="宋体"/>
                <w:b/>
              </w:rPr>
            </w:pPr>
            <w:r>
              <w:rPr>
                <w:rFonts w:ascii="宋体" w:eastAsia="宋体" w:cs="宋体" w:hint="eastAsia"/>
                <w:b/>
              </w:rPr>
              <w:t>序号</w:t>
            </w:r>
          </w:p>
        </w:tc>
        <w:tc>
          <w:tcPr>
            <w:tcW w:w="1140" w:type="dxa"/>
            <w:shd w:val="clear" w:color="auto" w:fill="BEBEBE"/>
            <w:noWrap/>
          </w:tcPr>
          <w:p>
            <w:pPr>
              <w:ind w:firstLine="0"/>
              <w:jc w:val="center"/>
              <w:rPr>
                <w:rFonts w:ascii="宋体" w:eastAsia="宋体" w:cs="宋体"/>
                <w:b/>
              </w:rPr>
            </w:pPr>
            <w:r>
              <w:rPr>
                <w:rFonts w:ascii="宋体" w:eastAsia="宋体" w:cs="宋体" w:hint="eastAsia"/>
                <w:b/>
              </w:rPr>
              <w:t>内容</w:t>
            </w:r>
          </w:p>
        </w:tc>
        <w:tc>
          <w:tcPr>
            <w:tcW w:w="1196" w:type="dxa"/>
            <w:shd w:val="clear" w:color="auto" w:fill="BEBEBE"/>
            <w:noWrap/>
          </w:tcPr>
          <w:p>
            <w:pPr>
              <w:ind w:firstLine="0"/>
              <w:jc w:val="center"/>
              <w:rPr>
                <w:rFonts w:ascii="宋体" w:eastAsia="宋体" w:cs="宋体"/>
                <w:b/>
              </w:rPr>
            </w:pPr>
            <w:r>
              <w:rPr>
                <w:rFonts w:ascii="宋体" w:eastAsia="宋体" w:cs="宋体" w:hint="eastAsia"/>
                <w:b/>
              </w:rPr>
              <w:t>重要性</w:t>
            </w:r>
          </w:p>
        </w:tc>
        <w:tc>
          <w:tcPr>
            <w:tcW w:w="3690" w:type="dxa"/>
            <w:shd w:val="clear" w:color="auto" w:fill="BEBEBE"/>
            <w:noWrap/>
          </w:tcPr>
          <w:p>
            <w:pPr>
              <w:ind w:firstLine="0"/>
              <w:jc w:val="center"/>
              <w:rPr>
                <w:rFonts w:ascii="宋体" w:eastAsia="宋体" w:cs="宋体"/>
                <w:b/>
              </w:rPr>
            </w:pPr>
            <w:bookmarkStart w:id="42" w:name="服务要求_Title_服务要求标准_Required_Table"/>
            <w:r>
              <w:rPr>
                <w:rFonts w:ascii="宋体" w:eastAsia="宋体" w:cs="宋体" w:hint="eastAsia"/>
                <w:b/>
              </w:rPr>
              <w:t>服务要求标准</w:t>
            </w:r>
            <w:bookmarkEnd w:id="42"/>
          </w:p>
        </w:tc>
        <w:tc>
          <w:tcPr>
            <w:tcW w:w="1685" w:type="dxa"/>
            <w:shd w:val="clear" w:color="auto" w:fill="BEBEBE"/>
            <w:noWrap/>
          </w:tcPr>
          <w:p>
            <w:pPr>
              <w:ind w:firstLine="0"/>
              <w:jc w:val="center"/>
              <w:rPr>
                <w:rFonts w:ascii="宋体" w:eastAsia="宋体" w:cs="宋体"/>
                <w:b/>
              </w:rPr>
            </w:pPr>
            <w:bookmarkStart w:id="43" w:name="服务要求_Title_证明材料要求_Required_Table"/>
            <w:r>
              <w:rPr>
                <w:rFonts w:ascii="宋体" w:eastAsia="宋体" w:cs="宋体" w:hint="eastAsia"/>
                <w:b/>
              </w:rPr>
              <w:t>证明材料要求</w:t>
            </w:r>
            <w:bookmarkEnd w:id="43"/>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r>
              <w:rPr>
                <w:rFonts w:ascii="宋体" w:eastAsia="宋体" w:cs="宋体" w:hint="eastAsia"/>
              </w:rPr>
              <w:t>售后服务承诺函</w:t>
            </w: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r>
              <w:rPr>
                <w:rFonts w:ascii="宋体" w:eastAsia="宋体" w:hint="eastAsia"/>
              </w:rPr>
              <w:t>★</w:t>
            </w:r>
          </w:p>
        </w:tc>
        <w:tc>
          <w:tcPr>
            <w:tcW w:w="3690" w:type="dxa"/>
            <w:tcBorders>
              <w:top w:val="single" w:sz="4" w:space="0" w:color="auto"/>
              <w:left w:val="single" w:sz="4" w:space="0" w:color="auto"/>
              <w:right w:val="single" w:sz="4" w:space="0" w:color="auto"/>
            </w:tcBorders>
            <w:noWrap/>
          </w:tcPr>
          <w:p>
            <w:pPr>
              <w:tabs>
                <w:tab w:val="left" w:pos="709"/>
              </w:tabs>
              <w:spacing w:line="440" w:lineRule="exact"/>
              <w:ind w:firstLine="0"/>
              <w:rPr>
                <w:rFonts w:ascii="宋体" w:eastAsia="宋体" w:cs="宋体"/>
              </w:rPr>
            </w:pPr>
            <w:r>
              <w:rPr>
                <w:rFonts w:ascii="宋体" w:hAnsi="宋体" w:hint="eastAsia"/>
              </w:rPr>
              <w:t>本项目的免费质保期自系统验收之日起</w:t>
            </w:r>
            <w:r>
              <w:rPr>
                <w:rFonts w:ascii="宋体" w:hAnsi="宋体"/>
              </w:rPr>
              <w:t>1</w:t>
            </w:r>
            <w:r>
              <w:rPr>
                <w:rFonts w:ascii="宋体" w:hAnsi="宋体" w:hint="eastAsia"/>
              </w:rPr>
              <w:t>年</w:t>
            </w:r>
            <w:r>
              <w:rPr>
                <w:rFonts w:ascii="宋体" w:eastAsia="宋体" w:hint="eastAsia"/>
              </w:rPr>
              <w:t>。</w:t>
            </w:r>
          </w:p>
        </w:tc>
        <w:tc>
          <w:tcPr>
            <w:tcW w:w="1685" w:type="dxa"/>
            <w:noWrap/>
            <w:vAlign w:val="center"/>
          </w:tcPr>
          <w:p>
            <w:pPr>
              <w:spacing w:line="240" w:lineRule="auto"/>
              <w:ind w:firstLine="0"/>
              <w:jc w:val="both"/>
              <w:rPr>
                <w:rFonts w:ascii="宋体" w:eastAsia="宋体" w:cs="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394"/>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r>
              <w:rPr>
                <w:rFonts w:ascii="宋体" w:eastAsia="宋体" w:cs="宋体" w:hint="eastAsia"/>
              </w:rPr>
              <w:t>服务团队要求</w:t>
            </w: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tcPr>
          <w:p>
            <w:pPr>
              <w:ind w:firstLine="480" w:firstLineChars="200"/>
              <w:rPr>
                <w:rFonts w:ascii="宋体" w:hAnsi="宋体"/>
              </w:rPr>
            </w:pPr>
            <w:r>
              <w:rPr>
                <w:rFonts w:ascii="宋体" w:hAnsi="宋体" w:hint="eastAsia"/>
              </w:rPr>
              <w:t>（1）服务人员应为本项目配置具有</w:t>
            </w:r>
            <w:r>
              <w:rPr>
                <w:rFonts w:ascii="宋体" w:eastAsia="宋体" w:hint="eastAsia"/>
                <w:lang w:val="en-US" w:eastAsia="zh-CN"/>
              </w:rPr>
              <w:t>同类</w:t>
            </w:r>
            <w:r>
              <w:rPr>
                <w:rFonts w:ascii="宋体" w:hAnsi="宋体" w:hint="eastAsia"/>
              </w:rPr>
              <w:t>项目开发能力的人力资源，项目团队应由项目经理、系统分析师、需求分析师、开发工程师、测试工程师等组成，团队不少于20人。</w:t>
            </w:r>
          </w:p>
          <w:p>
            <w:pPr>
              <w:ind w:firstLine="480" w:firstLineChars="200"/>
              <w:rPr>
                <w:rFonts w:ascii="宋体" w:eastAsia="宋体" w:cs="宋体"/>
                <w:spacing w:val="-4"/>
              </w:rPr>
            </w:pPr>
            <w:r>
              <w:rPr>
                <w:rFonts w:ascii="宋体" w:hAnsi="宋体" w:hint="eastAsia"/>
              </w:rPr>
              <w:t>（2）</w:t>
            </w:r>
            <w:r>
              <w:rPr>
                <w:rFonts w:ascii="宋体" w:eastAsia="宋体" w:hint="eastAsia"/>
                <w:lang w:val="en-US" w:eastAsia="zh-CN"/>
              </w:rPr>
              <w:t>服务团队</w:t>
            </w:r>
            <w:r>
              <w:rPr>
                <w:rFonts w:ascii="宋体" w:hAnsi="宋体" w:hint="eastAsia"/>
              </w:rPr>
              <w:t>应严格遵守采购人和实施单位各项管理制度，包括工作制度、项目进度、项目管理制度、内部安全管理要求、安全生产管理、数据安全管理的相关要求。</w:t>
            </w:r>
          </w:p>
        </w:tc>
        <w:tc>
          <w:tcPr>
            <w:tcW w:w="1685" w:type="dxa"/>
            <w:noWrap/>
            <w:vAlign w:val="center"/>
          </w:tcPr>
          <w:p>
            <w:pPr>
              <w:spacing w:line="240" w:lineRule="auto"/>
              <w:ind w:firstLine="0"/>
              <w:jc w:val="both"/>
              <w:rPr>
                <w:rFonts w:ascii="宋体" w:eastAsia="宋体" w:cs="宋体" w:hint="eastAsia"/>
                <w:color w:val="FF0000"/>
                <w:lang w:eastAsia="zh-CN"/>
              </w:rPr>
            </w:pPr>
            <w:r>
              <w:rPr>
                <w:rFonts w:ascii="宋体" w:eastAsia="宋体" w:cs="宋体" w:hint="eastAsia"/>
                <w:color w:val="auto"/>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394"/>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r>
              <w:rPr>
                <w:rFonts w:ascii="宋体" w:eastAsia="宋体" w:cs="宋体" w:hint="eastAsia"/>
              </w:rPr>
              <w:t>驻场人员要求</w:t>
            </w: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r>
              <w:rPr>
                <w:rFonts w:ascii="宋体" w:eastAsia="宋体" w:hint="eastAsia"/>
              </w:rPr>
              <w:t>★</w:t>
            </w:r>
          </w:p>
        </w:tc>
        <w:tc>
          <w:tcPr>
            <w:tcW w:w="3690" w:type="dxa"/>
            <w:tcBorders>
              <w:top w:val="single" w:sz="4" w:space="0" w:color="auto"/>
              <w:left w:val="single" w:sz="4" w:space="0" w:color="auto"/>
              <w:right w:val="single" w:sz="4" w:space="0" w:color="auto"/>
            </w:tcBorders>
            <w:noWrap/>
          </w:tcPr>
          <w:p>
            <w:pPr>
              <w:ind w:firstLine="0"/>
              <w:rPr>
                <w:rFonts w:ascii="宋体" w:eastAsia="宋体" w:cs="Times New Roman"/>
                <w:lang w:bidi="en-US"/>
              </w:rPr>
            </w:pPr>
            <w:r>
              <w:rPr>
                <w:rFonts w:ascii="宋体" w:eastAsia="宋体" w:cs="Times New Roman"/>
                <w:lang w:bidi="en-US"/>
              </w:rPr>
              <w:t>1</w:t>
            </w:r>
            <w:r>
              <w:rPr>
                <w:rFonts w:hint="eastAsia"/>
                <w:lang w:bidi="en-US"/>
              </w:rPr>
              <w:t>．</w:t>
            </w:r>
            <w:r>
              <w:t>人员要求：</w:t>
            </w:r>
            <w:r>
              <w:rPr>
                <w:rFonts w:ascii="宋体" w:eastAsia="宋体" w:cs="Times New Roman" w:hint="eastAsia"/>
                <w:lang w:bidi="en-US"/>
              </w:rPr>
              <w:t>驻场人员</w:t>
            </w:r>
            <w:r>
              <w:rPr>
                <w:rFonts w:ascii="宋体" w:eastAsia="宋体" w:cs="Times New Roman"/>
                <w:lang w:bidi="en-US"/>
              </w:rPr>
              <w:t>不少于</w:t>
            </w:r>
            <w:r>
              <w:rPr>
                <w:rFonts w:ascii="宋体" w:eastAsia="宋体" w:cs="Times New Roman" w:hint="eastAsia"/>
                <w:lang w:bidi="en-US"/>
              </w:rPr>
              <w:t>8</w:t>
            </w:r>
            <w:r>
              <w:rPr>
                <w:rFonts w:ascii="宋体" w:eastAsia="宋体" w:cs="Times New Roman"/>
                <w:lang w:bidi="en-US"/>
              </w:rPr>
              <w:t>人。团队成员包括项目经理1人、其余为需求分析、系统设计、开发、测试等技术人员。</w:t>
            </w:r>
          </w:p>
          <w:p>
            <w:pPr>
              <w:ind w:firstLine="0"/>
            </w:pPr>
            <w:r>
              <w:rPr>
                <w:rFonts w:ascii="宋体" w:eastAsia="宋体" w:cs="Times New Roman"/>
                <w:lang w:bidi="en-US"/>
              </w:rPr>
              <w:t>2</w:t>
            </w:r>
            <w:r>
              <w:rPr>
                <w:rFonts w:hint="eastAsia"/>
                <w:lang w:bidi="en-US"/>
              </w:rPr>
              <w:t>．</w:t>
            </w:r>
            <w:r>
              <w:t>驻场时间：项目团队核心成员驻场至系统部署上线，试运行期间安排足够运维人员保障驻场运维。</w:t>
            </w:r>
          </w:p>
          <w:p>
            <w:pPr>
              <w:ind w:firstLine="0"/>
              <w:rPr>
                <w:rFonts w:ascii="宋体" w:eastAsia="宋体" w:cs="Times New Roman"/>
                <w:lang w:bidi="en-US"/>
              </w:rPr>
            </w:pPr>
            <w:r>
              <w:rPr>
                <w:rFonts w:ascii="宋体" w:eastAsia="宋体" w:cs="Times New Roman"/>
                <w:lang w:bidi="en-US"/>
              </w:rPr>
              <w:t>3</w:t>
            </w:r>
            <w:r>
              <w:rPr>
                <w:rFonts w:ascii="宋体" w:eastAsia="宋体" w:cs="Times New Roman" w:hint="eastAsia"/>
                <w:lang w:bidi="en-US"/>
              </w:rPr>
              <w:t>．驻场地点</w:t>
            </w:r>
            <w:r>
              <w:rPr>
                <w:rFonts w:ascii="宋体" w:eastAsia="宋体" w:cs="Times New Roman"/>
                <w:lang w:bidi="en-US"/>
              </w:rPr>
              <w:t>：</w:t>
            </w:r>
            <w:r>
              <w:rPr>
                <w:rFonts w:ascii="宋体" w:eastAsia="宋体" w:cs="Times New Roman" w:hint="eastAsia"/>
                <w:lang w:bidi="en-US"/>
              </w:rPr>
              <w:t>大连海关或海关指定的其他地点</w:t>
            </w:r>
            <w:r>
              <w:rPr>
                <w:rFonts w:ascii="宋体" w:eastAsia="宋体" w:cs="Times New Roman"/>
                <w:lang w:bidi="en-US"/>
              </w:rPr>
              <w:t>。</w:t>
            </w:r>
          </w:p>
          <w:p>
            <w:pPr>
              <w:ind w:firstLine="0"/>
              <w:rPr>
                <w:rFonts w:ascii="宋体" w:hAnsi="宋体"/>
              </w:rPr>
            </w:pPr>
            <w:r>
              <w:rPr>
                <w:rFonts w:ascii="宋体" w:eastAsia="宋体" w:cs="Times New Roman" w:hint="eastAsia"/>
                <w:lang w:val="en-US" w:bidi="en-US"/>
              </w:rPr>
              <w:t>4</w:t>
            </w:r>
            <w:r>
              <w:rPr>
                <w:rFonts w:ascii="宋体" w:eastAsia="宋体" w:cs="Times New Roman"/>
                <w:lang w:bidi="en-US"/>
              </w:rPr>
              <w:t>. 保密要求：项目团队人员应严格遵守相关保密协议。</w:t>
            </w:r>
          </w:p>
        </w:tc>
        <w:tc>
          <w:tcPr>
            <w:tcW w:w="1685" w:type="dxa"/>
            <w:noWrap/>
            <w:vAlign w:val="center"/>
          </w:tcPr>
          <w:p>
            <w:pPr>
              <w:spacing w:line="240" w:lineRule="auto"/>
              <w:ind w:firstLine="0"/>
              <w:jc w:val="both"/>
              <w:rPr>
                <w:rFonts w:ascii="宋体" w:eastAsia="宋体" w:cs="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人员资格标准</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vAlign w:val="center"/>
          </w:tcPr>
          <w:p>
            <w:pPr>
              <w:ind w:firstLine="240" w:firstLineChars="100"/>
              <w:rPr>
                <w:rFonts w:ascii="宋体" w:eastAsia="宋体" w:cs="宋体"/>
              </w:rPr>
            </w:pPr>
            <w:r>
              <w:rPr>
                <w:rFonts w:ascii="宋体" w:eastAsia="宋体" w:cs="宋体" w:hint="eastAsia"/>
              </w:rPr>
              <w:t>（1）项目经理：具有10年及以上</w:t>
            </w:r>
            <w:r>
              <w:rPr>
                <w:rFonts w:ascii="宋体" w:eastAsia="宋体" w:cs="宋体" w:hint="eastAsia"/>
                <w:lang w:val="en-US" w:eastAsia="zh-CN"/>
              </w:rPr>
              <w:t>同类</w:t>
            </w:r>
            <w:r>
              <w:rPr>
                <w:rFonts w:ascii="宋体" w:eastAsia="宋体" w:cs="宋体" w:hint="eastAsia"/>
              </w:rPr>
              <w:t>项目开发及管理能力，具有信息系统项目管理师</w:t>
            </w:r>
            <w:r>
              <w:rPr>
                <w:rFonts w:ascii="宋体" w:eastAsia="宋体" w:cs="宋体" w:hint="eastAsia"/>
                <w:lang w:eastAsia="zh-CN"/>
              </w:rPr>
              <w:t>、</w:t>
            </w:r>
            <w:r>
              <w:rPr>
                <w:rFonts w:ascii="宋体" w:eastAsia="宋体" w:cs="宋体" w:hint="eastAsia"/>
                <w:lang w:val="en-US" w:eastAsia="zh-CN"/>
              </w:rPr>
              <w:t>系统分析师</w:t>
            </w:r>
            <w:r>
              <w:rPr>
                <w:rFonts w:ascii="宋体" w:eastAsia="宋体" w:cs="宋体" w:hint="eastAsia"/>
              </w:rPr>
              <w:t>或</w:t>
            </w:r>
            <w:r>
              <w:rPr>
                <w:rFonts w:ascii="宋体" w:eastAsia="宋体" w:cs="宋体" w:hint="eastAsia"/>
                <w:lang w:val="en-US" w:eastAsia="zh-CN"/>
              </w:rPr>
              <w:t>系统架构设计师</w:t>
            </w:r>
            <w:r>
              <w:rPr>
                <w:rFonts w:ascii="宋体" w:eastAsia="宋体" w:cs="宋体" w:hint="eastAsia"/>
              </w:rPr>
              <w:t>计算机技术与软件专业技术资格（水平）证书，提供人员</w:t>
            </w:r>
            <w:r>
              <w:t>距开标之日6个月内任意一次社保证明</w:t>
            </w:r>
            <w:r>
              <w:rPr>
                <w:rFonts w:ascii="宋体" w:eastAsia="宋体" w:cs="宋体" w:hint="eastAsia"/>
              </w:rPr>
              <w:t>，并加盖公章。</w:t>
            </w:r>
          </w:p>
          <w:p>
            <w:pPr>
              <w:ind w:firstLine="240" w:firstLineChars="100"/>
              <w:rPr>
                <w:rFonts w:ascii="宋体" w:eastAsia="宋体" w:cs="宋体"/>
              </w:rPr>
            </w:pPr>
            <w:r>
              <w:rPr>
                <w:rFonts w:ascii="宋体" w:eastAsia="宋体" w:cs="宋体" w:hint="eastAsia"/>
              </w:rPr>
              <w:t>（</w:t>
            </w:r>
            <w:r>
              <w:rPr>
                <w:rFonts w:ascii="宋体" w:eastAsia="宋体" w:cs="宋体" w:hint="eastAsia"/>
                <w:lang w:val="en-US" w:eastAsia="zh-CN"/>
              </w:rPr>
              <w:t>2</w:t>
            </w:r>
            <w:r>
              <w:rPr>
                <w:rFonts w:ascii="宋体" w:eastAsia="宋体" w:cs="宋体" w:hint="eastAsia"/>
              </w:rPr>
              <w:t>）项目成员：具有3年及以上</w:t>
            </w:r>
            <w:r>
              <w:rPr>
                <w:rFonts w:ascii="宋体" w:eastAsia="宋体" w:cs="宋体" w:hint="eastAsia"/>
                <w:lang w:val="en-US" w:eastAsia="zh-CN"/>
              </w:rPr>
              <w:t>同类</w:t>
            </w:r>
            <w:r>
              <w:rPr>
                <w:rFonts w:ascii="宋体" w:eastAsia="宋体" w:cs="宋体" w:hint="eastAsia"/>
              </w:rPr>
              <w:t>项目实施能力，提供人员</w:t>
            </w:r>
            <w:r>
              <w:t>距开标之日6个月内任意一次社保证明</w:t>
            </w:r>
            <w:r>
              <w:rPr>
                <w:rFonts w:ascii="宋体" w:eastAsia="宋体" w:cs="宋体" w:hint="eastAsia"/>
              </w:rPr>
              <w:t xml:space="preserve">，并加盖公章。 </w:t>
            </w:r>
          </w:p>
        </w:tc>
        <w:tc>
          <w:tcPr>
            <w:tcW w:w="1685" w:type="dxa"/>
            <w:noWrap/>
            <w:vAlign w:val="center"/>
          </w:tcPr>
          <w:p>
            <w:pPr>
              <w:ind w:firstLine="0"/>
              <w:jc w:val="both"/>
              <w:rPr>
                <w:rFonts w:ascii="宋体" w:eastAsia="宋体" w:cs="宋体" w:hint="eastAsia"/>
                <w:lang w:val="en-US" w:eastAsia="zh-CN"/>
              </w:rPr>
            </w:pPr>
            <w:r>
              <w:rPr>
                <w:rFonts w:ascii="宋体" w:eastAsia="宋体" w:cs="宋体" w:hint="eastAsia"/>
              </w:rPr>
              <w:t>是</w:t>
            </w:r>
            <w:r>
              <w:rPr>
                <w:rFonts w:ascii="宋体" w:eastAsia="宋体" w:cs="宋体" w:hint="eastAsia"/>
                <w:lang w:eastAsia="zh-CN"/>
              </w:rPr>
              <w:t>，投标人应提供人员名单、人员简历、项目履历、相关资质证书、在本项目中职责分工，并按人员提供距开标之日前6个月内任意一个月的社保证明材料。</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服务网络标准</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p>
        </w:tc>
        <w:tc>
          <w:tcPr>
            <w:tcW w:w="3690" w:type="dxa"/>
            <w:tcBorders>
              <w:top w:val="single" w:sz="4" w:space="0" w:color="auto"/>
              <w:left w:val="single" w:sz="4" w:space="0" w:color="auto"/>
              <w:right w:val="single" w:sz="4" w:space="0" w:color="auto"/>
            </w:tcBorders>
            <w:noWrap/>
          </w:tcPr>
          <w:p>
            <w:pPr>
              <w:ind w:firstLine="480" w:firstLineChars="200"/>
              <w:rPr>
                <w:rFonts w:ascii="宋体" w:eastAsia="宋体" w:cs="宋体"/>
              </w:rPr>
            </w:pPr>
            <w:r>
              <w:rPr>
                <w:rFonts w:ascii="宋体" w:eastAsia="宋体" w:cs="宋体" w:hint="eastAsia"/>
              </w:rPr>
              <w:t>需</w:t>
            </w:r>
            <w:r>
              <w:rPr>
                <w:rFonts w:ascii="宋体" w:eastAsia="宋体" w:cs="宋体" w:hint="eastAsia"/>
                <w:lang w:val="en-US" w:eastAsia="zh-CN"/>
              </w:rPr>
              <w:t>严格</w:t>
            </w:r>
            <w:r>
              <w:rPr>
                <w:rFonts w:ascii="宋体" w:eastAsia="宋体" w:cs="宋体" w:hint="eastAsia"/>
                <w:lang w:eastAsia="zh-CN"/>
              </w:rPr>
              <w:t>按照</w:t>
            </w:r>
            <w:r>
              <w:rPr>
                <w:rFonts w:ascii="宋体" w:eastAsia="宋体" w:cs="宋体" w:hint="eastAsia"/>
              </w:rPr>
              <w:t>海关网络管理规范开展工作，并严格遵守海关的管理要求，做好保密工作。</w:t>
            </w:r>
          </w:p>
        </w:tc>
        <w:tc>
          <w:tcPr>
            <w:tcW w:w="1685" w:type="dxa"/>
            <w:noWrap/>
            <w:vAlign w:val="center"/>
          </w:tcPr>
          <w:p>
            <w:pP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90"/>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培训标准</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p>
        </w:tc>
        <w:tc>
          <w:tcPr>
            <w:tcW w:w="3690" w:type="dxa"/>
            <w:tcBorders>
              <w:top w:val="single" w:sz="4" w:space="0" w:color="auto"/>
              <w:left w:val="single" w:sz="4" w:space="0" w:color="auto"/>
              <w:right w:val="single" w:sz="4" w:space="0" w:color="auto"/>
            </w:tcBorders>
            <w:noWrap/>
          </w:tcPr>
          <w:p>
            <w:pPr>
              <w:ind w:firstLine="480" w:firstLineChars="200"/>
              <w:rPr>
                <w:rFonts w:ascii="宋体" w:eastAsia="宋体" w:cs="宋体"/>
              </w:rPr>
            </w:pPr>
            <w:r>
              <w:rPr>
                <w:rFonts w:ascii="宋体" w:eastAsia="宋体" w:cs="宋体" w:hint="eastAsia"/>
              </w:rPr>
              <w:t>根据应用软件的功能和特点，充分考虑到海关应用人员实际水平，提出详细的培训方案，以达到应用管理人员能够独立管理投标人所提供的应用软件和日常的维护处理能力。</w:t>
            </w:r>
          </w:p>
        </w:tc>
        <w:tc>
          <w:tcPr>
            <w:tcW w:w="1685" w:type="dxa"/>
            <w:noWrap/>
            <w:vAlign w:val="center"/>
          </w:tcPr>
          <w:p>
            <w:pPr>
              <w:ind w:firstLine="480" w:firstLineChars="200"/>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集成标准</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tcPr>
          <w:p>
            <w:pPr>
              <w:tabs>
                <w:tab w:val="left" w:pos="709"/>
              </w:tabs>
              <w:spacing w:line="440" w:lineRule="exact"/>
              <w:ind w:firstLine="464"/>
              <w:rPr>
                <w:rFonts w:ascii="宋体" w:eastAsia="宋体" w:cs="宋体"/>
                <w:spacing w:val="-4"/>
              </w:rPr>
            </w:pPr>
            <w:r>
              <w:rPr>
                <w:rFonts w:ascii="宋体" w:eastAsia="宋体" w:cs="宋体" w:hint="eastAsia"/>
                <w:spacing w:val="-4"/>
              </w:rPr>
              <w:t>本项目应按照海关项目管理要求、技术要求、集成要求和方案编制要求开展实施集成工作，并接受和配合集成联调测试工作。</w:t>
            </w:r>
          </w:p>
          <w:p>
            <w:pPr>
              <w:tabs>
                <w:tab w:val="left" w:pos="709"/>
              </w:tabs>
              <w:spacing w:line="440" w:lineRule="exact"/>
              <w:ind w:firstLine="464"/>
              <w:rPr>
                <w:rFonts w:ascii="宋体" w:eastAsia="宋体" w:cs="宋体"/>
              </w:rPr>
            </w:pPr>
            <w:r>
              <w:rPr>
                <w:rFonts w:ascii="宋体" w:eastAsia="宋体" w:cs="宋体" w:hint="eastAsia"/>
                <w:spacing w:val="-4"/>
              </w:rPr>
              <w:t>集成方式：主要集成方式为接口方式，包括数据接口和系统接口。</w:t>
            </w:r>
          </w:p>
        </w:tc>
        <w:tc>
          <w:tcPr>
            <w:tcW w:w="1685" w:type="dxa"/>
            <w:noWrap/>
            <w:vAlign w:val="center"/>
          </w:tcPr>
          <w:p>
            <w:pPr>
              <w:ind w:firstLine="0"/>
              <w:jc w:val="cente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422"/>
          <w:jc w:val="left"/>
        </w:trPr>
        <w:tc>
          <w:tcPr>
            <w:tcW w:w="808" w:type="dxa"/>
            <w:noWrap/>
            <w:vAlign w:val="center"/>
          </w:tcPr>
          <w:p>
            <w:pPr>
              <w:numPr>
                <w:ilvl w:val="0"/>
                <w:numId w:val="5"/>
              </w:numPr>
              <w:ind w:left="0" w:firstLine="0"/>
              <w:jc w:val="center"/>
              <w:rPr>
                <w:rFonts w:ascii="宋体" w:eastAsia="宋体" w:cs="宋体"/>
              </w:rPr>
            </w:pPr>
            <w:bookmarkStart w:id="44" w:name="实施方案"/>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评测要求</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tcPr>
          <w:p>
            <w:pPr>
              <w:ind w:firstLine="480" w:firstLineChars="200"/>
              <w:rPr>
                <w:rFonts w:ascii="宋体" w:eastAsia="宋体" w:cs="宋体"/>
              </w:rPr>
            </w:pPr>
            <w:r>
              <w:rPr>
                <w:rFonts w:ascii="宋体" w:eastAsia="宋体" w:cs="宋体" w:hint="eastAsia"/>
              </w:rPr>
              <w:t>投标人须按照采购人的统一安排，负责配合第三方评测机构完成系统测试及整改工作</w:t>
            </w:r>
            <w:r>
              <w:rPr>
                <w:rFonts w:ascii="宋体" w:eastAsia="宋体" w:cs="宋体" w:hint="eastAsia"/>
                <w:lang w:eastAsia="zh-CN"/>
              </w:rPr>
              <w:t>，</w:t>
            </w:r>
            <w:r>
              <w:rPr>
                <w:rFonts w:ascii="宋体" w:eastAsia="宋体" w:cs="宋体" w:hint="eastAsia"/>
              </w:rPr>
              <w:t>直至系统通过验收。</w:t>
            </w:r>
          </w:p>
        </w:tc>
        <w:tc>
          <w:tcPr>
            <w:tcW w:w="1685" w:type="dxa"/>
            <w:noWrap/>
            <w:vAlign w:val="center"/>
          </w:tcPr>
          <w:p>
            <w:pPr>
              <w:ind w:firstLine="0"/>
              <w:jc w:val="cente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553"/>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安全生产要求</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vAlign w:val="center"/>
          </w:tcPr>
          <w:p>
            <w:pPr>
              <w:ind w:left="0" w:firstLine="480" w:firstLineChars="200"/>
              <w:rPr>
                <w:rFonts w:ascii="宋体" w:eastAsia="宋体" w:cs="宋体"/>
              </w:rPr>
            </w:pPr>
            <w:r>
              <w:rPr>
                <w:rFonts w:ascii="宋体" w:eastAsia="宋体" w:cs="宋体" w:hint="eastAsia"/>
              </w:rPr>
              <w:t>1、投标人为采购人提供服务过程中不得设置可以禁用或者绕过安全机制的组件及其他未经明示的功能模块；不得将与本项目相关的设计文档、源代码、配置文件、操作手册等相关信息在互联网上公布或托管。</w:t>
            </w:r>
          </w:p>
          <w:p>
            <w:pPr>
              <w:ind w:left="0" w:firstLine="480" w:firstLineChars="200"/>
              <w:rPr>
                <w:rFonts w:ascii="宋体" w:eastAsia="宋体" w:cs="宋体"/>
              </w:rPr>
            </w:pPr>
            <w:r>
              <w:rPr>
                <w:rFonts w:ascii="宋体" w:eastAsia="宋体" w:cs="宋体" w:hint="eastAsia"/>
              </w:rPr>
              <w:t>2、投标人提交的源代码需通过采购人代码审查、安全代码扫描通过，不得存在A类安全代码风险。</w:t>
            </w:r>
          </w:p>
          <w:p>
            <w:pPr>
              <w:ind w:firstLine="480" w:firstLineChars="200"/>
              <w:rPr>
                <w:rFonts w:ascii="宋体" w:eastAsia="宋体" w:cs="宋体"/>
              </w:rPr>
            </w:pPr>
            <w:r>
              <w:rPr>
                <w:rFonts w:ascii="宋体" w:eastAsia="宋体" w:cs="宋体" w:hint="eastAsia"/>
              </w:rPr>
              <w:t>3、投标人人员在项目执行过程中严格遵守法律法规、相关政策，不得发生违反采购人安全生产、数据安全、知识产权、工作制度等各项规章制度的情况。</w:t>
            </w:r>
          </w:p>
        </w:tc>
        <w:tc>
          <w:tcPr>
            <w:tcW w:w="1685" w:type="dxa"/>
            <w:noWrap/>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553"/>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知识产权归属</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vAlign w:val="center"/>
          </w:tcPr>
          <w:p>
            <w:pPr>
              <w:widowControl/>
              <w:ind w:firstLine="480" w:firstLineChars="200"/>
              <w:rPr>
                <w:rFonts w:ascii="宋体" w:eastAsia="宋体" w:cs="宋体"/>
              </w:rPr>
            </w:pPr>
            <w:r>
              <w:rPr>
                <w:rFonts w:ascii="宋体" w:eastAsia="宋体" w:cs="宋体" w:hint="eastAsia"/>
              </w:rPr>
              <w:t>投标人应承诺本项目知识产权归采购人所有。</w:t>
            </w:r>
          </w:p>
          <w:p>
            <w:pPr>
              <w:widowControl/>
              <w:ind w:firstLine="480" w:firstLineChars="200"/>
              <w:rPr>
                <w:rFonts w:ascii="宋体" w:eastAsia="宋体" w:cs="宋体"/>
              </w:rPr>
            </w:pPr>
            <w:r>
              <w:rPr>
                <w:rFonts w:ascii="宋体" w:eastAsia="宋体" w:cs="宋体" w:hint="eastAsia"/>
              </w:rPr>
              <w:t>1、采购人对服务成果拥有所有权及全部、完整的知识产权（包括但不限于著作权、专利权、商标权以及知识产权申请权等）。</w:t>
            </w:r>
          </w:p>
          <w:p>
            <w:pPr>
              <w:widowControl/>
              <w:ind w:firstLine="480" w:firstLineChars="200"/>
              <w:rPr>
                <w:rFonts w:ascii="宋体" w:eastAsia="宋体" w:cs="宋体"/>
              </w:rPr>
            </w:pPr>
            <w:r>
              <w:rPr>
                <w:rFonts w:ascii="宋体" w:eastAsia="宋体" w:cs="宋体" w:hint="eastAsia"/>
              </w:rPr>
              <w:t>2、投标人须保证采购人及其用户单位在使用过程中不受到第三方关于侵犯专利权等知识产权的指控。任何第三方如果提出指控，投标人须与第三方交涉并承担可能发生的一切法律责任和费用。</w:t>
            </w:r>
          </w:p>
          <w:p>
            <w:pPr>
              <w:widowControl/>
              <w:ind w:firstLine="480" w:firstLineChars="200"/>
              <w:rPr>
                <w:rFonts w:ascii="宋体" w:eastAsia="宋体" w:cs="宋体"/>
              </w:rPr>
            </w:pPr>
            <w:r>
              <w:rPr>
                <w:rFonts w:ascii="宋体" w:eastAsia="宋体" w:cs="宋体" w:hint="eastAsia"/>
              </w:rPr>
              <w:t>3、投标人就本项目开发的软件，应向采购人提供全部源代码和不限次数的使用权以及二次开发权，本项目所开发软件的知识产权归采购人所有。</w:t>
            </w:r>
          </w:p>
          <w:p>
            <w:pPr>
              <w:widowControl/>
              <w:ind w:firstLine="480" w:firstLineChars="200"/>
              <w:rPr>
                <w:rFonts w:ascii="宋体" w:eastAsia="宋体" w:cs="宋体"/>
              </w:rPr>
            </w:pPr>
            <w:r>
              <w:rPr>
                <w:rFonts w:ascii="宋体" w:eastAsia="宋体" w:cs="宋体" w:hint="eastAsia"/>
              </w:rPr>
              <w:t>4、投标人的具有自主知识产权的第三方软件，如需要在本项目中使用，须在投标文件中明确指出和说明。如出现因引入第三方软件而引出的知识产权纠纷，由投标人负责，与采购人无关。</w:t>
            </w:r>
          </w:p>
          <w:p>
            <w:pPr>
              <w:widowControl/>
              <w:ind w:firstLine="480" w:firstLineChars="200"/>
              <w:rPr>
                <w:rFonts w:ascii="宋体" w:eastAsia="宋体" w:cs="宋体"/>
              </w:rPr>
            </w:pPr>
            <w:r>
              <w:rPr>
                <w:rFonts w:ascii="宋体" w:eastAsia="宋体" w:cs="宋体" w:hint="eastAsia"/>
              </w:rPr>
              <w:t>5、采购人有权对工程涉及的所有成果在全国海关范围内进行推广应用，且不收取费用。</w:t>
            </w:r>
          </w:p>
          <w:p>
            <w:pPr>
              <w:widowControl/>
              <w:ind w:firstLine="480" w:firstLineChars="200"/>
              <w:rPr>
                <w:rFonts w:ascii="宋体" w:eastAsia="宋体" w:cs="宋体"/>
              </w:rPr>
            </w:pPr>
            <w:r>
              <w:rPr>
                <w:rFonts w:ascii="宋体" w:eastAsia="宋体" w:cs="宋体" w:hint="eastAsia"/>
              </w:rPr>
              <w:t>6、采购人可安排海关骨干人员参与核心工作，工作结束后带回源代码并纳入采购人原版库管理，以便后续修改维护。</w:t>
            </w:r>
          </w:p>
          <w:p>
            <w:pPr>
              <w:widowControl/>
              <w:ind w:firstLine="480" w:firstLineChars="200"/>
              <w:rPr>
                <w:rFonts w:ascii="宋体" w:eastAsia="宋体" w:cs="宋体"/>
              </w:rPr>
            </w:pPr>
            <w:r>
              <w:rPr>
                <w:rFonts w:ascii="宋体" w:eastAsia="宋体" w:cs="宋体" w:hint="eastAsia"/>
              </w:rPr>
              <w:t>7、未经采购人和委托方允许，不能将本项目有关内容向第三方泄露。</w:t>
            </w:r>
          </w:p>
          <w:p>
            <w:pPr>
              <w:ind w:firstLine="480" w:firstLineChars="200"/>
              <w:rPr>
                <w:rFonts w:ascii="宋体" w:eastAsia="宋体" w:cs="宋体"/>
                <w:color w:val="000000"/>
              </w:rPr>
            </w:pPr>
            <w:r>
              <w:rPr>
                <w:rFonts w:ascii="宋体" w:eastAsia="宋体" w:cs="宋体" w:hint="eastAsia"/>
              </w:rPr>
              <w:t>8、投标人不可申请本项目涉及的软件著作权和发明专利等相关知识产权。</w:t>
            </w:r>
          </w:p>
        </w:tc>
        <w:tc>
          <w:tcPr>
            <w:tcW w:w="1685" w:type="dxa"/>
            <w:noWrap/>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5"/>
              </w:numPr>
              <w:ind w:left="0" w:firstLine="0"/>
              <w:jc w:val="center"/>
              <w:rPr>
                <w:rFonts w:ascii="宋体" w:eastAsia="宋体" w:cs="宋体"/>
              </w:rPr>
            </w:pP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安全保密要求</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vAlign w:val="center"/>
          </w:tcPr>
          <w:p>
            <w:pPr>
              <w:ind w:firstLine="480" w:firstLineChars="200"/>
              <w:rPr>
                <w:rFonts w:ascii="宋体" w:eastAsia="宋体" w:cs="宋体"/>
                <w:color w:val="000000"/>
              </w:rPr>
            </w:pPr>
            <w:r>
              <w:rPr>
                <w:rFonts w:ascii="宋体" w:eastAsia="宋体" w:cs="宋体" w:hint="eastAsia"/>
                <w:color w:val="000000"/>
              </w:rPr>
              <w:t>1、投标人应对在采购人工作过程中所获知的全部技术资料和技术秘密采取保密措施。除非法律法规要求或取得采购人事先书面同意，投标人不得对外透露。</w:t>
            </w:r>
          </w:p>
          <w:p>
            <w:pPr>
              <w:ind w:firstLine="480" w:firstLineChars="200"/>
              <w:rPr>
                <w:rFonts w:ascii="宋体" w:eastAsia="宋体" w:cs="宋体"/>
              </w:rPr>
            </w:pPr>
            <w:r>
              <w:rPr>
                <w:rFonts w:ascii="宋体" w:eastAsia="宋体" w:cs="宋体" w:hint="eastAsia"/>
                <w:color w:val="000000"/>
              </w:rPr>
              <w:t>2、在本项目服务期结束后，投标人保证归还采购人提供的所有技术资料和文件，并承诺不保留任何副本。投标人应保证参与本项目的服务人员保守其获悉的采购人秘密，并采取必要措施确保参与本项目的服务人员遵守上述有关知识产权、保密等方面的约定。</w:t>
            </w:r>
          </w:p>
        </w:tc>
        <w:tc>
          <w:tcPr>
            <w:tcW w:w="1685" w:type="dxa"/>
            <w:noWrap/>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360"/>
          <w:jc w:val="left"/>
        </w:trPr>
        <w:tc>
          <w:tcPr>
            <w:tcW w:w="808" w:type="dxa"/>
            <w:noWrap/>
            <w:vAlign w:val="center"/>
          </w:tcPr>
          <w:p>
            <w:pPr>
              <w:ind w:firstLine="0"/>
              <w:jc w:val="center"/>
              <w:rPr>
                <w:rFonts w:ascii="宋体" w:eastAsia="宋体" w:cs="宋体"/>
                <w:lang w:val="en-US" w:eastAsia="zh-CN"/>
              </w:rPr>
            </w:pPr>
            <w:r>
              <w:rPr>
                <w:rFonts w:ascii="宋体" w:eastAsia="宋体" w:cs="宋体" w:hint="eastAsia"/>
                <w:lang w:val="en-US" w:eastAsia="zh-CN"/>
              </w:rPr>
              <w:t>12</w:t>
            </w: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color w:val="000000"/>
              </w:rPr>
              <w:t>其他要求</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color w:val="000000"/>
              </w:rPr>
              <w:t>★</w:t>
            </w:r>
          </w:p>
        </w:tc>
        <w:tc>
          <w:tcPr>
            <w:tcW w:w="3690" w:type="dxa"/>
            <w:tcBorders>
              <w:top w:val="single" w:sz="4" w:space="0" w:color="auto"/>
              <w:left w:val="single" w:sz="4" w:space="0" w:color="auto"/>
              <w:right w:val="single" w:sz="4" w:space="0" w:color="auto"/>
            </w:tcBorders>
            <w:noWrap/>
          </w:tcPr>
          <w:p>
            <w:pPr>
              <w:numPr>
                <w:ilvl w:val="0"/>
                <w:numId w:val="6"/>
              </w:numPr>
              <w:ind w:left="0" w:firstLine="480" w:firstLineChars="200"/>
              <w:rPr>
                <w:rFonts w:ascii="宋体" w:eastAsia="宋体" w:cs="宋体"/>
              </w:rPr>
            </w:pPr>
            <w:r>
              <w:rPr>
                <w:rFonts w:ascii="宋体" w:eastAsia="宋体" w:cs="宋体" w:hint="eastAsia"/>
              </w:rPr>
              <w:t>投标人应接受采购人聘请的总集成单位、监理单位的集成管理和监理工作。</w:t>
            </w:r>
          </w:p>
          <w:p>
            <w:pPr>
              <w:numPr>
                <w:ilvl w:val="0"/>
                <w:numId w:val="6"/>
              </w:numPr>
              <w:ind w:left="0" w:firstLine="480" w:firstLineChars="200"/>
              <w:rPr>
                <w:rFonts w:eastAsia="宋体"/>
              </w:rPr>
            </w:pPr>
            <w:r>
              <w:rPr>
                <w:rFonts w:ascii="宋体" w:eastAsia="宋体" w:cs="宋体" w:hint="eastAsia"/>
              </w:rPr>
              <w:t>投标人提供专职或兼职的档案管理人员，配合完成档案的收集、整理、组卷、归档等工作，直至项目通过竣工验收。并</w:t>
            </w:r>
            <w:r>
              <w:rPr>
                <w:rFonts w:hint="eastAsia"/>
              </w:rPr>
              <w:t>在质保期内配合完成档案移交、资产转固等工作</w:t>
            </w:r>
            <w:r>
              <w:rPr>
                <w:rFonts w:eastAsia="宋体" w:hint="eastAsia"/>
              </w:rPr>
              <w:t>。</w:t>
            </w:r>
          </w:p>
          <w:p>
            <w:pPr>
              <w:numPr>
                <w:ilvl w:val="0"/>
                <w:numId w:val="6"/>
              </w:numPr>
              <w:ind w:left="0" w:firstLine="480" w:firstLineChars="200"/>
              <w:rPr>
                <w:rFonts w:eastAsia="宋体"/>
              </w:rPr>
            </w:pPr>
            <w:r>
              <w:rPr>
                <w:rFonts w:eastAsia="宋体" w:hint="eastAsia"/>
              </w:rPr>
              <w:t>为满足项目安全要求，需要投标人配合完成等级保护的系统定级、评审、备案等系列工作；在各关键节点配合完成审计工作；竣工验收前配合做好第三方验收测试等工作。</w:t>
            </w:r>
          </w:p>
          <w:p>
            <w:pPr>
              <w:numPr>
                <w:ilvl w:val="0"/>
                <w:numId w:val="6"/>
              </w:numPr>
              <w:ind w:left="0" w:firstLine="480" w:firstLineChars="200"/>
              <w:rPr>
                <w:rFonts w:ascii="宋体" w:eastAsia="宋体" w:cs="宋体"/>
              </w:rPr>
            </w:pPr>
            <w:r>
              <w:rPr>
                <w:rFonts w:eastAsia="宋体" w:hint="eastAsia"/>
              </w:rPr>
              <w:t>为满足项目安全要求，需要投标人配合商用密码应用测评、网络安全等保测评，竣工验收前按照测评要求完成整改工作。</w:t>
            </w:r>
          </w:p>
          <w:p>
            <w:pPr>
              <w:numPr>
                <w:ilvl w:val="0"/>
                <w:numId w:val="6"/>
              </w:numPr>
              <w:ind w:left="0" w:firstLine="480" w:firstLineChars="200"/>
              <w:rPr>
                <w:rFonts w:ascii="宋体" w:eastAsia="宋体" w:cs="宋体"/>
              </w:rPr>
            </w:pPr>
            <w:r>
              <w:rPr>
                <w:rFonts w:ascii="宋体" w:eastAsia="宋体" w:cs="宋体" w:hint="eastAsia"/>
              </w:rPr>
              <w:t>投标人提交的投标文件，凡是响应描述为支持的内容，等同于提供该内容。</w:t>
            </w:r>
          </w:p>
          <w:p>
            <w:pPr>
              <w:numPr>
                <w:ilvl w:val="0"/>
                <w:numId w:val="6"/>
              </w:numPr>
              <w:ind w:left="0" w:firstLine="480" w:firstLineChars="200"/>
              <w:rPr>
                <w:rFonts w:ascii="宋体" w:eastAsia="宋体" w:cs="宋体"/>
              </w:rPr>
            </w:pPr>
            <w:r>
              <w:rPr>
                <w:rFonts w:ascii="宋体" w:eastAsia="宋体" w:cs="宋体" w:hint="eastAsia"/>
              </w:rPr>
              <w:t>需求未注明的内容，以实际采购人最终需求为准。</w:t>
            </w:r>
          </w:p>
        </w:tc>
        <w:tc>
          <w:tcPr>
            <w:tcW w:w="1685" w:type="dxa"/>
            <w:noWrap/>
            <w:vAlign w:val="center"/>
          </w:tcPr>
          <w:p>
            <w:pPr>
              <w:ind w:firstLine="0"/>
              <w:jc w:val="left"/>
              <w:rPr>
                <w:rFonts w:ascii="宋体" w:eastAsia="宋体" w:cs="宋体"/>
              </w:rPr>
            </w:pPr>
            <w:r>
              <w:rPr>
                <w:rFonts w:ascii="宋体" w:eastAsia="宋体" w:cs="宋体" w:hint="eastAsia"/>
              </w:rPr>
              <w:t>是，提供《承诺函》并加盖单位公章</w:t>
            </w:r>
          </w:p>
        </w:tc>
      </w:tr>
    </w:tbl>
    <w:p>
      <w:pPr>
        <w:numPr>
          <w:ilvl w:val="0"/>
          <w:numId w:val="2"/>
        </w:numPr>
        <w:rPr>
          <w:rFonts w:ascii="宋体" w:eastAsia="宋体" w:cs="宋体" w:hint="eastAsia"/>
        </w:rPr>
      </w:pPr>
      <w:r>
        <w:rPr>
          <w:rFonts w:ascii="宋体" w:eastAsia="宋体" w:cs="宋体" w:hint="eastAsia"/>
        </w:rPr>
        <w:t>实施</w:t>
      </w:r>
      <w:bookmarkEnd w:id="44"/>
      <w:r>
        <w:rPr>
          <w:rFonts w:ascii="宋体" w:eastAsia="宋体" w:cs="宋体" w:hint="eastAsia"/>
          <w:color w:val="auto"/>
        </w:rPr>
        <w:t>要求</w:t>
      </w:r>
    </w:p>
    <w:p>
      <w:pPr>
        <w:rPr>
          <w:rFonts w:ascii="宋体" w:eastAsia="宋体"/>
          <w:color w:val="000000"/>
        </w:rPr>
      </w:pPr>
      <w:r>
        <w:rPr>
          <w:rFonts w:ascii="宋体" w:eastAsia="宋体" w:hint="eastAsia"/>
          <w:color w:val="000000"/>
        </w:rPr>
        <w:t>①★代表实质性指标，不满足该指标项将导致投标被拒绝；加 “▲”标记表示为重要指标项，无标识则表示一般指标项，如不满足将影响评分。</w:t>
      </w:r>
    </w:p>
    <w:p>
      <w:pPr>
        <w:rPr>
          <w:rFonts w:ascii="宋体" w:eastAsia="宋体"/>
          <w:color w:val="000000"/>
        </w:rPr>
      </w:pPr>
      <w:r>
        <w:rPr>
          <w:rFonts w:ascii="宋体" w:eastAsia="宋体" w:hint="eastAsia"/>
          <w:color w:val="000000"/>
        </w:rPr>
        <w:t>②“证明材料要求”项可填“是”和“否”。填“是”的，投标人须按“实施标准”提供相关证明材料。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shd w:val="clear" w:color="auto" w:fill="BEBEBE"/>
            <w:noWrap/>
          </w:tcPr>
          <w:p>
            <w:pPr>
              <w:ind w:firstLine="0"/>
              <w:jc w:val="center"/>
              <w:rPr>
                <w:rFonts w:ascii="宋体" w:eastAsia="宋体" w:cs="宋体"/>
                <w:b/>
              </w:rPr>
            </w:pPr>
            <w:r>
              <w:rPr>
                <w:rFonts w:ascii="宋体" w:eastAsia="宋体" w:cs="宋体" w:hint="eastAsia"/>
                <w:b/>
              </w:rPr>
              <w:t>序号</w:t>
            </w:r>
          </w:p>
        </w:tc>
        <w:tc>
          <w:tcPr>
            <w:tcW w:w="1140" w:type="dxa"/>
            <w:shd w:val="clear" w:color="auto" w:fill="BEBEBE"/>
            <w:noWrap/>
          </w:tcPr>
          <w:p>
            <w:pPr>
              <w:ind w:firstLine="0"/>
              <w:jc w:val="center"/>
              <w:rPr>
                <w:rFonts w:ascii="宋体" w:eastAsia="宋体" w:cs="宋体"/>
                <w:b/>
              </w:rPr>
            </w:pPr>
            <w:r>
              <w:rPr>
                <w:rFonts w:ascii="宋体" w:eastAsia="宋体" w:cs="宋体" w:hint="eastAsia"/>
                <w:b/>
              </w:rPr>
              <w:t>内容</w:t>
            </w:r>
          </w:p>
        </w:tc>
        <w:tc>
          <w:tcPr>
            <w:tcW w:w="1196" w:type="dxa"/>
            <w:shd w:val="clear" w:color="auto" w:fill="BEBEBE"/>
            <w:noWrap/>
          </w:tcPr>
          <w:p>
            <w:pPr>
              <w:ind w:firstLine="0"/>
              <w:jc w:val="center"/>
              <w:rPr>
                <w:rFonts w:ascii="宋体" w:eastAsia="宋体" w:cs="宋体"/>
                <w:b/>
              </w:rPr>
            </w:pPr>
            <w:r>
              <w:rPr>
                <w:rFonts w:ascii="宋体" w:eastAsia="宋体" w:cs="宋体" w:hint="eastAsia"/>
                <w:b/>
              </w:rPr>
              <w:t>重要性</w:t>
            </w:r>
          </w:p>
        </w:tc>
        <w:tc>
          <w:tcPr>
            <w:tcW w:w="3690" w:type="dxa"/>
            <w:shd w:val="clear" w:color="auto" w:fill="BEBEBE"/>
            <w:noWrap/>
          </w:tcPr>
          <w:p>
            <w:pPr>
              <w:ind w:firstLine="0"/>
              <w:jc w:val="center"/>
              <w:rPr>
                <w:rFonts w:ascii="宋体" w:eastAsia="宋体" w:cs="宋体"/>
                <w:b/>
              </w:rPr>
            </w:pPr>
            <w:bookmarkStart w:id="45" w:name="实施方案_Title_实施标准_Required_Table"/>
            <w:r>
              <w:rPr>
                <w:rFonts w:ascii="宋体" w:eastAsia="宋体" w:cs="宋体" w:hint="eastAsia"/>
                <w:b/>
              </w:rPr>
              <w:t>实施标准</w:t>
            </w:r>
            <w:bookmarkEnd w:id="45"/>
          </w:p>
        </w:tc>
        <w:tc>
          <w:tcPr>
            <w:tcW w:w="1685" w:type="dxa"/>
            <w:shd w:val="clear" w:color="auto" w:fill="BEBEBE"/>
            <w:noWrap/>
          </w:tcPr>
          <w:p>
            <w:pPr>
              <w:ind w:firstLine="0"/>
              <w:jc w:val="center"/>
              <w:rPr>
                <w:rFonts w:ascii="宋体" w:eastAsia="宋体" w:cs="宋体"/>
                <w:b/>
              </w:rPr>
            </w:pPr>
            <w:bookmarkStart w:id="46" w:name="实施方案_Title_证明材料要求_Required_Table"/>
            <w:r>
              <w:rPr>
                <w:rFonts w:ascii="宋体" w:eastAsia="宋体" w:cs="宋体" w:hint="eastAsia"/>
                <w:b/>
              </w:rPr>
              <w:t>证明材料要求</w:t>
            </w:r>
            <w:bookmarkEnd w:id="46"/>
          </w:p>
        </w:tc>
      </w:tr>
      <w:tr>
        <w:tblPrEx>
          <w:tblW w:w="8519" w:type="dxa"/>
          <w:jc w:val="left"/>
          <w:tblInd w:w="0" w:type="dxa"/>
          <w:tblLayout w:type="fixed"/>
          <w:tblCellMar>
            <w:top w:w="0" w:type="dxa"/>
            <w:left w:w="108" w:type="dxa"/>
            <w:bottom w:w="0" w:type="dxa"/>
            <w:right w:w="108" w:type="dxa"/>
          </w:tblCellMar>
        </w:tblPrEx>
        <w:trPr>
          <w:trHeight w:val="404"/>
          <w:jc w:val="left"/>
        </w:trPr>
        <w:tc>
          <w:tcPr>
            <w:tcW w:w="808" w:type="dxa"/>
            <w:noWrap/>
            <w:vAlign w:val="center"/>
          </w:tcPr>
          <w:p>
            <w:pPr>
              <w:spacing w:line="240" w:lineRule="auto"/>
              <w:ind w:firstLine="0"/>
              <w:jc w:val="center"/>
              <w:rPr>
                <w:rFonts w:ascii="宋体" w:eastAsia="宋体" w:cs="宋体"/>
              </w:rPr>
            </w:pPr>
            <w:r>
              <w:rPr>
                <w:rFonts w:ascii="宋体" w:eastAsia="宋体" w:cs="宋体" w:hint="eastAsia"/>
              </w:rPr>
              <w:t>1</w:t>
            </w:r>
          </w:p>
        </w:tc>
        <w:tc>
          <w:tcPr>
            <w:tcW w:w="1140"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r>
              <w:rPr>
                <w:rFonts w:ascii="宋体" w:eastAsia="宋体" w:cs="宋体" w:hint="eastAsia"/>
              </w:rPr>
              <w:t>项目实施过程控制</w:t>
            </w: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r>
              <w:rPr>
                <w:rFonts w:ascii="宋体" w:eastAsia="宋体" w:hint="eastAsia"/>
              </w:rPr>
              <w:t>▲</w:t>
            </w:r>
          </w:p>
        </w:tc>
        <w:tc>
          <w:tcPr>
            <w:tcW w:w="3690" w:type="dxa"/>
            <w:tcBorders>
              <w:top w:val="single" w:sz="4" w:space="0" w:color="auto"/>
              <w:left w:val="single" w:sz="4" w:space="0" w:color="auto"/>
              <w:right w:val="single" w:sz="4" w:space="0" w:color="auto"/>
            </w:tcBorders>
            <w:noWrap/>
          </w:tcPr>
          <w:p>
            <w:pPr>
              <w:ind w:firstLine="480" w:firstLineChars="200"/>
              <w:rPr>
                <w:rFonts w:ascii="宋体" w:eastAsia="宋体" w:cs="宋体"/>
              </w:rPr>
            </w:pPr>
            <w:r>
              <w:rPr>
                <w:rFonts w:ascii="宋体" w:eastAsia="宋体" w:cs="宋体" w:hint="eastAsia"/>
              </w:rPr>
              <w:t>投标人应在项目实施过程中，承诺做到：服从采购人的组织、协调；按海关相应的技术、管理等规范要求开展工作。根据工程进展及时向采购人报审工程文档；每周三提交项目周报。</w:t>
            </w:r>
          </w:p>
          <w:p>
            <w:pPr>
              <w:ind w:firstLine="480" w:firstLineChars="200"/>
              <w:rPr>
                <w:rFonts w:ascii="宋体" w:eastAsia="宋体" w:cs="宋体"/>
              </w:rPr>
            </w:pPr>
            <w:r>
              <w:rPr>
                <w:rFonts w:ascii="宋体" w:eastAsia="宋体" w:cs="宋体" w:hint="eastAsia"/>
              </w:rPr>
              <w:t>定期将工程实际进度和资源投入（人力、设备材料、工具）情况报送采购人。</w:t>
            </w:r>
          </w:p>
        </w:tc>
        <w:tc>
          <w:tcPr>
            <w:tcW w:w="1685" w:type="dxa"/>
            <w:noWrap/>
            <w:vAlign w:val="center"/>
          </w:tcPr>
          <w:p>
            <w:pPr>
              <w:spacing w:line="240" w:lineRule="auto"/>
              <w:ind w:firstLine="0"/>
              <w:jc w:val="cente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3638"/>
          <w:jc w:val="left"/>
        </w:trPr>
        <w:tc>
          <w:tcPr>
            <w:tcW w:w="808" w:type="dxa"/>
            <w:noWrap/>
            <w:vAlign w:val="center"/>
          </w:tcPr>
          <w:p>
            <w:pPr>
              <w:spacing w:line="240" w:lineRule="auto"/>
              <w:ind w:firstLine="0"/>
              <w:jc w:val="center"/>
              <w:rPr>
                <w:rFonts w:ascii="宋体" w:eastAsia="宋体" w:cs="宋体"/>
              </w:rPr>
            </w:pPr>
            <w:r>
              <w:rPr>
                <w:rFonts w:ascii="宋体" w:eastAsia="宋体" w:cs="宋体" w:hint="eastAsia"/>
              </w:rPr>
              <w:t>2</w:t>
            </w:r>
          </w:p>
        </w:tc>
        <w:tc>
          <w:tcPr>
            <w:tcW w:w="1140"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r>
              <w:rPr>
                <w:rFonts w:ascii="宋体" w:eastAsia="宋体" w:cs="宋体" w:hint="eastAsia"/>
              </w:rPr>
              <w:t>项目实施过程文档管理</w:t>
            </w:r>
          </w:p>
        </w:tc>
        <w:tc>
          <w:tcPr>
            <w:tcW w:w="1196" w:type="dxa"/>
            <w:tcBorders>
              <w:top w:val="single" w:sz="4" w:space="0" w:color="auto"/>
              <w:left w:val="single" w:sz="4" w:space="0" w:color="auto"/>
              <w:right w:val="single" w:sz="4" w:space="0" w:color="auto"/>
            </w:tcBorders>
            <w:noWrap/>
            <w:vAlign w:val="center"/>
          </w:tcPr>
          <w:p>
            <w:pPr>
              <w:spacing w:line="240" w:lineRule="auto"/>
              <w:ind w:firstLine="0"/>
              <w:jc w:val="center"/>
              <w:rPr>
                <w:rFonts w:ascii="宋体" w:eastAsia="宋体" w:cs="宋体"/>
              </w:rPr>
            </w:pPr>
          </w:p>
        </w:tc>
        <w:tc>
          <w:tcPr>
            <w:tcW w:w="3690" w:type="dxa"/>
            <w:tcBorders>
              <w:top w:val="single" w:sz="4" w:space="0" w:color="auto"/>
              <w:left w:val="single" w:sz="4" w:space="0" w:color="auto"/>
              <w:right w:val="single" w:sz="4" w:space="0" w:color="auto"/>
            </w:tcBorders>
            <w:noWrap/>
          </w:tcPr>
          <w:p>
            <w:pPr>
              <w:tabs>
                <w:tab w:val="left" w:pos="709"/>
              </w:tabs>
              <w:spacing w:line="440" w:lineRule="exact"/>
              <w:ind w:firstLine="464"/>
              <w:rPr>
                <w:rFonts w:ascii="宋体" w:eastAsia="宋体" w:cs="宋体"/>
              </w:rPr>
            </w:pPr>
            <w:r>
              <w:rPr>
                <w:rFonts w:ascii="宋体" w:eastAsia="宋体" w:cs="宋体" w:hint="eastAsia"/>
              </w:rPr>
              <w:t>1、要求投标人的设计方案包含概要设计、详细设计以及数据库设计，方案的内容需符合海关相应的管理标准。</w:t>
            </w:r>
          </w:p>
          <w:p>
            <w:pPr>
              <w:tabs>
                <w:tab w:val="left" w:pos="709"/>
              </w:tabs>
              <w:spacing w:line="440" w:lineRule="exact"/>
              <w:ind w:firstLine="464"/>
              <w:rPr>
                <w:rFonts w:ascii="宋体" w:eastAsia="宋体" w:cs="宋体"/>
              </w:rPr>
            </w:pPr>
            <w:r>
              <w:rPr>
                <w:rFonts w:ascii="宋体" w:eastAsia="宋体" w:cs="宋体" w:hint="eastAsia"/>
              </w:rPr>
              <w:t>2、投标人必须提供但不限于以下文档：需求文档、设计文档、测试文档、部署文档、操作手册等文档。</w:t>
            </w:r>
          </w:p>
        </w:tc>
        <w:tc>
          <w:tcPr>
            <w:tcW w:w="1685" w:type="dxa"/>
            <w:noWrap/>
            <w:vAlign w:val="center"/>
          </w:tcPr>
          <w:p>
            <w:pPr>
              <w:spacing w:line="240" w:lineRule="auto"/>
              <w:ind w:firstLine="0"/>
              <w:jc w:val="cente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ind w:firstLine="0"/>
              <w:jc w:val="center"/>
              <w:rPr>
                <w:rFonts w:ascii="宋体" w:eastAsia="宋体" w:cs="宋体"/>
              </w:rPr>
            </w:pPr>
            <w:r>
              <w:rPr>
                <w:rFonts w:ascii="宋体" w:eastAsia="宋体" w:cs="宋体" w:hint="eastAsia"/>
              </w:rPr>
              <w:t>3</w:t>
            </w: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项目实施组织架构</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p>
        </w:tc>
        <w:tc>
          <w:tcPr>
            <w:tcW w:w="3690" w:type="dxa"/>
            <w:tcBorders>
              <w:top w:val="single" w:sz="4" w:space="0" w:color="auto"/>
              <w:left w:val="single" w:sz="4" w:space="0" w:color="auto"/>
              <w:right w:val="single" w:sz="4" w:space="0" w:color="auto"/>
            </w:tcBorders>
            <w:noWrap/>
          </w:tcPr>
          <w:p>
            <w:pPr>
              <w:ind w:firstLine="0"/>
              <w:rPr>
                <w:rFonts w:ascii="宋体" w:eastAsia="宋体" w:cs="宋体"/>
              </w:rPr>
            </w:pPr>
            <w:r>
              <w:rPr>
                <w:rFonts w:ascii="宋体" w:eastAsia="宋体" w:cs="宋体" w:hint="eastAsia"/>
              </w:rPr>
              <w:t>投标人应负责提出本项目实施的人员配置方案，人员配置要求：项目组成员及角色设置合理。</w:t>
            </w:r>
          </w:p>
        </w:tc>
        <w:tc>
          <w:tcPr>
            <w:tcW w:w="1685" w:type="dxa"/>
            <w:noWrap/>
            <w:vAlign w:val="center"/>
          </w:tcPr>
          <w:p>
            <w:pPr>
              <w:ind w:firstLine="0"/>
              <w:jc w:val="cente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395"/>
          <w:jc w:val="left"/>
        </w:trPr>
        <w:tc>
          <w:tcPr>
            <w:tcW w:w="808" w:type="dxa"/>
            <w:noWrap/>
            <w:vAlign w:val="center"/>
          </w:tcPr>
          <w:p>
            <w:pPr>
              <w:ind w:firstLine="0"/>
              <w:jc w:val="center"/>
              <w:rPr>
                <w:rFonts w:ascii="宋体" w:eastAsia="宋体" w:cs="宋体"/>
              </w:rPr>
            </w:pPr>
            <w:r>
              <w:rPr>
                <w:rFonts w:ascii="宋体" w:eastAsia="宋体" w:cs="宋体" w:hint="eastAsia"/>
              </w:rPr>
              <w:t>4</w:t>
            </w: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项目实施进度安排</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color w:val="000000"/>
              </w:rPr>
              <w:t>★</w:t>
            </w:r>
          </w:p>
        </w:tc>
        <w:tc>
          <w:tcPr>
            <w:tcW w:w="3690" w:type="dxa"/>
            <w:tcBorders>
              <w:top w:val="single" w:sz="4" w:space="0" w:color="auto"/>
              <w:left w:val="single" w:sz="4" w:space="0" w:color="auto"/>
              <w:right w:val="single" w:sz="4" w:space="0" w:color="auto"/>
            </w:tcBorders>
            <w:noWrap/>
          </w:tcPr>
          <w:p>
            <w:pPr>
              <w:tabs>
                <w:tab w:val="left" w:pos="709"/>
              </w:tabs>
              <w:spacing w:line="440" w:lineRule="exact"/>
              <w:ind w:firstLine="464"/>
              <w:rPr>
                <w:rFonts w:ascii="宋体" w:eastAsia="宋体" w:cs="宋体"/>
              </w:rPr>
            </w:pPr>
            <w:r>
              <w:rPr>
                <w:rFonts w:ascii="宋体" w:eastAsia="宋体" w:cs="宋体" w:hint="eastAsia"/>
              </w:rPr>
              <w:t>本项目的建设工期为 10个月，各阶段工作安排如下</w:t>
            </w:r>
            <w:r>
              <w:rPr>
                <w:rFonts w:ascii="宋体" w:eastAsia="宋体" w:cs="宋体" w:hint="eastAsia"/>
                <w:lang w:eastAsia="zh-CN"/>
              </w:rPr>
              <w:t>：</w:t>
            </w:r>
          </w:p>
          <w:p>
            <w:pPr>
              <w:tabs>
                <w:tab w:val="left" w:pos="709"/>
              </w:tabs>
              <w:spacing w:line="440" w:lineRule="exact"/>
              <w:ind w:firstLine="464"/>
              <w:rPr>
                <w:rFonts w:ascii="宋体" w:eastAsia="宋体" w:cs="宋体"/>
              </w:rPr>
            </w:pPr>
            <w:r>
              <w:rPr>
                <w:rFonts w:ascii="宋体" w:eastAsia="宋体" w:cs="宋体" w:hint="eastAsia"/>
              </w:rPr>
              <w:t>需求分析（方案设计）</w:t>
            </w:r>
            <w:r>
              <w:rPr>
                <w:rFonts w:ascii="宋体" w:eastAsia="宋体" w:cs="宋体" w:hint="eastAsia"/>
                <w:lang w:eastAsia="zh-CN"/>
              </w:rPr>
              <w:t>：</w:t>
            </w:r>
            <w:r>
              <w:rPr>
                <w:rFonts w:ascii="宋体" w:eastAsia="宋体" w:cs="宋体" w:hint="eastAsia"/>
              </w:rPr>
              <w:t>工期1个月，合同签订后1个月完成。</w:t>
            </w:r>
          </w:p>
          <w:p>
            <w:pPr>
              <w:tabs>
                <w:tab w:val="left" w:pos="709"/>
              </w:tabs>
              <w:spacing w:line="440" w:lineRule="exact"/>
              <w:ind w:firstLine="464"/>
              <w:rPr>
                <w:rFonts w:ascii="宋体" w:eastAsia="宋体" w:cs="宋体"/>
              </w:rPr>
            </w:pPr>
            <w:r>
              <w:rPr>
                <w:rFonts w:ascii="宋体" w:eastAsia="宋体" w:cs="宋体" w:hint="eastAsia"/>
              </w:rPr>
              <w:t>开发测试</w:t>
            </w:r>
            <w:r>
              <w:rPr>
                <w:rFonts w:ascii="宋体" w:eastAsia="宋体" w:cs="宋体" w:hint="eastAsia"/>
                <w:lang w:eastAsia="zh-CN"/>
              </w:rPr>
              <w:t>：</w:t>
            </w:r>
            <w:r>
              <w:rPr>
                <w:rFonts w:ascii="宋体" w:eastAsia="宋体" w:cs="宋体" w:hint="eastAsia"/>
              </w:rPr>
              <w:t>工期6个月，合同签订后7个月完成；</w:t>
            </w:r>
          </w:p>
          <w:p>
            <w:pPr>
              <w:tabs>
                <w:tab w:val="left" w:pos="709"/>
              </w:tabs>
              <w:spacing w:line="440" w:lineRule="exact"/>
              <w:ind w:firstLine="464"/>
              <w:rPr>
                <w:rFonts w:ascii="宋体" w:eastAsia="宋体" w:cs="宋体"/>
              </w:rPr>
            </w:pPr>
            <w:r>
              <w:rPr>
                <w:rFonts w:ascii="宋体" w:eastAsia="宋体" w:cs="宋体" w:hint="eastAsia"/>
              </w:rPr>
              <w:t>联调测试</w:t>
            </w:r>
            <w:r>
              <w:rPr>
                <w:rFonts w:ascii="宋体" w:eastAsia="宋体" w:cs="宋体" w:hint="eastAsia"/>
                <w:lang w:eastAsia="zh-CN"/>
              </w:rPr>
              <w:t>（</w:t>
            </w:r>
            <w:r>
              <w:rPr>
                <w:rFonts w:ascii="宋体" w:eastAsia="宋体" w:cs="宋体" w:hint="eastAsia"/>
              </w:rPr>
              <w:t>含业务测试</w:t>
            </w:r>
            <w:r>
              <w:rPr>
                <w:rFonts w:ascii="宋体" w:eastAsia="宋体" w:cs="宋体" w:hint="eastAsia"/>
                <w:lang w:eastAsia="zh-CN"/>
              </w:rPr>
              <w:t>）：</w:t>
            </w:r>
            <w:r>
              <w:rPr>
                <w:rFonts w:ascii="宋体" w:eastAsia="宋体" w:cs="宋体" w:hint="eastAsia"/>
              </w:rPr>
              <w:t>工期1个月，合同签订后8个月完成；</w:t>
            </w:r>
          </w:p>
          <w:p>
            <w:pPr>
              <w:tabs>
                <w:tab w:val="left" w:pos="709"/>
              </w:tabs>
              <w:spacing w:line="440" w:lineRule="exact"/>
              <w:ind w:firstLine="464"/>
              <w:rPr>
                <w:rFonts w:ascii="宋体" w:eastAsia="宋体" w:cs="宋体"/>
              </w:rPr>
            </w:pPr>
            <w:r>
              <w:rPr>
                <w:rFonts w:ascii="宋体" w:eastAsia="宋体" w:cs="宋体" w:hint="eastAsia"/>
              </w:rPr>
              <w:t>部署上线</w:t>
            </w:r>
            <w:r>
              <w:rPr>
                <w:rFonts w:ascii="宋体" w:eastAsia="宋体" w:cs="宋体" w:hint="eastAsia"/>
                <w:lang w:eastAsia="zh-CN"/>
              </w:rPr>
              <w:t>：</w:t>
            </w:r>
            <w:r>
              <w:rPr>
                <w:rFonts w:ascii="宋体" w:eastAsia="宋体" w:cs="宋体" w:hint="eastAsia"/>
              </w:rPr>
              <w:t>工期1个月，合同签订后9个月完成；</w:t>
            </w:r>
          </w:p>
          <w:p>
            <w:pPr>
              <w:tabs>
                <w:tab w:val="left" w:pos="709"/>
              </w:tabs>
              <w:spacing w:line="440" w:lineRule="exact"/>
              <w:ind w:firstLine="464"/>
              <w:rPr>
                <w:rFonts w:ascii="宋体" w:eastAsia="宋体" w:cs="宋体"/>
              </w:rPr>
            </w:pPr>
            <w:r>
              <w:rPr>
                <w:rFonts w:ascii="宋体" w:eastAsia="宋体" w:cs="宋体" w:hint="eastAsia"/>
              </w:rPr>
              <w:t>试运行：工期1个月，合同签订后10个月内完成。</w:t>
            </w:r>
          </w:p>
        </w:tc>
        <w:tc>
          <w:tcPr>
            <w:tcW w:w="1685" w:type="dxa"/>
            <w:noWrap/>
            <w:vAlign w:val="center"/>
          </w:tcPr>
          <w:p>
            <w:pPr>
              <w:ind w:firstLine="0"/>
              <w:rPr>
                <w:rFonts w:ascii="宋体" w:eastAsia="宋体" w:cs="宋体"/>
              </w:rPr>
            </w:pPr>
            <w:r>
              <w:rPr>
                <w:rFonts w:ascii="宋体" w:eastAsia="宋体"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noWrap/>
            <w:vAlign w:val="center"/>
          </w:tcPr>
          <w:p>
            <w:pPr>
              <w:ind w:firstLine="0"/>
              <w:jc w:val="center"/>
              <w:rPr>
                <w:rFonts w:ascii="宋体" w:eastAsia="宋体" w:cs="宋体"/>
              </w:rPr>
            </w:pPr>
            <w:r>
              <w:rPr>
                <w:rFonts w:ascii="宋体" w:eastAsia="宋体" w:cs="宋体" w:hint="eastAsia"/>
              </w:rPr>
              <w:t>5</w:t>
            </w: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项目安装过程安排</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p>
        </w:tc>
        <w:tc>
          <w:tcPr>
            <w:tcW w:w="3690" w:type="dxa"/>
            <w:tcBorders>
              <w:top w:val="single" w:sz="4" w:space="0" w:color="auto"/>
              <w:left w:val="single" w:sz="4" w:space="0" w:color="auto"/>
              <w:right w:val="single" w:sz="4" w:space="0" w:color="auto"/>
            </w:tcBorders>
            <w:noWrap/>
          </w:tcPr>
          <w:p>
            <w:pPr>
              <w:tabs>
                <w:tab w:val="left" w:pos="709"/>
              </w:tabs>
              <w:spacing w:line="440" w:lineRule="exact"/>
              <w:ind w:firstLine="464"/>
              <w:rPr>
                <w:rFonts w:ascii="宋体" w:eastAsia="宋体" w:cs="宋体"/>
                <w:spacing w:val="-4"/>
              </w:rPr>
            </w:pPr>
            <w:r>
              <w:rPr>
                <w:rFonts w:ascii="宋体" w:eastAsia="宋体" w:cs="宋体" w:hint="eastAsia"/>
              </w:rPr>
              <w:t>开发测试完成后，根据采购人安排，规定时间内完成联调测试和系统部署。</w:t>
            </w:r>
          </w:p>
        </w:tc>
        <w:tc>
          <w:tcPr>
            <w:tcW w:w="1685" w:type="dxa"/>
            <w:noWrap/>
            <w:vAlign w:val="center"/>
          </w:tcPr>
          <w:p>
            <w:pP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514"/>
          <w:jc w:val="left"/>
        </w:trPr>
        <w:tc>
          <w:tcPr>
            <w:tcW w:w="808" w:type="dxa"/>
            <w:noWrap/>
            <w:vAlign w:val="center"/>
          </w:tcPr>
          <w:p>
            <w:pPr>
              <w:ind w:firstLine="0"/>
              <w:jc w:val="center"/>
              <w:rPr>
                <w:rFonts w:ascii="宋体" w:eastAsia="宋体" w:cs="宋体"/>
              </w:rPr>
            </w:pPr>
            <w:r>
              <w:rPr>
                <w:rFonts w:ascii="宋体" w:eastAsia="宋体" w:cs="宋体" w:hint="eastAsia"/>
              </w:rPr>
              <w:t>6</w:t>
            </w: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项目验收安排</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tcPr>
          <w:p>
            <w:pPr>
              <w:rPr>
                <w:rFonts w:ascii="宋体" w:eastAsia="宋体" w:cs="宋体"/>
              </w:rPr>
            </w:pPr>
            <w:r>
              <w:rPr>
                <w:rFonts w:ascii="宋体" w:eastAsia="宋体" w:cs="宋体" w:hint="eastAsia"/>
              </w:rPr>
              <w:t>具体验收由采购人组织相关业务、技术专家进行评审。</w:t>
            </w:r>
          </w:p>
          <w:p>
            <w:pPr>
              <w:rPr>
                <w:rFonts w:ascii="宋体" w:eastAsia="宋体" w:cs="宋体"/>
              </w:rPr>
            </w:pPr>
            <w:r>
              <w:rPr>
                <w:rFonts w:ascii="宋体" w:eastAsia="宋体" w:cs="宋体" w:hint="eastAsia"/>
              </w:rPr>
              <w:t>1、投标人需承诺协助为验收提供相关服务：</w:t>
            </w:r>
          </w:p>
          <w:p>
            <w:pPr>
              <w:ind w:firstLine="480" w:firstLineChars="200"/>
              <w:rPr>
                <w:rFonts w:ascii="宋体" w:eastAsia="宋体" w:cs="宋体"/>
              </w:rPr>
            </w:pPr>
            <w:r>
              <w:rPr>
                <w:rFonts w:ascii="宋体" w:eastAsia="宋体" w:cs="宋体" w:hint="eastAsia"/>
              </w:rPr>
              <w:t>系统试运行1个月后，由中标人申请合同验收。</w:t>
            </w:r>
          </w:p>
          <w:p>
            <w:pPr>
              <w:rPr>
                <w:rFonts w:ascii="宋体" w:eastAsia="宋体" w:cs="宋体"/>
              </w:rPr>
            </w:pPr>
            <w:r>
              <w:rPr>
                <w:rFonts w:ascii="宋体" w:eastAsia="宋体" w:cs="宋体" w:hint="eastAsia"/>
              </w:rPr>
              <w:t>配合整体项目竣工验收。</w:t>
            </w:r>
          </w:p>
          <w:p>
            <w:pPr>
              <w:rPr>
                <w:rFonts w:ascii="宋体" w:eastAsia="宋体" w:cs="宋体"/>
              </w:rPr>
            </w:pPr>
            <w:r>
              <w:rPr>
                <w:rFonts w:ascii="宋体" w:eastAsia="宋体" w:cs="宋体" w:hint="eastAsia"/>
              </w:rPr>
              <w:t>2、系统验收合格的条件必须至少满足以下要求：</w:t>
            </w:r>
          </w:p>
          <w:p>
            <w:pPr>
              <w:rPr>
                <w:rFonts w:ascii="宋体" w:eastAsia="宋体" w:cs="宋体"/>
              </w:rPr>
            </w:pPr>
            <w:r>
              <w:rPr>
                <w:rFonts w:ascii="宋体" w:eastAsia="宋体" w:cs="宋体" w:hint="eastAsia"/>
              </w:rPr>
              <w:t>系统上线运行时功能、性能满足国家相关标准、合同和实施方案的要求；</w:t>
            </w:r>
          </w:p>
          <w:p>
            <w:pPr>
              <w:rPr>
                <w:rFonts w:ascii="宋体" w:eastAsia="宋体" w:cs="宋体"/>
              </w:rPr>
            </w:pPr>
            <w:r>
              <w:rPr>
                <w:rFonts w:ascii="宋体" w:eastAsia="宋体" w:cs="宋体" w:hint="eastAsia"/>
              </w:rPr>
              <w:t>系统总体功能、性能测试和试运行验收时出现的问题已被解决；</w:t>
            </w:r>
          </w:p>
          <w:p>
            <w:pPr>
              <w:rPr>
                <w:rFonts w:ascii="宋体" w:eastAsia="宋体" w:cs="宋体"/>
              </w:rPr>
            </w:pPr>
            <w:r>
              <w:rPr>
                <w:rFonts w:ascii="宋体" w:eastAsia="宋体" w:cs="宋体" w:hint="eastAsia"/>
              </w:rPr>
              <w:t>已提供合同规定的全部资料和软件；</w:t>
            </w:r>
          </w:p>
          <w:p>
            <w:pPr>
              <w:ind w:firstLine="480" w:firstLineChars="200"/>
              <w:rPr>
                <w:rFonts w:ascii="宋体" w:eastAsia="宋体" w:cs="宋体"/>
              </w:rPr>
            </w:pPr>
            <w:r>
              <w:rPr>
                <w:rFonts w:ascii="宋体" w:eastAsia="宋体" w:cs="宋体" w:hint="eastAsia"/>
              </w:rPr>
              <w:t>移交与本项目有关的相关技术资料。项目成果以及由此形成的知识产权属海关所有，包括文档资料和程序等。</w:t>
            </w:r>
          </w:p>
        </w:tc>
        <w:tc>
          <w:tcPr>
            <w:tcW w:w="1685" w:type="dxa"/>
            <w:noWrap/>
            <w:vAlign w:val="center"/>
          </w:tcPr>
          <w:p>
            <w:pPr>
              <w:ind w:firstLine="0"/>
              <w:jc w:val="center"/>
              <w:rPr>
                <w:rFonts w:ascii="宋体" w:eastAsia="宋体" w:cs="宋体"/>
              </w:rPr>
            </w:pPr>
            <w:r>
              <w:rPr>
                <w:rFonts w:ascii="宋体" w:eastAsia="宋体" w:cs="宋体" w:hint="eastAsia"/>
              </w:rPr>
              <w:t>否</w:t>
            </w:r>
          </w:p>
        </w:tc>
      </w:tr>
      <w:tr>
        <w:tblPrEx>
          <w:tblW w:w="8519" w:type="dxa"/>
          <w:jc w:val="left"/>
          <w:tblInd w:w="0" w:type="dxa"/>
          <w:tblLayout w:type="fixed"/>
          <w:tblCellMar>
            <w:top w:w="0" w:type="dxa"/>
            <w:left w:w="108" w:type="dxa"/>
            <w:bottom w:w="0" w:type="dxa"/>
            <w:right w:w="108" w:type="dxa"/>
          </w:tblCellMar>
        </w:tblPrEx>
        <w:trPr>
          <w:trHeight w:val="514"/>
          <w:jc w:val="left"/>
        </w:trPr>
        <w:tc>
          <w:tcPr>
            <w:tcW w:w="808" w:type="dxa"/>
            <w:noWrap/>
            <w:vAlign w:val="center"/>
          </w:tcPr>
          <w:p>
            <w:pPr>
              <w:ind w:firstLine="0"/>
              <w:jc w:val="center"/>
              <w:rPr>
                <w:rFonts w:ascii="宋体" w:eastAsia="宋体" w:cs="宋体"/>
              </w:rPr>
            </w:pPr>
            <w:r>
              <w:rPr>
                <w:rFonts w:ascii="宋体" w:eastAsia="宋体" w:cs="宋体" w:hint="eastAsia"/>
              </w:rPr>
              <w:t>7</w:t>
            </w:r>
          </w:p>
        </w:tc>
        <w:tc>
          <w:tcPr>
            <w:tcW w:w="1140"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交付或实施地点</w:t>
            </w:r>
          </w:p>
        </w:tc>
        <w:tc>
          <w:tcPr>
            <w:tcW w:w="1196" w:type="dxa"/>
            <w:tcBorders>
              <w:top w:val="single" w:sz="4" w:space="0" w:color="auto"/>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w:t>
            </w:r>
          </w:p>
        </w:tc>
        <w:tc>
          <w:tcPr>
            <w:tcW w:w="3690" w:type="dxa"/>
            <w:tcBorders>
              <w:top w:val="single" w:sz="4" w:space="0" w:color="auto"/>
              <w:left w:val="single" w:sz="4" w:space="0" w:color="auto"/>
              <w:right w:val="single" w:sz="4" w:space="0" w:color="auto"/>
            </w:tcBorders>
            <w:noWrap/>
            <w:vAlign w:val="center"/>
          </w:tcPr>
          <w:p>
            <w:pPr>
              <w:ind w:firstLine="480" w:firstLineChars="200"/>
              <w:jc w:val="both"/>
              <w:rPr>
                <w:rFonts w:ascii="宋体" w:eastAsia="宋体" w:cs="宋体"/>
              </w:rPr>
            </w:pPr>
            <w:r>
              <w:rPr>
                <w:rFonts w:ascii="宋体" w:eastAsia="宋体" w:cs="宋体" w:hint="eastAsia"/>
              </w:rPr>
              <w:t>大连、北京或海关指定地址。</w:t>
            </w:r>
          </w:p>
        </w:tc>
        <w:tc>
          <w:tcPr>
            <w:tcW w:w="1685" w:type="dxa"/>
            <w:noWrap/>
            <w:vAlign w:val="center"/>
          </w:tcPr>
          <w:p>
            <w:pPr>
              <w:ind w:firstLine="0"/>
              <w:jc w:val="left"/>
              <w:rPr>
                <w:rFonts w:ascii="宋体" w:eastAsia="宋体" w:cs="宋体"/>
              </w:rPr>
            </w:pPr>
            <w:r>
              <w:rPr>
                <w:rFonts w:ascii="宋体" w:eastAsia="宋体" w:cs="宋体" w:hint="eastAsia"/>
              </w:rPr>
              <w:t>是，提供《承诺函》并加盖单位公章</w:t>
            </w:r>
          </w:p>
        </w:tc>
      </w:tr>
    </w:tbl>
    <w:p>
      <w:pPr>
        <w:rPr>
          <w:rFonts w:ascii="宋体" w:eastAsia="宋体" w:cs="宋体"/>
        </w:rPr>
      </w:pPr>
    </w:p>
    <w:p>
      <w:pPr>
        <w:rPr>
          <w:rFonts w:ascii="宋体" w:eastAsia="宋体" w:cs="宋体"/>
          <w:color w:val="auto"/>
        </w:rPr>
      </w:pPr>
    </w:p>
    <w:p>
      <w:pPr>
        <w:numPr>
          <w:ilvl w:val="0"/>
          <w:numId w:val="2"/>
        </w:numPr>
        <w:rPr>
          <w:rFonts w:ascii="宋体" w:eastAsia="宋体" w:cs="宋体" w:hint="eastAsia"/>
        </w:rPr>
      </w:pPr>
      <w:r>
        <w:rPr>
          <w:rFonts w:ascii="宋体" w:eastAsia="宋体" w:cs="宋体" w:hint="eastAsia"/>
        </w:rPr>
        <w:t>其它内容</w:t>
      </w:r>
    </w:p>
    <w:p>
      <w:pPr>
        <w:rPr>
          <w:rFonts w:ascii="宋体" w:eastAsia="宋体" w:cs="宋体" w:hint="eastAsia"/>
          <w:lang w:val="en-US" w:eastAsia="zh-CN"/>
        </w:rPr>
      </w:pPr>
      <w:r>
        <w:rPr>
          <w:rFonts w:ascii="宋体" w:eastAsia="宋体" w:cs="宋体" w:hint="eastAsia"/>
        </w:rPr>
        <w:t>1.业绩要求</w:t>
      </w:r>
      <w:r>
        <w:rPr>
          <w:rFonts w:ascii="宋体" w:eastAsia="宋体" w:cs="宋体" w:hint="eastAsia"/>
          <w:lang w:eastAsia="zh-CN"/>
        </w:rPr>
        <w:t>。</w:t>
      </w:r>
    </w:p>
    <w:p>
      <w:pPr>
        <w:rPr>
          <w:rFonts w:ascii="宋体" w:cs="宋体"/>
          <w:color w:val="000000"/>
        </w:rPr>
      </w:pPr>
      <w:r>
        <w:rPr>
          <w:rFonts w:ascii="宋体" w:cs="宋体"/>
          <w:color w:val="000000"/>
        </w:rPr>
        <w:t>投标人提供2021年11月1日起至本项目招标公告发布之日止</w:t>
      </w:r>
      <w:r>
        <w:rPr>
          <w:rFonts w:ascii="宋体" w:cs="宋体" w:hint="eastAsia"/>
          <w:color w:val="000000"/>
          <w:lang w:eastAsia="zh-CN"/>
        </w:rPr>
        <w:t>（</w:t>
      </w:r>
      <w:r>
        <w:rPr>
          <w:rFonts w:ascii="宋体" w:cs="宋体"/>
          <w:color w:val="000000"/>
        </w:rPr>
        <w:t>以合同签订日期为准</w:t>
      </w:r>
      <w:r>
        <w:rPr>
          <w:rFonts w:ascii="宋体" w:cs="宋体" w:hint="eastAsia"/>
          <w:color w:val="000000"/>
          <w:lang w:eastAsia="zh-CN"/>
        </w:rPr>
        <w:t>）</w:t>
      </w:r>
      <w:r>
        <w:rPr>
          <w:rFonts w:ascii="宋体" w:cs="宋体"/>
          <w:color w:val="000000"/>
        </w:rPr>
        <w:t>，与本项目同类开发服务项目的相关业绩材料。</w:t>
      </w:r>
    </w:p>
    <w:p>
      <w:pPr>
        <w:rPr>
          <w:rFonts w:ascii="宋体" w:eastAsia="宋体" w:cs="宋体"/>
          <w:color w:val="000000"/>
        </w:rPr>
      </w:pPr>
      <w:r>
        <w:rPr>
          <w:rFonts w:ascii="宋体" w:cs="宋体"/>
          <w:color w:val="000000"/>
        </w:rPr>
        <w:t>注：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提供的业绩材料复印件须字迹清晰，辨识无误；不符合上述要求或未按要求提供有效证明文件的业绩在评审时将不予以承认。</w:t>
      </w:r>
    </w:p>
    <w:p>
      <w:pPr>
        <w:rPr>
          <w:rFonts w:ascii="宋体" w:eastAsia="宋体" w:cs="宋体"/>
        </w:rPr>
      </w:pPr>
      <w:r>
        <w:rPr>
          <w:rFonts w:ascii="宋体" w:eastAsia="宋体" w:cs="宋体" w:hint="eastAsia"/>
        </w:rPr>
        <w:t>2.相关主观评审因素要求。</w:t>
      </w:r>
    </w:p>
    <w:p>
      <w:pPr>
        <w:rPr>
          <w:rFonts w:ascii="宋体" w:eastAsia="宋体" w:cs="宋体"/>
          <w:color w:val="000000"/>
        </w:rPr>
      </w:pPr>
      <w:r>
        <w:rPr>
          <w:rFonts w:ascii="宋体" w:eastAsia="宋体" w:cs="宋体" w:hint="eastAsia"/>
          <w:color w:val="000000"/>
          <w:lang w:eastAsia="zh-CN"/>
        </w:rPr>
        <w:t>（</w:t>
      </w:r>
      <w:r>
        <w:rPr>
          <w:rFonts w:ascii="宋体" w:eastAsia="宋体" w:cs="宋体" w:hint="eastAsia"/>
          <w:color w:val="000000"/>
        </w:rPr>
        <w:t>一</w:t>
      </w:r>
      <w:r>
        <w:rPr>
          <w:rFonts w:ascii="宋体" w:eastAsia="宋体" w:cs="宋体" w:hint="eastAsia"/>
          <w:color w:val="000000"/>
          <w:lang w:eastAsia="zh-CN"/>
        </w:rPr>
        <w:t>）</w:t>
      </w:r>
      <w:r>
        <w:rPr>
          <w:rFonts w:ascii="宋体" w:eastAsia="宋体" w:cs="宋体" w:hint="eastAsia"/>
          <w:color w:val="000000"/>
        </w:rPr>
        <w:t>需求理解分析</w:t>
      </w:r>
    </w:p>
    <w:p>
      <w:pPr>
        <w:rPr>
          <w:rFonts w:ascii="宋体" w:eastAsia="宋体" w:cs="宋体"/>
          <w:color w:val="000000"/>
        </w:rPr>
      </w:pPr>
      <w:r>
        <w:rPr>
          <w:rFonts w:ascii="宋体" w:eastAsia="宋体" w:cs="宋体"/>
          <w:sz w:val="24"/>
          <w:szCs w:val="24"/>
        </w:rPr>
        <w:t>应全面考量税收风险大数据智能筛查（“数智筛”）信息化系统现状，深入分析</w:t>
      </w:r>
      <w:r>
        <w:rPr>
          <w:rFonts w:ascii="宋体" w:eastAsia="宋体" w:cs="宋体" w:hint="eastAsia"/>
          <w:sz w:val="24"/>
          <w:szCs w:val="24"/>
          <w:lang w:val="en-US" w:eastAsia="zh-CN"/>
        </w:rPr>
        <w:t>系统的</w:t>
      </w:r>
      <w:r>
        <w:rPr>
          <w:rFonts w:ascii="宋体" w:eastAsia="宋体" w:cs="宋体"/>
          <w:sz w:val="24"/>
          <w:szCs w:val="24"/>
        </w:rPr>
        <w:t>架构和功能。同时，需涵盖以下关键分析内容：</w:t>
      </w:r>
      <w:r>
        <w:rPr>
          <w:rFonts w:ascii="宋体" w:eastAsia="宋体" w:cs="宋体" w:hint="eastAsia"/>
          <w:sz w:val="24"/>
          <w:szCs w:val="24"/>
          <w:lang w:val="en-US" w:eastAsia="zh-CN"/>
        </w:rPr>
        <w:t>业务</w:t>
      </w:r>
      <w:r>
        <w:rPr>
          <w:rFonts w:ascii="宋体" w:eastAsia="宋体" w:cs="宋体"/>
          <w:sz w:val="24"/>
          <w:szCs w:val="24"/>
        </w:rPr>
        <w:t>现状分析、</w:t>
      </w:r>
      <w:r>
        <w:rPr>
          <w:rFonts w:ascii="宋体" w:eastAsia="宋体" w:cs="宋体" w:hint="eastAsia"/>
          <w:sz w:val="24"/>
          <w:szCs w:val="24"/>
          <w:lang w:val="en-US" w:eastAsia="zh-CN"/>
        </w:rPr>
        <w:t>业务</w:t>
      </w:r>
      <w:r>
        <w:rPr>
          <w:rFonts w:ascii="宋体" w:eastAsia="宋体" w:cs="宋体"/>
          <w:sz w:val="24"/>
          <w:szCs w:val="24"/>
        </w:rPr>
        <w:t>目标分析、业务</w:t>
      </w:r>
      <w:r>
        <w:rPr>
          <w:rFonts w:ascii="宋体" w:eastAsia="宋体" w:cs="宋体" w:hint="eastAsia"/>
          <w:sz w:val="24"/>
          <w:szCs w:val="24"/>
          <w:lang w:val="en-US" w:eastAsia="zh-CN"/>
        </w:rPr>
        <w:t>需求</w:t>
      </w:r>
      <w:r>
        <w:rPr>
          <w:rFonts w:ascii="宋体" w:eastAsia="宋体" w:cs="宋体"/>
          <w:sz w:val="24"/>
          <w:szCs w:val="24"/>
        </w:rPr>
        <w:t>分析、</w:t>
      </w:r>
      <w:r>
        <w:rPr>
          <w:rFonts w:ascii="宋体" w:eastAsia="宋体" w:cs="宋体" w:hint="eastAsia"/>
          <w:sz w:val="24"/>
          <w:szCs w:val="24"/>
          <w:lang w:val="en-US" w:eastAsia="zh-CN"/>
        </w:rPr>
        <w:t>功能需求分析、</w:t>
      </w:r>
      <w:r>
        <w:rPr>
          <w:rFonts w:ascii="宋体" w:eastAsia="宋体" w:cs="宋体"/>
          <w:sz w:val="24"/>
          <w:szCs w:val="24"/>
        </w:rPr>
        <w:t>技术</w:t>
      </w:r>
      <w:r>
        <w:rPr>
          <w:rFonts w:ascii="宋体" w:eastAsia="宋体" w:cs="宋体" w:hint="eastAsia"/>
          <w:sz w:val="24"/>
          <w:szCs w:val="24"/>
          <w:lang w:val="en-US" w:eastAsia="zh-CN"/>
        </w:rPr>
        <w:t>需求</w:t>
      </w:r>
      <w:r>
        <w:rPr>
          <w:rFonts w:ascii="宋体" w:eastAsia="宋体" w:cs="宋体"/>
          <w:sz w:val="24"/>
          <w:szCs w:val="24"/>
        </w:rPr>
        <w:t>分析</w:t>
      </w:r>
      <w:r>
        <w:rPr>
          <w:rFonts w:ascii="宋体" w:eastAsia="宋体" w:cs="宋体" w:hint="eastAsia"/>
          <w:sz w:val="24"/>
          <w:szCs w:val="24"/>
          <w:lang w:val="en-US" w:eastAsia="zh-CN"/>
        </w:rPr>
        <w:t>以及</w:t>
      </w:r>
      <w:r>
        <w:rPr>
          <w:rFonts w:ascii="宋体" w:eastAsia="宋体" w:cs="宋体"/>
          <w:sz w:val="24"/>
          <w:szCs w:val="24"/>
        </w:rPr>
        <w:t>集成需求分析</w:t>
      </w:r>
      <w:r>
        <w:rPr>
          <w:rFonts w:ascii="宋体" w:eastAsia="宋体" w:cs="宋体" w:hint="eastAsia"/>
          <w:sz w:val="24"/>
          <w:szCs w:val="24"/>
          <w:lang w:val="en-US" w:eastAsia="zh-CN"/>
        </w:rPr>
        <w:t>等内容</w:t>
      </w:r>
      <w:r>
        <w:rPr>
          <w:rFonts w:ascii="宋体" w:eastAsia="宋体" w:cs="宋体"/>
          <w:sz w:val="24"/>
          <w:szCs w:val="24"/>
        </w:rPr>
        <w:t>。应具备创新性和先进性，能够灵活扩展，并具有很强的可行性。通过多维度细致梳理需求，应清晰识别出项目所需实现的应用功能与具体内容，并与业务目标紧密结合，从而充分彰显采购方的核心要求。</w:t>
      </w:r>
    </w:p>
    <w:p>
      <w:pPr>
        <w:rPr>
          <w:rFonts w:ascii="宋体" w:eastAsia="宋体" w:cs="宋体"/>
          <w:color w:val="000000"/>
        </w:rPr>
      </w:pPr>
      <w:r>
        <w:rPr>
          <w:rFonts w:ascii="宋体" w:eastAsia="宋体" w:cs="宋体" w:hint="eastAsia"/>
          <w:color w:val="000000"/>
          <w:lang w:eastAsia="zh-CN"/>
        </w:rPr>
        <w:t>（</w:t>
      </w:r>
      <w:r>
        <w:rPr>
          <w:rFonts w:ascii="宋体" w:eastAsia="宋体" w:cs="宋体" w:hint="eastAsia"/>
          <w:color w:val="000000"/>
        </w:rPr>
        <w:t>二</w:t>
      </w:r>
      <w:r>
        <w:rPr>
          <w:rFonts w:ascii="宋体" w:eastAsia="宋体" w:cs="宋体" w:hint="eastAsia"/>
          <w:color w:val="000000"/>
          <w:lang w:eastAsia="zh-CN"/>
        </w:rPr>
        <w:t>）</w:t>
      </w:r>
      <w:r>
        <w:rPr>
          <w:rFonts w:ascii="宋体" w:eastAsia="宋体" w:cs="宋体" w:hint="eastAsia"/>
          <w:color w:val="000000"/>
        </w:rPr>
        <w:t>实施管理方案</w:t>
      </w:r>
    </w:p>
    <w:p>
      <w:pPr>
        <w:rPr>
          <w:rFonts w:ascii="宋体" w:eastAsia="宋体" w:cs="宋体"/>
          <w:color w:val="000000"/>
        </w:rPr>
      </w:pPr>
      <w:r>
        <w:rPr>
          <w:rFonts w:ascii="宋体" w:eastAsia="宋体" w:cs="宋体" w:hint="eastAsia"/>
          <w:color w:val="000000"/>
        </w:rPr>
        <w:t>提供项目实施管理方案，内容包括但不限于项目实施计划（测试、培训、应急措施、人员配备等对用户的有利性以及保证项目顺利实施的其他因素）、项目进度及保障措施等内容。</w:t>
      </w:r>
    </w:p>
    <w:p>
      <w:pPr>
        <w:rPr>
          <w:rFonts w:ascii="宋体" w:eastAsia="宋体" w:cs="宋体"/>
          <w:color w:val="000000"/>
        </w:rPr>
      </w:pPr>
      <w:r>
        <w:rPr>
          <w:rFonts w:ascii="宋体" w:eastAsia="宋体" w:cs="宋体" w:hint="eastAsia"/>
          <w:color w:val="000000"/>
          <w:lang w:eastAsia="zh-CN"/>
        </w:rPr>
        <w:t>（</w:t>
      </w:r>
      <w:r>
        <w:rPr>
          <w:rFonts w:ascii="宋体" w:eastAsia="宋体" w:cs="宋体" w:hint="eastAsia"/>
          <w:color w:val="000000"/>
        </w:rPr>
        <w:t>三</w:t>
      </w:r>
      <w:r>
        <w:rPr>
          <w:rFonts w:ascii="宋体" w:eastAsia="宋体" w:cs="宋体" w:hint="eastAsia"/>
          <w:color w:val="000000"/>
          <w:lang w:eastAsia="zh-CN"/>
        </w:rPr>
        <w:t>）</w:t>
      </w:r>
      <w:r>
        <w:rPr>
          <w:rFonts w:ascii="宋体" w:eastAsia="宋体" w:cs="宋体" w:hint="eastAsia"/>
          <w:color w:val="000000"/>
        </w:rPr>
        <w:t>技术设计方案</w:t>
      </w:r>
    </w:p>
    <w:p>
      <w:pPr>
        <w:rPr>
          <w:rFonts w:ascii="宋体" w:eastAsia="宋体" w:cs="宋体"/>
          <w:color w:val="000000"/>
        </w:rPr>
      </w:pPr>
      <w:r>
        <w:rPr>
          <w:rFonts w:ascii="宋体" w:eastAsia="宋体" w:cs="宋体"/>
          <w:sz w:val="24"/>
          <w:szCs w:val="24"/>
        </w:rPr>
        <w:t>技术设计方案应充分理解并响应具体的业务需求，对各</w:t>
      </w:r>
      <w:r>
        <w:rPr>
          <w:rFonts w:ascii="宋体" w:eastAsia="宋体" w:cs="宋体" w:hint="eastAsia"/>
          <w:sz w:val="24"/>
          <w:szCs w:val="24"/>
          <w:lang w:val="en-US" w:eastAsia="zh-CN"/>
        </w:rPr>
        <w:t>项内容</w:t>
      </w:r>
      <w:r>
        <w:rPr>
          <w:rFonts w:ascii="宋体" w:eastAsia="宋体" w:cs="宋体"/>
          <w:sz w:val="24"/>
          <w:szCs w:val="24"/>
        </w:rPr>
        <w:t>进行详细且精确的描述</w:t>
      </w:r>
      <w:r>
        <w:rPr>
          <w:rFonts w:ascii="宋体" w:eastAsia="宋体" w:cs="宋体" w:hint="eastAsia"/>
          <w:sz w:val="24"/>
          <w:szCs w:val="24"/>
          <w:lang w:eastAsia="zh-CN"/>
        </w:rPr>
        <w:t>，</w:t>
      </w:r>
      <w:r>
        <w:rPr>
          <w:rFonts w:ascii="宋体" w:eastAsia="宋体" w:cs="宋体"/>
          <w:sz w:val="24"/>
          <w:szCs w:val="24"/>
        </w:rPr>
        <w:t>方案应包括业务架构设计、应用架构设计、功能架构设计、技术架构设计、数据架构设计、部署架构设计及安全架构设计</w:t>
      </w:r>
      <w:r>
        <w:rPr>
          <w:rFonts w:ascii="宋体" w:eastAsia="宋体" w:cs="宋体" w:hint="eastAsia"/>
          <w:sz w:val="24"/>
          <w:szCs w:val="24"/>
          <w:lang w:val="en-US" w:eastAsia="zh-CN"/>
        </w:rPr>
        <w:t>等内容</w:t>
      </w:r>
      <w:r>
        <w:rPr>
          <w:rFonts w:ascii="宋体" w:eastAsia="宋体" w:cs="宋体"/>
          <w:sz w:val="24"/>
          <w:szCs w:val="24"/>
        </w:rPr>
        <w:t>。</w:t>
      </w:r>
      <w:r>
        <w:rPr>
          <w:rFonts w:ascii="宋体" w:eastAsia="宋体" w:cs="宋体" w:hint="eastAsia"/>
          <w:sz w:val="24"/>
          <w:szCs w:val="24"/>
          <w:lang w:val="en-US" w:eastAsia="zh-CN"/>
        </w:rPr>
        <w:t>方案需保证</w:t>
      </w:r>
      <w:r>
        <w:rPr>
          <w:rFonts w:ascii="宋体" w:eastAsia="宋体" w:cs="宋体"/>
          <w:sz w:val="24"/>
          <w:szCs w:val="24"/>
        </w:rPr>
        <w:t>内容完整、设计合理，并且逻辑清晰。同时，方案必须具有高度的可行性，能够提供</w:t>
      </w:r>
      <w:r>
        <w:rPr>
          <w:rFonts w:ascii="宋体" w:eastAsia="宋体" w:cs="宋体" w:hint="eastAsia"/>
          <w:sz w:val="24"/>
          <w:szCs w:val="24"/>
          <w:lang w:val="en-US" w:eastAsia="zh-CN"/>
        </w:rPr>
        <w:t>核心</w:t>
      </w:r>
      <w:r>
        <w:rPr>
          <w:rFonts w:ascii="宋体" w:eastAsia="宋体" w:cs="宋体"/>
          <w:sz w:val="24"/>
          <w:szCs w:val="24"/>
        </w:rPr>
        <w:t>功能的界面设计图，以支持项目的高效实施和应用</w:t>
      </w:r>
      <w:r>
        <w:rPr>
          <w:rFonts w:ascii="宋体" w:eastAsia="宋体" w:cs="宋体" w:hint="eastAsia"/>
          <w:color w:val="000000"/>
        </w:rPr>
        <w:t>。</w:t>
      </w:r>
    </w:p>
    <w:p>
      <w:pPr>
        <w:rPr>
          <w:rFonts w:ascii="宋体" w:eastAsia="宋体" w:cs="宋体"/>
          <w:color w:val="000000"/>
        </w:rPr>
      </w:pPr>
      <w:r>
        <w:rPr>
          <w:rFonts w:ascii="宋体" w:eastAsia="宋体" w:cs="宋体" w:hint="eastAsia"/>
          <w:color w:val="000000"/>
          <w:lang w:eastAsia="zh-CN"/>
        </w:rPr>
        <w:t>（</w:t>
      </w:r>
      <w:r>
        <w:rPr>
          <w:rFonts w:ascii="宋体" w:eastAsia="宋体" w:cs="宋体" w:hint="eastAsia"/>
          <w:color w:val="000000"/>
        </w:rPr>
        <w:t>四</w:t>
      </w:r>
      <w:r>
        <w:rPr>
          <w:rFonts w:ascii="宋体" w:eastAsia="宋体" w:cs="宋体" w:hint="eastAsia"/>
          <w:color w:val="000000"/>
          <w:lang w:eastAsia="zh-CN"/>
        </w:rPr>
        <w:t>）</w:t>
      </w:r>
      <w:r>
        <w:rPr>
          <w:rFonts w:ascii="宋体" w:eastAsia="宋体" w:cs="宋体" w:hint="eastAsia"/>
          <w:color w:val="000000"/>
          <w:lang w:val="en-US" w:eastAsia="zh-CN"/>
        </w:rPr>
        <w:t>系统</w:t>
      </w:r>
      <w:r>
        <w:rPr>
          <w:rFonts w:ascii="宋体" w:eastAsia="宋体" w:cs="宋体" w:hint="eastAsia"/>
          <w:color w:val="000000"/>
        </w:rPr>
        <w:t>集成方案</w:t>
      </w:r>
    </w:p>
    <w:p>
      <w:pPr>
        <w:rPr>
          <w:color w:val="000000"/>
        </w:rPr>
      </w:pPr>
      <w:r>
        <w:rPr>
          <w:rFonts w:ascii="宋体" w:eastAsia="宋体" w:cs="宋体"/>
          <w:color w:val="000000"/>
          <w:sz w:val="24"/>
          <w:szCs w:val="24"/>
        </w:rPr>
        <w:t>需提供针对海关H4A应用系统的</w:t>
      </w:r>
      <w:r>
        <w:rPr>
          <w:rFonts w:ascii="宋体" w:eastAsia="宋体" w:cs="宋体" w:hint="eastAsia"/>
          <w:color w:val="000000"/>
          <w:sz w:val="24"/>
          <w:szCs w:val="24"/>
          <w:lang w:val="en-US" w:eastAsia="zh-CN"/>
        </w:rPr>
        <w:t>集成</w:t>
      </w:r>
      <w:r>
        <w:rPr>
          <w:rFonts w:ascii="宋体" w:eastAsia="宋体" w:cs="宋体"/>
          <w:color w:val="000000"/>
          <w:sz w:val="24"/>
          <w:szCs w:val="24"/>
        </w:rPr>
        <w:t>方案，展示管理应用中数据权限与功能权限的控制路径。在与税管作业平台对接方面，要求实现风险数据发送及状态反馈的处理机制，以确保系统间数据传输的有效性和协同工作。方案中应详细说明与</w:t>
      </w:r>
      <w:r>
        <w:rPr>
          <w:rFonts w:ascii="宋体" w:eastAsia="宋体" w:cs="宋体" w:hint="eastAsia"/>
          <w:color w:val="000000"/>
          <w:sz w:val="24"/>
          <w:szCs w:val="24"/>
          <w:lang w:val="en-US" w:eastAsia="zh-CN"/>
        </w:rPr>
        <w:t>大数据池、</w:t>
      </w:r>
      <w:r>
        <w:rPr>
          <w:rFonts w:ascii="宋体" w:eastAsia="宋体" w:cs="宋体"/>
          <w:color w:val="000000"/>
          <w:sz w:val="24"/>
          <w:szCs w:val="24"/>
        </w:rPr>
        <w:t>大数据分析平台对接的业务数据同步获取与更新机制，并提供可靠的数据同步方法，以满足实时更新需求。</w:t>
      </w:r>
      <w:r>
        <w:rPr>
          <w:rFonts w:ascii="宋体" w:eastAsia="宋体" w:cs="宋体" w:hint="eastAsia"/>
          <w:color w:val="000000"/>
          <w:sz w:val="24"/>
          <w:szCs w:val="24"/>
          <w:lang w:val="en-US" w:eastAsia="zh-CN"/>
        </w:rPr>
        <w:t>方案</w:t>
      </w:r>
      <w:r>
        <w:rPr>
          <w:rFonts w:ascii="宋体" w:eastAsia="宋体" w:cs="宋体"/>
          <w:color w:val="000000"/>
          <w:sz w:val="24"/>
          <w:szCs w:val="24"/>
        </w:rPr>
        <w:t>需阐明与数据资源共享</w:t>
      </w:r>
      <w:r>
        <w:rPr>
          <w:rFonts w:ascii="宋体" w:eastAsia="宋体" w:cs="宋体" w:hint="eastAsia"/>
          <w:color w:val="000000"/>
          <w:sz w:val="24"/>
          <w:szCs w:val="24"/>
          <w:lang w:val="en-US" w:eastAsia="zh-CN"/>
        </w:rPr>
        <w:t>服务</w:t>
      </w:r>
      <w:r>
        <w:rPr>
          <w:rFonts w:ascii="宋体" w:eastAsia="宋体" w:cs="宋体"/>
          <w:color w:val="000000"/>
          <w:sz w:val="24"/>
          <w:szCs w:val="24"/>
        </w:rPr>
        <w:t>平台的对接策略，以确保获取单证详情的效率和符合平台间数据交换的标准。</w:t>
      </w:r>
      <w:r>
        <w:rPr>
          <w:rFonts w:ascii="宋体" w:eastAsia="宋体" w:cs="宋体" w:hint="eastAsia"/>
          <w:color w:val="000000"/>
          <w:sz w:val="24"/>
          <w:szCs w:val="24"/>
          <w:lang w:val="en-US" w:eastAsia="zh-CN"/>
        </w:rPr>
        <w:t>此外，还需介绍集成海关应用支撑平台前后端服务的具体方案。系统集成方案</w:t>
      </w:r>
      <w:r>
        <w:rPr>
          <w:rFonts w:ascii="宋体" w:eastAsia="宋体" w:cs="宋体"/>
          <w:color w:val="000000"/>
          <w:sz w:val="24"/>
          <w:szCs w:val="24"/>
        </w:rPr>
        <w:t>应</w:t>
      </w:r>
      <w:r>
        <w:rPr>
          <w:rFonts w:ascii="宋体" w:eastAsia="宋体" w:cs="宋体" w:hint="eastAsia"/>
          <w:color w:val="000000"/>
          <w:sz w:val="24"/>
          <w:szCs w:val="24"/>
          <w:lang w:val="en-US" w:eastAsia="zh-CN"/>
        </w:rPr>
        <w:t>包含总体说明、架构设计、功能设计、技术实现等内容</w:t>
      </w:r>
      <w:r>
        <w:rPr>
          <w:rFonts w:ascii="宋体" w:eastAsia="宋体" w:cs="宋体" w:hint="eastAsia"/>
          <w:color w:val="000000"/>
          <w:sz w:val="24"/>
          <w:szCs w:val="24"/>
          <w:lang w:eastAsia="zh-CN"/>
        </w:rPr>
        <w:t>，</w:t>
      </w:r>
      <w:r>
        <w:rPr>
          <w:rFonts w:ascii="宋体" w:eastAsia="宋体" w:cs="宋体"/>
          <w:color w:val="000000"/>
          <w:sz w:val="24"/>
          <w:szCs w:val="24"/>
        </w:rPr>
        <w:t>展现其集成模式的清晰性、科学性和可行性</w:t>
      </w:r>
      <w:r>
        <w:rPr>
          <w:rFonts w:ascii="宋体" w:eastAsia="宋体" w:cs="宋体" w:hint="eastAsia"/>
          <w:color w:val="000000"/>
        </w:rPr>
        <w:t>。</w:t>
      </w:r>
    </w:p>
    <w:p>
      <w:pPr>
        <w:ind w:left="0" w:firstLine="480" w:firstLineChars="200"/>
        <w:rPr>
          <w:rFonts w:ascii="宋体" w:eastAsia="宋体" w:cs="宋体"/>
          <w:color w:val="000000"/>
          <w:lang w:val="en-US" w:eastAsia="zh-CN"/>
        </w:rPr>
      </w:pPr>
      <w:r>
        <w:rPr>
          <w:rFonts w:ascii="宋体" w:eastAsia="宋体" w:cs="宋体" w:hint="eastAsia"/>
          <w:color w:val="000000"/>
          <w:lang w:eastAsia="zh-CN"/>
        </w:rPr>
        <w:t>（</w:t>
      </w:r>
      <w:r>
        <w:rPr>
          <w:rFonts w:ascii="宋体" w:eastAsia="宋体" w:cs="宋体" w:hint="eastAsia"/>
          <w:color w:val="000000"/>
          <w:lang w:val="en-US" w:eastAsia="zh-CN"/>
        </w:rPr>
        <w:t xml:space="preserve">五）运维服务方案  </w:t>
      </w:r>
    </w:p>
    <w:p>
      <w:pPr>
        <w:ind w:left="0" w:firstLine="480" w:firstLineChars="200"/>
        <w:rPr>
          <w:rFonts w:ascii="宋体" w:eastAsia="宋体" w:cs="宋体" w:hint="eastAsia"/>
          <w:color w:val="000000"/>
        </w:rPr>
      </w:pPr>
      <w:r>
        <w:rPr>
          <w:rFonts w:ascii="宋体" w:eastAsia="宋体" w:cs="宋体" w:hint="eastAsia"/>
          <w:color w:val="000000"/>
          <w:lang w:eastAsia="zh-CN"/>
        </w:rPr>
        <w:t>包括但不限于售后服务机构的设置及专业维护人员的配备、故障排除时间、服务措施、服务承诺等。方案内容全面、处理方式合理、可行性强。</w:t>
      </w:r>
    </w:p>
    <w:p>
      <w:pPr>
        <w:ind w:left="0" w:firstLine="480" w:firstLineChars="200"/>
        <w:rPr>
          <w:rFonts w:ascii="宋体" w:eastAsia="宋体" w:cs="宋体"/>
          <w:color w:val="000000"/>
        </w:rPr>
      </w:pPr>
      <w:r>
        <w:rPr>
          <w:rFonts w:ascii="宋体" w:eastAsia="宋体" w:cs="宋体" w:hint="eastAsia"/>
          <w:color w:val="000000"/>
        </w:rPr>
        <w:t>3.技术服务需求响应程度表</w:t>
      </w:r>
    </w:p>
    <w:tbl>
      <w:tblPr>
        <w:tblW w:w="844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03"/>
        <w:gridCol w:w="5392"/>
      </w:tblGrid>
      <w:tr>
        <w:tblPrEx>
          <w:tblW w:w="8443"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ind w:firstLine="0"/>
              <w:jc w:val="center"/>
              <w:rPr>
                <w:rFonts w:ascii="宋体" w:eastAsia="宋体" w:cs="宋体"/>
                <w:color w:val="000000"/>
              </w:rPr>
            </w:pPr>
            <w:r>
              <w:rPr>
                <w:rFonts w:ascii="宋体" w:eastAsia="宋体" w:cs="宋体" w:hint="eastAsia"/>
                <w:color w:val="000000"/>
              </w:rPr>
              <w:t>序号</w:t>
            </w:r>
          </w:p>
        </w:tc>
        <w:tc>
          <w:tcPr>
            <w:tcW w:w="1140" w:type="dxa"/>
          </w:tcPr>
          <w:p>
            <w:pPr>
              <w:ind w:firstLine="0"/>
              <w:jc w:val="center"/>
              <w:rPr>
                <w:rFonts w:ascii="宋体" w:eastAsia="宋体" w:cs="宋体"/>
                <w:color w:val="000000"/>
              </w:rPr>
            </w:pPr>
            <w:r>
              <w:rPr>
                <w:rFonts w:ascii="宋体" w:eastAsia="宋体" w:cs="宋体" w:hint="eastAsia"/>
                <w:color w:val="000000"/>
              </w:rPr>
              <w:t>内容</w:t>
            </w:r>
          </w:p>
        </w:tc>
        <w:tc>
          <w:tcPr>
            <w:tcW w:w="1103" w:type="dxa"/>
          </w:tcPr>
          <w:p>
            <w:pPr>
              <w:ind w:firstLine="0"/>
              <w:jc w:val="center"/>
              <w:rPr>
                <w:rFonts w:ascii="宋体" w:eastAsia="宋体" w:cs="宋体"/>
                <w:color w:val="000000"/>
              </w:rPr>
            </w:pPr>
            <w:r>
              <w:rPr>
                <w:rFonts w:ascii="宋体" w:eastAsia="宋体" w:cs="宋体" w:hint="eastAsia"/>
                <w:color w:val="000000"/>
              </w:rPr>
              <w:t>数量</w:t>
            </w:r>
          </w:p>
        </w:tc>
        <w:tc>
          <w:tcPr>
            <w:tcW w:w="5392" w:type="dxa"/>
          </w:tcPr>
          <w:p>
            <w:pPr>
              <w:ind w:firstLine="0"/>
              <w:jc w:val="center"/>
              <w:rPr>
                <w:rFonts w:ascii="宋体" w:eastAsia="宋体" w:cs="宋体"/>
                <w:color w:val="000000"/>
              </w:rPr>
            </w:pPr>
            <w:r>
              <w:rPr>
                <w:rFonts w:ascii="宋体" w:eastAsia="宋体" w:cs="宋体" w:hint="eastAsia"/>
                <w:color w:val="000000"/>
              </w:rPr>
              <w:t>所在位置</w:t>
            </w:r>
          </w:p>
        </w:tc>
      </w:tr>
      <w:tr>
        <w:tblPrEx>
          <w:tblW w:w="8443" w:type="dxa"/>
          <w:jc w:val="left"/>
          <w:tblInd w:w="0" w:type="dxa"/>
          <w:tblLayout w:type="fixed"/>
          <w:tblCellMar>
            <w:top w:w="0" w:type="dxa"/>
            <w:left w:w="108" w:type="dxa"/>
            <w:bottom w:w="0" w:type="dxa"/>
            <w:right w:w="108" w:type="dxa"/>
          </w:tblCellMar>
        </w:tblPrEx>
        <w:trPr>
          <w:trHeight w:val="459"/>
          <w:jc w:val="left"/>
        </w:trPr>
        <w:tc>
          <w:tcPr>
            <w:tcW w:w="808" w:type="dxa"/>
            <w:vAlign w:val="center"/>
          </w:tcPr>
          <w:p>
            <w:pPr>
              <w:ind w:firstLine="0"/>
              <w:jc w:val="center"/>
              <w:rPr>
                <w:rFonts w:ascii="宋体" w:eastAsia="宋体" w:cs="宋体"/>
                <w:color w:val="000000"/>
              </w:rPr>
            </w:pPr>
            <w:r>
              <w:rPr>
                <w:rFonts w:ascii="宋体" w:eastAsia="宋体" w:cs="宋体" w:hint="eastAsia"/>
                <w:color w:val="000000"/>
              </w:rPr>
              <w:t>1</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cs="宋体"/>
                <w:color w:val="000000"/>
              </w:rPr>
            </w:pPr>
            <w:r>
              <w:rPr>
                <w:rFonts w:ascii="宋体" w:eastAsia="宋体" w:cs="宋体" w:hint="eastAsia"/>
                <w:color w:val="000000"/>
              </w:rPr>
              <w:t>重要指标项</w:t>
            </w:r>
          </w:p>
        </w:tc>
        <w:tc>
          <w:tcPr>
            <w:tcW w:w="1103" w:type="dxa"/>
            <w:tcBorders>
              <w:top w:val="single" w:sz="4" w:space="0" w:color="auto"/>
              <w:left w:val="single" w:sz="4" w:space="0" w:color="auto"/>
              <w:right w:val="single" w:sz="4" w:space="0" w:color="auto"/>
            </w:tcBorders>
            <w:vAlign w:val="center"/>
          </w:tcPr>
          <w:p>
            <w:pPr>
              <w:ind w:firstLine="0"/>
              <w:jc w:val="center"/>
              <w:rPr>
                <w:rFonts w:ascii="宋体" w:eastAsia="宋体" w:cs="宋体" w:hint="eastAsia"/>
                <w:color w:val="000000"/>
                <w:lang w:eastAsia="zh-CN"/>
              </w:rPr>
            </w:pPr>
            <w:r>
              <w:rPr>
                <w:rFonts w:ascii="宋体" w:eastAsia="宋体" w:cs="宋体" w:hint="eastAsia"/>
                <w:color w:val="000000"/>
              </w:rPr>
              <w:t>2</w:t>
            </w:r>
            <w:r>
              <w:rPr>
                <w:rFonts w:ascii="宋体" w:eastAsia="宋体" w:cs="宋体" w:hint="eastAsia"/>
                <w:color w:val="000000"/>
                <w:lang w:val="en-US" w:eastAsia="zh-CN"/>
              </w:rPr>
              <w:t>6</w:t>
            </w:r>
          </w:p>
        </w:tc>
        <w:tc>
          <w:tcPr>
            <w:tcW w:w="5392" w:type="dxa"/>
          </w:tcPr>
          <w:p>
            <w:pPr>
              <w:numPr>
                <w:ilvl w:val="0"/>
                <w:numId w:val="7"/>
              </w:numPr>
              <w:ind w:left="0" w:firstLine="0"/>
              <w:jc w:val="left"/>
              <w:rPr>
                <w:rFonts w:ascii="宋体" w:eastAsia="宋体" w:cs="宋体"/>
                <w:color w:val="000000"/>
              </w:rPr>
            </w:pPr>
            <w:r>
              <w:rPr>
                <w:rFonts w:ascii="宋体" w:eastAsia="宋体" w:cs="宋体" w:hint="eastAsia"/>
                <w:color w:val="000000"/>
              </w:rPr>
              <w:t>货物</w:t>
            </w:r>
            <w:r>
              <w:rPr>
                <w:rFonts w:ascii="宋体" w:eastAsia="宋体" w:cs="宋体" w:hint="eastAsia"/>
                <w:color w:val="000000"/>
                <w:lang w:val="en-US" w:eastAsia="zh-CN"/>
              </w:rPr>
              <w:t>或</w:t>
            </w:r>
            <w:r>
              <w:rPr>
                <w:rFonts w:ascii="宋体" w:eastAsia="宋体" w:cs="宋体" w:hint="eastAsia"/>
                <w:color w:val="000000"/>
              </w:rPr>
              <w:t>服务指标要求17个：第1项5个，第2项7个，第3项1个，第4项1个，第7项3个。</w:t>
            </w:r>
          </w:p>
          <w:p>
            <w:pPr>
              <w:ind w:firstLine="0"/>
              <w:jc w:val="left"/>
              <w:rPr>
                <w:rFonts w:ascii="宋体" w:eastAsia="宋体" w:cs="宋体"/>
                <w:color w:val="000000"/>
              </w:rPr>
            </w:pPr>
            <w:r>
              <w:rPr>
                <w:rFonts w:ascii="宋体" w:eastAsia="宋体" w:cs="宋体" w:hint="eastAsia"/>
                <w:color w:val="000000"/>
              </w:rPr>
              <w:t>七、服务要求</w:t>
            </w:r>
            <w:r>
              <w:rPr>
                <w:rFonts w:ascii="宋体" w:eastAsia="宋体" w:cs="宋体" w:hint="eastAsia"/>
                <w:color w:val="000000"/>
                <w:lang w:val="en-US" w:eastAsia="zh-CN"/>
              </w:rPr>
              <w:t>6</w:t>
            </w:r>
            <w:r>
              <w:rPr>
                <w:rFonts w:ascii="宋体" w:eastAsia="宋体" w:cs="宋体" w:hint="eastAsia"/>
                <w:color w:val="000000"/>
              </w:rPr>
              <w:t>个</w:t>
            </w:r>
            <w:r>
              <w:rPr>
                <w:rFonts w:ascii="宋体" w:eastAsia="宋体" w:cs="宋体" w:hint="eastAsia"/>
                <w:color w:val="000000"/>
                <w:lang w:eastAsia="zh-CN"/>
              </w:rPr>
              <w:t>：</w:t>
            </w:r>
            <w:r>
              <w:rPr>
                <w:rFonts w:ascii="宋体" w:eastAsia="宋体" w:cs="宋体" w:hint="eastAsia"/>
                <w:color w:val="000000"/>
              </w:rPr>
              <w:t>第2项2个，第</w:t>
            </w:r>
            <w:r>
              <w:rPr>
                <w:rFonts w:ascii="宋体" w:eastAsia="宋体" w:cs="宋体" w:hint="eastAsia"/>
                <w:color w:val="000000"/>
                <w:lang w:val="en-US" w:eastAsia="zh-CN"/>
              </w:rPr>
              <w:t>4</w:t>
            </w:r>
            <w:r>
              <w:rPr>
                <w:rFonts w:ascii="宋体" w:eastAsia="宋体" w:cs="宋体" w:hint="eastAsia"/>
                <w:color w:val="000000"/>
              </w:rPr>
              <w:t>项</w:t>
            </w:r>
            <w:r>
              <w:rPr>
                <w:rFonts w:ascii="宋体" w:eastAsia="宋体" w:cs="宋体" w:hint="eastAsia"/>
                <w:color w:val="000000"/>
                <w:lang w:val="en-US" w:eastAsia="zh-CN"/>
              </w:rPr>
              <w:t>2</w:t>
            </w:r>
            <w:r>
              <w:rPr>
                <w:rFonts w:ascii="宋体" w:eastAsia="宋体" w:cs="宋体" w:hint="eastAsia"/>
                <w:color w:val="000000"/>
              </w:rPr>
              <w:t xml:space="preserve">个，第 </w:t>
            </w:r>
            <w:r>
              <w:rPr>
                <w:rFonts w:ascii="宋体" w:eastAsia="宋体" w:cs="宋体" w:hint="eastAsia"/>
                <w:color w:val="000000"/>
                <w:lang w:val="en-US" w:eastAsia="zh-CN"/>
              </w:rPr>
              <w:t>7</w:t>
            </w:r>
            <w:r>
              <w:rPr>
                <w:rFonts w:ascii="宋体" w:eastAsia="宋体" w:cs="宋体" w:hint="eastAsia"/>
                <w:color w:val="000000"/>
              </w:rPr>
              <w:t>、</w:t>
            </w:r>
            <w:r>
              <w:rPr>
                <w:rFonts w:ascii="宋体" w:eastAsia="宋体" w:cs="宋体" w:hint="eastAsia"/>
                <w:color w:val="000000"/>
                <w:lang w:val="en-US" w:eastAsia="zh-CN"/>
              </w:rPr>
              <w:t>8</w:t>
            </w:r>
            <w:r>
              <w:rPr>
                <w:rFonts w:ascii="宋体" w:eastAsia="宋体" w:cs="宋体" w:hint="eastAsia"/>
                <w:color w:val="000000"/>
              </w:rPr>
              <w:t>项各1个。</w:t>
            </w:r>
          </w:p>
          <w:p>
            <w:pPr>
              <w:ind w:firstLine="0"/>
              <w:jc w:val="left"/>
              <w:rPr>
                <w:rFonts w:ascii="宋体" w:eastAsia="宋体" w:cs="宋体"/>
                <w:color w:val="000000"/>
              </w:rPr>
            </w:pPr>
            <w:r>
              <w:rPr>
                <w:rFonts w:ascii="宋体" w:eastAsia="宋体" w:cs="宋体" w:hint="eastAsia"/>
                <w:color w:val="000000"/>
              </w:rPr>
              <w:t>八、实施</w:t>
            </w:r>
            <w:r>
              <w:rPr>
                <w:rFonts w:ascii="宋体" w:eastAsia="宋体" w:cs="宋体" w:hint="eastAsia"/>
                <w:color w:val="000000"/>
                <w:lang w:val="en-US" w:eastAsia="zh-CN"/>
              </w:rPr>
              <w:t>要求</w:t>
            </w:r>
            <w:r>
              <w:rPr>
                <w:rFonts w:ascii="宋体" w:eastAsia="宋体" w:cs="宋体" w:hint="eastAsia"/>
                <w:color w:val="000000"/>
              </w:rPr>
              <w:t>3个：第1项1个，第6项2个。</w:t>
            </w:r>
          </w:p>
        </w:tc>
      </w:tr>
      <w:tr>
        <w:tblPrEx>
          <w:tblW w:w="8443" w:type="dxa"/>
          <w:jc w:val="left"/>
          <w:tblInd w:w="0" w:type="dxa"/>
          <w:tblLayout w:type="fixed"/>
          <w:tblCellMar>
            <w:top w:w="0" w:type="dxa"/>
            <w:left w:w="108" w:type="dxa"/>
            <w:bottom w:w="0" w:type="dxa"/>
            <w:right w:w="108" w:type="dxa"/>
          </w:tblCellMar>
        </w:tblPrEx>
        <w:trPr>
          <w:trHeight w:val="457"/>
          <w:jc w:val="left"/>
        </w:trPr>
        <w:tc>
          <w:tcPr>
            <w:tcW w:w="808" w:type="dxa"/>
            <w:vAlign w:val="center"/>
          </w:tcPr>
          <w:p>
            <w:pPr>
              <w:ind w:firstLine="0"/>
              <w:jc w:val="center"/>
              <w:rPr>
                <w:rFonts w:ascii="宋体" w:eastAsia="宋体" w:cs="宋体"/>
                <w:color w:val="000000"/>
              </w:rPr>
            </w:pPr>
            <w:r>
              <w:rPr>
                <w:rFonts w:ascii="宋体" w:eastAsia="宋体" w:cs="宋体" w:hint="eastAsia"/>
                <w:color w:val="000000"/>
              </w:rPr>
              <w:t>2</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cs="宋体"/>
                <w:color w:val="000000"/>
              </w:rPr>
            </w:pPr>
            <w:r>
              <w:rPr>
                <w:rFonts w:ascii="宋体" w:eastAsia="宋体" w:cs="宋体" w:hint="eastAsia"/>
                <w:color w:val="000000"/>
              </w:rPr>
              <w:t>一般指标项</w:t>
            </w:r>
          </w:p>
        </w:tc>
        <w:tc>
          <w:tcPr>
            <w:tcW w:w="1103" w:type="dxa"/>
            <w:tcBorders>
              <w:top w:val="single" w:sz="4" w:space="0" w:color="auto"/>
              <w:left w:val="single" w:sz="4" w:space="0" w:color="auto"/>
              <w:right w:val="single" w:sz="4" w:space="0" w:color="auto"/>
            </w:tcBorders>
            <w:vAlign w:val="center"/>
          </w:tcPr>
          <w:p>
            <w:pPr>
              <w:ind w:firstLine="0"/>
              <w:jc w:val="center"/>
              <w:rPr>
                <w:rFonts w:ascii="宋体" w:eastAsia="宋体" w:cs="宋体"/>
                <w:color w:val="000000"/>
              </w:rPr>
            </w:pPr>
            <w:r>
              <w:rPr>
                <w:rFonts w:ascii="宋体" w:eastAsia="宋体" w:cs="宋体" w:hint="eastAsia"/>
                <w:color w:val="000000"/>
              </w:rPr>
              <w:t>234</w:t>
            </w:r>
          </w:p>
        </w:tc>
        <w:tc>
          <w:tcPr>
            <w:tcW w:w="5392" w:type="dxa"/>
          </w:tcPr>
          <w:p>
            <w:pPr>
              <w:ind w:firstLine="0"/>
              <w:jc w:val="left"/>
              <w:rPr>
                <w:rFonts w:ascii="宋体" w:eastAsia="宋体" w:cs="宋体"/>
                <w:color w:val="000000"/>
              </w:rPr>
            </w:pPr>
            <w:r>
              <w:rPr>
                <w:rFonts w:ascii="宋体" w:eastAsia="宋体" w:cs="宋体" w:hint="eastAsia"/>
                <w:color w:val="000000"/>
              </w:rPr>
              <w:t>五、集成需求3个：第1至3项各1个。</w:t>
            </w:r>
          </w:p>
          <w:p>
            <w:pPr>
              <w:ind w:firstLine="0"/>
              <w:jc w:val="left"/>
              <w:rPr>
                <w:rFonts w:ascii="宋体" w:eastAsia="宋体" w:cs="宋体"/>
                <w:color w:val="000000"/>
              </w:rPr>
            </w:pPr>
            <w:r>
              <w:rPr>
                <w:rFonts w:ascii="宋体" w:eastAsia="宋体" w:cs="宋体" w:hint="eastAsia"/>
                <w:color w:val="000000"/>
              </w:rPr>
              <w:t>六、货物</w:t>
            </w:r>
            <w:r>
              <w:rPr>
                <w:rFonts w:ascii="宋体" w:eastAsia="宋体" w:cs="宋体" w:hint="eastAsia"/>
                <w:color w:val="000000"/>
                <w:lang w:val="en-US" w:eastAsia="zh-CN"/>
              </w:rPr>
              <w:t>或</w:t>
            </w:r>
            <w:r>
              <w:rPr>
                <w:rFonts w:ascii="宋体" w:eastAsia="宋体" w:cs="宋体" w:hint="eastAsia"/>
                <w:color w:val="000000"/>
              </w:rPr>
              <w:t>服务指标要求225个：第 5、6项各1个，第8项3个，第10项5个，第11项7个</w:t>
            </w:r>
            <w:r>
              <w:rPr>
                <w:rFonts w:ascii="宋体" w:eastAsia="宋体" w:cs="宋体" w:hint="eastAsia"/>
                <w:color w:val="000000"/>
                <w:lang w:eastAsia="zh-CN"/>
              </w:rPr>
              <w:t>，</w:t>
            </w:r>
            <w:r>
              <w:rPr>
                <w:rFonts w:ascii="宋体" w:eastAsia="宋体" w:cs="宋体" w:hint="eastAsia"/>
                <w:color w:val="000000"/>
              </w:rPr>
              <w:t>第 13</w:t>
            </w:r>
            <w:r>
              <w:rPr>
                <w:rFonts w:ascii="宋体" w:eastAsia="宋体" w:cs="宋体"/>
                <w:color w:val="000000"/>
              </w:rPr>
              <w:t>至</w:t>
            </w:r>
            <w:r>
              <w:rPr>
                <w:rFonts w:ascii="宋体" w:eastAsia="宋体" w:cs="宋体" w:hint="eastAsia"/>
                <w:color w:val="000000"/>
              </w:rPr>
              <w:t>220 项各1个。</w:t>
            </w:r>
          </w:p>
          <w:p>
            <w:pPr>
              <w:ind w:firstLine="0"/>
              <w:jc w:val="left"/>
              <w:rPr>
                <w:rFonts w:ascii="宋体" w:eastAsia="宋体" w:cs="宋体"/>
                <w:color w:val="000000"/>
              </w:rPr>
            </w:pPr>
            <w:r>
              <w:rPr>
                <w:rFonts w:ascii="宋体" w:eastAsia="宋体" w:cs="宋体" w:hint="eastAsia"/>
                <w:color w:val="000000"/>
              </w:rPr>
              <w:t xml:space="preserve">七、服务要求2个：第 </w:t>
            </w:r>
            <w:r>
              <w:rPr>
                <w:rFonts w:ascii="宋体" w:eastAsia="宋体" w:cs="宋体" w:hint="eastAsia"/>
                <w:color w:val="000000"/>
                <w:lang w:val="en-US" w:eastAsia="zh-CN"/>
              </w:rPr>
              <w:t>5</w:t>
            </w:r>
            <w:r>
              <w:rPr>
                <w:rFonts w:ascii="宋体" w:eastAsia="宋体" w:cs="宋体" w:hint="eastAsia"/>
                <w:color w:val="000000"/>
              </w:rPr>
              <w:t>、</w:t>
            </w:r>
            <w:r>
              <w:rPr>
                <w:rFonts w:ascii="宋体" w:eastAsia="宋体" w:cs="宋体" w:hint="eastAsia"/>
                <w:color w:val="000000"/>
                <w:lang w:val="en-US" w:eastAsia="zh-CN"/>
              </w:rPr>
              <w:t>6</w:t>
            </w:r>
            <w:r>
              <w:rPr>
                <w:rFonts w:ascii="宋体" w:eastAsia="宋体" w:cs="宋体" w:hint="eastAsia"/>
                <w:color w:val="000000"/>
              </w:rPr>
              <w:t>项各1个。</w:t>
            </w:r>
          </w:p>
          <w:p>
            <w:pPr>
              <w:ind w:firstLine="0"/>
              <w:jc w:val="left"/>
              <w:rPr>
                <w:rFonts w:ascii="宋体" w:eastAsia="宋体" w:cs="宋体"/>
                <w:color w:val="000000"/>
              </w:rPr>
            </w:pPr>
            <w:r>
              <w:rPr>
                <w:rFonts w:ascii="宋体" w:eastAsia="宋体" w:cs="宋体" w:hint="eastAsia"/>
                <w:color w:val="000000"/>
              </w:rPr>
              <w:t>八、实施</w:t>
            </w:r>
            <w:r>
              <w:rPr>
                <w:rFonts w:ascii="宋体" w:eastAsia="宋体" w:cs="宋体" w:hint="eastAsia"/>
                <w:color w:val="000000"/>
                <w:lang w:val="en-US" w:eastAsia="zh-CN"/>
              </w:rPr>
              <w:t>要求</w:t>
            </w:r>
            <w:r>
              <w:rPr>
                <w:rFonts w:ascii="宋体" w:eastAsia="宋体" w:cs="宋体" w:hint="eastAsia"/>
                <w:color w:val="000000"/>
              </w:rPr>
              <w:t>4个：第2项2个，第 3、5项各1个。</w:t>
            </w:r>
          </w:p>
        </w:tc>
      </w:tr>
    </w:tbl>
    <w:p>
      <w:pPr>
        <w:rPr>
          <w:rFonts w:ascii="宋体" w:eastAsia="宋体" w:cs="宋体"/>
          <w:b/>
          <w:bCs/>
          <w:color w:val="000000"/>
        </w:rPr>
      </w:pPr>
      <w:r>
        <w:rPr>
          <w:rFonts w:ascii="宋体" w:eastAsia="宋体" w:cs="宋体" w:hint="eastAsia"/>
          <w:b/>
          <w:bCs/>
          <w:color w:val="000000"/>
        </w:rPr>
        <w:t>备注：</w:t>
      </w:r>
    </w:p>
    <w:p>
      <w:pPr>
        <w:rPr>
          <w:rFonts w:ascii="宋体" w:eastAsia="宋体" w:cs="宋体"/>
          <w:color w:val="000000"/>
        </w:rPr>
      </w:pPr>
      <w:r>
        <w:rPr>
          <w:rFonts w:ascii="宋体" w:eastAsia="宋体" w:cs="宋体" w:hint="eastAsia"/>
          <w:color w:val="000000"/>
        </w:rPr>
        <w:t>①表格内容填写完整、规范，确保无缺漏项。</w:t>
      </w:r>
    </w:p>
    <w:p>
      <w:pPr>
        <w:rPr>
          <w:rFonts w:ascii="宋体" w:eastAsia="宋体" w:cs="宋体"/>
          <w:color w:val="000000"/>
        </w:rPr>
      </w:pPr>
      <w:r>
        <w:rPr>
          <w:rFonts w:ascii="宋体" w:eastAsia="宋体" w:cs="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jc w:val="left"/>
        <w:rPr>
          <w:rFonts w:ascii="宋体" w:eastAsia="宋体" w:cs="宋体"/>
          <w:color w:val="000000"/>
        </w:rPr>
      </w:pPr>
      <w:r>
        <w:rPr>
          <w:rFonts w:ascii="宋体" w:eastAsia="宋体" w:cs="宋体" w:hint="eastAsia"/>
          <w:color w:val="000000"/>
        </w:rPr>
        <w:t>③需统计重要指标项和一般指标项数量，并分别填入《技术服务需求响应程度表》。</w:t>
      </w:r>
    </w:p>
    <w:p>
      <w:pPr>
        <w:autoSpaceDN w:val="0"/>
        <w:spacing w:line="360" w:lineRule="auto"/>
        <w:ind w:firstLine="480"/>
        <w:jc w:val="left"/>
        <w:rPr>
          <w:rFonts w:ascii="宋体" w:eastAsia="宋体" w:cs="宋体" w:hint="eastAsia"/>
          <w:bCs/>
          <w:color w:val="000000"/>
        </w:rPr>
      </w:pPr>
      <w:r>
        <w:rPr>
          <w:rFonts w:ascii="宋体" w:eastAsia="宋体" w:cs="宋体"/>
          <w:color w:val="000000"/>
        </w:rPr>
        <w:t>4.中标原则：</w:t>
      </w:r>
      <w:r>
        <w:rPr>
          <w:rFonts w:ascii="宋体" w:eastAsia="宋体" w:cs="宋体" w:hint="eastAsia"/>
          <w:bCs/>
          <w:color w:val="000000"/>
        </w:rPr>
        <w:t>评审时将按照第1包、第2包次序进行评标。一家投标人可以对其中一个包或两个包进行投标，但只能中其中1包。若投标人成为第1包的第一中标候选人，则该投标人不能成为第2包的第一中标候选人，第2包第一中标候选人按得分排序顺延。</w:t>
      </w:r>
    </w:p>
    <w:p>
      <w:pPr>
        <w:jc w:val="left"/>
        <w:rPr>
          <w:rFonts w:ascii="宋体" w:eastAsia="宋体" w:cs="宋体"/>
          <w:color w:val="000000"/>
        </w:rPr>
      </w:pPr>
    </w:p>
    <w:p>
      <w:pPr>
        <w:jc w:val="center"/>
      </w:pPr>
      <w:bookmarkStart w:id="47" w:name="_Toc65406666"/>
      <w:r>
        <w:rPr>
          <w:rFonts w:ascii="Times New Roman" w:eastAsia="宋体" w:hAnsi="Times New Roman" w:hint="eastAsia"/>
          <w:b/>
          <w:kern w:val="44"/>
          <w:sz w:val="30"/>
          <w:highlight w:val="white"/>
        </w:rPr>
        <w:t>第四部分  评</w:t>
      </w:r>
      <w:r>
        <w:rPr>
          <w:rFonts w:ascii="Times New Roman" w:eastAsia="宋体" w:hAnsi="Times New Roman" w:hint="eastAsia"/>
          <w:b/>
          <w:kern w:val="44"/>
          <w:sz w:val="30"/>
          <w:highlight w:val="white"/>
          <w:lang w:eastAsia="zh-CN"/>
        </w:rPr>
        <w:t>审</w:t>
      </w:r>
      <w:r>
        <w:rPr>
          <w:rFonts w:ascii="Times New Roman" w:eastAsia="宋体" w:hAnsi="Times New Roman" w:hint="eastAsia"/>
          <w:b/>
          <w:kern w:val="44"/>
          <w:sz w:val="30"/>
          <w:highlight w:val="white"/>
        </w:rPr>
        <w:t>标准</w:t>
      </w:r>
      <w:bookmarkEnd w:id="47"/>
    </w:p>
    <w:p>
      <w:bookmarkStart w:id="48"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4"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738"/>
        <w:gridCol w:w="5949"/>
        <w:gridCol w:w="1424"/>
      </w:tblGrid>
      <w:tr>
        <w:tblPrEx>
          <w:tblW w:w="5004"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738" w:type="dxa"/>
          </w:tcPr>
          <w:p>
            <w:r>
              <w:t>评审因素</w:t>
            </w:r>
          </w:p>
        </w:tc>
        <w:tc>
          <w:tcPr>
            <w:tcW w:w="5949" w:type="dxa"/>
          </w:tcPr>
          <w:p>
            <w:r>
              <w:t>评分标准说明</w:t>
            </w:r>
          </w:p>
        </w:tc>
        <w:tc>
          <w:tcPr>
            <w:tcW w:w="1424" w:type="dxa"/>
          </w:tcPr>
          <w:p>
            <w:r>
              <w:t>分值范围</w:t>
            </w:r>
          </w:p>
        </w:tc>
      </w:tr>
      <w:tr>
        <w:tblPrEx>
          <w:tblW w:w="5004" w:type="pct"/>
          <w:jc w:val="left"/>
          <w:tblInd w:w="0" w:type="dxa"/>
          <w:tblCellMar>
            <w:top w:w="0" w:type="dxa"/>
            <w:left w:w="108" w:type="dxa"/>
            <w:bottom w:w="0" w:type="dxa"/>
            <w:right w:w="108" w:type="dxa"/>
          </w:tblCellMar>
        </w:tblPrEx>
        <w:trPr>
          <w:jc w:val="left"/>
        </w:trPr>
        <w:tc>
          <w:tcPr>
            <w:tcW w:w="426" w:type="dxa"/>
          </w:tcPr>
          <w:p>
            <w:r>
              <w:t>价格分</w:t>
            </w:r>
          </w:p>
        </w:tc>
        <w:tc>
          <w:tcPr>
            <w:tcW w:w="738" w:type="dxa"/>
            <w:tcBorders>
              <w:top w:val="single" w:sz="4" w:space="0" w:color="auto"/>
              <w:left w:val="single" w:sz="4" w:space="0" w:color="auto"/>
              <w:right w:val="single" w:sz="4" w:space="0" w:color="auto"/>
            </w:tcBorders>
          </w:tcPr>
          <w:p>
            <w:r>
              <w:t>报价得分</w:t>
            </w:r>
          </w:p>
        </w:tc>
        <w:tc>
          <w:tcPr>
            <w:tcW w:w="5949" w:type="dxa"/>
            <w:tcBorders>
              <w:top w:val="single" w:sz="4" w:space="0" w:color="auto"/>
              <w:left w:val="single" w:sz="4" w:space="0" w:color="auto"/>
              <w:right w:val="single" w:sz="4" w:space="0" w:color="auto"/>
            </w:tcBorders>
          </w:tcPr>
          <w:p>
            <w:r>
              <w:t>综合评分法中的价格分统一采用低价优先法计算，即满足招标文件要求且投标价格最低的投标报价为评标基准价，其价格分为满分。其他投标人的价格分按照下列公式计算：价格得分=(评标基准价／投标报价)×10％×100。</w:t>
            </w:r>
          </w:p>
        </w:tc>
        <w:tc>
          <w:tcPr>
            <w:tcW w:w="1424" w:type="dxa"/>
          </w:tcPr>
          <w:p>
            <w:r>
              <w:t>区间打分(0-10)</w:t>
            </w:r>
          </w:p>
        </w:tc>
      </w:tr>
      <w:tr>
        <w:tblPrEx>
          <w:tblW w:w="5004"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738" w:type="dxa"/>
            <w:tcBorders>
              <w:top w:val="single" w:sz="4" w:space="0" w:color="auto"/>
              <w:left w:val="single" w:sz="4" w:space="0" w:color="auto"/>
              <w:right w:val="single" w:sz="4" w:space="0" w:color="auto"/>
            </w:tcBorders>
          </w:tcPr>
          <w:p>
            <w:r>
              <w:t>企业综合实力</w:t>
            </w:r>
          </w:p>
        </w:tc>
        <w:tc>
          <w:tcPr>
            <w:tcW w:w="5949" w:type="dxa"/>
            <w:tcBorders>
              <w:top w:val="single" w:sz="4" w:space="0" w:color="auto"/>
              <w:left w:val="single" w:sz="4" w:space="0" w:color="auto"/>
              <w:right w:val="single" w:sz="4" w:space="0" w:color="auto"/>
            </w:tcBorders>
          </w:tcPr>
          <w:p>
            <w:r>
              <w:t xml:space="preserve">投标人具有ISO 9001质量管理体系认证证书得0.5分，否则不得分。 </w:t>
            </w:r>
          </w:p>
          <w:p/>
          <w:p>
            <w:r>
              <w:t>注：上述证书均需处于有效期内，否则不得分。需提供证书复印件并加盖投标人公章。</w:t>
            </w:r>
          </w:p>
        </w:tc>
        <w:tc>
          <w:tcPr>
            <w:tcW w:w="1424" w:type="dxa"/>
          </w:tcPr>
          <w:p>
            <w:r>
              <w:t>勾选打分(0;0.5)</w:t>
            </w:r>
          </w:p>
        </w:tc>
      </w:tr>
      <w:tr>
        <w:tblPrEx>
          <w:tblW w:w="5004" w:type="pct"/>
          <w:jc w:val="left"/>
          <w:tblInd w:w="0" w:type="dxa"/>
          <w:tblCellMar>
            <w:top w:w="0" w:type="dxa"/>
            <w:left w:w="108" w:type="dxa"/>
            <w:bottom w:w="0" w:type="dxa"/>
            <w:right w:w="108" w:type="dxa"/>
          </w:tblCellMar>
        </w:tblPrEx>
        <w:trPr>
          <w:jc w:val="left"/>
        </w:trPr>
        <w:tc>
          <w:tcPr>
            <w:tcW w:w="426" w:type="dxa"/>
            <w:vMerge/>
          </w:tcPr>
          <w:p/>
        </w:tc>
        <w:tc>
          <w:tcPr>
            <w:tcW w:w="738" w:type="dxa"/>
            <w:tcBorders>
              <w:top w:val="single" w:sz="4" w:space="0" w:color="auto"/>
              <w:left w:val="single" w:sz="4" w:space="0" w:color="auto"/>
              <w:right w:val="single" w:sz="4" w:space="0" w:color="auto"/>
            </w:tcBorders>
          </w:tcPr>
          <w:p>
            <w:r>
              <w:t>投标文件编制质量、对招标文件的响应程度</w:t>
            </w:r>
          </w:p>
        </w:tc>
        <w:tc>
          <w:tcPr>
            <w:tcW w:w="5949" w:type="dxa"/>
            <w:tcBorders>
              <w:top w:val="single" w:sz="4" w:space="0" w:color="auto"/>
              <w:left w:val="single" w:sz="4" w:space="0" w:color="auto"/>
              <w:right w:val="single" w:sz="4" w:space="0" w:color="auto"/>
            </w:tcBorders>
          </w:tcPr>
          <w:p>
            <w:r>
              <w:t xml:space="preserve">电子投标文件的逐项响应、定位和绑定清晰准确得1.3分；        </w:t>
            </w:r>
          </w:p>
          <w:p>
            <w:r>
              <w:t xml:space="preserve">有一项未响应或定位和绑定模糊、有偏差的得0.7分；      </w:t>
            </w:r>
          </w:p>
          <w:p>
            <w:r>
              <w:t>有两项或两项以上未响应或定位和绑定模糊、有偏差的得0分。</w:t>
            </w:r>
          </w:p>
        </w:tc>
        <w:tc>
          <w:tcPr>
            <w:tcW w:w="1424" w:type="dxa"/>
          </w:tcPr>
          <w:p>
            <w:r>
              <w:t>勾选打分(0;0.7;1.3)</w:t>
            </w:r>
          </w:p>
        </w:tc>
      </w:tr>
      <w:tr>
        <w:tblPrEx>
          <w:tblW w:w="5004" w:type="pct"/>
          <w:jc w:val="left"/>
          <w:tblInd w:w="0" w:type="dxa"/>
          <w:tblCellMar>
            <w:top w:w="0" w:type="dxa"/>
            <w:left w:w="108" w:type="dxa"/>
            <w:bottom w:w="0" w:type="dxa"/>
            <w:right w:w="108" w:type="dxa"/>
          </w:tblCellMar>
        </w:tblPrEx>
        <w:trPr>
          <w:jc w:val="left"/>
        </w:trPr>
        <w:tc>
          <w:tcPr>
            <w:tcW w:w="426" w:type="dxa"/>
            <w:vMerge/>
          </w:tcPr>
          <w:p/>
        </w:tc>
        <w:tc>
          <w:tcPr>
            <w:tcW w:w="738" w:type="dxa"/>
            <w:tcBorders>
              <w:top w:val="single" w:sz="4" w:space="0" w:color="auto"/>
              <w:left w:val="single" w:sz="4" w:space="0" w:color="auto"/>
              <w:right w:val="single" w:sz="4" w:space="0" w:color="auto"/>
            </w:tcBorders>
          </w:tcPr>
          <w:p>
            <w:r>
              <w:t>投标人业绩</w:t>
            </w:r>
          </w:p>
        </w:tc>
        <w:tc>
          <w:tcPr>
            <w:tcW w:w="5949" w:type="dxa"/>
            <w:tcBorders>
              <w:top w:val="single" w:sz="4" w:space="0" w:color="auto"/>
              <w:left w:val="single" w:sz="4" w:space="0" w:color="auto"/>
              <w:right w:val="single" w:sz="4" w:space="0" w:color="auto"/>
            </w:tcBorders>
          </w:tcPr>
          <w:p>
            <w:r>
              <w:t xml:space="preserve">投标人提供2021年11月1日起至本项目招标公告发布之日止（以合同签订日期为准），与本项目同类开发服务项目的相关业绩材料。每提供一个有效业绩得1分，最多得5分。                </w:t>
            </w:r>
          </w:p>
          <w:p/>
          <w:p>
            <w:r>
              <w:t xml:space="preserve">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w:t>
            </w:r>
          </w:p>
          <w:p>
            <w:r>
              <w:t xml:space="preserve">2.提供的业绩合同材料复印件须字迹清晰，辨识无误；      </w:t>
            </w:r>
          </w:p>
          <w:p>
            <w:r>
              <w:t>3.不符合上述要求或未按要求提供有效证明文件的业绩在评审时将不予以承认。</w:t>
            </w:r>
          </w:p>
        </w:tc>
        <w:tc>
          <w:tcPr>
            <w:tcW w:w="1424" w:type="dxa"/>
          </w:tcPr>
          <w:p>
            <w:r>
              <w:t>勾选打分(0;1;2;3;4;5)</w:t>
            </w:r>
          </w:p>
        </w:tc>
      </w:tr>
      <w:tr>
        <w:tblPrEx>
          <w:tblW w:w="5004" w:type="pct"/>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738" w:type="dxa"/>
            <w:tcBorders>
              <w:top w:val="single" w:sz="4" w:space="0" w:color="auto"/>
              <w:left w:val="single" w:sz="4" w:space="0" w:color="auto"/>
              <w:right w:val="single" w:sz="4" w:space="0" w:color="auto"/>
            </w:tcBorders>
          </w:tcPr>
          <w:p>
            <w:r>
              <w:t>技术需求响应程度</w:t>
            </w:r>
          </w:p>
        </w:tc>
        <w:tc>
          <w:tcPr>
            <w:tcW w:w="5949" w:type="dxa"/>
            <w:tcBorders>
              <w:top w:val="single" w:sz="4" w:space="0" w:color="auto"/>
              <w:left w:val="single" w:sz="4" w:space="0" w:color="auto"/>
              <w:right w:val="single" w:sz="4" w:space="0" w:color="auto"/>
            </w:tcBorders>
          </w:tcPr>
          <w:p>
            <w:r>
              <w:t xml:space="preserve">完全满足招标文件项目需求书相关要求得63.7分，标注▲重要指标项每有一个不满足扣0.65分，一般指标项每有一个不满足扣0.2分。      </w:t>
            </w:r>
          </w:p>
          <w:p/>
          <w:p>
            <w:r>
              <w:t xml:space="preserve">重要指标共26个：分别为：         </w:t>
            </w:r>
          </w:p>
          <w:p>
            <w:r>
              <w:t xml:space="preserve">六、货物或服务指标要求17个：第1项5个，第2项7个，第3项1个，第4项1个，第7项3个。 </w:t>
            </w:r>
          </w:p>
          <w:p>
            <w:r>
              <w:t xml:space="preserve">七、服务要求6个：第2项2个，第4项2个，第 7、8项各1个。 </w:t>
            </w:r>
          </w:p>
          <w:p>
            <w:r>
              <w:t xml:space="preserve">八、实施要求3个：第1项1个，第6项2个。  </w:t>
            </w:r>
          </w:p>
          <w:p/>
          <w:p>
            <w:r>
              <w:t xml:space="preserve">一般指标项共234个： 分别为：                 </w:t>
            </w:r>
          </w:p>
          <w:p>
            <w:r>
              <w:t xml:space="preserve">五、集成需求3个：第1至3项各1个。 </w:t>
            </w:r>
          </w:p>
          <w:p>
            <w:r>
              <w:t xml:space="preserve">六、货物或服务指标要求225个：第 5、6项各1个，第8项3个，第10项5个，第11项7个，第 13至220 项各1个。 </w:t>
            </w:r>
          </w:p>
          <w:p>
            <w:r>
              <w:t xml:space="preserve">七、服务要求2个：第 5、6项各1个。 </w:t>
            </w:r>
          </w:p>
          <w:p>
            <w:r>
              <w:t>八、实施要求4个：第2项2个，第 3、5项各1个。</w:t>
            </w:r>
          </w:p>
        </w:tc>
        <w:tc>
          <w:tcPr>
            <w:tcW w:w="1424" w:type="dxa"/>
          </w:tcPr>
          <w:p>
            <w:r>
              <w:t>区间打分(0-63.7)</w:t>
            </w:r>
          </w:p>
        </w:tc>
      </w:tr>
      <w:tr>
        <w:tblPrEx>
          <w:tblW w:w="5004" w:type="pct"/>
          <w:jc w:val="left"/>
          <w:tblInd w:w="0" w:type="dxa"/>
          <w:tblCellMar>
            <w:top w:w="0" w:type="dxa"/>
            <w:left w:w="108" w:type="dxa"/>
            <w:bottom w:w="0" w:type="dxa"/>
            <w:right w:w="108" w:type="dxa"/>
          </w:tblCellMar>
        </w:tblPrEx>
        <w:trPr>
          <w:jc w:val="left"/>
        </w:trPr>
        <w:tc>
          <w:tcPr>
            <w:tcW w:w="426" w:type="dxa"/>
            <w:vMerge/>
          </w:tcPr>
          <w:p/>
        </w:tc>
        <w:tc>
          <w:tcPr>
            <w:tcW w:w="738" w:type="dxa"/>
            <w:tcBorders>
              <w:top w:val="single" w:sz="4" w:space="0" w:color="auto"/>
              <w:left w:val="single" w:sz="4" w:space="0" w:color="auto"/>
              <w:right w:val="single" w:sz="4" w:space="0" w:color="auto"/>
            </w:tcBorders>
          </w:tcPr>
          <w:p>
            <w:r>
              <w:t>需求理解分析</w:t>
            </w:r>
          </w:p>
        </w:tc>
        <w:tc>
          <w:tcPr>
            <w:tcW w:w="5949" w:type="dxa"/>
            <w:tcBorders>
              <w:top w:val="single" w:sz="4" w:space="0" w:color="auto"/>
              <w:left w:val="single" w:sz="4" w:space="0" w:color="auto"/>
              <w:right w:val="single" w:sz="4" w:space="0" w:color="auto"/>
            </w:tcBorders>
          </w:tcPr>
          <w:p>
            <w:r>
              <w:t xml:space="preserve">投标人应全面考量税收风险大数据智能筛查（“数智筛”）信息化系统现状，深入分析系统的架构和功能。需涵盖以下关键分析内容：业务现状分析、业务目标分析、业务需求分析、功能需求分析、技术需求分析以及集成需求分析等内容。应具备创新性和先进性，能够灵活扩展，并具有很强的可行性。通过多维度细致梳理需求，应清晰识别出项目所需实现的应用功能与具体内容，并与业务目标紧密结合，从而充分彰显采购方的核心要求。  </w:t>
            </w:r>
          </w:p>
          <w:p/>
          <w:p>
            <w:r>
              <w:t>需求理解分析科学周密，内容全面，完全契合项目实际，针对性可行性强，得</w:t>
            </w:r>
            <w:r>
              <w:rPr>
                <w:rFonts w:hint="eastAsia"/>
                <w:lang w:val="en-US" w:eastAsia="zh-CN"/>
              </w:rPr>
              <w:t>5</w:t>
            </w:r>
            <w:r>
              <w:t xml:space="preserve">分。                  </w:t>
            </w:r>
          </w:p>
          <w:p>
            <w:r>
              <w:t>需求理解分析内容完整，可以满足项目需要，针对性可行性较强，但需求理解分析内容（两个及以下）中有缺陷（缺陷包括：与事实不符、前后内容不一致、逻辑错误、不符合采购需求、内容有缺失等），得</w:t>
            </w:r>
            <w:r>
              <w:rPr>
                <w:lang w:val="en-US"/>
              </w:rPr>
              <w:t>3.4</w:t>
            </w:r>
            <w:r>
              <w:t xml:space="preserve">分。                     </w:t>
            </w:r>
          </w:p>
          <w:p>
            <w:r>
              <w:t>需求理解分析内容有漏项，未完全包括上述内容要求，或三个及以上内容中存在缺陷，得</w:t>
            </w:r>
            <w:r>
              <w:rPr>
                <w:lang w:val="en-US" w:eastAsia="zh-CN"/>
              </w:rPr>
              <w:t>1.7</w:t>
            </w:r>
            <w:r>
              <w:t xml:space="preserve">分。                      </w:t>
            </w:r>
          </w:p>
          <w:p>
            <w:r>
              <w:t xml:space="preserve">未提供需求理解分析或需求理解分析严重脱离项目实际，得0分。 </w:t>
            </w:r>
          </w:p>
        </w:tc>
        <w:tc>
          <w:tcPr>
            <w:tcW w:w="1424" w:type="dxa"/>
          </w:tcPr>
          <w:p>
            <w:r>
              <w:t>勾选打分</w:t>
            </w:r>
            <w:r>
              <w:rPr>
                <w:rFonts w:hint="eastAsia"/>
              </w:rPr>
              <w:t>(0;1.7;3.4;5)</w:t>
            </w:r>
          </w:p>
        </w:tc>
      </w:tr>
      <w:tr>
        <w:tblPrEx>
          <w:tblW w:w="5004" w:type="pct"/>
          <w:jc w:val="left"/>
          <w:tblInd w:w="0" w:type="dxa"/>
          <w:tblCellMar>
            <w:top w:w="0" w:type="dxa"/>
            <w:left w:w="108" w:type="dxa"/>
            <w:bottom w:w="0" w:type="dxa"/>
            <w:right w:w="108" w:type="dxa"/>
          </w:tblCellMar>
        </w:tblPrEx>
        <w:trPr>
          <w:jc w:val="left"/>
        </w:trPr>
        <w:tc>
          <w:tcPr>
            <w:tcW w:w="426" w:type="dxa"/>
            <w:vMerge/>
          </w:tcPr>
          <w:p/>
        </w:tc>
        <w:tc>
          <w:tcPr>
            <w:tcW w:w="738" w:type="dxa"/>
            <w:tcBorders>
              <w:top w:val="single" w:sz="4" w:space="0" w:color="auto"/>
              <w:left w:val="single" w:sz="4" w:space="0" w:color="auto"/>
              <w:right w:val="single" w:sz="4" w:space="0" w:color="auto"/>
            </w:tcBorders>
          </w:tcPr>
          <w:p>
            <w:r>
              <w:t>技术设计方案</w:t>
            </w:r>
          </w:p>
        </w:tc>
        <w:tc>
          <w:tcPr>
            <w:tcW w:w="5949" w:type="dxa"/>
            <w:tcBorders>
              <w:top w:val="single" w:sz="4" w:space="0" w:color="auto"/>
              <w:left w:val="single" w:sz="4" w:space="0" w:color="auto"/>
              <w:right w:val="single" w:sz="4" w:space="0" w:color="auto"/>
            </w:tcBorders>
          </w:tcPr>
          <w:p>
            <w:r>
              <w:t xml:space="preserve">投标人提供技术设计方案，应充分理解并响应具体的业务需求，对各项内容进行详细且精确的描述，方案应包括业务架构设计、应用架构设计、功能架构设计、技术架构设计、数据架构设计、部署架构设计及安全架构设计等内容。方案需保证内容完整、设计合理，并且逻辑清晰。同时，方案必须具有高度的可行性，能够提供核心功能的界面设计图，以支持项目的高效实施和应用。  </w:t>
            </w:r>
          </w:p>
          <w:p/>
          <w:p>
            <w:r>
              <w:t>技术设计方案科学周密，内容全面，完全契合项目实际，针对性可行性强，得</w:t>
            </w:r>
            <w:r>
              <w:rPr>
                <w:rFonts w:hint="eastAsia"/>
                <w:lang w:val="en-US" w:eastAsia="zh-CN"/>
              </w:rPr>
              <w:t>5</w:t>
            </w:r>
            <w:r>
              <w:t xml:space="preserve">分。                  </w:t>
            </w:r>
          </w:p>
          <w:p>
            <w:r>
              <w:t>技术设计方案内容完整，可以满足项目需要，针对性可行性较强，但方案内容（两个及以下）中有缺陷（缺陷包括：与事实不符、前后内容不一致、逻辑错误、不符合采购需求、内容有缺失等），得</w:t>
            </w:r>
            <w:r>
              <w:rPr>
                <w:lang w:val="en-US"/>
              </w:rPr>
              <w:t>3.</w:t>
            </w:r>
            <w:r>
              <w:rPr>
                <w:rFonts w:hint="eastAsia"/>
                <w:lang w:val="en-US" w:eastAsia="zh-CN"/>
              </w:rPr>
              <w:t>4</w:t>
            </w:r>
            <w:r>
              <w:t xml:space="preserve">分。                     </w:t>
            </w:r>
          </w:p>
          <w:p>
            <w:r>
              <w:t>技术设计方案内容有漏项，未完全包括上述内容要求，或三个及以上内容中存在缺陷，得</w:t>
            </w:r>
            <w:r>
              <w:rPr>
                <w:lang w:val="en-US"/>
              </w:rPr>
              <w:t>1.7</w:t>
            </w:r>
            <w:r>
              <w:t xml:space="preserve">分。                      </w:t>
            </w:r>
          </w:p>
          <w:p>
            <w:r>
              <w:t xml:space="preserve">未提供技术设计方案或方案严重脱离项目实际，得0分。 </w:t>
            </w:r>
          </w:p>
        </w:tc>
        <w:tc>
          <w:tcPr>
            <w:tcW w:w="1424" w:type="dxa"/>
          </w:tcPr>
          <w:p>
            <w:r>
              <w:t>勾选打分</w:t>
            </w:r>
            <w:r>
              <w:rPr>
                <w:rFonts w:hint="eastAsia"/>
              </w:rPr>
              <w:t>(0;1.7;3.4;5)</w:t>
            </w:r>
          </w:p>
        </w:tc>
      </w:tr>
      <w:tr>
        <w:tblPrEx>
          <w:tblW w:w="5004" w:type="pct"/>
          <w:jc w:val="left"/>
          <w:tblInd w:w="0" w:type="dxa"/>
          <w:tblCellMar>
            <w:top w:w="0" w:type="dxa"/>
            <w:left w:w="108" w:type="dxa"/>
            <w:bottom w:w="0" w:type="dxa"/>
            <w:right w:w="108" w:type="dxa"/>
          </w:tblCellMar>
        </w:tblPrEx>
        <w:trPr>
          <w:jc w:val="left"/>
        </w:trPr>
        <w:tc>
          <w:tcPr>
            <w:tcW w:w="426" w:type="dxa"/>
            <w:vMerge/>
          </w:tcPr>
          <w:p/>
        </w:tc>
        <w:tc>
          <w:tcPr>
            <w:tcW w:w="738" w:type="dxa"/>
            <w:tcBorders>
              <w:top w:val="single" w:sz="4" w:space="0" w:color="auto"/>
              <w:left w:val="single" w:sz="4" w:space="0" w:color="auto"/>
              <w:right w:val="single" w:sz="4" w:space="0" w:color="auto"/>
            </w:tcBorders>
          </w:tcPr>
          <w:p>
            <w:r>
              <w:t>系统集成方案</w:t>
            </w:r>
          </w:p>
        </w:tc>
        <w:tc>
          <w:tcPr>
            <w:tcW w:w="5949" w:type="dxa"/>
            <w:tcBorders>
              <w:top w:val="single" w:sz="4" w:space="0" w:color="auto"/>
              <w:left w:val="single" w:sz="4" w:space="0" w:color="auto"/>
              <w:right w:val="single" w:sz="4" w:space="0" w:color="auto"/>
            </w:tcBorders>
          </w:tcPr>
          <w:p>
            <w:pPr>
              <w:spacing w:line="240" w:lineRule="auto"/>
            </w:pPr>
            <w:r>
              <w:t>投标人需提供针对海关H4A应用系统的</w:t>
            </w:r>
            <w:r>
              <w:rPr>
                <w:rFonts w:hint="eastAsia"/>
                <w:lang w:val="en-US" w:eastAsia="zh-CN"/>
              </w:rPr>
              <w:t>集成</w:t>
            </w:r>
            <w:r>
              <w:t>方案，展示管理应用中数据权限与功能权限的控制路径。在与税管作业平台对接方面，要求实现风险数据发送及状态反馈的处理机制，以确保系统间数据传输的有效性和协同工作。方案中应详细说明与</w:t>
            </w:r>
            <w:r>
              <w:rPr>
                <w:rFonts w:hint="eastAsia"/>
                <w:lang w:val="en-US" w:eastAsia="zh-CN"/>
              </w:rPr>
              <w:t>大数据池、</w:t>
            </w:r>
            <w:r>
              <w:t>大数据分析平台对接的业务数据同步获取与更新机制，并提供可靠的数据同步方法，以满足实时更新需求。</w:t>
            </w:r>
            <w:r>
              <w:rPr>
                <w:rFonts w:hint="eastAsia"/>
                <w:lang w:val="en-US" w:eastAsia="zh-CN"/>
              </w:rPr>
              <w:t>方案</w:t>
            </w:r>
            <w:r>
              <w:t>需阐明与数据资源共享</w:t>
            </w:r>
            <w:r>
              <w:rPr>
                <w:rFonts w:hint="eastAsia"/>
                <w:lang w:val="en-US" w:eastAsia="zh-CN"/>
              </w:rPr>
              <w:t>服务</w:t>
            </w:r>
            <w:r>
              <w:t>平台的对接策略，以确保获取单证详情的效率和符合平台间数据交换的标准。</w:t>
            </w:r>
            <w:r>
              <w:rPr>
                <w:rFonts w:hint="eastAsia"/>
                <w:lang w:val="en-US" w:eastAsia="zh-CN"/>
              </w:rPr>
              <w:t>此外，还需介绍集成海关应用支撑平台前后端服务的具体方案。系统集成方案</w:t>
            </w:r>
            <w:r>
              <w:t>应</w:t>
            </w:r>
            <w:r>
              <w:rPr>
                <w:rFonts w:hint="eastAsia"/>
                <w:lang w:val="en-US" w:eastAsia="zh-CN"/>
              </w:rPr>
              <w:t>包含总体说明、架构设计、功能设计、技术实现等内容</w:t>
            </w:r>
            <w:r>
              <w:rPr>
                <w:rFonts w:hint="eastAsia"/>
                <w:lang w:eastAsia="zh-CN"/>
              </w:rPr>
              <w:t>，</w:t>
            </w:r>
            <w:r>
              <w:t>展现其集成模式的清晰性、科学性和可行性</w:t>
            </w:r>
            <w:r>
              <w:rPr>
                <w:rFonts w:hint="eastAsia"/>
              </w:rPr>
              <w:t>。</w:t>
            </w:r>
          </w:p>
          <w:p>
            <w:pPr>
              <w:rPr>
                <w:color w:val="FF0000"/>
              </w:rPr>
            </w:pPr>
            <w:r>
              <w:rPr>
                <w:color w:val="FF0000"/>
              </w:rPr>
              <w:t xml:space="preserve">  </w:t>
            </w:r>
          </w:p>
          <w:p/>
          <w:p>
            <w:r>
              <w:t>系统集成方案科学周密，内容全面，完全契合项目实际，针对性可行性强，得</w:t>
            </w:r>
            <w:r>
              <w:rPr>
                <w:rFonts w:hint="eastAsia"/>
                <w:lang w:val="en-US" w:eastAsia="zh-CN"/>
              </w:rPr>
              <w:t>5</w:t>
            </w:r>
            <w:r>
              <w:t xml:space="preserve">分。                  </w:t>
            </w:r>
          </w:p>
          <w:p>
            <w:r>
              <w:t>系统集成方案内容完整，可以满足项目需要，针对性可行性较强，但方案内容（两个及以下）中有缺陷（缺陷包括：与事实不符、前后内容不一致、逻辑错误、不符合采购需求、内容有缺失等），得</w:t>
            </w:r>
            <w:r>
              <w:rPr>
                <w:lang w:val="en-US"/>
              </w:rPr>
              <w:t>3.</w:t>
            </w:r>
            <w:r>
              <w:rPr>
                <w:rFonts w:hint="eastAsia"/>
                <w:lang w:val="en-US" w:eastAsia="zh-CN"/>
              </w:rPr>
              <w:t>4</w:t>
            </w:r>
            <w:r>
              <w:t xml:space="preserve">分。                     </w:t>
            </w:r>
          </w:p>
          <w:p>
            <w:r>
              <w:t>系统集成方案内容有漏项，未完全包括上述内容要求，或三个及以上内容中存在缺陷，得</w:t>
            </w:r>
            <w:r>
              <w:rPr>
                <w:lang w:val="en-US" w:eastAsia="zh-CN"/>
              </w:rPr>
              <w:t>1.7</w:t>
            </w:r>
            <w:r>
              <w:t xml:space="preserve">分。                      </w:t>
            </w:r>
          </w:p>
          <w:p>
            <w:r>
              <w:t xml:space="preserve">未提供系统集成方案或方案严重脱离项目实际，得0分。 </w:t>
            </w:r>
          </w:p>
        </w:tc>
        <w:tc>
          <w:tcPr>
            <w:tcW w:w="1424" w:type="dxa"/>
          </w:tcPr>
          <w:p>
            <w:r>
              <w:t>勾选打分</w:t>
            </w:r>
            <w:r>
              <w:rPr>
                <w:rFonts w:hint="eastAsia"/>
              </w:rPr>
              <w:t>(0;1.7;3.4;5)</w:t>
            </w:r>
          </w:p>
        </w:tc>
      </w:tr>
      <w:tr>
        <w:tblPrEx>
          <w:tblW w:w="5004"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738" w:type="dxa"/>
            <w:tcBorders>
              <w:top w:val="single" w:sz="4" w:space="0" w:color="auto"/>
              <w:left w:val="single" w:sz="4" w:space="0" w:color="auto"/>
              <w:right w:val="single" w:sz="4" w:space="0" w:color="auto"/>
            </w:tcBorders>
          </w:tcPr>
          <w:p>
            <w:r>
              <w:t>实施管理方案</w:t>
            </w:r>
          </w:p>
        </w:tc>
        <w:tc>
          <w:tcPr>
            <w:tcW w:w="5949" w:type="dxa"/>
            <w:tcBorders>
              <w:top w:val="single" w:sz="4" w:space="0" w:color="auto"/>
              <w:left w:val="single" w:sz="4" w:space="0" w:color="auto"/>
              <w:right w:val="single" w:sz="4" w:space="0" w:color="auto"/>
            </w:tcBorders>
          </w:tcPr>
          <w:p>
            <w:r>
              <w:t xml:space="preserve">投标人提供项目实施管理方案，内容包括但不限于项目实施计划（测试、培训、应急措施、人员配备等对用户的有利性以及保证项目顺利实施的其他因素）、项目进度及保障措施等内容。  </w:t>
            </w:r>
          </w:p>
          <w:p/>
          <w:p>
            <w:r>
              <w:t xml:space="preserve">实施管理方案科学周密，内容全面，完全契合项目实际，针对性可行性强，得2.4分。               </w:t>
            </w:r>
          </w:p>
          <w:p>
            <w:r>
              <w:t xml:space="preserve">实施管理方案内容完整，可以满足项目需要，针对性可行性较强，但方案上述内容中有一项有缺陷（缺陷包括：与事实不符、前后内容不一致、逻辑错误、不符合采购需求、内容有缺失等），得1.6分。              </w:t>
            </w:r>
          </w:p>
          <w:p>
            <w:r>
              <w:t xml:space="preserve">实施管理方案内容有漏项，未完全包括上述内容要求，或上述两个以上内容中存在缺陷，得0.8分。                 </w:t>
            </w:r>
          </w:p>
          <w:p>
            <w:r>
              <w:t>未提供实施管理方案或方案严重脱离项目实际，得0分。</w:t>
            </w:r>
          </w:p>
        </w:tc>
        <w:tc>
          <w:tcPr>
            <w:tcW w:w="1424" w:type="dxa"/>
          </w:tcPr>
          <w:p>
            <w:r>
              <w:t>勾选打分</w:t>
            </w:r>
            <w:r>
              <w:rPr>
                <w:rFonts w:hint="eastAsia"/>
              </w:rPr>
              <w:t>(0;0.8;1.6;2.4)</w:t>
            </w:r>
          </w:p>
        </w:tc>
      </w:tr>
      <w:tr>
        <w:tblPrEx>
          <w:tblW w:w="5004" w:type="pct"/>
          <w:jc w:val="left"/>
          <w:tblInd w:w="0" w:type="dxa"/>
          <w:tblCellMar>
            <w:top w:w="0" w:type="dxa"/>
            <w:left w:w="108" w:type="dxa"/>
            <w:bottom w:w="0" w:type="dxa"/>
            <w:right w:w="108" w:type="dxa"/>
          </w:tblCellMar>
        </w:tblPrEx>
        <w:trPr>
          <w:jc w:val="left"/>
        </w:trPr>
        <w:tc>
          <w:tcPr>
            <w:tcW w:w="426" w:type="dxa"/>
            <w:vMerge/>
          </w:tcPr>
          <w:p/>
        </w:tc>
        <w:tc>
          <w:tcPr>
            <w:tcW w:w="738" w:type="dxa"/>
            <w:tcBorders>
              <w:top w:val="single" w:sz="4" w:space="0" w:color="auto"/>
              <w:left w:val="single" w:sz="4" w:space="0" w:color="auto"/>
              <w:right w:val="single" w:sz="4" w:space="0" w:color="auto"/>
            </w:tcBorders>
          </w:tcPr>
          <w:p>
            <w:r>
              <w:t>运维服务方案</w:t>
            </w:r>
          </w:p>
        </w:tc>
        <w:tc>
          <w:tcPr>
            <w:tcW w:w="5949" w:type="dxa"/>
            <w:tcBorders>
              <w:top w:val="single" w:sz="4" w:space="0" w:color="auto"/>
              <w:left w:val="single" w:sz="4" w:space="0" w:color="auto"/>
              <w:right w:val="single" w:sz="4" w:space="0" w:color="auto"/>
            </w:tcBorders>
          </w:tcPr>
          <w:p>
            <w:r>
              <w:t xml:space="preserve">投标人提供运维服务方案，包括但不限于售后服务机构的设置及专业维护人员的配备、故障排除时间、服务措施、服务承诺等。方案内容全面、处理方式合理、可行性强。  </w:t>
            </w:r>
          </w:p>
          <w:p/>
          <w:p>
            <w:r>
              <w:t xml:space="preserve">运维服务方案科学周密，内容全面，完全契合项目实际，针对性可行性强，得2.1分。                 </w:t>
            </w:r>
          </w:p>
          <w:p>
            <w:r>
              <w:t xml:space="preserve">运维服务方案内容完整，可以满足项目需要，针对性可行性较强，但方案内容（两个及以下）中有缺陷（缺陷包括：与事实不符、前后内容不一致、逻辑错误、不符合采购需求、内容有缺失等），得1.4分。                    </w:t>
            </w:r>
          </w:p>
          <w:p>
            <w:r>
              <w:t xml:space="preserve">运维服务方案内容有漏项，未完全包括上述内容要求，或三个及以上内容中存在缺陷，得0.7分。                     </w:t>
            </w:r>
          </w:p>
          <w:p>
            <w:r>
              <w:t xml:space="preserve">未提供运维服务方案或方案严重脱离项目实际，得0分。 </w:t>
            </w:r>
          </w:p>
        </w:tc>
        <w:tc>
          <w:tcPr>
            <w:tcW w:w="1424" w:type="dxa"/>
          </w:tcPr>
          <w:p>
            <w:r>
              <w:t>勾选打分</w:t>
            </w:r>
            <w:r>
              <w:rPr>
                <w:rFonts w:hint="eastAsia"/>
              </w:rPr>
              <w:t>(0;0.7;1.4;2.1)</w:t>
            </w:r>
          </w:p>
        </w:tc>
      </w:tr>
    </w:tbl>
    <w:p>
      <w:pPr>
        <w:pStyle w:val="1414"/>
      </w:pPr>
      <w:bookmarkEnd w:id="48"/>
      <w:r>
        <w:rPr>
          <w:rFonts w:ascii="Times New Roman" w:eastAsia="宋体" w:hAnsi="Times New Roman"/>
        </w:rPr>
        <w:t>注：1.评分分值精确到小数点后一位，第二位四舍五入。计算结果精确到小数点后二位，第三位四舍五入。</w:t>
      </w:r>
    </w:p>
    <w:p>
      <w:pPr>
        <w:pStyle w:val="Heading1"/>
        <w:ind w:firstLine="3000" w:firstLineChars="1000"/>
        <w:jc w:val="both"/>
        <w:rPr>
          <w:highlight w:val="white"/>
        </w:rPr>
      </w:pPr>
      <w:bookmarkStart w:id="49" w:name="_Toc65406667"/>
      <w:r>
        <w:rPr>
          <w:highlight w:val="white"/>
        </w:rPr>
        <w:br w:type="page"/>
      </w:r>
    </w:p>
    <w:p>
      <w:pPr>
        <w:pStyle w:val="Heading1"/>
        <w:ind w:firstLine="3000" w:firstLineChars="1000"/>
        <w:jc w:val="both"/>
        <w:rPr>
          <w:highlight w:val="white"/>
        </w:rPr>
      </w:pPr>
    </w:p>
    <w:p>
      <w:pPr>
        <w:pStyle w:val="Heading1"/>
        <w:ind w:firstLine="3000" w:firstLineChars="1000"/>
        <w:jc w:val="both"/>
        <w:rPr>
          <w:highlight w:val="white"/>
        </w:rPr>
      </w:pPr>
      <w:r>
        <w:rPr>
          <w:rFonts w:hint="eastAsia"/>
          <w:highlight w:val="white"/>
        </w:rPr>
        <w:t>第</w:t>
      </w:r>
      <w:r>
        <w:rPr>
          <w:highlight w:val="white"/>
        </w:rPr>
        <w:t>五</w:t>
      </w:r>
      <w:r>
        <w:rPr>
          <w:rFonts w:hint="eastAsia"/>
          <w:highlight w:val="white"/>
        </w:rPr>
        <w:t xml:space="preserve">部分  </w:t>
      </w:r>
      <w:r>
        <w:rPr>
          <w:highlight w:val="white"/>
        </w:rPr>
        <w:t>合同文本</w:t>
      </w:r>
      <w:bookmarkEnd w:id="49"/>
    </w:p>
    <w:p>
      <w:pPr>
        <w:spacing w:line="360" w:lineRule="auto"/>
        <w:jc w:val="center"/>
        <w:rPr>
          <w:rFonts w:ascii="宋体" w:hint="eastAsia"/>
          <w:sz w:val="72"/>
          <w:szCs w:val="72"/>
        </w:rPr>
      </w:pPr>
      <w:bookmarkStart w:id="50" w:name="_Hlk148265843"/>
      <w:bookmarkStart w:id="51" w:name="插入_TBWJGS_CONTRACT"/>
    </w:p>
    <w:p>
      <w:pPr>
        <w:spacing w:line="360" w:lineRule="auto"/>
        <w:jc w:val="center"/>
        <w:rPr>
          <w:rFonts w:ascii="宋体" w:hint="eastAsia"/>
          <w:sz w:val="72"/>
          <w:szCs w:val="72"/>
        </w:rPr>
      </w:pPr>
    </w:p>
    <w:p>
      <w:pPr>
        <w:spacing w:line="360" w:lineRule="auto"/>
        <w:jc w:val="center"/>
        <w:rPr>
          <w:rFonts w:ascii="宋体" w:hint="eastAsia"/>
          <w:sz w:val="72"/>
          <w:szCs w:val="72"/>
        </w:rPr>
      </w:pPr>
    </w:p>
    <w:p>
      <w:pPr>
        <w:spacing w:line="360" w:lineRule="auto"/>
        <w:jc w:val="center"/>
        <w:rPr>
          <w:rFonts w:ascii="宋体" w:hint="eastAsia"/>
          <w:b/>
          <w:bCs/>
          <w:sz w:val="30"/>
          <w:szCs w:val="30"/>
        </w:rPr>
      </w:pPr>
    </w:p>
    <w:p>
      <w:pPr>
        <w:spacing w:line="360" w:lineRule="auto"/>
        <w:jc w:val="center"/>
        <w:rPr>
          <w:rFonts w:ascii="仿宋_GB2312" w:eastAsia="仿宋_GB2312" w:cs="仿宋_GB2312" w:hint="eastAsia"/>
          <w:b/>
          <w:bCs/>
          <w:sz w:val="44"/>
          <w:szCs w:val="44"/>
        </w:rPr>
      </w:pPr>
      <w:r>
        <w:rPr>
          <w:rFonts w:ascii="仿宋_GB2312" w:eastAsia="仿宋_GB2312" w:cs="仿宋_GB2312" w:hint="eastAsia"/>
          <w:b/>
          <w:bCs/>
          <w:sz w:val="44"/>
          <w:szCs w:val="44"/>
          <w:lang w:bidi="ar-SA"/>
        </w:rPr>
        <w:t>技术开发服务</w:t>
      </w:r>
      <w:bookmarkEnd w:id="50"/>
      <w:r>
        <w:rPr>
          <w:rFonts w:ascii="仿宋_GB2312" w:eastAsia="仿宋_GB2312" w:cs="仿宋_GB2312" w:hint="eastAsia"/>
          <w:b/>
          <w:bCs/>
          <w:sz w:val="44"/>
          <w:szCs w:val="44"/>
          <w:lang w:bidi="ar-SA"/>
        </w:rPr>
        <w:t>合同</w:t>
      </w: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rPr>
      </w:pPr>
    </w:p>
    <w:p>
      <w:pPr>
        <w:spacing w:line="360" w:lineRule="auto"/>
        <w:ind w:firstLine="2805" w:firstLineChars="935"/>
        <w:rPr>
          <w:rFonts w:ascii="仿宋_GB2312" w:eastAsia="仿宋_GB2312" w:cs="仿宋_GB2312" w:hint="eastAsia"/>
          <w:sz w:val="30"/>
          <w:szCs w:val="30"/>
          <w:u w:val="single"/>
        </w:rPr>
      </w:pPr>
      <w:r>
        <w:rPr>
          <w:rFonts w:ascii="仿宋_GB2312" w:eastAsia="仿宋_GB2312" w:cs="仿宋_GB2312" w:hint="eastAsia"/>
          <w:sz w:val="30"/>
          <w:szCs w:val="30"/>
          <w:lang w:bidi="ar-SA"/>
        </w:rPr>
        <w:t>委托方：</w:t>
      </w:r>
      <w:r>
        <w:rPr>
          <w:rFonts w:ascii="仿宋_GB2312" w:eastAsia="仿宋_GB2312" w:cs="仿宋_GB2312" w:hint="eastAsia"/>
          <w:sz w:val="30"/>
          <w:szCs w:val="30"/>
          <w:u w:val="single"/>
          <w:lang w:bidi="ar-SA"/>
        </w:rPr>
        <w:t xml:space="preserve">                         </w:t>
      </w:r>
    </w:p>
    <w:p>
      <w:pPr>
        <w:spacing w:line="360" w:lineRule="auto"/>
        <w:jc w:val="center"/>
        <w:rPr>
          <w:rFonts w:ascii="仿宋_GB2312" w:eastAsia="仿宋_GB2312" w:cs="仿宋_GB2312" w:hint="eastAsia"/>
          <w:sz w:val="30"/>
          <w:szCs w:val="30"/>
        </w:rPr>
      </w:pPr>
      <w:r>
        <w:rPr>
          <w:rFonts w:ascii="仿宋_GB2312" w:eastAsia="仿宋_GB2312" w:cs="仿宋_GB2312" w:hint="eastAsia"/>
          <w:sz w:val="30"/>
          <w:szCs w:val="30"/>
          <w:lang w:bidi="ar-SA"/>
        </w:rPr>
        <w:t xml:space="preserve">                          </w:t>
      </w:r>
    </w:p>
    <w:p>
      <w:pPr>
        <w:spacing w:line="360" w:lineRule="auto"/>
        <w:ind w:firstLine="2400" w:firstLineChars="800"/>
        <w:rPr>
          <w:rFonts w:ascii="仿宋_GB2312" w:eastAsia="仿宋_GB2312" w:cs="仿宋_GB2312" w:hint="eastAsia"/>
          <w:sz w:val="30"/>
          <w:szCs w:val="30"/>
          <w:u w:val="single"/>
        </w:rPr>
      </w:pPr>
      <w:r>
        <w:rPr>
          <w:rFonts w:ascii="仿宋_GB2312" w:eastAsia="仿宋_GB2312" w:cs="仿宋_GB2312" w:hint="eastAsia"/>
          <w:spacing w:val="20"/>
          <w:sz w:val="30"/>
          <w:szCs w:val="30"/>
          <w:lang w:bidi="ar-SA"/>
        </w:rPr>
        <w:t>受托方：</w:t>
      </w:r>
      <w:r>
        <w:rPr>
          <w:rFonts w:ascii="仿宋_GB2312" w:eastAsia="仿宋_GB2312" w:cs="仿宋_GB2312" w:hint="eastAsia"/>
          <w:sz w:val="30"/>
          <w:szCs w:val="30"/>
          <w:u w:val="single"/>
          <w:lang w:bidi="ar-SA"/>
        </w:rPr>
        <w:t xml:space="preserve">                        </w:t>
      </w:r>
    </w:p>
    <w:p>
      <w:pPr>
        <w:adjustRightInd w:val="0"/>
        <w:snapToGrid w:val="0"/>
        <w:spacing w:line="360" w:lineRule="auto"/>
        <w:ind w:firstLine="2685" w:firstLineChars="895"/>
        <w:rPr>
          <w:rFonts w:ascii="仿宋_GB2312" w:eastAsia="仿宋_GB2312" w:cs="仿宋_GB2312" w:hint="eastAsia"/>
          <w:b/>
          <w:sz w:val="30"/>
          <w:szCs w:val="30"/>
        </w:rPr>
      </w:pPr>
      <w:r>
        <w:rPr>
          <w:rFonts w:ascii="仿宋_GB2312" w:eastAsia="仿宋_GB2312" w:cs="仿宋_GB2312" w:hint="eastAsia"/>
          <w:color w:val="FF0000"/>
          <w:sz w:val="30"/>
          <w:szCs w:val="30"/>
          <w:lang w:bidi="ar-SA"/>
        </w:rPr>
        <w:br w:type="page"/>
      </w:r>
    </w:p>
    <w:p>
      <w:pPr>
        <w:adjustRightInd w:val="0"/>
        <w:snapToGrid w:val="0"/>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委托方（全称）：中华人民共和国大连海关（简称甲方）</w:t>
      </w:r>
    </w:p>
    <w:p>
      <w:pPr>
        <w:tabs>
          <w:tab w:val="left" w:pos="630"/>
        </w:tabs>
        <w:adjustRightInd w:val="0"/>
        <w:snapToGrid w:val="0"/>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受托方（全称）：</w:t>
      </w:r>
      <w:r>
        <w:rPr>
          <w:rFonts w:ascii="仿宋_GB2312" w:eastAsia="仿宋_GB2312" w:cs="仿宋_GB2312" w:hint="eastAsia"/>
          <w:sz w:val="30"/>
          <w:szCs w:val="30"/>
          <w:u w:val="single"/>
          <w:lang w:bidi="ar-SA"/>
        </w:rPr>
        <w:t xml:space="preserve">  </w:t>
      </w:r>
      <w:r>
        <w:rPr>
          <w:rFonts w:ascii="仿宋_GB2312" w:eastAsia="仿宋_GB2312" w:cs="仿宋_GB2312" w:hint="eastAsia"/>
          <w:b/>
          <w:sz w:val="30"/>
          <w:szCs w:val="30"/>
          <w:u w:val="single"/>
          <w:lang w:bidi="ar-SA"/>
        </w:rPr>
        <w:t xml:space="preserve">                          </w:t>
      </w:r>
      <w:r>
        <w:rPr>
          <w:rFonts w:ascii="仿宋_GB2312" w:eastAsia="仿宋_GB2312" w:cs="仿宋_GB2312" w:hint="eastAsia"/>
          <w:sz w:val="30"/>
          <w:szCs w:val="30"/>
          <w:lang w:bidi="ar-SA"/>
        </w:rPr>
        <w:t>（简称乙方）</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甲乙双方根据</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年</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月</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日采购项目的采购结果，甲方接受乙方为本项目</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采购所做的投标文件，乙方必须完全按中标通知书中项目履行义务。甲乙双方同意签署本合同（以下简称合同）。</w:t>
      </w:r>
    </w:p>
    <w:p>
      <w:pPr>
        <w:spacing w:line="360" w:lineRule="auto"/>
        <w:ind w:left="420" w:left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一、技术服务范围：</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项目开发服务，上线部署及运维管理。</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二、服务内容及基本要求：</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内容及要求应符合、满足招标文件“第三部分项目需求书”。</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三、合同履行期限及地点：</w:t>
      </w:r>
    </w:p>
    <w:p>
      <w:pPr>
        <w:tabs>
          <w:tab w:val="left" w:pos="84"/>
        </w:tabs>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sz w:val="30"/>
          <w:szCs w:val="30"/>
          <w:lang w:bidi="ar-SA"/>
        </w:rPr>
        <w:t>1.合同履行期限：</w:t>
      </w:r>
      <w:r>
        <w:rPr>
          <w:rFonts w:ascii="仿宋_GB2312" w:eastAsia="仿宋_GB2312" w:cs="仿宋_GB2312" w:hint="eastAsia"/>
          <w:kern w:val="0"/>
          <w:sz w:val="30"/>
          <w:szCs w:val="30"/>
          <w:lang w:bidi="ar-SA"/>
        </w:rPr>
        <w:t>合同签订后   日内完成项目建设及上线部署工作，系统试运行   日后组织验收，验收合格后正式上线使用。</w:t>
      </w:r>
    </w:p>
    <w:p>
      <w:pPr>
        <w:spacing w:line="360" w:lineRule="auto"/>
        <w:ind w:firstLine="600" w:firstLineChars="200"/>
        <w:rPr>
          <w:rFonts w:ascii="仿宋_GB2312" w:eastAsia="仿宋_GB2312" w:cs="仿宋_GB2312" w:hint="eastAsia"/>
          <w:kern w:val="0"/>
          <w:sz w:val="30"/>
          <w:szCs w:val="30"/>
          <w:u w:val="single"/>
        </w:rPr>
      </w:pPr>
      <w:r>
        <w:rPr>
          <w:rFonts w:ascii="仿宋_GB2312" w:eastAsia="仿宋_GB2312" w:cs="仿宋_GB2312" w:hint="eastAsia"/>
          <w:sz w:val="30"/>
          <w:szCs w:val="30"/>
          <w:lang w:bidi="ar-SA"/>
        </w:rPr>
        <w:t>2.服务地点：大连、北京或海关指定地址</w:t>
      </w:r>
      <w:r>
        <w:rPr>
          <w:rFonts w:ascii="仿宋_GB2312" w:eastAsia="仿宋_GB2312" w:cs="仿宋_GB2312" w:hint="eastAsia"/>
          <w:color w:val="000000"/>
          <w:kern w:val="0"/>
          <w:sz w:val="30"/>
          <w:szCs w:val="30"/>
          <w:lang w:bidi="ar-SA"/>
        </w:rPr>
        <w:t>。</w:t>
      </w:r>
    </w:p>
    <w:p>
      <w:pPr>
        <w:spacing w:line="360" w:lineRule="auto"/>
        <w:ind w:firstLine="600" w:firstLineChars="200"/>
        <w:rPr>
          <w:rFonts w:ascii="仿宋_GB2312" w:eastAsia="仿宋_GB2312" w:cs="仿宋_GB2312" w:hint="eastAsia"/>
          <w:b/>
          <w:kern w:val="0"/>
          <w:sz w:val="30"/>
          <w:szCs w:val="30"/>
        </w:rPr>
      </w:pPr>
      <w:r>
        <w:rPr>
          <w:rFonts w:ascii="仿宋_GB2312" w:eastAsia="仿宋_GB2312" w:cs="仿宋_GB2312" w:hint="eastAsia"/>
          <w:b/>
          <w:kern w:val="0"/>
          <w:sz w:val="30"/>
          <w:szCs w:val="30"/>
          <w:lang w:bidi="ar-SA"/>
        </w:rPr>
        <w:t>四、付款方式：</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1.合同签订且乙方完成软件需求规格书、系统设计审核确认后，支付合同款项的</w:t>
      </w:r>
      <w:r>
        <w:rPr>
          <w:rFonts w:ascii="仿宋_GB2312" w:eastAsia="仿宋_GB2312" w:cs="仿宋_GB2312"/>
          <w:sz w:val="30"/>
          <w:szCs w:val="30"/>
          <w:lang w:val="en-US" w:eastAsia="zh-CN" w:bidi="ar-SA"/>
        </w:rPr>
        <w:t>2</w:t>
      </w:r>
      <w:r>
        <w:rPr>
          <w:rFonts w:ascii="仿宋_GB2312" w:eastAsia="仿宋_GB2312" w:cs="仿宋_GB2312" w:hint="eastAsia"/>
          <w:sz w:val="30"/>
          <w:szCs w:val="30"/>
          <w:lang w:bidi="ar-SA"/>
        </w:rPr>
        <w:t>0%；系统上线后，支付合同款项的</w:t>
      </w:r>
      <w:r>
        <w:rPr>
          <w:rFonts w:ascii="仿宋_GB2312" w:eastAsia="仿宋_GB2312" w:cs="仿宋_GB2312"/>
          <w:sz w:val="30"/>
          <w:szCs w:val="30"/>
          <w:lang w:val="en-US" w:eastAsia="zh-CN" w:bidi="ar-SA"/>
        </w:rPr>
        <w:t>7</w:t>
      </w:r>
      <w:r>
        <w:rPr>
          <w:rFonts w:ascii="仿宋_GB2312" w:eastAsia="仿宋_GB2312" w:cs="仿宋_GB2312" w:hint="eastAsia"/>
          <w:sz w:val="30"/>
          <w:szCs w:val="30"/>
          <w:lang w:bidi="ar-SA"/>
        </w:rPr>
        <w:t>0%；合同验收后，支付合同款项的10%。</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2.每次支付价款前，乙方应当向甲方提供等额的增值税普通发票。否则，甲方有权拒绝支付且不承担任何责任，乙方不得以此为由迟延或拒绝服务。甲方对发票的接收并不表示甲方对该发票的真伪承担责任。如因乙方提交虚假发票或该发票存在其他瑕疵而使甲方被税务机关处罚或受到其他损失的，甲方有权向乙方追偿，并有权要求乙方重新提供合法有效的增值税普通发票。</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3.本合同签订时，乙方已经充分了解甲方财政拨款支付程序，愿意接收甲方按照财政拨款支付程序支付合同价款，如因政府财政原因导致甲方延迟向乙方付款的，乙方无异议，并不因此向甲方主张任何权利。</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b/>
          <w:sz w:val="30"/>
          <w:szCs w:val="30"/>
          <w:lang w:bidi="ar-SA"/>
        </w:rPr>
        <w:t>五、合同金额</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本合同金额为(大写):</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元 (￥:</w:t>
      </w:r>
      <w:r>
        <w:rPr>
          <w:rFonts w:ascii="仿宋_GB2312" w:eastAsia="仿宋_GB2312" w:cs="仿宋_GB2312" w:hint="eastAsia"/>
          <w:sz w:val="30"/>
          <w:szCs w:val="30"/>
          <w:u w:val="single"/>
          <w:lang w:bidi="ar-SA"/>
        </w:rPr>
        <w:t xml:space="preserve">             </w:t>
      </w:r>
      <w:r>
        <w:rPr>
          <w:rFonts w:ascii="仿宋_GB2312" w:eastAsia="仿宋_GB2312" w:cs="仿宋_GB2312" w:hint="eastAsia"/>
          <w:sz w:val="30"/>
          <w:szCs w:val="30"/>
          <w:lang w:bidi="ar-SA"/>
        </w:rPr>
        <w:t>元)人民币。（详见报价表）</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六、技术提供</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1.甲方向乙方提供所采购服务的有关技术资料。</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2.乙方应按招标文件规定的时间向甲方提供服务的有关技术资料。</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3.乙方所派技术人员的数量、业务能力应满足甲方业务需要，确保提供的技术服务专业、高效。</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4.乙方应在向甲方交付工作成果后，根据甲方的要求，为系统应用人员提供相关的培训服务和技术支持。</w:t>
      </w:r>
    </w:p>
    <w:p>
      <w:pPr>
        <w:spacing w:line="360" w:lineRule="auto"/>
        <w:ind w:firstLine="600" w:firstLine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七、保密义务</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乙方承诺并保证，在任何时候、任何情况下，对履行本合同提供服务所获取的甲方所有信息实行严格保密，并采取一切合理及必要的措施，保证其工作人员不将任何信息或其任何部分透露或以其他方式提供给任何第三人。不得将任何信息、资料透露给或以其他方式提供给甲、乙双方内部与本合同无关的任何人员。保密期限永久。</w:t>
      </w:r>
    </w:p>
    <w:p>
      <w:pPr>
        <w:spacing w:line="360" w:lineRule="auto"/>
        <w:ind w:firstLine="600" w:firstLine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八、合同的转包与分包</w:t>
      </w:r>
    </w:p>
    <w:p>
      <w:pPr>
        <w:spacing w:line="360" w:lineRule="auto"/>
        <w:ind w:firstLine="600" w:firstLineChars="200"/>
        <w:jc w:val="left"/>
        <w:rPr>
          <w:rFonts w:ascii="仿宋_GB2312" w:eastAsia="仿宋_GB2312" w:cs="仿宋_GB2312" w:hint="eastAsia"/>
          <w:sz w:val="30"/>
          <w:szCs w:val="30"/>
        </w:rPr>
      </w:pPr>
      <w:r>
        <w:rPr>
          <w:rFonts w:ascii="仿宋_GB2312" w:eastAsia="仿宋_GB2312" w:cs="仿宋_GB2312" w:hint="eastAsia"/>
          <w:sz w:val="30"/>
          <w:szCs w:val="30"/>
          <w:lang w:bidi="ar-SA"/>
        </w:rPr>
        <w:t>乙方不得以任何形式将合同部分或全部转让、转包、分包，或以其他形式将合同部分或全部转让、转包、分包其应履行的合同义务。</w:t>
      </w:r>
    </w:p>
    <w:p>
      <w:pPr>
        <w:numPr>
          <w:ilvl w:val="0"/>
          <w:numId w:val="8"/>
        </w:numPr>
        <w:spacing w:line="360" w:lineRule="auto"/>
        <w:ind w:left="420" w:leftChars="200"/>
        <w:rPr>
          <w:rFonts w:ascii="仿宋_GB2312" w:eastAsia="仿宋_GB2312" w:cs="仿宋_GB2312" w:hint="eastAsia"/>
          <w:sz w:val="30"/>
          <w:szCs w:val="30"/>
        </w:rPr>
      </w:pPr>
      <w:r>
        <w:rPr>
          <w:rFonts w:ascii="仿宋_GB2312" w:eastAsia="仿宋_GB2312" w:cs="仿宋_GB2312" w:hint="eastAsia"/>
          <w:b/>
          <w:bCs/>
          <w:sz w:val="30"/>
          <w:szCs w:val="30"/>
          <w:lang w:bidi="ar-SA"/>
        </w:rPr>
        <w:t>知识产权、专有技术和商业秘密</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1.乙方应保证本项目提供服务或提交的工作成果，均不会侵犯任何第三方的知识产权、专有技术、商业秘密，否则由此产生的一切后果由乙方承担。</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2.本合同项下工作成果或其中任何一部分的知识产权属于甲方，咨询人将工作成果交付甲方后，该项目的知识产权属于甲方所有，未经甲方书面同意，乙方不得擅自使用或允许第三方使用。</w:t>
      </w:r>
    </w:p>
    <w:p>
      <w:pPr>
        <w:spacing w:line="360" w:lineRule="auto"/>
        <w:ind w:firstLine="600" w:firstLine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十、质保期</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本合同项下系统的质保期为   年/月，自系统正式验收合格之日起计算。质保期内，如果系统运行出现问题，乙方负责免费进行维修维护。</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十一、违约责任</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如果乙方逾期开展服务或没有按照本合同约定时间交付工作成果的，每逾期1日，乙方应按合同总价款日万分之五承担违约金。逾期10日（含10日），甲方除有权单方解除合同外，还有权要求乙方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乙方提供的技术支持或交付的工作成果不符合甲方需求和/或招标文件技术要求时，乙方应当无条件进行整改，经二次限期整改后仍未达到甲方需求和/或招标文件技术要求，甲方除有权单方解除合同外，还有权要求乙方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3.如果乙方违反本合同项下保密义务的，应当按照合同总价款10%承担违约金。如果合同在履行期限内，甲方还有权单方解除合同。</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4.如果乙方未经甲方书面同意，擅自将本合同项下服务项目部分或全部转让、转包、分包或以其他形式部分或全部转让、转包、分包给第三人履行的，甲方除有权单方解除合同外，还有权要求乙方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5.乙方未经甲方书面同意擅自使用或转让给他人使用本合同项下工作成果、知识产权的，应当按照合同总价款10%承担违约金。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6.如果乙方提供的技术服务或工作成果侵犯第三人的知识产权、专有技术、商业秘密，甲方除有权单方解除合同外，还有权要求乙方按照合同总价款10%承担违约金。</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7.质保期内，如果系统运行出现问题，乙方接到甲方电话通知后 小时内，必须以电话咨询、远程处理或现场处理的方式，解决系统问题。如果延迟，每迟延1小时（含1小时），承担违约金100元；迟延8小时（含4小时）或经过2次维修，仍没有修复的，甲方有权找第三人对系统进行维修，维修费用在合同价款或质保金中直接扣除。</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8.乙方接到甲方单方解除合同通知后3日内，应当将甲方提供的资料全部交还给甲方，不交还或交还不完全的，应当承担违约金</w:t>
      </w:r>
      <w:r>
        <w:rPr>
          <w:rFonts w:ascii="仿宋_GB2312" w:eastAsia="仿宋_GB2312" w:cs="仿宋_GB2312" w:hint="eastAsia"/>
          <w:sz w:val="30"/>
          <w:szCs w:val="30"/>
          <w:lang w:val="en-US" w:eastAsia="zh-CN" w:bidi="ar-SA"/>
        </w:rPr>
        <w:t xml:space="preserve">   </w:t>
      </w:r>
      <w:r>
        <w:rPr>
          <w:rFonts w:ascii="仿宋_GB2312" w:eastAsia="仿宋_GB2312" w:cs="仿宋_GB2312" w:hint="eastAsia"/>
          <w:sz w:val="30"/>
          <w:szCs w:val="30"/>
          <w:lang w:bidi="ar-SA"/>
        </w:rPr>
        <w:t>元。</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9.双方约定，乙方违反本合同约定，除应按本条款约定承担违约责任外，如果给甲方造成损失（包括直接损失、间接损失及甲方为维权所支付的调查取证费、律师费、差旅费等）的，乙方还应当承担赔偿责任。</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10.双方特别约定，因为乙方违约，应当承担的违约金和赔偿金，甲方有权在合同价款中直接扣除。</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bCs/>
          <w:sz w:val="30"/>
          <w:szCs w:val="30"/>
          <w:lang w:bidi="ar-SA"/>
        </w:rPr>
        <w:t>十二、不可抗</w:t>
      </w:r>
      <w:r>
        <w:rPr>
          <w:rFonts w:ascii="仿宋_GB2312" w:eastAsia="仿宋_GB2312" w:cs="仿宋_GB2312" w:hint="eastAsia"/>
          <w:b/>
          <w:sz w:val="30"/>
          <w:szCs w:val="30"/>
          <w:lang w:bidi="ar-SA"/>
        </w:rPr>
        <w:t>力事件处理</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1.在合同有效期内，任何一方因不可抗力事件导致不能履行合同，则合同履行期可延长，其延长期与不可抗力影响期相同。</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2.不可抗力事件发生后，应立即通知对方，并寄送有关权威机构出具的证明。</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sz w:val="30"/>
          <w:szCs w:val="30"/>
          <w:lang w:bidi="ar-SA"/>
        </w:rPr>
        <w:t>3.不可抗力事件延续120天以上，双方应通过友好协商，确定是否继续履行合同。</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十三、合同解除</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bCs/>
          <w:sz w:val="30"/>
          <w:szCs w:val="30"/>
          <w:lang w:bidi="ar-SA"/>
        </w:rPr>
        <w:t>发生下列情形之一的，甲方有权单方解除合同且不承担违约责任：</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bCs/>
          <w:sz w:val="30"/>
          <w:szCs w:val="30"/>
          <w:lang w:bidi="ar-SA"/>
        </w:rPr>
        <w:t>1.法律、法规、政府政策规定或甲方上级主管部门文件规定，必须取消本合同项下项目的；</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bCs/>
          <w:sz w:val="30"/>
          <w:szCs w:val="30"/>
          <w:lang w:bidi="ar-SA"/>
        </w:rPr>
        <w:t>2.因为乙方违约，被甲方单方解除合同的；</w:t>
      </w:r>
    </w:p>
    <w:p>
      <w:pPr>
        <w:spacing w:line="360" w:lineRule="auto"/>
        <w:ind w:firstLine="600" w:firstLineChars="200"/>
        <w:rPr>
          <w:rFonts w:ascii="仿宋_GB2312" w:eastAsia="仿宋_GB2312" w:cs="仿宋_GB2312" w:hint="eastAsia"/>
          <w:bCs/>
          <w:sz w:val="30"/>
          <w:szCs w:val="30"/>
        </w:rPr>
      </w:pPr>
      <w:r>
        <w:rPr>
          <w:rFonts w:ascii="仿宋_GB2312" w:eastAsia="仿宋_GB2312" w:cs="仿宋_GB2312" w:hint="eastAsia"/>
          <w:bCs/>
          <w:sz w:val="30"/>
          <w:szCs w:val="30"/>
          <w:lang w:bidi="ar-SA"/>
        </w:rPr>
        <w:t xml:space="preserve">3.甲方根据本条款第（1）款原因解除合同，可以按照乙方实际工作量，支付工作费用。 </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十四、争议解决方式</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在履行合同过程中发生争议时，双方当事人协商解决，协商不成的，采用下列第</w:t>
      </w:r>
      <w:r>
        <w:rPr>
          <w:rFonts w:ascii="仿宋_GB2312" w:eastAsia="仿宋_GB2312" w:cs="仿宋_GB2312" w:hint="eastAsia"/>
          <w:sz w:val="30"/>
          <w:szCs w:val="30"/>
          <w:u w:val="single"/>
          <w:lang w:bidi="ar-SA"/>
        </w:rPr>
        <w:t>2</w:t>
      </w:r>
      <w:r>
        <w:rPr>
          <w:rFonts w:ascii="仿宋_GB2312" w:eastAsia="仿宋_GB2312" w:cs="仿宋_GB2312" w:hint="eastAsia"/>
          <w:sz w:val="30"/>
          <w:szCs w:val="30"/>
          <w:lang w:bidi="ar-SA"/>
        </w:rPr>
        <w:t>种方法解决。</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1.提交大连仲裁委员会仲裁；</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2.依法向甲方所在地</w:t>
      </w:r>
      <w:r>
        <w:rPr>
          <w:rFonts w:ascii="仿宋_GB2312" w:eastAsia="仿宋_GB2312" w:cs="仿宋_GB2312" w:hint="eastAsia"/>
          <w:sz w:val="30"/>
          <w:szCs w:val="30"/>
          <w:lang w:val="en-US" w:eastAsia="zh-CN" w:bidi="ar-SA"/>
        </w:rPr>
        <w:t>有管辖权的</w:t>
      </w:r>
      <w:r>
        <w:rPr>
          <w:rFonts w:ascii="仿宋_GB2312" w:eastAsia="仿宋_GB2312" w:cs="仿宋_GB2312" w:hint="eastAsia"/>
          <w:sz w:val="30"/>
          <w:szCs w:val="30"/>
          <w:lang w:bidi="ar-SA"/>
        </w:rPr>
        <w:t>人民法院提起诉讼。</w:t>
      </w:r>
    </w:p>
    <w:p>
      <w:pPr>
        <w:spacing w:line="360" w:lineRule="auto"/>
        <w:ind w:firstLine="600" w:firstLineChars="200"/>
        <w:rPr>
          <w:rFonts w:ascii="仿宋_GB2312" w:eastAsia="仿宋_GB2312" w:cs="仿宋_GB2312" w:hint="eastAsia"/>
          <w:b/>
          <w:bCs/>
          <w:sz w:val="30"/>
          <w:szCs w:val="30"/>
        </w:rPr>
      </w:pPr>
      <w:r>
        <w:rPr>
          <w:rFonts w:ascii="仿宋_GB2312" w:eastAsia="仿宋_GB2312" w:cs="仿宋_GB2312" w:hint="eastAsia"/>
          <w:b/>
          <w:bCs/>
          <w:sz w:val="30"/>
          <w:szCs w:val="30"/>
          <w:lang w:bidi="ar-SA"/>
        </w:rPr>
        <w:t>十五、通知与送达</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双方约定，任何一方的通知以纸质文档、信息、电子邮件、传真、特快专递等书面方式送达对方，视为已经送达。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b/>
          <w:bCs/>
          <w:sz w:val="30"/>
          <w:szCs w:val="30"/>
          <w:lang w:bidi="ar-SA"/>
        </w:rPr>
        <w:t>十六、双方联系方式、联系人</w:t>
      </w:r>
      <w:r>
        <w:rPr>
          <w:rFonts w:ascii="仿宋_GB2312" w:eastAsia="仿宋_GB2312" w:cs="仿宋_GB2312" w:hint="eastAsia"/>
          <w:sz w:val="30"/>
          <w:szCs w:val="30"/>
          <w:lang w:bidi="ar-SA"/>
        </w:rPr>
        <w:t xml:space="preserve">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1.甲方联系方式、联系人：</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地址：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邮编：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电话：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传真：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联系人：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联系人电话：</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2.乙方联系方式、联系人：</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地址：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邮编：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电话：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传真：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联系人：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 xml:space="preserve">联系人电话：  </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双方约定，任何一方上述信息发生变更，应当于变更当日通知对方，否则，对方有理由视为没有发生变更。</w:t>
      </w:r>
    </w:p>
    <w:p>
      <w:pPr>
        <w:spacing w:line="360" w:lineRule="auto"/>
        <w:ind w:firstLine="600" w:firstLineChars="200"/>
        <w:rPr>
          <w:rFonts w:ascii="仿宋_GB2312" w:eastAsia="仿宋_GB2312" w:cs="仿宋_GB2312" w:hint="eastAsia"/>
          <w:b/>
          <w:sz w:val="30"/>
          <w:szCs w:val="30"/>
        </w:rPr>
      </w:pPr>
      <w:r>
        <w:rPr>
          <w:rFonts w:ascii="仿宋_GB2312" w:eastAsia="仿宋_GB2312" w:cs="仿宋_GB2312" w:hint="eastAsia"/>
          <w:b/>
          <w:sz w:val="30"/>
          <w:szCs w:val="30"/>
          <w:lang w:bidi="ar-SA"/>
        </w:rPr>
        <w:t>十七、合同生效及其它</w:t>
      </w:r>
    </w:p>
    <w:p>
      <w:pPr>
        <w:spacing w:line="360" w:lineRule="auto"/>
        <w:ind w:firstLine="600" w:firstLineChars="200"/>
        <w:rPr>
          <w:rFonts w:ascii="仿宋_GB2312" w:eastAsia="仿宋_GB2312" w:cs="仿宋_GB2312" w:hint="eastAsia"/>
          <w:sz w:val="30"/>
          <w:szCs w:val="30"/>
        </w:rPr>
      </w:pPr>
      <w:bookmarkStart w:id="52" w:name="_Hlk95925545"/>
      <w:r>
        <w:rPr>
          <w:rFonts w:ascii="仿宋_GB2312" w:eastAsia="仿宋_GB2312" w:cs="仿宋_GB2312" w:hint="eastAsia"/>
          <w:sz w:val="30"/>
          <w:szCs w:val="30"/>
          <w:lang w:bidi="ar-SA"/>
        </w:rPr>
        <w:t>1.本合同经双方法定代表人或授权代理人签字、单位盖章后生效。</w:t>
      </w:r>
    </w:p>
    <w:p>
      <w:pPr>
        <w:spacing w:line="360" w:lineRule="auto"/>
        <w:ind w:firstLine="600" w:firstLineChars="200"/>
        <w:rPr>
          <w:rFonts w:ascii="仿宋_GB2312" w:eastAsia="仿宋_GB2312" w:cs="仿宋_GB2312" w:hint="eastAsia"/>
          <w:sz w:val="30"/>
          <w:szCs w:val="30"/>
        </w:rPr>
      </w:pPr>
      <w:bookmarkEnd w:id="52"/>
      <w:r>
        <w:rPr>
          <w:rFonts w:ascii="仿宋_GB2312" w:eastAsia="仿宋_GB2312" w:cs="仿宋_GB2312" w:hint="eastAsia"/>
          <w:sz w:val="30"/>
          <w:szCs w:val="30"/>
          <w:lang w:bidi="ar-SA"/>
        </w:rPr>
        <w:t>2.下述合同附件为本合同不可分割的部分并与本合同具有同等效力，如果发生冲突，首先执行本合同条款：</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1.招标文件。</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2.服务清单和分项价格表。</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3.服务方案。</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4.乙方投标文件的内容及澄清内容。</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5.中标通知书。</w:t>
      </w:r>
    </w:p>
    <w:p>
      <w:pPr>
        <w:pStyle w:val="BodyTextFirstIndent"/>
        <w:spacing w:line="360" w:lineRule="auto"/>
        <w:ind w:firstLine="600" w:firstLineChars="200"/>
        <w:rPr>
          <w:rFonts w:ascii="仿宋_GB2312" w:eastAsia="仿宋_GB2312" w:cs="仿宋_GB2312" w:hint="eastAsia"/>
          <w:sz w:val="30"/>
          <w:szCs w:val="30"/>
          <w:lang w:bidi="ar-SA"/>
        </w:rPr>
      </w:pPr>
      <w:r>
        <w:rPr>
          <w:rFonts w:ascii="仿宋_GB2312" w:eastAsia="仿宋_GB2312" w:cs="仿宋_GB2312" w:hint="eastAsia"/>
          <w:sz w:val="30"/>
          <w:szCs w:val="30"/>
          <w:lang w:bidi="ar-SA"/>
        </w:rPr>
        <w:t>6.保密协议。</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7.其他与本合同相关的单据。</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8.本合同适用的特殊条款。</w:t>
      </w:r>
    </w:p>
    <w:p>
      <w:pPr>
        <w:spacing w:line="360" w:lineRule="auto"/>
        <w:ind w:firstLine="600" w:firstLineChars="200"/>
        <w:rPr>
          <w:rFonts w:ascii="仿宋_GB2312" w:eastAsia="仿宋_GB2312" w:cs="仿宋_GB2312" w:hint="eastAsia"/>
          <w:sz w:val="30"/>
          <w:szCs w:val="30"/>
        </w:rPr>
      </w:pPr>
      <w:r>
        <w:rPr>
          <w:rFonts w:ascii="仿宋_GB2312" w:eastAsia="仿宋_GB2312" w:cs="仿宋_GB2312" w:hint="eastAsia"/>
          <w:sz w:val="30"/>
          <w:szCs w:val="30"/>
          <w:lang w:bidi="ar-SA"/>
        </w:rPr>
        <w:t>3.本合同未尽事宜，遵照《中华人民共和国民法典》有关条文执行。</w:t>
      </w:r>
    </w:p>
    <w:p>
      <w:pPr>
        <w:spacing w:line="360" w:lineRule="auto"/>
        <w:ind w:firstLine="600" w:firstLineChars="200"/>
        <w:rPr>
          <w:rFonts w:ascii="仿宋_GB2312" w:eastAsia="仿宋_GB2312" w:cs="仿宋_GB2312" w:hint="eastAsia"/>
          <w:sz w:val="30"/>
          <w:szCs w:val="30"/>
        </w:rPr>
      </w:pPr>
      <w:bookmarkStart w:id="53" w:name="_Hlk95925525"/>
      <w:r>
        <w:rPr>
          <w:rFonts w:ascii="仿宋_GB2312" w:eastAsia="仿宋_GB2312" w:cs="仿宋_GB2312" w:hint="eastAsia"/>
          <w:sz w:val="30"/>
          <w:szCs w:val="30"/>
          <w:lang w:bidi="ar-SA"/>
        </w:rPr>
        <w:t>4.本合同一式</w:t>
      </w:r>
      <w:r>
        <w:rPr>
          <w:rFonts w:ascii="仿宋_GB2312" w:eastAsia="仿宋_GB2312" w:cs="仿宋_GB2312" w:hint="eastAsia"/>
          <w:sz w:val="30"/>
          <w:szCs w:val="30"/>
          <w:lang w:val="en-US" w:eastAsia="zh-CN" w:bidi="ar-SA"/>
        </w:rPr>
        <w:t xml:space="preserve">  </w:t>
      </w:r>
      <w:r>
        <w:rPr>
          <w:rFonts w:ascii="仿宋_GB2312" w:eastAsia="仿宋_GB2312" w:cs="仿宋_GB2312" w:hint="eastAsia"/>
          <w:sz w:val="30"/>
          <w:szCs w:val="30"/>
          <w:lang w:bidi="ar-SA"/>
        </w:rPr>
        <w:t>份</w:t>
      </w:r>
      <w:r>
        <w:rPr>
          <w:rFonts w:ascii="仿宋_GB2312" w:eastAsia="仿宋_GB2312" w:cs="仿宋_GB2312" w:hint="eastAsia"/>
          <w:sz w:val="30"/>
          <w:szCs w:val="30"/>
          <w:lang w:eastAsia="zh-CN" w:bidi="ar-SA"/>
        </w:rPr>
        <w:t>，</w:t>
      </w:r>
      <w:r>
        <w:rPr>
          <w:rFonts w:ascii="仿宋_GB2312" w:eastAsia="仿宋_GB2312" w:cs="仿宋_GB2312" w:hint="eastAsia"/>
          <w:sz w:val="30"/>
          <w:szCs w:val="30"/>
          <w:lang w:bidi="ar-SA"/>
        </w:rPr>
        <w:t>甲方</w:t>
      </w:r>
      <w:r>
        <w:rPr>
          <w:rFonts w:ascii="仿宋_GB2312" w:eastAsia="仿宋_GB2312" w:cs="仿宋_GB2312" w:hint="eastAsia"/>
          <w:sz w:val="30"/>
          <w:szCs w:val="30"/>
          <w:lang w:val="en-US" w:eastAsia="zh-CN" w:bidi="ar-SA"/>
        </w:rPr>
        <w:t>执  份，乙方执  份</w:t>
      </w:r>
      <w:r>
        <w:rPr>
          <w:rFonts w:ascii="仿宋_GB2312" w:eastAsia="仿宋_GB2312" w:cs="仿宋_GB2312" w:hint="eastAsia"/>
          <w:sz w:val="30"/>
          <w:szCs w:val="30"/>
          <w:lang w:bidi="ar-SA"/>
        </w:rPr>
        <w:t>，具有同等法律效力。</w:t>
      </w:r>
      <w:bookmarkEnd w:id="53"/>
      <w:r>
        <w:rPr>
          <w:rFonts w:ascii="仿宋_GB2312" w:eastAsia="仿宋_GB2312" w:cs="仿宋_GB2312" w:hint="eastAsia"/>
          <w:sz w:val="30"/>
          <w:szCs w:val="30"/>
          <w:lang w:bidi="ar-SA"/>
        </w:rPr>
        <w:t xml:space="preserve"> </w:t>
      </w:r>
    </w:p>
    <w:p>
      <w:pPr>
        <w:adjustRightInd w:val="0"/>
        <w:snapToGrid w:val="0"/>
        <w:spacing w:line="360" w:lineRule="auto"/>
        <w:rPr>
          <w:rFonts w:ascii="仿宋_GB2312" w:eastAsia="仿宋_GB2312" w:cs="仿宋_GB2312" w:hint="eastAsia"/>
          <w:sz w:val="30"/>
          <w:szCs w:val="30"/>
        </w:rPr>
      </w:pPr>
    </w:p>
    <w:p>
      <w:pPr>
        <w:adjustRightInd w:val="0"/>
        <w:snapToGrid w:val="0"/>
        <w:spacing w:line="360" w:lineRule="auto"/>
        <w:rPr>
          <w:rFonts w:ascii="仿宋_GB2312" w:eastAsia="仿宋_GB2312" w:cs="仿宋_GB2312" w:hint="eastAsia"/>
          <w:sz w:val="30"/>
          <w:szCs w:val="30"/>
        </w:rPr>
      </w:pPr>
      <w:r>
        <w:rPr>
          <w:rFonts w:ascii="仿宋_GB2312" w:eastAsia="仿宋_GB2312" w:cs="仿宋_GB2312" w:hint="eastAsia"/>
          <w:sz w:val="30"/>
          <w:szCs w:val="30"/>
          <w:lang w:bidi="ar-SA"/>
        </w:rPr>
        <w:t>甲方（盖章）：                乙方（盖章）：</w:t>
      </w:r>
    </w:p>
    <w:p>
      <w:pPr>
        <w:adjustRightInd w:val="0"/>
        <w:snapToGrid w:val="0"/>
        <w:spacing w:line="360" w:lineRule="auto"/>
        <w:rPr>
          <w:rFonts w:ascii="仿宋_GB2312" w:eastAsia="仿宋_GB2312" w:cs="仿宋_GB2312" w:hint="eastAsia"/>
          <w:sz w:val="30"/>
          <w:szCs w:val="30"/>
        </w:rPr>
      </w:pPr>
    </w:p>
    <w:p>
      <w:pPr>
        <w:adjustRightInd w:val="0"/>
        <w:snapToGrid w:val="0"/>
        <w:spacing w:line="360" w:lineRule="auto"/>
        <w:rPr>
          <w:rFonts w:ascii="仿宋_GB2312" w:eastAsia="仿宋_GB2312" w:cs="仿宋_GB2312" w:hint="eastAsia"/>
          <w:sz w:val="30"/>
          <w:szCs w:val="30"/>
        </w:rPr>
      </w:pPr>
      <w:r>
        <w:rPr>
          <w:rFonts w:ascii="仿宋_GB2312" w:eastAsia="仿宋_GB2312" w:cs="仿宋_GB2312" w:hint="eastAsia"/>
          <w:sz w:val="30"/>
          <w:szCs w:val="30"/>
          <w:lang w:bidi="ar-SA"/>
        </w:rPr>
        <w:t>法定代表人或授权代理人（签字）： 法定代表人或授权代理人（签字）：</w:t>
      </w:r>
    </w:p>
    <w:p>
      <w:pPr>
        <w:adjustRightInd w:val="0"/>
        <w:snapToGrid w:val="0"/>
        <w:spacing w:line="360" w:lineRule="auto"/>
        <w:rPr>
          <w:rFonts w:ascii="仿宋_GB2312" w:eastAsia="仿宋_GB2312" w:cs="仿宋_GB2312" w:hint="eastAsia"/>
          <w:sz w:val="30"/>
          <w:szCs w:val="30"/>
        </w:rPr>
      </w:pPr>
      <w:r>
        <w:rPr>
          <w:rFonts w:ascii="仿宋_GB2312" w:eastAsia="仿宋_GB2312" w:cs="仿宋_GB2312" w:hint="eastAsia"/>
          <w:sz w:val="30"/>
          <w:szCs w:val="30"/>
          <w:lang w:bidi="ar-SA"/>
        </w:rPr>
        <w:t xml:space="preserve"> </w:t>
      </w:r>
    </w:p>
    <w:p>
      <w:pPr>
        <w:adjustRightInd w:val="0"/>
        <w:snapToGrid w:val="0"/>
        <w:spacing w:line="360" w:lineRule="auto"/>
        <w:rPr>
          <w:rFonts w:ascii="仿宋_GB2312" w:eastAsia="仿宋_GB2312" w:cs="仿宋_GB2312" w:hint="eastAsia"/>
          <w:sz w:val="30"/>
          <w:szCs w:val="30"/>
        </w:rPr>
      </w:pPr>
      <w:r>
        <w:rPr>
          <w:rFonts w:ascii="仿宋_GB2312" w:eastAsia="仿宋_GB2312" w:cs="仿宋_GB2312" w:hint="eastAsia"/>
          <w:sz w:val="30"/>
          <w:szCs w:val="30"/>
          <w:lang w:bidi="ar-SA"/>
        </w:rPr>
        <w:t>签订时间： 年  月  日           签订地点：</w:t>
      </w:r>
    </w:p>
    <w:p>
      <w:pPr>
        <w:jc w:val="center"/>
        <w:rPr>
          <w:color w:val="0000FF"/>
          <w:highlight w:val="white"/>
        </w:rPr>
      </w:pPr>
      <w:bookmarkEnd w:id="51"/>
    </w:p>
    <w:p>
      <w:pPr>
        <w:pStyle w:val="Heading1"/>
        <w:rPr>
          <w:rFonts w:hint="eastAsia"/>
          <w:highlight w:val="white"/>
        </w:rPr>
      </w:pPr>
      <w:r>
        <w:rPr>
          <w:rFonts w:hint="eastAsia"/>
          <w:highlight w:val="white"/>
        </w:rPr>
        <w:br w:type="page"/>
      </w:r>
      <w:bookmarkStart w:id="54" w:name="_Toc65406668"/>
      <w:r>
        <w:rPr>
          <w:rFonts w:hint="eastAsia"/>
          <w:highlight w:val="white"/>
        </w:rPr>
        <w:t>第六部分  投标文件格式</w:t>
      </w:r>
      <w:bookmarkEnd w:id="54"/>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5"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6" w:name="_Ref462505451"/>
      <w:bookmarkStart w:id="57"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6"/>
      <w:bookmarkEnd w:id="57"/>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tcBorders>
              <w:top w:val="single" w:sz="4" w:space="0" w:color="auto"/>
              <w:left w:val="single" w:sz="4" w:space="0" w:color="auto"/>
              <w:right w:val="single" w:sz="4" w:space="0" w:color="auto"/>
            </w:tcBorders>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69"/>
      <w:bookmarkStart w:id="59" w:name="_Toc46196323"/>
      <w:bookmarkStart w:id="60" w:name="_Toc485990833"/>
      <w:r>
        <w:rPr>
          <w:rFonts w:ascii="宋体" w:eastAsia="宋体" w:hint="eastAsia"/>
          <w:szCs w:val="32"/>
          <w:lang w:eastAsia="zh-CN"/>
        </w:rPr>
        <w:t>投标函</w:t>
      </w:r>
      <w:bookmarkEnd w:id="58"/>
      <w:bookmarkEnd w:id="59"/>
      <w:bookmarkEnd w:id="60"/>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1" w:name="_Toc499068185"/>
      <w:bookmarkStart w:id="62" w:name="_Toc485990851"/>
      <w:r>
        <w:rPr>
          <w:rFonts w:ascii="宋体" w:eastAsia="宋体" w:hint="eastAsia"/>
          <w:szCs w:val="32"/>
          <w:lang w:eastAsia="zh-CN"/>
        </w:rPr>
        <w:t>技术偏离表</w:t>
      </w:r>
      <w:bookmarkEnd w:id="61"/>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62"/>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3" w:name="_Toc499068185_0"/>
      <w:r>
        <w:rPr>
          <w:rFonts w:ascii="宋体" w:eastAsia="宋体" w:hint="eastAsia"/>
          <w:szCs w:val="32"/>
          <w:lang w:eastAsia="zh-CN"/>
        </w:rPr>
        <w:t>技术偏离表</w:t>
      </w:r>
      <w:bookmarkEnd w:id="63"/>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个月任意1个月的缴纳社保证明（未提供的不予认定）</w:t>
      </w:r>
      <w:r>
        <w:rPr>
          <w:rFonts w:ascii="宋体"/>
          <w:color w:val="000000"/>
          <w:sz w:val="22"/>
        </w:rPr>
        <w:t>。</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5"/>
    </w:p>
    <w:sectPr>
      <w:headerReference w:type="even" r:id="rId7"/>
      <w:headerReference w:type="default" r:id="rId8"/>
      <w:footerReference w:type="even" r:id="rId9"/>
      <w:headerReference w:type="first" r:id="rId10"/>
      <w:footerReference w:type="first" r:id="rId11"/>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panose1 w:val="02010600030101010101"/>
    <w:charset w:val="86"/>
    <w:family w:val="auto"/>
    <w:pitch w:val="variable"/>
    <w:sig w:usb0="00000203" w:usb1="288F0000" w:usb2="00000006" w:usb3="00000000" w:csb0="00040001" w:csb1="00000000"/>
  </w:font>
  <w:font w:name="Calibri">
    <w:altName w:val="Times New Roman"/>
    <w:panose1 w:val="020F0502020204030204"/>
    <w:charset w:val="00"/>
    <w:family w:val="swiss"/>
    <w:pitch w:val="variable"/>
    <w:sig w:usb0="E4002EFF" w:usb1="C000247B" w:usb2="00000009" w:usb3="00000000" w:csb0="200001FF" w:csb1="00000000"/>
  </w:font>
  <w:font w:name="等线">
    <w:altName w:val="Arial Unicode MS"/>
    <w:panose1 w:val="02010600030101010101"/>
    <w:charset w:val="86"/>
    <w:family w:val="auto"/>
    <w:pitch w:val="variable"/>
    <w:sig w:usb0="A00002BF" w:usb1="38CF7CFA" w:usb2="00000016" w:usb3="00000000" w:csb0="0004000F"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EFF" w:usb1="C000785B" w:usb2="00000009" w:usb3="00000000" w:csb0="400001FF" w:csb1="FFFF0000"/>
  </w:font>
  <w:font w:name="微软雅黑">
    <w:altName w:val="华文细黑"/>
    <w:panose1 w:val="020B0503020204020204"/>
    <w:charset w:val="86"/>
    <w:family w:val="swiss"/>
    <w:pitch w:val="variable"/>
    <w:sig w:usb0="80000287" w:usb1="2ACF3C50" w:usb2="00000016" w:usb3="00000000" w:csb0="0004001F" w:csb1="00000000"/>
  </w:font>
  <w:font w:name="方正仿宋_GBK">
    <w:panose1 w:val="02000000000000000000"/>
    <w:charset w:val="86"/>
    <w:family w:val="script"/>
    <w:pitch w:val="variable"/>
    <w:sig w:usb0="A00002BF" w:usb1="38CF7CFA" w:usb2="00082016" w:usb3="00000000" w:csb0="00040001" w:csb1="00000000"/>
  </w:font>
  <w:font w:name="Arial">
    <w:altName w:val="DejaVu Sans"/>
    <w:panose1 w:val="020B0604020202020204"/>
    <w:charset w:val="01"/>
    <w:family w:val="swiss"/>
    <w:pitch w:val="variable"/>
    <w:sig w:usb0="E0002EFF" w:usb1="C000785B" w:usb2="00000009" w:usb3="00000000" w:csb0="400001FF" w:csb1="FFFF0000"/>
  </w:font>
  <w:font w:name="仿宋">
    <w:altName w:val="方正仿宋_GBK"/>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auto"/>
    <w:pitch w:val="variable"/>
    <w:sig w:usb0="00000000" w:usb1="00000000" w:usb2="00000000" w:usb3="00000000" w:csb0="00040000" w:csb1="00000000"/>
  </w:font>
  <w:font w:name="黑体">
    <w:altName w:val="华文细黑"/>
    <w:panose1 w:val="02010609060101010101"/>
    <w:charset w:val="86"/>
    <w:family w:val="auto"/>
    <w:pitch w:val="variable"/>
    <w:sig w:usb0="800002BF" w:usb1="38CF7CFA" w:usb2="00000016" w:usb3="00000000" w:csb0="00040001" w:csb1="00000000"/>
  </w:font>
  <w:font w:name="方正楷体_GBK">
    <w:panose1 w:val="02000000000000000000"/>
    <w:charset w:val="86"/>
    <w:family w:val="script"/>
    <w:pitch w:val="variable"/>
    <w:sig w:usb0="800002BF" w:usb1="38CF7CFA" w:usb2="00000016" w:usb3="00000000" w:csb0="00040000"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0" w:usb1="00000000" w:usb2="00000000" w:usb3="00000000" w:csb0="00040000" w:csb1="00000000"/>
  </w:font>
  <w:font w:name="Arial Unicode MS">
    <w:altName w:val="宋体"/>
    <w:panose1 w:val="020B0604020202020204"/>
    <w:charset w:val="86"/>
    <w:family w:val="auto"/>
    <w:pitch w:val="variable"/>
    <w:sig w:usb0="00000000" w:usb1="00000000" w:usb2="0000003F" w:usb3="00000000" w:csb0="603F01FF" w:csb1="FFFF0000"/>
  </w:font>
  <w:font w:name="Courier New">
    <w:altName w:val="DejaVu Sans"/>
    <w:panose1 w:val="02070309020205020404"/>
    <w:charset w:val="01"/>
    <w:family w:val="modern"/>
    <w:pitch w:val="variable"/>
    <w:sig w:usb0="E0002EFF" w:usb1="C0007843" w:usb2="00000009" w:usb3="00000000" w:csb0="400001FF" w:csb1="FFFF0000"/>
  </w:font>
  <w:font w:name="Cambria">
    <w:altName w:val="DejaVu Sans"/>
    <w:panose1 w:val="02040503050406030204"/>
    <w:charset w:val="00"/>
    <w:family w:val="roman"/>
    <w:pitch w:val="variable"/>
    <w:sig w:usb0="E00006FF" w:usb1="420024FF" w:usb2="02000000" w:usb3="00000000" w:csb0="2000019F" w:csb1="00000000"/>
  </w:font>
  <w:font w:name="??">
    <w:altName w:val="Times New Roman"/>
    <w:panose1 w:val="00000000000000000000"/>
    <w:charset w:val="00"/>
    <w:family w:val="auto"/>
    <w:pitch w:val="variable"/>
    <w:sig w:usb0="00000000" w:usb1="00000000" w:usb2="00000000" w:usb3="00000000" w:csb0="00000001" w:csb1="00000000"/>
  </w:font>
  <w:font w:name="Verdana">
    <w:altName w:val="DejaVu Sans"/>
    <w:panose1 w:val="020B0604030504040204"/>
    <w:charset w:val="00"/>
    <w:family w:val="auto"/>
    <w:pitch w:val="variable"/>
    <w:sig w:usb0="A00006FF" w:usb1="4000205B" w:usb2="00000010" w:usb3="00000000" w:csb0="2000019F" w:csb1="00000000"/>
  </w:font>
  <w:font w:name="Tahoma">
    <w:altName w:val="DejaVu Sans"/>
    <w:panose1 w:val="020B0604030504040204"/>
    <w:charset w:val="00"/>
    <w:family w:val="auto"/>
    <w:pitch w:val="variable"/>
    <w:sig w:usb0="E1002EFF" w:usb1="C000605B" w:usb2="00000029" w:usb3="00000000" w:csb0="200101FF" w:csb1="20280000"/>
  </w:font>
  <w:font w:name="Mongolian Baiti">
    <w:altName w:val="DejaVu Sans"/>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altName w:val="DejaVu Sans"/>
    <w:panose1 w:val="020B0502020202020204"/>
    <w:charset w:val="00"/>
    <w:family w:val="swiss"/>
    <w:pitch w:val="variable"/>
    <w:sig w:usb0="00000287" w:usb1="00000000" w:usb2="00000000" w:usb3="00000000" w:csb0="2000009F" w:csb1="DFD70000"/>
  </w:font>
  <w:font w:name="等线 Light">
    <w:altName w:val="方正黑体_GBK"/>
    <w:panose1 w:val="02010600030101010101"/>
    <w:charset w:val="86"/>
    <w:family w:val="auto"/>
    <w:pitch w:val="variable"/>
    <w:sig w:usb0="A00002BF" w:usb1="38CF7CFA" w:usb2="00000016" w:usb3="00000000" w:csb0="0004000F" w:csb1="00000000"/>
  </w:font>
  <w:font w:name="Wingdings">
    <w:altName w:val="DejaVu Sans"/>
    <w:panose1 w:val="05000000000000000000"/>
    <w:charset w:val="02"/>
    <w:family w:val="auto"/>
    <w:pitch w:val="variable"/>
    <w:sig w:usb0="00000000" w:usb1="00000000" w:usb2="00000000" w:usb3="00000000" w:csb0="80000000" w:csb1="00000000"/>
  </w:font>
  <w:font w:name="DejaVu Sans">
    <w:altName w:val="Times New Roman"/>
    <w:panose1 w:val="00000000000000000000"/>
    <w:charset w:val="00"/>
    <w:family w:val="auto"/>
    <w:pitch w:val="variable"/>
    <w:sig w:usb0="00000000" w:usb1="00000000" w:usb2="00000000" w:usb3="00000000" w:csb0="00000000" w:csb1="00000000"/>
  </w:font>
  <w:font w:name="Symbol">
    <w:altName w:val="DejaVu Sans"/>
    <w:panose1 w:val="05050102010706020507"/>
    <w:charset w:val="02"/>
    <w:family w:val="roman"/>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4298" distR="114298" simplePos="0" relativeHeight="251658240" behindDoc="0" locked="0" layoutInCell="1" allowOverlap="1">
              <wp:simplePos x="0" y="0"/>
              <wp:positionH relativeFrom="margin">
                <wp:align>center</wp:align>
              </wp:positionH>
              <wp:positionV relativeFrom="paragraph">
                <wp:posOffset>179704</wp:posOffset>
              </wp:positionV>
              <wp:extent cx="435258" cy="401288"/>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35258" cy="401288"/>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2 3" o:spid="_x0000_s2049" style="width:34.27pt;height:31.6pt;margin-top:14.15pt;margin-left:0;mso-position-horizontal:center;mso-position-horizontal-relative:margin;mso-wrap-distance-left:9pt;mso-wrap-distance-right: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B2C7694"/>
    <w:multiLevelType w:val="singleLevel"/>
    <w:tmpl w:val="9B2C7694"/>
    <w:lvl w:ilvl="0">
      <w:start w:val="9"/>
      <w:numFmt w:val="chineseCounting"/>
      <w:suff w:val="nothing"/>
      <w:lvlText w:val="%1、"/>
      <w:lvlJc w:val="left"/>
      <w:pPr>
        <w:ind w:left="0" w:firstLine="0"/>
      </w:pPr>
      <w:rPr>
        <w:rFonts w:hint="eastAsia"/>
        <w:b/>
        <w:bCs/>
      </w:rPr>
    </w:lvl>
  </w:abstractNum>
  <w:abstractNum w:abstractNumId="1">
    <w:nsid w:val="A8D3E798"/>
    <w:multiLevelType w:val="singleLevel"/>
    <w:tmpl w:val="A8D3E798"/>
    <w:lvl w:ilvl="0">
      <w:start w:val="1"/>
      <w:numFmt w:val="decimal"/>
      <w:suff w:val="nothing"/>
      <w:lvlText w:val="（%1）"/>
      <w:lvlJc w:val="left"/>
      <w:pPr>
        <w:ind w:left="0" w:firstLine="0"/>
      </w:pPr>
    </w:lvl>
  </w:abstractNum>
  <w:abstractNum w:abstractNumId="2">
    <w:nsid w:val="B3BCEE89"/>
    <w:multiLevelType w:val="singleLevel"/>
    <w:tmpl w:val="B3BCEE89"/>
    <w:lvl w:ilvl="0">
      <w:start w:val="1"/>
      <w:numFmt w:val="decimal"/>
      <w:suff w:val="nothing"/>
      <w:lvlText w:val="%1"/>
      <w:lvlJc w:val="left"/>
      <w:pPr>
        <w:ind w:left="0" w:firstLine="403"/>
      </w:pPr>
      <w:rPr>
        <w:rFonts w:hint="default"/>
      </w:rPr>
    </w:lvl>
  </w:abstractNum>
  <w:abstractNum w:abstractNumId="3">
    <w:nsid w:val="B801594B"/>
    <w:multiLevelType w:val="multilevel"/>
    <w:tmpl w:val="B801594B"/>
    <w:lvl w:ilvl="0">
      <w:start w:val="1"/>
      <w:numFmt w:val="decimal"/>
      <w:pStyle w:val="18"/>
      <w:lvlText w:val="%1."/>
      <w:lvlJc w:val="left"/>
      <w:pPr>
        <w:ind w:left="709" w:hanging="709"/>
      </w:pPr>
      <w:rPr>
        <w:rFonts w:cs="Times New Roman" w:hint="eastAsia"/>
      </w:rPr>
    </w:lvl>
    <w:lvl w:ilvl="1">
      <w:start w:val="1"/>
      <w:numFmt w:val="decimal"/>
      <w:lvlText w:val="%1.%2"/>
      <w:lvlJc w:val="left"/>
      <w:pPr>
        <w:ind w:left="709" w:hanging="709"/>
      </w:pPr>
      <w:rPr>
        <w:rFonts w:cs="Times New Roman" w:hint="eastAsia"/>
      </w:rPr>
    </w:lvl>
    <w:lvl w:ilvl="2">
      <w:start w:val="1"/>
      <w:numFmt w:val="decimal"/>
      <w:lvlText w:val="%1.%2.%3."/>
      <w:lvlJc w:val="left"/>
      <w:pPr>
        <w:ind w:left="425" w:hanging="425"/>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4">
    <w:nsid w:val="C6336A01"/>
    <w:multiLevelType w:val="singleLevel"/>
    <w:tmpl w:val="C6336A01"/>
    <w:lvl w:ilvl="0">
      <w:start w:val="6"/>
      <w:numFmt w:val="chineseCounting"/>
      <w:suff w:val="nothing"/>
      <w:lvlText w:val="%1、"/>
      <w:lvlJc w:val="left"/>
      <w:pPr>
        <w:ind w:left="0" w:firstLine="0"/>
      </w:pPr>
      <w:rPr>
        <w:rFonts w:hint="eastAsia"/>
      </w:rPr>
    </w:lvl>
  </w:abstractNum>
  <w:abstractNum w:abstractNumId="5">
    <w:nsid w:val="DAF6D134"/>
    <w:multiLevelType w:val="multilevel"/>
    <w:tmpl w:val="DAF6D134"/>
    <w:lvl w:ilvl="0">
      <w:start w:val="0"/>
      <w:numFmt w:val="decimal"/>
      <w:pStyle w:val="111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6">
    <w:nsid w:val="EEEBDB89"/>
    <w:multiLevelType w:val="multilevel"/>
    <w:tmpl w:val="EEEBDB89"/>
    <w:lvl w:ilvl="0">
      <w:start w:val="1"/>
      <w:numFmt w:val="chineseCountingThousand"/>
      <w:suff w:val="nothing"/>
      <w:lvlText w:val="第%1部分"/>
      <w:lvlJc w:val="center"/>
      <w:pPr>
        <w:ind w:left="-288" w:firstLine="288"/>
      </w:pPr>
      <w:rPr>
        <w:rFonts w:hint="eastAsia"/>
        <w:sz w:val="28"/>
        <w:szCs w:val="28"/>
      </w:rPr>
    </w:lvl>
    <w:lvl w:ilvl="1">
      <w:start w:val="1"/>
      <w:numFmt w:val="chineseCountingThousand"/>
      <w:suff w:val="nothing"/>
      <w:lvlText w:val="%2、"/>
      <w:lvlJc w:val="left"/>
      <w:pPr>
        <w:ind w:left="254" w:firstLine="0"/>
      </w:pPr>
      <w:rPr>
        <w:rFonts w:ascii="宋体" w:eastAsia="宋体" w:hAnsi="宋体" w:hint="eastAsia"/>
        <w:sz w:val="24"/>
        <w:szCs w:val="24"/>
      </w:rPr>
    </w:lvl>
    <w:lvl w:ilvl="2">
      <w:start w:val="1"/>
      <w:numFmt w:val="chineseCountingThousand"/>
      <w:suff w:val="nothing"/>
      <w:lvlText w:val="(%3)"/>
      <w:lvlJc w:val="left"/>
      <w:pPr>
        <w:ind w:left="0" w:firstLine="0"/>
      </w:pPr>
      <w:rPr>
        <w:rFonts w:ascii="Times New Roman" w:eastAsia="宋体" w:hAnsi="Times New Roman" w:hint="default"/>
        <w:b/>
        <w:i w:val="0"/>
        <w:spacing w:val="0"/>
        <w:w w:val="100"/>
        <w:position w:val="0"/>
        <w:sz w:val="21"/>
        <w:szCs w:val="21"/>
      </w:rPr>
    </w:lvl>
    <w:lvl w:ilvl="3">
      <w:start w:val="1"/>
      <w:numFmt w:val="decimal"/>
      <w:pStyle w:val="455"/>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7">
    <w:nsid w:val="FDD4EFD1"/>
    <w:multiLevelType w:val="singleLevel"/>
    <w:tmpl w:val="FDD4EFD1"/>
    <w:lvl w:ilvl="0">
      <w:start w:val="1"/>
      <w:numFmt w:val="decimal"/>
      <w:suff w:val="nothing"/>
      <w:lvlText w:val="%1、"/>
      <w:lvlJc w:val="left"/>
      <w:pPr>
        <w:ind w:left="0" w:firstLine="0"/>
      </w:pPr>
    </w:lvl>
  </w:abstractNum>
  <w:abstractNum w:abstractNumId="8">
    <w:nsid w:val="FF78B446"/>
    <w:multiLevelType w:val="singleLevel"/>
    <w:tmpl w:val="00000007"/>
    <w:lvl w:ilvl="0">
      <w:start w:val="1"/>
      <w:numFmt w:val="bullet"/>
      <w:pStyle w:val="Date"/>
      <w:lvlText w:val="l"/>
      <w:lvlJc w:val="left"/>
      <w:pPr>
        <w:ind w:left="1200" w:hanging="360"/>
      </w:pPr>
      <w:rPr>
        <w:rFonts w:ascii="Wingdings" w:hAnsi="Wingdings" w:hint="default"/>
      </w:rPr>
    </w:lvl>
  </w:abstractNum>
  <w:abstractNum w:abstractNumId="9">
    <w:nsid w:val="00000004"/>
    <w:multiLevelType w:val="multilevel"/>
    <w:tmpl w:val="00000004"/>
    <w:lvl w:ilvl="0">
      <w:start w:val="0"/>
      <w:numFmt w:val="decimal"/>
      <w:lvlText w:val="（"/>
      <w:lvlJc w:val="left"/>
      <w:pPr>
        <w:ind w:left="0" w:firstLine="0"/>
      </w:pPr>
    </w:lvl>
    <w:lvl w:ilvl="1">
      <w:start w:val="0"/>
      <w:numFmt w:val="decimal"/>
      <w:lvlText w:val=")"/>
      <w:lvlJc w:val="left"/>
      <w:pPr>
        <w:ind w:left="0" w:firstLine="0"/>
      </w:pPr>
    </w:lvl>
    <w:lvl w:ilvl="2">
      <w:start w:val="0"/>
      <w:numFmt w:val="decimal"/>
      <w:lvlText w:val="."/>
      <w:lvlJc w:val="left"/>
      <w:pPr>
        <w:ind w:left="0" w:firstLine="0"/>
      </w:pPr>
    </w:lvl>
    <w:lvl w:ilvl="3">
      <w:start w:val="0"/>
      <w:numFmt w:val="decimal"/>
      <w:pStyle w:val="Heading4"/>
      <w:lvlText w:val="."/>
      <w:lvlJc w:val="left"/>
      <w:pPr>
        <w:ind w:left="0" w:firstLine="0"/>
      </w:pPr>
    </w:lvl>
    <w:lvl w:ilvl="4">
      <w:start w:val="0"/>
      <w:numFmt w:val="decimal"/>
      <w:pStyle w:val="Heading5"/>
      <w:lvlText w:val=")"/>
      <w:lvlJc w:val="left"/>
      <w:pPr>
        <w:ind w:left="0" w:firstLine="0"/>
      </w:pPr>
    </w:lvl>
    <w:lvl w:ilvl="5">
      <w:start w:val="0"/>
      <w:numFmt w:val="decimal"/>
      <w:pStyle w:val="Heading6"/>
      <w:lvlText w:val="."/>
      <w:lvlJc w:val="left"/>
      <w:pPr>
        <w:ind w:left="0" w:firstLine="0"/>
      </w:pPr>
    </w:lvl>
    <w:lvl w:ilvl="6">
      <w:start w:val="0"/>
      <w:numFmt w:val="decimal"/>
      <w:pStyle w:val="Heading7"/>
      <w:lvlText w:val="."/>
      <w:lvlJc w:val="left"/>
      <w:pPr>
        <w:ind w:left="0" w:firstLine="0"/>
      </w:pPr>
    </w:lvl>
    <w:lvl w:ilvl="7">
      <w:start w:val="0"/>
      <w:numFmt w:val="decimal"/>
      <w:pStyle w:val="Heading8"/>
      <w:lvlText w:val=")"/>
      <w:lvlJc w:val="left"/>
      <w:pPr>
        <w:ind w:left="0" w:firstLine="0"/>
      </w:pPr>
    </w:lvl>
    <w:lvl w:ilvl="8">
      <w:start w:val="0"/>
      <w:numFmt w:val="decimal"/>
      <w:pStyle w:val="Heading9"/>
      <w:lvlText w:val="."/>
      <w:lvlJc w:val="left"/>
      <w:pPr>
        <w:ind w:left="0" w:firstLine="0"/>
      </w:pPr>
    </w:lvl>
  </w:abstractNum>
  <w:abstractNum w:abstractNumId="10">
    <w:nsid w:val="00000005"/>
    <w:multiLevelType w:val="multilevel"/>
    <w:tmpl w:val="00000005"/>
    <w:lvl w:ilvl="0">
      <w:start w:val="1"/>
      <w:numFmt w:val="decimal"/>
      <w:pStyle w:val="ListBullet"/>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0000006"/>
    <w:multiLevelType w:val="multilevel"/>
    <w:tmpl w:val="00000006"/>
    <w:lvl w:ilvl="0">
      <w:start w:val="1"/>
      <w:numFmt w:val="decimal"/>
      <w:pStyle w:val="ListBullet2"/>
      <w:lvlText w:val="（%1）"/>
      <w:lvlJc w:val="left"/>
      <w:pPr>
        <w:ind w:left="1200" w:hanging="720"/>
      </w:pPr>
    </w:lvl>
    <w:lvl w:ilvl="1">
      <w:start w:val="10"/>
      <w:numFmt w:val="japaneseCounting"/>
      <w:lvlText w:val="%2、"/>
      <w:lvlJc w:val="left"/>
      <w:pPr>
        <w:ind w:left="855" w:hanging="435"/>
      </w:pPr>
    </w:lvl>
    <w:lvl w:ilvl="2">
      <w:start w:val="3"/>
      <w:numFmt w:val="japaneseCounting"/>
      <w:lvlText w:val="（%3）"/>
      <w:lvlJc w:val="left"/>
      <w:pPr>
        <w:ind w:left="1560" w:hanging="720"/>
      </w:pPr>
    </w:lvl>
    <w:lvl w:ilvl="3">
      <w:start w:val="1"/>
      <w:numFmt w:val="decimal"/>
      <w:lvlText w:val="%4）"/>
      <w:lvlJc w:val="left"/>
      <w:pPr>
        <w:ind w:left="1620" w:hanging="360"/>
      </w:pPr>
    </w:lvl>
    <w:lvl w:ilvl="4">
      <w:start w:val="1"/>
      <w:numFmt w:val="decimal"/>
      <w:lvlText w:val="%5、"/>
      <w:lvlJc w:val="left"/>
      <w:pPr>
        <w:ind w:left="2040" w:hanging="36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00000008"/>
    <w:multiLevelType w:val="singleLevel"/>
    <w:tmpl w:val="00000008"/>
    <w:lvl w:ilvl="0">
      <w:start w:val="1"/>
      <w:numFmt w:val="decimal"/>
      <w:pStyle w:val="BodyTextIndent2"/>
      <w:lvlText w:val="%1."/>
      <w:lvlJc w:val="left"/>
      <w:pPr>
        <w:ind w:left="1200" w:hanging="360"/>
      </w:pPr>
    </w:lvl>
  </w:abstractNum>
  <w:abstractNum w:abstractNumId="13">
    <w:nsid w:val="00000009"/>
    <w:multiLevelType w:val="multilevel"/>
    <w:tmpl w:val="00000009"/>
    <w:lvl w:ilvl="0">
      <w:start w:val="1"/>
      <w:numFmt w:val="bullet"/>
      <w:pStyle w:val="BodyTextIndent3"/>
      <w:lvlText w:val="l"/>
      <w:lvlJc w:val="left"/>
      <w:pPr>
        <w:ind w:left="2040" w:hanging="360"/>
      </w:pPr>
      <w:rPr>
        <w:rFonts w:ascii="Wingdings" w:hAnsi="Wingdings"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nsid w:val="0000000A"/>
    <w:multiLevelType w:val="singleLevel"/>
    <w:tmpl w:val="0000000A"/>
    <w:lvl w:ilvl="0">
      <w:start w:val="1"/>
      <w:numFmt w:val="bullet"/>
      <w:pStyle w:val="CharCharCharCharCharCharCharCharCharChar"/>
      <w:lvlText w:val="l"/>
      <w:lvlJc w:val="left"/>
      <w:pPr>
        <w:ind w:left="1620" w:hanging="360"/>
      </w:pPr>
      <w:rPr>
        <w:rFonts w:ascii="Wingdings" w:hAnsi="Wingdings" w:hint="default"/>
      </w:rPr>
    </w:lvl>
  </w:abstractNum>
  <w:abstractNum w:abstractNumId="15">
    <w:nsid w:val="0000000B"/>
    <w:multiLevelType w:val="multilevel"/>
    <w:tmpl w:val="0000000B"/>
    <w:lvl w:ilvl="0">
      <w:start w:val="1"/>
      <w:numFmt w:val="decimal"/>
      <w:pStyle w:val="a13"/>
      <w:lvlText w:val="图%1."/>
      <w:lvlJc w:val="left"/>
      <w:pPr>
        <w:ind w:left="420" w:hanging="420"/>
      </w:pPr>
    </w:lvl>
    <w:lvl w:ilvl="1">
      <w:start w:val="1"/>
      <w:numFmt w:val="bullet"/>
      <w:lvlText w:val="l"/>
      <w:lvlJc w:val="left"/>
      <w:pPr>
        <w:ind w:left="840" w:hanging="420"/>
      </w:pPr>
      <w:rPr>
        <w:rFonts w:ascii="Wingdings" w:hAnsi="Wingding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0000000C"/>
    <w:multiLevelType w:val="multilevel"/>
    <w:tmpl w:val="0000000C"/>
    <w:lvl w:ilvl="0">
      <w:start w:val="0"/>
      <w:numFmt w:val="decimal"/>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pStyle w:val="503"/>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pStyle w:val="800"/>
      <w:lvlJc w:val="left"/>
      <w:pPr>
        <w:ind w:left="0" w:firstLine="0"/>
      </w:pPr>
    </w:lvl>
    <w:lvl w:ilvl="8">
      <w:start w:val="0"/>
      <w:numFmt w:val="decimal"/>
      <w:lvlJc w:val="left"/>
      <w:pPr>
        <w:ind w:left="0" w:firstLine="0"/>
      </w:pPr>
    </w:lvl>
  </w:abstractNum>
  <w:abstractNum w:abstractNumId="17">
    <w:nsid w:val="0000000D"/>
    <w:multiLevelType w:val="multilevel"/>
    <w:tmpl w:val="0000000D"/>
    <w:lvl w:ilvl="0">
      <w:start w:val="1"/>
      <w:numFmt w:val="decimal"/>
      <w:pStyle w:val="a15"/>
      <w:lvlText w:val="表%1."/>
      <w:lvlJc w:val="left"/>
      <w:pPr>
        <w:ind w:left="0" w:firstLine="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0000000E"/>
    <w:multiLevelType w:val="multilevel"/>
    <w:tmpl w:val="0000000E"/>
    <w:lvl w:ilvl="0">
      <w:start w:val="1"/>
      <w:numFmt w:val="bullet"/>
      <w:pStyle w:val="BodyText21"/>
      <w:lvlText w:val="l"/>
      <w:lvlJc w:val="left"/>
      <w:pPr>
        <w:ind w:left="360" w:hanging="360"/>
      </w:pPr>
      <w:rPr>
        <w:rFonts w:ascii="Wingdings" w:hAnsi="Wingdings"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nsid w:val="0000000F"/>
    <w:multiLevelType w:val="multilevel"/>
    <w:tmpl w:val="0000000F"/>
    <w:lvl w:ilvl="0">
      <w:start w:val="1"/>
      <w:numFmt w:val="decimal"/>
      <w:pStyle w:val="a21"/>
      <w:lvlText w:val="%1)"/>
      <w:lvlJc w:val="left"/>
      <w:pPr>
        <w:ind w:left="420" w:hanging="42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0">
    <w:nsid w:val="00000010"/>
    <w:multiLevelType w:val="multilevel"/>
    <w:tmpl w:val="00000010"/>
    <w:lvl w:ilvl="0">
      <w:start w:val="1"/>
      <w:numFmt w:val="none"/>
      <w:isLgl/>
      <w:lvlJc w:val="left"/>
      <w:pPr>
        <w:ind w:left="425" w:hanging="425"/>
      </w:pPr>
    </w:lvl>
    <w:lvl w:ilvl="1">
      <w:start w:val="1"/>
      <w:numFmt w:val="decimal"/>
      <w:lvlText w:val="%2、"/>
      <w:lvlJc w:val="left"/>
      <w:pPr>
        <w:ind w:left="567" w:hanging="567"/>
      </w:pPr>
    </w:lvl>
    <w:lvl w:ilvl="2">
      <w:start w:val="1"/>
      <w:numFmt w:val="decimal"/>
      <w:isLgl/>
      <w:lvlText w:val="%1.%2.%3."/>
      <w:lvlJc w:val="left"/>
      <w:pPr>
        <w:ind w:left="709" w:hanging="709"/>
      </w:pPr>
    </w:lvl>
    <w:lvl w:ilvl="3">
      <w:start w:val="1"/>
      <w:numFmt w:val="decimal"/>
      <w:isLgl/>
      <w:lvlText w:val="%1.%2.%3.%4."/>
      <w:lvlJc w:val="left"/>
      <w:pPr>
        <w:ind w:left="851" w:hanging="851"/>
      </w:pPr>
    </w:lvl>
    <w:lvl w:ilvl="4">
      <w:start w:val="1"/>
      <w:numFmt w:val="decimal"/>
      <w:pStyle w:val="5267767"/>
      <w:isLgl/>
      <w:lvlText w:val="%1.%2.%3.%4.%5."/>
      <w:lvlJc w:val="left"/>
      <w:pPr>
        <w:ind w:left="992" w:hanging="992"/>
      </w:pPr>
      <w:rPr>
        <w:color w:val="auto"/>
      </w:rPr>
    </w:lvl>
    <w:lvl w:ilvl="5">
      <w:start w:val="1"/>
      <w:numFmt w:val="decimal"/>
      <w:pStyle w:val="624"/>
      <w:isLgl/>
      <w:lvlText w:val="%1%2.%3.%4.%5.%6."/>
      <w:lvlJc w:val="left"/>
      <w:pPr>
        <w:ind w:left="2754" w:hanging="1134"/>
      </w:pPr>
      <w:rPr>
        <w:color w:val="auto"/>
      </w:r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1">
    <w:nsid w:val="00000011"/>
    <w:multiLevelType w:val="multilevel"/>
    <w:tmpl w:val="00000011"/>
    <w:lvl w:ilvl="0">
      <w:start w:val="1"/>
      <w:numFmt w:val="decimal"/>
      <w:pStyle w:val="308"/>
      <w:lvlText w:val="%1."/>
      <w:lvlJc w:val="left"/>
      <w:pPr>
        <w:ind w:left="204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2">
    <w:nsid w:val="00000012"/>
    <w:multiLevelType w:val="multilevel"/>
    <w:tmpl w:val="00000012"/>
    <w:lvl w:ilvl="0">
      <w:start w:val="1"/>
      <w:numFmt w:val="decimal"/>
      <w:pStyle w:val="1023"/>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3">
    <w:nsid w:val="00000013"/>
    <w:multiLevelType w:val="multilevel"/>
    <w:tmpl w:val="00000013"/>
    <w:lvl w:ilvl="0">
      <w:start w:val="1"/>
      <w:numFmt w:val="decimal"/>
      <w:lvlText w:val="%1."/>
      <w:lvlJc w:val="left"/>
      <w:pPr>
        <w:ind w:left="0" w:firstLine="0"/>
      </w:pPr>
    </w:lvl>
    <w:lvl w:ilvl="1">
      <w:start w:val="1"/>
      <w:numFmt w:val="decimal"/>
      <w:lvlText w:val="%1.%2"/>
      <w:lvlJc w:val="left"/>
      <w:pPr>
        <w:ind w:left="0" w:firstLine="0"/>
      </w:pPr>
    </w:lvl>
    <w:lvl w:ilvl="2">
      <w:start w:val="1"/>
      <w:numFmt w:val="decimal"/>
      <w:pStyle w:val="07-E3-"/>
      <w:lvlText w:val="%1.%2.%3"/>
      <w:lvlJc w:val="left"/>
      <w:pPr>
        <w:ind w:left="0" w:firstLine="0"/>
      </w:pPr>
    </w:lvl>
    <w:lvl w:ilvl="3">
      <w:start w:val="0"/>
      <w:numFmt w:val="none"/>
      <w:lvlJc w:val="left"/>
      <w:pPr>
        <w:ind w:left="0" w:firstLine="0"/>
      </w:pPr>
    </w:lvl>
    <w:lvl w:ilvl="4">
      <w:start w:val="1"/>
      <w:numFmt w:val="decimal"/>
      <w:lvlText w:val="%1.%2.%3.%4.%5."/>
      <w:lvlJc w:val="right"/>
      <w:pPr>
        <w:ind w:left="992" w:hanging="992"/>
      </w:pPr>
    </w:lvl>
    <w:lvl w:ilvl="5">
      <w:start w:val="1"/>
      <w:numFmt w:val="decimal"/>
      <w:lvlText w:val="%1.%2.%3.%4.%5.%6.ȁ"/>
      <w:lvlJc w:val="left"/>
      <w:pPr>
        <w:ind w:left="0" w:hanging="1134"/>
      </w:pPr>
    </w:lvl>
    <w:lvl w:ilvl="6">
      <w:start w:val="0"/>
      <w:numFmt w:val="none"/>
      <w:lvlJc w:val="left"/>
      <w:pPr>
        <w:ind w:left="0" w:firstLine="0"/>
      </w:pPr>
    </w:lvl>
    <w:lvl w:ilvl="7">
      <w:start w:val="0"/>
      <w:numFmt w:val="none"/>
      <w:lvlJc w:val="left"/>
      <w:pPr>
        <w:ind w:left="0" w:firstLine="0"/>
      </w:pPr>
    </w:lvl>
    <w:lvl w:ilvl="8">
      <w:start w:val="0"/>
      <w:numFmt w:val="none"/>
      <w:lvlJc w:val="left"/>
      <w:pPr>
        <w:ind w:left="0" w:firstLine="0"/>
      </w:pPr>
    </w:lvl>
  </w:abstractNum>
  <w:abstractNum w:abstractNumId="24">
    <w:nsid w:val="00000014"/>
    <w:multiLevelType w:val="multilevel"/>
    <w:tmpl w:val="00000014"/>
    <w:lvl w:ilvl="0">
      <w:start w:val="1"/>
      <w:numFmt w:val="bullet"/>
      <w:pStyle w:val="1134"/>
      <w:lvlText w:val="ü"/>
      <w:lvlJc w:val="left"/>
      <w:pPr>
        <w:ind w:left="980" w:hanging="420"/>
      </w:pPr>
      <w:rPr>
        <w:rFonts w:ascii="Wingdings" w:hAnsi="Wingdings" w:hint="default"/>
      </w:rPr>
    </w:lvl>
    <w:lvl w:ilvl="1">
      <w:start w:val="1"/>
      <w:numFmt w:val="bullet"/>
      <w:lvlText w:val="n"/>
      <w:lvlJc w:val="left"/>
      <w:pPr>
        <w:ind w:left="1400" w:hanging="420"/>
      </w:pPr>
      <w:rPr>
        <w:rFonts w:ascii="Wingdings" w:hAnsi="Wingdings" w:hint="default"/>
      </w:rPr>
    </w:lvl>
    <w:lvl w:ilvl="2">
      <w:start w:val="1"/>
      <w:numFmt w:val="bullet"/>
      <w:lvlText w:val="u"/>
      <w:lvlJc w:val="left"/>
      <w:pPr>
        <w:ind w:left="1820" w:hanging="420"/>
      </w:pPr>
      <w:rPr>
        <w:rFonts w:ascii="Wingdings" w:hAnsi="Wingdings" w:hint="default"/>
      </w:rPr>
    </w:lvl>
    <w:lvl w:ilvl="3">
      <w:start w:val="1"/>
      <w:numFmt w:val="bullet"/>
      <w:lvlText w:val="l"/>
      <w:lvlJc w:val="left"/>
      <w:pPr>
        <w:ind w:left="2240" w:hanging="420"/>
      </w:pPr>
      <w:rPr>
        <w:rFonts w:ascii="Wingdings" w:hAnsi="Wingdings" w:hint="default"/>
      </w:rPr>
    </w:lvl>
    <w:lvl w:ilvl="4">
      <w:start w:val="1"/>
      <w:numFmt w:val="bullet"/>
      <w:lvlText w:val="n"/>
      <w:lvlJc w:val="left"/>
      <w:pPr>
        <w:ind w:left="2660" w:hanging="420"/>
      </w:pPr>
      <w:rPr>
        <w:rFonts w:ascii="Wingdings" w:hAnsi="Wingdings" w:hint="default"/>
      </w:rPr>
    </w:lvl>
    <w:lvl w:ilvl="5">
      <w:start w:val="1"/>
      <w:numFmt w:val="bullet"/>
      <w:lvlText w:val="u"/>
      <w:lvlJc w:val="left"/>
      <w:pPr>
        <w:ind w:left="3080" w:hanging="420"/>
      </w:pPr>
      <w:rPr>
        <w:rFonts w:ascii="Wingdings" w:hAnsi="Wingdings" w:hint="default"/>
      </w:rPr>
    </w:lvl>
    <w:lvl w:ilvl="6">
      <w:start w:val="1"/>
      <w:numFmt w:val="bullet"/>
      <w:lvlText w:val="l"/>
      <w:lvlJc w:val="left"/>
      <w:pPr>
        <w:ind w:left="3500" w:hanging="420"/>
      </w:pPr>
      <w:rPr>
        <w:rFonts w:ascii="Wingdings" w:hAnsi="Wingdings" w:hint="default"/>
      </w:rPr>
    </w:lvl>
    <w:lvl w:ilvl="7">
      <w:start w:val="1"/>
      <w:numFmt w:val="bullet"/>
      <w:lvlText w:val="n"/>
      <w:lvlJc w:val="left"/>
      <w:pPr>
        <w:ind w:left="3920" w:hanging="420"/>
      </w:pPr>
      <w:rPr>
        <w:rFonts w:ascii="Wingdings" w:hAnsi="Wingdings" w:hint="default"/>
      </w:rPr>
    </w:lvl>
    <w:lvl w:ilvl="8">
      <w:start w:val="1"/>
      <w:numFmt w:val="bullet"/>
      <w:lvlText w:val="u"/>
      <w:lvlJc w:val="left"/>
      <w:pPr>
        <w:ind w:left="4340" w:hanging="420"/>
      </w:pPr>
      <w:rPr>
        <w:rFonts w:ascii="Wingdings" w:hAnsi="Wingdings" w:hint="default"/>
      </w:rPr>
    </w:lvl>
  </w:abstractNum>
  <w:abstractNum w:abstractNumId="25">
    <w:nsid w:val="0053208E"/>
    <w:multiLevelType w:val="multilevel"/>
    <w:tmpl w:val="0053208E"/>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26">
    <w:nsid w:val="1459A003"/>
    <w:multiLevelType w:val="multilevel"/>
    <w:tmpl w:val="1459A003"/>
    <w:lvl w:ilvl="0">
      <w:start w:val="0"/>
      <w:numFmt w:val="decimal"/>
      <w:pStyle w:val="2012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7">
    <w:nsid w:val="3EBF10E3"/>
    <w:multiLevelType w:val="multilevel"/>
    <w:tmpl w:val="3EBF10E3"/>
    <w:lvl w:ilvl="0">
      <w:start w:val="0"/>
      <w:numFmt w:val="decimal"/>
      <w:pStyle w:val="652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8">
    <w:nsid w:val="4D63CED7"/>
    <w:multiLevelType w:val="multilevel"/>
    <w:tmpl w:val="4D63CED7"/>
    <w:lvl w:ilvl="0">
      <w:start w:val="0"/>
      <w:numFmt w:val="decimal"/>
      <w:pStyle w:val="191410"/>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9">
    <w:nsid w:val="744AD5AC"/>
    <w:multiLevelType w:val="singleLevel"/>
    <w:tmpl w:val="744AD5AC"/>
    <w:lvl w:ilvl="0">
      <w:start w:val="15"/>
      <w:numFmt w:val="decimal"/>
      <w:suff w:val="nothing"/>
      <w:lvlText w:val="%1、"/>
      <w:lvlJc w:val="left"/>
      <w:pPr>
        <w:ind w:left="0" w:firstLine="0"/>
      </w:pPr>
    </w:lvl>
  </w:abstractNum>
  <w:num w:numId="1">
    <w:abstractNumId w:val="23"/>
  </w:num>
  <w:num w:numId="2">
    <w:abstractNumId w:val="25"/>
  </w:num>
  <w:num w:numId="3">
    <w:abstractNumId w:val="1"/>
  </w:num>
  <w:num w:numId="4">
    <w:abstractNumId w:val="29"/>
  </w:num>
  <w:num w:numId="5">
    <w:abstractNumId w:val="2"/>
  </w:num>
  <w:num w:numId="6">
    <w:abstractNumId w:val="7"/>
  </w:num>
  <w:num w:numId="7">
    <w:abstractNumId w:val="4"/>
  </w:num>
  <w:num w:numId="8">
    <w:abstractNumId w:val="0"/>
  </w:num>
  <w:num w:numId="9">
    <w:abstractNumId w:val="9"/>
  </w:num>
  <w:num w:numId="10">
    <w:abstractNumId w:val="10"/>
  </w:num>
  <w:num w:numId="11">
    <w:abstractNumId w:val="11"/>
  </w:num>
  <w:num w:numId="12">
    <w:abstractNumId w:val="8"/>
  </w:num>
  <w:num w:numId="13">
    <w:abstractNumId w:val="12"/>
  </w:num>
  <w:num w:numId="14">
    <w:abstractNumId w:val="13"/>
  </w:num>
  <w:num w:numId="15">
    <w:abstractNumId w:val="14"/>
  </w:num>
  <w:num w:numId="16">
    <w:abstractNumId w:val="26"/>
  </w:num>
  <w:num w:numId="17">
    <w:abstractNumId w:val="6"/>
  </w:num>
  <w:num w:numId="18">
    <w:abstractNumId w:val="3"/>
  </w:num>
  <w:num w:numId="19">
    <w:abstractNumId w:val="27"/>
  </w:num>
  <w:num w:numId="20">
    <w:abstractNumId w:val="15"/>
  </w:num>
  <w:num w:numId="21">
    <w:abstractNumId w:val="16"/>
  </w:num>
  <w:num w:numId="22">
    <w:abstractNumId w:val="17"/>
  </w:num>
  <w:num w:numId="23">
    <w:abstractNumId w:val="5"/>
  </w:num>
  <w:num w:numId="24">
    <w:abstractNumId w:val="18"/>
  </w:num>
  <w:num w:numId="25">
    <w:abstractNumId w:val="19"/>
  </w:num>
  <w:num w:numId="26">
    <w:abstractNumId w:val="28"/>
  </w:num>
  <w:num w:numId="27">
    <w:abstractNumId w:val="20"/>
  </w:num>
  <w:num w:numId="28">
    <w:abstractNumId w:val="21"/>
  </w:num>
  <w:num w:numId="29">
    <w:abstractNumId w:val="22"/>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6"/>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YWMxY2U1YzJjNjg2ZjQyMmY2ZTIzNzFmNDE4ZjJkZWU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9"/>
      </w:numPr>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9"/>
      </w:numPr>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9"/>
      </w:numPr>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9"/>
      </w:numPr>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9"/>
      </w:numPr>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9"/>
      </w:numPr>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10"/>
      </w:numPr>
      <w:tabs>
        <w:tab w:val="left" w:pos="36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11"/>
      </w:numPr>
      <w:tabs>
        <w:tab w:val="left" w:pos="6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12"/>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13"/>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4"/>
      </w:numPr>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E-mailSignature"/>
    <w:pPr>
      <w:widowControl w:val="0"/>
      <w:spacing w:line="360" w:lineRule="auto"/>
      <w:ind w:firstLine="480"/>
      <w:jc w:val="left"/>
    </w:pPr>
    <w:rPr>
      <w:rFonts w:ascii="Calibri" w:eastAsia="Calibri" w:hAnsi="Calibri" w:cs="Calibri"/>
      <w:b/>
      <w:sz w:val="24"/>
      <w:szCs w:val="24"/>
      <w:lang w:val="en-US" w:eastAsia="zh-CN"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
    <w:name w:val="h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
    <w:name w:val="标题 4 Char1 Char"/>
    <w:rPr>
      <w:rFonts w:ascii="Arial" w:eastAsia="黑体" w:hAnsi="Arial"/>
      <w:b/>
      <w:bCs/>
      <w:kern w:val="2"/>
      <w:sz w:val="28"/>
      <w:lang w:val="en-US" w:eastAsia="zh-CN"/>
    </w:rPr>
  </w:style>
  <w:style w:type="character" w:customStyle="1" w:styleId="Char">
    <w:name w:val="正文文本缩进 Char"/>
    <w:rPr>
      <w:rFonts w:eastAsia="宋体"/>
      <w:kern w:val="2"/>
      <w:sz w:val="32"/>
      <w:lang w:val="en-US" w:eastAsia="zh-CN"/>
    </w:rPr>
  </w:style>
  <w:style w:type="character" w:customStyle="1" w:styleId="Char1">
    <w:name w:val="纯文本 Char1"/>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zh-CN" w:bidi="ar-SA"/>
    </w:rPr>
  </w:style>
  <w:style w:type="paragraph" w:customStyle="1" w:styleId="3">
    <w:name w:val="样式 3 "/>
    <w:rPr>
      <w:rFonts w:ascii="Times New Roman" w:eastAsia="宋体" w:hAnsi="Times New Roman" w:cs="Times New Roman"/>
      <w:sz w:val="20"/>
      <w:szCs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2">
    <w:name w:val="样式 宋体 五号 两端对齐 行距: 单倍行距1"/>
    <w:basedOn w:val="Normal"/>
    <w:rPr>
      <w:rFonts w:ascii="宋体" w:cs="Times New Roman"/>
      <w:lang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66">
    <w:name w:val="纯文本66"/>
    <w:pPr>
      <w:widowControl w:val="0"/>
      <w:jc w:val="both"/>
    </w:pPr>
    <w:rPr>
      <w:rFonts w:ascii="宋体" w:eastAsia="宋体" w:cs="Courier New"/>
      <w:kern w:val="2"/>
      <w:sz w:val="21"/>
      <w:szCs w:val="21"/>
      <w:lang w:val="en-US" w:eastAsia="zh-CN"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zh-CN" w:bidi="ar-SA"/>
    </w:rPr>
  </w:style>
  <w:style w:type="paragraph" w:customStyle="1" w:styleId="276">
    <w:name w:val="正文276"/>
    <w:pPr>
      <w:widowControl w:val="0"/>
      <w:jc w:val="both"/>
    </w:pPr>
    <w:rPr>
      <w:rFonts w:ascii="Calibri" w:eastAsia="宋体" w:hAnsi="Calibri" w:cs="Times New Roman"/>
      <w:kern w:val="2"/>
      <w:sz w:val="21"/>
      <w:szCs w:val="24"/>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0">
    <w:name w:val="正文500"/>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609">
    <w:name w:val="正文609"/>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271">
    <w:name w:val="正文271"/>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50">
    <w:name w:val="正文350"/>
    <w:pPr>
      <w:widowControl w:val="0"/>
      <w:jc w:val="both"/>
    </w:pPr>
    <w:rPr>
      <w:rFonts w:ascii="Calibri" w:eastAsia="宋体" w:hAnsi="Calibri" w:cs="Times New Roman"/>
      <w:kern w:val="2"/>
      <w:sz w:val="21"/>
      <w:szCs w:val="24"/>
      <w:lang w:val="en-US" w:eastAsia="zh-CN" w:bidi="ar-SA"/>
    </w:rPr>
  </w:style>
  <w:style w:type="paragraph" w:customStyle="1" w:styleId="52">
    <w:name w:val="纯文本52"/>
    <w:pPr>
      <w:widowControl w:val="0"/>
      <w:jc w:val="both"/>
    </w:pPr>
    <w:rPr>
      <w:rFonts w:ascii="宋体" w:eastAsia="宋体" w:cs="Courier New"/>
      <w:kern w:val="2"/>
      <w:sz w:val="21"/>
      <w:szCs w:val="21"/>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a2">
    <w:name w:val="样式 居中"/>
    <w:basedOn w:val="Normal"/>
    <w:pPr>
      <w:jc w:val="left"/>
    </w:pPr>
    <w:rPr>
      <w:rFonts w:ascii="Calibri" w:eastAsia="宋体" w:hAnsi="Calibri" w:cs="宋体"/>
      <w:sz w:val="24"/>
      <w:szCs w:val="20"/>
      <w:lang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zh-CN"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zh-CN"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5"/>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zh-CN" w:bidi="ar-SA"/>
    </w:rPr>
  </w:style>
  <w:style w:type="paragraph" w:customStyle="1" w:styleId="109">
    <w:name w:val="纯文本109"/>
    <w:pPr>
      <w:widowControl w:val="0"/>
      <w:jc w:val="both"/>
    </w:pPr>
    <w:rPr>
      <w:rFonts w:ascii="宋体" w:eastAsia="宋体" w:cs="Courier New"/>
      <w:kern w:val="2"/>
      <w:sz w:val="21"/>
      <w:szCs w:val="21"/>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25">
    <w:name w:val="纯文本25"/>
    <w:pPr>
      <w:widowControl w:val="0"/>
      <w:jc w:val="both"/>
    </w:pPr>
    <w:rPr>
      <w:rFonts w:ascii="宋体" w:eastAsia="宋体" w:cs="Courier New"/>
      <w:kern w:val="2"/>
      <w:sz w:val="21"/>
      <w:szCs w:val="21"/>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74">
    <w:name w:val="正文174"/>
    <w:pPr>
      <w:widowControl w:val="0"/>
      <w:jc w:val="both"/>
    </w:pPr>
    <w:rPr>
      <w:rFonts w:ascii="Calibri" w:eastAsia="宋体" w:hAnsi="Calibri" w:cs="Times New Roman"/>
      <w:kern w:val="2"/>
      <w:sz w:val="21"/>
      <w:szCs w:val="24"/>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0">
    <w:name w:val="Char1"/>
    <w:basedOn w:val="Normal"/>
    <w:pPr>
      <w:tabs>
        <w:tab w:val="left" w:pos="360"/>
      </w:tabs>
    </w:pPr>
    <w:rPr>
      <w:rFonts w:ascii="Calibri" w:eastAsia="宋体" w:hAnsi="Calibri" w:cs="Times New Roman"/>
      <w:sz w:val="24"/>
      <w:szCs w:val="24"/>
      <w:lang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zh-CN"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cs="宋体"/>
      <w:sz w:val="22"/>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576">
    <w:name w:val="正文576"/>
    <w:pPr>
      <w:widowControl w:val="0"/>
      <w:jc w:val="both"/>
    </w:pPr>
    <w:rPr>
      <w:rFonts w:ascii="Calibri" w:eastAsia="宋体" w:hAnsi="Calibri"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zh-CN" w:bidi="ar-SA"/>
    </w:rPr>
  </w:style>
  <w:style w:type="paragraph" w:customStyle="1" w:styleId="431">
    <w:name w:val="正文431"/>
    <w:pPr>
      <w:widowControl w:val="0"/>
      <w:jc w:val="both"/>
    </w:pPr>
    <w:rPr>
      <w:rFonts w:ascii="Calibri" w:eastAsia="宋体" w:hAnsi="Calibri"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zh-CN" w:bidi="ar-SA"/>
    </w:rPr>
  </w:style>
  <w:style w:type="paragraph" w:customStyle="1" w:styleId="923">
    <w:name w:val="正文923"/>
    <w:pPr>
      <w:widowControl w:val="0"/>
      <w:jc w:val="both"/>
    </w:pPr>
    <w:rPr>
      <w:rFonts w:ascii="Calibri" w:eastAsia="宋体" w:hAnsi="Calibri" w:cs="Times New Roman"/>
      <w:kern w:val="2"/>
      <w:sz w:val="21"/>
      <w:szCs w:val="24"/>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600">
    <w:name w:val="正文600"/>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467">
    <w:name w:val="正文467"/>
    <w:pPr>
      <w:widowControl w:val="0"/>
      <w:jc w:val="both"/>
    </w:pPr>
    <w:rPr>
      <w:rFonts w:ascii="Calibri" w:eastAsia="宋体" w:hAnsi="Calibri" w:cs="Times New Roman"/>
      <w:kern w:val="2"/>
      <w:sz w:val="21"/>
      <w:szCs w:val="24"/>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1022">
    <w:name w:val="正文1022"/>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szCs w:val="20"/>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zh-CN" w:bidi="ar-SA"/>
    </w:rPr>
  </w:style>
  <w:style w:type="paragraph" w:customStyle="1" w:styleId="1000">
    <w:name w:val="正文100"/>
    <w:pPr>
      <w:widowControl w:val="0"/>
      <w:jc w:val="both"/>
    </w:pPr>
    <w:rPr>
      <w:rFonts w:ascii="Calibri" w:eastAsia="宋体" w:hAnsi="Calibri" w:cs="Times New Roman"/>
      <w:kern w:val="2"/>
      <w:sz w:val="21"/>
      <w:szCs w:val="24"/>
      <w:lang w:val="en-US" w:eastAsia="zh-CN"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24">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502">
    <w:name w:val="正文502"/>
    <w:pPr>
      <w:widowControl w:val="0"/>
      <w:jc w:val="both"/>
    </w:pPr>
    <w:rPr>
      <w:rFonts w:ascii="Calibri" w:eastAsia="宋体" w:hAnsi="Calibri"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zh-CN" w:bidi="ar-SA"/>
    </w:rPr>
  </w:style>
  <w:style w:type="paragraph" w:customStyle="1" w:styleId="a9">
    <w:name w:val="公式样式 函数"/>
    <w:rPr>
      <w:rFonts w:ascii="Times New Roman" w:eastAsia="宋体" w:hAnsi="Times New Roman" w:cs="Times New Roman"/>
      <w:kern w:val="2"/>
      <w:sz w:val="20"/>
      <w:szCs w:val="28"/>
      <w:lang w:val="en-US" w:eastAsia="zh-CN"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227">
    <w:name w:val="正文227"/>
    <w:pPr>
      <w:widowControl w:val="0"/>
      <w:jc w:val="both"/>
    </w:pPr>
    <w:rPr>
      <w:rFonts w:ascii="Calibri" w:eastAsia="宋体" w:hAnsi="Calibri"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zh-CN" w:bidi="ar-SA"/>
    </w:rPr>
  </w:style>
  <w:style w:type="paragraph" w:customStyle="1" w:styleId="779">
    <w:name w:val="正文779"/>
    <w:pPr>
      <w:widowControl w:val="0"/>
      <w:jc w:val="both"/>
    </w:pPr>
    <w:rPr>
      <w:rFonts w:ascii="Calibri" w:eastAsia="宋体" w:hAnsi="Calibri"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1112">
    <w:name w:val="正文1112"/>
    <w:pPr>
      <w:widowControl w:val="0"/>
      <w:jc w:val="both"/>
    </w:pPr>
    <w:rPr>
      <w:rFonts w:ascii="Calibri" w:eastAsia="宋体" w:hAnsi="Calibri"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6"/>
      </w:numPr>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1180">
    <w:name w:val="正文118"/>
    <w:pPr>
      <w:widowControl w:val="0"/>
      <w:jc w:val="both"/>
    </w:pPr>
    <w:rPr>
      <w:rFonts w:ascii="Calibri" w:eastAsia="宋体" w:hAnsi="Calibri" w:cs="Times New Roman"/>
      <w:kern w:val="2"/>
      <w:sz w:val="21"/>
      <w:szCs w:val="24"/>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left"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3">
    <w:name w:val="纯文本83"/>
    <w:pPr>
      <w:widowControl w:val="0"/>
      <w:jc w:val="both"/>
    </w:pPr>
    <w:rPr>
      <w:rFonts w:ascii="宋体" w:eastAsia="宋体" w:cs="Courier New"/>
      <w:kern w:val="2"/>
      <w:sz w:val="21"/>
      <w:szCs w:val="21"/>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5">
    <w:name w:val="正文85"/>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150">
    <w:name w:val="纯文本15"/>
    <w:pPr>
      <w:widowControl w:val="0"/>
      <w:jc w:val="both"/>
    </w:pPr>
    <w:rPr>
      <w:rFonts w:ascii="宋体" w:eastAsia="宋体" w:cs="Courier New"/>
      <w:kern w:val="2"/>
      <w:sz w:val="21"/>
      <w:szCs w:val="21"/>
      <w:lang w:val="en-US" w:eastAsia="zh-CN" w:bidi="ar-SA"/>
    </w:rPr>
  </w:style>
  <w:style w:type="paragraph" w:customStyle="1" w:styleId="61">
    <w:name w:val="纯文本61"/>
    <w:pPr>
      <w:widowControl w:val="0"/>
      <w:jc w:val="both"/>
    </w:pPr>
    <w:rPr>
      <w:rFonts w:ascii="宋体" w:eastAsia="宋体" w:cs="Courier New"/>
      <w:kern w:val="2"/>
      <w:sz w:val="21"/>
      <w:szCs w:val="21"/>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0">
    <w:name w:val="正文1090"/>
    <w:pPr>
      <w:widowControl w:val="0"/>
      <w:jc w:val="both"/>
    </w:pPr>
    <w:rPr>
      <w:rFonts w:ascii="Calibri" w:eastAsia="宋体" w:hAnsi="Calibri" w:cs="Times New Roman"/>
      <w:kern w:val="2"/>
      <w:sz w:val="21"/>
      <w:szCs w:val="22"/>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361">
    <w:name w:val="正文361"/>
    <w:pPr>
      <w:widowControl w:val="0"/>
      <w:jc w:val="both"/>
    </w:pPr>
    <w:rPr>
      <w:rFonts w:ascii="Calibri" w:eastAsia="宋体" w:hAnsi="Calibri"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19">
    <w:name w:val="正文1119"/>
    <w:pPr>
      <w:widowControl w:val="0"/>
      <w:jc w:val="both"/>
    </w:pPr>
    <w:rPr>
      <w:rFonts w:ascii="Calibri" w:eastAsia="宋体" w:hAnsi="Calibri" w:cs="Times New Roman"/>
      <w:kern w:val="2"/>
      <w:sz w:val="21"/>
      <w:szCs w:val="24"/>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455">
    <w:name w:val="样式 标题 4 + 段前: 5 磅 段后: 5 磅 行距: 单倍行距"/>
    <w:next w:val="PMstyle"/>
    <w:pPr>
      <w:keepNext/>
      <w:keepLines/>
      <w:widowControl w:val="0"/>
      <w:numPr>
        <w:ilvl w:val="3"/>
        <w:numId w:val="17"/>
      </w:numPr>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eastAsia="zh-CN"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zh-CN" w:bidi="ar-SA"/>
    </w:rPr>
  </w:style>
  <w:style w:type="paragraph" w:customStyle="1" w:styleId="18">
    <w:name w:val="样式1"/>
    <w:pPr>
      <w:widowControl w:val="0"/>
      <w:numPr>
        <w:ilvl w:val="0"/>
        <w:numId w:val="18"/>
      </w:numPr>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zh-CN" w:bidi="ar-SA"/>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201">
    <w:name w:val="正文201"/>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130">
    <w:name w:val="样式 13 "/>
    <w:next w:val="26"/>
    <w:rPr>
      <w:rFonts w:ascii="Times New Roman" w:eastAsia="宋体" w:hAnsi="Times New Roman" w:cs="Times New Roman"/>
      <w:sz w:val="20"/>
      <w:szCs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zh-CN" w:bidi="ar-SA"/>
    </w:rPr>
  </w:style>
  <w:style w:type="paragraph" w:customStyle="1" w:styleId="120">
    <w:name w:val="正文120"/>
    <w:pPr>
      <w:widowControl w:val="0"/>
      <w:jc w:val="both"/>
    </w:pPr>
    <w:rPr>
      <w:rFonts w:ascii="Calibri" w:eastAsia="宋体" w:hAnsi="Calibri"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zh-CN" w:bidi="ar-SA"/>
    </w:rPr>
  </w:style>
  <w:style w:type="paragraph" w:customStyle="1" w:styleId="3000">
    <w:name w:val="正文300"/>
    <w:pPr>
      <w:widowControl w:val="0"/>
      <w:jc w:val="both"/>
    </w:pPr>
    <w:rPr>
      <w:rFonts w:ascii="Calibri" w:eastAsia="宋体" w:hAnsi="Calibri"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9"/>
      </w:numPr>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zh-CN" w:bidi="ar-SA"/>
    </w:rPr>
  </w:style>
  <w:style w:type="paragraph" w:customStyle="1" w:styleId="72">
    <w:name w:val="样式 7 "/>
    <w:next w:val="TOC4"/>
    <w:rPr>
      <w:rFonts w:ascii="Times New Roman" w:eastAsia="宋体" w:hAnsi="Times New Roman" w:cs="Times New Roman"/>
      <w:sz w:val="20"/>
      <w:szCs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501">
    <w:name w:val="纯文本50"/>
    <w:pPr>
      <w:widowControl w:val="0"/>
      <w:jc w:val="both"/>
    </w:pPr>
    <w:rPr>
      <w:rFonts w:ascii="宋体" w:eastAsia="宋体" w:cs="Courier New"/>
      <w:kern w:val="2"/>
      <w:sz w:val="21"/>
      <w:szCs w:val="21"/>
      <w:lang w:val="en-US" w:eastAsia="zh-CN" w:bidi="ar-SA"/>
    </w:rPr>
  </w:style>
  <w:style w:type="paragraph" w:customStyle="1" w:styleId="60">
    <w:name w:val="正文6"/>
    <w:pPr>
      <w:widowControl w:val="0"/>
      <w:jc w:val="both"/>
    </w:pPr>
    <w:rPr>
      <w:rFonts w:ascii="Calibri" w:eastAsia="宋体" w:hAnsi="Calibri"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eastAsia="zh-CN" w:bidi="ar-SA"/>
    </w:rPr>
  </w:style>
  <w:style w:type="paragraph" w:customStyle="1" w:styleId="81">
    <w:name w:val="正文81"/>
    <w:pPr>
      <w:widowControl w:val="0"/>
      <w:jc w:val="both"/>
    </w:pPr>
    <w:rPr>
      <w:rFonts w:ascii="Calibri" w:eastAsia="宋体" w:hAnsi="Calibri"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eastAsia="zh-CN" w:bidi="ar-SA"/>
    </w:rPr>
  </w:style>
  <w:style w:type="paragraph" w:customStyle="1" w:styleId="132">
    <w:name w:val="正文132"/>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761">
    <w:name w:val="正文761"/>
    <w:pPr>
      <w:widowControl w:val="0"/>
      <w:jc w:val="both"/>
    </w:pPr>
    <w:rPr>
      <w:rFonts w:ascii="Calibri" w:eastAsia="宋体" w:hAnsi="Calibri" w:cs="Times New Roman"/>
      <w:kern w:val="2"/>
      <w:sz w:val="21"/>
      <w:szCs w:val="24"/>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6"/>
      </w:numPr>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44310">
    <w:name w:val="样式 443 10 磅"/>
    <w:next w:val="NormalIndent"/>
    <w:pPr>
      <w:widowControl w:val="0"/>
      <w:numPr>
        <w:ilvl w:val="0"/>
        <w:numId w:val="16"/>
      </w:numPr>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670">
    <w:name w:val="纯文本67"/>
    <w:pPr>
      <w:widowControl w:val="0"/>
      <w:jc w:val="both"/>
    </w:pPr>
    <w:rPr>
      <w:rFonts w:ascii="宋体" w:eastAsia="宋体" w:cs="Courier New"/>
      <w:kern w:val="2"/>
      <w:sz w:val="21"/>
      <w:szCs w:val="21"/>
      <w:lang w:val="en-US" w:eastAsia="zh-CN" w:bidi="ar-SA"/>
    </w:rPr>
  </w:style>
  <w:style w:type="paragraph" w:customStyle="1" w:styleId="143">
    <w:name w:val="正文143"/>
    <w:pPr>
      <w:widowControl w:val="0"/>
      <w:jc w:val="both"/>
    </w:pPr>
    <w:rPr>
      <w:rFonts w:ascii="Calibri" w:eastAsia="宋体" w:hAnsi="Calibri"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918">
    <w:name w:val="正文918"/>
    <w:pPr>
      <w:widowControl w:val="0"/>
      <w:jc w:val="both"/>
    </w:pPr>
    <w:rPr>
      <w:rFonts w:ascii="Calibri" w:eastAsia="宋体" w:hAnsi="Calibri"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41">
    <w:name w:val="正文141"/>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27">
    <w:name w:val="样式 2 "/>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numPr>
        <w:ilvl w:val="0"/>
        <w:numId w:val="0"/>
      </w:numPr>
      <w:tabs>
        <w:tab w:val="left" w:pos="2100"/>
      </w:tabs>
      <w:spacing w:before="100" w:after="100" w:line="240" w:lineRule="auto"/>
      <w:ind w:left="2100" w:hanging="420"/>
    </w:pPr>
    <w:rPr>
      <w:szCs w:val="20"/>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zh-CN"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zh-CN"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Calibri" w:eastAsia="宋体" w:hAnsi="Calibri"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980">
    <w:name w:val="正文98"/>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691">
    <w:name w:val="正文691"/>
    <w:pPr>
      <w:widowControl w:val="0"/>
      <w:jc w:val="both"/>
    </w:pPr>
    <w:rPr>
      <w:rFonts w:ascii="Calibri" w:eastAsia="宋体" w:hAnsi="Calibri"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201210">
    <w:name w:val="样式 2012 10 磅"/>
    <w:pPr>
      <w:widowControl w:val="0"/>
      <w:numPr>
        <w:ilvl w:val="0"/>
        <w:numId w:val="16"/>
      </w:numPr>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zh-CN" w:bidi="ar-SA"/>
    </w:rPr>
  </w:style>
  <w:style w:type="paragraph" w:customStyle="1" w:styleId="511">
    <w:name w:val="纯文本51"/>
    <w:pPr>
      <w:widowControl w:val="0"/>
      <w:jc w:val="both"/>
    </w:pPr>
    <w:rPr>
      <w:rFonts w:ascii="宋体" w:eastAsia="宋体" w:cs="Courier New"/>
      <w:kern w:val="2"/>
      <w:sz w:val="21"/>
      <w:szCs w:val="21"/>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20"/>
      </w:numPr>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137">
    <w:name w:val="正文137"/>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28">
    <w:name w:val="批注文字2"/>
    <w:pPr>
      <w:widowControl w:val="0"/>
      <w:jc w:val="both"/>
    </w:pPr>
    <w:rPr>
      <w:rFonts w:ascii="Calibri" w:eastAsia="宋体" w:hAnsi="Calibri" w:cs="Times New Roman"/>
      <w:kern w:val="2"/>
      <w:sz w:val="21"/>
      <w:szCs w:val="22"/>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105">
    <w:name w:val="正文105"/>
    <w:pPr>
      <w:widowControl w:val="0"/>
      <w:jc w:val="both"/>
    </w:pPr>
    <w:rPr>
      <w:rFonts w:ascii="Calibri" w:eastAsia="宋体" w:hAnsi="Calibri" w:cs="Times New Roman"/>
      <w:kern w:val="2"/>
      <w:sz w:val="21"/>
      <w:szCs w:val="24"/>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103">
    <w:name w:val="正文103"/>
    <w:pPr>
      <w:widowControl w:val="0"/>
      <w:jc w:val="both"/>
    </w:pPr>
    <w:rPr>
      <w:rFonts w:ascii="Calibri" w:eastAsia="宋体" w:hAnsi="Calibri" w:cs="Times New Roman"/>
      <w:kern w:val="2"/>
      <w:sz w:val="21"/>
      <w:szCs w:val="24"/>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21"/>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zh-CN"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551">
    <w:name w:val="纯文本55"/>
    <w:pPr>
      <w:widowControl w:val="0"/>
      <w:jc w:val="both"/>
    </w:pPr>
    <w:rPr>
      <w:rFonts w:ascii="宋体" w:eastAsia="宋体" w:cs="Courier New"/>
      <w:kern w:val="2"/>
      <w:sz w:val="21"/>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zh-CN"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eastAsia="zh-CN"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430">
    <w:name w:val="样式 43 小四"/>
    <w:pPr>
      <w:widowControl w:val="0"/>
      <w:jc w:val="both"/>
    </w:pPr>
    <w:rPr>
      <w:rFonts w:ascii="Calibri" w:eastAsia="宋体" w:hAnsi="Calibri" w:cs="Times New Roman"/>
      <w:kern w:val="2"/>
      <w:sz w:val="24"/>
      <w:szCs w:val="22"/>
      <w:lang w:val="en-US" w:eastAsia="zh-CN"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zh-CN"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eastAsia="zh-CN"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22"/>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611">
    <w:name w:val="正文611"/>
    <w:pPr>
      <w:widowControl w:val="0"/>
      <w:jc w:val="both"/>
    </w:pPr>
    <w:rPr>
      <w:rFonts w:ascii="Calibri" w:eastAsia="宋体" w:hAnsi="Calibri" w:cs="Times New Roman"/>
      <w:kern w:val="2"/>
      <w:sz w:val="21"/>
      <w:szCs w:val="24"/>
      <w:lang w:val="en-US" w:eastAsia="zh-CN"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400">
    <w:name w:val="正文400"/>
    <w:pPr>
      <w:widowControl w:val="0"/>
      <w:jc w:val="both"/>
    </w:pPr>
    <w:rPr>
      <w:rFonts w:ascii="Calibri" w:eastAsia="宋体" w:hAnsi="Calibri" w:cs="Times New Roman"/>
      <w:kern w:val="2"/>
      <w:sz w:val="21"/>
      <w:szCs w:val="24"/>
      <w:lang w:val="en-US" w:eastAsia="zh-CN" w:bidi="ar-SA"/>
    </w:rPr>
  </w:style>
  <w:style w:type="paragraph" w:customStyle="1" w:styleId="108">
    <w:name w:val="纯文本108"/>
    <w:pPr>
      <w:widowControl w:val="0"/>
      <w:jc w:val="both"/>
    </w:pPr>
    <w:rPr>
      <w:rFonts w:ascii="宋体" w:eastAsia="宋体" w:cs="Courier New"/>
      <w:kern w:val="2"/>
      <w:sz w:val="21"/>
      <w:szCs w:val="21"/>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1050">
    <w:name w:val="纯文本105"/>
    <w:pPr>
      <w:widowControl w:val="0"/>
      <w:jc w:val="both"/>
    </w:pPr>
    <w:rPr>
      <w:rFonts w:ascii="宋体" w:eastAsia="宋体" w:cs="Courier New"/>
      <w:kern w:val="2"/>
      <w:sz w:val="21"/>
      <w:szCs w:val="21"/>
      <w:lang w:val="en-US" w:eastAsia="zh-CN"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16">
    <w:name w:val="1"/>
    <w:pPr>
      <w:ind w:firstLine="200"/>
      <w:jc w:val="both"/>
    </w:pPr>
    <w:rPr>
      <w:rFonts w:ascii="宋体" w:eastAsia="宋体" w:cs="Calibri"/>
      <w:kern w:val="2"/>
      <w:sz w:val="28"/>
      <w:szCs w:val="28"/>
      <w:lang w:val="en-US" w:eastAsia="zh-CN"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zh-CN" w:bidi="ar-SA"/>
    </w:rPr>
  </w:style>
  <w:style w:type="paragraph" w:customStyle="1" w:styleId="11110">
    <w:name w:val="样式 111 10 磅"/>
    <w:next w:val="29110"/>
    <w:pPr>
      <w:widowControl w:val="0"/>
      <w:numPr>
        <w:ilvl w:val="0"/>
        <w:numId w:val="23"/>
      </w:numPr>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szCs w:val="20"/>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left"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21"/>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zh-CN" w:bidi="ar-SA"/>
    </w:rPr>
  </w:style>
  <w:style w:type="paragraph" w:customStyle="1" w:styleId="620">
    <w:name w:val="正文62"/>
    <w:pPr>
      <w:widowControl w:val="0"/>
      <w:jc w:val="both"/>
    </w:pPr>
    <w:rPr>
      <w:rFonts w:ascii="Calibri" w:eastAsia="宋体" w:hAnsi="Calibri"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szCs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440">
    <w:name w:val="正文440"/>
    <w:pPr>
      <w:widowControl w:val="0"/>
      <w:jc w:val="both"/>
    </w:pPr>
    <w:rPr>
      <w:rFonts w:ascii="Calibri" w:eastAsia="宋体" w:hAnsi="Calibri"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zh-CN" w:bidi="ar-SA"/>
    </w:rPr>
  </w:style>
  <w:style w:type="paragraph" w:customStyle="1" w:styleId="BodyText21">
    <w:name w:val="Body Text 21"/>
    <w:basedOn w:val="Normal"/>
    <w:pPr>
      <w:numPr>
        <w:ilvl w:val="0"/>
        <w:numId w:val="24"/>
      </w:numPr>
      <w:spacing w:before="240" w:line="400" w:lineRule="exact"/>
      <w:ind w:left="0" w:firstLine="357"/>
    </w:pPr>
    <w:rPr>
      <w:rFonts w:cs="Times New Roman"/>
      <w:sz w:val="28"/>
      <w:lang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0"/>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zh-CN" w:bidi="ar-SA"/>
    </w:rPr>
  </w:style>
  <w:style w:type="paragraph" w:customStyle="1" w:styleId="901">
    <w:name w:val="正文901"/>
    <w:pPr>
      <w:widowControl w:val="0"/>
      <w:jc w:val="both"/>
    </w:pPr>
    <w:rPr>
      <w:rFonts w:ascii="Calibri" w:eastAsia="宋体" w:hAnsi="Calibri" w:cs="Times New Roman"/>
      <w:kern w:val="2"/>
      <w:sz w:val="21"/>
      <w:szCs w:val="22"/>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59">
    <w:name w:val="正文文本5"/>
    <w:pPr>
      <w:widowControl w:val="0"/>
      <w:jc w:val="both"/>
    </w:pPr>
    <w:rPr>
      <w:rFonts w:ascii="Calibri" w:eastAsia="宋体" w:hAnsi="Calibri" w:cs="Times New Roman"/>
      <w:kern w:val="2"/>
      <w:sz w:val="28"/>
      <w:szCs w:val="22"/>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42">
    <w:name w:val="正文54"/>
    <w:pPr>
      <w:widowControl w:val="0"/>
      <w:jc w:val="both"/>
    </w:pPr>
    <w:rPr>
      <w:rFonts w:ascii="Calibri" w:eastAsia="宋体" w:hAnsi="Calibri" w:cs="Times New Roman"/>
      <w:kern w:val="2"/>
      <w:sz w:val="21"/>
      <w:szCs w:val="24"/>
      <w:lang w:val="en-US" w:eastAsia="zh-CN" w:bidi="ar-SA"/>
    </w:rPr>
  </w:style>
  <w:style w:type="paragraph" w:customStyle="1" w:styleId="47">
    <w:name w:val="批注文字4"/>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46">
    <w:name w:val="正文146"/>
    <w:pPr>
      <w:widowControl w:val="0"/>
      <w:jc w:val="both"/>
    </w:pPr>
    <w:rPr>
      <w:rFonts w:ascii="Calibri" w:eastAsia="宋体" w:hAnsi="Calibri"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240">
    <w:name w:val="正文240"/>
    <w:pPr>
      <w:widowControl w:val="0"/>
      <w:jc w:val="both"/>
    </w:pPr>
    <w:rPr>
      <w:rFonts w:ascii="Calibri" w:eastAsia="宋体" w:hAnsi="Calibri" w:cs="Times New Roman"/>
      <w:kern w:val="2"/>
      <w:sz w:val="21"/>
      <w:szCs w:val="24"/>
      <w:lang w:val="en-US" w:eastAsia="zh-CN" w:bidi="ar-SA"/>
    </w:rPr>
  </w:style>
  <w:style w:type="paragraph" w:customStyle="1" w:styleId="194810">
    <w:name w:val="样式 1948 10 磅"/>
    <w:pPr>
      <w:widowControl w:val="0"/>
      <w:numPr>
        <w:ilvl w:val="0"/>
        <w:numId w:val="16"/>
      </w:numPr>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4">
    <w:name w:val="纯文本124"/>
    <w:pPr>
      <w:widowControl w:val="0"/>
      <w:jc w:val="both"/>
    </w:pPr>
    <w:rPr>
      <w:rFonts w:ascii="宋体" w:eastAsia="宋体" w:cs="Courier New"/>
      <w:kern w:val="2"/>
      <w:sz w:val="21"/>
      <w:szCs w:val="21"/>
      <w:lang w:val="en-US" w:eastAsia="zh-CN"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663">
    <w:name w:val="正文663"/>
    <w:pPr>
      <w:widowControl w:val="0"/>
      <w:jc w:val="both"/>
    </w:pPr>
    <w:rPr>
      <w:rFonts w:ascii="Calibri" w:eastAsia="宋体" w:hAnsi="Calibri"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610">
    <w:name w:val="样式 1916 10 磅"/>
    <w:pPr>
      <w:widowControl w:val="0"/>
      <w:numPr>
        <w:ilvl w:val="0"/>
        <w:numId w:val="16"/>
      </w:numPr>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zh-CN" w:bidi="ar-SA"/>
    </w:rPr>
  </w:style>
  <w:style w:type="paragraph" w:customStyle="1" w:styleId="35">
    <w:name w:val="纯文本35"/>
    <w:pPr>
      <w:widowControl w:val="0"/>
      <w:jc w:val="both"/>
    </w:pPr>
    <w:rPr>
      <w:rFonts w:ascii="宋体" w:eastAsia="宋体" w:cs="Courier New"/>
      <w:kern w:val="2"/>
      <w:sz w:val="21"/>
      <w:szCs w:val="21"/>
      <w:lang w:val="en-US" w:eastAsia="zh-CN"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zh-CN"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zh-CN"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lang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1200">
    <w:name w:val="纯文本120"/>
    <w:pPr>
      <w:widowControl w:val="0"/>
      <w:jc w:val="both"/>
    </w:pPr>
    <w:rPr>
      <w:rFonts w:ascii="宋体" w:eastAsia="宋体" w:cs="Courier New"/>
      <w:kern w:val="2"/>
      <w:sz w:val="21"/>
      <w:szCs w:val="21"/>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253">
    <w:name w:val="正文253"/>
    <w:pPr>
      <w:widowControl w:val="0"/>
      <w:jc w:val="both"/>
    </w:pPr>
    <w:rPr>
      <w:rFonts w:ascii="Calibri" w:eastAsia="宋体" w:hAnsi="Calibri" w:cs="Times New Roman"/>
      <w:kern w:val="2"/>
      <w:sz w:val="21"/>
      <w:szCs w:val="24"/>
      <w:lang w:val="en-US" w:eastAsia="zh-CN" w:bidi="ar-SA"/>
    </w:rPr>
  </w:style>
  <w:style w:type="paragraph" w:customStyle="1" w:styleId="184">
    <w:name w:val="正文184"/>
    <w:pPr>
      <w:widowControl w:val="0"/>
      <w:jc w:val="both"/>
    </w:pPr>
    <w:rPr>
      <w:rFonts w:ascii="Calibri" w:eastAsia="宋体" w:hAnsi="Calibri"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a20">
    <w:name w:val="公式样式 大写希腊字母"/>
    <w:rPr>
      <w:rFonts w:ascii="Calibri" w:eastAsia="宋体" w:hAnsi="Calibri" w:cs="Times New Roman"/>
      <w:kern w:val="2"/>
      <w:sz w:val="20"/>
      <w:szCs w:val="28"/>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a21">
    <w:name w:val="列项——"/>
    <w:pPr>
      <w:widowControl w:val="0"/>
      <w:numPr>
        <w:ilvl w:val="0"/>
        <w:numId w:val="25"/>
      </w:numPr>
      <w:tabs>
        <w:tab w:val="left" w:pos="4080"/>
      </w:tabs>
      <w:jc w:val="both"/>
    </w:pPr>
    <w:rPr>
      <w:rFonts w:ascii="宋体" w:eastAsia="宋体" w:cs="Times New Roman"/>
      <w:kern w:val="2"/>
      <w:sz w:val="21"/>
      <w:szCs w:val="28"/>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231">
    <w:name w:val="正文23"/>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811">
    <w:name w:val="正文文本8"/>
    <w:pPr>
      <w:widowControl w:val="0"/>
      <w:jc w:val="both"/>
    </w:pPr>
    <w:rPr>
      <w:rFonts w:ascii="Calibri" w:eastAsia="宋体" w:hAnsi="Calibri" w:cs="Times New Roman"/>
      <w:kern w:val="2"/>
      <w:sz w:val="28"/>
      <w:szCs w:val="22"/>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212">
    <w:name w:val="样式 标题 2 + 右侧:  1.2 厘米 行距: 单倍行距"/>
    <w:basedOn w:val="Heading2"/>
    <w:pPr>
      <w:spacing w:line="240" w:lineRule="auto"/>
      <w:ind w:right="680"/>
    </w:pPr>
    <w:rPr>
      <w:rFonts w:cs="宋体"/>
      <w:bCs/>
      <w:szCs w:val="32"/>
      <w:lang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14">
    <w:name w:val="正文文字 2"/>
    <w:basedOn w:val="Normal"/>
    <w:next w:val="Normal"/>
    <w:pPr>
      <w:ind w:left="240"/>
    </w:pPr>
    <w:rPr>
      <w:rFonts w:ascii="Arial" w:eastAsia="宋体" w:hAnsi="Arial" w:cs="Times New Roman"/>
      <w:sz w:val="28"/>
      <w:lang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zh-CN" w:bidi="ar-SA"/>
    </w:rPr>
  </w:style>
  <w:style w:type="paragraph" w:customStyle="1" w:styleId="1153">
    <w:name w:val="正文1153"/>
    <w:pPr>
      <w:widowControl w:val="0"/>
      <w:jc w:val="both"/>
    </w:pPr>
    <w:rPr>
      <w:rFonts w:ascii="Calibri" w:eastAsia="宋体" w:hAnsi="Calibri" w:cs="Times New Roman"/>
      <w:kern w:val="2"/>
      <w:sz w:val="21"/>
      <w:szCs w:val="24"/>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5"/>
      </w:numPr>
      <w:ind w:left="0" w:firstLine="0"/>
    </w:pPr>
    <w:rPr>
      <w:rFonts w:ascii="Tahoma" w:hAnsi="Tahoma" w:cs="Times New Roman"/>
      <w:lang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040">
    <w:name w:val="正文204"/>
    <w:pPr>
      <w:widowControl w:val="0"/>
      <w:jc w:val="both"/>
    </w:pPr>
    <w:rPr>
      <w:rFonts w:ascii="Calibri" w:eastAsia="宋体" w:hAnsi="Calibri" w:cs="Times New Roman"/>
      <w:kern w:val="2"/>
      <w:sz w:val="21"/>
      <w:szCs w:val="24"/>
      <w:lang w:val="en-US" w:eastAsia="zh-CN" w:bidi="ar-SA"/>
    </w:rPr>
  </w:style>
  <w:style w:type="paragraph" w:customStyle="1" w:styleId="351">
    <w:name w:val="正文351"/>
    <w:pPr>
      <w:widowControl w:val="0"/>
      <w:jc w:val="both"/>
    </w:pPr>
    <w:rPr>
      <w:rFonts w:ascii="Calibri" w:eastAsia="宋体" w:hAnsi="Calibri"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1045"/>
    <w:pPr>
      <w:widowControl w:val="0"/>
      <w:jc w:val="both"/>
    </w:pPr>
    <w:rPr>
      <w:rFonts w:ascii="Times New Roman" w:eastAsia="宋体" w:hAnsi="Times New Roman" w:cs="Times New Roman"/>
      <w:kern w:val="2"/>
      <w:sz w:val="21"/>
      <w:szCs w:val="20"/>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lang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lang w:bidi="ar-SA"/>
    </w:rPr>
  </w:style>
  <w:style w:type="paragraph" w:customStyle="1" w:styleId="96">
    <w:name w:val="正文96"/>
    <w:pPr>
      <w:widowControl w:val="0"/>
      <w:jc w:val="both"/>
    </w:pPr>
    <w:rPr>
      <w:rFonts w:ascii="Calibri" w:eastAsia="宋体" w:hAnsi="Calibri" w:cs="Times New Roman"/>
      <w:kern w:val="2"/>
      <w:sz w:val="21"/>
      <w:szCs w:val="24"/>
      <w:lang w:val="en-US" w:eastAsia="zh-CN" w:bidi="ar-SA"/>
    </w:rPr>
  </w:style>
  <w:style w:type="paragraph" w:customStyle="1" w:styleId="902">
    <w:name w:val="正文90"/>
    <w:pPr>
      <w:widowControl w:val="0"/>
      <w:jc w:val="both"/>
    </w:pPr>
    <w:rPr>
      <w:rFonts w:ascii="Calibri" w:eastAsia="宋体" w:hAnsi="Calibri"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920">
    <w:name w:val="纯文本92"/>
    <w:pPr>
      <w:widowControl w:val="0"/>
      <w:jc w:val="both"/>
    </w:pPr>
    <w:rPr>
      <w:rFonts w:ascii="宋体" w:eastAsia="宋体"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cs="Times New Roman"/>
      <w:kern w:val="2"/>
      <w:sz w:val="21"/>
      <w:szCs w:val="21"/>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94">
    <w:name w:val="正文94"/>
    <w:pPr>
      <w:widowControl w:val="0"/>
      <w:jc w:val="both"/>
    </w:pPr>
    <w:rPr>
      <w:rFonts w:ascii="Calibri" w:eastAsia="宋体" w:hAnsi="Calibri"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zh-CN"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5170">
    <w:name w:val="正文517"/>
    <w:pPr>
      <w:widowControl w:val="0"/>
      <w:jc w:val="both"/>
    </w:pPr>
    <w:rPr>
      <w:rFonts w:ascii="Calibri" w:eastAsia="宋体" w:hAnsi="Calibri"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26"/>
      </w:numPr>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546">
    <w:name w:val="正文546"/>
    <w:pPr>
      <w:widowControl w:val="0"/>
      <w:jc w:val="both"/>
    </w:pPr>
    <w:rPr>
      <w:rFonts w:ascii="Calibri" w:eastAsia="宋体" w:hAnsi="Calibri" w:cs="Times New Roman"/>
      <w:kern w:val="2"/>
      <w:sz w:val="21"/>
      <w:szCs w:val="24"/>
      <w:lang w:val="en-US" w:eastAsia="zh-CN"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zh-CN" w:bidi="ar-SA"/>
    </w:rPr>
  </w:style>
  <w:style w:type="paragraph" w:customStyle="1" w:styleId="a25">
    <w:name w:val="公式样式 符号"/>
    <w:rPr>
      <w:rFonts w:ascii="Calibri" w:eastAsia="宋体" w:hAnsi="Calibri" w:cs="Times New Roman"/>
      <w:kern w:val="2"/>
      <w:sz w:val="20"/>
      <w:szCs w:val="28"/>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1250">
    <w:name w:val="正文12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zh-CN"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zh-CN"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zh-CN" w:bidi="ar-SA"/>
    </w:rPr>
  </w:style>
  <w:style w:type="paragraph" w:customStyle="1" w:styleId="40910">
    <w:name w:val="样式 409 10 磅"/>
    <w:pPr>
      <w:widowControl w:val="0"/>
      <w:jc w:val="both"/>
    </w:pPr>
    <w:rPr>
      <w:rFonts w:ascii="宋体" w:eastAsia="宋体" w:cs="Times New Roman"/>
      <w:kern w:val="2"/>
      <w:sz w:val="21"/>
      <w:szCs w:val="21"/>
      <w:lang w:val="en-US" w:eastAsia="zh-CN" w:bidi="ar-SA"/>
    </w:rPr>
  </w:style>
  <w:style w:type="paragraph" w:customStyle="1" w:styleId="970">
    <w:name w:val="纯文本97"/>
    <w:pPr>
      <w:widowControl w:val="0"/>
      <w:jc w:val="both"/>
    </w:pPr>
    <w:rPr>
      <w:rFonts w:ascii="宋体" w:eastAsia="宋体" w:cs="Courier New"/>
      <w:kern w:val="2"/>
      <w:sz w:val="21"/>
      <w:szCs w:val="21"/>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195">
    <w:name w:val="正文195"/>
    <w:pPr>
      <w:widowControl w:val="0"/>
      <w:jc w:val="both"/>
    </w:pPr>
    <w:rPr>
      <w:rFonts w:ascii="Calibri" w:eastAsia="宋体" w:hAnsi="Calibri"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44810">
    <w:name w:val="样式 448 10 磅"/>
    <w:next w:val="4910"/>
    <w:pPr>
      <w:widowControl w:val="0"/>
      <w:numPr>
        <w:ilvl w:val="0"/>
        <w:numId w:val="16"/>
      </w:numPr>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eastAsia="zh-CN" w:bidi="ar-SA"/>
    </w:rPr>
  </w:style>
  <w:style w:type="paragraph" w:customStyle="1" w:styleId="408">
    <w:name w:val="正文408"/>
    <w:pPr>
      <w:widowControl w:val="0"/>
      <w:jc w:val="both"/>
    </w:pPr>
    <w:rPr>
      <w:rFonts w:ascii="Calibri" w:eastAsia="宋体" w:hAnsi="Calibri" w:cs="Times New Roman"/>
      <w:kern w:val="2"/>
      <w:sz w:val="21"/>
      <w:szCs w:val="24"/>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4811">
    <w:name w:val="正文481"/>
    <w:pPr>
      <w:widowControl w:val="0"/>
      <w:jc w:val="both"/>
    </w:pPr>
    <w:rPr>
      <w:rFonts w:ascii="Calibri" w:eastAsia="宋体" w:hAnsi="Calibri"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
    <w:name w:val="批注文字1"/>
    <w:pPr>
      <w:widowControl w:val="0"/>
      <w:jc w:val="both"/>
    </w:pPr>
    <w:rPr>
      <w:rFonts w:ascii="Calibri" w:eastAsia="宋体" w:hAnsi="Calibri" w:cs="Times New Roman"/>
      <w:kern w:val="2"/>
      <w:sz w:val="21"/>
      <w:szCs w:val="22"/>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zh-CN" w:bidi="ar-SA"/>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zh-CN"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zh-CN"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zh-CN" w:bidi="ar-SA"/>
    </w:rPr>
  </w:style>
  <w:style w:type="paragraph" w:customStyle="1" w:styleId="1160">
    <w:name w:val="正文116"/>
    <w:pPr>
      <w:widowControl w:val="0"/>
      <w:jc w:val="both"/>
    </w:pPr>
    <w:rPr>
      <w:rFonts w:ascii="Calibri" w:eastAsia="宋体" w:hAnsi="Calibri" w:cs="Times New Roman"/>
      <w:kern w:val="2"/>
      <w:sz w:val="21"/>
      <w:szCs w:val="24"/>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601">
    <w:name w:val="纯文本60"/>
    <w:pPr>
      <w:widowControl w:val="0"/>
      <w:jc w:val="both"/>
    </w:pPr>
    <w:rPr>
      <w:rFonts w:ascii="宋体" w:eastAsia="宋体" w:cs="Courier New"/>
      <w:kern w:val="2"/>
      <w:sz w:val="21"/>
      <w:szCs w:val="21"/>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82">
    <w:name w:val="正文182"/>
    <w:pPr>
      <w:widowControl w:val="0"/>
      <w:jc w:val="both"/>
    </w:pPr>
    <w:rPr>
      <w:rFonts w:ascii="Calibri" w:eastAsia="宋体" w:hAnsi="Calibri" w:cs="Times New Roman"/>
      <w:kern w:val="2"/>
      <w:sz w:val="21"/>
      <w:szCs w:val="24"/>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zh-CN" w:bidi="ar-SA"/>
    </w:rPr>
  </w:style>
  <w:style w:type="paragraph" w:customStyle="1" w:styleId="615">
    <w:name w:val="正文615"/>
    <w:pPr>
      <w:widowControl w:val="0"/>
      <w:jc w:val="both"/>
    </w:pPr>
    <w:rPr>
      <w:rFonts w:ascii="Calibri" w:eastAsia="宋体" w:hAnsi="Calibri"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3620">
    <w:name w:val="正文362"/>
    <w:pPr>
      <w:widowControl w:val="0"/>
      <w:jc w:val="both"/>
    </w:pPr>
    <w:rPr>
      <w:rFonts w:ascii="Calibri" w:eastAsia="宋体" w:hAnsi="Calibri" w:cs="Times New Roman"/>
      <w:kern w:val="2"/>
      <w:sz w:val="21"/>
      <w:szCs w:val="24"/>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6"/>
      </w:numPr>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Calibri" w:eastAsia="宋体" w:hAnsi="Calibri"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7"/>
      </w:numPr>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zh-CN" w:bidi="ar-SA"/>
    </w:rPr>
  </w:style>
  <w:style w:type="paragraph" w:customStyle="1" w:styleId="217">
    <w:name w:val="正文文本2"/>
    <w:pPr>
      <w:widowControl w:val="0"/>
      <w:jc w:val="both"/>
    </w:pPr>
    <w:rPr>
      <w:rFonts w:ascii="Calibri" w:eastAsia="宋体" w:hAnsi="Calibri" w:cs="Times New Roman"/>
      <w:kern w:val="2"/>
      <w:sz w:val="28"/>
      <w:szCs w:val="22"/>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zh-CN" w:bidi="ar-SA"/>
    </w:rPr>
  </w:style>
  <w:style w:type="paragraph" w:customStyle="1" w:styleId="314">
    <w:name w:val="正文314"/>
    <w:pPr>
      <w:widowControl w:val="0"/>
      <w:jc w:val="both"/>
    </w:pPr>
    <w:rPr>
      <w:rFonts w:ascii="Calibri" w:eastAsia="宋体" w:hAnsi="Calibri" w:cs="Times New Roman"/>
      <w:kern w:val="2"/>
      <w:sz w:val="21"/>
      <w:szCs w:val="24"/>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lang w:bidi="ar-SA"/>
    </w:rPr>
  </w:style>
  <w:style w:type="paragraph" w:customStyle="1" w:styleId="527">
    <w:name w:val="正文527"/>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1044">
    <w:name w:val="正文104"/>
    <w:pPr>
      <w:widowControl w:val="0"/>
      <w:jc w:val="both"/>
    </w:pPr>
    <w:rPr>
      <w:rFonts w:ascii="Calibri" w:eastAsia="宋体" w:hAnsi="Calibri" w:cs="Times New Roman"/>
      <w:kern w:val="2"/>
      <w:sz w:val="21"/>
      <w:szCs w:val="24"/>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1060">
    <w:name w:val="正文106"/>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10511">
    <w:name w:val="正文1051"/>
    <w:rPr>
      <w:rFonts w:ascii="Calibri" w:eastAsia="宋体" w:hAnsi="Calibri" w:cs="Times New Roman"/>
      <w:kern w:val="2"/>
      <w:sz w:val="21"/>
      <w:szCs w:val="21"/>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zh-CN"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zh-CN"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zh-CN" w:bidi="ar-SA"/>
    </w:rPr>
  </w:style>
  <w:style w:type="paragraph" w:customStyle="1" w:styleId="7020">
    <w:name w:val="正文702"/>
    <w:pPr>
      <w:widowControl w:val="0"/>
      <w:jc w:val="both"/>
    </w:pPr>
    <w:rPr>
      <w:rFonts w:ascii="Calibri" w:eastAsia="宋体" w:hAnsi="Calibri" w:cs="Times New Roman"/>
      <w:kern w:val="2"/>
      <w:sz w:val="21"/>
      <w:szCs w:val="24"/>
      <w:lang w:val="en-US" w:eastAsia="zh-CN"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zh-CN"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940">
    <w:name w:val="纯文本94"/>
    <w:pPr>
      <w:widowControl w:val="0"/>
      <w:jc w:val="both"/>
    </w:pPr>
    <w:rPr>
      <w:rFonts w:ascii="宋体" w:eastAsia="宋体" w:cs="Courier New"/>
      <w:kern w:val="2"/>
      <w:sz w:val="21"/>
      <w:szCs w:val="21"/>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zh-CN" w:bidi="ar-SA"/>
    </w:rPr>
  </w:style>
  <w:style w:type="paragraph" w:customStyle="1" w:styleId="9400">
    <w:name w:val="正文940"/>
    <w:pPr>
      <w:widowControl w:val="0"/>
      <w:jc w:val="both"/>
    </w:pPr>
    <w:rPr>
      <w:rFonts w:ascii="Calibri" w:eastAsia="宋体" w:hAnsi="Calibri"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5090">
    <w:name w:val="正文509"/>
    <w:pPr>
      <w:widowControl w:val="0"/>
      <w:jc w:val="both"/>
    </w:pPr>
    <w:rPr>
      <w:rFonts w:ascii="Calibri" w:eastAsia="宋体" w:hAnsi="Calibri" w:cs="Times New Roman"/>
      <w:kern w:val="2"/>
      <w:sz w:val="21"/>
      <w:szCs w:val="24"/>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zh-CN"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11111">
    <w:name w:val="样式 11 11 磅"/>
    <w:next w:val="TOC5"/>
    <w:rPr>
      <w:rFonts w:ascii="Calibri" w:eastAsia="宋体" w:hAnsi="Calibri" w:cs="Times New Roman"/>
      <w:sz w:val="22"/>
      <w:szCs w:val="22"/>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zh-CN" w:bidi="ar-SA"/>
    </w:rPr>
  </w:style>
  <w:style w:type="paragraph" w:customStyle="1" w:styleId="43910">
    <w:name w:val="样式 439 10 磅"/>
    <w:next w:val="57210"/>
    <w:pPr>
      <w:widowControl w:val="0"/>
      <w:numPr>
        <w:ilvl w:val="0"/>
        <w:numId w:val="16"/>
      </w:numPr>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885">
    <w:name w:val="正文88"/>
    <w:pPr>
      <w:widowControl w:val="0"/>
      <w:jc w:val="both"/>
    </w:pPr>
    <w:rPr>
      <w:rFonts w:ascii="Calibri" w:eastAsia="宋体" w:hAnsi="Calibri"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eastAsia="zh-CN" w:bidi="ar-SA"/>
    </w:rPr>
  </w:style>
  <w:style w:type="paragraph" w:customStyle="1" w:styleId="554">
    <w:name w:val="正文554"/>
    <w:pPr>
      <w:widowControl w:val="0"/>
      <w:jc w:val="both"/>
    </w:pPr>
    <w:rPr>
      <w:rFonts w:ascii="Calibri" w:eastAsia="宋体" w:hAnsi="Calibri"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903">
    <w:name w:val="纯文本90"/>
    <w:pPr>
      <w:widowControl w:val="0"/>
      <w:jc w:val="both"/>
    </w:pPr>
    <w:rPr>
      <w:rFonts w:ascii="宋体" w:eastAsia="宋体" w:cs="Courier New"/>
      <w:kern w:val="2"/>
      <w:sz w:val="21"/>
      <w:szCs w:val="21"/>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1330">
    <w:name w:val="正文133"/>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
    <w:pPr>
      <w:widowControl w:val="0"/>
      <w:jc w:val="both"/>
    </w:pPr>
    <w:rPr>
      <w:rFonts w:ascii="Calibri" w:eastAsia="宋体" w:hAnsi="Calibri" w:cs="Times New Roman"/>
      <w:kern w:val="2"/>
      <w:sz w:val="21"/>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616">
    <w:name w:val="正文616"/>
    <w:pPr>
      <w:widowControl w:val="0"/>
      <w:jc w:val="both"/>
    </w:pPr>
    <w:rPr>
      <w:rFonts w:ascii="Calibri" w:eastAsia="宋体" w:hAnsi="Calibri"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2250">
    <w:name w:val="正文225"/>
    <w:pPr>
      <w:widowControl w:val="0"/>
      <w:jc w:val="both"/>
    </w:pPr>
    <w:rPr>
      <w:rFonts w:ascii="Calibri" w:eastAsia="宋体" w:hAnsi="Calibri"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zh-CN"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8850">
    <w:name w:val="正文885"/>
    <w:pPr>
      <w:widowControl w:val="0"/>
      <w:jc w:val="both"/>
    </w:pPr>
    <w:rPr>
      <w:rFonts w:ascii="Calibri" w:eastAsia="宋体" w:hAnsi="Calibri" w:cs="Times New Roman"/>
      <w:kern w:val="2"/>
      <w:sz w:val="21"/>
      <w:szCs w:val="22"/>
      <w:lang w:val="en-US" w:eastAsia="zh-CN" w:bidi="ar-SA"/>
    </w:rPr>
  </w:style>
  <w:style w:type="paragraph" w:customStyle="1" w:styleId="547">
    <w:name w:val="正文547"/>
    <w:pPr>
      <w:widowControl w:val="0"/>
      <w:jc w:val="both"/>
    </w:pPr>
    <w:rPr>
      <w:rFonts w:ascii="Calibri" w:eastAsia="宋体" w:hAnsi="Calibri" w:cs="Times New Roman"/>
      <w:kern w:val="2"/>
      <w:sz w:val="21"/>
      <w:szCs w:val="24"/>
      <w:lang w:val="en-US" w:eastAsia="zh-CN" w:bidi="ar-SA"/>
    </w:rPr>
  </w:style>
  <w:style w:type="paragraph" w:customStyle="1" w:styleId="44910">
    <w:name w:val="样式 449 10 磅"/>
    <w:next w:val="48010"/>
    <w:pPr>
      <w:widowControl w:val="0"/>
      <w:numPr>
        <w:ilvl w:val="0"/>
        <w:numId w:val="16"/>
      </w:numPr>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34">
    <w:name w:val="纯文本53"/>
    <w:pPr>
      <w:widowControl w:val="0"/>
      <w:jc w:val="both"/>
    </w:pPr>
    <w:rPr>
      <w:rFonts w:ascii="宋体" w:eastAsia="宋体" w:cs="Courier New"/>
      <w:kern w:val="2"/>
      <w:sz w:val="21"/>
      <w:szCs w:val="21"/>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zh-CN" w:bidi="ar-SA"/>
    </w:rPr>
  </w:style>
  <w:style w:type="paragraph" w:customStyle="1" w:styleId="912">
    <w:name w:val="正文912"/>
    <w:pPr>
      <w:widowControl w:val="0"/>
      <w:jc w:val="both"/>
    </w:pPr>
    <w:rPr>
      <w:rFonts w:ascii="Calibri" w:eastAsia="宋体" w:hAnsi="Calibri" w:cs="Times New Roman"/>
      <w:kern w:val="2"/>
      <w:sz w:val="21"/>
      <w:szCs w:val="24"/>
      <w:lang w:val="en-US" w:eastAsia="zh-CN"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154">
    <w:name w:val="正文15"/>
    <w:pPr>
      <w:widowControl w:val="0"/>
      <w:jc w:val="both"/>
    </w:pPr>
    <w:rPr>
      <w:rFonts w:ascii="Calibri" w:eastAsia="宋体" w:hAnsi="Calibri" w:cs="Times New Roman"/>
      <w:kern w:val="2"/>
      <w:sz w:val="21"/>
      <w:szCs w:val="22"/>
      <w:lang w:val="en-US" w:eastAsia="zh-CN"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szCs w:val="20"/>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518">
    <w:name w:val="样式5"/>
    <w:basedOn w:val="Heading1"/>
    <w:rPr>
      <w:sz w:val="28"/>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zh-CN" w:bidi="ar-SA"/>
    </w:rPr>
  </w:style>
  <w:style w:type="paragraph" w:customStyle="1" w:styleId="416">
    <w:name w:val="正文41"/>
    <w:pPr>
      <w:widowControl w:val="0"/>
      <w:jc w:val="both"/>
    </w:pPr>
    <w:rPr>
      <w:rFonts w:ascii="Calibri" w:eastAsia="宋体" w:hAnsi="Calibri" w:cs="Times New Roman"/>
      <w:kern w:val="2"/>
      <w:sz w:val="21"/>
      <w:szCs w:val="22"/>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6"/>
      </w:numPr>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313">
    <w:name w:val="纯文本31"/>
    <w:pPr>
      <w:widowControl w:val="0"/>
      <w:jc w:val="both"/>
    </w:pPr>
    <w:rPr>
      <w:rFonts w:ascii="宋体" w:eastAsia="宋体" w:cs="Courier New"/>
      <w:kern w:val="2"/>
      <w:sz w:val="21"/>
      <w:szCs w:val="21"/>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1034">
    <w:name w:val="纯文本103"/>
    <w:pPr>
      <w:widowControl w:val="0"/>
      <w:jc w:val="both"/>
    </w:pPr>
    <w:rPr>
      <w:rFonts w:ascii="宋体" w:eastAsia="宋体" w:cs="Courier New"/>
      <w:kern w:val="2"/>
      <w:sz w:val="21"/>
      <w:szCs w:val="21"/>
      <w:lang w:val="en-US" w:eastAsia="zh-CN"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5011">
    <w:name w:val="正文50"/>
    <w:pPr>
      <w:widowControl w:val="0"/>
      <w:jc w:val="both"/>
    </w:pPr>
    <w:rPr>
      <w:rFonts w:ascii="Calibri" w:eastAsia="宋体" w:hAnsi="Calibri" w:cs="Times New Roman"/>
      <w:kern w:val="2"/>
      <w:sz w:val="21"/>
      <w:szCs w:val="22"/>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404">
    <w:name w:val="正文404"/>
    <w:pPr>
      <w:widowControl w:val="0"/>
      <w:jc w:val="both"/>
    </w:pPr>
    <w:rPr>
      <w:rFonts w:ascii="Calibri" w:eastAsia="宋体" w:hAnsi="Calibri" w:cs="Times New Roman"/>
      <w:kern w:val="2"/>
      <w:sz w:val="21"/>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138">
    <w:name w:val="正文1"/>
    <w:pPr>
      <w:widowControl w:val="0"/>
      <w:jc w:val="both"/>
    </w:pPr>
    <w:rPr>
      <w:rFonts w:ascii="Calibri" w:eastAsia="宋体" w:hAnsi="Calibri" w:cs="Times New Roman"/>
      <w:kern w:val="2"/>
      <w:sz w:val="21"/>
      <w:szCs w:val="24"/>
      <w:lang w:val="en-US" w:eastAsia="zh-CN" w:bidi="ar-SA"/>
    </w:rPr>
  </w:style>
  <w:style w:type="paragraph" w:customStyle="1" w:styleId="432">
    <w:name w:val="纯文本43"/>
    <w:pPr>
      <w:widowControl w:val="0"/>
      <w:jc w:val="both"/>
    </w:pPr>
    <w:rPr>
      <w:rFonts w:ascii="宋体" w:eastAsia="宋体" w:cs="Courier New"/>
      <w:kern w:val="2"/>
      <w:sz w:val="21"/>
      <w:szCs w:val="21"/>
      <w:lang w:val="en-US" w:eastAsia="zh-CN"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lang w:bidi="ar-SA"/>
    </w:rPr>
  </w:style>
  <w:style w:type="paragraph" w:customStyle="1" w:styleId="5550">
    <w:name w:val="样式 样式 标题 5 + 段前: 5 磅 段后: 5 磅 行距: 单倍行距 + 五号"/>
    <w:basedOn w:val="555"/>
    <w:pPr>
      <w:tabs>
        <w:tab w:val="left" w:pos="210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zh-CN"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Calibri" w:eastAsia="宋体" w:hAnsi="Calibri" w:cs="Times New Roman"/>
      <w:kern w:val="2"/>
      <w:sz w:val="21"/>
      <w:szCs w:val="24"/>
      <w:lang w:val="en-US" w:eastAsia="zh-CN"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zh-CN" w:bidi="ar-SA"/>
    </w:rPr>
  </w:style>
  <w:style w:type="paragraph" w:customStyle="1" w:styleId="771">
    <w:name w:val="正文77"/>
    <w:pPr>
      <w:widowControl w:val="0"/>
      <w:jc w:val="both"/>
    </w:pPr>
    <w:rPr>
      <w:rFonts w:ascii="Calibri" w:eastAsia="宋体" w:hAnsi="Calibri" w:cs="Times New Roman"/>
      <w:kern w:val="2"/>
      <w:sz w:val="21"/>
      <w:szCs w:val="24"/>
      <w:lang w:val="en-US" w:eastAsia="zh-CN"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0"/>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7"/>
      </w:numPr>
      <w:tabs>
        <w:tab w:val="left" w:pos="113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642">
    <w:name w:val="正文64"/>
    <w:pPr>
      <w:widowControl w:val="0"/>
      <w:jc w:val="both"/>
    </w:pPr>
    <w:rPr>
      <w:rFonts w:ascii="Calibri" w:eastAsia="宋体" w:hAnsi="Calibri"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52">
    <w:name w:val="正文25"/>
    <w:pPr>
      <w:widowControl w:val="0"/>
      <w:jc w:val="both"/>
    </w:pPr>
    <w:rPr>
      <w:rFonts w:ascii="Calibri" w:eastAsia="宋体" w:hAnsi="Calibri" w:cs="Times New Roman"/>
      <w:kern w:val="2"/>
      <w:sz w:val="21"/>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52">
    <w:name w:val="正文652"/>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lang w:bidi="ar-SA"/>
    </w:rPr>
  </w:style>
  <w:style w:type="paragraph" w:customStyle="1" w:styleId="472">
    <w:name w:val="正文472"/>
    <w:pPr>
      <w:widowControl w:val="0"/>
      <w:jc w:val="both"/>
    </w:pPr>
    <w:rPr>
      <w:rFonts w:ascii="Calibri" w:eastAsia="宋体" w:hAnsi="Calibri"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390">
    <w:name w:val="正文390"/>
    <w:pPr>
      <w:widowControl w:val="0"/>
      <w:jc w:val="both"/>
    </w:pPr>
    <w:rPr>
      <w:rFonts w:ascii="Calibri" w:eastAsia="宋体" w:hAnsi="Calibri" w:cs="Times New Roman"/>
      <w:kern w:val="2"/>
      <w:sz w:val="21"/>
      <w:szCs w:val="24"/>
      <w:lang w:val="en-US" w:eastAsia="zh-CN" w:bidi="ar-SA"/>
    </w:rPr>
  </w:style>
  <w:style w:type="paragraph" w:customStyle="1" w:styleId="380">
    <w:name w:val="正文380"/>
    <w:pPr>
      <w:widowControl w:val="0"/>
      <w:jc w:val="both"/>
    </w:pPr>
    <w:rPr>
      <w:rFonts w:ascii="Calibri" w:eastAsia="宋体" w:hAnsi="Calibri" w:cs="Times New Roman"/>
      <w:kern w:val="2"/>
      <w:sz w:val="21"/>
      <w:szCs w:val="24"/>
      <w:lang w:val="en-US" w:eastAsia="zh-CN" w:bidi="ar-SA"/>
    </w:rPr>
  </w:style>
  <w:style w:type="paragraph" w:customStyle="1" w:styleId="a32">
    <w:name w:val="公式样式 文本"/>
    <w:rPr>
      <w:rFonts w:ascii="Calibri" w:eastAsia="宋体" w:hAnsi="Calibri" w:cs="Times New Roman"/>
      <w:kern w:val="2"/>
      <w:sz w:val="20"/>
      <w:szCs w:val="28"/>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6"/>
      </w:numPr>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szCs w:val="20"/>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911">
    <w:name w:val="正文文字 9"/>
    <w:basedOn w:val="Normal"/>
    <w:next w:val="4"/>
    <w:pPr>
      <w:ind w:left="240"/>
    </w:pPr>
    <w:rPr>
      <w:rFonts w:ascii="Calibri" w:eastAsia="宋体" w:hAnsi="Calibri" w:cs="Times New Roman"/>
      <w:sz w:val="16"/>
      <w:lang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zh-CN"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a34">
    <w:name w:val="样式"/>
    <w:rPr>
      <w:rFonts w:ascii="Times New Roman" w:eastAsia="宋体" w:hAnsi="Times New Roman" w:cs="Times New Roman"/>
      <w:kern w:val="2"/>
      <w:sz w:val="20"/>
      <w:szCs w:val="28"/>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16"/>
      </w:numPr>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915">
    <w:name w:val="样式 9 "/>
    <w:next w:val="Char1CharCharChar"/>
    <w:rPr>
      <w:rFonts w:ascii="Times New Roman" w:eastAsia="宋体" w:hAnsi="Times New Roman" w:cs="Times New Roman"/>
      <w:sz w:val="20"/>
      <w:szCs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6"/>
      </w:numPr>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381">
    <w:name w:val="正文381"/>
    <w:pPr>
      <w:widowControl w:val="0"/>
      <w:jc w:val="both"/>
    </w:pPr>
    <w:rPr>
      <w:rFonts w:ascii="Calibri" w:eastAsia="宋体" w:hAnsi="Calibri"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6211">
    <w:name w:val="正文621"/>
    <w:pPr>
      <w:widowControl w:val="0"/>
      <w:jc w:val="both"/>
    </w:pPr>
    <w:rPr>
      <w:rFonts w:ascii="Calibri" w:eastAsia="宋体" w:hAnsi="Calibri" w:cs="Times New Roman"/>
      <w:kern w:val="2"/>
      <w:sz w:val="21"/>
      <w:szCs w:val="24"/>
      <w:lang w:val="en-US" w:eastAsia="zh-CN"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523">
    <w:name w:val="样式 5 "/>
    <w:next w:val="BodyText2"/>
    <w:rPr>
      <w:rFonts w:ascii="Times New Roman" w:eastAsia="宋体" w:hAnsi="Times New Roman" w:cs="Times New Roman"/>
      <w:sz w:val="20"/>
      <w:szCs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210">
    <w:name w:val="样式 452 10 磅"/>
    <w:next w:val="1075"/>
    <w:pPr>
      <w:widowControl w:val="0"/>
      <w:numPr>
        <w:ilvl w:val="0"/>
        <w:numId w:val="16"/>
      </w:numPr>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11001">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zh-CN"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zh-CN" w:bidi="ar-SA"/>
    </w:rPr>
  </w:style>
  <w:style w:type="paragraph" w:customStyle="1" w:styleId="45410">
    <w:name w:val="样式 454 10 磅"/>
    <w:next w:val="169"/>
    <w:pPr>
      <w:widowControl w:val="0"/>
      <w:numPr>
        <w:ilvl w:val="0"/>
        <w:numId w:val="16"/>
      </w:numPr>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5411">
    <w:name w:val="纯文本54"/>
    <w:pPr>
      <w:widowControl w:val="0"/>
      <w:jc w:val="both"/>
    </w:pPr>
    <w:rPr>
      <w:rFonts w:ascii="宋体" w:eastAsia="宋体" w:cs="Courier New"/>
      <w:kern w:val="2"/>
      <w:sz w:val="21"/>
      <w:szCs w:val="21"/>
      <w:lang w:val="en-US" w:eastAsia="zh-CN" w:bidi="ar-SA"/>
    </w:rPr>
  </w:style>
  <w:style w:type="paragraph" w:customStyle="1" w:styleId="164">
    <w:name w:val="正文164"/>
    <w:pPr>
      <w:widowControl w:val="0"/>
      <w:jc w:val="both"/>
    </w:pPr>
    <w:rPr>
      <w:rFonts w:ascii="Calibri" w:eastAsia="宋体" w:hAnsi="Calibri" w:cs="Times New Roman"/>
      <w:kern w:val="2"/>
      <w:sz w:val="21"/>
      <w:szCs w:val="24"/>
      <w:lang w:val="en-US" w:eastAsia="zh-CN" w:bidi="ar-SA"/>
    </w:rPr>
  </w:style>
  <w:style w:type="paragraph" w:customStyle="1" w:styleId="591">
    <w:name w:val="正文591"/>
    <w:pPr>
      <w:widowControl w:val="0"/>
      <w:jc w:val="both"/>
    </w:pPr>
    <w:rPr>
      <w:rFonts w:ascii="Calibri" w:eastAsia="宋体" w:hAnsi="Calibri"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6"/>
      </w:numPr>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114">
    <w:name w:val="样式 1 11 磅"/>
    <w:rPr>
      <w:rFonts w:ascii="Calibri" w:eastAsia="宋体" w:hAnsi="Calibri" w:cs="Times New Roman"/>
      <w:sz w:val="22"/>
      <w:szCs w:val="22"/>
      <w:lang w:val="en-US" w:eastAsia="zh-CN"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51">
    <w:name w:val="样式 样式 标题 4 + 段前: 5 磅 段后: 5 磅 行距: 单倍行距 + 五号"/>
    <w:basedOn w:val="455"/>
    <w:pPr>
      <w:tabs>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zh-CN" w:bidi="ar-SA"/>
    </w:rPr>
  </w:style>
  <w:style w:type="paragraph" w:customStyle="1" w:styleId="273">
    <w:name w:val="正文27"/>
    <w:pPr>
      <w:jc w:val="both"/>
    </w:pPr>
    <w:rPr>
      <w:rFonts w:ascii="Calibri" w:eastAsia="方正黑体_GBK" w:hAnsi="Calibri" w:cs="Times New Roman"/>
      <w:kern w:val="2"/>
      <w:sz w:val="21"/>
      <w:szCs w:val="21"/>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szCs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961">
    <w:name w:val="纯文本96"/>
    <w:pPr>
      <w:widowControl w:val="0"/>
      <w:jc w:val="both"/>
    </w:pPr>
    <w:rPr>
      <w:rFonts w:ascii="宋体" w:eastAsia="宋体" w:cs="Courier New"/>
      <w:kern w:val="2"/>
      <w:sz w:val="21"/>
      <w:szCs w:val="21"/>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zh-CN"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zh-CN"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18">
    <w:name w:val="正文101"/>
    <w:pPr>
      <w:widowControl w:val="0"/>
      <w:jc w:val="both"/>
    </w:pPr>
    <w:rPr>
      <w:rFonts w:ascii="Calibri" w:eastAsia="宋体" w:hAnsi="Calibri" w:cs="Times New Roman"/>
      <w:kern w:val="2"/>
      <w:sz w:val="21"/>
      <w:szCs w:val="24"/>
      <w:lang w:val="en-US" w:eastAsia="zh-CN"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zh-CN" w:bidi="ar-SA"/>
    </w:rPr>
  </w:style>
  <w:style w:type="paragraph" w:customStyle="1" w:styleId="2500">
    <w:name w:val="正文250"/>
    <w:pPr>
      <w:widowControl w:val="0"/>
      <w:jc w:val="both"/>
    </w:pPr>
    <w:rPr>
      <w:rFonts w:ascii="Calibri" w:eastAsia="宋体" w:hAnsi="Calibri"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0140">
    <w:name w:val="正文1014"/>
    <w:rPr>
      <w:rFonts w:ascii="Calibri" w:eastAsia="宋体" w:hAnsi="Calibri" w:cs="Times New Roman"/>
      <w:kern w:val="2"/>
      <w:sz w:val="21"/>
      <w:szCs w:val="21"/>
      <w:lang w:val="en-US" w:eastAsia="zh-CN"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692">
    <w:name w:val="纯文本69"/>
    <w:pPr>
      <w:widowControl w:val="0"/>
      <w:jc w:val="both"/>
    </w:pPr>
    <w:rPr>
      <w:rFonts w:ascii="宋体" w:eastAsia="宋体" w:cs="Courier New"/>
      <w:kern w:val="2"/>
      <w:sz w:val="21"/>
      <w:szCs w:val="21"/>
      <w:lang w:val="en-US" w:eastAsia="zh-CN"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zh-CN"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6"/>
      </w:numPr>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657">
    <w:name w:val="纯文本65"/>
    <w:pPr>
      <w:widowControl w:val="0"/>
      <w:jc w:val="both"/>
    </w:pPr>
    <w:rPr>
      <w:rFonts w:ascii="宋体" w:eastAsia="宋体" w:cs="Courier New"/>
      <w:kern w:val="2"/>
      <w:sz w:val="21"/>
      <w:szCs w:val="21"/>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021">
    <w:name w:val="正文1021"/>
    <w:pPr>
      <w:widowControl w:val="0"/>
      <w:jc w:val="both"/>
    </w:pPr>
    <w:rPr>
      <w:rFonts w:ascii="Calibri" w:eastAsia="宋体" w:hAnsi="Calibri"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67">
    <w:name w:val="纯文本16"/>
    <w:pPr>
      <w:widowControl w:val="0"/>
      <w:jc w:val="both"/>
    </w:pPr>
    <w:rPr>
      <w:rFonts w:ascii="宋体" w:eastAsia="宋体" w:cs="Courier New"/>
      <w:kern w:val="2"/>
      <w:sz w:val="21"/>
      <w:szCs w:val="21"/>
      <w:lang w:val="en-US" w:eastAsia="zh-CN" w:bidi="ar-SA"/>
    </w:rPr>
  </w:style>
  <w:style w:type="paragraph" w:customStyle="1" w:styleId="337">
    <w:name w:val="正文337"/>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394">
    <w:name w:val="纯文本39"/>
    <w:pPr>
      <w:widowControl w:val="0"/>
      <w:jc w:val="both"/>
    </w:pPr>
    <w:rPr>
      <w:rFonts w:ascii="宋体" w:eastAsia="宋体" w:cs="Courier New"/>
      <w:kern w:val="2"/>
      <w:sz w:val="21"/>
      <w:szCs w:val="21"/>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3060">
    <w:name w:val="正文306"/>
    <w:pPr>
      <w:widowControl w:val="0"/>
      <w:jc w:val="both"/>
    </w:pPr>
    <w:rPr>
      <w:rFonts w:ascii="Calibri" w:eastAsia="宋体" w:hAnsi="Calibri" w:cs="Times New Roman"/>
      <w:kern w:val="2"/>
      <w:sz w:val="21"/>
      <w:szCs w:val="24"/>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zh-CN"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zh-CN" w:bidi="ar-SA"/>
    </w:rPr>
  </w:style>
  <w:style w:type="paragraph" w:customStyle="1" w:styleId="308">
    <w:name w:val="目录 3_0"/>
    <w:next w:val="32"/>
    <w:pPr>
      <w:widowControl w:val="0"/>
      <w:numPr>
        <w:ilvl w:val="0"/>
        <w:numId w:val="28"/>
      </w:numPr>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eastAsia="zh-CN"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szCs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zh-CN"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7530">
    <w:name w:val="正文753"/>
    <w:pPr>
      <w:widowControl w:val="0"/>
      <w:jc w:val="both"/>
    </w:pPr>
    <w:rPr>
      <w:rFonts w:ascii="Calibri" w:eastAsia="宋体" w:hAnsi="Calibri"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zh-CN" w:bidi="ar-SA"/>
    </w:rPr>
  </w:style>
  <w:style w:type="paragraph" w:customStyle="1" w:styleId="836">
    <w:name w:val="纯文本8"/>
    <w:next w:val="925"/>
    <w:pPr>
      <w:widowControl w:val="0"/>
      <w:jc w:val="both"/>
    </w:pPr>
    <w:rPr>
      <w:rFonts w:ascii="宋体" w:eastAsia="宋体" w:cs="Courier New"/>
      <w:kern w:val="2"/>
      <w:sz w:val="21"/>
      <w:szCs w:val="21"/>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zh-CN"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zh-CN" w:bidi="ar-SA"/>
    </w:rPr>
  </w:style>
  <w:style w:type="paragraph" w:customStyle="1" w:styleId="575">
    <w:name w:val="正文57"/>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6"/>
      </w:numPr>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zh-CN" w:bidi="ar-SA"/>
    </w:rPr>
  </w:style>
  <w:style w:type="paragraph" w:customStyle="1" w:styleId="577">
    <w:name w:val="纯文本57"/>
    <w:pPr>
      <w:widowControl w:val="0"/>
      <w:jc w:val="both"/>
    </w:pPr>
    <w:rPr>
      <w:rFonts w:ascii="宋体" w:eastAsia="宋体" w:cs="Courier New"/>
      <w:kern w:val="2"/>
      <w:sz w:val="21"/>
      <w:szCs w:val="21"/>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zh-CN"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6"/>
      </w:numPr>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zh-CN"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cs="Times New Roman"/>
      <w:kern w:val="2"/>
      <w:sz w:val="21"/>
      <w:szCs w:val="21"/>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054">
    <w:name w:val="正文1054"/>
    <w:rPr>
      <w:rFonts w:ascii="Calibri" w:eastAsia="宋体" w:hAnsi="Calibri" w:cs="Times New Roman"/>
      <w:kern w:val="2"/>
      <w:sz w:val="21"/>
      <w:szCs w:val="21"/>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szCs w:val="20"/>
      <w:lang w:val="en-US" w:eastAsia="zh-CN" w:bidi="ar-SA"/>
    </w:rPr>
  </w:style>
  <w:style w:type="paragraph" w:customStyle="1" w:styleId="10111">
    <w:name w:val="样式 10 11 磅"/>
    <w:rPr>
      <w:rFonts w:ascii="Calibri" w:eastAsia="宋体" w:hAnsi="Calibri" w:cs="Times New Roman"/>
      <w:sz w:val="22"/>
      <w:szCs w:val="22"/>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zh-CN" w:bidi="ar-SA"/>
    </w:rPr>
  </w:style>
  <w:style w:type="paragraph" w:customStyle="1" w:styleId="7510">
    <w:name w:val="正文75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1129">
    <w:name w:val="样式 11 "/>
    <w:next w:val="TOC1"/>
    <w:rPr>
      <w:rFonts w:ascii="Times New Roman" w:eastAsia="宋体" w:hAnsi="Times New Roman" w:cs="Times New Roman"/>
      <w:sz w:val="20"/>
      <w:szCs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12290">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zh-CN" w:bidi="ar-SA"/>
    </w:rPr>
  </w:style>
  <w:style w:type="paragraph" w:customStyle="1" w:styleId="1046">
    <w:name w:val="正文1046"/>
    <w:pPr>
      <w:widowControl w:val="0"/>
      <w:jc w:val="both"/>
    </w:pPr>
    <w:rPr>
      <w:rFonts w:ascii="Calibri" w:eastAsia="宋体" w:hAnsi="Calibri" w:cs="Times New Roman"/>
      <w:kern w:val="2"/>
      <w:sz w:val="21"/>
      <w:szCs w:val="24"/>
      <w:lang w:val="en-US" w:eastAsia="zh-CN"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1193">
    <w:name w:val="正文119"/>
    <w:pPr>
      <w:widowControl w:val="0"/>
      <w:jc w:val="both"/>
    </w:pPr>
    <w:rPr>
      <w:rFonts w:ascii="Calibri" w:eastAsia="宋体" w:hAnsi="Calibri" w:cs="Times New Roman"/>
      <w:kern w:val="2"/>
      <w:sz w:val="21"/>
      <w:szCs w:val="24"/>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lang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zh-CN" w:bidi="ar-SA"/>
    </w:rPr>
  </w:style>
  <w:style w:type="paragraph" w:customStyle="1" w:styleId="563">
    <w:name w:val="正文563"/>
    <w:pPr>
      <w:widowControl w:val="0"/>
      <w:jc w:val="both"/>
    </w:pPr>
    <w:rPr>
      <w:rFonts w:ascii="Calibri" w:eastAsia="宋体" w:hAnsi="Calibri" w:cs="Times New Roman"/>
      <w:kern w:val="2"/>
      <w:sz w:val="21"/>
      <w:szCs w:val="24"/>
      <w:lang w:val="en-US" w:eastAsia="zh-CN"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zh-CN" w:bidi="ar-SA"/>
    </w:rPr>
  </w:style>
  <w:style w:type="paragraph" w:customStyle="1" w:styleId="2601">
    <w:name w:val="正文260"/>
    <w:pPr>
      <w:widowControl w:val="0"/>
      <w:jc w:val="both"/>
    </w:pPr>
    <w:rPr>
      <w:rFonts w:ascii="Calibri" w:eastAsia="宋体" w:hAnsi="Calibri" w:cs="Times New Roman"/>
      <w:kern w:val="2"/>
      <w:sz w:val="21"/>
      <w:szCs w:val="24"/>
      <w:lang w:val="en-US" w:eastAsia="zh-CN" w:bidi="ar-SA"/>
    </w:rPr>
  </w:style>
  <w:style w:type="paragraph" w:customStyle="1" w:styleId="1253">
    <w:name w:val="正文125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zh-CN" w:bidi="ar-SA"/>
    </w:rPr>
  </w:style>
  <w:style w:type="paragraph" w:customStyle="1" w:styleId="876">
    <w:name w:val="纯文本87"/>
    <w:pPr>
      <w:widowControl w:val="0"/>
      <w:jc w:val="both"/>
    </w:pPr>
    <w:rPr>
      <w:rFonts w:ascii="宋体" w:eastAsia="宋体" w:cs="Courier New"/>
      <w:kern w:val="2"/>
      <w:sz w:val="21"/>
      <w:szCs w:val="21"/>
      <w:lang w:val="en-US" w:eastAsia="zh-CN"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zh-CN" w:bidi="ar-SA"/>
    </w:rPr>
  </w:style>
  <w:style w:type="paragraph" w:customStyle="1" w:styleId="13111">
    <w:name w:val="样式 13 11 磅"/>
    <w:next w:val="Caption"/>
    <w:rPr>
      <w:rFonts w:ascii="Calibri" w:eastAsia="宋体" w:hAnsi="Calibri" w:cs="Times New Roman"/>
      <w:sz w:val="22"/>
      <w:szCs w:val="22"/>
      <w:lang w:val="en-US" w:eastAsia="zh-CN"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zh-CN"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317">
    <w:name w:val="批注文字3"/>
    <w:pPr>
      <w:widowControl w:val="0"/>
      <w:jc w:val="both"/>
    </w:pPr>
    <w:rPr>
      <w:rFonts w:ascii="Calibri" w:eastAsia="宋体" w:hAnsi="Calibri" w:cs="Times New Roman"/>
      <w:kern w:val="2"/>
      <w:sz w:val="21"/>
      <w:szCs w:val="22"/>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zh-CN"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12212">
    <w:name w:val="纯文本122"/>
    <w:pPr>
      <w:widowControl w:val="0"/>
      <w:jc w:val="both"/>
    </w:pPr>
    <w:rPr>
      <w:rFonts w:ascii="宋体" w:eastAsia="宋体" w:cs="Courier New"/>
      <w:kern w:val="2"/>
      <w:sz w:val="21"/>
      <w:szCs w:val="21"/>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zh-CN"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44210">
    <w:name w:val="样式 442 10 磅"/>
    <w:next w:val="a38"/>
    <w:pPr>
      <w:widowControl w:val="0"/>
      <w:numPr>
        <w:ilvl w:val="0"/>
        <w:numId w:val="16"/>
      </w:numPr>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927">
    <w:name w:val="正文9"/>
    <w:pPr>
      <w:widowControl w:val="0"/>
      <w:jc w:val="both"/>
    </w:pPr>
    <w:rPr>
      <w:rFonts w:ascii="Calibri" w:eastAsia="宋体" w:hAnsi="Calibri"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719">
    <w:name w:val="正文文本7"/>
    <w:pPr>
      <w:widowControl w:val="0"/>
      <w:jc w:val="both"/>
    </w:pPr>
    <w:rPr>
      <w:rFonts w:ascii="Calibri" w:eastAsia="宋体" w:hAnsi="Calibri" w:cs="Times New Roman"/>
      <w:kern w:val="2"/>
      <w:sz w:val="28"/>
      <w:szCs w:val="22"/>
      <w:lang w:val="en-US" w:eastAsia="zh-CN" w:bidi="ar-SA"/>
    </w:rPr>
  </w:style>
  <w:style w:type="paragraph" w:customStyle="1" w:styleId="1150">
    <w:name w:val="纯文本115"/>
    <w:pPr>
      <w:widowControl w:val="0"/>
      <w:jc w:val="both"/>
    </w:pPr>
    <w:rPr>
      <w:rFonts w:ascii="宋体" w:eastAsia="宋体" w:cs="Courier New"/>
      <w:kern w:val="2"/>
      <w:sz w:val="21"/>
      <w:szCs w:val="21"/>
      <w:lang w:val="en-US" w:eastAsia="zh-CN" w:bidi="ar-SA"/>
    </w:rPr>
  </w:style>
  <w:style w:type="paragraph" w:customStyle="1" w:styleId="2430">
    <w:name w:val="正文243"/>
    <w:pPr>
      <w:widowControl w:val="0"/>
      <w:jc w:val="both"/>
    </w:pPr>
    <w:rPr>
      <w:rFonts w:ascii="Calibri" w:eastAsia="宋体" w:hAnsi="Calibri" w:cs="Times New Roman"/>
      <w:kern w:val="2"/>
      <w:sz w:val="21"/>
      <w:szCs w:val="24"/>
      <w:lang w:val="en-US" w:eastAsia="zh-CN"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zh-CN"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zh-CN"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zh-CN" w:bidi="ar-SA"/>
    </w:rPr>
  </w:style>
  <w:style w:type="paragraph" w:customStyle="1" w:styleId="6250">
    <w:name w:val="正文625"/>
    <w:pPr>
      <w:widowControl w:val="0"/>
      <w:jc w:val="both"/>
    </w:pPr>
    <w:rPr>
      <w:rFonts w:ascii="Calibri" w:eastAsia="宋体" w:hAnsi="Calibri" w:cs="Times New Roman"/>
      <w:kern w:val="2"/>
      <w:sz w:val="21"/>
      <w:szCs w:val="24"/>
      <w:lang w:val="en-US" w:eastAsia="zh-CN" w:bidi="ar-SA"/>
    </w:rPr>
  </w:style>
  <w:style w:type="paragraph" w:customStyle="1" w:styleId="245">
    <w:name w:val="正文2"/>
    <w:pPr>
      <w:widowControl w:val="0"/>
      <w:jc w:val="both"/>
    </w:pPr>
    <w:rPr>
      <w:rFonts w:ascii="Calibri" w:eastAsia="宋体" w:hAnsi="Calibri"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3">
    <w:name w:val="样式 2 11 磅"/>
    <w:rPr>
      <w:rFonts w:ascii="Calibri" w:eastAsia="宋体" w:hAnsi="Calibri" w:cs="Times New Roman"/>
      <w:sz w:val="22"/>
      <w:szCs w:val="22"/>
      <w:lang w:val="en-US" w:eastAsia="zh-CN" w:bidi="ar-SA"/>
    </w:rPr>
  </w:style>
  <w:style w:type="paragraph" w:customStyle="1" w:styleId="8280">
    <w:name w:val="正文828"/>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zh-CN" w:bidi="ar-SA"/>
    </w:rPr>
  </w:style>
  <w:style w:type="paragraph" w:customStyle="1" w:styleId="6012">
    <w:name w:val="正文601"/>
    <w:pPr>
      <w:widowControl w:val="0"/>
      <w:jc w:val="both"/>
    </w:pPr>
    <w:rPr>
      <w:rFonts w:ascii="Calibri" w:eastAsia="宋体" w:hAnsi="Calibri" w:cs="Times New Roman"/>
      <w:kern w:val="2"/>
      <w:sz w:val="21"/>
      <w:szCs w:val="24"/>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4240">
    <w:name w:val="正文424"/>
    <w:pPr>
      <w:widowControl w:val="0"/>
      <w:jc w:val="both"/>
    </w:pPr>
    <w:rPr>
      <w:rFonts w:ascii="Calibri" w:eastAsia="宋体" w:hAnsi="Calibri" w:cs="Times New Roman"/>
      <w:kern w:val="2"/>
      <w:sz w:val="21"/>
      <w:szCs w:val="24"/>
      <w:lang w:val="en-US" w:eastAsia="zh-CN"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szCs w:val="20"/>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2900">
    <w:name w:val="正文290"/>
    <w:pPr>
      <w:widowControl w:val="0"/>
      <w:jc w:val="both"/>
    </w:pPr>
    <w:rPr>
      <w:rFonts w:ascii="Calibri" w:eastAsia="宋体" w:hAnsi="Calibri"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340">
    <w:name w:val="正文1034"/>
    <w:rPr>
      <w:rFonts w:ascii="Calibri" w:eastAsia="宋体" w:hAnsi="Calibri" w:cs="Times New Roman"/>
      <w:kern w:val="2"/>
      <w:sz w:val="21"/>
      <w:szCs w:val="21"/>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zh-CN" w:bidi="ar-SA"/>
    </w:rPr>
  </w:style>
  <w:style w:type="paragraph" w:customStyle="1" w:styleId="2630">
    <w:name w:val="正文263"/>
    <w:pPr>
      <w:widowControl w:val="0"/>
      <w:jc w:val="both"/>
    </w:pPr>
    <w:rPr>
      <w:rFonts w:ascii="Calibri" w:eastAsia="宋体" w:hAnsi="Calibri"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300">
    <w:name w:val="正文330"/>
    <w:pPr>
      <w:widowControl w:val="0"/>
      <w:jc w:val="both"/>
    </w:pPr>
    <w:rPr>
      <w:rFonts w:ascii="Calibri" w:eastAsia="宋体" w:hAnsi="Calibri"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020">
    <w:name w:val="样式 10 "/>
    <w:next w:val="BodyTextIndent2"/>
    <w:rPr>
      <w:rFonts w:ascii="Times New Roman" w:eastAsia="宋体" w:hAnsi="Times New Roman" w:cs="Times New Roman"/>
      <w:sz w:val="20"/>
      <w:szCs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374">
    <w:name w:val="正文374"/>
    <w:pPr>
      <w:widowControl w:val="0"/>
      <w:jc w:val="both"/>
    </w:pPr>
    <w:rPr>
      <w:rFonts w:ascii="Calibri" w:eastAsia="宋体" w:hAnsi="Calibri" w:cs="Times New Roman"/>
      <w:kern w:val="2"/>
      <w:sz w:val="21"/>
      <w:szCs w:val="24"/>
      <w:lang w:val="en-US" w:eastAsia="zh-CN"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540">
    <w:name w:val="正文154"/>
    <w:pPr>
      <w:widowControl w:val="0"/>
      <w:jc w:val="both"/>
    </w:pPr>
    <w:rPr>
      <w:rFonts w:ascii="Calibri" w:eastAsia="宋体" w:hAnsi="Calibri" w:cs="Times New Roman"/>
      <w:kern w:val="2"/>
      <w:sz w:val="21"/>
      <w:szCs w:val="24"/>
      <w:lang w:val="en-US" w:eastAsia="zh-CN" w:bidi="ar-SA"/>
    </w:rPr>
  </w:style>
  <w:style w:type="paragraph" w:customStyle="1" w:styleId="2411">
    <w:name w:val="正文241"/>
    <w:pPr>
      <w:widowControl w:val="0"/>
      <w:jc w:val="both"/>
    </w:pPr>
    <w:rPr>
      <w:rFonts w:ascii="Calibri" w:eastAsia="宋体" w:hAnsi="Calibri" w:cs="Times New Roman"/>
      <w:kern w:val="2"/>
      <w:sz w:val="21"/>
      <w:szCs w:val="24"/>
      <w:lang w:val="en-US" w:eastAsia="zh-CN" w:bidi="ar-SA"/>
    </w:rPr>
  </w:style>
  <w:style w:type="paragraph" w:customStyle="1" w:styleId="188">
    <w:name w:val="样式 1 "/>
    <w:rPr>
      <w:rFonts w:ascii="Times New Roman" w:eastAsia="宋体" w:hAnsi="Times New Roman" w:cs="Times New Roman"/>
      <w:sz w:val="20"/>
      <w:szCs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Calibri" w:eastAsia="宋体" w:hAnsi="Calibri" w:cs="Times New Roman"/>
      <w:kern w:val="2"/>
      <w:sz w:val="21"/>
      <w:szCs w:val="24"/>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861">
    <w:name w:val="正文86"/>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1750">
    <w:name w:val="正文175"/>
    <w:pPr>
      <w:widowControl w:val="0"/>
      <w:jc w:val="both"/>
    </w:pPr>
    <w:rPr>
      <w:rFonts w:ascii="Calibri" w:eastAsia="宋体" w:hAnsi="Calibri" w:cs="Times New Roman"/>
      <w:kern w:val="2"/>
      <w:sz w:val="21"/>
      <w:szCs w:val="24"/>
      <w:lang w:val="en-US" w:eastAsia="zh-CN"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5112">
    <w:name w:val="样式 5 11 磅"/>
    <w:rPr>
      <w:rFonts w:ascii="Calibri" w:eastAsia="宋体" w:hAnsi="Calibri" w:cs="Times New Roman"/>
      <w:sz w:val="22"/>
      <w:szCs w:val="22"/>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4900">
    <w:name w:val="正文490"/>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462">
    <w:name w:val="正文4"/>
    <w:pPr>
      <w:widowControl w:val="0"/>
      <w:jc w:val="both"/>
    </w:pPr>
    <w:rPr>
      <w:rFonts w:ascii="Calibri" w:eastAsia="宋体" w:hAnsi="Calibri" w:cs="Times New Roman"/>
      <w:kern w:val="2"/>
      <w:sz w:val="21"/>
      <w:szCs w:val="22"/>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023">
    <w:name w:val="样式1_0"/>
    <w:basedOn w:val="32"/>
    <w:pPr>
      <w:numPr>
        <w:ilvl w:val="0"/>
        <w:numId w:val="29"/>
      </w:numPr>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zh-CN"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eastAsia="zh-CN"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2290">
    <w:name w:val="正文229"/>
    <w:pPr>
      <w:widowControl w:val="0"/>
      <w:jc w:val="both"/>
    </w:pPr>
    <w:rPr>
      <w:rFonts w:ascii="Calibri" w:eastAsia="宋体" w:hAnsi="Calibri"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zh-CN"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zh-CN"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6300">
    <w:name w:val="正文630"/>
    <w:pPr>
      <w:widowControl w:val="0"/>
      <w:jc w:val="both"/>
    </w:pPr>
    <w:rPr>
      <w:rFonts w:ascii="Calibri" w:eastAsia="宋体" w:hAnsi="Calibri" w:cs="Times New Roman"/>
      <w:kern w:val="2"/>
      <w:sz w:val="21"/>
      <w:szCs w:val="24"/>
      <w:lang w:val="en-US" w:eastAsia="zh-CN" w:bidi="ar-SA"/>
    </w:rPr>
  </w:style>
  <w:style w:type="paragraph" w:customStyle="1" w:styleId="4511">
    <w:name w:val="正文451"/>
    <w:pPr>
      <w:widowControl w:val="0"/>
      <w:jc w:val="both"/>
    </w:pPr>
    <w:rPr>
      <w:rFonts w:ascii="Calibri" w:eastAsia="宋体" w:hAnsi="Calibri" w:cs="Times New Roman"/>
      <w:kern w:val="2"/>
      <w:sz w:val="21"/>
      <w:szCs w:val="24"/>
      <w:lang w:val="en-US" w:eastAsia="zh-CN"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zh-CN" w:bidi="ar-SA"/>
    </w:rPr>
  </w:style>
  <w:style w:type="paragraph" w:customStyle="1" w:styleId="Char0">
    <w:name w:val="Char"/>
    <w:basedOn w:val="Normal"/>
    <w:pPr>
      <w:widowControl/>
      <w:spacing w:after="160" w:line="240" w:lineRule="exact"/>
    </w:pPr>
    <w:rPr>
      <w:rFonts w:ascii="Verdana" w:hAnsi="Verdana" w:cs="Times New Roman"/>
      <w:sz w:val="20"/>
      <w:lang w:bidi="ar-SA"/>
    </w:rPr>
  </w:style>
  <w:style w:type="paragraph" w:customStyle="1" w:styleId="4620">
    <w:name w:val="正文462"/>
    <w:pPr>
      <w:widowControl w:val="0"/>
      <w:jc w:val="both"/>
    </w:pPr>
    <w:rPr>
      <w:rFonts w:ascii="Calibri" w:eastAsia="宋体" w:hAnsi="Calibri"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940">
    <w:name w:val="正文994"/>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8">
    <w:name w:val="纯文本107"/>
    <w:pPr>
      <w:widowControl w:val="0"/>
      <w:jc w:val="both"/>
    </w:pPr>
    <w:rPr>
      <w:rFonts w:ascii="宋体" w:eastAsia="宋体"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347">
    <w:name w:val="正文3"/>
    <w:pPr>
      <w:widowControl w:val="0"/>
      <w:jc w:val="both"/>
    </w:pPr>
    <w:rPr>
      <w:rFonts w:ascii="Calibri" w:eastAsia="宋体" w:hAnsi="Calibri" w:cs="Times New Roman"/>
      <w:kern w:val="2"/>
      <w:sz w:val="21"/>
      <w:szCs w:val="22"/>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cs="Times New Roman"/>
      <w:kern w:val="2"/>
      <w:sz w:val="21"/>
      <w:szCs w:val="21"/>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3960">
    <w:name w:val="正文396"/>
    <w:pPr>
      <w:widowControl w:val="0"/>
      <w:jc w:val="both"/>
    </w:pPr>
    <w:rPr>
      <w:rFonts w:ascii="Calibri" w:eastAsia="宋体" w:hAnsi="Calibri"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3640">
    <w:name w:val="正文364"/>
    <w:pPr>
      <w:widowControl w:val="0"/>
      <w:jc w:val="both"/>
    </w:pPr>
    <w:rPr>
      <w:rFonts w:ascii="Calibri" w:eastAsia="宋体" w:hAnsi="Calibri" w:cs="Times New Roman"/>
      <w:kern w:val="2"/>
      <w:sz w:val="21"/>
      <w:szCs w:val="24"/>
      <w:lang w:val="en-US" w:eastAsia="zh-CN"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zh-CN"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lang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zh-CN" w:bidi="ar-SA"/>
    </w:rPr>
  </w:style>
  <w:style w:type="paragraph" w:customStyle="1" w:styleId="8340">
    <w:name w:val="正文834"/>
    <w:pPr>
      <w:widowControl w:val="0"/>
      <w:jc w:val="both"/>
    </w:pPr>
    <w:rPr>
      <w:rFonts w:ascii="Calibri" w:eastAsia="宋体" w:hAnsi="Calibri" w:cs="Times New Roman"/>
      <w:kern w:val="2"/>
      <w:sz w:val="21"/>
      <w:szCs w:val="22"/>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szCs w:val="20"/>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8930">
    <w:name w:val="正文893"/>
    <w:pPr>
      <w:widowControl w:val="0"/>
      <w:jc w:val="both"/>
    </w:pPr>
    <w:rPr>
      <w:rFonts w:ascii="Calibri" w:eastAsia="宋体" w:hAnsi="Calibri" w:cs="Times New Roman"/>
      <w:kern w:val="2"/>
      <w:sz w:val="21"/>
      <w:szCs w:val="22"/>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zh-CN" w:bidi="ar-SA"/>
    </w:rPr>
  </w:style>
  <w:style w:type="paragraph" w:customStyle="1" w:styleId="1302">
    <w:name w:val="纯文本130"/>
    <w:pPr>
      <w:widowControl w:val="0"/>
      <w:jc w:val="both"/>
    </w:pPr>
    <w:rPr>
      <w:rFonts w:ascii="宋体" w:eastAsia="宋体" w:cs="Courier New"/>
      <w:kern w:val="2"/>
      <w:sz w:val="21"/>
      <w:szCs w:val="21"/>
      <w:lang w:val="en-US" w:eastAsia="zh-CN" w:bidi="ar-SA"/>
    </w:rPr>
  </w:style>
  <w:style w:type="paragraph" w:customStyle="1" w:styleId="2450">
    <w:name w:val="正文245"/>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230">
    <w:name w:val="正文1023"/>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16"/>
      </w:numPr>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zh-CN"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1007">
    <w:name w:val="纯文本100"/>
    <w:pPr>
      <w:widowControl w:val="0"/>
      <w:jc w:val="both"/>
    </w:pPr>
    <w:rPr>
      <w:rFonts w:ascii="宋体" w:eastAsia="宋体"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3113">
    <w:name w:val="正文311"/>
    <w:pPr>
      <w:widowControl w:val="0"/>
      <w:jc w:val="both"/>
    </w:pPr>
    <w:rPr>
      <w:rFonts w:ascii="Calibri" w:eastAsia="宋体" w:hAnsi="Calibri" w:cs="Times New Roman"/>
      <w:kern w:val="2"/>
      <w:sz w:val="21"/>
      <w:szCs w:val="24"/>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19110">
    <w:name w:val="样式 19 11 磅"/>
    <w:rPr>
      <w:rFonts w:ascii="Calibri" w:eastAsia="宋体" w:hAnsi="Calibri" w:cs="Times New Roman"/>
      <w:sz w:val="22"/>
      <w:szCs w:val="22"/>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zh-CN"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zh-CN"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zh-CN"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zh-CN" w:bidi="ar-SA"/>
    </w:rPr>
  </w:style>
  <w:style w:type="paragraph" w:customStyle="1" w:styleId="745">
    <w:name w:val="纯文本74"/>
    <w:pPr>
      <w:widowControl w:val="0"/>
      <w:jc w:val="both"/>
    </w:pPr>
    <w:rPr>
      <w:rFonts w:ascii="宋体" w:eastAsia="宋体" w:cs="Courier New"/>
      <w:kern w:val="2"/>
      <w:sz w:val="21"/>
      <w:szCs w:val="21"/>
      <w:lang w:val="en-US" w:eastAsia="zh-CN"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lang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zh-CN"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9711">
    <w:name w:val="正文97"/>
    <w:pPr>
      <w:widowControl w:val="0"/>
      <w:jc w:val="both"/>
    </w:pPr>
    <w:rPr>
      <w:rFonts w:ascii="Calibri" w:eastAsia="宋体" w:hAnsi="Calibri"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1590">
    <w:name w:val="正文159"/>
    <w:pPr>
      <w:widowControl w:val="0"/>
      <w:jc w:val="both"/>
    </w:pPr>
    <w:rPr>
      <w:rFonts w:ascii="Calibri" w:eastAsia="宋体" w:hAnsi="Calibri" w:cs="Times New Roman"/>
      <w:kern w:val="2"/>
      <w:sz w:val="21"/>
      <w:szCs w:val="24"/>
      <w:lang w:val="en-US" w:eastAsia="zh-CN" w:bidi="ar-SA"/>
    </w:rPr>
  </w:style>
  <w:style w:type="paragraph" w:customStyle="1" w:styleId="1173">
    <w:name w:val="纯文本117"/>
    <w:pPr>
      <w:widowControl w:val="0"/>
      <w:jc w:val="both"/>
    </w:pPr>
    <w:rPr>
      <w:rFonts w:ascii="宋体" w:eastAsia="宋体" w:cs="Courier New"/>
      <w:kern w:val="2"/>
      <w:sz w:val="21"/>
      <w:szCs w:val="21"/>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zh-CN"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zh-CN" w:bidi="ar-SA"/>
    </w:rPr>
  </w:style>
  <w:style w:type="paragraph" w:customStyle="1" w:styleId="5811">
    <w:name w:val="纯文本58"/>
    <w:pPr>
      <w:widowControl w:val="0"/>
      <w:jc w:val="both"/>
    </w:pPr>
    <w:rPr>
      <w:rFonts w:ascii="宋体" w:eastAsia="宋体" w:cs="Courier New"/>
      <w:kern w:val="2"/>
      <w:sz w:val="21"/>
      <w:szCs w:val="21"/>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zh-CN"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rPr>
      <w:rFonts w:ascii="Calibri" w:eastAsia="宋体" w:hAnsi="Calibri" w:cs="Times New Roman"/>
      <w:kern w:val="2"/>
      <w:sz w:val="21"/>
      <w:szCs w:val="21"/>
      <w:lang w:val="en-US" w:eastAsia="zh-CN"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zh-CN"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zh-CN" w:bidi="ar-SA"/>
    </w:rPr>
  </w:style>
  <w:style w:type="paragraph" w:customStyle="1" w:styleId="3470">
    <w:name w:val="正文347"/>
    <w:pPr>
      <w:widowControl w:val="0"/>
      <w:jc w:val="both"/>
    </w:pPr>
    <w:rPr>
      <w:rFonts w:ascii="Calibri" w:eastAsia="宋体" w:hAnsi="Calibri"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lang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2114">
    <w:name w:val="正文211"/>
    <w:pPr>
      <w:widowControl w:val="0"/>
      <w:jc w:val="both"/>
    </w:pPr>
    <w:rPr>
      <w:rFonts w:ascii="Calibri" w:eastAsia="宋体" w:hAnsi="Calibri" w:cs="Times New Roman"/>
      <w:kern w:val="2"/>
      <w:sz w:val="21"/>
      <w:szCs w:val="24"/>
      <w:lang w:val="en-US" w:eastAsia="zh-CN" w:bidi="ar-SA"/>
    </w:rPr>
  </w:style>
  <w:style w:type="paragraph" w:customStyle="1" w:styleId="11611">
    <w:name w:val="纯文本116"/>
    <w:pPr>
      <w:widowControl w:val="0"/>
      <w:jc w:val="both"/>
    </w:pPr>
    <w:rPr>
      <w:rFonts w:ascii="宋体" w:eastAsia="宋体" w:cs="Courier New"/>
      <w:kern w:val="2"/>
      <w:sz w:val="21"/>
      <w:szCs w:val="21"/>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1">
    <w:name w:val="样式 14 11 磅"/>
    <w:next w:val="Char0"/>
    <w:rPr>
      <w:rFonts w:ascii="Calibri" w:eastAsia="宋体" w:hAnsi="Calibri" w:cs="Times New Roman"/>
      <w:sz w:val="22"/>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zh-CN"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zh-CN" w:bidi="ar-SA"/>
    </w:rPr>
  </w:style>
  <w:style w:type="paragraph" w:customStyle="1" w:styleId="1179">
    <w:name w:val="正文117"/>
    <w:pPr>
      <w:widowControl w:val="0"/>
      <w:jc w:val="both"/>
    </w:pPr>
    <w:rPr>
      <w:rFonts w:ascii="Calibri" w:eastAsia="宋体" w:hAnsi="Calibri" w:cs="Times New Roman"/>
      <w:kern w:val="2"/>
      <w:sz w:val="21"/>
      <w:szCs w:val="24"/>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zh-CN" w:bidi="ar-SA"/>
    </w:rPr>
  </w:style>
  <w:style w:type="paragraph" w:customStyle="1" w:styleId="6111">
    <w:name w:val="正文61"/>
    <w:pPr>
      <w:widowControl w:val="0"/>
      <w:jc w:val="both"/>
    </w:pPr>
    <w:rPr>
      <w:rFonts w:ascii="Calibri" w:eastAsia="宋体" w:hAnsi="Calibri" w:cs="Times New Roman"/>
      <w:kern w:val="2"/>
      <w:sz w:val="21"/>
      <w:szCs w:val="24"/>
      <w:lang w:val="en-US" w:eastAsia="zh-CN" w:bidi="ar-SA"/>
    </w:rPr>
  </w:style>
  <w:style w:type="paragraph" w:customStyle="1" w:styleId="5311">
    <w:name w:val="正文531"/>
    <w:pPr>
      <w:widowControl w:val="0"/>
      <w:jc w:val="both"/>
    </w:pPr>
    <w:rPr>
      <w:rFonts w:ascii="Calibri" w:eastAsia="宋体" w:hAnsi="Calibri"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eastAsia="zh-CN" w:bidi="ar-SA"/>
    </w:rPr>
  </w:style>
  <w:style w:type="paragraph" w:customStyle="1" w:styleId="6811">
    <w:name w:val="纯文本68"/>
    <w:pPr>
      <w:widowControl w:val="0"/>
      <w:jc w:val="both"/>
    </w:pPr>
    <w:rPr>
      <w:rFonts w:ascii="宋体" w:eastAsia="宋体" w:cs="Courier New"/>
      <w:kern w:val="2"/>
      <w:sz w:val="21"/>
      <w:szCs w:val="21"/>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zh-CN"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1132">
    <w:name w:val="正文1132"/>
    <w:pPr>
      <w:widowControl w:val="0"/>
      <w:jc w:val="both"/>
    </w:pPr>
    <w:rPr>
      <w:rFonts w:ascii="Calibri" w:eastAsia="宋体" w:hAnsi="Calibri"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1133">
    <w:name w:val="正文11"/>
    <w:pPr>
      <w:widowControl w:val="0"/>
      <w:jc w:val="both"/>
    </w:pPr>
    <w:rPr>
      <w:rFonts w:ascii="Calibri" w:eastAsia="宋体" w:hAnsi="Calibri" w:cs="Times New Roman"/>
      <w:kern w:val="2"/>
      <w:sz w:val="21"/>
      <w:szCs w:val="22"/>
      <w:lang w:val="en-US" w:eastAsia="zh-CN" w:bidi="ar-SA"/>
    </w:rPr>
  </w:style>
  <w:style w:type="paragraph" w:customStyle="1" w:styleId="11113">
    <w:name w:val="正文111"/>
    <w:pPr>
      <w:widowControl w:val="0"/>
      <w:jc w:val="both"/>
    </w:pPr>
    <w:rPr>
      <w:rFonts w:ascii="Calibri" w:eastAsia="宋体" w:hAnsi="Calibri" w:cs="Times New Roman"/>
      <w:kern w:val="2"/>
      <w:sz w:val="21"/>
      <w:szCs w:val="24"/>
      <w:lang w:val="en-US" w:eastAsia="zh-CN"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5290">
    <w:name w:val="正文529"/>
    <w:pPr>
      <w:widowControl w:val="0"/>
      <w:jc w:val="both"/>
    </w:pPr>
    <w:rPr>
      <w:rFonts w:ascii="Calibri" w:eastAsia="宋体" w:hAnsi="Calibri" w:cs="Times New Roman"/>
      <w:kern w:val="2"/>
      <w:sz w:val="21"/>
      <w:szCs w:val="24"/>
      <w:lang w:val="en-US" w:eastAsia="zh-CN" w:bidi="ar-SA"/>
    </w:rPr>
  </w:style>
  <w:style w:type="paragraph" w:customStyle="1" w:styleId="2312">
    <w:name w:val="纯文本23"/>
    <w:pPr>
      <w:widowControl w:val="0"/>
      <w:jc w:val="both"/>
    </w:pPr>
    <w:rPr>
      <w:rFonts w:ascii="宋体" w:eastAsia="宋体" w:cs="Courier New"/>
      <w:kern w:val="2"/>
      <w:sz w:val="21"/>
      <w:szCs w:val="21"/>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6"/>
      </w:numPr>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6"/>
      </w:numPr>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7100">
    <w:name w:val="正文710"/>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zh-CN"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szCs w:val="20"/>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zh-CN" w:bidi="ar-SA"/>
    </w:rPr>
  </w:style>
  <w:style w:type="paragraph" w:customStyle="1" w:styleId="43810">
    <w:name w:val="样式 438 10 磅"/>
    <w:next w:val="1160"/>
    <w:pPr>
      <w:widowControl w:val="0"/>
      <w:numPr>
        <w:ilvl w:val="0"/>
        <w:numId w:val="16"/>
      </w:numPr>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zh-CN" w:bidi="ar-SA"/>
    </w:rPr>
  </w:style>
  <w:style w:type="paragraph" w:customStyle="1" w:styleId="43610">
    <w:name w:val="样式 436 10 磅"/>
    <w:next w:val="139210"/>
    <w:pPr>
      <w:widowControl w:val="0"/>
      <w:numPr>
        <w:ilvl w:val="0"/>
        <w:numId w:val="16"/>
      </w:numPr>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512">
    <w:name w:val="样式 15 "/>
    <w:next w:val="4551"/>
    <w:rPr>
      <w:rFonts w:ascii="Times New Roman" w:eastAsia="宋体" w:hAnsi="Times New Roman" w:cs="Times New Roman"/>
      <w:sz w:val="20"/>
      <w:szCs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zh-CN" w:bidi="ar-SA"/>
    </w:rPr>
  </w:style>
  <w:style w:type="paragraph" w:customStyle="1" w:styleId="2211">
    <w:name w:val="正文22"/>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szCs w:val="20"/>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102">
    <w:name w:val="正文810"/>
    <w:pPr>
      <w:widowControl w:val="0"/>
      <w:jc w:val="both"/>
    </w:pPr>
    <w:rPr>
      <w:rFonts w:ascii="Calibri" w:eastAsia="宋体" w:hAnsi="Calibri" w:cs="Times New Roman"/>
      <w:kern w:val="2"/>
      <w:sz w:val="21"/>
      <w:szCs w:val="22"/>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070">
    <w:name w:val="正文1107"/>
    <w:pPr>
      <w:widowControl w:val="0"/>
      <w:jc w:val="both"/>
    </w:pPr>
    <w:rPr>
      <w:rFonts w:ascii="Calibri" w:eastAsia="宋体" w:hAnsi="Calibri"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0212">
    <w:name w:val="纯文本102"/>
    <w:pPr>
      <w:widowControl w:val="0"/>
      <w:jc w:val="both"/>
    </w:pPr>
    <w:rPr>
      <w:rFonts w:ascii="宋体" w:eastAsia="宋体" w:cs="Courier New"/>
      <w:kern w:val="2"/>
      <w:sz w:val="21"/>
      <w:szCs w:val="21"/>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zh-CN"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7950">
    <w:name w:val="正文795"/>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6500">
    <w:name w:val="正文650"/>
    <w:pPr>
      <w:widowControl w:val="0"/>
      <w:jc w:val="both"/>
    </w:pPr>
    <w:rPr>
      <w:rFonts w:ascii="Calibri" w:eastAsia="宋体" w:hAnsi="Calibri" w:cs="Times New Roman"/>
      <w:kern w:val="2"/>
      <w:sz w:val="21"/>
      <w:szCs w:val="24"/>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5101">
    <w:name w:val="批注文字5"/>
    <w:pPr>
      <w:widowControl w:val="0"/>
      <w:jc w:val="both"/>
    </w:pPr>
    <w:rPr>
      <w:rFonts w:ascii="Calibri" w:eastAsia="宋体" w:hAnsi="Calibri" w:cs="Times New Roman"/>
      <w:kern w:val="2"/>
      <w:sz w:val="24"/>
      <w:szCs w:val="28"/>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zh-CN"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6950">
    <w:name w:val="正文695"/>
    <w:pPr>
      <w:widowControl w:val="0"/>
      <w:jc w:val="both"/>
    </w:pPr>
    <w:rPr>
      <w:rFonts w:ascii="Calibri" w:eastAsia="宋体" w:hAnsi="Calibri" w:cs="Times New Roman"/>
      <w:kern w:val="2"/>
      <w:sz w:val="21"/>
      <w:szCs w:val="24"/>
      <w:lang w:val="en-US" w:eastAsia="zh-CN" w:bidi="ar-SA"/>
    </w:rPr>
  </w:style>
  <w:style w:type="paragraph" w:customStyle="1" w:styleId="2700">
    <w:name w:val="正文270"/>
    <w:pPr>
      <w:widowControl w:val="0"/>
      <w:jc w:val="both"/>
    </w:pPr>
    <w:rPr>
      <w:rFonts w:ascii="Calibri" w:eastAsia="宋体" w:hAnsi="Calibri"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470">
    <w:name w:val="正文447"/>
    <w:pPr>
      <w:widowControl w:val="0"/>
      <w:jc w:val="both"/>
    </w:pPr>
    <w:rPr>
      <w:rFonts w:ascii="Calibri" w:eastAsia="宋体" w:hAnsi="Calibri" w:cs="Times New Roman"/>
      <w:kern w:val="2"/>
      <w:sz w:val="21"/>
      <w:szCs w:val="24"/>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45010">
    <w:name w:val="样式 450 10 磅"/>
    <w:next w:val="158"/>
    <w:pPr>
      <w:widowControl w:val="0"/>
      <w:numPr>
        <w:ilvl w:val="0"/>
        <w:numId w:val="16"/>
      </w:numPr>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6"/>
      </w:numPr>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zh-CN" w:bidi="ar-SA"/>
    </w:rPr>
  </w:style>
  <w:style w:type="paragraph" w:customStyle="1" w:styleId="6700">
    <w:name w:val="正文670"/>
    <w:pPr>
      <w:widowControl w:val="0"/>
      <w:jc w:val="both"/>
    </w:pPr>
    <w:rPr>
      <w:rFonts w:ascii="Calibri" w:eastAsia="宋体" w:hAnsi="Calibri"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zh-CN" w:bidi="ar-SA"/>
    </w:rPr>
  </w:style>
  <w:style w:type="paragraph" w:customStyle="1" w:styleId="8211">
    <w:name w:val="正文82"/>
    <w:pPr>
      <w:widowControl w:val="0"/>
      <w:jc w:val="both"/>
    </w:pPr>
    <w:rPr>
      <w:rFonts w:ascii="Calibri" w:eastAsia="宋体" w:hAnsi="Calibri"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6311">
    <w:name w:val="正文63"/>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zh-CN" w:bidi="ar-SA"/>
    </w:rPr>
  </w:style>
  <w:style w:type="paragraph" w:customStyle="1" w:styleId="9830">
    <w:name w:val="正文983"/>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1134">
    <w:name w:val="列表1"/>
    <w:next w:val="32"/>
    <w:pPr>
      <w:widowControl w:val="0"/>
      <w:numPr>
        <w:ilvl w:val="0"/>
        <w:numId w:val="30"/>
      </w:numPr>
      <w:spacing w:line="180" w:lineRule="atLeast"/>
      <w:jc w:val="both"/>
    </w:pPr>
    <w:rPr>
      <w:rFonts w:ascii="Times New Roman" w:eastAsia="宋体" w:hAnsi="Times New Roman" w:cs="Times New Roman"/>
      <w:kern w:val="2"/>
      <w:sz w:val="28"/>
      <w:szCs w:val="28"/>
      <w:lang w:val="en-US" w:eastAsia="zh-CN"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7930">
    <w:name w:val="正文793"/>
    <w:pPr>
      <w:widowControl w:val="0"/>
      <w:jc w:val="both"/>
    </w:pPr>
    <w:rPr>
      <w:rFonts w:ascii="Calibri" w:eastAsia="宋体" w:hAnsi="Calibri" w:cs="Times New Roman"/>
      <w:kern w:val="2"/>
      <w:sz w:val="21"/>
      <w:szCs w:val="22"/>
      <w:lang w:val="en-US" w:eastAsia="zh-CN" w:bidi="ar-SA"/>
    </w:rPr>
  </w:style>
  <w:style w:type="paragraph" w:customStyle="1" w:styleId="1249">
    <w:name w:val="正文1249"/>
    <w:pPr>
      <w:widowControl w:val="0"/>
      <w:jc w:val="both"/>
    </w:pPr>
    <w:rPr>
      <w:rFonts w:ascii="Times New Roman" w:eastAsia="方正仿宋_GBK" w:hAnsi="Times New Roman" w:cs="Times New Roman"/>
      <w:kern w:val="2"/>
      <w:sz w:val="32"/>
      <w:szCs w:val="20"/>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zh-CN"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zh-CN"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6">
    <w:name w:val="纯文本21"/>
    <w:pPr>
      <w:widowControl w:val="0"/>
      <w:jc w:val="both"/>
    </w:pPr>
    <w:rPr>
      <w:rFonts w:ascii="宋体" w:eastAsia="宋体" w:cs="Courier New"/>
      <w:kern w:val="2"/>
      <w:sz w:val="21"/>
      <w:szCs w:val="21"/>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3160">
    <w:name w:val="正文316"/>
    <w:pPr>
      <w:widowControl w:val="0"/>
      <w:jc w:val="both"/>
    </w:pPr>
    <w:rPr>
      <w:rFonts w:ascii="Calibri" w:eastAsia="宋体" w:hAnsi="Calibri"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zh-CN" w:bidi="ar-SA"/>
    </w:rPr>
  </w:style>
  <w:style w:type="paragraph" w:customStyle="1" w:styleId="10911">
    <w:name w:val="正文1091"/>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zh-CN"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zh-CN"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zh-CN"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0070">
    <w:name w:val="正文1007"/>
    <w:pPr>
      <w:widowControl w:val="0"/>
      <w:jc w:val="both"/>
    </w:pPr>
    <w:rPr>
      <w:rFonts w:ascii="Calibri" w:eastAsia="宋体" w:hAnsi="Calibri" w:cs="Times New Roman"/>
      <w:kern w:val="2"/>
      <w:sz w:val="21"/>
      <w:szCs w:val="22"/>
      <w:lang w:val="en-US" w:eastAsia="zh-CN"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zh-CN" w:bidi="ar-SA"/>
    </w:rPr>
  </w:style>
  <w:style w:type="paragraph" w:customStyle="1" w:styleId="12311">
    <w:name w:val="正文123"/>
    <w:pPr>
      <w:widowControl w:val="0"/>
      <w:jc w:val="both"/>
    </w:pPr>
    <w:rPr>
      <w:rFonts w:ascii="Calibri" w:eastAsia="宋体" w:hAnsi="Calibri" w:cs="Times New Roman"/>
      <w:kern w:val="2"/>
      <w:sz w:val="21"/>
      <w:szCs w:val="24"/>
      <w:lang w:val="en-US" w:eastAsia="zh-CN" w:bidi="ar-SA"/>
    </w:rPr>
  </w:style>
  <w:style w:type="paragraph" w:customStyle="1" w:styleId="11340">
    <w:name w:val="正文1134"/>
    <w:pPr>
      <w:widowControl w:val="0"/>
      <w:jc w:val="both"/>
    </w:pPr>
    <w:rPr>
      <w:rFonts w:ascii="Calibri" w:eastAsia="宋体" w:hAnsi="Calibri"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6"/>
      </w:numPr>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zh-CN"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zh-CN" w:bidi="ar-SA"/>
    </w:rPr>
  </w:style>
  <w:style w:type="paragraph" w:customStyle="1" w:styleId="10611">
    <w:name w:val="纯文本106"/>
    <w:pPr>
      <w:widowControl w:val="0"/>
      <w:jc w:val="both"/>
    </w:pPr>
    <w:rPr>
      <w:rFonts w:ascii="宋体" w:eastAsia="宋体" w:cs="Courier New"/>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zh-CN" w:bidi="ar-SA"/>
    </w:rPr>
  </w:style>
  <w:style w:type="paragraph" w:customStyle="1" w:styleId="8360">
    <w:name w:val="正文836"/>
    <w:pPr>
      <w:widowControl w:val="0"/>
      <w:jc w:val="both"/>
    </w:pPr>
    <w:rPr>
      <w:rFonts w:ascii="Calibri" w:eastAsia="宋体" w:hAnsi="Calibri" w:cs="Times New Roman"/>
      <w:kern w:val="2"/>
      <w:sz w:val="21"/>
      <w:szCs w:val="22"/>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szCs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1380">
    <w:name w:val="正文1138"/>
    <w:pPr>
      <w:widowControl w:val="0"/>
      <w:jc w:val="both"/>
    </w:pPr>
    <w:rPr>
      <w:rFonts w:ascii="Calibri" w:eastAsia="宋体" w:hAnsi="Calibri"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26"/>
      </w:numPr>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970">
    <w:name w:val="正文197"/>
    <w:pPr>
      <w:widowControl w:val="0"/>
      <w:jc w:val="both"/>
    </w:pPr>
    <w:rPr>
      <w:rFonts w:ascii="Calibri" w:eastAsia="宋体" w:hAnsi="Calibri" w:cs="Times New Roman"/>
      <w:kern w:val="2"/>
      <w:sz w:val="21"/>
      <w:szCs w:val="24"/>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eastAsia="zh-CN"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1511">
    <w:name w:val="正文115"/>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zh-CN"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zh-CN"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980">
    <w:name w:val="正文298"/>
    <w:pPr>
      <w:widowControl w:val="0"/>
      <w:jc w:val="both"/>
    </w:pPr>
    <w:rPr>
      <w:rFonts w:ascii="Calibri" w:eastAsia="宋体" w:hAnsi="Calibri" w:cs="Times New Roman"/>
      <w:kern w:val="2"/>
      <w:sz w:val="21"/>
      <w:szCs w:val="24"/>
      <w:lang w:val="en-US" w:eastAsia="zh-CN" w:bidi="ar-SA"/>
    </w:rPr>
  </w:style>
  <w:style w:type="paragraph" w:customStyle="1" w:styleId="11512">
    <w:name w:val="正文1151"/>
    <w:pPr>
      <w:widowControl w:val="0"/>
      <w:jc w:val="both"/>
    </w:pPr>
    <w:rPr>
      <w:rFonts w:ascii="Calibri" w:eastAsia="宋体" w:hAnsi="Calibri" w:cs="Times New Roman"/>
      <w:kern w:val="2"/>
      <w:sz w:val="21"/>
      <w:szCs w:val="22"/>
      <w:lang w:val="en-US" w:eastAsia="zh-CN" w:bidi="ar-SA"/>
    </w:rPr>
  </w:style>
  <w:style w:type="paragraph" w:customStyle="1" w:styleId="2990">
    <w:name w:val="正文299"/>
    <w:pPr>
      <w:widowControl w:val="0"/>
      <w:jc w:val="both"/>
    </w:pPr>
    <w:rPr>
      <w:rFonts w:ascii="Calibri" w:eastAsia="宋体" w:hAnsi="Calibri"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eastAsia="zh-CN"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zh-CN"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7111">
    <w:name w:val="样式 17 11 磅"/>
    <w:next w:val="14"/>
    <w:rPr>
      <w:rFonts w:ascii="Calibri" w:eastAsia="宋体" w:hAnsi="Calibri" w:cs="Times New Roman"/>
      <w:sz w:val="22"/>
      <w:szCs w:val="22"/>
      <w:lang w:val="en-US" w:eastAsia="zh-CN" w:bidi="ar-SA"/>
    </w:rPr>
  </w:style>
  <w:style w:type="paragraph" w:customStyle="1" w:styleId="7290">
    <w:name w:val="正文729"/>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lang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16"/>
      </w:numPr>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1490">
    <w:name w:val="正文149"/>
    <w:pPr>
      <w:widowControl w:val="0"/>
      <w:jc w:val="both"/>
    </w:pPr>
    <w:rPr>
      <w:rFonts w:ascii="Calibri" w:eastAsia="宋体" w:hAnsi="Calibri" w:cs="Times New Roman"/>
      <w:kern w:val="2"/>
      <w:sz w:val="21"/>
      <w:szCs w:val="24"/>
      <w:lang w:val="en-US" w:eastAsia="zh-CN"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1315">
    <w:name w:val="纯文本13"/>
    <w:pPr>
      <w:widowControl w:val="0"/>
      <w:jc w:val="both"/>
    </w:pPr>
    <w:rPr>
      <w:rFonts w:ascii="宋体" w:eastAsia="宋体" w:cs="Courier New"/>
      <w:kern w:val="2"/>
      <w:sz w:val="21"/>
      <w:szCs w:val="21"/>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zh-CN"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character" w:customStyle="1" w:styleId="font61">
    <w:name w:val="font61"/>
    <w:basedOn w:val="DefaultParagraphFont"/>
    <w:autoRedefine/>
    <w:rPr>
      <w:rFonts w:ascii="Wingdings" w:hAnsi="Wingdings" w:cs="Wingdings"/>
      <w:color w:val="000000"/>
      <w:sz w:val="24"/>
      <w:szCs w:val="24"/>
      <w:u w:val="none"/>
    </w:rPr>
  </w:style>
  <w:style w:type="paragraph" w:customStyle="1" w:styleId="10711">
    <w:name w:val="样式 10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731">
    <w:name w:val="样式 173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94</TotalTime>
  <Pages>133</Pages>
  <Words>57325</Words>
  <Characters>59065</Characters>
  <Application>Microsoft Office Word</Application>
  <DocSecurity>0</DocSecurity>
  <Lines>5062</Lines>
  <Paragraphs>1970</Paragraphs>
  <ScaleCrop>false</ScaleCrop>
  <Company>ms</Company>
  <LinksUpToDate>false</LinksUpToDate>
  <CharactersWithSpaces>60798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2024-11-15T07:37:02Z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C9BB84611BA1436EB3979D2AE0A438FF_12</vt:lpwstr>
  </property>
  <property fmtid="{D5CDD505-2E9C-101B-9397-08002B2CF9AE}" pid="3" name="KSOProductBuildVer">
    <vt:lpwstr>2052-12.1.0.18608</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