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CG2024-WT-JC-FW-003</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全国海关信息中心2024年度海关门户网站优化采购项目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2024年07月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4</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21</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22</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23</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24</w:t>
        </w:r>
        <w:r>
          <w:fldChar w:fldCharType="end"/>
        </w:r>
      </w:hyperlink>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全国海关信息中心2024年度海关门户网站优化采购项目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全国海关信息中心2024年度海关门户网站优化采购项目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CG2024-WT-JC-FW-003</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全国海关信息中心（全国海关电子通关中心）</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本项目预算金额合计总金额人民币1,460,000.00元，其中包1人民币1,460,000.00元。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Pr>
          <w:p>
            <w:pPr>
              <w:spacing w:after="120" w:line="240" w:lineRule="auto"/>
              <w:rPr>
                <w:rFonts w:ascii="宋体"/>
                <w:b/>
                <w:color w:val="0000FF"/>
                <w:sz w:val="24"/>
                <w:highlight w:val="white"/>
              </w:rPr>
            </w:pPr>
            <w:bookmarkStart w:id="10" w:name="货物一览表_packageName"/>
            <w:r>
              <w:rPr>
                <w:rFonts w:ascii="宋体"/>
                <w:b/>
                <w:color w:val="0000FF"/>
                <w:sz w:val="24"/>
                <w:highlight w:val="white"/>
              </w:rPr>
              <w:t>包件号</w:t>
            </w:r>
            <w:bookmarkEnd w:id="10"/>
          </w:p>
        </w:tc>
        <w:tc>
          <w:tcPr>
            <w:tcW w:w="813" w:type="dxa"/>
          </w:tcPr>
          <w:p>
            <w:pPr>
              <w:spacing w:after="120" w:line="240" w:lineRule="auto"/>
              <w:rPr>
                <w:rFonts w:ascii="宋体"/>
                <w:b/>
                <w:color w:val="0000FF"/>
                <w:sz w:val="24"/>
                <w:highlight w:val="white"/>
              </w:rPr>
            </w:pPr>
            <w:bookmarkStart w:id="11" w:name="货物一览表_index"/>
            <w:r>
              <w:rPr>
                <w:rFonts w:ascii="宋体"/>
                <w:b/>
                <w:color w:val="0000FF"/>
                <w:sz w:val="24"/>
                <w:highlight w:val="white"/>
              </w:rPr>
              <w:t>序号</w:t>
            </w:r>
            <w:bookmarkEnd w:id="11"/>
          </w:p>
        </w:tc>
        <w:tc>
          <w:tcPr>
            <w:tcW w:w="1327" w:type="dxa"/>
          </w:tcPr>
          <w:p>
            <w:pPr>
              <w:spacing w:after="120" w:line="240" w:lineRule="auto"/>
              <w:rPr>
                <w:rFonts w:ascii="宋体"/>
                <w:b/>
                <w:color w:val="0000FF"/>
                <w:sz w:val="24"/>
                <w:highlight w:val="white"/>
              </w:rPr>
            </w:pPr>
            <w:bookmarkStart w:id="12" w:name="货物一览表_goodsName"/>
            <w:r>
              <w:rPr>
                <w:rFonts w:ascii="宋体" w:hint="eastAsia"/>
                <w:b/>
                <w:color w:val="0000FF"/>
                <w:sz w:val="24"/>
                <w:highlight w:val="white"/>
                <w:lang w:val="en-US" w:eastAsia="zh-CN"/>
              </w:rPr>
              <w:t>服务内容</w:t>
            </w:r>
            <w:bookmarkEnd w:id="12"/>
          </w:p>
        </w:tc>
        <w:tc>
          <w:tcPr>
            <w:tcW w:w="839" w:type="dxa"/>
          </w:tcPr>
          <w:p>
            <w:pPr>
              <w:spacing w:after="120" w:line="240" w:lineRule="auto"/>
              <w:rPr>
                <w:rFonts w:ascii="宋体"/>
                <w:b/>
                <w:color w:val="0000FF"/>
                <w:sz w:val="24"/>
                <w:highlight w:val="white"/>
              </w:rPr>
            </w:pPr>
            <w:bookmarkStart w:id="13" w:name="货物一览表_nums"/>
            <w:r>
              <w:rPr>
                <w:rFonts w:ascii="宋体"/>
                <w:b/>
                <w:color w:val="0000FF"/>
                <w:sz w:val="24"/>
                <w:highlight w:val="white"/>
              </w:rPr>
              <w:t>数量</w:t>
            </w:r>
            <w:bookmarkEnd w:id="13"/>
          </w:p>
        </w:tc>
        <w:tc>
          <w:tcPr>
            <w:tcW w:w="1847" w:type="dxa"/>
          </w:tcPr>
          <w:p>
            <w:pPr>
              <w:spacing w:after="120" w:line="240" w:lineRule="auto"/>
              <w:rPr>
                <w:rFonts w:ascii="宋体"/>
                <w:b/>
                <w:color w:val="0000FF"/>
                <w:sz w:val="24"/>
                <w:highlight w:val="white"/>
              </w:rPr>
            </w:pPr>
            <w:bookmarkStart w:id="14" w:name="货物一览表_deliveryDate"/>
            <w:r>
              <w:rPr>
                <w:rFonts w:ascii="宋体" w:hint="eastAsia"/>
                <w:b/>
                <w:color w:val="0000FF"/>
                <w:sz w:val="24"/>
                <w:highlight w:val="white"/>
                <w:lang w:val="en-US" w:eastAsia="zh-CN"/>
              </w:rPr>
              <w:t>服务完成时间</w:t>
            </w:r>
            <w:bookmarkEnd w:id="14"/>
          </w:p>
        </w:tc>
        <w:tc>
          <w:tcPr>
            <w:tcW w:w="1260" w:type="dxa"/>
          </w:tcPr>
          <w:p>
            <w:pPr>
              <w:spacing w:after="120" w:line="240" w:lineRule="auto"/>
              <w:rPr>
                <w:rFonts w:ascii="宋体"/>
                <w:b/>
                <w:color w:val="0000FF"/>
                <w:sz w:val="24"/>
                <w:highlight w:val="white"/>
              </w:rPr>
            </w:pPr>
            <w:bookmarkStart w:id="15"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5"/>
          </w:p>
        </w:tc>
        <w:tc>
          <w:tcPr>
            <w:tcW w:w="1366"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服务要求</w:t>
            </w:r>
            <w:bookmarkEnd w:id="16"/>
          </w:p>
        </w:tc>
      </w:tr>
      <w:tr>
        <w:tblPrEx>
          <w:tblW w:w="8519" w:type="dxa"/>
          <w:jc w:val="left"/>
          <w:tblInd w:w="0" w:type="dxa"/>
          <w:tblLayout w:type="fixed"/>
          <w:tblCellMar>
            <w:top w:w="0" w:type="dxa"/>
            <w:left w:w="108" w:type="dxa"/>
            <w:bottom w:w="0" w:type="dxa"/>
            <w:right w:w="108" w:type="dxa"/>
          </w:tblCellMar>
        </w:tblPrEx>
        <w:trPr>
          <w:jc w:val="left"/>
        </w:trPr>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海关门户网站优化服务</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签订合同后3个月内</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详见项目需求书</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7" w:name="公告_industryType"/>
      <w:r>
        <w:rPr>
          <w:rFonts w:ascii="宋体" w:hint="eastAsia"/>
          <w:b/>
          <w:bCs/>
          <w:color w:val="0000FF"/>
          <w:sz w:val="24"/>
          <w:highlight w:val="none"/>
        </w:rPr>
        <w:t>软件和信息技术服务业</w:t>
      </w:r>
      <w:bookmarkEnd w:id="17"/>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8"/>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9"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2、开标日通过“信用中国”网站、中国政府采购网查询，未被列入“失信被执行人、重大税收违法案件当事人名单、政府采购严重违法失信行为记录名单”的。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3、从采购机构在本公告中规定的渠道获取了招标文件，且在法律上和财务上独立于采购机构。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（1）本项目不接受联合体投标。</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（2）本项目不接受进口产品投标（进口产品是指通过中国海关报关，验放进入中国境内，且产自关境外的产品）。</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5、本项目专门面向中小微企业。</w:t>
      </w:r>
      <w:bookmarkEnd w:id="19"/>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b/>
          <w:color w:val="auto"/>
          <w:sz w:val="24"/>
          <w:highlight w:val="white"/>
        </w:rPr>
        <w:t>2024-07-09 00:00:00</w:t>
      </w:r>
      <w:bookmarkEnd w:id="20"/>
      <w:r>
        <w:rPr>
          <w:rFonts w:ascii="宋体" w:hint="eastAsia"/>
          <w:b/>
          <w:color w:val="auto"/>
          <w:sz w:val="24"/>
          <w:highlight w:val="white"/>
        </w:rPr>
        <w:t>至</w:t>
      </w:r>
      <w:bookmarkStart w:id="21" w:name="公告_signUpLastTime"/>
      <w:r>
        <w:rPr>
          <w:rFonts w:ascii="宋体" w:hint="eastAsia"/>
          <w:sz w:val="24"/>
        </w:rPr>
        <w:t>2024-07-16 23:59:59</w:t>
      </w:r>
      <w:bookmarkEnd w:id="21"/>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22" w:name="项目公告_bidLastTime_1"/>
      <w:r>
        <w:rPr>
          <w:rFonts w:ascii="宋体" w:hint="eastAsia"/>
          <w:color w:val="000000"/>
          <w:sz w:val="24"/>
        </w:rPr>
        <w:t>2024-07-22 08:30:00</w:t>
      </w:r>
      <w:bookmarkEnd w:id="22"/>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23"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地址：北京市东城区金宝街63号鑫海锦江大酒店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联系方式：010-65194838（平台技术支持）</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010-65194937（项目询问）</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24" w:name="_Hlt14560614"/>
      <w:bookmarkEnd w:id="23"/>
      <w:bookmarkEnd w:id="24"/>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25" w:name="公告_siteSurvey"/>
      <w:r>
        <w:rPr>
          <w:rFonts w:ascii="Wingdings 2" w:eastAsia="宋体" w:hAnsi="Wingdings 2" w:cs="Times New Roman"/>
          <w:b/>
          <w:color w:val="0000FF"/>
          <w:kern w:val="2"/>
          <w:sz w:val="24"/>
          <w:szCs w:val="24"/>
          <w:highlight w:val="white"/>
          <w:lang w:val="en-US" w:eastAsia="zh-CN" w:bidi="ar-SA"/>
        </w:rPr>
        <w:t>不适用</w:t>
      </w:r>
      <w:bookmarkEnd w:id="25"/>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本项目于</w:t>
      </w:r>
      <w:bookmarkStart w:id="26" w:name="任务单_publicDate"/>
      <w:r>
        <w:rPr>
          <w:rFonts w:ascii="宋体" w:hint="eastAsia"/>
          <w:b/>
          <w:color w:val="0000FF"/>
          <w:sz w:val="24"/>
          <w:highlight w:val="white"/>
        </w:rPr>
        <w:t>2024-03-19</w:t>
      </w:r>
      <w:bookmarkEnd w:id="26"/>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w:t>
      </w:r>
      <w:r>
        <w:rPr>
          <w:rFonts w:ascii="宋体"/>
          <w:sz w:val="24"/>
        </w:rPr>
        <w:t>2024</w:t>
      </w:r>
      <w:r>
        <w:rPr>
          <w:rFonts w:ascii="宋体" w:hint="eastAsia"/>
          <w:sz w:val="24"/>
        </w:rPr>
        <w:t>年</w:t>
      </w:r>
      <w:r>
        <w:rPr>
          <w:rFonts w:ascii="宋体"/>
          <w:sz w:val="24"/>
        </w:rPr>
        <w:t>7</w:t>
      </w:r>
      <w:r>
        <w:rPr>
          <w:rFonts w:ascii="宋体" w:hint="eastAsia"/>
          <w:sz w:val="24"/>
        </w:rPr>
        <w:t>月</w:t>
      </w:r>
      <w:r>
        <w:rPr>
          <w:rFonts w:ascii="宋体"/>
          <w:sz w:val="24"/>
        </w:rPr>
        <w:t>22</w:t>
      </w:r>
      <w:r>
        <w:rPr>
          <w:rFonts w:ascii="宋体" w:hint="eastAsia"/>
          <w:sz w:val="24"/>
        </w:rPr>
        <w:t>日</w:t>
      </w:r>
      <w:r>
        <w:rPr>
          <w:rFonts w:ascii="宋体"/>
          <w:sz w:val="24"/>
        </w:rPr>
        <w:t>9</w:t>
      </w:r>
      <w:r>
        <w:rPr>
          <w:rFonts w:ascii="宋体" w:hint="eastAsia"/>
          <w:sz w:val="24"/>
        </w:rPr>
        <w:t>点</w:t>
      </w:r>
      <w:r>
        <w:rPr>
          <w:rFonts w:ascii="宋体"/>
          <w:sz w:val="24"/>
        </w:rPr>
        <w:t>30</w:t>
      </w:r>
      <w:r>
        <w:rPr>
          <w:rFonts w:ascii="宋体" w:hint="eastAsia"/>
          <w:sz w:val="24"/>
        </w:rPr>
        <w:t>分前登陆腾讯会议（会议号：</w:t>
      </w:r>
      <w:r>
        <w:rPr>
          <w:rFonts w:ascii="宋体"/>
          <w:sz w:val="24"/>
        </w:rPr>
        <w:t>886377163</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7" w:name="_Toc31833529"/>
      <w:r>
        <w:rPr>
          <w:rFonts w:ascii="宋体" w:hint="eastAsia"/>
          <w:b/>
          <w:color w:val="000000"/>
          <w:kern w:val="0"/>
          <w:sz w:val="30"/>
          <w:szCs w:val="30"/>
        </w:rPr>
        <w:t>第二部分  供应商须知</w:t>
      </w:r>
      <w:bookmarkEnd w:id="27"/>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8" w:name="采购任务单_purchaserOrgName"/>
            <w:r>
              <w:rPr>
                <w:rFonts w:ascii="宋体" w:hint="eastAsia"/>
                <w:b/>
                <w:bCs/>
                <w:color w:val="0000FF"/>
                <w:sz w:val="24"/>
                <w:lang w:val="en-US" w:eastAsia="zh-CN"/>
              </w:rPr>
              <w:t>全国海关信息中心（全国海关电子通关中心）</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9" w:name="供应商须知_projectName_2"/>
            <w:r>
              <w:rPr>
                <w:rFonts w:ascii="宋体" w:hint="eastAsia"/>
                <w:b/>
                <w:bCs/>
                <w:color w:val="0000FF"/>
                <w:sz w:val="24"/>
              </w:rPr>
              <w:t>全国海关信息中心2024年度海关门户网站优化采购项目</w:t>
            </w:r>
            <w:bookmarkEnd w:id="29"/>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本项目预算金额合计总金额人民币1,460,000.00元，其中包1人民币1,460,000.00元。</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供应商须知_maxPrice"/>
            <w:r>
              <w:rPr>
                <w:rFonts w:ascii="宋体" w:cs="微软雅黑" w:hint="eastAsia"/>
                <w:color w:val="0000FF"/>
                <w:sz w:val="24"/>
                <w:highlight w:val="white"/>
                <w:lang w:bidi="ar-SA"/>
              </w:rPr>
              <w:t>1,460,000.00</w:t>
            </w:r>
            <w:bookmarkEnd w:id="31"/>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32" w:name="投标须知_agentBidding"/>
            <w:r>
              <w:rPr>
                <w:rFonts w:ascii="宋体" w:cs="微软雅黑" w:hint="eastAsia"/>
                <w:sz w:val="24"/>
                <w:lang w:bidi="ar-SA"/>
              </w:rPr>
              <w:t>否</w:t>
            </w:r>
            <w:bookmarkEnd w:id="3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r>
              <w:rPr>
                <w:rFonts w:ascii="宋体" w:cs="微软雅黑"/>
                <w:b/>
                <w:bCs/>
                <w:sz w:val="24"/>
                <w:lang w:bidi="ar-SA"/>
              </w:rPr>
              <w:t>（本项目不适用）</w:t>
            </w:r>
          </w:p>
          <w:p>
            <w:pPr>
              <w:tabs>
                <w:tab w:val="left" w:pos="588"/>
              </w:tabs>
              <w:autoSpaceDN w:val="0"/>
              <w:spacing w:line="360" w:lineRule="auto"/>
              <w:ind w:left="1"/>
              <w:rPr>
                <w:rFonts w:ascii="宋体" w:cs="微软雅黑"/>
                <w:b/>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4" w:name="采购任务单_purchaserOrgName_1"/>
      <w:r>
        <w:rPr>
          <w:rFonts w:ascii="宋体" w:hint="eastAsia"/>
          <w:color w:val="0000FF"/>
          <w:sz w:val="24"/>
          <w:lang w:val="en-US" w:eastAsia="zh-CN"/>
        </w:rPr>
        <w:t>全国海关信息中心（全国海关电子通关中心）</w:t>
      </w:r>
      <w:bookmarkEnd w:id="34"/>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35" w:name="商务资质证明文件"/>
      <w:r>
        <w:rPr>
          <w:rFonts w:ascii="宋体" w:hint="eastAsia"/>
          <w:color w:val="000000"/>
          <w:kern w:val="0"/>
          <w:sz w:val="24"/>
          <w:szCs w:val="21"/>
          <w:highlight w:val="white"/>
        </w:rPr>
        <w:t>★（1）《商务偏离表》，格式见第六部分（加盖投标人电子签章）。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★（2）本项目专门面向中小微企业、残疾人企业。供应商须提供《中小企业声明函》，格式见第六部分；残疾人福利性单位须提供《残疾人福利性单位声明函》，格式见第六部分（加盖投标人电子签章）。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（3）供应商提供2021年8月1日至本项目采购公告发布之日止（以合同签订日期为准）同类服务项目业绩相关材料。</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（4）证明投标人满足投标人资格标准的其他必要资格证明文件（如有）（加盖投标人电子签章）。</w:t>
      </w:r>
      <w:bookmarkEnd w:id="35"/>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6" w:name="服务应答文件"/>
      <w:r>
        <w:rPr>
          <w:rFonts w:ascii="宋体" w:hint="eastAsia"/>
          <w:color w:val="000000"/>
          <w:sz w:val="24"/>
          <w:szCs w:val="24"/>
        </w:rPr>
        <w:t>（1）供应商需提供需求理解及分析、总体设计方案、详细技术方案、集成方案、售后服务方案，具体要求见第四部分评审标准要求（加盖投标人电子签章）。</w:t>
      </w:r>
    </w:p>
    <w:p>
      <w:pPr>
        <w:pStyle w:val="1067"/>
        <w:widowControl/>
        <w:spacing w:line="360" w:lineRule="auto"/>
        <w:ind w:left="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供应商需提供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项目经理及技术人员简介，包括主要人员项目履历、相关领域职称或资质证书及相关领域工作经验情况，所有团队人员在供应商单位缴纳的距磋商之日六个月内任一个月的社保证明或劳务合同等证明材料，并承诺项目周期内实施人员的稳定性，需要充分说明驻场人员相关信息。具体要求见第四部分评审标准要求（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（3）投标人认为应该提供的其他证明材料（如有）（加盖投标人电子签章）。</w:t>
      </w:r>
      <w:bookmarkEnd w:id="36"/>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7" w:name="_Toc31833530"/>
      <w:r>
        <w:rPr>
          <w:rFonts w:ascii="宋体" w:hint="eastAsia"/>
          <w:b/>
          <w:bCs/>
          <w:color w:val="000000"/>
          <w:kern w:val="0"/>
          <w:sz w:val="30"/>
          <w:szCs w:val="30"/>
        </w:rPr>
        <w:t>第三部分 项目需求书</w:t>
      </w:r>
      <w:bookmarkEnd w:id="37"/>
    </w:p>
    <w:p>
      <w:pPr>
        <w:rPr>
          <w:rFonts w:ascii="宋体" w:eastAsia="宋体"/>
        </w:rPr>
      </w:pPr>
      <w:bookmarkStart w:id="38" w:name="插入_采购需求书"/>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4"/>
        <w:numPr>
          <w:ilvl w:val="0"/>
          <w:numId w:val="7"/>
        </w:numPr>
        <w:rPr>
          <w:rFonts w:ascii="宋体" w:eastAsia="宋体" w:hint="eastAsia"/>
          <w:lang w:val="en-US"/>
        </w:rPr>
      </w:pPr>
      <w:bookmarkStart w:id="39" w:name="采购政策落实"/>
      <w:r>
        <w:rPr>
          <w:rFonts w:ascii="宋体" w:eastAsia="宋体"/>
          <w:lang w:val="en-US"/>
        </w:rPr>
        <w:t>承诺项</w:t>
      </w:r>
    </w:p>
    <w:p>
      <w:pPr>
        <w:rPr>
          <w:rFonts w:ascii="宋体" w:eastAsia="宋体" w:cs="Times New Roman" w:hint="eastAsia"/>
          <w:kern w:val="2"/>
        </w:rPr>
      </w:pPr>
      <w:r>
        <w:rPr>
          <w:rFonts w:ascii="宋体" w:eastAsia="宋体" w:cs="宋体"/>
          <w:kern w:val="2"/>
          <w:lang w:bidi="ar-SA"/>
        </w:rPr>
        <w:t>1.</w:t>
      </w:r>
      <w:r>
        <w:rPr>
          <w:rFonts w:ascii="宋体" w:eastAsia="宋体" w:cs="宋体" w:hint="eastAsia"/>
          <w:kern w:val="2"/>
          <w:lang w:bidi="ar-SA"/>
        </w:rPr>
        <w:t>行业类型（必填项）：</w:t>
      </w:r>
      <w:r>
        <w:rPr>
          <w:rFonts w:cs="宋体" w:hint="eastAsia"/>
          <w:color w:val="auto"/>
          <w:sz w:val="24"/>
          <w:u w:val="single"/>
        </w:rPr>
        <w:t>软件和信息技术服务业</w:t>
      </w:r>
    </w:p>
    <w:p>
      <w:pPr>
        <w:rPr>
          <w:rFonts w:ascii="宋体" w:eastAsia="宋体" w:cs="Times New Roman" w:hint="eastAsia"/>
          <w:kern w:val="2"/>
        </w:rPr>
      </w:pPr>
      <w:r>
        <w:rPr>
          <w:rFonts w:ascii="宋体" w:eastAsia="宋体" w:cs="方正仿宋_GBK" w:hint="eastAsia"/>
          <w:kern w:val="2"/>
          <w:lang w:bidi="ar-SA"/>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hint="eastAsia"/>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 xml:space="preserve">本项目  </w:t>
      </w:r>
      <w:r>
        <w:rPr>
          <w:rFonts w:ascii="宋体" w:eastAsia="宋体" w:cs="方正仿宋_GBK" w:hint="eastAsia"/>
          <w:kern w:val="2"/>
          <w:lang w:eastAsia="zh-CN"/>
        </w:rPr>
        <w:t>☑</w:t>
      </w:r>
      <w:r>
        <w:rPr>
          <w:rFonts w:ascii="宋体" w:eastAsia="宋体" w:cs="方正仿宋_GBK"/>
          <w:kern w:val="2"/>
        </w:rPr>
        <w:t>是/</w:t>
      </w:r>
      <w:r>
        <w:rPr>
          <w:rFonts w:ascii="宋体" w:eastAsia="宋体" w:cs="方正仿宋_GBK" w:hint="eastAsia"/>
          <w:kern w:val="2"/>
          <w:lang w:eastAsia="zh-CN"/>
        </w:rPr>
        <w:t>□</w:t>
      </w:r>
      <w:r>
        <w:rPr>
          <w:rFonts w:ascii="宋体" w:eastAsia="宋体" w:cs="方正仿宋_GBK"/>
          <w:kern w:val="2"/>
        </w:rPr>
        <w:t>否  属于新建、改建或者采用购买服务方式的政务应用程序项目。如果否，请删除以下内容。如果是，请对应勾选以下内容：</w:t>
      </w:r>
    </w:p>
    <w:p>
      <w:pPr>
        <w:pStyle w:val="8312"/>
        <w:rPr>
          <w:rFonts w:ascii="宋体" w:eastAsia="宋体" w:cs="方正仿宋_GBK"/>
          <w:kern w:val="2"/>
        </w:rPr>
      </w:pPr>
      <w:r>
        <w:rPr>
          <w:rFonts w:ascii="宋体" w:eastAsia="宋体" w:cs="方正仿宋_GBK"/>
          <w:kern w:val="2"/>
        </w:rPr>
        <w:t>（1）是否纳入信息化项目审批范围。</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8411"/>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eastAsia="宋体" w:hAnsi="Wingdings 2" w:cs="方正仿宋_GBK"/>
          <w:kern w:val="2"/>
        </w:rPr>
        <w:sym w:font="Wingdings 2" w:char="F052"/>
      </w:r>
      <w:r>
        <w:rPr>
          <w:rFonts w:ascii="宋体" w:eastAsia="宋体" w:cs="方正仿宋_GBK"/>
          <w:kern w:val="2"/>
        </w:rPr>
        <w:t>不涉及</w:t>
      </w:r>
    </w:p>
    <w:p>
      <w:pPr>
        <w:pStyle w:val="8511"/>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eastAsia="宋体" w:hAnsi="Wingdings 2" w:cs="方正仿宋_GBK"/>
          <w:kern w:val="2"/>
        </w:rPr>
        <w:sym w:font="Wingdings 2" w:char="F052"/>
      </w:r>
      <w:r>
        <w:rPr>
          <w:rFonts w:ascii="宋体" w:eastAsia="宋体" w:cs="方正仿宋_GBK"/>
          <w:kern w:val="2"/>
        </w:rPr>
        <w:t>否</w:t>
      </w:r>
    </w:p>
    <w:p>
      <w:pPr>
        <w:pStyle w:val="8611"/>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876"/>
        <w:rPr>
          <w:rFonts w:ascii="宋体" w:eastAsia="宋体" w:cs="方正仿宋_GBK"/>
          <w:kern w:val="2"/>
        </w:rPr>
      </w:pPr>
      <w:r>
        <w:rPr>
          <w:rFonts w:ascii="宋体" w:eastAsia="宋体" w:cs="方正仿宋_GBK"/>
          <w:kern w:val="2"/>
        </w:rPr>
        <w:t>（5）是否能与相关政务应用程序项目进行协同。</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8811"/>
        <w:rPr>
          <w:rFonts w:ascii="宋体" w:eastAsia="宋体" w:cs="方正仿宋_GBK"/>
          <w:kern w:val="2"/>
        </w:rPr>
      </w:pPr>
      <w:r>
        <w:rPr>
          <w:rFonts w:ascii="宋体" w:eastAsia="宋体" w:cs="方正仿宋_GBK"/>
          <w:kern w:val="2"/>
        </w:rPr>
        <w:t>（6）是否满足数据管理和共享要求。</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Heading4"/>
        <w:numPr>
          <w:ilvl w:val="0"/>
          <w:numId w:val="7"/>
        </w:numPr>
        <w:rPr>
          <w:rFonts w:ascii="宋体" w:eastAsia="宋体" w:hint="eastAsia"/>
          <w:lang w:val="en-US"/>
        </w:rPr>
      </w:pPr>
      <w:r>
        <w:rPr>
          <w:rFonts w:ascii="宋体" w:eastAsia="宋体" w:hint="eastAsia"/>
          <w:lang w:val="en-US"/>
        </w:rPr>
        <w:t>采购政策落实</w:t>
      </w:r>
      <w:bookmarkEnd w:id="39"/>
    </w:p>
    <w:tbl>
      <w:tblPr>
        <w:tblW w:w="837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4986"/>
      </w:tblGrid>
      <w:tr>
        <w:tblPrEx>
          <w:tblW w:w="837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keepNext w:val="0"/>
              <w:keepLines w:val="0"/>
              <w:widowControl w:val="0"/>
              <w:suppressLineNumbers w:val="0"/>
              <w:spacing w:before="0" w:beforeAutospacing="0" w:after="0" w:afterAutospacing="0"/>
              <w:ind w:left="0" w:right="0"/>
              <w:jc w:val="center"/>
              <w:rPr>
                <w:rFonts w:ascii="宋体" w:cs="Calibri"/>
                <w:b/>
                <w:sz w:val="24"/>
              </w:rPr>
            </w:pPr>
            <w:bookmarkStart w:id="40" w:name="采购政策落实_index"/>
            <w:bookmarkStart w:id="41" w:name="商务需求"/>
            <w:bookmarkEnd w:id="40"/>
            <w:r>
              <w:rPr>
                <w:rFonts w:ascii="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keepNext w:val="0"/>
              <w:keepLines w:val="0"/>
              <w:widowControl w:val="0"/>
              <w:suppressLineNumbers w:val="0"/>
              <w:spacing w:before="0" w:beforeAutospacing="0" w:after="0" w:afterAutospacing="0"/>
              <w:ind w:left="0" w:right="0"/>
              <w:jc w:val="center"/>
              <w:rPr>
                <w:rFonts w:ascii="宋体" w:cs="Calibri"/>
                <w:b/>
                <w:sz w:val="24"/>
              </w:rPr>
            </w:pPr>
            <w:r>
              <w:rPr>
                <w:rFonts w:ascii="宋体" w:cs="Calibri" w:hint="eastAsia"/>
                <w:b/>
                <w:sz w:val="24"/>
                <w:szCs w:val="24"/>
              </w:rPr>
              <w:t>内容</w:t>
            </w:r>
          </w:p>
        </w:tc>
        <w:tc>
          <w:tcPr>
            <w:tcW w:w="4986"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keepNext w:val="0"/>
              <w:keepLines w:val="0"/>
              <w:widowControl w:val="0"/>
              <w:suppressLineNumbers w:val="0"/>
              <w:spacing w:before="0" w:beforeAutospacing="0" w:after="0" w:afterAutospacing="0"/>
              <w:ind w:left="0" w:right="0"/>
              <w:jc w:val="center"/>
              <w:rPr>
                <w:rFonts w:ascii="宋体" w:cs="Calibri"/>
                <w:b/>
                <w:sz w:val="24"/>
              </w:rPr>
            </w:pPr>
            <w:r>
              <w:rPr>
                <w:rFonts w:ascii="宋体" w:cs="Calibri" w:hint="eastAsia"/>
                <w:b/>
                <w:sz w:val="24"/>
                <w:szCs w:val="24"/>
              </w:rPr>
              <w:t>说明</w:t>
            </w:r>
          </w:p>
        </w:tc>
      </w:tr>
      <w:tr>
        <w:tblPrEx>
          <w:tblW w:w="8375"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0"/>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0"/>
              <w:keepNext w:val="0"/>
              <w:keepLines w:val="0"/>
              <w:widowControl w:val="0"/>
              <w:suppressLineNumbers w:val="0"/>
              <w:spacing w:before="0" w:beforeAutospacing="0" w:after="0" w:afterAutospacing="0"/>
              <w:ind w:left="0" w:right="0"/>
              <w:rPr>
                <w:rFonts w:ascii="宋体"/>
                <w:sz w:val="24"/>
              </w:rPr>
            </w:pPr>
            <w:r>
              <w:rPr>
                <w:rFonts w:ascii="宋体" w:hint="eastAsia"/>
                <w:sz w:val="24"/>
                <w:szCs w:val="24"/>
              </w:rPr>
              <w:t>是否面向中小微企业</w:t>
            </w:r>
          </w:p>
        </w:tc>
        <w:tc>
          <w:tcPr>
            <w:tcW w:w="4986" w:type="dxa"/>
            <w:tcBorders>
              <w:top w:val="single" w:sz="4" w:space="0" w:color="auto"/>
              <w:left w:val="single" w:sz="4" w:space="0" w:color="auto"/>
              <w:bottom w:val="single" w:sz="4" w:space="0" w:color="auto"/>
              <w:right w:val="single" w:sz="4" w:space="0" w:color="auto"/>
            </w:tcBorders>
            <w:vAlign w:val="center"/>
          </w:tcPr>
          <w:p>
            <w:pPr>
              <w:pStyle w:val="910"/>
              <w:keepNext w:val="0"/>
              <w:keepLines w:val="0"/>
              <w:widowControl w:val="0"/>
              <w:suppressLineNumbers w:val="0"/>
              <w:spacing w:before="0" w:beforeAutospacing="0" w:after="0" w:afterAutospacing="0"/>
              <w:ind w:left="0" w:right="0"/>
              <w:jc w:val="left"/>
              <w:rPr>
                <w:rFonts w:ascii="宋体"/>
                <w:sz w:val="24"/>
              </w:rPr>
            </w:pPr>
            <w:r>
              <w:rPr>
                <w:rFonts w:ascii="宋体" w:hint="eastAsia"/>
                <w:sz w:val="24"/>
                <w:szCs w:val="24"/>
              </w:rPr>
              <w:t>是，提供《中小企业声明函》并加盖单位公章</w:t>
            </w:r>
          </w:p>
        </w:tc>
      </w:tr>
      <w:tr>
        <w:tblPrEx>
          <w:tblW w:w="837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keepNext w:val="0"/>
              <w:keepLines w:val="0"/>
              <w:widowControl w:val="0"/>
              <w:suppressLineNumbers w:val="0"/>
              <w:spacing w:before="0" w:beforeAutospacing="0" w:after="0" w:afterAutospacing="0"/>
              <w:ind w:left="0" w:right="0"/>
              <w:rPr>
                <w:rFonts w:ascii="宋体" w:cs="Calibri"/>
                <w:b/>
                <w:sz w:val="24"/>
              </w:rPr>
            </w:pPr>
            <w:r>
              <w:rPr>
                <w:rFonts w:ascii="宋体" w:hint="eastAsia"/>
                <w:sz w:val="24"/>
                <w:szCs w:val="24"/>
              </w:rPr>
              <w:t>是否允许进口产品</w:t>
            </w:r>
          </w:p>
        </w:tc>
        <w:tc>
          <w:tcPr>
            <w:tcW w:w="4986" w:type="dxa"/>
            <w:tcBorders>
              <w:top w:val="single" w:sz="4" w:space="0" w:color="auto"/>
              <w:left w:val="single" w:sz="4" w:space="0" w:color="auto"/>
              <w:bottom w:val="single" w:sz="4" w:space="0" w:color="auto"/>
              <w:right w:val="single" w:sz="4" w:space="0" w:color="auto"/>
            </w:tcBorders>
            <w:vAlign w:val="center"/>
          </w:tcPr>
          <w:p>
            <w:pPr>
              <w:pStyle w:val="6102"/>
              <w:keepNext w:val="0"/>
              <w:keepLines w:val="0"/>
              <w:widowControl w:val="0"/>
              <w:suppressLineNumbers w:val="0"/>
              <w:spacing w:before="0" w:beforeAutospacing="0" w:after="0" w:afterAutospacing="0"/>
              <w:ind w:left="0" w:right="0"/>
              <w:rPr>
                <w:rFonts w:ascii="宋体" w:cs="Calibri"/>
                <w:b/>
                <w:i/>
                <w:iCs/>
                <w:sz w:val="24"/>
              </w:rPr>
            </w:pPr>
            <w:r>
              <w:rPr>
                <w:rFonts w:ascii="宋体" w:hint="eastAsia"/>
                <w:sz w:val="24"/>
                <w:szCs w:val="24"/>
              </w:rPr>
              <w:t>否</w:t>
            </w:r>
          </w:p>
        </w:tc>
      </w:tr>
      <w:tr>
        <w:tblPrEx>
          <w:tblW w:w="837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
              <w:keepNext w:val="0"/>
              <w:keepLines w:val="0"/>
              <w:widowControl w:val="0"/>
              <w:suppressLineNumbers w:val="0"/>
              <w:spacing w:before="0" w:beforeAutospacing="0" w:after="0" w:afterAutospacing="0"/>
              <w:ind w:left="0" w:right="0"/>
              <w:rPr>
                <w:rFonts w:ascii="宋体" w:cs="Calibri"/>
                <w:b/>
                <w:sz w:val="24"/>
              </w:rPr>
            </w:pPr>
            <w:r>
              <w:rPr>
                <w:rFonts w:ascii="宋体" w:hint="eastAsia"/>
                <w:sz w:val="24"/>
                <w:szCs w:val="24"/>
              </w:rPr>
              <w:t>是否需要节能产品</w:t>
            </w:r>
          </w:p>
        </w:tc>
        <w:tc>
          <w:tcPr>
            <w:tcW w:w="4986" w:type="dxa"/>
            <w:tcBorders>
              <w:top w:val="single" w:sz="4" w:space="0" w:color="auto"/>
              <w:left w:val="single" w:sz="4" w:space="0" w:color="auto"/>
              <w:bottom w:val="single" w:sz="4" w:space="0" w:color="auto"/>
              <w:right w:val="single" w:sz="4" w:space="0" w:color="auto"/>
            </w:tcBorders>
            <w:vAlign w:val="center"/>
          </w:tcPr>
          <w:p>
            <w:pPr>
              <w:pStyle w:val="3100"/>
              <w:keepNext w:val="0"/>
              <w:keepLines w:val="0"/>
              <w:widowControl w:val="0"/>
              <w:suppressLineNumbers w:val="0"/>
              <w:spacing w:before="0" w:beforeAutospacing="0" w:after="0" w:afterAutospacing="0"/>
              <w:ind w:left="0" w:right="0"/>
              <w:rPr>
                <w:rFonts w:ascii="宋体" w:hAnsi="宋体" w:cs="Calibri"/>
                <w:b/>
                <w:i/>
                <w:iCs/>
                <w:sz w:val="24"/>
              </w:rPr>
            </w:pPr>
            <w:r>
              <w:rPr>
                <w:rFonts w:ascii="宋体" w:hAnsi="宋体" w:hint="eastAsia"/>
                <w:sz w:val="24"/>
                <w:szCs w:val="24"/>
              </w:rPr>
              <w:t>否</w:t>
            </w:r>
          </w:p>
        </w:tc>
      </w:tr>
      <w:tr>
        <w:tblPrEx>
          <w:tblW w:w="837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2"/>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keepNext w:val="0"/>
              <w:keepLines w:val="0"/>
              <w:widowControl w:val="0"/>
              <w:suppressLineNumbers w:val="0"/>
              <w:spacing w:before="0" w:beforeAutospacing="0" w:after="0" w:afterAutospacing="0"/>
              <w:ind w:left="0" w:right="0"/>
              <w:rPr>
                <w:rFonts w:ascii="宋体"/>
                <w:sz w:val="24"/>
              </w:rPr>
            </w:pPr>
            <w:r>
              <w:rPr>
                <w:rFonts w:ascii="宋体" w:hint="eastAsia"/>
                <w:sz w:val="24"/>
                <w:szCs w:val="24"/>
              </w:rPr>
              <w:t>是否需要环保标志产品</w:t>
            </w:r>
          </w:p>
        </w:tc>
        <w:tc>
          <w:tcPr>
            <w:tcW w:w="4986" w:type="dxa"/>
            <w:tcBorders>
              <w:top w:val="single" w:sz="4" w:space="0" w:color="auto"/>
              <w:left w:val="single" w:sz="4" w:space="0" w:color="auto"/>
              <w:bottom w:val="single" w:sz="4" w:space="0" w:color="auto"/>
              <w:right w:val="single" w:sz="4" w:space="0" w:color="auto"/>
            </w:tcBorders>
            <w:vAlign w:val="center"/>
          </w:tcPr>
          <w:p>
            <w:pPr>
              <w:pStyle w:val="205310"/>
              <w:keepNext w:val="0"/>
              <w:keepLines w:val="0"/>
              <w:widowControl w:val="0"/>
              <w:suppressLineNumbers w:val="0"/>
              <w:spacing w:before="0" w:beforeAutospacing="0" w:after="0" w:afterAutospacing="0"/>
              <w:ind w:left="0" w:right="0"/>
              <w:rPr>
                <w:rFonts w:ascii="宋体"/>
                <w:i/>
                <w:iCs/>
                <w:sz w:val="24"/>
              </w:rPr>
            </w:pPr>
            <w:r>
              <w:rPr>
                <w:rFonts w:ascii="宋体" w:hint="eastAsia"/>
                <w:sz w:val="24"/>
                <w:szCs w:val="24"/>
              </w:rPr>
              <w:t>否</w:t>
            </w:r>
          </w:p>
        </w:tc>
      </w:tr>
      <w:tr>
        <w:tblPrEx>
          <w:tblW w:w="837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12"/>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keepNext w:val="0"/>
              <w:keepLines w:val="0"/>
              <w:widowControl w:val="0"/>
              <w:suppressLineNumbers w:val="0"/>
              <w:spacing w:before="0" w:beforeAutospacing="0" w:after="0" w:afterAutospacing="0"/>
              <w:ind w:left="0" w:right="0"/>
              <w:rPr>
                <w:rFonts w:ascii="宋体"/>
                <w:sz w:val="24"/>
              </w:rPr>
            </w:pPr>
            <w:r>
              <w:rPr>
                <w:rFonts w:ascii="宋体" w:hint="eastAsia"/>
                <w:sz w:val="24"/>
                <w:szCs w:val="24"/>
              </w:rPr>
              <w:t>是否面向监狱企业</w:t>
            </w:r>
          </w:p>
        </w:tc>
        <w:tc>
          <w:tcPr>
            <w:tcW w:w="4986" w:type="dxa"/>
            <w:tcBorders>
              <w:top w:val="single" w:sz="4" w:space="0" w:color="auto"/>
              <w:left w:val="single" w:sz="4" w:space="0" w:color="auto"/>
              <w:bottom w:val="single" w:sz="4" w:space="0" w:color="auto"/>
              <w:right w:val="single" w:sz="4" w:space="0" w:color="auto"/>
            </w:tcBorders>
            <w:vAlign w:val="center"/>
          </w:tcPr>
          <w:p>
            <w:pPr>
              <w:pStyle w:val="205510"/>
              <w:keepNext w:val="0"/>
              <w:keepLines w:val="0"/>
              <w:widowControl w:val="0"/>
              <w:suppressLineNumbers w:val="0"/>
              <w:spacing w:before="0" w:beforeAutospacing="0" w:after="0" w:afterAutospacing="0"/>
              <w:ind w:left="0" w:right="0"/>
              <w:rPr>
                <w:rFonts w:ascii="宋体"/>
                <w:i/>
                <w:iCs/>
                <w:sz w:val="24"/>
              </w:rPr>
            </w:pPr>
            <w:r>
              <w:rPr>
                <w:rFonts w:ascii="宋体" w:hint="eastAsia"/>
                <w:sz w:val="24"/>
                <w:szCs w:val="24"/>
              </w:rPr>
              <w:t>是，提供证明资料，并加盖单位公章</w:t>
            </w:r>
          </w:p>
        </w:tc>
      </w:tr>
      <w:tr>
        <w:tblPrEx>
          <w:tblW w:w="837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0"/>
              <w:keepNext w:val="0"/>
              <w:keepLines w:val="0"/>
              <w:widowControl w:val="0"/>
              <w:suppressLineNumbers w:val="0"/>
              <w:spacing w:before="0" w:beforeAutospacing="0" w:after="0" w:afterAutospacing="0"/>
              <w:ind w:left="0" w:right="0"/>
              <w:jc w:val="center"/>
              <w:rPr>
                <w:rFonts w:ascii="宋体" w:cs="Calibri"/>
                <w:sz w:val="24"/>
              </w:rPr>
            </w:pPr>
            <w:r>
              <w:rPr>
                <w:rFonts w:ascii="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keepNext w:val="0"/>
              <w:keepLines w:val="0"/>
              <w:widowControl w:val="0"/>
              <w:suppressLineNumbers w:val="0"/>
              <w:spacing w:before="0" w:beforeAutospacing="0" w:after="0" w:afterAutospacing="0"/>
              <w:ind w:left="0" w:right="0"/>
              <w:jc w:val="left"/>
              <w:rPr>
                <w:rFonts w:ascii="宋体"/>
                <w:sz w:val="24"/>
              </w:rPr>
            </w:pPr>
            <w:r>
              <w:rPr>
                <w:rFonts w:ascii="宋体" w:hint="eastAsia"/>
                <w:sz w:val="24"/>
                <w:szCs w:val="24"/>
              </w:rPr>
              <w:t>是否面向残疾人福利性单位</w:t>
            </w:r>
          </w:p>
        </w:tc>
        <w:tc>
          <w:tcPr>
            <w:tcW w:w="4986" w:type="dxa"/>
            <w:tcBorders>
              <w:top w:val="single" w:sz="4" w:space="0" w:color="auto"/>
              <w:left w:val="single" w:sz="4" w:space="0" w:color="auto"/>
              <w:bottom w:val="single" w:sz="4" w:space="0" w:color="auto"/>
              <w:right w:val="single" w:sz="4" w:space="0" w:color="auto"/>
            </w:tcBorders>
            <w:vAlign w:val="center"/>
          </w:tcPr>
          <w:p>
            <w:pPr>
              <w:pStyle w:val="205710"/>
              <w:keepNext w:val="0"/>
              <w:keepLines w:val="0"/>
              <w:widowControl w:val="0"/>
              <w:suppressLineNumbers w:val="0"/>
              <w:spacing w:before="0" w:beforeAutospacing="0" w:after="0" w:afterAutospacing="0"/>
              <w:ind w:left="0" w:right="0"/>
              <w:rPr>
                <w:rFonts w:ascii="宋体"/>
                <w:sz w:val="24"/>
              </w:rPr>
            </w:pPr>
            <w:r>
              <w:rPr>
                <w:rFonts w:ascii="宋体" w:hint="eastAsia"/>
                <w:sz w:val="24"/>
                <w:szCs w:val="24"/>
              </w:rPr>
              <w:t>是，提供《残疾人福利性单位声明函》并加盖单位公章</w:t>
            </w:r>
          </w:p>
        </w:tc>
      </w:tr>
    </w:tbl>
    <w:p>
      <w:pPr>
        <w:rPr>
          <w:rFonts w:ascii="宋体" w:eastAsia="宋体" w:hint="eastAsia"/>
          <w:color w:val="000000"/>
        </w:rPr>
      </w:pPr>
      <w:r>
        <w:rPr>
          <w:rFonts w:ascii="宋体" w:eastAsia="宋体" w:hint="eastAsia"/>
          <w:color w:val="000000"/>
        </w:rPr>
        <w:t>注：</w:t>
      </w:r>
      <w:r>
        <w:rPr>
          <w:rFonts w:ascii="宋体" w:cs="宋体" w:hint="eastAsia"/>
          <w:color w:val="000000"/>
          <w:sz w:val="24"/>
        </w:rPr>
        <w:t>本项目专门面向</w:t>
      </w:r>
      <w:r>
        <w:rPr>
          <w:rFonts w:ascii="宋体" w:hint="eastAsia"/>
          <w:sz w:val="24"/>
          <w:szCs w:val="24"/>
        </w:rPr>
        <w:t>中小微企业</w:t>
      </w:r>
      <w:r>
        <w:rPr>
          <w:rFonts w:ascii="宋体" w:cs="宋体" w:hint="eastAsia"/>
          <w:color w:val="000000"/>
          <w:sz w:val="24"/>
        </w:rPr>
        <w:t>。</w:t>
      </w:r>
    </w:p>
    <w:p>
      <w:pPr>
        <w:pStyle w:val="Heading4"/>
        <w:numPr>
          <w:ilvl w:val="0"/>
          <w:numId w:val="7"/>
        </w:numPr>
        <w:jc w:val="both"/>
        <w:rPr>
          <w:rFonts w:ascii="宋体" w:eastAsia="宋体" w:hint="eastAsia"/>
          <w:lang w:val="en-US"/>
        </w:rPr>
      </w:pPr>
      <w:r>
        <w:rPr>
          <w:rFonts w:ascii="宋体" w:eastAsia="宋体" w:hint="eastAsia"/>
          <w:lang w:val="en-US"/>
        </w:rPr>
        <w:t>商务需求</w:t>
      </w:r>
      <w:bookmarkEnd w:id="41"/>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序号</w:t>
            </w:r>
          </w:p>
        </w:tc>
        <w:tc>
          <w:tcPr>
            <w:tcW w:w="1830" w:type="dxa"/>
            <w:shd w:val="clear" w:color="A6A6A6" w:fill="A6A6A6"/>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内容</w:t>
            </w:r>
          </w:p>
        </w:tc>
        <w:tc>
          <w:tcPr>
            <w:tcW w:w="2973" w:type="dxa"/>
            <w:shd w:val="clear" w:color="A6A6A6" w:fill="A6A6A6"/>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b/>
              </w:rPr>
            </w:pPr>
            <w:bookmarkStart w:id="42" w:name="商务需求_Title_说明_Required_Table"/>
            <w:r>
              <w:rPr>
                <w:rFonts w:ascii="宋体" w:eastAsia="宋体" w:cs="Calibri" w:hint="eastAsia"/>
                <w:b/>
                <w:sz w:val="24"/>
                <w:szCs w:val="24"/>
              </w:rPr>
              <w:t>说明</w:t>
            </w:r>
            <w:bookmarkEnd w:id="42"/>
          </w:p>
        </w:tc>
        <w:tc>
          <w:tcPr>
            <w:tcW w:w="3281" w:type="dxa"/>
            <w:shd w:val="clear" w:color="A6A6A6" w:fill="A6A6A6"/>
            <w:vAlign w:val="center"/>
          </w:tcPr>
          <w:p>
            <w:pPr>
              <w:keepNext w:val="0"/>
              <w:keepLines w:val="0"/>
              <w:widowControl w:val="0"/>
              <w:suppressLineNumbers w:val="0"/>
              <w:spacing w:before="0" w:beforeAutospacing="0" w:after="0" w:afterAutospacing="0"/>
              <w:ind w:left="0" w:right="0"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1</w:t>
            </w:r>
          </w:p>
        </w:tc>
        <w:tc>
          <w:tcPr>
            <w:tcW w:w="18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bCs w:val="0"/>
              </w:rPr>
            </w:pPr>
            <w:r>
              <w:rPr>
                <w:rFonts w:ascii="宋体" w:eastAsia="宋体" w:cs="宋体" w:hint="eastAsia"/>
                <w:b/>
                <w:bCs w:val="0"/>
                <w:sz w:val="24"/>
                <w:szCs w:val="24"/>
              </w:rPr>
              <w:t>投标人资质</w:t>
            </w:r>
          </w:p>
        </w:tc>
        <w:tc>
          <w:tcPr>
            <w:tcW w:w="2973" w:type="dxa"/>
            <w:vAlign w:val="center"/>
          </w:tcPr>
          <w:p>
            <w:pPr>
              <w:pStyle w:val="1214"/>
              <w:ind w:firstLine="0" w:firstLineChars="0"/>
              <w:rPr>
                <w:rFonts w:ascii="宋体" w:cs="宋体" w:hint="eastAsia"/>
                <w:bCs/>
                <w:color w:val="000000"/>
                <w:kern w:val="0"/>
                <w:lang w:bidi="en-US"/>
              </w:rPr>
            </w:pPr>
            <w:bookmarkStart w:id="43" w:name="_Toc3148"/>
            <w:r>
              <w:rPr>
                <w:rFonts w:ascii="宋体" w:cs="宋体" w:hint="eastAsia"/>
                <w:bCs/>
                <w:color w:val="000000"/>
                <w:kern w:val="0"/>
                <w:lang w:bidi="en-US"/>
              </w:rPr>
              <w:t>1.具有质量管理体系认证证书</w:t>
            </w:r>
            <w:bookmarkEnd w:id="43"/>
            <w:r>
              <w:rPr>
                <w:rFonts w:ascii="宋体" w:cs="宋体" w:hint="eastAsia"/>
                <w:bCs/>
                <w:color w:val="000000"/>
                <w:kern w:val="0"/>
                <w:lang w:bidi="en-US"/>
              </w:rPr>
              <w:t>（ISO9001）</w:t>
            </w:r>
          </w:p>
          <w:p>
            <w:pPr>
              <w:pStyle w:val="1214"/>
              <w:ind w:firstLine="0" w:firstLineChars="0"/>
              <w:rPr>
                <w:rFonts w:hint="eastAsia"/>
              </w:rPr>
            </w:pPr>
            <w:r>
              <w:rPr>
                <w:rFonts w:ascii="宋体" w:hint="eastAsia"/>
                <w:color w:val="000000"/>
                <w:kern w:val="0"/>
                <w:lang w:val="en-US" w:eastAsia="zh-CN" w:bidi="en-US"/>
              </w:rPr>
              <w:t>2</w:t>
            </w:r>
            <w:r>
              <w:rPr>
                <w:rFonts w:ascii="宋体"/>
                <w:color w:val="000000"/>
                <w:kern w:val="0"/>
                <w:lang w:val="en-US" w:eastAsia="zh-CN" w:bidi="en-US"/>
              </w:rPr>
              <w:t>.具有</w:t>
            </w:r>
            <w:r>
              <w:rPr>
                <w:rFonts w:ascii="宋体" w:hint="eastAsia"/>
                <w:color w:val="000000"/>
                <w:kern w:val="0"/>
                <w:lang w:val="en-US" w:eastAsia="zh-CN" w:bidi="en-US"/>
              </w:rPr>
              <w:t>信息安全管理体系认证证书</w:t>
            </w:r>
            <w:r>
              <w:rPr>
                <w:rFonts w:ascii="宋体"/>
                <w:color w:val="000000"/>
                <w:kern w:val="0"/>
                <w:lang w:val="en-US" w:eastAsia="zh-CN" w:bidi="en-US"/>
              </w:rPr>
              <w:t>（</w:t>
            </w:r>
            <w:r>
              <w:rPr>
                <w:rFonts w:ascii="宋体" w:hint="eastAsia"/>
                <w:color w:val="000000"/>
                <w:kern w:val="0"/>
                <w:lang w:val="en-US" w:eastAsia="zh-CN" w:bidi="en-US"/>
              </w:rPr>
              <w:t>ISO27001</w:t>
            </w:r>
            <w:r>
              <w:rPr>
                <w:rFonts w:ascii="宋体"/>
                <w:color w:val="000000"/>
                <w:kern w:val="0"/>
                <w:lang w:val="en-US" w:eastAsia="zh-CN" w:bidi="en-US"/>
              </w:rPr>
              <w:t>）</w:t>
            </w:r>
          </w:p>
        </w:tc>
        <w:tc>
          <w:tcPr>
            <w:tcW w:w="3281" w:type="dxa"/>
            <w:vAlign w:val="center"/>
          </w:tcPr>
          <w:p>
            <w:pPr>
              <w:ind w:left="0" w:firstLine="0"/>
            </w:pPr>
            <w:r>
              <w:rPr>
                <w:rFonts w:ascii="宋体" w:eastAsia="宋体"/>
                <w:i w:val="0"/>
                <w:iCs w:val="0"/>
                <w:color w:val="000000"/>
                <w:lang w:bidi="en-US"/>
              </w:rPr>
              <w:t>是，提供相关资质证书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2</w:t>
            </w:r>
          </w:p>
        </w:tc>
        <w:tc>
          <w:tcPr>
            <w:tcW w:w="18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bCs w:val="0"/>
              </w:rPr>
            </w:pPr>
            <w:r>
              <w:rPr>
                <w:rFonts w:ascii="宋体" w:eastAsia="宋体" w:cs="宋体" w:hint="eastAsia"/>
                <w:b/>
                <w:bCs w:val="0"/>
                <w:sz w:val="24"/>
                <w:szCs w:val="24"/>
              </w:rPr>
              <w:t>投标产品资质</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lang w:bidi="en-US"/>
              </w:rPr>
            </w:pPr>
            <w:r>
              <w:rPr>
                <w:rFonts w:ascii="宋体" w:eastAsia="宋体" w:cs="宋体" w:hint="eastAsia"/>
                <w:b w:val="0"/>
                <w:bCs/>
                <w:sz w:val="24"/>
                <w:szCs w:val="24"/>
                <w:lang w:val="en-US" w:eastAsia="zh-CN" w:bidi="en-US"/>
              </w:rPr>
              <w:t>无</w:t>
            </w:r>
          </w:p>
        </w:tc>
        <w:tc>
          <w:tcPr>
            <w:tcW w:w="3281"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val="0"/>
                <w:bCs/>
                <w:i/>
                <w:iCs/>
                <w:lang w:bidi="en-US"/>
              </w:rPr>
            </w:pPr>
            <w:r>
              <w:rPr>
                <w:rFonts w:ascii="宋体" w:eastAsia="宋体"/>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3</w:t>
            </w:r>
          </w:p>
        </w:tc>
        <w:tc>
          <w:tcPr>
            <w:tcW w:w="18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bCs w:val="0"/>
              </w:rPr>
            </w:pPr>
            <w:r>
              <w:rPr>
                <w:rFonts w:ascii="宋体" w:eastAsia="宋体" w:cs="宋体" w:hint="eastAsia"/>
                <w:b/>
                <w:bCs w:val="0"/>
                <w:sz w:val="24"/>
                <w:szCs w:val="24"/>
                <w:lang w:val="en-US"/>
              </w:rPr>
              <w:t>核心产品</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lang w:bidi="en-US"/>
              </w:rPr>
            </w:pPr>
            <w:r>
              <w:rPr>
                <w:rFonts w:ascii="宋体" w:eastAsia="宋体" w:cs="宋体" w:hint="eastAsia"/>
                <w:b w:val="0"/>
                <w:bCs/>
                <w:sz w:val="24"/>
                <w:szCs w:val="24"/>
                <w:lang w:val="en-US" w:eastAsia="zh-CN" w:bidi="en-US"/>
              </w:rPr>
              <w:t>无</w:t>
            </w:r>
          </w:p>
        </w:tc>
        <w:tc>
          <w:tcPr>
            <w:tcW w:w="3281"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val="0"/>
                <w:bCs/>
                <w:i/>
                <w:iCs/>
                <w:lang w:bidi="en-US"/>
              </w:rPr>
            </w:pPr>
            <w:r>
              <w:rPr>
                <w:rFonts w:ascii="宋体" w:eastAsia="宋体"/>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4</w:t>
            </w:r>
          </w:p>
        </w:tc>
        <w:tc>
          <w:tcPr>
            <w:tcW w:w="18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bCs w:val="0"/>
              </w:rPr>
            </w:pPr>
            <w:r>
              <w:rPr>
                <w:rFonts w:ascii="宋体" w:eastAsia="宋体" w:cs="宋体" w:hint="eastAsia"/>
                <w:b/>
                <w:bCs w:val="0"/>
                <w:sz w:val="24"/>
                <w:szCs w:val="24"/>
              </w:rPr>
              <w:t>信息安全要求</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lang w:bidi="en-US"/>
              </w:rPr>
            </w:pPr>
            <w:r>
              <w:rPr>
                <w:rFonts w:ascii="宋体" w:eastAsia="宋体" w:hint="eastAsia"/>
              </w:rPr>
              <w:t>★</w:t>
            </w:r>
            <w:r>
              <w:rPr>
                <w:rFonts w:ascii="宋体" w:eastAsia="宋体" w:hint="eastAsia"/>
                <w:lang w:bidi="en-US"/>
              </w:rPr>
              <w:t>信息系统安全保护等级为</w:t>
            </w:r>
            <w:r>
              <w:rPr>
                <w:rFonts w:ascii="宋体" w:eastAsia="宋体"/>
                <w:lang w:bidi="en-US"/>
              </w:rPr>
              <w:t>三</w:t>
            </w:r>
            <w:r>
              <w:rPr>
                <w:rFonts w:ascii="宋体" w:eastAsia="宋体" w:hint="eastAsia"/>
                <w:lang w:bidi="en-US"/>
              </w:rPr>
              <w:t>级。</w:t>
            </w:r>
            <w:r>
              <w:rPr>
                <w:rFonts w:ascii="宋体" w:eastAsia="宋体"/>
                <w:lang w:bidi="en-US"/>
              </w:rPr>
              <w:t>后续提供服务需符合信息系统安全保护等级三级相关要求</w:t>
            </w:r>
            <w:r>
              <w:rPr>
                <w:rFonts w:ascii="宋体" w:eastAsia="宋体" w:hint="eastAsia"/>
                <w:lang w:bidi="en-US"/>
              </w:rPr>
              <w:t>。</w:t>
            </w:r>
          </w:p>
        </w:tc>
        <w:tc>
          <w:tcPr>
            <w:tcW w:w="3281" w:type="dxa"/>
            <w:vAlign w:val="center"/>
          </w:tcPr>
          <w:p>
            <w:pPr>
              <w:pStyle w:val="1350"/>
              <w:ind w:firstLine="0"/>
              <w:rPr>
                <w:rFonts w:ascii="宋体" w:eastAsia="宋体" w:cs="宋体"/>
                <w:color w:val="000000"/>
                <w:lang w:bidi="en-US"/>
              </w:rPr>
            </w:pPr>
            <w:r>
              <w:rPr>
                <w:rFonts w:ascii="宋体" w:eastAsia="宋体"/>
                <w:lang w:bidi="en-US"/>
              </w:rPr>
              <w:t>是，</w:t>
            </w:r>
            <w:r>
              <w:rPr>
                <w:rFonts w:ascii="宋体" w:eastAsia="宋体" w:cs="宋体" w:hint="eastAsia"/>
                <w:color w:val="000000"/>
                <w:lang w:bidi="en-US"/>
              </w:rPr>
              <w:t>投标人须提供安全承诺书（承诺内容包括系统不存在后门，如发现漏洞及时修复，项目人员不得向外泄露海关相关信息等内容）</w:t>
            </w:r>
            <w:r>
              <w:rPr>
                <w:rFonts w:ascii="宋体" w:eastAsia="宋体" w:cs="宋体"/>
                <w:color w:val="000000"/>
                <w:lang w:bidi="en-US"/>
              </w:rPr>
              <w:t>。</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5</w:t>
            </w:r>
          </w:p>
        </w:tc>
        <w:tc>
          <w:tcPr>
            <w:tcW w:w="18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bCs w:val="0"/>
              </w:rPr>
            </w:pPr>
            <w:r>
              <w:rPr>
                <w:rFonts w:ascii="宋体" w:eastAsia="宋体" w:cs="宋体" w:hint="eastAsia"/>
                <w:b/>
                <w:bCs w:val="0"/>
                <w:sz w:val="24"/>
                <w:szCs w:val="24"/>
              </w:rPr>
              <w:t>是否需要现场考察</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lang w:bidi="en-US"/>
              </w:rPr>
            </w:pPr>
            <w:r>
              <w:rPr>
                <w:rFonts w:ascii="宋体" w:eastAsia="宋体" w:hint="eastAsia"/>
                <w:color w:val="000000"/>
                <w:lang w:bidi="en-US"/>
              </w:rPr>
              <w:t>否，不需要现场考察。</w:t>
            </w:r>
          </w:p>
        </w:tc>
        <w:tc>
          <w:tcPr>
            <w:tcW w:w="3281"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val="0"/>
                <w:bCs/>
                <w:i/>
                <w:iCs/>
                <w:lang w:bidi="en-US"/>
              </w:rPr>
            </w:pPr>
            <w:r>
              <w:rPr>
                <w:rFonts w:ascii="宋体" w:eastAsia="宋体"/>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keepNext w:val="0"/>
              <w:keepLines w:val="0"/>
              <w:widowControl w:val="0"/>
              <w:suppressLineNumbers w:val="0"/>
              <w:ind w:left="0" w:firstLine="0"/>
              <w:jc w:val="center"/>
              <w:rPr>
                <w:rFonts w:ascii="宋体" w:eastAsia="宋体" w:cs="宋体" w:hint="eastAsia"/>
                <w:b/>
              </w:rPr>
            </w:pPr>
            <w:r>
              <w:rPr>
                <w:rFonts w:ascii="宋体" w:eastAsia="宋体" w:cs="宋体" w:hint="eastAsia"/>
                <w:bCs/>
              </w:rPr>
              <w:t>6</w:t>
            </w:r>
          </w:p>
        </w:tc>
        <w:tc>
          <w:tcPr>
            <w:tcW w:w="1830" w:type="dxa"/>
            <w:vAlign w:val="center"/>
          </w:tcPr>
          <w:p>
            <w:pPr>
              <w:keepNext w:val="0"/>
              <w:keepLines w:val="0"/>
              <w:widowControl w:val="0"/>
              <w:suppressLineNumbers w:val="0"/>
              <w:ind w:left="0" w:firstLine="0"/>
              <w:rPr>
                <w:rFonts w:ascii="宋体" w:eastAsia="宋体" w:cs="宋体" w:hint="eastAsia"/>
                <w:b/>
              </w:rPr>
            </w:pPr>
            <w:r>
              <w:rPr>
                <w:rFonts w:ascii="宋体" w:eastAsia="宋体" w:cs="宋体" w:hint="eastAsia"/>
                <w:b/>
              </w:rPr>
              <w:t>是否收取履约保证金</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highlight w:val="yellow"/>
                <w:lang w:bidi="en-US"/>
              </w:rPr>
            </w:pPr>
            <w:r>
              <w:rPr>
                <w:rFonts w:ascii="宋体" w:eastAsia="宋体" w:hint="eastAsia"/>
                <w:color w:val="000000"/>
                <w:lang w:bidi="en-US"/>
              </w:rPr>
              <w:t>本项目履约保证金为项目金额的</w:t>
            </w:r>
            <w:r>
              <w:rPr>
                <w:rFonts w:ascii="宋体" w:eastAsia="宋体"/>
                <w:color w:val="000000"/>
                <w:lang w:bidi="en-US"/>
              </w:rPr>
              <w:t>5</w:t>
            </w:r>
            <w:r>
              <w:rPr>
                <w:rFonts w:ascii="宋体" w:eastAsia="宋体" w:hint="eastAsia"/>
                <w:color w:val="000000"/>
                <w:lang w:bidi="en-US"/>
              </w:rPr>
              <w:t>%。</w:t>
            </w:r>
          </w:p>
        </w:tc>
        <w:tc>
          <w:tcPr>
            <w:tcW w:w="3281"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val="0"/>
                <w:bCs/>
                <w:i/>
                <w:iCs/>
                <w:highlight w:val="yellow"/>
                <w:lang w:bidi="en-US"/>
              </w:rPr>
            </w:pPr>
            <w:r>
              <w:rPr>
                <w:rFonts w:ascii="宋体" w:eastAsia="宋体"/>
                <w:lang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b w:val="0"/>
                <w:bCs/>
              </w:rPr>
            </w:pPr>
            <w:r>
              <w:rPr>
                <w:rFonts w:ascii="宋体" w:eastAsia="宋体" w:cs="宋体" w:hint="eastAsia"/>
                <w:b w:val="0"/>
                <w:bCs/>
                <w:sz w:val="24"/>
                <w:szCs w:val="24"/>
              </w:rPr>
              <w:t>7</w:t>
            </w:r>
          </w:p>
        </w:tc>
        <w:tc>
          <w:tcPr>
            <w:tcW w:w="1830"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bCs w:val="0"/>
              </w:rPr>
            </w:pPr>
            <w:r>
              <w:rPr>
                <w:rFonts w:ascii="宋体" w:eastAsia="宋体" w:cs="宋体" w:hint="eastAsia"/>
                <w:b/>
                <w:bCs w:val="0"/>
                <w:sz w:val="24"/>
                <w:szCs w:val="24"/>
              </w:rPr>
              <w:t>支付方式</w:t>
            </w:r>
          </w:p>
        </w:tc>
        <w:tc>
          <w:tcPr>
            <w:tcW w:w="2973" w:type="dxa"/>
            <w:vAlign w:val="center"/>
          </w:tcPr>
          <w:p>
            <w:pPr>
              <w:keepNext w:val="0"/>
              <w:keepLines w:val="0"/>
              <w:widowControl w:val="0"/>
              <w:suppressLineNumbers w:val="0"/>
              <w:spacing w:before="0" w:beforeAutospacing="0" w:after="0" w:afterAutospacing="0" w:line="360" w:lineRule="auto"/>
              <w:ind w:left="0" w:right="0" w:firstLine="0"/>
              <w:rPr>
                <w:rFonts w:ascii="宋体" w:eastAsia="宋体" w:cs="宋体" w:hint="eastAsia"/>
                <w:b w:val="0"/>
                <w:bCs/>
                <w:highlight w:val="yellow"/>
                <w:lang w:bidi="en-US"/>
              </w:rPr>
            </w:pPr>
            <w:r>
              <w:rPr>
                <w:rFonts w:ascii="宋体" w:eastAsia="宋体"/>
                <w:color w:val="000000"/>
                <w:lang w:bidi="en-US"/>
              </w:rPr>
              <w:t>合同分两次付款，签订合同后支付首付款，首付款金额为合同金额的60%，合同尾款40%在合同验收通过后支付。</w:t>
            </w:r>
          </w:p>
        </w:tc>
        <w:tc>
          <w:tcPr>
            <w:tcW w:w="3281"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b w:val="0"/>
                <w:bCs/>
              </w:rPr>
            </w:pPr>
            <w:r>
              <w:rPr>
                <w:rFonts w:ascii="宋体" w:eastAsia="宋体" w:cs="宋体"/>
                <w:b w:val="0"/>
                <w:bCs/>
                <w:i w:val="0"/>
                <w:iCs w:val="0"/>
                <w:sz w:val="24"/>
                <w:szCs w:val="24"/>
                <w:lang w:val="en-US" w:eastAsia="zh-CN" w:bidi="en-US"/>
              </w:rPr>
              <w:t>否</w:t>
            </w:r>
          </w:p>
        </w:tc>
      </w:tr>
    </w:tbl>
    <w:p>
      <w:pPr>
        <w:pStyle w:val="Heading4"/>
        <w:numPr>
          <w:ilvl w:val="0"/>
          <w:numId w:val="7"/>
        </w:numPr>
        <w:ind w:left="0" w:firstLine="0"/>
        <w:rPr>
          <w:rFonts w:eastAsia="宋体" w:hint="eastAsia"/>
          <w:lang w:val="en-US" w:eastAsia="zh-CN"/>
        </w:rPr>
      </w:pPr>
      <w:bookmarkStart w:id="44" w:name="项目概述"/>
      <w:r>
        <w:rPr>
          <w:rFonts w:ascii="宋体" w:eastAsia="宋体" w:hint="eastAsia"/>
          <w:lang w:val="en-US"/>
        </w:rPr>
        <w:t>项目概述</w:t>
      </w:r>
      <w:bookmarkEnd w:id="44"/>
    </w:p>
    <w:tbl>
      <w:tblPr>
        <w:tblW w:w="838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4996"/>
      </w:tblGrid>
      <w:tr>
        <w:tblPrEx>
          <w:tblW w:w="838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内容</w:t>
            </w:r>
          </w:p>
        </w:tc>
        <w:tc>
          <w:tcPr>
            <w:tcW w:w="4996" w:type="dxa"/>
            <w:tcBorders>
              <w:top w:val="single" w:sz="4" w:space="0" w:color="auto"/>
              <w:left w:val="single" w:sz="4" w:space="0" w:color="auto"/>
              <w:bottom w:val="single" w:sz="4" w:space="0" w:color="auto"/>
              <w:right w:val="single" w:sz="4" w:space="0" w:color="auto"/>
            </w:tcBorders>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bookmarkStart w:id="45" w:name="项目概述_Title_说明_Required_Table"/>
            <w:r>
              <w:rPr>
                <w:rFonts w:ascii="宋体" w:eastAsia="宋体" w:cs="Calibri" w:hint="eastAsia"/>
                <w:b/>
                <w:sz w:val="24"/>
                <w:szCs w:val="24"/>
              </w:rPr>
              <w:t>说明</w:t>
            </w:r>
            <w:bookmarkEnd w:id="45"/>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rPr>
              <w:t>项目背景</w:t>
            </w:r>
          </w:p>
        </w:tc>
        <w:tc>
          <w:tcPr>
            <w:tcW w:w="4996" w:type="dxa"/>
            <w:tcBorders>
              <w:top w:val="single" w:sz="4" w:space="0" w:color="auto"/>
              <w:left w:val="single" w:sz="4" w:space="0" w:color="auto"/>
              <w:bottom w:val="single" w:sz="4" w:space="0" w:color="auto"/>
              <w:right w:val="single" w:sz="4" w:space="0" w:color="auto"/>
            </w:tcBorders>
            <w:vAlign w:val="center"/>
          </w:tcPr>
          <w:p>
            <w:pPr>
              <w:pStyle w:val="HL"/>
              <w:keepNext w:val="0"/>
              <w:keepLines w:val="0"/>
              <w:widowControl w:val="0"/>
              <w:suppressLineNumbers w:val="0"/>
              <w:spacing w:before="156" w:beforeLines="0" w:beforeAutospacing="0" w:after="72" w:afterAutospacing="0"/>
              <w:ind w:right="0" w:firstLine="0" w:firstLineChars="0"/>
              <w:rPr>
                <w:rFonts w:ascii="宋体" w:cs="宋体" w:hint="eastAsia"/>
                <w:szCs w:val="24"/>
              </w:rPr>
            </w:pPr>
            <w:r>
              <w:rPr>
                <w:rFonts w:ascii="宋体" w:eastAsia="宋体" w:cs="宋体" w:hint="eastAsia"/>
                <w:sz w:val="24"/>
                <w:szCs w:val="24"/>
              </w:rPr>
              <w:t>党的二十大报告强调，要加快建设网络强国、数字中国。2023年7月习近平总书记对网络安全和信息化工作作出重要指示，提出网信工作“举旗帜聚民心、防风险保安全、强治理惠民生、增动能促发展、谋合作图共赢”的使命任务，明确“十个坚持”重要原则，为海关门户网站建设指明了前进方向，提出了根本遵循。</w:t>
            </w:r>
          </w:p>
          <w:p>
            <w:pPr>
              <w:keepNext w:val="0"/>
              <w:keepLines w:val="0"/>
              <w:widowControl w:val="0"/>
              <w:suppressLineNumbers w:val="0"/>
              <w:spacing w:before="0" w:beforeAutospacing="0" w:after="0" w:afterAutospacing="0" w:line="360" w:lineRule="auto"/>
              <w:ind w:right="0" w:firstLine="0"/>
              <w:jc w:val="both"/>
              <w:rPr>
                <w:rFonts w:ascii="宋体" w:eastAsia="宋体" w:cs="宋体" w:hint="eastAsia"/>
              </w:rPr>
            </w:pPr>
            <w:r>
              <w:rPr>
                <w:rFonts w:ascii="宋体" w:eastAsia="宋体" w:cs="宋体" w:hint="eastAsia"/>
                <w:sz w:val="24"/>
                <w:szCs w:val="24"/>
              </w:rPr>
              <w:t>经过多年努力，中国海关门户网站建设和应用已取得积极成效，2020—2022年连续3年在政府网站——“国务院其他部门网站”序列中，考核排名第二。同时，对标党中央、国务院决策部署，参照2023年4月新版中国政府网，对照智慧海关建设要求，对照基层和群众期待，推进网站升级改造已成为必然要求和必要举措。</w:t>
            </w:r>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rPr>
              <w:t>执行依据</w:t>
            </w:r>
          </w:p>
        </w:tc>
        <w:tc>
          <w:tcPr>
            <w:tcW w:w="4996"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《国务院办公厅关于印发政府网站发展指引的通知》（国办发〔2017〕47号）；</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《中华人民共和国政府信息公开条例（2019修订）》（中华人民共和国国务院令第711号）；</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《国务院关于加快推进全国一体化在线政务服务平台建设的指导意见》（国发〔2018〕27号）；</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《国务院办公厅秘书局关于印发政府网站与政务新媒体检查指标、监管工作年度考核指标的通知》（国办秘函〔2019〕19号）；</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《中华人民共和国海关法》（2021年修订）；</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《海关总署政府信息公开工作规程》和《海关总署政府信息公开保密审查规程》（署办发〔2020〕149号）；</w:t>
            </w:r>
          </w:p>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《海关总署办公厅关于全面推进海关领域基层政务公开标准化规范化工作的通知》（署办发〔2021〕23号）。</w:t>
            </w:r>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rPr>
              <w:t>项目内容</w:t>
            </w:r>
          </w:p>
        </w:tc>
        <w:tc>
          <w:tcPr>
            <w:tcW w:w="4996"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line="360" w:lineRule="auto"/>
              <w:ind w:right="0" w:firstLine="0"/>
              <w:jc w:val="both"/>
              <w:rPr>
                <w:rFonts w:ascii="宋体" w:eastAsia="宋体" w:cs="宋体" w:hint="eastAsia"/>
                <w:lang w:bidi="en-US"/>
              </w:rPr>
            </w:pPr>
            <w:r>
              <w:rPr>
                <w:rFonts w:ascii="宋体" w:eastAsia="宋体" w:cs="宋体"/>
                <w:sz w:val="24"/>
                <w:szCs w:val="24"/>
                <w:lang w:bidi="en-US"/>
              </w:rPr>
              <w:t>本次项目主要内容包括历史数据清理、手机版网站适配优化、海关门户网站页面优化、新媒体栏目建设、网站留言板规范化改造、网站知识图谱构建、领先网站亮点应用策略、在线访谈优化、热点专题专栏建设、智能搜索优化。</w:t>
            </w:r>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highlight w:val="none"/>
              </w:rPr>
            </w:pPr>
            <w:r>
              <w:rPr>
                <w:rFonts w:ascii="宋体" w:eastAsia="宋体" w:cs="宋体" w:hint="eastAsia"/>
                <w:sz w:val="24"/>
                <w:szCs w:val="24"/>
                <w:highlight w:val="none"/>
              </w:rPr>
              <w:t>4</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highlight w:val="none"/>
              </w:rPr>
            </w:pPr>
            <w:r>
              <w:rPr>
                <w:rFonts w:ascii="宋体" w:eastAsia="宋体" w:cs="宋体" w:hint="eastAsia"/>
                <w:b/>
                <w:sz w:val="24"/>
                <w:szCs w:val="24"/>
                <w:highlight w:val="none"/>
              </w:rPr>
              <w:t>项目范围</w:t>
            </w:r>
          </w:p>
        </w:tc>
        <w:tc>
          <w:tcPr>
            <w:tcW w:w="4996"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highlight w:val="none"/>
                <w:lang w:bidi="en-US"/>
              </w:rPr>
            </w:pPr>
            <w:r>
              <w:rPr>
                <w:rFonts w:ascii="宋体" w:eastAsia="宋体" w:cs="宋体"/>
                <w:sz w:val="24"/>
                <w:szCs w:val="24"/>
                <w:highlight w:val="none"/>
                <w:lang w:val="en-US" w:eastAsia="zh-CN" w:bidi="en-US"/>
              </w:rPr>
              <w:t>在海关门户网站原有架构上，对</w:t>
            </w:r>
            <w:r>
              <w:rPr>
                <w:rFonts w:ascii="宋体" w:eastAsia="宋体" w:cs="宋体"/>
                <w:sz w:val="24"/>
                <w:szCs w:val="24"/>
                <w:lang w:val="en-US" w:eastAsia="zh-CN" w:bidi="en-US"/>
              </w:rPr>
              <w:t>1个海关总署主站23个司局子站和42个直属海关门户网站</w:t>
            </w:r>
            <w:r>
              <w:rPr>
                <w:rFonts w:ascii="宋体" w:eastAsia="宋体" w:cs="宋体"/>
                <w:sz w:val="24"/>
                <w:szCs w:val="24"/>
                <w:highlight w:val="none"/>
                <w:lang w:val="en-US" w:eastAsia="zh-CN" w:bidi="en-US"/>
              </w:rPr>
              <w:t>进行相关功能的优化升级。</w:t>
            </w:r>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rPr>
              <w:t>需求分析</w:t>
            </w:r>
          </w:p>
        </w:tc>
        <w:tc>
          <w:tcPr>
            <w:tcW w:w="4996"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ind w:left="0" w:firstLine="0"/>
              <w:rPr>
                <w:rFonts w:ascii="宋体" w:eastAsia="宋体" w:cs="宋体"/>
                <w:lang w:bidi="en-US"/>
              </w:rPr>
            </w:pPr>
            <w:r>
              <w:rPr>
                <w:rFonts w:ascii="宋体" w:eastAsia="宋体" w:cs="宋体"/>
                <w:lang w:bidi="en-US"/>
              </w:rPr>
              <w:t>通过中国海关门户网站应用优化，实现以下目标：</w:t>
            </w:r>
          </w:p>
          <w:p>
            <w:pPr>
              <w:keepNext w:val="0"/>
              <w:keepLines w:val="0"/>
              <w:widowControl w:val="0"/>
              <w:suppressLineNumbers w:val="0"/>
              <w:ind w:left="0" w:firstLine="0"/>
              <w:rPr>
                <w:rFonts w:ascii="宋体" w:eastAsia="宋体" w:cs="宋体"/>
                <w:lang w:bidi="en-US"/>
              </w:rPr>
            </w:pPr>
            <w:r>
              <w:rPr>
                <w:rFonts w:ascii="宋体" w:eastAsia="宋体" w:cs="宋体"/>
                <w:lang w:bidi="en-US"/>
              </w:rPr>
              <w:t>（1）提高数据管理的效率，减少无效和冗余数据的存储，降低数据管理成本。</w:t>
            </w:r>
          </w:p>
          <w:p>
            <w:pPr>
              <w:keepNext w:val="0"/>
              <w:keepLines w:val="0"/>
              <w:widowControl w:val="0"/>
              <w:suppressLineNumbers w:val="0"/>
              <w:ind w:left="0" w:firstLine="0"/>
              <w:rPr>
                <w:rFonts w:ascii="宋体" w:eastAsia="宋体" w:cs="宋体"/>
                <w:lang w:bidi="en-US"/>
              </w:rPr>
            </w:pPr>
            <w:r>
              <w:rPr>
                <w:rFonts w:ascii="宋体" w:eastAsia="宋体" w:cs="宋体"/>
                <w:lang w:bidi="en-US"/>
              </w:rPr>
              <w:t>（2）优化用户体验，提升网站信息的可读性和可视化程度，为公众提供更加灵活、个性化的政务服务渠道。</w:t>
            </w:r>
          </w:p>
          <w:p>
            <w:pPr>
              <w:keepNext w:val="0"/>
              <w:keepLines w:val="0"/>
              <w:widowControl w:val="0"/>
              <w:suppressLineNumbers w:val="0"/>
              <w:ind w:left="0" w:firstLine="0"/>
              <w:rPr>
                <w:rFonts w:ascii="宋体" w:eastAsia="宋体" w:cs="宋体"/>
                <w:lang w:bidi="en-US"/>
              </w:rPr>
            </w:pPr>
            <w:r>
              <w:rPr>
                <w:rFonts w:ascii="宋体" w:eastAsia="宋体" w:cs="宋体"/>
                <w:lang w:bidi="en-US"/>
              </w:rPr>
              <w:t>（3）提升政府信息的传播力和影响力，融合微信微博新媒体，更快、更广地传播政府信息，使公众更加及时、准确地获取政策动态、服务信息等内容。</w:t>
            </w:r>
          </w:p>
          <w:p>
            <w:pPr>
              <w:keepNext w:val="0"/>
              <w:keepLines w:val="0"/>
              <w:widowControl w:val="0"/>
              <w:suppressLineNumbers w:val="0"/>
              <w:ind w:left="0" w:firstLine="0"/>
              <w:rPr>
                <w:rFonts w:ascii="宋体" w:eastAsia="宋体" w:cs="宋体"/>
                <w:lang w:bidi="en-US"/>
              </w:rPr>
            </w:pPr>
            <w:r>
              <w:rPr>
                <w:rFonts w:ascii="宋体" w:eastAsia="宋体" w:cs="宋体"/>
                <w:lang w:bidi="en-US"/>
              </w:rPr>
              <w:t>（4）规范网民互动留言流程，提升用户参与感和归属感。</w:t>
            </w:r>
          </w:p>
          <w:p>
            <w:pPr>
              <w:keepNext w:val="0"/>
              <w:keepLines w:val="0"/>
              <w:widowControl w:val="0"/>
              <w:suppressLineNumbers w:val="0"/>
              <w:ind w:left="0" w:firstLine="0"/>
              <w:rPr>
                <w:rFonts w:ascii="宋体" w:eastAsia="宋体" w:cs="宋体"/>
                <w:lang w:bidi="en-US"/>
              </w:rPr>
            </w:pPr>
            <w:r>
              <w:rPr>
                <w:rFonts w:ascii="宋体" w:eastAsia="宋体" w:cs="宋体"/>
                <w:lang w:bidi="en-US"/>
              </w:rPr>
              <w:t>（5）提高网站性能和稳定性，提升用户访问政府网站的体验。</w:t>
            </w:r>
          </w:p>
          <w:p>
            <w:pPr>
              <w:keepNext w:val="0"/>
              <w:keepLines w:val="0"/>
              <w:widowControl w:val="0"/>
              <w:suppressLineNumbers w:val="0"/>
              <w:ind w:left="0" w:firstLine="0"/>
            </w:pPr>
            <w:r>
              <w:rPr>
                <w:rFonts w:ascii="宋体" w:eastAsia="宋体" w:cs="宋体"/>
                <w:lang w:bidi="en-US"/>
              </w:rPr>
              <w:t>（6）提高搜索效率、优化用户体验，实现更精准、个性化的搜索结果。</w:t>
            </w:r>
          </w:p>
        </w:tc>
      </w:tr>
      <w:tr>
        <w:tblPrEx>
          <w:tblW w:w="8385"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rPr>
              <w:t>与前期项目的关系</w:t>
            </w:r>
          </w:p>
        </w:tc>
        <w:tc>
          <w:tcPr>
            <w:tcW w:w="4996"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olor w:val="000000"/>
                <w:lang w:bidi="en-US"/>
              </w:rPr>
              <w:t>中国海关门户网站于2005年开始建设运行，期间经过多次改版，逐渐形成了以总署门户网站为龙头，覆盖23个司局子网站、42个直属海关子网站的网站群体系，成为中国海关政策发布、信息公开、在线办事和回应社会关切的主要平台。本次采购需求是</w:t>
            </w:r>
            <w:r>
              <w:rPr>
                <w:rFonts w:ascii="宋体" w:eastAsia="宋体" w:hint="eastAsia"/>
                <w:color w:val="000000"/>
                <w:lang w:bidi="en-US"/>
              </w:rPr>
              <w:t>在</w:t>
            </w:r>
            <w:r>
              <w:rPr>
                <w:rFonts w:ascii="宋体" w:eastAsia="宋体"/>
                <w:color w:val="000000"/>
                <w:lang w:bidi="en-US"/>
              </w:rPr>
              <w:t>海关门户网站</w:t>
            </w:r>
            <w:r>
              <w:rPr>
                <w:rFonts w:ascii="宋体" w:eastAsia="宋体" w:hint="eastAsia"/>
                <w:color w:val="000000"/>
                <w:lang w:bidi="en-US"/>
              </w:rPr>
              <w:t>系统上新增功能，并对已有的功能模块进行升级完善。</w:t>
            </w:r>
          </w:p>
        </w:tc>
      </w:tr>
      <w:tr>
        <w:tblPrEx>
          <w:tblW w:w="8385"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ind w:left="0" w:firstLine="0"/>
              <w:jc w:val="center"/>
              <w:rPr>
                <w:rFonts w:ascii="宋体" w:eastAsia="宋体" w:cs="宋体" w:hint="eastAsia"/>
                <w:highlight w:val="yellow"/>
              </w:rPr>
            </w:pPr>
            <w:r>
              <w:rPr>
                <w:rFonts w:ascii="宋体" w:eastAsia="宋体" w:cs="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ind w:left="0" w:firstLine="0"/>
              <w:rPr>
                <w:rFonts w:ascii="宋体" w:eastAsia="宋体" w:cs="宋体" w:hint="eastAsia"/>
                <w:b/>
                <w:highlight w:val="yellow"/>
              </w:rPr>
            </w:pPr>
            <w:r>
              <w:rPr>
                <w:rFonts w:ascii="宋体" w:eastAsia="宋体" w:cs="宋体" w:hint="eastAsia"/>
                <w:b/>
              </w:rPr>
              <w:t>项目履约时间</w:t>
            </w:r>
          </w:p>
        </w:tc>
        <w:tc>
          <w:tcPr>
            <w:tcW w:w="4996" w:type="dxa"/>
            <w:tcBorders>
              <w:top w:val="single" w:sz="4" w:space="0" w:color="auto"/>
              <w:left w:val="single" w:sz="4" w:space="0" w:color="auto"/>
              <w:bottom w:val="single" w:sz="4" w:space="0" w:color="auto"/>
              <w:right w:val="single" w:sz="4" w:space="0" w:color="auto"/>
            </w:tcBorders>
            <w:vAlign w:val="center"/>
          </w:tcPr>
          <w:p>
            <w:pPr>
              <w:pStyle w:val="330"/>
              <w:keepNext w:val="0"/>
              <w:keepLines w:val="0"/>
              <w:widowControl w:val="0"/>
              <w:suppressLineNumbers w:val="0"/>
              <w:spacing w:before="0" w:beforeAutospacing="0" w:after="0" w:afterAutospacing="0" w:line="360" w:lineRule="auto"/>
              <w:ind w:left="0" w:right="0" w:firstLine="0"/>
              <w:rPr>
                <w:rFonts w:ascii="宋体" w:eastAsia="宋体" w:cs="宋体" w:hint="eastAsia"/>
                <w:highlight w:val="yellow"/>
                <w:lang w:bidi="en-US"/>
              </w:rPr>
            </w:pPr>
            <w:r>
              <w:rPr>
                <w:rFonts w:ascii="宋体" w:eastAsia="宋体" w:hint="eastAsia"/>
                <w:color w:val="000000"/>
                <w:lang w:bidi="en-US"/>
              </w:rPr>
              <w:t>★本项目需在合同签订后</w:t>
            </w:r>
            <w:r>
              <w:rPr>
                <w:rFonts w:ascii="宋体" w:eastAsia="宋体"/>
                <w:color w:val="000000"/>
                <w:lang w:bidi="en-US"/>
              </w:rPr>
              <w:t>3</w:t>
            </w:r>
            <w:r>
              <w:rPr>
                <w:rFonts w:ascii="宋体" w:eastAsia="宋体" w:hint="eastAsia"/>
                <w:color w:val="000000"/>
                <w:lang w:bidi="en-US"/>
              </w:rPr>
              <w:t>个月内完成项目建设及上线部署工作。</w:t>
            </w:r>
            <w:r>
              <w:t>需提供承诺函并加盖单位公章。</w:t>
            </w:r>
          </w:p>
        </w:tc>
      </w:tr>
    </w:tbl>
    <w:p>
      <w:pPr>
        <w:rPr>
          <w:rFonts w:ascii="宋体" w:eastAsia="宋体" w:hint="eastAsia"/>
        </w:rPr>
      </w:pPr>
    </w:p>
    <w:p>
      <w:pPr>
        <w:pStyle w:val="Heading4"/>
        <w:numPr>
          <w:ilvl w:val="0"/>
          <w:numId w:val="7"/>
        </w:numPr>
        <w:ind w:left="0" w:firstLine="0"/>
        <w:rPr>
          <w:rFonts w:ascii="宋体" w:eastAsia="宋体" w:hint="eastAsia"/>
          <w:lang w:val="en-US"/>
        </w:rPr>
      </w:pPr>
      <w:bookmarkStart w:id="46" w:name="集成需求"/>
      <w:r>
        <w:rPr>
          <w:rFonts w:ascii="宋体" w:eastAsia="宋体" w:hint="eastAsia"/>
          <w:lang w:val="en-US"/>
        </w:rPr>
        <w:t>集成需求</w:t>
      </w:r>
      <w:bookmarkEnd w:id="46"/>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序号</w:t>
            </w:r>
          </w:p>
        </w:tc>
        <w:tc>
          <w:tcPr>
            <w:tcW w:w="2630" w:type="dxa"/>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r>
              <w:rPr>
                <w:rFonts w:ascii="宋体" w:eastAsia="宋体" w:cs="Calibri" w:hint="eastAsia"/>
                <w:b/>
                <w:sz w:val="24"/>
                <w:szCs w:val="24"/>
              </w:rPr>
              <w:t>内容</w:t>
            </w:r>
          </w:p>
        </w:tc>
        <w:tc>
          <w:tcPr>
            <w:tcW w:w="5662" w:type="dxa"/>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hint="eastAsia"/>
                <w:b/>
              </w:rPr>
            </w:pPr>
            <w:bookmarkStart w:id="47" w:name="集成需求_Title_说明_Required_Table"/>
            <w:r>
              <w:rPr>
                <w:rFonts w:ascii="宋体" w:eastAsia="宋体" w:cs="Calibri" w:hint="eastAsia"/>
                <w:b/>
                <w:sz w:val="24"/>
                <w:szCs w:val="24"/>
              </w:rPr>
              <w:t>说明</w:t>
            </w:r>
            <w:bookmarkEnd w:id="47"/>
          </w:p>
        </w:tc>
        <w:tc>
          <w:tcPr>
            <w:tcW w:w="2264" w:type="dxa"/>
            <w:shd w:val="clear" w:color="A6A6A6" w:fill="A6A6A6"/>
          </w:tcPr>
          <w:p>
            <w:pPr>
              <w:keepNext w:val="0"/>
              <w:keepLines w:val="0"/>
              <w:widowControl w:val="0"/>
              <w:suppressLineNumbers w:val="0"/>
              <w:spacing w:before="0" w:beforeAutospacing="0" w:after="0" w:afterAutospacing="0"/>
              <w:ind w:left="0" w:right="0"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b/>
                <w:sz w:val="24"/>
                <w:szCs w:val="24"/>
              </w:rPr>
              <w:t>1</w:t>
            </w:r>
          </w:p>
        </w:tc>
        <w:tc>
          <w:tcPr>
            <w:tcW w:w="26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lang w:val="en-US"/>
              </w:rPr>
              <w:t>业务需求</w:t>
            </w:r>
          </w:p>
        </w:tc>
        <w:tc>
          <w:tcPr>
            <w:tcW w:w="5662" w:type="dxa"/>
            <w:vAlign w:val="center"/>
          </w:tcPr>
          <w:p>
            <w:pPr>
              <w:pStyle w:val="11112"/>
              <w:keepNext w:val="0"/>
              <w:keepLines w:val="0"/>
              <w:widowControl w:val="0"/>
              <w:suppressLineNumbers w:val="0"/>
              <w:spacing w:before="0" w:beforeAutospacing="0" w:after="0" w:afterAutospacing="0" w:line="360" w:lineRule="auto"/>
              <w:ind w:right="0"/>
              <w:rPr>
                <w:rFonts w:hint="eastAsia"/>
                <w:sz w:val="24"/>
                <w:szCs w:val="24"/>
                <w:lang w:eastAsia="zh-CN" w:bidi="en-US"/>
              </w:rPr>
            </w:pPr>
            <w:r>
              <w:rPr>
                <w:rFonts w:ascii="宋体" w:eastAsia="宋体" w:cs="宋体" w:hint="eastAsia"/>
                <w:bCs/>
                <w:sz w:val="24"/>
                <w:szCs w:val="24"/>
                <w:lang w:val="en-US" w:eastAsia="zh-CN"/>
              </w:rPr>
              <w:t>随着业务发展需要及对外服务的精细化、智能化要求，海关门户网站对业务网政府信息公开目录系统、互联网+海关</w:t>
            </w:r>
            <w:r>
              <w:rPr>
                <w:rFonts w:ascii="宋体" w:eastAsia="宋体" w:cs="宋体"/>
                <w:bCs/>
                <w:sz w:val="24"/>
                <w:szCs w:val="24"/>
                <w:lang w:val="en-US" w:eastAsia="zh-CN"/>
              </w:rPr>
              <w:t>、新媒体</w:t>
            </w:r>
            <w:r>
              <w:rPr>
                <w:rFonts w:ascii="宋体" w:eastAsia="宋体" w:cs="宋体" w:hint="eastAsia"/>
                <w:bCs/>
                <w:sz w:val="24"/>
                <w:szCs w:val="24"/>
                <w:lang w:val="en-US" w:eastAsia="zh-CN"/>
              </w:rPr>
              <w:t>等进行交互及集成，以满足新的业务需求。</w:t>
            </w:r>
          </w:p>
        </w:tc>
        <w:tc>
          <w:tcPr>
            <w:tcW w:w="2264"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lang w:bidi="en-US"/>
              </w:rPr>
            </w:pPr>
            <w:r>
              <w:rPr>
                <w:rFonts w:ascii="宋体" w:eastAsia="宋体" w:cs="宋体"/>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b/>
                <w:sz w:val="24"/>
                <w:szCs w:val="24"/>
              </w:rPr>
              <w:t>2</w:t>
            </w:r>
          </w:p>
        </w:tc>
        <w:tc>
          <w:tcPr>
            <w:tcW w:w="26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rPr>
            </w:pPr>
            <w:r>
              <w:rPr>
                <w:rFonts w:ascii="宋体" w:eastAsia="宋体" w:cs="宋体" w:hint="eastAsia"/>
                <w:b/>
                <w:sz w:val="24"/>
                <w:szCs w:val="24"/>
                <w:lang w:val="en-US"/>
              </w:rPr>
              <w:t>技术需求</w:t>
            </w:r>
          </w:p>
        </w:tc>
        <w:tc>
          <w:tcPr>
            <w:tcW w:w="5662" w:type="dxa"/>
            <w:vAlign w:val="center"/>
          </w:tcPr>
          <w:p>
            <w:pPr>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hint="eastAsia"/>
                <w:color w:val="000000"/>
                <w:lang w:bidi="en-US"/>
              </w:rPr>
              <w:t>本项目的建设与管理符合海关工程的有关管理规定、技术架构、标准规范等方面要求，符合海关工程集成的设计要求及相关标准规范。</w:t>
            </w:r>
          </w:p>
        </w:tc>
        <w:tc>
          <w:tcPr>
            <w:tcW w:w="2264" w:type="dxa"/>
            <w:vAlign w:val="center"/>
          </w:tcPr>
          <w:p>
            <w:pPr>
              <w:keepNext w:val="0"/>
              <w:keepLines w:val="0"/>
              <w:widowControl w:val="0"/>
              <w:suppressLineNumbers w:val="0"/>
              <w:spacing w:before="0" w:beforeAutospacing="0" w:after="0" w:afterAutospacing="0"/>
              <w:ind w:left="0" w:right="0" w:firstLine="0"/>
              <w:rPr>
                <w:rFonts w:ascii="宋体" w:eastAsia="宋体" w:cs="宋体" w:hint="eastAsia"/>
                <w:lang w:bidi="en-US"/>
              </w:rPr>
            </w:pPr>
            <w:r>
              <w:rPr>
                <w:rFonts w:ascii="宋体" w:eastAsia="宋体" w:cs="宋体"/>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highlight w:val="none"/>
              </w:rPr>
            </w:pPr>
            <w:r>
              <w:rPr>
                <w:rFonts w:ascii="宋体" w:eastAsia="宋体" w:cs="宋体" w:hint="eastAsia"/>
                <w:b/>
                <w:sz w:val="24"/>
                <w:szCs w:val="24"/>
                <w:highlight w:val="none"/>
              </w:rPr>
              <w:t>3</w:t>
            </w:r>
          </w:p>
        </w:tc>
        <w:tc>
          <w:tcPr>
            <w:tcW w:w="263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b/>
                <w:highlight w:val="none"/>
              </w:rPr>
            </w:pPr>
            <w:r>
              <w:rPr>
                <w:rFonts w:ascii="宋体" w:eastAsia="宋体" w:cs="宋体" w:hint="eastAsia"/>
                <w:b/>
                <w:sz w:val="24"/>
                <w:szCs w:val="24"/>
                <w:highlight w:val="none"/>
                <w:lang w:val="en-US"/>
              </w:rPr>
              <w:t>系统需求</w:t>
            </w:r>
          </w:p>
        </w:tc>
        <w:tc>
          <w:tcPr>
            <w:tcW w:w="5662" w:type="dxa"/>
            <w:vAlign w:val="center"/>
          </w:tcPr>
          <w:p>
            <w:pPr>
              <w:pStyle w:val="103"/>
              <w:keepNext w:val="0"/>
              <w:keepLines w:val="0"/>
              <w:widowControl w:val="0"/>
              <w:suppressLineNumbers w:val="0"/>
              <w:spacing w:before="0" w:beforeAutospacing="0" w:after="0" w:afterAutospacing="0" w:line="360" w:lineRule="auto"/>
              <w:ind w:right="0" w:firstLine="0"/>
              <w:jc w:val="both"/>
              <w:rPr>
                <w:rFonts w:ascii="宋体" w:eastAsia="宋体" w:cs="宋体"/>
                <w:highlight w:val="none"/>
                <w:lang w:bidi="en-US"/>
              </w:rPr>
            </w:pPr>
            <w:r>
              <w:rPr>
                <w:rFonts w:ascii="宋体" w:eastAsia="宋体" w:hint="eastAsia"/>
                <w:color w:val="000000"/>
                <w:lang w:bidi="en-US"/>
              </w:rPr>
              <w:t>本项目按照海关项目管理要求、技术要求、集成要求和方案编制要求开展实施及工作，并接受和配合集成联调测试工作。</w:t>
            </w:r>
          </w:p>
        </w:tc>
        <w:tc>
          <w:tcPr>
            <w:tcW w:w="2264" w:type="dxa"/>
            <w:vAlign w:val="center"/>
          </w:tcPr>
          <w:p>
            <w:pPr>
              <w:keepNext w:val="0"/>
              <w:keepLines w:val="0"/>
              <w:widowControl w:val="0"/>
              <w:suppressLineNumbers w:val="0"/>
              <w:spacing w:before="0" w:beforeAutospacing="0" w:after="0" w:afterAutospacing="0"/>
              <w:ind w:left="0" w:right="0" w:firstLine="0"/>
              <w:rPr>
                <w:rFonts w:ascii="宋体" w:eastAsia="宋体" w:cs="宋体"/>
                <w:highlight w:val="none"/>
                <w:lang w:bidi="en-US"/>
              </w:rPr>
            </w:pPr>
            <w:r>
              <w:rPr>
                <w:rFonts w:ascii="宋体" w:eastAsia="宋体" w:cs="宋体"/>
                <w:sz w:val="24"/>
                <w:szCs w:val="24"/>
                <w:highlight w:val="none"/>
                <w:lang w:val="en-US" w:eastAsia="zh-CN" w:bidi="en-US"/>
              </w:rPr>
              <w:t>否</w:t>
            </w:r>
          </w:p>
        </w:tc>
      </w:tr>
    </w:tbl>
    <w:p>
      <w:pPr>
        <w:pStyle w:val="Heading4"/>
        <w:numPr>
          <w:ilvl w:val="0"/>
          <w:numId w:val="7"/>
        </w:numPr>
        <w:ind w:left="0" w:firstLine="0"/>
        <w:rPr>
          <w:rFonts w:ascii="宋体" w:eastAsia="宋体" w:hint="eastAsia"/>
          <w:lang w:val="en-US"/>
        </w:rPr>
      </w:pPr>
      <w:bookmarkStart w:id="48" w:name="货物或服务指标要求"/>
      <w:r>
        <w:rPr>
          <w:rFonts w:ascii="宋体" w:eastAsia="宋体" w:hint="eastAsia"/>
          <w:lang w:val="en-US"/>
        </w:rPr>
        <w:t>服务指标要求</w:t>
      </w:r>
      <w:bookmarkEnd w:id="48"/>
    </w:p>
    <w:p>
      <w:pPr>
        <w:rPr>
          <w:rFonts w:ascii="宋体" w:eastAsia="宋体" w:hint="eastAsia"/>
        </w:rPr>
      </w:pPr>
      <w:r>
        <w:rPr>
          <w:rFonts w:ascii="宋体" w:eastAsia="宋体" w:hint="eastAsia"/>
        </w:rPr>
        <w:t>参数指标要求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499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754"/>
        <w:gridCol w:w="754"/>
        <w:gridCol w:w="1770"/>
        <w:gridCol w:w="3246"/>
        <w:gridCol w:w="1983"/>
      </w:tblGrid>
      <w:tr>
        <w:tblPrEx>
          <w:tblW w:w="499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rPr>
          <w:trHeight w:val="315"/>
          <w:jc w:val="left"/>
        </w:trPr>
        <w:tc>
          <w:tcPr>
            <w:tcW w:w="443" w:type="pct"/>
            <w:shd w:val="clear" w:color="auto" w:fill="A6A6A6"/>
          </w:tcPr>
          <w:p>
            <w:pPr>
              <w:keepNext w:val="0"/>
              <w:keepLines w:val="0"/>
              <w:widowControl/>
              <w:suppressLineNumbers w:val="0"/>
              <w:spacing w:before="0" w:beforeAutospacing="0" w:after="0" w:afterAutospacing="0"/>
              <w:ind w:left="0" w:right="0" w:firstLine="0"/>
              <w:jc w:val="both"/>
              <w:textAlignment w:val="top"/>
              <w:rPr>
                <w:rFonts w:ascii="宋体" w:eastAsia="宋体" w:cs="宋体" w:hint="eastAsia"/>
                <w:b/>
                <w:bCs/>
                <w:i w:val="0"/>
                <w:iCs w:val="0"/>
                <w:color w:val="000000"/>
                <w:u w:val="none"/>
              </w:rPr>
            </w:pPr>
            <w:r>
              <w:rPr>
                <w:rFonts w:ascii="宋体" w:eastAsia="宋体" w:cs="宋体" w:hint="eastAsia"/>
                <w:b/>
                <w:bCs/>
                <w:i w:val="0"/>
                <w:iCs w:val="0"/>
                <w:color w:val="000000"/>
                <w:kern w:val="0"/>
                <w:sz w:val="24"/>
                <w:szCs w:val="24"/>
                <w:u w:val="none"/>
                <w:lang w:val="en-US" w:eastAsia="zh-CN"/>
              </w:rPr>
              <w:t>序号</w:t>
            </w:r>
          </w:p>
        </w:tc>
        <w:tc>
          <w:tcPr>
            <w:tcW w:w="443" w:type="pct"/>
            <w:shd w:val="clear" w:color="auto" w:fill="A6A6A6"/>
          </w:tcPr>
          <w:p>
            <w:pPr>
              <w:keepNext w:val="0"/>
              <w:keepLines w:val="0"/>
              <w:widowControl/>
              <w:suppressLineNumbers w:val="0"/>
              <w:spacing w:before="0" w:beforeAutospacing="0" w:after="0" w:afterAutospacing="0"/>
              <w:ind w:left="0" w:right="0" w:firstLine="0"/>
              <w:jc w:val="both"/>
              <w:textAlignment w:val="top"/>
              <w:rPr>
                <w:rFonts w:ascii="宋体" w:eastAsia="宋体" w:cs="宋体" w:hint="eastAsia"/>
                <w:b/>
                <w:bCs/>
                <w:i w:val="0"/>
                <w:iCs w:val="0"/>
                <w:color w:val="000000"/>
                <w:u w:val="none"/>
              </w:rPr>
            </w:pPr>
            <w:r>
              <w:rPr>
                <w:rFonts w:ascii="宋体" w:eastAsia="宋体" w:cs="宋体" w:hint="eastAsia"/>
                <w:b/>
                <w:bCs/>
                <w:i w:val="0"/>
                <w:iCs w:val="0"/>
                <w:color w:val="000000"/>
                <w:kern w:val="0"/>
                <w:sz w:val="24"/>
                <w:szCs w:val="24"/>
                <w:u w:val="none"/>
                <w:lang w:val="en-US" w:eastAsia="zh-CN"/>
              </w:rPr>
              <w:t>重要性</w:t>
            </w:r>
          </w:p>
        </w:tc>
        <w:tc>
          <w:tcPr>
            <w:tcW w:w="1040" w:type="pct"/>
            <w:shd w:val="clear" w:color="auto" w:fill="A6A6A6"/>
          </w:tcPr>
          <w:p>
            <w:pPr>
              <w:keepNext w:val="0"/>
              <w:keepLines w:val="0"/>
              <w:widowControl/>
              <w:suppressLineNumbers w:val="0"/>
              <w:spacing w:before="0" w:beforeAutospacing="0" w:after="0" w:afterAutospacing="0"/>
              <w:ind w:left="0" w:right="0" w:firstLine="0"/>
              <w:jc w:val="both"/>
              <w:textAlignment w:val="top"/>
              <w:rPr>
                <w:rFonts w:ascii="宋体" w:eastAsia="宋体" w:cs="宋体" w:hint="eastAsia"/>
                <w:b/>
                <w:bCs/>
                <w:i w:val="0"/>
                <w:iCs w:val="0"/>
                <w:color w:val="000000"/>
                <w:u w:val="none"/>
              </w:rPr>
            </w:pPr>
            <w:r>
              <w:rPr>
                <w:rFonts w:ascii="宋体" w:eastAsia="宋体" w:cs="宋体" w:hint="eastAsia"/>
                <w:b/>
                <w:bCs/>
                <w:i w:val="0"/>
                <w:iCs w:val="0"/>
                <w:color w:val="000000"/>
                <w:kern w:val="0"/>
                <w:sz w:val="24"/>
                <w:szCs w:val="24"/>
                <w:u w:val="none"/>
                <w:lang w:val="en-US" w:eastAsia="zh-CN"/>
              </w:rPr>
              <w:t>指标项</w:t>
            </w:r>
          </w:p>
        </w:tc>
        <w:tc>
          <w:tcPr>
            <w:tcW w:w="1907" w:type="pct"/>
            <w:shd w:val="clear" w:color="auto" w:fill="A6A6A6"/>
          </w:tcPr>
          <w:p>
            <w:pPr>
              <w:keepNext w:val="0"/>
              <w:keepLines w:val="0"/>
              <w:widowControl/>
              <w:suppressLineNumbers w:val="0"/>
              <w:spacing w:before="0" w:beforeAutospacing="0" w:after="0" w:afterAutospacing="0"/>
              <w:ind w:left="0" w:right="0" w:firstLine="0"/>
              <w:jc w:val="both"/>
              <w:textAlignment w:val="top"/>
              <w:rPr>
                <w:rFonts w:ascii="宋体" w:eastAsia="宋体" w:cs="宋体" w:hint="eastAsia"/>
                <w:b/>
                <w:bCs/>
                <w:i w:val="0"/>
                <w:iCs w:val="0"/>
                <w:color w:val="000000"/>
                <w:u w:val="none"/>
              </w:rPr>
            </w:pPr>
            <w:r>
              <w:rPr>
                <w:rFonts w:ascii="宋体" w:eastAsia="宋体" w:cs="宋体" w:hint="eastAsia"/>
                <w:b/>
                <w:bCs/>
                <w:i w:val="0"/>
                <w:iCs w:val="0"/>
                <w:color w:val="000000"/>
                <w:kern w:val="0"/>
                <w:sz w:val="24"/>
                <w:szCs w:val="24"/>
                <w:u w:val="none"/>
                <w:lang w:val="en-US" w:eastAsia="zh-CN"/>
              </w:rPr>
              <w:t>指标要求</w:t>
            </w:r>
          </w:p>
        </w:tc>
        <w:tc>
          <w:tcPr>
            <w:tcW w:w="1165" w:type="pct"/>
            <w:shd w:val="clear" w:color="auto" w:fill="A6A6A6"/>
          </w:tcPr>
          <w:p>
            <w:pPr>
              <w:keepNext w:val="0"/>
              <w:keepLines w:val="0"/>
              <w:widowControl/>
              <w:suppressLineNumbers w:val="0"/>
              <w:spacing w:before="0" w:beforeAutospacing="0" w:after="0" w:afterAutospacing="0"/>
              <w:ind w:left="0" w:right="0" w:firstLine="0"/>
              <w:jc w:val="both"/>
              <w:textAlignment w:val="top"/>
              <w:rPr>
                <w:rFonts w:ascii="宋体" w:eastAsia="宋体" w:cs="宋体" w:hint="eastAsia"/>
                <w:b/>
                <w:bCs/>
                <w:i w:val="0"/>
                <w:iCs w:val="0"/>
                <w:color w:val="000000"/>
                <w:u w:val="none"/>
              </w:rPr>
            </w:pPr>
            <w:r>
              <w:rPr>
                <w:rFonts w:ascii="宋体" w:eastAsia="宋体" w:cs="宋体" w:hint="eastAsia"/>
                <w:b/>
                <w:bCs/>
                <w:i w:val="0"/>
                <w:iCs w:val="0"/>
                <w:color w:val="000000"/>
                <w:kern w:val="0"/>
                <w:sz w:val="24"/>
                <w:szCs w:val="24"/>
                <w:u w:val="none"/>
                <w:lang w:val="en-US" w:eastAsia="zh-CN"/>
              </w:rPr>
              <w:t>证明材料要求</w:t>
            </w:r>
          </w:p>
        </w:tc>
      </w:tr>
      <w:tr>
        <w:tblPrEx>
          <w:tblW w:w="4993" w:type="pct"/>
          <w:jc w:val="left"/>
          <w:tblInd w:w="0" w:type="dxa"/>
          <w:shd w:val="clear" w:color="auto" w:fill="auto"/>
          <w:tblCellMar>
            <w:top w:w="0" w:type="dxa"/>
            <w:left w:w="108" w:type="dxa"/>
            <w:bottom w:w="0" w:type="dxa"/>
            <w:right w:w="108" w:type="dxa"/>
          </w:tblCellMar>
        </w:tblPrEx>
        <w:trPr>
          <w:trHeight w:val="100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u w:val="none"/>
              </w:rPr>
            </w:pPr>
            <w:r>
              <w:rPr>
                <w:rFonts w:ascii="宋体" w:eastAsia="宋体" w:cs="宋体"/>
                <w:i w:val="0"/>
                <w:iCs w:val="0"/>
                <w:color w:val="000000"/>
                <w:sz w:val="24"/>
                <w:szCs w:val="24"/>
                <w:u w:val="none"/>
              </w:rPr>
              <w:t>1</w:t>
            </w:r>
          </w:p>
        </w:tc>
        <w:tc>
          <w:tcPr>
            <w:tcW w:w="443" w:type="pct"/>
            <w:shd w:val="clear" w:color="auto" w:fill="auto"/>
            <w:vAlign w:val="center"/>
          </w:tcPr>
          <w:p>
            <w:pPr>
              <w:keepNext w:val="0"/>
              <w:keepLines w:val="0"/>
              <w:widowControl w:val="0"/>
              <w:suppressLineNumbers w:val="0"/>
              <w:spacing w:before="0" w:beforeAutospacing="0" w:after="0" w:afterAutospacing="0"/>
              <w:ind w:left="0" w:right="0"/>
              <w:jc w:val="both"/>
              <w:rPr>
                <w:rFonts w:ascii="宋体" w:eastAsia="宋体" w:cs="宋体" w:hint="eastAsia"/>
                <w:b/>
                <w:bCs/>
                <w:i w:val="0"/>
                <w:iCs w:val="0"/>
                <w:color w:val="000000"/>
                <w:u w:val="none"/>
              </w:rPr>
            </w:pP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u w:val="none"/>
              </w:rPr>
            </w:pPr>
            <w:r>
              <w:rPr>
                <w:rFonts w:ascii="宋体" w:eastAsia="宋体" w:cs="宋体" w:hint="eastAsia"/>
                <w:color w:val="000000"/>
              </w:rPr>
              <w:t>业务总体要求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b/>
                <w:bCs/>
                <w:i w:val="0"/>
                <w:iCs w:val="0"/>
                <w:color w:val="000000"/>
                <w:u w:val="none"/>
              </w:rPr>
            </w:pPr>
            <w:r>
              <w:rPr>
                <w:rFonts w:ascii="宋体" w:eastAsia="宋体" w:cs="宋体" w:hint="eastAsia"/>
                <w:bCs/>
                <w:color w:val="000000"/>
              </w:rPr>
              <w:t>随着公众用户和全国海关门户网站管理者实际应用过程中，为了提高海关门户网站的用户体验水平和网站管理工作效率，办公厅对海关门户网站平台提出了进一步功能优化需求，包括（历史数据清理、手机版网站适配优化、海关门户网站页面优化、新媒体栏目建设、网站留言板规范化改造、网站知识图谱构建、领先网站亮点应用策略、在线访谈优化、热点专题专栏建设、智能搜索优化）的相关需求功能，鉴于此情况，需要对现有海关门户网站进行功能优化，满足对外服务和网站管理工作需求。</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u w:val="none"/>
              </w:rPr>
            </w:pPr>
            <w:r>
              <w:rPr>
                <w:rFonts w:ascii="宋体" w:eastAsia="宋体" w:cs="宋体"/>
                <w:i w:val="0"/>
                <w:iCs w:val="0"/>
                <w:color w:val="000000"/>
                <w:sz w:val="24"/>
                <w:szCs w:val="24"/>
                <w:u w:val="none"/>
              </w:rPr>
              <w:t>否</w:t>
            </w:r>
          </w:p>
        </w:tc>
      </w:tr>
      <w:tr>
        <w:tblPrEx>
          <w:tblW w:w="4993" w:type="pct"/>
          <w:jc w:val="left"/>
          <w:tblInd w:w="0" w:type="dxa"/>
          <w:shd w:val="clear" w:color="auto" w:fill="auto"/>
          <w:tblCellMar>
            <w:top w:w="0" w:type="dxa"/>
            <w:left w:w="108" w:type="dxa"/>
            <w:bottom w:w="0" w:type="dxa"/>
            <w:right w:w="108" w:type="dxa"/>
          </w:tblCellMar>
        </w:tblPrEx>
        <w:trPr>
          <w:trHeight w:val="122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2</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keepNext w:val="0"/>
              <w:keepLines w:val="0"/>
              <w:widowControl/>
              <w:suppressLineNumbers w:val="0"/>
              <w:ind w:left="0" w:firstLine="0"/>
              <w:textAlignment w:val="center"/>
              <w:rPr>
                <w:rFonts w:ascii="宋体" w:eastAsia="宋体" w:cs="宋体" w:hint="eastAsia"/>
                <w:bCs/>
                <w:color w:val="000000"/>
              </w:rPr>
            </w:pPr>
            <w:bookmarkStart w:id="49" w:name="_Toc22926"/>
            <w:bookmarkStart w:id="50" w:name="_Toc162517783"/>
            <w:bookmarkStart w:id="51" w:name="_Toc22436"/>
            <w:bookmarkStart w:id="52" w:name="_Toc29492"/>
            <w:bookmarkStart w:id="53" w:name="_Toc37862063"/>
            <w:r>
              <w:rPr>
                <w:rFonts w:ascii="宋体" w:eastAsia="宋体" w:cs="宋体"/>
                <w:bCs/>
                <w:color w:val="000000"/>
                <w:lang w:eastAsia="zh-CN"/>
              </w:rPr>
              <w:t>（一）</w:t>
            </w:r>
            <w:r>
              <w:rPr>
                <w:rFonts w:ascii="宋体" w:eastAsia="宋体" w:cs="宋体" w:hint="eastAsia"/>
                <w:bCs/>
                <w:color w:val="000000"/>
                <w:lang w:eastAsia="zh-CN"/>
              </w:rPr>
              <w:t>历史数据清理</w:t>
            </w:r>
            <w:bookmarkEnd w:id="49"/>
            <w:bookmarkEnd w:id="50"/>
            <w:bookmarkEnd w:id="51"/>
            <w:bookmarkEnd w:id="52"/>
            <w:bookmarkEnd w:id="53"/>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海关门户网站产生了大量历史数据，为进一步规范数据管理，办公厅提出开展网站历史数据清理工作，并同时解决海关门户网站静态化发布时，大量文件读写操作而造成的文件服务器生成静态化文件不稳定等问题，以便提高数据储存的安全性和可用性。另外，《海关门户网站“政府信息公开专栏”对外公开期限工作指引（试行）》（以下简称《指引》）已印发，各直属海关即将对照《指引》要求，规范、有序完成本关门户网站“政府信息公开专栏”已到期的历史信息的集中下线工作。主要任务需求包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1符合管理规范的系统升级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（1）符合信息管理规范的系统升级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根据已建立的</w:t>
            </w:r>
            <w:r>
              <w:rPr>
                <w:rFonts w:ascii="宋体" w:eastAsia="宋体" w:cs="宋体" w:hint="eastAsia"/>
                <w:i w:val="0"/>
                <w:iCs w:val="0"/>
                <w:color w:val="000000"/>
                <w:kern w:val="0"/>
                <w:sz w:val="24"/>
                <w:szCs w:val="24"/>
                <w:u w:val="none"/>
                <w:lang w:val="en-US" w:eastAsia="zh-CN"/>
              </w:rPr>
              <w:t>明确信息管理制度，禁止随意删除或撤销已发布未到期信息，对已到期信息采取“撤稿”而非“删除”的处理方式。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（2）确定保留和归档标准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根据办公厅印发的《指引》信息管理制度，海关总署、司局子网站和42个直属海关门户网站禁止随意删除或撤销已发布未到期信息，对已到期信息采取“撤稿”而非“删除”的处理方式。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2归档模板和标签</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制定并实施归档页面的模板设计，包括归档时间、标签、页面结构等，以确保已归档页面的清晰展示。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（1）归档模板策划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设计</w:t>
            </w:r>
            <w:r>
              <w:rPr>
                <w:rFonts w:ascii="宋体" w:eastAsia="宋体" w:cs="宋体" w:hint="eastAsia"/>
                <w:i w:val="0"/>
                <w:iCs w:val="0"/>
                <w:color w:val="000000"/>
                <w:kern w:val="0"/>
                <w:sz w:val="24"/>
                <w:szCs w:val="24"/>
                <w:u w:val="none"/>
                <w:lang w:val="en-US" w:eastAsia="zh-CN"/>
              </w:rPr>
              <w:t>归档页面上展示的内容，例如归档时间、原始发布时间、相关标签、简要介绍等，设计页面结构，包括标题、正文内容、相关链接以及其他可能需要展示的信息。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（2）归档标签设计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设计归档标签的样式和颜色，确保与网站整体风格一致，确定标签的位置和大小，使其在页面中醒目但不影响整体阅读体验。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（3）归档页面页面设计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设计</w:t>
            </w:r>
            <w:r>
              <w:rPr>
                <w:rFonts w:ascii="宋体" w:eastAsia="宋体" w:cs="宋体" w:hint="eastAsia"/>
                <w:i w:val="0"/>
                <w:iCs w:val="0"/>
                <w:color w:val="000000"/>
                <w:kern w:val="0"/>
                <w:sz w:val="24"/>
                <w:szCs w:val="24"/>
                <w:u w:val="none"/>
                <w:lang w:val="en-US" w:eastAsia="zh-CN"/>
              </w:rPr>
              <w:t>归档页面的整体样式，包括字体、排版、配色等方面的设计，确保归档页面的可读性和美观性，提升用户体验。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（4）归档页面制作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将设计好的归档模板转化为网页代码，确保在不同设备上都有良好的展示效果，进行页面模板的实际开发和测试。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3栏目归档</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对归档页面进行栏目归档，以便在管理中能够便捷地查找并浏览归档信息。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（1）栏目分类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根据信息的性质和内容，确定需要设置的栏目分类。例如，可以按照时间、主题、地域等因素进行分类。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（2）栏目结构设计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根据确定的栏目分类，设计归档页面的栏目结构。可以使用嵌套的层级结构，使得信息的归档更加清晰和有序。例如，可以使用主分类和子分类的方式进行层级划分。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（3）标识和标签</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为每个栏目设定明确的标识和标签，以便在管理中能够快速查找和浏览归档信息。可以使用不同颜色、图标或文字样式来区分不同的栏目。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（4）归档信息配置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将归档的信息按照其性质和内容分配到相应的栏目中。可以根据事先设定的标识和标签，或者根据信息的特点进行手动分配。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（5）搜索和导航功能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为归档页面提供搜索和导航功能，以便管理员能够便捷地查找和浏览归档信息。可以添加搜索框、筛选器或导航菜单等交互元素，使得管理操作更加高效。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4下线期限设置功能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在信息发布操作中，平台需提供一个下线期限设置功能，让发布者能够在发布信息时同时设定一个合适的下线期限。这样，信息就会在到期后自动下线，无需手动操作。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（1）管理界面设计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在信息发布页面中增加一个下线期限设置的选项，可以是一个日期选择器或者相对日期（如几天后）的选项。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（2）逻辑处理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在后台系统中，需要进行逻辑设计和开发，使得系统能够根据发布者设定的下线期限，在到期后自动将信息下线。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（3）提醒和通知</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信息即将下线之前，可以通过系统通知或邮件等方式提醒发布者，以便其对信息进行更新或延期处理，开发提醒和通知管理功能，可以设置提醒和通知机制，提醒发布者在信息即将到期前进行必要的处理，比如更新、延期或撤销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5静态化网页历史数据清理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对平台部署结构进行修改，实现对数据清理工作。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（1）定期备份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在进行清理之前，需确保已经进行了历史数据的备份，以防止误删或数据丢失。备份可以存储在离线或云端的安全位置。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（2）保留期限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根据办公厅印发的《指引》信息管理制度，自定义设置法定主动公开下子栏目设定需要保留的期限，同时支持自定义设置新闻发布类栏目的保留期限。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（3）数据清理工具开发</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开发工具或脚本来清理历史数据。可以通过编程语言或数据库命令来批量删除过期的静态化网页数据。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（4）测试验证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清理完成后，进行验证和测试，确保没有删除错误的数据，并且网站的功能和访问没有受到影响。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（5）自动化监控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为了长期维护和管理，可以考虑设置监控和自动化任务。监控可以定期检查并提醒是否需要进行数据清理，自动化任务可以定期执行数据清理操作。在进行数据清理时，记录清理的日期、具体操作步骤和清理的数据范围，以备将来参考和追溯。</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121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3</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411"/>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（二）手机版网站适配优化需求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海关门户网站PC端和移动端之间实现自适配功能，利用HTML5技术，将给予PC端的门户网站在移动端屏幕自适应展示，保证PC端网站与移动端信息、数据同步，并可以一键分享至个人微信、微博等新媒体平台，实现政务信息的快速传递。主要任务需求包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1移动端页面优化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使网页在移动端（手机、IPAD等）上无论竖屏或横屏都能自适应，内容和功能正常显示，文字和图片清晰可读，重要的内容、功能和导航能在首屏呈现，页面滑动限制仅在垂直方向可动。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（1）响应式设计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采用响应式网页设计，使网页能够根据设备的屏幕大小和方向进行自动调整。通过使用CSS媒体查询，可以根据屏幕宽度和高度设置不同的样式和布局。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（2）弹性布局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使用弹性布局（flexbox）或网格布局（grid）来实现页面内容的自适应。这些布局技术可以根据屏幕的尺寸和方向动态调整元素的排列和大小。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（3）图片适配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使用响应式图片或CSS背景图片，以确保在不同屏幕大小下图片能够适应并清晰可读。可以使用CSS属性max-width: 100%来限制图片的最大宽度，保证在小屏幕上不会溢出。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（4）文字适配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使用相对单位（如em、rem）或百分比来定义字体大小，使文字能够根据屏幕大小进行缩放。同时，确保行间距和字间距合适，以提高可读性。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（5）首屏内容优化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将重要的内容、功能和导航放置在网页的首屏，以便用户在进入页面时能够立即看到并使用。可以通过布局调整、滚动效果等方式来突出展示。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（6）垂直滑动限制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使用CSS属性overflow: auto或overflow-y: scroll来限制页面只能在垂直方向上滑动，以提供更好的用户体验。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（7）移动端测试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在开发过程中，及时在真实的移动设备上进行测试，以确保页面在不同移动设备和操作系统上的兼容性和可用性。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2多点触控优化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为按钮、菜单标签、链接等可点击界面元素设置合适的大小，界面元素之间设置合适的间距。</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（1）基准尺寸配置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根据设计需求和用户体验，确定按钮、菜单标签、链接等可点击元素的基准尺寸。一般可以参考前述建议，如按钮为最小40x40像素，菜单标签为最小44x44像素。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（2）元素大小设置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使用CSS样式，为可点击元素设置合适的宽度和高度。可以使用像素（px）作为单位，或者使用相对单位（如em、rem）以便在不同屏幕尺寸下能够自适应调整。</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（3）元素间距设置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使用CSS样式，为界面元素之间设置合适的间距。可以使用margin和padding属性来控制垂直和水平间距。</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3网页加载速度优化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尽可能压缩移动端网页的大小，为手机网页提供专门的小尺寸、经过压缩的图片内容，尽可能减少背景图、动画等在移动端展示效果不佳的装饰性图片素材的使用，使移动端网页加载速度更快。</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（1）图片优化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针对每个页面和元素，选择适当的尺寸和格式的图片。对于小图标和装饰性的图片，可以考虑使用矢量图格式（如SVG）代替位图。</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使用图片压缩工具（如TinyPNG、JPEGmini等）来减小图片文件大小。确保在压缩过程中仍然保持图片的可接受质量。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使用适当的图片格式，如JPEG、PNG或WebP，并根据情况使用透明度。</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（2）装饰素材优化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审查移动端网页上的背景图、装饰性图片等元素，尽量减少使用。使用纯色背景或简单的CSS样式来代替图片装饰效果，对于必须使用的装饰性图片，使用合适的压缩工具进行优化。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（3）CSS和JavaScript文件压缩</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将CSS和JavaScript文件合并，减少HTTP请求次数，使用工具压缩CSS和JavaScript代码，删除注释、空格和无用的代码。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浏览器缓存设置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设置适当的缓存头（Cache-Control、Expires等），让浏览器缓存网页的静态资源文件，从而减少重复加载。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4栏目导航层级优化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移动端网页的导航以两层以内为宜，每层的导航内容以一屏之内可以显示为宜，导航的形式以纵向排列或者九宫格图标排列为宜。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（1）主导航菜单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主要包含网站的核心导航链接，在移动端上以纵向排列的形式呈现，确保每个导航链接都清晰可见，一屏内显示完整。</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（2）次级导航菜单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包含主导航下的二级导航链接或者相关功能入口，在移动端上以折叠菜单或者滑动菜单的形式呈现，用户可以点击展开或者滑动查看更多选项。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（3）九宫格图标排列</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需将部分导航链接使用九宫格图标排列的形式展示，使得用户可以通过图标快速定位并访问目标页面。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（4）搜索和返回功能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在导航栏或者页面顶部设置搜索框，方便用户进行站内检索操作，提供返回按钮或者面包屑导航，帮助用户快速返回上一级页面，提高用户浏览效率。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5避免弹窗优化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在移动端上进行多窗口操作比较困难，而且在多窗口切换的时候往往会导致页面重新载入和等待，应尽可能避免在移动端的非必要弹窗，如确需进入新页面尽量对原页面进行覆盖。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（1）路由管理和组件化开发</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使用框架提供的路由管理功能，将不同的页面或功能模块拆分为独立的组件，并通过路由进行管理，实现在同一页面内的内容切换。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（2）异步加载和懒加载功能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对于较大的组件或者需要异步加载的内容，采用懒加载的方式，延迟加载这部分内容，减少初始页面加载时间，结合路由和组件的动态加载功能，按需加载所需的资源，提高页面的响应速度和用户体验。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（3）浮层或模态框展示新内容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当需要展示新页面或者功能时，优先使用浮层或者模态框的形式展现，保持原页面的状态，避免页面重新载入，同时提供清晰的关闭或返回操作，让用户能够方便地回到原页面。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（4）加载提示和反馈功能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页面内容加载过程中，设计合适的加载提示和反馈效果，告知用户当前正在加载的状态，使用加载动画、进度条等方式来提示用户，同时结合页面布局和交互设计，让用户能够清晰地感知到页面变化和加载状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6文字显示效果优化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不同操作系统，不同品牌的移动端往往内置不同字体，拥有不同范围的字符集，需要确认网页文字所选用的字体、以及所用的文字是否能正常显示，尤其是繁体中文、特殊字符等内容。文字内容应尽可能精简，以更适合移动端阅读。针对字体大小，可允许用户进行个性化定制，可以参照微信等文字大小设置方式，滑动变换字体大小，便于用户选择。</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（1）字体选择与排版优化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选择合适的字体：使用易读且在不同设备上都能正常显示的字体，如Arial、Helvetica、Verdana等。避免使用过于艺术化或特殊的字体。</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合理设置字号和行高：确保文字大小适中，不过大或过小，行高设置合理，以便用户舒适地阅读。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（2）色彩搭配与对比度优化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确保背景色与文字色彩之间有足够的对比度，以确保文字能够清晰可见，并让用户轻松阅读，调整颜色饱和度，避免使用过于鲜艳或过于暗淡的颜色，以免影响用户的阅读体验。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（3）行长与段落间距优化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避免文字行长过长，每行文字在60-80个字符之间，以提高阅读的舒适度，合理设置段落之间的间距，使得内容结构清晰，易于区分不同的段落。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（4）字间距与字距优化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根据具体字体和字号大小，适度调整字间距，避免文字过于紧凑或过于分散，控制字距，确保字母之间的距离适中，不要过于靠近或过于分散，以提高字体的可读性。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（5）断词与断行处理优化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使用合适的断词算法，确保长单词在换行时能够自动断开，避免影响阅读和排版效果，处理换行，通过调整行宽或者增加内容的方式来改善段落的整体美观和可读性。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7一键分享功能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在移动端和PC端页面中添加一键分享至微信、微博等新媒体平台的功能，方便用户将感兴趣的政务信息快速分享至社交平台，实现政务信息的快速传递和扩散。</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（1）分享插件集成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选择适合的社交媒体分享插件，通过插件快速集成各种社交媒体的分享功能，包括微信、微博等。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（2）定制分享按钮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设计定制的分享按钮，以便用户在浏览信息时，能够直接点击按钮进行分享。这些按钮可以是图标形式或者文本链接形式，放置在页面适当位置以提醒用户分享。</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（3）生成分享链接</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当用户点击分享按钮时，生成对应的分享链接，并结合社交媒体分享插件，实现自动跳转至对应的社交媒体平台，并将相关内容自动填充至分享页面，方便用户编辑和分享。</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（4）统计分享数据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对分享行为进行统计和分析，以了解哪些信息更受欢迎，哪些渠道分享效果更好，为信息的传播提供数据支持。</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181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4</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（三）海关门户网站页面优化需求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根据海关总署办公厅最新要求，策划并美术设计全新的海关总署门户网站首页。</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1栏目规范梳理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研究国家和海关总署关于政府网站建设的政策要求，借鉴商务部、市场监管总局、北京市等领先政府网站经验做法，梳理总署主网站发展现状，分析各司局业务职能和用户需求，总结网站建设要求要点。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2模板库建设</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基于总署内容管理平台优化完善模板库。模板根据应用范围不同划分为频道模板、文章详细模板、应用模板、导航模板和公共模板。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（1）频道模板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完善频道模板，用于展示不同栏目或频道的内容，例如新闻、公告、政策法规等。每个频道都可以有自己的独特模板，用于呈现特定类型的内容。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（2）文章详细模板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完善文章详细模板，用于展示具体文章的详细内容，例如新闻文章、政策解读等。它应该提供良好的阅读体验，包括标题、作者、发布日期、正文、附件等内容展示。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（3）应用模板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完善应用模板，用于展示特定功能或应用的页面，例如在线办事、查询系统等。它应该提供清晰的操作界面和用户交互设计，使用户能够方便地完成相关任务。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（4）导航模板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提供可配置的导航模板，支持多级菜单、下拉菜单、图标展示等功能，以满足不同页面导航需求，并支持响应式设计，适配不同设备。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（5）公共模板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完善公共模版，包括页头、页尾、侧边栏、搜索框等公共模块的模板，以确保整个网站在视觉风格和功能交互上的一致性，提升用户体验。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3页面模板设计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政府网站发展指引》的《网页设计规范》要求和总署门户网站设计相关要求，基于门户网站栏目框架，开展网站页面模板等美术设计。设计开发首页模板、频道页模板、一级栏目页模板、二级栏目页模板、三级栏目页模板、左侧导航栏模板、内容详情页模板、公共头部模板、公共底部模板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（1）首页模板设计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突出海关总署的形象和核心信息，可使用大型横幅、滚动图片等方式进行展示，提供快速访问重要栏目和服务的入口，如导航菜单、搜索框等。展示最新的政策法规、通知公告、重要新闻等要素。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（2）频道页模板设计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根据不同频道的特点和内容分类，设计相应的布局和样式，突出频道的主题和重点内容，提供清晰的导航和分类展示方式，使用视觉元素，如图标、背景色等，以增强页面的辨识度。</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（3）一级栏目页模板设计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展示一级栏目下的二级栏目和相关内容，提供清晰的导航和分类展示方式，可根据栏目特点选择适当的布局和样式，确保信息的呈现效果和易读性。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（4）二级栏目页模板设计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展示二级栏目下的三级栏目和相关内容，提供清晰的导航和分类展示方式，可考虑使用标签、缩略图等方式，以增加页面的可视性和信息呈现效果。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（5）三级栏目页模板设计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展示三级栏目下的具体内容和相关信息，如文章、文件下载等，提供良好的阅读体验，确保内容的清晰排版和可读性。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（6）左侧导航栏模板设计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提供整体网站结构的导航，包括一级、二级、三级栏目的展示，采用折叠、展开等方式，以方便用户浏览和选择。</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（7）内容详情页模板设计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展示具体内容的详细信息，包括文本、图片、视频等多媒体元素，设计清晰的布局和排版。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（8）公共头部模板设计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包含网站的标志、导航菜单、搜索框等公共元素，突出网站的品牌形象和核心功能。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（9）公共底部模板设计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包含版权信息、联系方式、友情链接等公共元素，提供相关法律声明和网站导航，方便用户了解和使用其他功能。</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91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5</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512"/>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（四）新媒体栏目建设需求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办公厅领导要求，为提升信息传递效率和便捷性，将“海关发布”微信公众号中关注度较高（初定阅读量超过1万次，需明确计算阅读量的时长）的文章纳入海关总署门户网站展示，提供多种方式给用户访问和获取相关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1添加“海关发布”微信公众号二维码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海关门户网站首页的显著位置（在网站右侧做一个漂浮图层展示“海关发布”微信公众号的二维码），设置“海关发布”微信公众号的二维码和链接。用户通过扫描二维码或点击链接，可以直接访问“海关发布”微信公众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（1）二维码添加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在网站的右侧设置漂浮图层，用于展示“海关发布”微信公众号的二维码，将获得的二维码图片嵌入到漂浮图层中，确保图片显示清晰且不失真。</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（2）二维码的链接填加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将二维码与“海关发布”微信公众号的链接进行关联，以便用户可以直接访问，支持在二维码上添加点击链接，或采用旁边添加文本链接方式，实现用户访问微信公众号的功能。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（3）二维码验证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设置完毕后，进行测试验证二维码和链接的功能是否正常，根据实际情况进行调整和优化，以确保用户能够方便地扫描二维码或点击链接访问“海关发布”微信公众号。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2开设“新媒体”栏目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在海关门户网站新开设“新媒体”栏目，建设内容为“海关发布”、“12360服务”微信公众号，“海关发布”、“12360服务”官方微博并将官方微博数据采集展示，授权栏目相关管理员同步维护网站栏目内容。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（1）栏目设计和布局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设计和布局“新媒体”栏目页面。可以采用现代化的UI设计和响应式布局，易于用户访问和浏览。同时，需要考虑页面的美观性和易用性，使用户能够快速定位自己需要的信息。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（2）栏目内容策划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明确栏目的目标和主题，确定栏目所要传达的核心信息和价值，根据栏目的主题和目标，将内容进行合理的分类和结构化。根据内容的特点，选择适当的形式，制定内容更新策略，授权“新媒体”栏目管理员，确保可实现对栏目持续发布新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3“新媒体”栏目管理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栏目管理员可进行栏目发布、修改、删除等操作。栏目维护内容包含文章的标题、内容、图片、视频等。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（1）栏目编辑和管理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提供“新媒体”栏目编辑和管理功能。管理员可以根据需要创建、编辑和删除栏目。同时，也可以对栏目进行排序、调整和合并等操作，以适应信息管理的需求。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（2）栏目权限和访问控制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建立“新媒体”栏目权限和访问控制机制。根据用户角色和权限设置，限制用户对栏目的访问和操作。管理员可以根据需要设置不同的权限等级和访问范围，确保信息的安全性和可控性。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4数据采集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(1)数据采集需求：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采集范围：包含“海关发布”和“12360”官方微信公众号、“海关发布”和“12360”官方新浪微博。</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采集时频率：网站管理员可配置采集任务，采集频率默认设置为30分钟1次。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采集内容：微信、微博都需要采集内容供搜索使用，包括标题、时间、作者和链接地址。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（2）数据采集任务：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针对“海关发布”微信公众号和“12360”微信公众号，按照配置的采集间隔时间访问官方微信公众号主页，获取最新文章列表。对于每篇最新文章，采集文章标题、发布时间、作者和链接地址。进入文章链接地址，采集文章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将采集到的数据存储在数据库中，以便后续搜索和使用。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针对“海关发布”新浪微博和“12360”微信公众号，按照配置的采集间隔时间访问官方微博页面，获取最新微博信息。对于每条最新微博，采集微博内容、发布时间、作者和链接地址。将采集到的数据存储在数据库中，以便后续搜索和使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（3）采集日志记录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需确保程序对网站访问的可靠性、稳定性和数据的准确性。如有异常情况（如网络故障、网站维护等），应记录异常情况并及时处理，以确保数据采集的连续性和准确性。</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211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6</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611"/>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（五）网站留言板规范化改造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海关总署门户网站整改栏目为署长信箱、廉政举报、信访、业务咨询、走私举报栏目，42个直属海关门户网站对应整改的栏目为关长信箱、廉政举报、信访、业务咨询、走私举报栏目。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1邮件发送记录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信箱栏目现存问题，即栏目管理员不知晓“留言成功”提醒邮件是否已发送，导致可能会重复发送提醒邮件。为了解决这个问题，计划对信箱栏目管理功能进行升级，增加记录邮件发送记录和直接在后台管理页面显示邮件内容的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升级信箱栏目后台管理功能，记录“留言成功”提醒邮件发送记录，避免重复发送邮件。将邮件内容直接显示在后台管理页面，设置为不可编辑状态。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（1）显示邮件内容在后台管理页面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管理页面增加显示邮件的详细内容，邮件内容应在后台管理页面直接显示，不可编辑。</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（2）邮件发送状态标识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在邮件发送记录中，标识邮件的发送状态，例如成功、失败等。 如果邮件发送失败，应在邮件发送记录中标明失败原因，并提供重新发送的选项。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 xml:space="preserve">（3）管理权限控制 </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实现各子站站点管理员可以授权信箱管理员查看邮件发送记录的权限。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（4）建立“留言须知”功能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为规范留言内容，在用户提问前建立“留言须知”提示功能，用户在填写留言内容前先要了解本留言板块的留言范围和提交要求。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2恶意留言提醒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当再次收到恶意留言库中电话、IP地址留言时，系统将自动与往期留言内容进行比对，若重合率达90%以上，自动判定为恶意留言，并对留言办理人员进行提醒“经系统判定，该条留言被认定为恶意留言，请妥善处理。”若未被系统直接判定为恶意留言，对留言办理人员进行提醒“请注意，该用户曾提交恶意留言，请妥善处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（1）阈值设置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将重合率设定在90%以上可以作为初步判定标准，可通过阈值设置功能，根据实际情况和需求来确定参数。支持历史数据和统计分析结果查看，帮助管理人员进行阈值确定。</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（2）信息提醒留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对于被系统判定为恶意留言的情况，系统可以自动发送提醒给留言办理人员，提示该条留言已被认定为恶意留言。可及时引起留言办理人员的关注，加强对恶意留言的处理。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（3）历史恶意留言用户提醒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对于那些未被系统直接判定为恶意留言的用户，系统自动发送提醒给留言办理人员，提示他们该用户曾提交恶意留言。留言办理人员对这类用户的留言进行审核。</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（4）流程设置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针对系统判定为恶意留言或有恶意留言记录的情况，提供处理流程配置，包括严格审核、记录相关信息、采取必要的行动等。这样可以确保对恶意留言的及时处理和妥善应对。</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121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7</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711"/>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（六）网站知识图谱构建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选取3个重点业务场景，对网站栏目、网站信息、用户在使用政府在线网站的行为等数据进行综合分析，用可视化技术挖掘、分析、构建、绘制和显示以上信息之间的相互联系，将网站不同信息的关联性形成一个网状的知识结构，进而对网站进行科学的分析和改进，以更好的符合群众的使用需求和使用习惯、为网站管理人员提供更好的决策支撑。</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1业务场景梳理分析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选取3个重点业务场景，场景选择遵循用户诉求较高的，影响力较大的场景，深入分析场景的关键服务内容，形成图谱规划。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（1）在线办事类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场景涵盖了各种证件申请、行政审批、许可申请等服务。关键服务内容包括：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申请资格条件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申请所需材料清单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申请流程和办理时限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在线填表提交</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申请进度查询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（2）政策法规咨询类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涉及用户对政府政策、法律法规等方面的咨询服务。关键服务内容包括：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政策文件和法规条款查询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咨询问题提出与解答</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相关政策解读和解释</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咨询历史记录查看</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（3）信息公开类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包括统计数据、公共资源信息、行政事务公开等各类数据查询服务。关键服务内容包括：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数据分类和检索方式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数据查询与下载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公开信息目录和内容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w:t>
              <w:tab/>
              <w:t>数据展示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2网站信息和用户行为数据收集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搜集业务场景下的网站栏目结构、各类信息数据，以及用户在使用网站时的行为数据，比如页面浏览量、点击行为、停留时间等。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（1）网站栏目结构和信息数据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获取网站的导航菜单、页面链接等，来了解网站的栏目结构和各类信息数据，获取网站的结构化信息数据，包括各个栏目的标题、内容摘要、发布时间等。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（2）用户行为数据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添加统计代码或工具，并收集用户行为数据。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（3）用户调研和访谈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通过用户调研和访谈，获取用户体验反馈，了解用户的需求、习惯和痛点，用于完善业务场景图谱。</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3实体建模与标注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对于网站中涉及的各种实体（如服务、资讯、用户等），需要进行建模和标注，包括确定实体的属性、类别、关联关系等。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（1）实体识别</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使用实体识别技术来从文本中识别出实体，并进行分类。实体可以是服务、文章、用户等不同类型的对象。实体识别可以基于规则、机器学习或深度学习方法，通过训练数据来自动地识别实体。</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（2）属性提取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通过自然语言处理技术，从文本中提取实体的属性信息。例如，对于服务实体，可以提取出服务的名称、流程、条件等属性。属性提取可以利用词性标注、依存句法分析等技术来分析文本结构，然后提取出与实体相关的属性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（3）实体分类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对识别出的实体进行分类，将其归入相应的类别。例如，对于资讯实体，可以进行分类为新闻、政策、法律法规等不同的类别。实体分类可以基于规则或机器学习方法，通过训练数据来自动地分类实体。</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（4）关联关系建模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确定不同实体之间的关系，并建立关联关系模型。例如，服务实体与用户实体之间可以有办理关系，资讯实体与用户实体之间可以有推送关系等。关联关系建模可以通过自然语言处理技术和关系抽取技术来识别和建模实体之间的关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4关系抽取与建模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网站知识图谱的关键之一是各种实体之间的关系。通过自然语言处理、关系抽取等技术，可以发现并建模实体之间的各种关联关系，从而构建出丰富的关系网络。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（1）自然语言处理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利用自然语言处理技术分析网站文本数据，识别其中描述实体之间关系的语义信息。这包括实体识别、命名实体识别、句法分析等技术，以便准确地提取实体和它们之间的关系。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（2）关系抽取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通过关系抽取技术，从文本数据中提取实体之间的关联关系。涉及到基于规则的抽取方法，也可以是基于机器学习的关系抽取模型，通过训练数据来自动识别和提取实体之间的关系。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（3）语义建模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对提取到的关系信息进行语义建模，即将关系信息表示为计算机可理解的形式。这可以采用图表示学习方法、向量化表示等技术，以便将关系信息纳入知识图谱的框架中。</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（4）关系类型分类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对提取到的关系进行分类，例如确定关系的类型（如属于、相关、同义等），以便更好地组织和展示不同类型的关系。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（5）关系验证与补全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通过自然语言处理和知识库对比等方法，对提取到的关系进行验证和补全，以提高关系的准确性和完整性。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5可视化与交互</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在用户与知识图谱交互时，提供实时的反馈和动态更新，以便用户能够立刻看到他们的操作所产生的效果。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（1）图谱导航</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提供直观的图形界面，以展示知识图谱中的实体、关系和属性。用户可以通过可视化图形进行浏览和导航，包括放大、缩小、拖动等操作，以便更清晰地理解知识图谱的结构和内容。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（2）交互式查询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为用户提供交互式的查询界面，允许用户输入查询条件并获取相关信息。这可以是一个搜索框，也可以是一些交互式的过滤器和选项，以帮助用户快速找到所需的信息。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（3）关联关系展示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在可视化界面中清晰地展示实体之间的关联关系，例如通过连线、箭头等方式标示不同实体之间的关系，以便用户能够理解实体之间的连接和关联。</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（4）图谱摘要和概览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提供图谱的摘要信息和概览，以便用户在浏览前能够对知识图谱的内容和结构有一个整体的认识，这可以通过摘要文字、统计数据、图表等形式来展现。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（5）多维度展示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支持多种不同的展示方式，例如树状结构、网络关系图、地图等形式，以便用户可以根据自己的需求选择最适合自己的展示方式。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（6）实时反馈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在用户与知识图谱交互时，提供实时的反馈和动态更新，以便用户能够立刻看到他们的操作所产生的效果。</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8</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87"/>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（七）领先网站亮点应用策略</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对国内外领先政府网站进行调研，总结提炼主要做法、功能特点、实现路径等，提出海关总署门户网站优化改进意见建议。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1确定调研目标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明确国内外政府网站调研的目的，如提升政府网站易用性、完善信息公开功能、借鉴国外政府网站建设和管理经验等。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2设计调研问卷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围绕目标制定详细的调研问卷，内容可以涉及网站设计、用户体验、政策解读、政务服务功能、多语言支持、无障碍设计等方面。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3数据收集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（1）国内政府网站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利用网络搜索引擎、政府网站评价系统等手段，收集整理国内政府网站的相关信息，对排名靠前、具有一定代表性的政府网站进行调研。</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（2）国外政府网站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参考国际政府网站评比榜单（如联合国电子政务发展指数），筛选出国际上领先的政府网站，然后从政府官网、专业论坛、新闻报道等途径收集信息。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4用户体验测试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（1）国内政府网站体验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注册和登录政府网站，模拟实际用户访问网站，填写调查问卷及记录使用过程中的操作步骤、遇到的问题，最后对网站做出综合评分。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（2）国外政府网站体验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使用谷歌翻译等工具浏览网站，模拟实际用户注册登录、查看政策、使用公共服务等功能，收集相关数据及记录用户体验。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5分析总结及成果展示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（1）资料整理与归纳</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整理调研问卷、用户体验记录、访谈资料等，分析总结出国内外领先政府网站的特点、建设经验、改进方向等。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（2）展示成果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制作报告或演示文稿，把调研成果向网站管理部门汇报，提出海关网站的优化建议及改进策略。</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9</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191"/>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（八）在线访谈优化</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保留原有业务功能的基础上，开展在线访谈技术优化，提升管理端用户使用体验，主持人审核留言待审、待发布分类展示，增加管理员访谈访问量情况监控页面，时时掌控访谈的整体访问情况，在管理端展示访谈进度，方便管理员掌控访谈进度和发布情况。同时对访谈背景资料功能升级，增加在线访谈预告视频发布。</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1分类展示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在管理端设置留言审核分类，将待审和待发布的留言分别展示，方便管理员快速审核和发布留言。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（1）留言分类显示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在管理端的留言管理页面上，增加一个分类显示功能，将待审和待发布的留言分别列出或标记，使其在页面上清晰可见。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（2）批量审核和发布</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为管理员提供批量审核和发布功能，让管理员可以一次性对多条留言进行审核或发布操作，减少重复操作，提升效率。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（3）筛选和搜索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提供筛选和搜索功能，让管理员可以根据不同的条件快速找到需要审核或发布的留言，如按照时间、内容关键词等进行筛选。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（4）展开/收起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页面分两栏设计，左侧为准备好材料，右侧为网友提问区。可选择展开或收起任何一侧，只看其中一侧的内容。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2访问量监控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设计监控功能，可显示当前访谈的实时访问量情况，包括在线人数、总访问量等，方便管理员时时掌握访谈的整体访问情况。</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（1）实时在线人数统计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在管理端设置实时在线人数统计的模块，能够显示当前访谈的在线人数。可通过WebSocket、长轮询等技术实现，确保数据的及时性和准确性。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（2）总访问量统计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在管理端提供总访问量的统计功能，以显示访谈的累计访问量。当有用户访问访谈页面时，访谈总访问量会相应地增加。可在后台通过对访问请求进行计数。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（3）可视化展示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将实时访问量和总访问量以图表的形式展示，如折线图或柱状图等。管理员可直观查看访谈的访问趋势和峰值，更好地了解访谈的受欢迎程度和影响力。</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（4）历史记录查询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提供历史记录查询功能，管理员可查看过去一段时间内访谈的访问量情况。提供时间范围设定功能，获取该时间段内的详细访问统计数据，从而对访谈的发展情况进行分析和评估。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3进度情况展示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在管理端设置访谈进度展示，以列表或时间轴的形式展示访谈各个环节的进度，同时展示留言的审核和发布情况，方便管理员掌控访谈进度和发布情况。</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（1）访谈进度展示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支持在管理端创建时间轴视图，用于展示访谈各个环节的进度。每个环节可以以时间节点的形式显示，管理员可以清晰地看到当前所处的环节和已经完成的环节，显示访谈进度百分比。计算公式=待发布条目/总条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（2）情况列表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设置一个留言审核和发布情况列表，列出当前环节的留言审核情况和发布情况。包括待审核留言数量、已审核留言数量，以及已发布留言数量等信息，实时统计并显示共有网友提问X条，答复X条。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（3）自动刷新/立即刷新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可选择对页面自动刷新或手动立即刷新。自动刷新可选择时间间隔：10秒、30秒、1分钟、2分钟、5分钟。</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4访谈背景资料功能升级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对访谈背景资料功能进行升级，支持上传和展示访谈相关的文件、图片、视频等资料，同时增加在线访谈预告视频发布功能，提前宣传和吸引用户参与访谈。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（1）多媒体资料上传功能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在管理端添加多媒体资料管理模块，允许管理员上传和管理各种形式的资料，包括文件（如PDF、Word文档等）、图片、视频等。这些资料可以是与访谈相关的背景资料、演讲稿、参考资料等。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（2）资料展示页面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访谈页面增加专门展示多媒体资料的区域，用户可以在该区域查看、下载和分享相关资料。针对不同类型的资料，可以使用合适的展示方式，比如图片可以直接预览，视频可以提供播放按钮等，可选择倒序或正序观看访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（3）在线访谈预告视频发布</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在管理端设置在线访谈预告视频发布功能，允许管理员上传和发布访谈预告视频。同时，让用户可以提前观看访谈预告视频，以便吸引用户的关注和参与。</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（4）权限管理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对资料上传和预告视频发布设置权限管理，确保只有授权的管理员能够进行相关操作，避免误操作和信息泄露。</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10</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202"/>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（九）热点专题专栏建设</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海关门户网站作为海关与公众之间的桥梁，每年的热点专题专栏建设是网站内容更新的重要部分，包括国家热点会议、关长会议、业务专栏建设等重要事件和主题。为了提高网站的用户体验、信息传播效果以及网站的实用性和美观性，海关门户网站热点专题专栏的建设及维护。</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1策划栏目布局</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根据业务需求和热点专题的内容，制定合理的栏目布局，建设对应的栏目结构，突出重点，便于用户查找和浏览。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2美术设计页面风格</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结合热点专题的主题和特点，设计独特的页面风格，体现海关门户网站的特色和文化内涵，同时注重用户体验和视觉效果。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3建设网站专题页面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根据热点专题的内容和要求，建设相应的网站专题页面，包括页面模版建设、模块模版建设以及页面动画效果开发等功能，。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4授权业务部门维护</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将专题页面的维护任务分配给相关业务部门，确保信息的及时更新和网站的日常维护。</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1485"/>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11</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222"/>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（十）智能搜索优化</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根据《国务院办公厅关于印发政府网站发展指引的通知》国办发〔2017〕47号发文要求，优化现有海关总署门户网站搜索功能，对搜索引擎进行全面升级，优化改造关键词匹配、高级检索、搜索历史和推荐、相关性排序、文档摘要和预览、快速索引更新、智能检索后台管理等功能。根据用户真实需求提供多维度分类展现，聚合相关信息和服务，实现“搜索即服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海关总署门户网站智能聚合搜索服务的服务对象要求包括海关总署主站点、英文版网站、司局子网站23个子站点和42个直属海关门户网网站。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1搜索范围</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海关总署门户网站智能聚合搜索服务统一搜索的数据资源范围按照数据来源主要包括以下几个方面：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（1）海关总署网站群站内信息；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海关总署门户网站全站信息；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广东分署和22个司局子网站信息；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42个直属海关站群各站信息。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（2）海关总署网站外相关政务资源信息：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海关总署“互联网+海关”政务服务平台有关内容与服务信息；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海关总署英文版网站信息；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海关总署官方微信“海关发布”的信息；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海关总署官方微博“海关发布”的信息；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中国对上合组织成员国贸易指数网站信息；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w:t>
              <w:tab/>
              <w:t>海关总署指定的其他相关网站信息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2搜索引擎升级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系统改造升级为高效的搜索引擎，支持全文搜索和关键词搜索。能够对大规模的文本数据进行快速检索，并根据相关性对搜索结果进行排序。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（1）全文搜索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需支持对大规模的文本数据进行搜索和检索。可以根据关键词匹配度和相关性，返回最相关的搜索结果。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（2）实时数据分析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需支持对实时数据进行分析和聚合，可以实时查询和汇总分布式和非结构化数据。这对于实时监控、日志分析和业务智能等方面非常有用。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（3）多语言支持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需支持多种语言的全文搜索，包括中文、英文和其他常用语言。具备对多种语言的分词和词性标注能力，提高搜索结果的准确性。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（4）分布式架构</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需采用分布式架构，可以将数据存储在多个节点上，提高搜索的性能和可扩展性。它还支持数据的水平和垂直扩展，以应对数据量的增长和大规模并发查询的需求。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（5）实时同步</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需具备实时同步数据的功能，可以将数据在多个节点之间实时复制，保持数据的一致性和可靠性。它使用了多主复制和分片等技术，提供高可用性和数据冗余。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（6）多种查询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需支持多种查询类型，包括全文查询、词语查询、范围查询、多条件查询等。用户可以自定义查询语句，灵活地进行数据过滤和筛选。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（7）聚合和统计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需支持基于查询结果的聚合和统计分析，如求和、平均、最大值、最小值等。用户可以根据需要，对查询结果进行聚合和统计，生成各种可视化的报表和图表。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（8）分词和词性标注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需具备先进的中文分词和词性标注功能，可以将中文文本分解成独立的词语，并对每个词语进行词性的标注。这有助于提高搜索的准确性和相关性。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（9）实时索引更新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需具备实时索引更新功能，可以在数据变化时，快速更新索引和搜索结果。它支持增量更新和批量更新，保证最新的数据能够及时被搜索到。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（10）可视化工具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需提供多样化的可视化工具和仪表板，用于展示搜索结果、监控系统性能和数据分析报表。用户可以根据需要，定制自己的可视化界面。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3关键词匹配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系统能够根据用户输入的关键词匹配相关的文档或信息，并展示匹配度较高的搜索结果。支持模糊匹配、拼写纠错和近义词扩展等功能，提高搜索结果的准确性和完整性。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（1）分词和标准化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需要对用户输入的关键词进行分词和标准化处理，以确保搜索的准确性和完整性。分词将关键词分解成独立的词语，标准化处理将词语转换成统一的格式，例如转换为小写字母。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（2）拼写纠错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需支持拼写纠错功能，当用户输入的关键词拼写错误时，系统能够自动纠正拼写并返回相关的搜索结果。这可以提高用户的搜索体验和搜索的准确性。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（3）近义词扩展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需要支持近义词扩展功能，当用户输入的关键词与文档中的近义词相关时，系统可以将相关的近义词也作为搜索条件，扩展搜索的范围和结果。这有助于找到更全面和相关的信息。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（4）结果排序和过滤</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需支持结果排序和过滤功能，根据关键词的匹配度和其他相关性因素，对搜索结果进行排序和过滤，将最相关的结果排在前面。用户可以根据需要进行结果的过滤和排序选择。</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（5）高亮显示和摘要提取</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需支持对搜索结果进行高亮显示和摘要提取，以突出显示关键词在文档中的位置和上下文。这有助于用户快速浏览和判断搜索结果的相关性。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（6）权重和调优</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需要为不同文档和字段设置权重，以调整搜索结果的排序和相关性。不同的文档和字段可能具有不同的重要性和权威性，需要综合考虑进行调优。</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（7）分页和翻页</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需支持搜索结果的分页和翻页功能，当搜索结果过多时，系统可以将结果划分为多个页面，并提供翻页操作和导航。</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（8）实时更新和增量索引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需能够实时地更新索引和搜索结果，当文档发生更新或者新增时，系统能够及时将变化反映在搜索结果中，保持结果的实时性和准确性。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4过滤和筛选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系统支持根据特定条件对搜索结果进行过滤和筛选，包括时间、地点、分类等维度。用户可以根据需要，自定义搜索条件以达到更精确的搜索结果。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（1）过滤器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根据特定条件进行搜索结果的过滤和筛选。用户可以定义过滤器来指定搜索结果的条件，例如根据时间范围、分类标签等进行过滤。系统可以根据过滤器来排除不符合条件的搜索结果，返回符合条件的结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（2）站点范围查询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需支持范围和区间查询，例如根据时间、站点范围查询等。用户可以通过指定站点范围来获取符合条件的搜索结果，提高搜索的精确性和准确性。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（3）附件、图片等内容搜索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需支持搜索，根据附件内容信息对搜索结果进行过滤和排序。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（4）分类和标签搜索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需支持根据分类和标签进行搜索和过滤。用户可以根据特定的分类和标签来获取符合条件的搜索结果，实现更精确和准确的搜索。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（5）过滤条件组合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允许用户自由组合不同的过滤条件，以满足更复杂的搜索需求。用户可以通过逻辑运算符（如AND、OR、NOT）来组合多个过滤条件，筛选出想要的搜索结果。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（6）动态和自定义过滤</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需提供动态和可自定义的过滤功能，根据业务需求和用户配置的条件来实现不同的过滤效果。用户可以根据需要配置和调整过滤条件，满足不同场景下的搜索需求。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（7）高级查询语法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需支持高级查询语法，允许用户使用更复杂和灵活的查询方式。例如支持布尔逻辑运算符、通配符、模糊查询等，提供更精确和灵活的搜索功能。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5高级搜索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在基本搜索功能的基础上，系统还应提供高级搜索功能，如通配符搜索、范围搜索等，以满足用户更复杂的搜索需求。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（1）范围搜索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用户可以指定搜索结果在特定的范围内进行，例如限定搜索结果在某个日期范围内。</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（2）类别搜索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用户可以根据特定的类别或标签来搜索相关内容，例如根据公文类别搜索相关法规，或者根据文章标签搜索相关文章。</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（3）站点搜索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用户可以根据站点搜索范围条件来搜索内容，例如搜索北京海关内容，或者微信或微博内容。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（4）字词出现位置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用户可以根据字词出现位置来搜索相关内容。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（5）关联搜索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用户可以根据已知的相关词语来搜索相关内容。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（6）排序功能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用户可以根据特定的条件对搜索结果进行排序，例如按照相关度、时间进行排序，以便用户更快地找到最有价值的内容。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（7）分页功能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对于搜索结果较多的情况下，用户可以分页查看搜索结果，以提高浏览效率。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（8）搜索建议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系统可以根据用户的输入实时提供搜索建议，帮助用户更快地输入正确的搜索关键词。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（9）过滤功能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用户可以根据特定条件进行筛选，例如排除某个类别或作者的内容，或者只显示某个特定时间段的内容。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（10）高亮显示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系统可以对搜索结果中匹配的关键词进行高亮显示，帮助用户更快地定位到相关内容。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（11）多语言支持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系统需支持多种语言的全文检索，以满足不同用户的需求。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6搜索历史和推荐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系统可以记录用户的搜索历史，并根据用户搜索的内容或行为，提供相关的智能搜索热词推荐。有助于用户快速找到感兴趣的信息，并提高搜索的效率。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（1）搜索历史记录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需可以记录用户的搜索历史，包括搜索的关键词、搜索的时间和搜索的结果等信息。可以帮助业务方分析用户搜索记录，方便掌握用户真正的搜索需求。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（2）智能推荐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可以根据用户的搜索历史和行为，通过算法技术，提供相关的智能搜索热词推荐。系统可以分析用户的搜索内容、频率、时效性等因素，推荐用户可能感兴趣的搜索关键词。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（3）热门搜索词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可以根据当前的搜索趋势和热门话题，提供热门搜索词的推荐。系统可以通过统计和分析搜索日志等数据，确定当前最热门和受欢迎的搜索关键词，并将其展示给用户。</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（4）搜索提醒和智能提示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可以根据用户的搜索历史和行为，提供搜索关键词的实时提醒和智能提示。系统可以根据用户的输入，推荐可能的搜索关键词，帮助用户快速输入和选择搜索条件。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7相关性排序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搜索结果默认按照相关性进行排序，将最相关的结果排在前面。系统可以采用自然语言处理等技术，根据搜索关键词和文档内容的匹配度来判断相关性。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（1）相关性排序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根据搜索关键词和文档内容的匹配度，对搜索结果进行相关性排序。系统可以采用自然语言处理等技术，分析关键词和文档内容的相似度、权重和相关性等，将最相关的搜索结果排在前面，提高搜索结果的准确性和质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（2）时间排序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可以支持按照发布时间进行搜索结果的排序。用户可以选择按照发布时间的倒序或正序来进行搜索结果的排序，这可以帮助用户快速找到最新发布的文档和信息。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（3）综合排序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可以支持综合排序，将相关性和时间两个排序因素进行综合考虑。系统可以根据用户的搜索行为和偏好，调整相关性和时间的权重，计算综合分数，将得分高的搜索结果排在前面。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8文档摘要和预览</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搜索结果显示文档的摘要或预览，以便用户对搜索结果进行初步的评估。摘要或预览提供足够的信息，包括关键词的高亮显示，帮助用户确定是否需要浏览完整的文档。</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（1）摘要生成</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需可以根据搜索结果的文档内容，生成文档的摘要或预览。摘要应该包括足够的关键信息，以便用户对搜索结果进行初步的评估和判断。</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（2）关键词高亮显示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可以根据用户的搜索关键词，对文档的摘要或预览中的关键词进行高亮显示。这可以帮助用户快速定位和识别与搜索关键词相关的内容。</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（3）摘要长度控制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允许用户根据自己的需求，设置摘要的长度或显示行数。用户可以根据自己的阅读习惯和搜索目的，选择合适的摘要长度，以便更清楚和详细地了解搜索结果。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（4）摘要中排除敏感信息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需对敏感信息进行过滤和隐私保护，确保在摘要或预览中不显示相关的敏感内容。这可以保护用户的隐私和安全，提高搜索结果的可信度和可靠性。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（5）摘要展示和界面设计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需支持设计合适的界面和展示方式，将摘要或预览与其他相关信息（如文档标题、作者、来源等）进行整合展示。系统可以采用合适的字体、颜色和布局，提高摘要的可读性和用户体验。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（6）支持多种文档类型</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需支持多种文档类型的摘要生成和展示，包括文本文档、网页、图片、视频等。系统可以根据不同类型的文档，采用不同的摘要生成算法和展示方式，满足用户的搜索需求。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9快速索引更新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系统需支持快速的索引更新机制，可以根据数据的变化，实时更新搜索索引，确保最新的数据能够及时被搜索到。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（1）数据同步</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系统要能够与数据源进行定期或实时的数据同步，包括新增、修改和删除等操作，将新的数据导入到索引库中。</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（2）增量更新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系统需支持增量更新索引的方式，只更新发生变化的数据，而不是重新构建整个索引，以提高索引更新的效率。</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（3）实时搜索</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更新的索引应该能够立即生效，用户可以实时搜索到最新的数据，以满足用户对实时数据的需求。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（4）异步更新</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为了提高系统的性能和响应速度，索引更新可以采用异步的方式进行，即将索引更新请求放入消息队列或异步任务中处理。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（5）索引重建</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在某些情况下，可能需要对整个索引进行重建，例如系统升级或索引结构变化等情况，系统需支持索引重建的功能。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（6）可扩展性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应具备良好的可扩展性，能够适应数据量的增长和并发访问量的增加，保持搜索的性能和稳定性。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10数据安全和权限控制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系统具备严格的数据安全措施，包括用户身份认证、权限管理以及数据加密等，确保敏感信息不被非法访问或泄漏。</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（1）用户身份认证</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可以通过用户名和密码等方式，对用户进行身份认证。用户需要提供有效的身份信息，验证其身份的合法性和真实性，保证只有授权用户才能访问和使用系统。</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（2）权限管理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系统可以根据用户的身份和角色，设置不同的权限和访问级别。系统管理员可以对用户进行权限设置和管理，包括文档的访问权限、搜索范围的限制等，确保只有具有合法权限的用户才能访问敏感信息。</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（3）日志记录</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可以对用户的操作和访问行为日志记录。系统可以记录用户的登录、搜索记录、访问权限等操作，在发现异常或安全事件时，及时发现并采取相应的安全措施。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（4）防止注入攻击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可以采取安全防御措施，防止SQL注入、XSS跨站脚本攻击等安全威胁。系统可以对输入的搜索关键词和查询条件进行合法性验证和过滤，确保不会执行恶意代码或非法操作。</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（5）安全备份和恢复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可以对数据进行定期的安全备份，并建立完善的数据恢复机制。系统管理员可以定期备份数据，以防止数据丢失或损坏，确保数据的可靠性和完整性。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11智能检索后台管理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（1）信息管理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提供用户根据检索应用的不同类型，存储采集到的应用数据的管理功能，支持对信息的二次编辑管理功能。</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（2）词库管理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需支持搜索分词的词库管理，包含热词管理、拼音词管理、百姓体管理、专有词管理、敏感词管理、权重管理、错词管理、新词发现等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（3）页面管理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需支持搜索页面的内容、搜索结果展示内容、配置搜索框、高级搜索项等设置。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（4）模板管理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需支持搜索页面的显示样式控制，分为页面模版、控件模版和数据模版三部分。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（5）资源管理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需支持对文件资源的集中管理，包括但不限于文件上传、文件存储和管理、文件引用和链接等。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（6）检索管理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需支持对检索管理，包含按应用检索分类的配置管理、元数据管理、检索设置等。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（7）访问统计</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需实现对访问信息的统计功能，包含但不限于今日信息统计、近24h信息统计、地区分布统计、最热页面统计、热词统计等</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（8）用户和角色管理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实现对用户、角色、权限的集中管理，管理员可以通过新增、编辑、删除用户来维护用户信息，并可为用户分配不同的角色和权限。角色管理允许管理员新增、编辑、删除角色，并为角色分配权限，从而实现权限的集中管理。在权限管理方面，管理员可以定义系统功能权限和数据权限，并灵活地将这些权限分配给用户或角色，同时能够查询用户或角色所拥有的权限情况。这些功能为用户管理提供了全面的支持，确保系统的安全性和操作的规范性。</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（9）日志管理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需支持对登录日志和操作日志的记录和管理。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（10）采集管理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智能搜索系统需采用爬虫方式和数据对接方式进行采集，爬虫方式采用定时任务，可配置定时任务的执行周期，数据对接方式为触发式采集，可以实时完成索引库数据同步。</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（11）数据安全和权限控制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系统需具备严格的数据安全措施，包括用户身份认证、权限管理以及数据加密等，确保敏感信息不被非法访问或泄漏。</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12</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231"/>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（十一）非功能性需求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1可用性需求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关注用户界面的友好性和易用性，包括页面布局、导航设计、交互反馈等方面的要求，提升用户的满意度和使用体验。</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2可扩展性需求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考虑系统的可扩展性和灵活性，以适应未来业务增长和技术变化的需求，例如支持多个平台、多语言、多设备等要求。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3可维护性需求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关注系统的可维护性和可管理性，包括代码结构的清晰性、文档的完备性、易于维护和修改的设计等方面的要求，降低系统的维护成本。</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4可靠性需求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确保系统的稳定性和可靠性，包括容错机制、备份与恢复策略、故障处理等方面的要求，减少系统故障和中断对用户的影响。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5跨平台兼容性需求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确保网站可以在不同操作系统、浏览器和设备上正常运行和展示，提供一致的用户体验。</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13</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pStyle w:val="1242"/>
              <w:keepNext w:val="0"/>
              <w:keepLines w:val="0"/>
              <w:widowControl/>
              <w:suppressLineNumbers w:val="0"/>
              <w:ind w:left="0" w:firstLine="0"/>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性能需求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要求数据传输网络畅通、可控、可靠及可扩充；</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要求采用性能稳定的服务器、安全可靠的操作系统以及大型数据库，保证系统良好的性能，并可扩充。</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系统可连续 7×24 小时提供服务，系统可访问率大于 99.7%，平均故障修复时间&lt;2小时，保证数据一致、完整和准确；</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本期项目应支持 200 个并发连接数；应支持 5000 个用户同时在线；</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i w:val="0"/>
                <w:iCs w:val="0"/>
                <w:color w:val="000000"/>
                <w:kern w:val="0"/>
                <w:sz w:val="24"/>
                <w:szCs w:val="24"/>
                <w:u w:val="none"/>
                <w:lang w:val="en-US" w:eastAsia="zh-CN"/>
              </w:rPr>
              <w:t>动态网页响应时间≤5s；静态网页响应时间≤3s。</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14</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技术要求</w:t>
            </w:r>
          </w:p>
        </w:tc>
        <w:tc>
          <w:tcPr>
            <w:tcW w:w="1907" w:type="pct"/>
            <w:shd w:val="clear" w:color="auto" w:fill="auto"/>
            <w:vAlign w:val="center"/>
          </w:tcPr>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1.开发语言</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本项目需采用 JAVA 语言开发。</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2.运行环境</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（1）基于 JAVA（JDK8 以上）的运行环境；</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（2）客户端浏览器支持</w:t>
            </w:r>
            <w:r>
              <w:rPr>
                <w:rFonts w:ascii="宋体" w:eastAsia="宋体" w:cs="宋体"/>
                <w:sz w:val="24"/>
                <w:szCs w:val="24"/>
                <w:lang w:bidi="en-US"/>
              </w:rPr>
              <w:t>奇安信</w:t>
            </w:r>
            <w:r>
              <w:rPr>
                <w:rFonts w:ascii="宋体" w:eastAsia="宋体" w:cs="宋体" w:hint="eastAsia"/>
                <w:sz w:val="24"/>
                <w:szCs w:val="24"/>
                <w:lang w:bidi="en-US"/>
              </w:rPr>
              <w:t>浏览器</w:t>
            </w:r>
            <w:r>
              <w:rPr>
                <w:rFonts w:ascii="宋体" w:eastAsia="宋体" w:cs="宋体"/>
                <w:sz w:val="24"/>
                <w:szCs w:val="24"/>
                <w:lang w:bidi="en-US"/>
              </w:rPr>
              <w:t>最新版本的浏览器。</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lang w:bidi="en-US"/>
              </w:rPr>
            </w:pPr>
            <w:r>
              <w:rPr>
                <w:rFonts w:ascii="宋体" w:eastAsia="宋体" w:cs="宋体" w:hint="eastAsia"/>
                <w:sz w:val="24"/>
                <w:szCs w:val="24"/>
                <w:lang w:bidi="en-US"/>
              </w:rPr>
              <w:t>3.数据库</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支持MySQL8.0、Oracle12C、DMV8或其他国产化数据库</w:t>
            </w:r>
            <w:r>
              <w:rPr>
                <w:rFonts w:ascii="宋体" w:eastAsia="宋体" w:cs="宋体"/>
                <w:sz w:val="24"/>
                <w:szCs w:val="24"/>
                <w:lang w:bidi="en-US"/>
              </w:rPr>
              <w:t>。</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4.技术路线</w:t>
            </w:r>
          </w:p>
          <w:p>
            <w:pPr>
              <w:pStyle w:val="1261"/>
              <w:keepNext w:val="0"/>
              <w:keepLines w:val="0"/>
              <w:widowControl w:val="0"/>
              <w:suppressLineNumbers w:val="0"/>
              <w:spacing w:before="0" w:beforeAutospacing="0" w:after="0" w:afterAutospacing="0" w:line="360" w:lineRule="auto"/>
              <w:ind w:left="0" w:right="0" w:firstLine="0"/>
              <w:jc w:val="both"/>
              <w:rPr>
                <w:rFonts w:ascii="宋体" w:eastAsia="宋体" w:cs="宋体" w:hint="eastAsia"/>
                <w:lang w:bidi="en-US"/>
              </w:rPr>
            </w:pPr>
            <w:r>
              <w:rPr>
                <w:rFonts w:ascii="宋体" w:eastAsia="宋体" w:cs="宋体" w:hint="eastAsia"/>
                <w:sz w:val="24"/>
                <w:szCs w:val="24"/>
                <w:lang w:bidi="en-US"/>
              </w:rPr>
              <w:t>基于Spring</w:t>
            </w:r>
            <w:r>
              <w:rPr>
                <w:rFonts w:ascii="宋体" w:eastAsia="宋体" w:cs="宋体"/>
                <w:sz w:val="24"/>
                <w:szCs w:val="24"/>
                <w:lang w:bidi="en-US"/>
              </w:rPr>
              <w:t>+MyBatis</w:t>
            </w:r>
            <w:r>
              <w:rPr>
                <w:rFonts w:ascii="宋体" w:eastAsia="宋体" w:cs="宋体" w:hint="eastAsia"/>
                <w:sz w:val="24"/>
                <w:szCs w:val="24"/>
                <w:lang w:bidi="en-US"/>
              </w:rPr>
              <w:t>，支持集群部署架构，采用前后端分离技术， 软件架构为B/S 结构</w:t>
            </w:r>
            <w:r>
              <w:rPr>
                <w:rFonts w:ascii="宋体" w:eastAsia="宋体" w:cs="宋体"/>
                <w:sz w:val="24"/>
                <w:szCs w:val="24"/>
                <w:lang w:bidi="en-US"/>
              </w:rPr>
              <w:t>。</w:t>
            </w:r>
          </w:p>
          <w:p>
            <w:pPr>
              <w:pStyle w:val="1261"/>
              <w:keepNext w:val="0"/>
              <w:keepLines w:val="0"/>
              <w:widowControl w:val="0"/>
              <w:suppressLineNumbers w:val="0"/>
              <w:ind w:left="0" w:firstLine="0"/>
              <w:rPr>
                <w:rFonts w:ascii="宋体" w:eastAsia="宋体" w:cs="宋体" w:hint="eastAsia"/>
                <w:lang w:bidi="en-US"/>
              </w:rPr>
            </w:pPr>
            <w:r>
              <w:rPr>
                <w:rFonts w:ascii="宋体" w:eastAsia="宋体" w:cs="宋体"/>
                <w:sz w:val="24"/>
                <w:szCs w:val="24"/>
                <w:lang w:bidi="en-US"/>
              </w:rPr>
              <w:t>支持</w:t>
            </w:r>
            <w:r>
              <w:rPr>
                <w:rFonts w:ascii="宋体" w:eastAsia="宋体" w:cs="宋体" w:hint="eastAsia"/>
                <w:sz w:val="24"/>
                <w:szCs w:val="24"/>
                <w:lang w:bidi="en-US"/>
              </w:rPr>
              <w:t>J2EE 技术体系</w:t>
            </w:r>
            <w:r>
              <w:rPr>
                <w:rFonts w:ascii="宋体" w:eastAsia="宋体" w:cs="宋体"/>
                <w:sz w:val="24"/>
                <w:szCs w:val="24"/>
                <w:lang w:bidi="en-US"/>
              </w:rPr>
              <w:t>，</w:t>
            </w:r>
            <w:r>
              <w:rPr>
                <w:rFonts w:ascii="宋体" w:eastAsia="宋体" w:cs="宋体" w:hint="eastAsia"/>
                <w:sz w:val="24"/>
                <w:szCs w:val="24"/>
                <w:lang w:bidi="en-US"/>
              </w:rPr>
              <w:t>利用 Json、XML 技术作为系统接口的数据交换标准面向服务架构（SOA）。</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15</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权限要求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系统设置系统管理、站点管理、栏目管理三级授权体系，确保数据查询和系统操作的安全。根据用户关区、岗位的不同，设置相应的数据查询范围和系统操作权限，实现系统应用数据的隔离，降低安全风险。系统默认包括应用系统管理员与审计管理员角色，应用系统管理员角色仅具有用户授权和系统功能调整权限，审计管理员角色仅用于开展业务审计，均无实际业务操作权限。</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59"/>
          <w:jc w:val="left"/>
        </w:trPr>
        <w:tc>
          <w:tcPr>
            <w:tcW w:w="443" w:type="pct"/>
            <w:shd w:val="clear" w:color="auto" w:fill="auto"/>
            <w:vAlign w:val="center"/>
          </w:tcPr>
          <w:p>
            <w:pPr>
              <w:keepNext w:val="0"/>
              <w:keepLines w:val="0"/>
              <w:widowControl/>
              <w:suppressLineNumbers w:val="0"/>
              <w:ind w:firstLine="0"/>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16</w:t>
            </w:r>
          </w:p>
        </w:tc>
        <w:tc>
          <w:tcPr>
            <w:tcW w:w="443" w:type="pct"/>
            <w:shd w:val="clear" w:color="auto" w:fill="auto"/>
            <w:vAlign w:val="center"/>
          </w:tcPr>
          <w:p>
            <w:pPr>
              <w:keepNext w:val="0"/>
              <w:keepLines w:val="0"/>
              <w:widowControl/>
              <w:suppressLineNumbers w:val="0"/>
              <w:ind w:firstLine="0"/>
              <w:textAlignment w:val="center"/>
              <w:rPr>
                <w:rFonts w:ascii="宋体" w:eastAsia="宋体" w:cs="宋体"/>
                <w:i w:val="0"/>
                <w:iCs w:val="0"/>
                <w:color w:val="000000"/>
                <w:kern w:val="0"/>
                <w:u w:val="none"/>
              </w:rPr>
            </w:pPr>
          </w:p>
        </w:tc>
        <w:tc>
          <w:tcPr>
            <w:tcW w:w="1040" w:type="pct"/>
            <w:shd w:val="clear" w:color="auto" w:fill="auto"/>
            <w:vAlign w:val="center"/>
          </w:tcPr>
          <w:p>
            <w:pPr>
              <w:keepNext w:val="0"/>
              <w:keepLines w:val="0"/>
              <w:widowControl/>
              <w:suppressLineNumbers w:val="0"/>
              <w:ind w:firstLine="0"/>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标准规范要求</w:t>
            </w:r>
          </w:p>
        </w:tc>
        <w:tc>
          <w:tcPr>
            <w:tcW w:w="1907" w:type="pct"/>
            <w:shd w:val="clear" w:color="auto" w:fill="auto"/>
            <w:vAlign w:val="center"/>
          </w:tcPr>
          <w:p>
            <w:pPr>
              <w:pStyle w:val="1313"/>
              <w:spacing w:before="0" w:line="360" w:lineRule="auto"/>
              <w:ind w:left="0"/>
              <w:jc w:val="both"/>
              <w:rPr>
                <w:lang w:eastAsia="zh-CN"/>
              </w:rPr>
            </w:pPr>
            <w:r>
              <w:rPr>
                <w:lang w:eastAsia="zh-CN"/>
              </w:rPr>
              <w:t>系统建设应遵从海关信息化标准体系，海关信息化标准体系包括总体标准、基础设施标准、信息资源标准、应用标准、信息安全标准和信息化管理标准六个分体系。</w:t>
            </w:r>
          </w:p>
          <w:p>
            <w:pPr>
              <w:pStyle w:val="1313"/>
              <w:spacing w:before="0" w:line="360" w:lineRule="auto"/>
              <w:ind w:left="0"/>
              <w:jc w:val="both"/>
              <w:rPr>
                <w:lang w:eastAsia="zh-CN"/>
              </w:rPr>
            </w:pPr>
            <w:r>
              <w:rPr>
                <w:lang w:eastAsia="zh-CN"/>
              </w:rPr>
              <w:t>系统需要采用统一数据规范标准，遵从系统建设的各项技术标准及规范，遵从相关的海关标准要求。</w:t>
            </w:r>
          </w:p>
          <w:p>
            <w:pPr>
              <w:pStyle w:val="1313"/>
              <w:spacing w:before="0" w:line="360" w:lineRule="auto"/>
              <w:ind w:left="0"/>
              <w:jc w:val="both"/>
              <w:rPr>
                <w:lang w:eastAsia="zh-CN"/>
              </w:rPr>
            </w:pPr>
            <w:r>
              <w:rPr>
                <w:lang w:eastAsia="zh-CN"/>
              </w:rPr>
              <w:t>投标人需向采购人提供服务相关体系文件进行报备，包括但不限于制度、标准、指南、模板、说明等内容。</w:t>
            </w:r>
          </w:p>
        </w:tc>
        <w:tc>
          <w:tcPr>
            <w:tcW w:w="1165" w:type="pct"/>
            <w:shd w:val="clear" w:color="auto" w:fill="auto"/>
            <w:vAlign w:val="center"/>
          </w:tcPr>
          <w:p>
            <w:pPr>
              <w:keepNext w:val="0"/>
              <w:keepLines w:val="0"/>
              <w:widowControl/>
              <w:suppressLineNumbers w:val="0"/>
              <w:ind w:firstLine="0"/>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17</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hint="eastAsia"/>
              </w:rPr>
              <w:t>★</w:t>
            </w: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cs="微软雅黑" w:hint="eastAsia"/>
              </w:rPr>
              <w:t>安全要求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投标人需与采购人签订保密协议，约定双方权利与义务；投标人与服务人员签订保密协议，落实相应要求；投标人及服务人员在双方约定的保密期限内如违反协议中的保密义务，投标人和服务人员承担相应违约责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必须保障系统的开发安全、应用程序安全、网络安全、设备安全和数据安全。用户身份认证必须符合海关安全管理规定。系统在有效地为管理部门和生产部门提供服务的同时，还必须确保不影响数据网络的安全、可靠、稳定运行。除了保证系统设计安全、使用安全以外，还必须建立一套完善的安全防范体制，形成一个安全的系统。</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投标人须遵守以下要求：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在服务过程中需对信息安全给予充分投入，与项目开发同步进行信息安全规划设计，须单独制定安全设计方案或在总体设计方案中包含安全设计部分。并遵守以下安全要求：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（1）遵循安全编码规范及通用安全编程准则；</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（2）交付物中必须使用正版工具软件；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（3）开发测试环境与生产环境分离；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（4）开发用机采取安全保护措施，定期进行漏洞检测和修复；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（5）敏感数据要采用加密方式进行存储。</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（6）网络安全要满足海关现有网络安全防护措施及网络隔离措施进行防护。同时按照《海关信息系统跨网传输指导方案》规定要求进行跨网通信。</w:t>
            </w:r>
          </w:p>
        </w:tc>
        <w:tc>
          <w:tcPr>
            <w:tcW w:w="1165" w:type="pct"/>
            <w:shd w:val="clear" w:color="auto" w:fill="auto"/>
            <w:vAlign w:val="center"/>
          </w:tcPr>
          <w:p>
            <w:pPr>
              <w:ind w:left="0" w:firstLine="0"/>
            </w:pPr>
            <w:r>
              <w:rPr>
                <w:rFonts w:ascii="宋体" w:eastAsia="宋体" w:cs="宋体"/>
                <w:i w:val="0"/>
                <w:iCs w:val="0"/>
                <w:color w:val="000000"/>
                <w:kern w:val="0"/>
                <w:sz w:val="24"/>
                <w:szCs w:val="24"/>
                <w:u w:val="none"/>
                <w:lang w:val="en-US" w:eastAsia="zh-CN"/>
              </w:rPr>
              <w:t>是，提供承诺函并加盖单位公章</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18</w:t>
            </w:r>
          </w:p>
        </w:tc>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p>
        </w:tc>
        <w:tc>
          <w:tcPr>
            <w:tcW w:w="1040"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安全审查和保密要求</w:t>
            </w:r>
          </w:p>
        </w:tc>
        <w:tc>
          <w:tcPr>
            <w:tcW w:w="1907"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安全审计功能满足应用安全日志规范要求，对每个用户在页面的操作行为进行日志记录，日志记录的字段包括用户账号、用户ID、客户端IP、操作时间、应用系统名称、应用标识、操作类型、操作参数、业务功能、操作结果等内容。日志保存周期不少于3年，日志通过权限控制确保日志记录不能被非授权删除、修改或覆盖。通过开启服务器日志记录，记录各服务器调用日志。</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投标人须遵守以下要求：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投标人需与采购人签订保密协议，约定双方权利与义务投标人与服务人员签订保密协议，落实相应要求；投标人及服务人员在双方约定的保密期限内如违反协议中的保密义务，投标人和服务人员承担相应违约责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配合内、外部机构的评审、评估、检查、审计等活动。在服务过程中需对信息安全给予充分投入与项目开发同步进行信息安全规划设计须单独制定安全设计方案或在总体设计方案中包含安全设计部分。并遵守以下安全要求：</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（1）遵循安全编码规范及通用安全编程准则，源代码必须通过海关安全部门的安全扫描，方可进行上线部署；</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（2）交付物中必须使用正版工具软件；</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（3）开发测试环境与生产环境分离；</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（4）开发用机采取安全保护措施，定期进行漏洞检测和修复。</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i w:val="0"/>
                <w:iCs w:val="0"/>
                <w:color w:val="000000"/>
                <w:kern w:val="0"/>
                <w:u w:val="none"/>
              </w:rPr>
            </w:pPr>
            <w:r>
              <w:rPr>
                <w:rFonts w:ascii="宋体" w:eastAsia="宋体" w:cs="宋体"/>
                <w:i w:val="0"/>
                <w:iCs w:val="0"/>
                <w:color w:val="000000"/>
                <w:kern w:val="0"/>
                <w:sz w:val="24"/>
                <w:szCs w:val="24"/>
                <w:u w:val="none"/>
                <w:lang w:val="en-US" w:eastAsia="zh-CN"/>
              </w:rPr>
              <w:t>（5）开发场地及开发人员按照国家等级保护要求实施安全控制和管理。</w:t>
            </w:r>
          </w:p>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（6）如发生违规现象，采购人有权作废或终止合同，因此产生的所有损失由投标人承担。</w:t>
            </w:r>
          </w:p>
        </w:tc>
        <w:tc>
          <w:tcPr>
            <w:tcW w:w="1165"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否</w:t>
            </w:r>
          </w:p>
        </w:tc>
      </w:tr>
      <w:tr>
        <w:tblPrEx>
          <w:tblW w:w="4993" w:type="pct"/>
          <w:jc w:val="left"/>
          <w:tblInd w:w="0" w:type="dxa"/>
          <w:shd w:val="clear" w:color="auto" w:fill="auto"/>
          <w:tblCellMar>
            <w:top w:w="0" w:type="dxa"/>
            <w:left w:w="108" w:type="dxa"/>
            <w:bottom w:w="0" w:type="dxa"/>
            <w:right w:w="108" w:type="dxa"/>
          </w:tblCellMar>
        </w:tblPrEx>
        <w:trPr>
          <w:trHeight w:val="660"/>
          <w:jc w:val="left"/>
        </w:trPr>
        <w:tc>
          <w:tcPr>
            <w:tcW w:w="443" w:type="pct"/>
            <w:shd w:val="clear" w:color="auto" w:fill="auto"/>
            <w:vAlign w:val="center"/>
          </w:tcPr>
          <w:p>
            <w:pPr>
              <w:keepNext w:val="0"/>
              <w:keepLines w:val="0"/>
              <w:widowControl/>
              <w:suppressLineNumbers w:val="0"/>
              <w:spacing w:before="0" w:beforeAutospacing="0" w:after="0" w:afterAutospacing="0"/>
              <w:ind w:left="0" w:right="0" w:firstLine="0"/>
              <w:jc w:val="both"/>
              <w:textAlignment w:val="center"/>
              <w:rPr>
                <w:rFonts w:ascii="宋体" w:eastAsia="宋体" w:cs="宋体" w:hint="eastAsia"/>
                <w:i w:val="0"/>
                <w:iCs w:val="0"/>
                <w:color w:val="000000"/>
                <w:kern w:val="0"/>
                <w:u w:val="none"/>
              </w:rPr>
            </w:pPr>
            <w:r>
              <w:rPr>
                <w:rFonts w:ascii="宋体" w:eastAsia="宋体" w:cs="宋体"/>
                <w:i w:val="0"/>
                <w:iCs w:val="0"/>
                <w:color w:val="000000"/>
                <w:kern w:val="0"/>
                <w:sz w:val="24"/>
                <w:szCs w:val="24"/>
                <w:u w:val="none"/>
                <w:lang w:val="en-US" w:eastAsia="zh-CN"/>
              </w:rPr>
              <w:t>19</w:t>
            </w:r>
          </w:p>
        </w:tc>
        <w:tc>
          <w:tcPr>
            <w:tcW w:w="443" w:type="pct"/>
            <w:shd w:val="clear" w:color="auto" w:fill="auto"/>
            <w:vAlign w:val="center"/>
          </w:tcPr>
          <w:p>
            <w:pPr>
              <w:pStyle w:val="1291"/>
              <w:ind w:firstLine="0"/>
              <w:rPr>
                <w:rFonts w:ascii="宋体" w:eastAsia="宋体" w:cs="宋体"/>
              </w:rPr>
            </w:pPr>
            <w:r>
              <w:rPr>
                <w:rFonts w:ascii="宋体" w:eastAsia="宋体" w:cs="宋体" w:hint="eastAsia"/>
                <w:color w:val="000000"/>
              </w:rPr>
              <w:t>★</w:t>
            </w:r>
          </w:p>
        </w:tc>
        <w:tc>
          <w:tcPr>
            <w:tcW w:w="1040" w:type="pct"/>
            <w:shd w:val="clear" w:color="auto" w:fill="auto"/>
            <w:vAlign w:val="center"/>
          </w:tcPr>
          <w:p>
            <w:pPr>
              <w:pStyle w:val="1610"/>
              <w:jc w:val="left"/>
              <w:rPr>
                <w:rFonts w:ascii="宋体" w:cs="宋体"/>
                <w:sz w:val="24"/>
              </w:rPr>
            </w:pPr>
            <w:r>
              <w:rPr>
                <w:rFonts w:ascii="宋体" w:cs="Arial" w:hint="eastAsia"/>
                <w:color w:val="000000"/>
                <w:sz w:val="24"/>
              </w:rPr>
              <w:t>知识产权归属</w:t>
            </w:r>
          </w:p>
        </w:tc>
        <w:tc>
          <w:tcPr>
            <w:tcW w:w="1907" w:type="pct"/>
            <w:shd w:val="clear" w:color="auto" w:fill="auto"/>
            <w:vAlign w:val="center"/>
          </w:tcPr>
          <w:p>
            <w:pPr>
              <w:keepNext w:val="0"/>
              <w:keepLines w:val="0"/>
              <w:widowControl/>
              <w:suppressLineNumbers w:val="0"/>
              <w:ind w:left="0" w:firstLine="0"/>
              <w:textAlignment w:val="center"/>
              <w:rPr>
                <w:rFonts w:ascii="宋体" w:eastAsia="宋体" w:cs="宋体"/>
                <w:color w:val="000000"/>
              </w:rPr>
            </w:pPr>
            <w:r>
              <w:rPr>
                <w:rFonts w:ascii="宋体" w:eastAsia="宋体" w:cs="宋体" w:hint="eastAsia"/>
                <w:color w:val="000000"/>
              </w:rPr>
              <w:t>投标人应承诺本项目知识产权归采购人所有。</w:t>
            </w:r>
          </w:p>
          <w:p>
            <w:pPr>
              <w:keepNext w:val="0"/>
              <w:keepLines w:val="0"/>
              <w:widowControl/>
              <w:suppressLineNumbers w:val="0"/>
              <w:ind w:left="0" w:firstLine="0"/>
              <w:textAlignment w:val="center"/>
              <w:rPr>
                <w:rFonts w:ascii="宋体" w:eastAsia="宋体" w:cs="宋体"/>
                <w:color w:val="000000"/>
              </w:rPr>
            </w:pPr>
            <w:r>
              <w:rPr>
                <w:rFonts w:ascii="宋体" w:eastAsia="宋体" w:cs="宋体" w:hint="eastAsia"/>
                <w:color w:val="000000"/>
              </w:rPr>
              <w:t>1、采购人对服务成果拥有所有权及全部、完整的知识产权（包括但不限于著作权、专利权、商标权以及知识产权申请权等）；</w:t>
            </w:r>
          </w:p>
          <w:p>
            <w:pPr>
              <w:keepNext w:val="0"/>
              <w:keepLines w:val="0"/>
              <w:widowControl/>
              <w:suppressLineNumbers w:val="0"/>
              <w:ind w:left="0" w:firstLine="0"/>
              <w:textAlignment w:val="center"/>
              <w:rPr>
                <w:rFonts w:ascii="宋体" w:eastAsia="宋体" w:cs="宋体"/>
                <w:color w:val="000000"/>
              </w:rPr>
            </w:pPr>
            <w:r>
              <w:rPr>
                <w:rFonts w:ascii="宋体" w:eastAsia="宋体" w:cs="宋体" w:hint="eastAsia"/>
                <w:color w:val="000000"/>
              </w:rPr>
              <w:t>2、采购人有权对工程涉及的所有成果在采购需求方或部门关区范围内进行推广应用，且不收取费用；</w:t>
            </w:r>
          </w:p>
          <w:p>
            <w:pPr>
              <w:keepNext w:val="0"/>
              <w:keepLines w:val="0"/>
              <w:widowControl/>
              <w:suppressLineNumbers w:val="0"/>
              <w:ind w:left="0" w:firstLine="0"/>
              <w:textAlignment w:val="center"/>
              <w:rPr>
                <w:rFonts w:ascii="宋体" w:eastAsia="宋体" w:cs="宋体"/>
                <w:color w:val="000000"/>
              </w:rPr>
            </w:pPr>
            <w:r>
              <w:rPr>
                <w:rFonts w:ascii="宋体" w:eastAsia="宋体" w:cs="宋体" w:hint="eastAsia"/>
                <w:color w:val="000000"/>
              </w:rPr>
              <w:t>3、采购人可安排海关骨干人员参与核心工作，工作结束后带回源代码并纳入采购需求方或部门原版库管理，以便后续修改维护；</w:t>
            </w:r>
          </w:p>
          <w:p>
            <w:pPr>
              <w:keepNext w:val="0"/>
              <w:keepLines w:val="0"/>
              <w:widowControl/>
              <w:suppressLineNumbers w:val="0"/>
              <w:ind w:left="0" w:firstLine="0"/>
              <w:textAlignment w:val="center"/>
              <w:rPr>
                <w:rFonts w:ascii="宋体" w:cs="宋体"/>
              </w:rPr>
            </w:pPr>
            <w:r>
              <w:rPr>
                <w:rFonts w:ascii="宋体" w:eastAsia="宋体" w:cs="宋体" w:hint="eastAsia"/>
                <w:color w:val="000000"/>
              </w:rPr>
              <w:t>4、未经采购人允许，不能将本项目有关内容向第三方泄露。</w:t>
            </w:r>
          </w:p>
        </w:tc>
        <w:tc>
          <w:tcPr>
            <w:tcW w:w="1165" w:type="pct"/>
            <w:shd w:val="clear" w:color="auto" w:fill="auto"/>
            <w:vAlign w:val="center"/>
          </w:tcPr>
          <w:p>
            <w:pPr>
              <w:pStyle w:val="1301"/>
              <w:rPr>
                <w:rFonts w:ascii="宋体" w:eastAsia="宋体" w:cs="宋体"/>
                <w:color w:val="000000"/>
                <w:lang w:bidi="en-US"/>
              </w:rPr>
            </w:pPr>
            <w:r>
              <w:rPr>
                <w:rFonts w:ascii="宋体" w:eastAsia="宋体" w:cs="宋体" w:hint="eastAsia"/>
                <w:color w:val="000000"/>
                <w:lang w:bidi="en-US"/>
              </w:rPr>
              <w:t>是，</w:t>
            </w:r>
            <w:r>
              <w:rPr>
                <w:rFonts w:ascii="宋体" w:hAnsi="宋体" w:cs="宋体" w:hint="eastAsia"/>
                <w:color w:val="000000"/>
              </w:rPr>
              <w:t>提供证明材料：知识产权归属承诺书并加盖公章。</w:t>
            </w:r>
          </w:p>
        </w:tc>
      </w:tr>
    </w:tbl>
    <w:p>
      <w:pPr>
        <w:pStyle w:val="Heading4"/>
        <w:numPr>
          <w:ilvl w:val="0"/>
          <w:numId w:val="7"/>
        </w:numPr>
        <w:ind w:left="0" w:firstLine="0"/>
        <w:rPr>
          <w:rFonts w:ascii="宋体" w:eastAsia="宋体" w:hint="eastAsia"/>
          <w:lang w:val="en-US"/>
        </w:rPr>
      </w:pPr>
      <w:bookmarkStart w:id="54" w:name="指标明细_index_Required_goodsId"/>
      <w:bookmarkStart w:id="55" w:name="服务要求"/>
      <w:bookmarkEnd w:id="54"/>
      <w:r>
        <w:rPr>
          <w:rFonts w:ascii="宋体" w:eastAsia="宋体" w:hint="eastAsia"/>
          <w:lang w:val="en-US"/>
        </w:rPr>
        <w:t>服务要求</w:t>
      </w:r>
      <w:bookmarkEnd w:id="55"/>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序号</w:t>
            </w:r>
          </w:p>
        </w:tc>
        <w:tc>
          <w:tcPr>
            <w:tcW w:w="1140"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内容</w:t>
            </w:r>
          </w:p>
        </w:tc>
        <w:tc>
          <w:tcPr>
            <w:tcW w:w="1196"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重要性</w:t>
            </w:r>
          </w:p>
        </w:tc>
        <w:tc>
          <w:tcPr>
            <w:tcW w:w="3690"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bookmarkStart w:id="56" w:name="服务要求_Title_服务要求标准_Required_Table"/>
            <w:r>
              <w:rPr>
                <w:rFonts w:ascii="宋体" w:eastAsia="宋体" w:hint="eastAsia"/>
                <w:sz w:val="24"/>
                <w:szCs w:val="24"/>
              </w:rPr>
              <w:t>服务要求标准</w:t>
            </w:r>
            <w:bookmarkEnd w:id="56"/>
          </w:p>
        </w:tc>
        <w:tc>
          <w:tcPr>
            <w:tcW w:w="1685"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bookmarkStart w:id="57" w:name="服务要求_Title_证明材料要求_Required_Table"/>
            <w:r>
              <w:rPr>
                <w:rFonts w:ascii="宋体" w:eastAsia="宋体" w:hint="eastAsia"/>
                <w:sz w:val="24"/>
                <w:szCs w:val="24"/>
              </w:rPr>
              <w:t>证明材料要求</w:t>
            </w:r>
            <w:bookmarkEnd w:id="57"/>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1</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售后服务承诺函</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hint="eastAsia"/>
              </w:rPr>
              <w:t>▲</w:t>
            </w:r>
          </w:p>
        </w:tc>
        <w:tc>
          <w:tcPr>
            <w:tcW w:w="3690" w:type="dxa"/>
          </w:tcPr>
          <w:p>
            <w:pPr>
              <w:pStyle w:val="9411"/>
              <w:ind w:firstLine="0"/>
              <w:rPr>
                <w:rFonts w:ascii="宋体" w:eastAsia="宋体" w:cs="宋体"/>
                <w:color w:val="000000"/>
              </w:rPr>
            </w:pPr>
            <w:r>
              <w:rPr>
                <w:rFonts w:ascii="宋体" w:eastAsia="宋体" w:cs="宋体" w:hint="eastAsia"/>
                <w:color w:val="000000"/>
              </w:rPr>
              <w:t>系统验收后，提供一年</w:t>
            </w:r>
            <w:r>
              <w:rPr>
                <w:rFonts w:ascii="宋体" w:eastAsia="宋体" w:cs="宋体"/>
                <w:color w:val="000000"/>
              </w:rPr>
              <w:t>售后服务</w:t>
            </w:r>
            <w:r>
              <w:rPr>
                <w:rFonts w:ascii="宋体" w:eastAsia="宋体" w:cs="宋体" w:hint="eastAsia"/>
                <w:color w:val="000000"/>
              </w:rPr>
              <w:t>。具体支持内容包括：及时解决出现的系统故障、技术指导和答疑。</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color w:val="000000"/>
                <w:lang w:bidi="en-US"/>
              </w:rPr>
              <w:t>是</w:t>
            </w:r>
            <w:r>
              <w:rPr>
                <w:rFonts w:hint="eastAsia"/>
                <w:color w:val="000000"/>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ind w:left="0" w:firstLine="0"/>
              <w:jc w:val="center"/>
              <w:rPr>
                <w:rFonts w:ascii="宋体" w:eastAsia="宋体" w:cs="宋体" w:hint="eastAsia"/>
                <w:highlight w:val="yellow"/>
              </w:rPr>
            </w:pPr>
            <w:r>
              <w:rPr>
                <w:rFonts w:ascii="宋体" w:eastAsia="宋体" w:cs="宋体" w:hint="eastAsia"/>
              </w:rPr>
              <w:t>2</w:t>
            </w:r>
          </w:p>
        </w:tc>
        <w:tc>
          <w:tcPr>
            <w:tcW w:w="1140" w:type="dxa"/>
            <w:vAlign w:val="center"/>
          </w:tcPr>
          <w:p>
            <w:pPr>
              <w:keepNext w:val="0"/>
              <w:keepLines w:val="0"/>
              <w:widowControl w:val="0"/>
              <w:suppressLineNumbers w:val="0"/>
              <w:ind w:left="0" w:firstLine="0"/>
              <w:jc w:val="center"/>
              <w:rPr>
                <w:rFonts w:ascii="宋体" w:eastAsia="宋体" w:cs="宋体" w:hint="eastAsia"/>
                <w:highlight w:val="yellow"/>
              </w:rPr>
            </w:pPr>
            <w:r>
              <w:rPr>
                <w:rFonts w:ascii="宋体" w:eastAsia="宋体" w:cs="宋体" w:hint="eastAsia"/>
              </w:rPr>
              <w:t>驻场人员要求</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highlight w:val="yellow"/>
              </w:rPr>
            </w:pPr>
          </w:p>
        </w:tc>
        <w:tc>
          <w:tcPr>
            <w:tcW w:w="3690" w:type="dxa"/>
          </w:tcPr>
          <w:p>
            <w:pPr>
              <w:pStyle w:val="7112"/>
              <w:ind w:firstLine="0"/>
              <w:rPr>
                <w:rFonts w:ascii="宋体" w:eastAsia="宋体" w:cs="宋体"/>
                <w:color w:val="000000"/>
              </w:rPr>
            </w:pPr>
            <w:r>
              <w:rPr>
                <w:rFonts w:ascii="宋体" w:eastAsia="宋体" w:cs="宋体" w:hint="eastAsia"/>
                <w:spacing w:val="-4"/>
                <w:kern w:val="0"/>
                <w:sz w:val="24"/>
                <w:szCs w:val="24"/>
                <w:lang w:val="en-US" w:eastAsia="zh-CN" w:bidi="ar-SA"/>
              </w:rPr>
              <w:t>需派驻2名</w:t>
            </w:r>
            <w:r>
              <w:rPr>
                <w:rFonts w:ascii="宋体" w:hAnsi="宋体" w:cs="宋体" w:hint="eastAsia"/>
                <w:spacing w:val="-4"/>
                <w:kern w:val="0"/>
                <w:sz w:val="24"/>
                <w:szCs w:val="24"/>
                <w:lang w:bidi="ar-SA"/>
              </w:rPr>
              <w:t>运维人员在</w:t>
            </w:r>
            <w:r>
              <w:rPr>
                <w:rFonts w:ascii="宋体" w:hAnsi="宋体" w:cs="宋体" w:hint="eastAsia"/>
                <w:spacing w:val="-4"/>
              </w:rPr>
              <w:t>采购人指</w:t>
            </w:r>
            <w:r>
              <w:rPr>
                <w:rFonts w:ascii="宋体" w:hAnsi="宋体" w:cs="宋体" w:hint="eastAsia"/>
                <w:spacing w:val="-4"/>
                <w:kern w:val="0"/>
                <w:sz w:val="24"/>
                <w:szCs w:val="24"/>
                <w:lang w:bidi="ar-SA"/>
              </w:rPr>
              <w:t>定的地点进行运维保障，驻场运维成员中至少有</w:t>
            </w:r>
            <w:r>
              <w:rPr>
                <w:rFonts w:ascii="宋体" w:hAnsi="宋体" w:cs="宋体"/>
                <w:spacing w:val="-4"/>
                <w:kern w:val="0"/>
                <w:sz w:val="24"/>
                <w:szCs w:val="24"/>
                <w:lang w:bidi="ar-SA"/>
              </w:rPr>
              <w:t>1</w:t>
            </w:r>
            <w:r>
              <w:rPr>
                <w:rFonts w:ascii="宋体" w:hAnsi="宋体" w:cs="宋体" w:hint="eastAsia"/>
                <w:spacing w:val="-4"/>
                <w:kern w:val="0"/>
                <w:sz w:val="24"/>
                <w:szCs w:val="24"/>
                <w:lang w:bidi="ar-SA"/>
              </w:rPr>
              <w:t>人为项目开发核心人员。</w:t>
            </w:r>
          </w:p>
        </w:tc>
        <w:tc>
          <w:tcPr>
            <w:tcW w:w="1685" w:type="dxa"/>
            <w:vAlign w:val="center"/>
          </w:tcPr>
          <w:p>
            <w:pPr>
              <w:keepNext w:val="0"/>
              <w:keepLines w:val="0"/>
              <w:widowControl w:val="0"/>
              <w:suppressLineNumbers w:val="0"/>
              <w:ind w:left="0" w:firstLine="0"/>
              <w:rPr>
                <w:rFonts w:ascii="宋体" w:eastAsia="宋体" w:cs="宋体" w:hint="eastAsia"/>
                <w:highlight w:val="yellow"/>
              </w:rPr>
            </w:pPr>
            <w:r>
              <w:rPr>
                <w:rFonts w:ascii="宋体" w:eastAsia="宋体" w:cs="宋体" w:hint="eastAsia"/>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3</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投标人服务标准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p>
        </w:tc>
        <w:tc>
          <w:tcPr>
            <w:tcW w:w="3690" w:type="dxa"/>
            <w:vAlign w:val="center"/>
          </w:tcPr>
          <w:p>
            <w:pPr>
              <w:pStyle w:val="7112"/>
              <w:ind w:firstLine="0"/>
              <w:rPr>
                <w:rFonts w:ascii="宋体" w:eastAsia="宋体" w:cs="宋体" w:hint="eastAsia"/>
                <w:spacing w:val="-4"/>
              </w:rPr>
            </w:pPr>
            <w:r>
              <w:rPr>
                <w:rFonts w:ascii="宋体" w:eastAsia="宋体" w:cs="宋体" w:hint="eastAsia"/>
                <w:spacing w:val="-4"/>
              </w:rPr>
              <w:t>自系统验收合格之日起，提供为期</w:t>
            </w:r>
            <w:r>
              <w:rPr>
                <w:rFonts w:ascii="宋体" w:eastAsia="宋体" w:cs="宋体"/>
                <w:spacing w:val="-4"/>
              </w:rPr>
              <w:t>一</w:t>
            </w:r>
            <w:r>
              <w:rPr>
                <w:rFonts w:ascii="宋体" w:eastAsia="宋体" w:cs="宋体" w:hint="eastAsia"/>
                <w:spacing w:val="-4"/>
              </w:rPr>
              <w:t>年的7×24小时技术支持服务与维护。</w:t>
            </w:r>
          </w:p>
          <w:p>
            <w:pPr>
              <w:pStyle w:val="7112"/>
              <w:ind w:firstLine="0"/>
              <w:rPr>
                <w:rFonts w:ascii="宋体" w:eastAsia="宋体" w:cs="宋体" w:hint="eastAsia"/>
                <w:spacing w:val="-4"/>
              </w:rPr>
            </w:pPr>
            <w:r>
              <w:rPr>
                <w:rFonts w:ascii="宋体" w:eastAsia="宋体" w:cs="宋体" w:hint="eastAsia"/>
                <w:spacing w:val="-4"/>
              </w:rPr>
              <w:t>根据海关总署《应用项目运维保障分级管理指南》，本项目运维服务保障等级为</w:t>
            </w:r>
            <w:r>
              <w:rPr>
                <w:rFonts w:ascii="宋体" w:eastAsia="宋体" w:cs="宋体"/>
                <w:spacing w:val="-4"/>
              </w:rPr>
              <w:t>一</w:t>
            </w:r>
            <w:r>
              <w:rPr>
                <w:rFonts w:ascii="宋体" w:eastAsia="宋体" w:cs="宋体" w:hint="eastAsia"/>
                <w:spacing w:val="-4"/>
              </w:rPr>
              <w:t>级，具体保障要求如下：</w:t>
            </w:r>
          </w:p>
          <w:p>
            <w:pPr>
              <w:pStyle w:val="7112"/>
              <w:ind w:firstLine="0"/>
              <w:rPr>
                <w:rFonts w:ascii="宋体" w:eastAsia="宋体" w:cs="宋体" w:hint="eastAsia"/>
                <w:spacing w:val="-4"/>
              </w:rPr>
            </w:pPr>
            <w:r>
              <w:rPr>
                <w:rFonts w:ascii="宋体" w:eastAsia="宋体" w:cs="宋体"/>
                <w:spacing w:val="-4"/>
              </w:rPr>
              <w:t>（一）</w:t>
            </w:r>
            <w:r>
              <w:rPr>
                <w:rFonts w:ascii="宋体" w:eastAsia="宋体" w:cs="宋体" w:hint="eastAsia"/>
                <w:spacing w:val="-4"/>
              </w:rPr>
              <w:t>运维保障时间 7×24小时</w:t>
            </w:r>
          </w:p>
          <w:p>
            <w:pPr>
              <w:pStyle w:val="7112"/>
              <w:ind w:firstLine="0"/>
              <w:rPr>
                <w:rFonts w:ascii="宋体" w:eastAsia="宋体" w:cs="宋体" w:hint="eastAsia"/>
              </w:rPr>
            </w:pPr>
            <w:r>
              <w:rPr>
                <w:rFonts w:ascii="宋体" w:eastAsia="宋体" w:cs="宋体"/>
                <w:spacing w:val="-4"/>
              </w:rPr>
              <w:t>（二）</w:t>
            </w:r>
            <w:r>
              <w:rPr>
                <w:rFonts w:ascii="宋体" w:eastAsia="宋体" w:cs="宋体" w:hint="eastAsia"/>
                <w:spacing w:val="-4"/>
              </w:rPr>
              <w:t>业务恢复时限</w:t>
            </w:r>
            <w:r>
              <w:rPr>
                <w:rFonts w:ascii="宋体" w:eastAsia="宋体" w:cs="宋体"/>
                <w:spacing w:val="-4"/>
              </w:rPr>
              <w:t>2</w:t>
            </w:r>
            <w:r>
              <w:rPr>
                <w:rFonts w:ascii="宋体" w:eastAsia="宋体" w:cs="宋体" w:hint="eastAsia"/>
                <w:spacing w:val="-4"/>
              </w:rPr>
              <w:t>小时</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4</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硬件、软件制造商服务标准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无</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5</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lang w:val="en-US" w:eastAsia="zh-CN"/>
              </w:rPr>
              <w:t>项目经理</w:t>
            </w:r>
            <w:r>
              <w:rPr>
                <w:rFonts w:ascii="宋体" w:eastAsia="宋体" w:cs="宋体" w:hint="eastAsia"/>
                <w:sz w:val="24"/>
                <w:szCs w:val="24"/>
              </w:rPr>
              <w:t>资格标准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lang w:bidi="ar-SA"/>
              </w:rPr>
              <w:t>▲</w:t>
            </w: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color w:val="000000"/>
              </w:rPr>
            </w:pPr>
            <w:r>
              <w:rPr>
                <w:rFonts w:ascii="宋体" w:eastAsia="宋体" w:cs="宋体" w:hint="eastAsia"/>
                <w:sz w:val="24"/>
                <w:szCs w:val="24"/>
                <w:lang w:val="en-US" w:eastAsia="zh-CN"/>
              </w:rPr>
              <w:t>（1）</w:t>
            </w:r>
            <w:r>
              <w:rPr>
                <w:rFonts w:ascii="宋体" w:eastAsia="宋体" w:cs="宋体" w:hint="eastAsia"/>
                <w:color w:val="000000"/>
              </w:rPr>
              <w:t>项目经理需具</w:t>
            </w:r>
            <w:r>
              <w:rPr>
                <w:rFonts w:ascii="宋体" w:eastAsia="宋体" w:cs="宋体"/>
                <w:color w:val="000000"/>
              </w:rPr>
              <w:t>备五年以上项目管理经验</w:t>
            </w:r>
            <w:r>
              <w:rPr>
                <w:rFonts w:ascii="宋体" w:eastAsia="宋体" w:cs="宋体" w:hint="eastAsia"/>
                <w:color w:val="000000"/>
              </w:rPr>
              <w:t>，承担过同类系统软件开发经验，能够与用户进行良好的沟通，熟悉原系统开发架构</w:t>
            </w:r>
            <w:r>
              <w:rPr>
                <w:rFonts w:ascii="宋体" w:eastAsia="宋体" w:cs="宋体"/>
                <w:color w:val="000000"/>
              </w:rPr>
              <w:t>。</w:t>
            </w:r>
          </w:p>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（2）具备由中华人民共和国人力资源和社会保障部、工业和信息化部批准颁发的信息系统项目管理师资质证书</w:t>
            </w:r>
            <w:r>
              <w:rPr>
                <w:rFonts w:ascii="宋体" w:eastAsia="宋体" w:cs="宋体"/>
                <w:sz w:val="24"/>
                <w:szCs w:val="24"/>
                <w:lang w:val="en-US" w:eastAsia="zh-CN"/>
              </w:rPr>
              <w:t>。</w:t>
            </w:r>
          </w:p>
        </w:tc>
        <w:tc>
          <w:tcPr>
            <w:tcW w:w="1685" w:type="dxa"/>
            <w:vAlign w:val="center"/>
          </w:tcPr>
          <w:p>
            <w:pPr>
              <w:ind w:left="0" w:firstLine="0"/>
            </w:pPr>
            <w:r>
              <w:rPr>
                <w:rFonts w:ascii="宋体" w:eastAsia="宋体" w:hint="eastAsia"/>
                <w:color w:val="000000"/>
              </w:rPr>
              <w:t>是</w:t>
            </w:r>
            <w:r>
              <w:rPr>
                <w:rFonts w:ascii="宋体" w:eastAsia="宋体"/>
                <w:color w:val="000000"/>
              </w:rPr>
              <w:t>，资料包含在实施团队介绍中，提供简历、项目经验证明，</w:t>
            </w:r>
            <w:r>
              <w:t>提供投标截止前6个月内任意一个月的社保证明或劳务合同等证明材料。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6</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服务网络标准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无</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hint="eastAsia"/>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7</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培训标准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hint="eastAsia"/>
                <w:sz w:val="24"/>
                <w:szCs w:val="24"/>
              </w:rPr>
              <w:t>投标人必须根据本系统软件的功能和特点，充分考虑到单位系统人员实际水平，提出详细的培训方案，以达到系统管理人员能够独立管理投标人所提供的系统软件和日常的维护处理能力</w:t>
            </w:r>
            <w:r>
              <w:rPr>
                <w:rFonts w:ascii="宋体" w:eastAsia="宋体" w:cs="宋体"/>
                <w:color w:val="000000"/>
              </w:rPr>
              <w:t>。</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8</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r>
              <w:rPr>
                <w:rFonts w:ascii="宋体" w:eastAsia="宋体" w:cs="宋体" w:hint="eastAsia"/>
                <w:sz w:val="24"/>
                <w:szCs w:val="24"/>
              </w:rPr>
              <w:t>集成标准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cs="宋体" w:hint="eastAsia"/>
              </w:rPr>
            </w:pPr>
          </w:p>
        </w:tc>
        <w:tc>
          <w:tcPr>
            <w:tcW w:w="3690" w:type="dxa"/>
            <w:vAlign w:val="center"/>
          </w:tcPr>
          <w:p>
            <w:pPr>
              <w:keepNext w:val="0"/>
              <w:keepLines w:val="0"/>
              <w:widowControl w:val="0"/>
              <w:suppressLineNumbers w:val="0"/>
              <w:ind w:left="0" w:firstLine="0"/>
              <w:rPr>
                <w:rFonts w:ascii="宋体" w:eastAsia="宋体" w:hint="eastAsia"/>
                <w:color w:val="000000"/>
                <w:lang w:bidi="en-US"/>
              </w:rPr>
            </w:pPr>
            <w:r>
              <w:rPr>
                <w:rFonts w:ascii="宋体" w:eastAsia="宋体" w:hint="eastAsia"/>
                <w:color w:val="000000"/>
                <w:lang w:bidi="en-US"/>
              </w:rPr>
              <w:t>该项目的建设与管理要符合海关有关管理规定、技术架构、标准规范等方面要求，符合海关工程集成的设计要求及相关标准规范。</w:t>
            </w:r>
          </w:p>
          <w:p>
            <w:pPr>
              <w:keepNext w:val="0"/>
              <w:keepLines w:val="0"/>
              <w:widowControl w:val="0"/>
              <w:suppressLineNumbers w:val="0"/>
              <w:ind w:left="0" w:firstLine="0"/>
              <w:rPr>
                <w:rFonts w:ascii="宋体" w:eastAsia="宋体" w:hint="eastAsia"/>
                <w:color w:val="000000"/>
              </w:rPr>
            </w:pPr>
            <w:r>
              <w:rPr>
                <w:rFonts w:ascii="宋体" w:eastAsia="宋体" w:hint="eastAsia"/>
                <w:color w:val="000000"/>
              </w:rPr>
              <w:t>应按照海关项目管理要求、技术要求、集成要求和方案编制要求开展实施和集成工作，并接受和配合集成联调测试工作。</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cs="宋体" w:hint="eastAsia"/>
              </w:rPr>
            </w:pPr>
            <w:r>
              <w:rPr>
                <w:rFonts w:ascii="宋体" w:eastAsia="宋体" w:cs="宋体"/>
                <w:sz w:val="24"/>
                <w:szCs w:val="24"/>
                <w:lang w:val="en-US" w:eastAsia="zh-CN"/>
              </w:rPr>
              <w:t>否</w:t>
            </w:r>
          </w:p>
        </w:tc>
      </w:tr>
    </w:tbl>
    <w:p>
      <w:pPr>
        <w:pStyle w:val="Heading4"/>
        <w:numPr>
          <w:ilvl w:val="0"/>
          <w:numId w:val="7"/>
        </w:numPr>
        <w:ind w:left="0" w:firstLine="0"/>
        <w:rPr>
          <w:rFonts w:ascii="宋体" w:eastAsia="宋体" w:hint="eastAsia"/>
          <w:lang w:val="en-US"/>
        </w:rPr>
      </w:pPr>
      <w:bookmarkStart w:id="58" w:name="实施方案"/>
      <w:r>
        <w:rPr>
          <w:rFonts w:ascii="宋体" w:eastAsia="宋体" w:hint="eastAsia"/>
          <w:lang w:val="en-US"/>
        </w:rPr>
        <w:t>实施</w:t>
      </w:r>
      <w:bookmarkEnd w:id="58"/>
      <w:r>
        <w:rPr>
          <w:rFonts w:ascii="宋体" w:eastAsia="宋体"/>
          <w:lang w:val="en-US"/>
        </w:rPr>
        <w:t>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序号</w:t>
            </w:r>
          </w:p>
        </w:tc>
        <w:tc>
          <w:tcPr>
            <w:tcW w:w="1140"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内容</w:t>
            </w:r>
          </w:p>
        </w:tc>
        <w:tc>
          <w:tcPr>
            <w:tcW w:w="1196"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重要性</w:t>
            </w:r>
          </w:p>
        </w:tc>
        <w:tc>
          <w:tcPr>
            <w:tcW w:w="3690"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bookmarkStart w:id="59" w:name="实施方案_Title_实施标准_Required_Table"/>
            <w:r>
              <w:rPr>
                <w:rFonts w:ascii="宋体" w:eastAsia="宋体" w:hint="eastAsia"/>
                <w:sz w:val="24"/>
                <w:szCs w:val="24"/>
                <w:lang w:val="en-US"/>
              </w:rPr>
              <w:t>实施</w:t>
            </w:r>
            <w:r>
              <w:rPr>
                <w:rFonts w:ascii="宋体" w:eastAsia="宋体" w:hint="eastAsia"/>
                <w:sz w:val="24"/>
                <w:szCs w:val="24"/>
              </w:rPr>
              <w:t>标准</w:t>
            </w:r>
            <w:bookmarkEnd w:id="59"/>
          </w:p>
        </w:tc>
        <w:tc>
          <w:tcPr>
            <w:tcW w:w="1685" w:type="dxa"/>
          </w:tcPr>
          <w:p>
            <w:pPr>
              <w:keepNext w:val="0"/>
              <w:keepLines w:val="0"/>
              <w:widowControl w:val="0"/>
              <w:suppressLineNumbers w:val="0"/>
              <w:spacing w:before="0" w:beforeAutospacing="0" w:after="0" w:afterAutospacing="0"/>
              <w:ind w:left="0" w:right="0" w:firstLine="0"/>
              <w:jc w:val="center"/>
              <w:rPr>
                <w:rFonts w:ascii="宋体" w:eastAsia="宋体" w:hint="eastAsia"/>
              </w:rPr>
            </w:pPr>
            <w:bookmarkStart w:id="60" w:name="实施方案_Title_证明材料要求_Required_Table"/>
            <w:r>
              <w:rPr>
                <w:rFonts w:ascii="宋体" w:eastAsia="宋体" w:hint="eastAsia"/>
                <w:sz w:val="24"/>
                <w:szCs w:val="24"/>
              </w:rPr>
              <w:t>证明材料要求</w:t>
            </w:r>
            <w:bookmarkEnd w:id="60"/>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1</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项目实施过程控制</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tcPr>
          <w:p>
            <w:pPr>
              <w:keepNext w:val="0"/>
              <w:keepLines w:val="0"/>
              <w:widowControl w:val="0"/>
              <w:suppressLineNumbers w:val="0"/>
              <w:ind w:left="0" w:firstLine="0"/>
              <w:rPr>
                <w:rFonts w:ascii="宋体" w:eastAsia="宋体" w:hint="eastAsia"/>
                <w:color w:val="000000"/>
              </w:rPr>
            </w:pPr>
            <w:r>
              <w:rPr>
                <w:rFonts w:ascii="宋体" w:eastAsia="宋体" w:cs="宋体" w:hint="eastAsia"/>
                <w:color w:val="000000"/>
              </w:rPr>
              <w:t>（一）根据工程进展及时向工程实施单位报送工程文档、项目问题、风险；对不符合进度的事项有问题及时报告、及时请示。</w:t>
            </w:r>
          </w:p>
          <w:p>
            <w:pPr>
              <w:keepNext w:val="0"/>
              <w:keepLines w:val="0"/>
              <w:widowControl w:val="0"/>
              <w:suppressLineNumbers w:val="0"/>
              <w:ind w:left="0" w:firstLine="0"/>
              <w:rPr>
                <w:rFonts w:ascii="宋体" w:eastAsia="宋体" w:hint="eastAsia"/>
                <w:color w:val="000000"/>
              </w:rPr>
            </w:pPr>
            <w:r>
              <w:rPr>
                <w:rFonts w:ascii="宋体" w:eastAsia="宋体" w:cs="宋体" w:hint="eastAsia"/>
                <w:color w:val="000000"/>
              </w:rPr>
              <w:t>（二）定期将工程实际进度和资源投入（人力、设备材料、工具）情况报送工程实施单位。</w:t>
            </w:r>
          </w:p>
          <w:p>
            <w:pPr>
              <w:keepNext w:val="0"/>
              <w:keepLines w:val="0"/>
              <w:widowControl w:val="0"/>
              <w:suppressLineNumbers w:val="0"/>
              <w:ind w:left="0" w:firstLine="0"/>
              <w:rPr>
                <w:rFonts w:ascii="宋体" w:eastAsia="宋体" w:hint="eastAsia"/>
                <w:color w:val="000000"/>
              </w:rPr>
            </w:pPr>
            <w:r>
              <w:rPr>
                <w:rFonts w:ascii="宋体" w:eastAsia="宋体" w:cs="宋体" w:hint="eastAsia"/>
                <w:color w:val="000000"/>
              </w:rPr>
              <w:t>（三）所有设计文档必须通过甲方单位的评审。</w:t>
            </w:r>
          </w:p>
          <w:p>
            <w:pPr>
              <w:keepNext w:val="0"/>
              <w:keepLines w:val="0"/>
              <w:widowControl w:val="0"/>
              <w:suppressLineNumbers w:val="0"/>
              <w:ind w:left="0" w:firstLine="0"/>
              <w:rPr>
                <w:rFonts w:ascii="宋体" w:eastAsia="宋体" w:hint="eastAsia"/>
                <w:color w:val="000000"/>
              </w:rPr>
            </w:pPr>
            <w:r>
              <w:rPr>
                <w:rFonts w:ascii="宋体" w:eastAsia="宋体" w:cs="宋体" w:hint="eastAsia"/>
                <w:color w:val="000000"/>
              </w:rPr>
              <w:t>（四）系统开发须满足《</w:t>
            </w:r>
            <w:r>
              <w:rPr>
                <w:rFonts w:ascii="宋体" w:eastAsia="宋体" w:cs="宋体" w:hint="eastAsia"/>
                <w:color w:val="auto"/>
              </w:rPr>
              <w:t>应用项目工程建设技术规范说明书</w:t>
            </w:r>
            <w:r>
              <w:rPr>
                <w:rFonts w:ascii="宋体" w:eastAsia="宋体" w:cs="宋体" w:hint="eastAsia"/>
                <w:color w:val="000000"/>
              </w:rPr>
              <w:t>》的要求。</w:t>
            </w:r>
          </w:p>
          <w:p>
            <w:pPr>
              <w:keepNext w:val="0"/>
              <w:keepLines w:val="0"/>
              <w:widowControl w:val="0"/>
              <w:suppressLineNumbers w:val="0"/>
              <w:ind w:left="0" w:firstLine="0"/>
              <w:rPr>
                <w:rFonts w:ascii="宋体" w:eastAsia="宋体" w:hint="eastAsia"/>
                <w:color w:val="000000"/>
              </w:rPr>
            </w:pPr>
            <w:r>
              <w:rPr>
                <w:rFonts w:ascii="宋体" w:eastAsia="宋体" w:cs="宋体" w:hint="eastAsia"/>
                <w:color w:val="000000"/>
              </w:rPr>
              <w:t>（五）系统严格遵循海关有关技术规范及技术要求。</w:t>
            </w:r>
          </w:p>
          <w:p>
            <w:pPr>
              <w:keepNext w:val="0"/>
              <w:keepLines w:val="0"/>
              <w:widowControl w:val="0"/>
              <w:suppressLineNumbers w:val="0"/>
              <w:ind w:left="0" w:firstLine="0"/>
            </w:pPr>
            <w:r>
              <w:rPr>
                <w:rFonts w:ascii="宋体" w:eastAsia="宋体" w:cs="宋体" w:hint="eastAsia"/>
                <w:color w:val="000000"/>
              </w:rPr>
              <w:t>（六）项目实施过程严格遵循海关有关规程及规定。</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cs="宋体"/>
                <w:sz w:val="24"/>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2</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项目实施过程文档管理</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cs="宋体" w:hint="eastAsia"/>
              </w:rPr>
            </w:pPr>
            <w:r>
              <w:rPr>
                <w:rFonts w:ascii="宋体" w:eastAsia="宋体" w:cs="Times New Roman"/>
                <w:color w:val="000000"/>
              </w:rPr>
              <w:t>所有设计文档必须通过甲方单位的审核。</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cs="宋体"/>
                <w:sz w:val="24"/>
                <w:szCs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3</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项目实施组织架构</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lang w:bidi="ar-SA"/>
              </w:rPr>
              <w:t>▲</w:t>
            </w:r>
          </w:p>
        </w:tc>
        <w:tc>
          <w:tcPr>
            <w:tcW w:w="3690" w:type="dxa"/>
            <w:vAlign w:val="center"/>
          </w:tcPr>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(一)人员配置要求。</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投标人应负责提出本项目实施的人员配置方案，主要要求如下：</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投标人应提供人员名单、项目履历、本单位的社保证明或劳务合同等材料、在本项目中职责分工。</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项目团队要求结构健全，分工合理，专人专职。项目团队中，有项目经理1人，核心设计及开发人员15人及以上（至少包括、系统分析师、</w:t>
            </w:r>
            <w:r>
              <w:rPr>
                <w:rFonts w:ascii="宋体" w:eastAsia="宋体" w:cs="宋体"/>
                <w:color w:val="000000"/>
              </w:rPr>
              <w:t>软件设计师、软件性能测试高级工程师、信息安全管理工程师</w:t>
            </w:r>
            <w:r>
              <w:rPr>
                <w:rFonts w:ascii="宋体" w:eastAsia="宋体" w:cs="宋体" w:hint="eastAsia"/>
                <w:color w:val="000000"/>
              </w:rPr>
              <w:t>等角色）。</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项目经理、主要开发人员需具有承担过同类系统软件开发经验能够与用户进行良好的沟通熟悉系统开发架构本项目执行过程中，项目经理要专职于本项目，核心技术人员要保证本项目投入时间，不得参与与本项目无关的工作，在项目验收之前不得调离该项目。</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投标人应明确项目人员在本项目中的岗位职责、任职资格及管理权限，重点明确项目经理调动相关资源的权力，以确保项目顺利交付。</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项目实施过程中，投标人不得随意更换项目团队中的人员。除个人原因外(如员工从企业离职，但不包括调动到投标人关联单位)，其他人员调动需提前两周以书面形式向采购人申请，并提交人员更换相关材料。采购人有权根据项目情况否决或调整上述申请。采购人批准申请后，方可按批准后的内容进行相关调整，</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如投标人未经采购人批准更换人员，采购人有权扣除更换人员相关费用，并由投标人赔偿由此造成的一切直接损失与间接损失。</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（二）项目人员工作要求。</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严格遵守项目进度及采购人的项目管理制度；</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应签署项目相关保密协议并严格执行，规范内部安全管理；</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为保证项目正常进行，须保证项目人员相对固定，除采购方批准外，不得更换项目经理、核心技术人员；如需更换，则必须通过采购人组织的面试。</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服务期间，项目经理、架构师和主要技术人员须提供7*24小时联系方式，并保证联系渠道畅通；</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必须保证提供的服务具有针对性，能够满足采购人的要求。</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hint="eastAsia"/>
                <w:color w:val="000000"/>
              </w:rPr>
              <w:t>是</w:t>
            </w:r>
            <w:r>
              <w:rPr>
                <w:rFonts w:ascii="宋体" w:eastAsia="宋体"/>
                <w:color w:val="000000"/>
              </w:rPr>
              <w:t>，</w:t>
            </w:r>
            <w:r>
              <w:rPr>
                <w:rFonts w:ascii="宋体" w:eastAsia="宋体" w:cs="宋体" w:hint="eastAsia"/>
                <w:color w:val="000000"/>
              </w:rPr>
              <w:t>提供“团队核心成员</w:t>
            </w:r>
            <w:r>
              <w:rPr>
                <w:rFonts w:ascii="宋体" w:eastAsia="宋体" w:cs="宋体"/>
                <w:color w:val="000000"/>
              </w:rPr>
              <w:t>稳定</w:t>
            </w:r>
            <w:r>
              <w:rPr>
                <w:rFonts w:ascii="宋体" w:eastAsia="宋体" w:cs="宋体" w:hint="eastAsia"/>
                <w:color w:val="000000"/>
              </w:rPr>
              <w:t>承诺书”并加盖公章。</w:t>
            </w:r>
            <w:r>
              <w:rPr>
                <w:rFonts w:ascii="宋体" w:eastAsia="宋体" w:cs="宋体"/>
                <w:color w:val="000000"/>
              </w:rPr>
              <w:t>项目团队人员</w:t>
            </w:r>
            <w:r>
              <w:rPr>
                <w:rFonts w:ascii="宋体" w:eastAsia="宋体"/>
                <w:color w:val="000000"/>
              </w:rPr>
              <w:t>提供简历，</w:t>
            </w:r>
            <w:r>
              <w:t>提供投标截止前6个月内任意一个月的社保证明或劳务合同等证明材料。</w:t>
            </w:r>
            <w:r>
              <w:rPr>
                <w:rFonts w:ascii="宋体" w:eastAsia="宋体" w:cs="宋体"/>
                <w:color w:val="000000"/>
              </w:rPr>
              <w:t>其他</w:t>
            </w:r>
            <w:r>
              <w:rPr>
                <w:rFonts w:ascii="宋体" w:eastAsia="宋体"/>
                <w:color w:val="000000"/>
              </w:rPr>
              <w:t>体现在实施方案中</w:t>
            </w:r>
            <w:r>
              <w:rPr>
                <w:rFonts w:ascii="宋体" w:eastAsia="宋体" w:cs="宋体" w:hint="eastAsia"/>
                <w:color w:val="000000"/>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4</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项目实施进度安排</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lang w:bidi="ar-SA"/>
              </w:rPr>
              <w:t>▲</w:t>
            </w:r>
          </w:p>
        </w:tc>
        <w:tc>
          <w:tcPr>
            <w:tcW w:w="3690" w:type="dxa"/>
          </w:tcPr>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项目建设过程包括需求调研分析、系统设计、程序开发系统测试、上线运行、项目验收、质保维护等阶段。关键节点工期要求为：</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1)需求分析和系统设计两个阶段从合同签定起1个月内完成;</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2)从合同签定起3个月内完成全部功能的开发、测试及上线工作；</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3)投标人申请合同验收；</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4)本项目通过合同验收后，投标人应提供1年的</w:t>
            </w:r>
            <w:r>
              <w:rPr>
                <w:rFonts w:ascii="宋体" w:eastAsia="宋体" w:cs="宋体"/>
                <w:color w:val="000000"/>
              </w:rPr>
              <w:t>售后服务</w:t>
            </w:r>
            <w:r>
              <w:rPr>
                <w:rFonts w:ascii="宋体" w:eastAsia="宋体" w:cs="宋体" w:hint="eastAsia"/>
                <w:color w:val="000000"/>
              </w:rPr>
              <w:t>，提供质量保证期内的售后服务。</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cs="宋体"/>
                <w:sz w:val="24"/>
                <w:szCs w:val="24"/>
              </w:rPr>
              <w:t>是，</w:t>
            </w:r>
            <w: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5</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项目安装过程安排</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color w:val="000000"/>
              </w:rPr>
              <w:t>不涉及</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hint="eastAsia"/>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6</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项目验收安排</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vAlign w:val="center"/>
          </w:tcPr>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系统验收合格的条件必须满足以下要求：</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(1)系统上线运行时功能、性能满足国家相关标准、合同和实施方案的要求；</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(2)系统总体功能、性能测试和试运行验收时出现的问题已被解决；</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(3)已提供了合同的全部资料和软件</w:t>
            </w:r>
          </w:p>
          <w:p>
            <w:pPr>
              <w:keepNext w:val="0"/>
              <w:keepLines w:val="0"/>
              <w:widowControl w:val="0"/>
              <w:suppressLineNumbers w:val="0"/>
              <w:ind w:left="0" w:firstLine="0"/>
              <w:rPr>
                <w:rFonts w:ascii="宋体" w:eastAsia="宋体" w:cs="宋体" w:hint="eastAsia"/>
                <w:color w:val="000000"/>
              </w:rPr>
            </w:pPr>
            <w:r>
              <w:rPr>
                <w:rFonts w:ascii="宋体" w:eastAsia="宋体" w:cs="宋体" w:hint="eastAsia"/>
                <w:color w:val="000000"/>
              </w:rPr>
              <w:t>(4)移交与本项目有关的相关技术资料。</w:t>
            </w:r>
          </w:p>
          <w:p>
            <w:pPr>
              <w:keepNext w:val="0"/>
              <w:keepLines w:val="0"/>
              <w:widowControl w:val="0"/>
              <w:suppressLineNumbers w:val="0"/>
              <w:ind w:left="0" w:firstLine="0"/>
              <w:rPr>
                <w:rFonts w:ascii="宋体" w:eastAsia="宋体" w:hint="eastAsia"/>
              </w:rPr>
            </w:pPr>
            <w:r>
              <w:rPr>
                <w:rFonts w:ascii="宋体" w:eastAsia="宋体" w:cs="宋体" w:hint="eastAsia"/>
                <w:color w:val="000000"/>
              </w:rPr>
              <w:t>项目成果以及由此形成的知识产权属海关所有，包括文档资料和程序等具体验收由海关组织相关业务、技术专家进行评审.投标人需承诺协助为验收提供相关服务。</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sz w:val="24"/>
                <w:szCs w:val="24"/>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7</w:t>
            </w:r>
          </w:p>
        </w:tc>
        <w:tc>
          <w:tcPr>
            <w:tcW w:w="1140"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项目培训安排</w:t>
            </w:r>
          </w:p>
        </w:tc>
        <w:tc>
          <w:tcPr>
            <w:tcW w:w="1196" w:type="dxa"/>
            <w:vAlign w:val="center"/>
          </w:tcPr>
          <w:p>
            <w:pPr>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vAlign w:val="center"/>
          </w:tcPr>
          <w:p>
            <w:pPr>
              <w:pStyle w:val="BodyText"/>
              <w:spacing w:before="0" w:line="360" w:lineRule="auto"/>
              <w:ind w:left="0"/>
              <w:jc w:val="both"/>
              <w:rPr>
                <w:lang w:eastAsia="zh-CN"/>
              </w:rPr>
            </w:pPr>
            <w:r>
              <w:rPr>
                <w:lang w:eastAsia="zh-CN"/>
              </w:rPr>
              <w:t>项目开发完成后，对网站整体建站平台的维护人员进行相关技术培训，保证所有维护人员能熟练掌握相关内容，包括技术操作、安全防范和控制等业务，培训前，投标人需向采购人提供培训大纲和相关资料。投标人需对培训内容和课时、培训组织安排做出说明。</w:t>
            </w:r>
          </w:p>
        </w:tc>
        <w:tc>
          <w:tcPr>
            <w:tcW w:w="1685" w:type="dxa"/>
            <w:vAlign w:val="center"/>
          </w:tcPr>
          <w:p>
            <w:pPr>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sz w:val="24"/>
                <w:szCs w:val="24"/>
              </w:rP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4912"/>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8</w:t>
            </w:r>
          </w:p>
        </w:tc>
        <w:tc>
          <w:tcPr>
            <w:tcW w:w="1140" w:type="dxa"/>
            <w:vAlign w:val="center"/>
          </w:tcPr>
          <w:p>
            <w:pPr>
              <w:pStyle w:val="5011"/>
              <w:keepNext w:val="0"/>
              <w:keepLines w:val="0"/>
              <w:widowControl w:val="0"/>
              <w:suppressLineNumbers w:val="0"/>
              <w:spacing w:before="0" w:beforeAutospacing="0" w:after="0" w:afterAutospacing="0"/>
              <w:ind w:left="0" w:right="0" w:firstLine="0"/>
              <w:jc w:val="center"/>
              <w:rPr>
                <w:rFonts w:ascii="宋体" w:eastAsia="宋体" w:hint="eastAsia"/>
              </w:rPr>
            </w:pPr>
            <w:r>
              <w:rPr>
                <w:rFonts w:ascii="宋体" w:eastAsia="宋体" w:hint="eastAsia"/>
                <w:sz w:val="24"/>
                <w:szCs w:val="24"/>
              </w:rPr>
              <w:t>集成标准</w:t>
            </w:r>
          </w:p>
        </w:tc>
        <w:tc>
          <w:tcPr>
            <w:tcW w:w="1196" w:type="dxa"/>
            <w:vAlign w:val="center"/>
          </w:tcPr>
          <w:p>
            <w:pPr>
              <w:pStyle w:val="5112"/>
              <w:keepNext w:val="0"/>
              <w:keepLines w:val="0"/>
              <w:widowControl w:val="0"/>
              <w:suppressLineNumbers w:val="0"/>
              <w:spacing w:before="0" w:beforeAutospacing="0" w:after="0" w:afterAutospacing="0"/>
              <w:ind w:left="0" w:right="0" w:firstLine="0"/>
              <w:jc w:val="center"/>
              <w:rPr>
                <w:rFonts w:ascii="宋体" w:eastAsia="宋体" w:hint="eastAsia"/>
              </w:rPr>
            </w:pPr>
          </w:p>
        </w:tc>
        <w:tc>
          <w:tcPr>
            <w:tcW w:w="3690" w:type="dxa"/>
            <w:vAlign w:val="center"/>
          </w:tcPr>
          <w:p>
            <w:pPr>
              <w:keepNext w:val="0"/>
              <w:keepLines w:val="0"/>
              <w:widowControl w:val="0"/>
              <w:suppressLineNumbers w:val="0"/>
              <w:ind w:left="0" w:firstLine="0"/>
            </w:pPr>
            <w:r>
              <w:rPr>
                <w:rFonts w:ascii="宋体" w:eastAsia="宋体" w:hint="eastAsia"/>
                <w:color w:val="000000"/>
                <w:lang w:bidi="en-US"/>
              </w:rPr>
              <w:t>海关工程集成的设计要求及相关标准规范。</w:t>
            </w:r>
          </w:p>
        </w:tc>
        <w:tc>
          <w:tcPr>
            <w:tcW w:w="1685" w:type="dxa"/>
            <w:vAlign w:val="center"/>
          </w:tcPr>
          <w:p>
            <w:pPr>
              <w:pStyle w:val="5312"/>
              <w:keepNext w:val="0"/>
              <w:keepLines w:val="0"/>
              <w:widowControl w:val="0"/>
              <w:suppressLineNumbers w:val="0"/>
              <w:spacing w:before="0" w:beforeAutospacing="0" w:after="0" w:afterAutospacing="0"/>
              <w:ind w:left="0" w:right="0" w:firstLine="0"/>
              <w:jc w:val="both"/>
              <w:rPr>
                <w:rFonts w:ascii="宋体" w:eastAsia="宋体" w:hint="eastAsia"/>
              </w:rPr>
            </w:pPr>
            <w:r>
              <w:rPr>
                <w:rFonts w:ascii="宋体" w:eastAsia="宋体"/>
                <w:sz w:val="24"/>
                <w:szCs w:val="24"/>
                <w:lang w:val="en-US" w:eastAsia="zh-CN"/>
              </w:rPr>
              <w:t>否</w:t>
            </w:r>
          </w:p>
        </w:tc>
      </w:tr>
    </w:tbl>
    <w:p>
      <w:pPr>
        <w:pStyle w:val="Heading4"/>
        <w:numPr>
          <w:ilvl w:val="0"/>
          <w:numId w:val="7"/>
        </w:numPr>
        <w:rPr>
          <w:rFonts w:ascii="宋体" w:eastAsia="宋体" w:hint="eastAsia"/>
          <w:sz w:val="32"/>
          <w:shd w:val="clear" w:color="auto" w:fill="auto"/>
          <w:lang w:val="en-US"/>
        </w:rPr>
      </w:pPr>
      <w:r>
        <w:rPr>
          <w:rFonts w:ascii="宋体" w:eastAsia="宋体" w:hint="eastAsia"/>
          <w:b/>
          <w:sz w:val="32"/>
          <w:shd w:val="clear" w:color="auto" w:fill="auto"/>
          <w:lang w:val="en-US"/>
        </w:rPr>
        <w:t>其它内容</w:t>
      </w:r>
    </w:p>
    <w:p>
      <w:pPr>
        <w:ind w:firstLine="480"/>
        <w:rPr>
          <w:rFonts w:ascii="宋体" w:eastAsia="宋体"/>
          <w:color w:val="000000"/>
        </w:rPr>
      </w:pPr>
      <w:r>
        <w:rPr>
          <w:rFonts w:ascii="宋体" w:eastAsia="宋体"/>
          <w:color w:val="000000"/>
        </w:rPr>
        <w:t>1</w:t>
      </w:r>
      <w:r>
        <w:rPr>
          <w:rFonts w:ascii="宋体" w:eastAsia="宋体" w:hint="eastAsia"/>
          <w:color w:val="000000"/>
        </w:rPr>
        <w:t>.</w:t>
      </w:r>
      <w:r>
        <w:rPr>
          <w:rFonts w:ascii="宋体" w:eastAsia="宋体"/>
          <w:color w:val="000000"/>
        </w:rPr>
        <w:t>业绩要求。</w:t>
      </w:r>
    </w:p>
    <w:p>
      <w:pPr>
        <w:pStyle w:val="4813"/>
        <w:rPr>
          <w:color w:val="000000"/>
        </w:rPr>
      </w:pPr>
      <w:r>
        <w:rPr>
          <w:rFonts w:ascii="宋体" w:hAnsi="宋体"/>
          <w:color w:val="000000"/>
          <w:sz w:val="24"/>
          <w:lang w:bidi="en-US"/>
        </w:rPr>
        <w:t>投标人</w:t>
      </w:r>
      <w:r>
        <w:rPr>
          <w:rFonts w:ascii="宋体" w:hAnsi="宋体" w:hint="eastAsia"/>
          <w:color w:val="000000"/>
          <w:sz w:val="24"/>
          <w:lang w:bidi="en-US"/>
        </w:rPr>
        <w:t>须提供与本项目同类开发项目业绩 注：1.上述业绩指与本项目同类开发项目业绩。 2.合同签订时间为</w:t>
      </w:r>
      <w:r>
        <w:rPr>
          <w:rFonts w:ascii="宋体" w:hAnsi="宋体"/>
          <w:color w:val="000000"/>
          <w:sz w:val="24"/>
          <w:lang w:bidi="en-US"/>
        </w:rPr>
        <w:t>2021年8月1日起至本项目招标公告发布之日起</w:t>
      </w:r>
      <w:r>
        <w:rPr>
          <w:rFonts w:ascii="宋体" w:hAnsi="宋体" w:hint="eastAsia"/>
          <w:color w:val="000000"/>
          <w:sz w:val="24"/>
          <w:lang w:bidi="en-US"/>
        </w:rPr>
        <w:t>。 3.合同必须为</w:t>
      </w:r>
      <w:r>
        <w:rPr>
          <w:rFonts w:ascii="宋体" w:hAnsi="宋体"/>
          <w:color w:val="000000"/>
          <w:sz w:val="24"/>
          <w:lang w:bidi="en-US"/>
        </w:rPr>
        <w:t>投标人</w:t>
      </w:r>
      <w:r>
        <w:rPr>
          <w:rFonts w:ascii="宋体" w:hAnsi="宋体" w:hint="eastAsia"/>
          <w:color w:val="000000"/>
          <w:sz w:val="24"/>
          <w:lang w:bidi="en-US"/>
        </w:rPr>
        <w:t>自身且业绩合同中必须至少包含合同双方印章、签字、合同标的、合同金额、签订时间、合同履行第一笔付款乙方开具的发票复印件等信息内容（以上内容缺少一项，案例不予承认）。 4.提供业绩合同复印件须字迹清晰，辨识无误。 不符合上述要求或未按要求提供有效证明文件的业绩在评审时将不予以承认</w:t>
      </w:r>
      <w:r>
        <w:rPr>
          <w:rFonts w:ascii="宋体" w:hAnsi="宋体"/>
          <w:color w:val="000000"/>
          <w:sz w:val="24"/>
          <w:lang w:bidi="en-US"/>
        </w:rPr>
        <w:t>。</w:t>
      </w:r>
    </w:p>
    <w:p>
      <w:pPr>
        <w:ind w:firstLine="480"/>
        <w:rPr>
          <w:rFonts w:ascii="宋体" w:eastAsia="宋体"/>
          <w:color w:val="000000"/>
        </w:rPr>
      </w:pPr>
      <w:r>
        <w:rPr>
          <w:rFonts w:ascii="宋体" w:eastAsia="宋体"/>
          <w:color w:val="000000"/>
        </w:rPr>
        <w:t>2.相关主观评审因素要求。</w:t>
      </w:r>
    </w:p>
    <w:p>
      <w:pPr>
        <w:pStyle w:val="8211"/>
        <w:spacing w:after="0"/>
        <w:rPr>
          <w:rFonts w:ascii="宋体" w:eastAsia="宋体" w:hint="eastAsia"/>
          <w:color w:val="000000"/>
          <w:lang w:bidi="en-US"/>
        </w:rPr>
      </w:pPr>
      <w:r>
        <w:rPr>
          <w:rFonts w:ascii="宋体" w:eastAsia="宋体"/>
          <w:color w:val="000000"/>
          <w:lang w:bidi="en-US"/>
        </w:rPr>
        <w:t>需求理解及分</w:t>
      </w:r>
      <w:r>
        <w:rPr>
          <w:rFonts w:ascii="宋体" w:eastAsia="宋体" w:hint="eastAsia"/>
          <w:color w:val="000000"/>
          <w:lang w:bidi="en-US"/>
        </w:rPr>
        <w:t>析要求：</w:t>
      </w:r>
      <w:r>
        <w:rPr>
          <w:rFonts w:ascii="宋体" w:eastAsia="宋体"/>
          <w:color w:val="000000"/>
          <w:lang w:bidi="en-US"/>
        </w:rPr>
        <w:t>投标人</w:t>
      </w:r>
      <w:r>
        <w:rPr>
          <w:rFonts w:ascii="宋体" w:eastAsia="宋体" w:hint="eastAsia"/>
          <w:color w:val="000000"/>
          <w:lang w:bidi="en-US"/>
        </w:rPr>
        <w:t>按照磋商文件要求，对本项目的业务内容及系统需求进行详细分析。</w:t>
      </w:r>
      <w:r>
        <w:rPr>
          <w:rFonts w:ascii="宋体" w:eastAsia="宋体" w:hint="eastAsia"/>
          <w:lang w:bidi="en-US"/>
        </w:rPr>
        <w:t>分析内容应包含</w:t>
      </w:r>
      <w:r>
        <w:rPr>
          <w:rFonts w:ascii="宋体" w:eastAsia="宋体"/>
          <w:lang w:bidi="en-US"/>
        </w:rPr>
        <w:t>本次项目主要内容包括历史数据清理、手机版网站适配优化、海关门户网站页面优化、新媒体栏目建设、网站留言板规范化改造、网站知识图谱构建、领先网站亮点应用策略、在线访谈优化、热点专题专栏建设、</w:t>
      </w:r>
      <w:r>
        <w:rPr>
          <w:rFonts w:ascii="宋体" w:eastAsia="宋体"/>
          <w:color w:val="000000"/>
          <w:lang w:bidi="en-US"/>
        </w:rPr>
        <w:t>智能搜索优化</w:t>
      </w:r>
      <w:r>
        <w:rPr>
          <w:rFonts w:ascii="宋体" w:eastAsia="宋体" w:hint="eastAsia"/>
          <w:color w:val="000000"/>
          <w:lang w:bidi="en-US"/>
        </w:rPr>
        <w:t>等技术服务内容</w:t>
      </w:r>
      <w:r>
        <w:rPr>
          <w:rFonts w:ascii="宋体" w:eastAsia="宋体" w:hint="eastAsia"/>
          <w:lang w:bidi="en-US"/>
        </w:rPr>
        <w:t xml:space="preserve">。 </w:t>
      </w:r>
    </w:p>
    <w:p>
      <w:pPr>
        <w:pStyle w:val="8211"/>
        <w:spacing w:after="0"/>
        <w:rPr>
          <w:rFonts w:ascii="宋体" w:eastAsia="宋体" w:hint="eastAsia"/>
          <w:color w:val="000000"/>
          <w:lang w:bidi="en-US"/>
        </w:rPr>
      </w:pPr>
      <w:r>
        <w:rPr>
          <w:rFonts w:ascii="宋体" w:eastAsia="宋体" w:hint="eastAsia"/>
          <w:color w:val="000000"/>
          <w:lang w:bidi="en-US"/>
        </w:rPr>
        <w:t>总体设计方案：</w:t>
      </w:r>
      <w:r>
        <w:rPr>
          <w:rFonts w:ascii="宋体" w:eastAsia="宋体"/>
          <w:color w:val="000000"/>
          <w:lang w:bidi="en-US"/>
        </w:rPr>
        <w:t>投标人</w:t>
      </w:r>
      <w:r>
        <w:rPr>
          <w:rFonts w:ascii="宋体" w:eastAsia="宋体" w:hint="eastAsia"/>
          <w:color w:val="000000"/>
          <w:lang w:bidi="en-US"/>
        </w:rPr>
        <w:t>应提供符合本项目的总体设计方案，能够充分满足采购人的技术要求， 至少包含总体架构、应用架构、数据架构、数据流向等内容。技术方案考虑全面、完整，针对性，可行性强</w:t>
      </w:r>
      <w:r>
        <w:rPr>
          <w:rFonts w:ascii="宋体" w:eastAsia="宋体"/>
          <w:color w:val="000000"/>
          <w:lang w:bidi="en-US"/>
        </w:rPr>
        <w:t>。</w:t>
      </w:r>
    </w:p>
    <w:p>
      <w:pPr>
        <w:pStyle w:val="8211"/>
        <w:spacing w:after="0"/>
        <w:rPr>
          <w:rFonts w:ascii="宋体" w:eastAsia="宋体" w:hint="eastAsia"/>
          <w:color w:val="000000"/>
          <w:lang w:bidi="en-US"/>
        </w:rPr>
      </w:pPr>
      <w:r>
        <w:rPr>
          <w:rFonts w:ascii="宋体" w:eastAsia="宋体" w:hint="eastAsia"/>
          <w:color w:val="000000"/>
          <w:lang w:bidi="en-US"/>
        </w:rPr>
        <w:t>详细技术方案：</w:t>
      </w:r>
      <w:r>
        <w:rPr>
          <w:rFonts w:ascii="宋体" w:eastAsia="宋体"/>
          <w:color w:val="000000"/>
          <w:lang w:bidi="en-US"/>
        </w:rPr>
        <w:t>投标人</w:t>
      </w:r>
      <w:r>
        <w:rPr>
          <w:rFonts w:ascii="宋体" w:eastAsia="宋体" w:hint="eastAsia"/>
          <w:color w:val="000000"/>
          <w:lang w:bidi="en-US"/>
        </w:rPr>
        <w:t>应提供符合本项目的技术方案，能够充分满足采购人的技术要求，至少包含总体架构、应用架构、数据架构、数据流向、业务功能设计、系统集成设计等内容。技术方案考虑全面、完整，针对性，可行性强</w:t>
      </w:r>
      <w:r>
        <w:rPr>
          <w:rFonts w:ascii="宋体" w:eastAsia="宋体"/>
          <w:color w:val="000000"/>
          <w:lang w:bidi="en-US"/>
        </w:rPr>
        <w:t>。</w:t>
      </w:r>
    </w:p>
    <w:p>
      <w:pPr>
        <w:pStyle w:val="8211"/>
        <w:spacing w:after="0"/>
        <w:rPr>
          <w:rFonts w:ascii="宋体" w:eastAsia="宋体" w:hint="eastAsia"/>
          <w:color w:val="000000"/>
          <w:lang w:bidi="en-US"/>
        </w:rPr>
      </w:pPr>
      <w:r>
        <w:rPr>
          <w:rFonts w:ascii="宋体" w:eastAsia="宋体" w:hint="eastAsia"/>
          <w:color w:val="000000"/>
          <w:lang w:bidi="en-US"/>
        </w:rPr>
        <w:t>集成方案：系统集成方案应包含相关应用间的详细接口设计、业务逻辑关系、调用关系和依存关系等。根据各子系统对接需求，分别提出各子系统的对接方案，方案描述清晰，可行性强，</w:t>
      </w:r>
    </w:p>
    <w:p>
      <w:pPr>
        <w:ind w:left="420" w:firstLine="0" w:leftChars="200"/>
        <w:rPr>
          <w:rFonts w:ascii="宋体" w:eastAsia="宋体"/>
          <w:color w:val="000000"/>
          <w:lang w:bidi="en-US"/>
        </w:rPr>
      </w:pPr>
      <w:r>
        <w:rPr>
          <w:rFonts w:ascii="宋体" w:eastAsia="宋体" w:hint="eastAsia"/>
          <w:color w:val="000000"/>
          <w:lang w:bidi="en-US"/>
        </w:rPr>
        <w:t>售后服务方案：针对本项目提供售后响应预案，包括7*24小时技术支持服务与维护、售后服务人员专业性等方案内容，其中故障响应时间24小时内。</w:t>
      </w:r>
    </w:p>
    <w:p>
      <w:pPr>
        <w:ind w:left="420" w:firstLine="0" w:leftChars="200"/>
        <w:rPr>
          <w:rFonts w:ascii="宋体" w:eastAsia="宋体" w:hint="eastAsia"/>
          <w:color w:val="000000"/>
        </w:rPr>
      </w:pPr>
      <w:r>
        <w:rPr>
          <w:rFonts w:ascii="宋体" w:eastAsia="宋体" w:hint="eastAsia"/>
          <w:color w:val="000000"/>
          <w:lang w:val="en-US" w:eastAsia="zh-CN"/>
        </w:rPr>
        <w:t>3</w:t>
      </w:r>
      <w:r>
        <w:rPr>
          <w:rFonts w:ascii="宋体" w:eastAsia="宋体"/>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2"/>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rPr>
              <w:t>序号</w:t>
            </w:r>
          </w:p>
        </w:tc>
        <w:tc>
          <w:tcPr>
            <w:tcW w:w="1140" w:type="dxa"/>
          </w:tcPr>
          <w:p>
            <w:pPr>
              <w:pStyle w:val="2511"/>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rPr>
              <w:t>内容</w:t>
            </w:r>
          </w:p>
        </w:tc>
        <w:tc>
          <w:tcPr>
            <w:tcW w:w="1880" w:type="dxa"/>
          </w:tcPr>
          <w:p>
            <w:pPr>
              <w:pStyle w:val="261"/>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rPr>
              <w:t>数量</w:t>
            </w:r>
          </w:p>
        </w:tc>
        <w:tc>
          <w:tcPr>
            <w:tcW w:w="4680" w:type="dxa"/>
          </w:tcPr>
          <w:p>
            <w:pPr>
              <w:pStyle w:val="2712"/>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11"/>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lang w:val="en-US" w:eastAsia="zh-CN"/>
              </w:rPr>
              <w:t>1</w:t>
            </w:r>
          </w:p>
        </w:tc>
        <w:tc>
          <w:tcPr>
            <w:tcW w:w="1140" w:type="dxa"/>
            <w:vAlign w:val="center"/>
          </w:tcPr>
          <w:p>
            <w:pPr>
              <w:pStyle w:val="812"/>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rPr>
              <w:t>重要指标项</w:t>
            </w:r>
          </w:p>
        </w:tc>
        <w:tc>
          <w:tcPr>
            <w:tcW w:w="1880" w:type="dxa"/>
            <w:vAlign w:val="center"/>
          </w:tcPr>
          <w:p>
            <w:pPr>
              <w:pStyle w:val="712"/>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color w:val="000000"/>
                <w:sz w:val="24"/>
                <w:szCs w:val="24"/>
                <w:lang w:val="en-US" w:eastAsia="zh-CN"/>
              </w:rPr>
              <w:t>4</w:t>
            </w:r>
          </w:p>
        </w:tc>
        <w:tc>
          <w:tcPr>
            <w:tcW w:w="4680" w:type="dxa"/>
          </w:tcPr>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分别为:</w:t>
            </w:r>
          </w:p>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七、服务要求2个（第1,5）</w:t>
            </w:r>
          </w:p>
          <w:p>
            <w:pPr>
              <w:pStyle w:val="60"/>
              <w:keepNext w:val="0"/>
              <w:keepLines w:val="0"/>
              <w:widowControl w:val="0"/>
              <w:suppressLineNumbers w:val="0"/>
              <w:spacing w:before="0" w:beforeAutospacing="0" w:after="0" w:afterAutospacing="0"/>
              <w:ind w:left="0" w:right="0" w:firstLine="0"/>
              <w:jc w:val="left"/>
              <w:rPr>
                <w:rFonts w:ascii="宋体" w:eastAsia="宋体"/>
                <w:color w:val="000000"/>
              </w:rPr>
            </w:pPr>
            <w:r>
              <w:rPr>
                <w:rFonts w:ascii="宋体" w:eastAsia="宋体" w:hint="eastAsia"/>
                <w:color w:val="000000"/>
                <w:sz w:val="24"/>
                <w:szCs w:val="24"/>
              </w:rPr>
              <w:t>八、实施要求</w:t>
            </w:r>
            <w:r>
              <w:rPr>
                <w:rFonts w:ascii="宋体" w:eastAsia="宋体"/>
                <w:color w:val="000000"/>
                <w:sz w:val="24"/>
                <w:szCs w:val="24"/>
              </w:rPr>
              <w:t>2</w:t>
            </w:r>
            <w:r>
              <w:rPr>
                <w:rFonts w:ascii="宋体" w:eastAsia="宋体" w:hint="eastAsia"/>
                <w:color w:val="000000"/>
                <w:sz w:val="24"/>
                <w:szCs w:val="24"/>
              </w:rPr>
              <w:t>个(第3,</w:t>
            </w:r>
            <w:r>
              <w:rPr>
                <w:rFonts w:ascii="宋体" w:eastAsia="宋体"/>
                <w:color w:val="000000"/>
                <w:sz w:val="24"/>
                <w:szCs w:val="24"/>
              </w:rPr>
              <w:t>4</w:t>
            </w:r>
            <w:r>
              <w:rPr>
                <w:rFonts w:ascii="宋体" w:eastAsia="宋体" w:hint="eastAsia"/>
                <w:color w:val="000000"/>
                <w:sz w:val="24"/>
                <w:szCs w:val="24"/>
              </w:rPr>
              <w:t>)</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11"/>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lang w:val="en-US" w:eastAsia="zh-CN"/>
              </w:rPr>
              <w:t>2</w:t>
            </w:r>
          </w:p>
        </w:tc>
        <w:tc>
          <w:tcPr>
            <w:tcW w:w="1140" w:type="dxa"/>
            <w:vAlign w:val="center"/>
          </w:tcPr>
          <w:p>
            <w:pPr>
              <w:pStyle w:val="812"/>
              <w:keepNext w:val="0"/>
              <w:keepLines w:val="0"/>
              <w:widowControl w:val="0"/>
              <w:suppressLineNumbers w:val="0"/>
              <w:spacing w:before="0" w:beforeAutospacing="0" w:after="0" w:afterAutospacing="0"/>
              <w:ind w:left="0" w:right="0" w:firstLine="0"/>
              <w:jc w:val="center"/>
              <w:rPr>
                <w:rFonts w:ascii="宋体" w:eastAsia="宋体" w:hint="eastAsia"/>
                <w:color w:val="000000"/>
              </w:rPr>
            </w:pPr>
            <w:r>
              <w:rPr>
                <w:rFonts w:ascii="宋体" w:eastAsia="宋体" w:hint="eastAsia"/>
                <w:color w:val="000000"/>
                <w:sz w:val="24"/>
                <w:szCs w:val="24"/>
              </w:rPr>
              <w:t>一般指标项</w:t>
            </w:r>
          </w:p>
        </w:tc>
        <w:tc>
          <w:tcPr>
            <w:tcW w:w="1880" w:type="dxa"/>
            <w:vAlign w:val="center"/>
          </w:tcPr>
          <w:p>
            <w:pPr>
              <w:pStyle w:val="712"/>
              <w:keepNext w:val="0"/>
              <w:keepLines w:val="0"/>
              <w:widowControl w:val="0"/>
              <w:suppressLineNumbers w:val="0"/>
              <w:spacing w:before="0" w:beforeAutospacing="0" w:after="0" w:afterAutospacing="0"/>
              <w:ind w:left="0" w:right="0" w:firstLine="0"/>
              <w:jc w:val="center"/>
              <w:rPr>
                <w:rFonts w:ascii="宋体" w:eastAsia="宋体"/>
                <w:color w:val="000000"/>
              </w:rPr>
            </w:pPr>
            <w:r>
              <w:rPr>
                <w:rFonts w:ascii="宋体" w:eastAsia="宋体"/>
                <w:color w:val="000000"/>
                <w:sz w:val="24"/>
                <w:szCs w:val="24"/>
                <w:lang w:val="en-US" w:eastAsia="zh-CN"/>
              </w:rPr>
              <w:t>29</w:t>
            </w:r>
          </w:p>
        </w:tc>
        <w:tc>
          <w:tcPr>
            <w:tcW w:w="4680" w:type="dxa"/>
          </w:tcPr>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分别为：</w:t>
            </w:r>
          </w:p>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五、集成要求3个(第1,2,3)</w:t>
            </w:r>
          </w:p>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六、获取或服务指标要求</w:t>
            </w:r>
            <w:r>
              <w:rPr>
                <w:rFonts w:ascii="宋体" w:eastAsia="宋体"/>
                <w:color w:val="000000"/>
                <w:sz w:val="24"/>
                <w:szCs w:val="24"/>
              </w:rPr>
              <w:t>17</w:t>
            </w:r>
            <w:r>
              <w:rPr>
                <w:rFonts w:ascii="宋体" w:eastAsia="宋体" w:hint="eastAsia"/>
                <w:color w:val="000000"/>
                <w:sz w:val="24"/>
                <w:szCs w:val="24"/>
              </w:rPr>
              <w:t>个(第1，2,3,4,5,6,7,8,9,10,11,12,13,14,15,</w:t>
            </w:r>
            <w:r>
              <w:rPr>
                <w:rFonts w:ascii="宋体" w:eastAsia="宋体"/>
                <w:color w:val="000000"/>
                <w:sz w:val="24"/>
                <w:szCs w:val="24"/>
              </w:rPr>
              <w:t>16,</w:t>
            </w:r>
            <w:r>
              <w:rPr>
                <w:rFonts w:ascii="宋体" w:eastAsia="宋体" w:hint="eastAsia"/>
                <w:color w:val="000000"/>
                <w:sz w:val="24"/>
                <w:szCs w:val="24"/>
              </w:rPr>
              <w:t>18)</w:t>
            </w:r>
          </w:p>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七、服务要求</w:t>
            </w:r>
            <w:r>
              <w:rPr>
                <w:rFonts w:ascii="宋体" w:eastAsia="宋体"/>
                <w:color w:val="000000"/>
                <w:sz w:val="24"/>
                <w:szCs w:val="24"/>
              </w:rPr>
              <w:t>4</w:t>
            </w:r>
            <w:r>
              <w:rPr>
                <w:rFonts w:ascii="宋体" w:eastAsia="宋体" w:hint="eastAsia"/>
                <w:color w:val="000000"/>
                <w:sz w:val="24"/>
                <w:szCs w:val="24"/>
              </w:rPr>
              <w:t>个(第2,3,7,8)</w:t>
            </w:r>
          </w:p>
          <w:p>
            <w:pPr>
              <w:pStyle w:val="60"/>
              <w:keepNext w:val="0"/>
              <w:keepLines w:val="0"/>
              <w:widowControl w:val="0"/>
              <w:suppressLineNumbers w:val="0"/>
              <w:spacing w:before="0" w:beforeAutospacing="0" w:after="0" w:afterAutospacing="0"/>
              <w:ind w:left="0" w:right="0" w:firstLine="0"/>
              <w:jc w:val="left"/>
              <w:rPr>
                <w:rFonts w:ascii="宋体" w:eastAsia="宋体" w:hint="eastAsia"/>
                <w:color w:val="000000"/>
              </w:rPr>
            </w:pPr>
            <w:r>
              <w:rPr>
                <w:rFonts w:ascii="宋体" w:eastAsia="宋体" w:hint="eastAsia"/>
                <w:color w:val="000000"/>
                <w:sz w:val="24"/>
                <w:szCs w:val="24"/>
              </w:rPr>
              <w:t>八、实施要求</w:t>
            </w:r>
            <w:r>
              <w:rPr>
                <w:rFonts w:ascii="宋体" w:eastAsia="宋体"/>
                <w:color w:val="000000"/>
                <w:sz w:val="24"/>
                <w:szCs w:val="24"/>
              </w:rPr>
              <w:t>5</w:t>
            </w:r>
            <w:r>
              <w:rPr>
                <w:rFonts w:ascii="宋体" w:eastAsia="宋体" w:hint="eastAsia"/>
                <w:color w:val="000000"/>
                <w:sz w:val="24"/>
                <w:szCs w:val="24"/>
              </w:rPr>
              <w:t>个(第1,2,6,</w:t>
            </w:r>
            <w:r>
              <w:rPr>
                <w:rFonts w:ascii="宋体" w:eastAsia="宋体"/>
                <w:color w:val="000000"/>
                <w:sz w:val="24"/>
                <w:szCs w:val="24"/>
              </w:rPr>
              <w:t>7,</w:t>
            </w:r>
            <w:r>
              <w:rPr>
                <w:rFonts w:ascii="宋体" w:eastAsia="宋体" w:hint="eastAsia"/>
                <w:color w:val="000000"/>
                <w:sz w:val="24"/>
                <w:szCs w:val="24"/>
              </w:rPr>
              <w:t>8)</w:t>
            </w:r>
          </w:p>
        </w:tc>
      </w:tr>
    </w:tbl>
    <w:p>
      <w:pPr>
        <w:pStyle w:val="3611"/>
        <w:rPr>
          <w:rFonts w:ascii="宋体" w:eastAsia="宋体" w:hint="eastAsia"/>
          <w:b/>
          <w:bCs/>
          <w:color w:val="000000"/>
        </w:rPr>
      </w:pPr>
      <w:r>
        <w:rPr>
          <w:rFonts w:ascii="宋体" w:eastAsia="宋体" w:hint="eastAsia"/>
          <w:b/>
          <w:bCs/>
          <w:color w:val="000000"/>
        </w:rPr>
        <w:t>备注：</w:t>
      </w:r>
    </w:p>
    <w:p>
      <w:pPr>
        <w:pStyle w:val="3611"/>
        <w:rPr>
          <w:rFonts w:ascii="宋体" w:eastAsia="宋体" w:hint="eastAsia"/>
          <w:color w:val="000000"/>
        </w:rPr>
      </w:pPr>
      <w:r>
        <w:rPr>
          <w:rFonts w:ascii="宋体" w:eastAsia="宋体" w:hint="eastAsia"/>
          <w:color w:val="000000"/>
        </w:rPr>
        <w:t>①表格内容填写完整、规范，确保无缺漏项。</w:t>
      </w:r>
    </w:p>
    <w:p>
      <w:pPr>
        <w:pStyle w:val="373"/>
        <w:rPr>
          <w:rFonts w:ascii="宋体" w:eastAsia="宋体" w:hint="eastAsia"/>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373"/>
        <w:rPr>
          <w:rFonts w:ascii="宋体" w:eastAsia="宋体" w:hint="eastAsia"/>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rFonts w:hint="eastAsia"/>
          <w:b/>
          <w:bCs/>
          <w:color w:val="0000FF"/>
          <w:sz w:val="28"/>
          <w:szCs w:val="36"/>
          <w:lang w:val="en-US" w:eastAsia="zh-CN"/>
        </w:rPr>
      </w:pPr>
      <w:bookmarkEnd w:id="38"/>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61"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61"/>
    </w:p>
    <w:p>
      <w:pPr>
        <w:pStyle w:val="3213"/>
        <w:rPr>
          <w:rFonts w:ascii="宋体" w:hint="eastAsia"/>
          <w:color w:val="000000"/>
          <w:sz w:val="24"/>
          <w:szCs w:val="24"/>
        </w:rPr>
      </w:pPr>
    </w:p>
    <w:p>
      <w:bookmarkStart w:id="62"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5"/>
        <w:gridCol w:w="7087"/>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法律、法规、磋商文件规定的其他无效投标情形</w:t>
            </w:r>
          </w:p>
        </w:tc>
      </w:tr>
    </w:tbl>
    <w:p>
      <w:r>
        <w:t>详细评审标准</w:t>
      </w:r>
    </w:p>
    <w:p>
      <w:r>
        <w:t>评审办法:综合评分法</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920"/>
        <w:gridCol w:w="5929"/>
        <w:gridCol w:w="1245"/>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0" w:type="dxa"/>
          </w:tcPr>
          <w:p>
            <w:r>
              <w:t>主客观项</w:t>
            </w:r>
          </w:p>
        </w:tc>
        <w:tc>
          <w:tcPr>
            <w:tcW w:w="941" w:type="dxa"/>
          </w:tcPr>
          <w:p>
            <w:r>
              <w:t>评审因素</w:t>
            </w:r>
          </w:p>
        </w:tc>
        <w:tc>
          <w:tcPr>
            <w:tcW w:w="6067" w:type="dxa"/>
          </w:tcPr>
          <w:p>
            <w:r>
              <w:t>评分标准说明</w:t>
            </w:r>
          </w:p>
        </w:tc>
        <w:tc>
          <w:tcPr>
            <w:tcW w:w="1274" w:type="dxa"/>
          </w:tcPr>
          <w:p>
            <w:r>
              <w:t>分值范围</w:t>
            </w:r>
          </w:p>
        </w:tc>
      </w:tr>
      <w:tr>
        <w:tblPrEx>
          <w:tblW w:w="4999" w:type="pct"/>
          <w:jc w:val="left"/>
          <w:tblInd w:w="0" w:type="dxa"/>
          <w:tblCellMar>
            <w:top w:w="0" w:type="dxa"/>
            <w:left w:w="108" w:type="dxa"/>
            <w:bottom w:w="0" w:type="dxa"/>
            <w:right w:w="108" w:type="dxa"/>
          </w:tblCellMar>
        </w:tblPrEx>
        <w:trPr>
          <w:jc w:val="left"/>
        </w:trPr>
        <w:tc>
          <w:tcPr>
            <w:tcW w:w="240" w:type="dxa"/>
          </w:tcPr>
          <w:p>
            <w:r>
              <w:t>价格分</w:t>
            </w:r>
          </w:p>
        </w:tc>
        <w:tc>
          <w:tcPr>
            <w:tcW w:w="941" w:type="dxa"/>
          </w:tcPr>
          <w:p>
            <w:r>
              <w:t>价格评审</w:t>
            </w:r>
          </w:p>
        </w:tc>
        <w:tc>
          <w:tcPr>
            <w:tcW w:w="6067" w:type="dxa"/>
          </w:tcPr>
          <w:p>
            <w:r>
              <w:t>综合评分法中的价格分统一采用低价优先法计算，即满足磋商文件要求且响应价格最低的响应报价为评标基准价，其价格分为满分。其他供应商的价格分按照下列公式计算：价格得分=(评标基准价／响应报价)×10％×100。</w:t>
            </w:r>
          </w:p>
        </w:tc>
        <w:tc>
          <w:tcPr>
            <w:tcW w:w="1274" w:type="dxa"/>
          </w:tcPr>
          <w:p>
            <w:r>
              <w:t>区间打分(0-10)</w:t>
            </w:r>
          </w:p>
        </w:tc>
      </w:tr>
      <w:tr>
        <w:tblPrEx>
          <w:tblW w:w="4999" w:type="pct"/>
          <w:jc w:val="left"/>
          <w:tblInd w:w="0" w:type="dxa"/>
          <w:tblCellMar>
            <w:top w:w="0" w:type="dxa"/>
            <w:left w:w="108" w:type="dxa"/>
            <w:bottom w:w="0" w:type="dxa"/>
            <w:right w:w="108" w:type="dxa"/>
          </w:tblCellMar>
        </w:tblPrEx>
        <w:trPr>
          <w:jc w:val="left"/>
        </w:trPr>
        <w:tc>
          <w:tcPr>
            <w:tcW w:w="240" w:type="dxa"/>
            <w:vMerge w:val="restart"/>
          </w:tcPr>
          <w:p>
            <w:r>
              <w:t>商务部分</w:t>
            </w:r>
          </w:p>
        </w:tc>
        <w:tc>
          <w:tcPr>
            <w:tcW w:w="941" w:type="dxa"/>
          </w:tcPr>
          <w:p>
            <w:r>
              <w:t>企业综合实力</w:t>
            </w:r>
          </w:p>
        </w:tc>
        <w:tc>
          <w:tcPr>
            <w:tcW w:w="6067" w:type="dxa"/>
          </w:tcPr>
          <w:p>
            <w:r>
              <w:t xml:space="preserve">1、具有质量管理体系认证证书（ISO9001），得1分；否则不得分。 </w:t>
            </w:r>
          </w:p>
          <w:p>
            <w:r>
              <w:t xml:space="preserve">2、具有信息安全管理体系认证证书（ISO27001），得1分；否则不得分。  </w:t>
            </w:r>
          </w:p>
          <w:p>
            <w:r>
              <w:t>注：上述证书均需处于有效期内并通过年检（如有），需提供复印件并加盖供应商公章。满足上述条件方为有效。</w:t>
            </w:r>
          </w:p>
        </w:tc>
        <w:tc>
          <w:tcPr>
            <w:tcW w:w="1274" w:type="dxa"/>
          </w:tcPr>
          <w:p>
            <w:r>
              <w:t>勾选打分(0;1;2)</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响应文件编制质量、对磋商文件的响应程度</w:t>
            </w:r>
          </w:p>
        </w:tc>
        <w:tc>
          <w:tcPr>
            <w:tcW w:w="6067" w:type="dxa"/>
          </w:tcPr>
          <w:p>
            <w:r>
              <w:t>电子响应文件的逐项响应、定位和绑定清晰准确得2分；</w:t>
            </w:r>
          </w:p>
          <w:p>
            <w:r>
              <w:t xml:space="preserve">有一项未响应或定位和绑定模糊、有偏差的得1分；      </w:t>
            </w:r>
          </w:p>
          <w:p>
            <w:r>
              <w:t>有两项或两项以上未响应或定位和绑定模糊、有偏差的得0分。</w:t>
            </w:r>
          </w:p>
        </w:tc>
        <w:tc>
          <w:tcPr>
            <w:tcW w:w="1274" w:type="dxa"/>
          </w:tcPr>
          <w:p>
            <w:r>
              <w:t>勾选打分(0;1;2)</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供应商业绩</w:t>
            </w:r>
          </w:p>
        </w:tc>
        <w:tc>
          <w:tcPr>
            <w:tcW w:w="6067" w:type="dxa"/>
          </w:tcPr>
          <w:p>
            <w:r>
              <w:t xml:space="preserve">供应商须提供与本项目同类开发项目业绩  </w:t>
            </w:r>
          </w:p>
          <w:p>
            <w:r>
              <w:t xml:space="preserve">注：1.上述业绩指与本项目同类开发项目业绩。  </w:t>
            </w:r>
          </w:p>
          <w:p>
            <w:r>
              <w:t xml:space="preserve">2.合同签订时间为2021年8月1日起至本项目招标公告发布之日起。  </w:t>
            </w:r>
          </w:p>
          <w:p>
            <w:r>
              <w:t xml:space="preserve">3.合同必须为投标人自身且业绩合同中必须至少包含合同双方印章、签字、合同标的、合同金额、签订时间、合同履行第一笔付款乙方开具的发票复印件等信息内容（以上内容缺少一项，案例不予承认）。  </w:t>
            </w:r>
          </w:p>
          <w:p>
            <w:r>
              <w:t xml:space="preserve">4.提供业绩合同复印件须字迹清晰，辨识无误。 </w:t>
            </w:r>
          </w:p>
          <w:p>
            <w:r>
              <w:t xml:space="preserve">不符合上述要求或未按要求提供有效证明文件的业绩在评审时将不予以承认。 </w:t>
            </w:r>
          </w:p>
        </w:tc>
        <w:tc>
          <w:tcPr>
            <w:tcW w:w="1274" w:type="dxa"/>
          </w:tcPr>
          <w:p>
            <w:r>
              <w:t>勾选打分(0;1;2;3;4;5)</w:t>
            </w:r>
          </w:p>
        </w:tc>
      </w:tr>
      <w:tr>
        <w:tblPrEx>
          <w:tblW w:w="4999" w:type="pct"/>
          <w:jc w:val="left"/>
          <w:tblInd w:w="0" w:type="dxa"/>
          <w:tblCellMar>
            <w:top w:w="0" w:type="dxa"/>
            <w:left w:w="108" w:type="dxa"/>
            <w:bottom w:w="0" w:type="dxa"/>
            <w:right w:w="108" w:type="dxa"/>
          </w:tblCellMar>
        </w:tblPrEx>
        <w:trPr>
          <w:jc w:val="left"/>
        </w:trPr>
        <w:tc>
          <w:tcPr>
            <w:tcW w:w="240" w:type="dxa"/>
            <w:vMerge w:val="restart"/>
          </w:tcPr>
          <w:p>
            <w:r>
              <w:t>服务部分</w:t>
            </w:r>
          </w:p>
        </w:tc>
        <w:tc>
          <w:tcPr>
            <w:tcW w:w="941" w:type="dxa"/>
          </w:tcPr>
          <w:p>
            <w:r>
              <w:t>重要技术服务指标响应程度</w:t>
            </w:r>
          </w:p>
        </w:tc>
        <w:tc>
          <w:tcPr>
            <w:tcW w:w="6067" w:type="dxa"/>
          </w:tcPr>
          <w:p>
            <w:r>
              <w:t xml:space="preserve">完全满足文件指标要求得13.8分，▲标记重要指标项每有一项不满足扣3.45分。      </w:t>
            </w:r>
          </w:p>
          <w:p>
            <w:r>
              <w:t xml:space="preserve">注：一共有4个重要指标，分别在： </w:t>
            </w:r>
          </w:p>
          <w:p>
            <w:r>
              <w:t xml:space="preserve">七、服务要求2个（第1,5） </w:t>
            </w:r>
          </w:p>
          <w:p>
            <w:r>
              <w:t>八、实施要求2个(第3,4)</w:t>
            </w:r>
          </w:p>
        </w:tc>
        <w:tc>
          <w:tcPr>
            <w:tcW w:w="1274" w:type="dxa"/>
          </w:tcPr>
          <w:p>
            <w:r>
              <w:t>区间打分(0-13.8)</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一般技术服务指标响应程度</w:t>
            </w:r>
          </w:p>
        </w:tc>
        <w:tc>
          <w:tcPr>
            <w:tcW w:w="6067" w:type="dxa"/>
          </w:tcPr>
          <w:p>
            <w:r>
              <w:t xml:space="preserve">完全满足文件指标要求得52.2分，普通指标项每有一项不满足扣1.8分。       </w:t>
            </w:r>
          </w:p>
          <w:p>
            <w:r>
              <w:t xml:space="preserve"> 注：一共29个一般指标项，   分别在： </w:t>
            </w:r>
          </w:p>
          <w:p>
            <w:r>
              <w:t xml:space="preserve">五、集成要求3个(第1,2,3) </w:t>
            </w:r>
          </w:p>
          <w:p>
            <w:r>
              <w:t xml:space="preserve">六、获取或服务指标要求17个(第1，2,3,4,5,6,7,8,9,10,11,12,13,14,15,16,18) </w:t>
            </w:r>
          </w:p>
          <w:p>
            <w:r>
              <w:t xml:space="preserve">七、服务要求4个(第2,3,7,8) </w:t>
            </w:r>
          </w:p>
          <w:p>
            <w:r>
              <w:t>八、实施要求5个(第1,2,6,7,8)</w:t>
            </w:r>
          </w:p>
        </w:tc>
        <w:tc>
          <w:tcPr>
            <w:tcW w:w="1274" w:type="dxa"/>
          </w:tcPr>
          <w:p>
            <w:r>
              <w:t>区间打分(0-52.2)</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需求理解及分析</w:t>
            </w:r>
          </w:p>
        </w:tc>
        <w:tc>
          <w:tcPr>
            <w:tcW w:w="6067" w:type="dxa"/>
          </w:tcPr>
          <w:p>
            <w:r>
              <w:t xml:space="preserve">需求理解及分析要求：投标人按照磋商文件要求，对本项目的业务内容及系统需求进行详细分析。分析内容应包含本次项目主要内容包括历史数据清理、手机版网站适配优化、海关门户网站页面优化、新媒体栏目建设、网站留言板规范化改造、网站知识图谱构建、领先网站亮点应用策略、在线访谈优化、热点专题专栏建设、智能搜索优化等技术服务内容。  </w:t>
            </w:r>
          </w:p>
          <w:p/>
          <w:p>
            <w:r>
              <w:t xml:space="preserve">分析内容科学周密，完全契合项目需求实际，计划措施针对性可行性强，工作进度安排科学合理，完全契合项目实施要求、实施进度要求及交付要求等，得3分；     </w:t>
            </w:r>
          </w:p>
          <w:p>
            <w:r>
              <w:t>分析内容完整，可以满足项目需求，针对性可行性较强，但其中一项方案小项有缺陷（缺陷包括：与事实不符、前后内容不一致、逻辑错误、不符合采购需求、内容有缺失等），得2分；</w:t>
            </w:r>
          </w:p>
          <w:p>
            <w:r>
              <w:t xml:space="preserve"> 分析内容有漏项，未完全包括上述几小项内容，或两个及以上方案小项中存在缺陷，得1分；       </w:t>
            </w:r>
          </w:p>
          <w:p>
            <w:r>
              <w:t>未提供分析内容或方案严重脱离项目实际，得0分。</w:t>
            </w:r>
          </w:p>
        </w:tc>
        <w:tc>
          <w:tcPr>
            <w:tcW w:w="1274" w:type="dxa"/>
          </w:tcPr>
          <w:p>
            <w:r>
              <w:t>勾选打分(0;1;2;3)</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总体设计方案</w:t>
            </w:r>
          </w:p>
        </w:tc>
        <w:tc>
          <w:tcPr>
            <w:tcW w:w="6067" w:type="dxa"/>
          </w:tcPr>
          <w:p>
            <w:r>
              <w:t xml:space="preserve">总体设计方案：投标人应提供符合本项目的总体设计方案，能够充分满足采购人的技术要求， 至少包含总体架构、应用架构、数据架构、数据流向等内容。技术方案考虑全面、完整，针对性，可行性强。  </w:t>
            </w:r>
          </w:p>
          <w:p/>
          <w:p>
            <w:r>
              <w:t xml:space="preserve">方案内容科学周密，完全契合项目需求实际，计划措施针对性可行性强，工作进度安排科学合理，完全契合项目实施要求、实施进度要求及交付要求等，得3分；     </w:t>
            </w:r>
          </w:p>
          <w:p>
            <w:r>
              <w:t xml:space="preserve">方案内容完整，可以满足项目需求，针对性可行性较强，但其中一项方案小项有缺陷（缺陷包括：与事实不符、前后内容不一致、逻辑错误、不符合采购需求、内容有缺失等），得2分；   方案内容有漏项，未完全包括上述几小项内容，或两个及以上方案小项中存在缺陷，得1分；       </w:t>
            </w:r>
          </w:p>
          <w:p>
            <w:r>
              <w:t>未提供方案内容或方案严重脱离项目实际，得0分。</w:t>
            </w:r>
          </w:p>
        </w:tc>
        <w:tc>
          <w:tcPr>
            <w:tcW w:w="1274" w:type="dxa"/>
          </w:tcPr>
          <w:p>
            <w:r>
              <w:t>勾选打分(0;1;2;3)</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详细技术方案</w:t>
            </w:r>
          </w:p>
        </w:tc>
        <w:tc>
          <w:tcPr>
            <w:tcW w:w="6067" w:type="dxa"/>
          </w:tcPr>
          <w:p>
            <w:r>
              <w:t xml:space="preserve">详细技术方案：投标人应提供符合本项目的技术方案，能够充分满足采购人的技术要求，至少包含总体架构、应用架构、数据架构、数据流向、业务功能设计、系统集成设计等内容。技术方案考虑全面、完整，针对性，可行性强。 </w:t>
            </w:r>
          </w:p>
          <w:p>
            <w:r>
              <w:t xml:space="preserve"> </w:t>
            </w:r>
          </w:p>
          <w:p>
            <w:r>
              <w:t xml:space="preserve">方案内容科学周密，完全契合项目需求实际，计划措施针对性可行性强，工作进度安排科学合理，完全契合项目实施要求、实施进度要求及交付要求等，得3分；     </w:t>
            </w:r>
          </w:p>
          <w:p>
            <w:r>
              <w:t xml:space="preserve">方案内容完整，可以满足项目需求，针对性可行性较强，但其中一项方案小项有缺陷（缺陷包括：与事实不符、前后内容不一致、逻辑错误、不符合采购需求、内容有缺失等），得2分；   方案内容有漏项，未完全包括上述几小项内容，或两个及以上方案小项中存在缺陷，得1分；       </w:t>
            </w:r>
          </w:p>
          <w:p>
            <w:r>
              <w:t>未提供方案内容或方案严重脱离项目实际，得0分。</w:t>
            </w:r>
          </w:p>
        </w:tc>
        <w:tc>
          <w:tcPr>
            <w:tcW w:w="1274" w:type="dxa"/>
          </w:tcPr>
          <w:p>
            <w:r>
              <w:t>勾选打分(0;1;2;3)</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集成方案</w:t>
            </w:r>
          </w:p>
        </w:tc>
        <w:tc>
          <w:tcPr>
            <w:tcW w:w="6067" w:type="dxa"/>
          </w:tcPr>
          <w:p>
            <w:r>
              <w:t xml:space="preserve">集成方案：系统集成方案应包含相关应用间的详细接口设计、业务逻辑关系、调用关系和依存关系等。根据各子系统对接需求，分别提出各子系统的对接方案，方案描述清晰，可行性强。  </w:t>
            </w:r>
          </w:p>
          <w:p/>
          <w:p>
            <w:r>
              <w:t xml:space="preserve">方案内容科学周密，完全契合项目需求实际，计划措施针对性可行性强，工作进度安排科学合理，完全契合项目实施要求、实施进度要求及交付要求等，得3分；     </w:t>
            </w:r>
          </w:p>
          <w:p>
            <w:r>
              <w:t>方案内容完整，可以满足项目需求，针对性可行性较强，但其中一项方案小项有缺陷（缺陷包括：与事实不符、前后内容不一致、逻辑错误、不符合采购需求、内容有缺失等），得2分；</w:t>
            </w:r>
          </w:p>
          <w:p>
            <w:r>
              <w:t xml:space="preserve"> 方案内容有漏项，未完全包括上述几小项内容，或两个及以上方案小项中存在缺陷，得1分；       </w:t>
            </w:r>
          </w:p>
          <w:p>
            <w:r>
              <w:t>未提供方案内容或方案严重脱离项目实际，得0分。</w:t>
            </w:r>
          </w:p>
        </w:tc>
        <w:tc>
          <w:tcPr>
            <w:tcW w:w="1274" w:type="dxa"/>
          </w:tcPr>
          <w:p>
            <w:r>
              <w:t>勾选打分(0;1;2;3)</w:t>
            </w:r>
          </w:p>
        </w:tc>
      </w:tr>
      <w:tr>
        <w:tblPrEx>
          <w:tblW w:w="4999" w:type="pct"/>
          <w:jc w:val="left"/>
          <w:tblInd w:w="0" w:type="dxa"/>
          <w:tblCellMar>
            <w:top w:w="0" w:type="dxa"/>
            <w:left w:w="108" w:type="dxa"/>
            <w:bottom w:w="0" w:type="dxa"/>
            <w:right w:w="108" w:type="dxa"/>
          </w:tblCellMar>
        </w:tblPrEx>
        <w:trPr>
          <w:jc w:val="left"/>
        </w:trPr>
        <w:tc>
          <w:tcPr>
            <w:tcW w:w="891" w:type="dxa"/>
            <w:vMerge/>
          </w:tcPr>
          <w:p/>
        </w:tc>
        <w:tc>
          <w:tcPr>
            <w:tcW w:w="941" w:type="dxa"/>
          </w:tcPr>
          <w:p>
            <w:r>
              <w:t>售后服务方案</w:t>
            </w:r>
          </w:p>
        </w:tc>
        <w:tc>
          <w:tcPr>
            <w:tcW w:w="6067" w:type="dxa"/>
          </w:tcPr>
          <w:p>
            <w:r>
              <w:t xml:space="preserve">售后服务方案：针对本项目提供售后响应预案，包括7*24小时技术支持服务与维护、售后服务人员专业性等方案内容，其中故障响应时间24小时内。  </w:t>
            </w:r>
          </w:p>
          <w:p/>
          <w:p>
            <w:r>
              <w:t xml:space="preserve">方案内容科学周密，完全契合项目需求实际，计划措施针对性可行性强，工作进度安排科学合理，完全契合项目实施要求、实施进度要求及交付要求等，得3分；     </w:t>
            </w:r>
          </w:p>
          <w:p>
            <w:r>
              <w:t>方案内容完整，可以满足项目需求，针对性可行性较强，但其中一项方案小项有缺陷（缺陷包括：与事实不符、前后内容不一致、逻辑错误、不符合采购需求、内容有缺失等），得2分；</w:t>
            </w:r>
          </w:p>
          <w:p>
            <w:r>
              <w:t xml:space="preserve">方案内容有漏项，未完全包括上述几小项内容，或两个及以上方案小项中存在缺陷，得1分；       </w:t>
            </w:r>
          </w:p>
          <w:p>
            <w:r>
              <w:t>未提供方案内容或方案严重脱离项目实际，得0分。</w:t>
            </w:r>
          </w:p>
        </w:tc>
        <w:tc>
          <w:tcPr>
            <w:tcW w:w="1274" w:type="dxa"/>
          </w:tcPr>
          <w:p>
            <w:r>
              <w:t>勾选打分(0;1;2;3)</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62"/>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adjustRightInd w:val="0"/>
        <w:spacing w:before="312"/>
        <w:ind w:right="958"/>
        <w:jc w:val="center"/>
        <w:textAlignment w:val="baseline"/>
        <w:outlineLvl w:val="0"/>
        <w:rPr>
          <w:rFonts w:ascii="宋体" w:cs="宋体" w:hint="eastAsia"/>
          <w:b/>
          <w:bCs/>
          <w:color w:val="000000"/>
          <w:kern w:val="0"/>
          <w:sz w:val="32"/>
          <w:szCs w:val="30"/>
          <w:lang w:bidi="ar-SA"/>
        </w:rPr>
      </w:pPr>
      <w:bookmarkStart w:id="63" w:name="_GoBack"/>
      <w:bookmarkEnd w:id="63"/>
      <w:r>
        <w:rPr>
          <w:rFonts w:ascii="宋体" w:cs="宋体" w:hint="eastAsia"/>
          <w:b/>
          <w:bCs/>
          <w:color w:val="000000"/>
          <w:kern w:val="0"/>
          <w:sz w:val="30"/>
          <w:szCs w:val="30"/>
          <w:lang w:bidi="ar-SA"/>
        </w:rPr>
        <w:br w:type="page"/>
      </w:r>
      <w:bookmarkStart w:id="64" w:name="_Toc31833532"/>
      <w:r>
        <w:rPr>
          <w:rFonts w:ascii="宋体" w:cs="宋体" w:hint="eastAsia"/>
          <w:b/>
          <w:bCs/>
          <w:color w:val="000000"/>
          <w:kern w:val="0"/>
          <w:sz w:val="30"/>
          <w:szCs w:val="30"/>
          <w:lang w:bidi="ar-SA"/>
        </w:rPr>
        <w:t>第五部分 合同文本</w:t>
      </w:r>
      <w:bookmarkEnd w:id="64"/>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560" w:lineRule="exact"/>
        <w:ind w:firstLine="5600" w:firstLineChars="1750"/>
        <w:rPr>
          <w:rFonts w:ascii="宋体" w:eastAsia="方正仿宋_GBK" w:hAnsi="宋体" w:cs="宋体" w:hint="eastAsia"/>
          <w:sz w:val="32"/>
          <w:szCs w:val="32"/>
        </w:rPr>
      </w:pPr>
      <w:bookmarkStart w:id="65"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kern w:val="0"/>
          <w:sz w:val="36"/>
          <w:szCs w:val="36"/>
          <w:u w:val="single"/>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widowControl/>
        <w:adjustRightInd w:val="0"/>
        <w:snapToGrid w:val="0"/>
        <w:spacing w:line="560" w:lineRule="exact"/>
        <w:jc w:val="left"/>
        <w:textAlignment w:val="baseline"/>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left="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第五条 售后服务</w:t>
      </w:r>
    </w:p>
    <w:p>
      <w:pPr>
        <w:pStyle w:val="2610"/>
        <w:autoSpaceDE w:val="0"/>
        <w:autoSpaceDN w:val="0"/>
        <w:adjustRightInd w:val="0"/>
        <w:spacing w:line="52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乙方为甲方提供</w:t>
      </w:r>
      <w:r>
        <w:rPr>
          <w:rFonts w:ascii="宋体" w:eastAsia="方正仿宋_GBK" w:hAnsi="宋体" w:hint="eastAsia"/>
          <w:sz w:val="28"/>
          <w:szCs w:val="28"/>
          <w:u w:val="single"/>
        </w:rPr>
        <w:t xml:space="preserve">            </w:t>
      </w:r>
      <w:r>
        <w:rPr>
          <w:rFonts w:ascii="宋体" w:eastAsia="方正仿宋_GBK" w:hAnsi="宋体" w:hint="eastAsia"/>
          <w:kern w:val="0"/>
          <w:sz w:val="28"/>
          <w:szCs w:val="28"/>
        </w:rPr>
        <w:t>售后服务，自验收合格之日起计算。具体要求详见附件《</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第六条 合同金额、履约保证金及支付方式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0"/>
        <w:ind w:left="160" w:firstLine="640" w:leftChars="76" w:firstLineChars="200"/>
        <w:jc w:val="left"/>
        <w:rPr>
          <w:rFonts w:ascii="宋体" w:eastAsia="方正仿宋_GBK" w:hAnsi="宋体"/>
          <w:b/>
          <w:bCs/>
          <w:kern w:val="0"/>
          <w:sz w:val="28"/>
          <w:szCs w:val="28"/>
        </w:rPr>
      </w:pPr>
      <w:r>
        <w:rPr>
          <w:rFonts w:ascii="宋体" w:eastAsia="方正仿宋_GBK" w:hAnsi="宋体"/>
          <w:sz w:val="32"/>
          <w:szCs w:val="32"/>
        </w:rPr>
        <w:t>本合同总价款</w:t>
      </w:r>
      <w:r>
        <w:rPr>
          <w:rFonts w:ascii="宋体" w:eastAsia="方正仿宋_GBK" w:hAnsi="宋体"/>
          <w:sz w:val="32"/>
          <w:szCs w:val="32"/>
          <w:highlight w:val="none"/>
        </w:rPr>
        <w:t>（含税）</w:t>
      </w:r>
      <w:r>
        <w:rPr>
          <w:rFonts w:ascii="宋体" w:eastAsia="方正仿宋_GBK" w:hAnsi="宋体"/>
          <w:sz w:val="32"/>
          <w:szCs w:val="32"/>
        </w:rPr>
        <w:t>为人民币（大写）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u w:val="none"/>
        </w:rPr>
        <w:t>元）。</w:t>
      </w:r>
    </w:p>
    <w:p>
      <w:pPr>
        <w:pStyle w:val="11100"/>
        <w:ind w:left="160" w:firstLine="700" w:leftChars="76" w:firstLineChars="25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（二）履约保证金</w:t>
      </w:r>
    </w:p>
    <w:p>
      <w:pPr>
        <w:pStyle w:val="410"/>
        <w:spacing w:line="560" w:lineRule="exact"/>
        <w:ind w:left="0" w:firstLine="560" w:firstLineChars="200"/>
        <w:outlineLvl w:val="0"/>
        <w:rPr>
          <w:rFonts w:ascii="宋体" w:eastAsia="方正仿宋_GBK" w:hAnsi="宋体" w:hint="eastAsia"/>
          <w:kern w:val="0"/>
          <w:sz w:val="28"/>
          <w:szCs w:val="28"/>
        </w:rPr>
      </w:pPr>
      <w:r>
        <w:rPr>
          <w:rFonts w:ascii="宋体" w:eastAsia="方正仿宋_GBK" w:hAnsi="宋体" w:hint="eastAsia"/>
          <w:kern w:val="0"/>
          <w:sz w:val="28"/>
          <w:szCs w:val="28"/>
        </w:rPr>
        <w:t>1.签订合同后</w:t>
      </w:r>
      <w:r>
        <w:rPr>
          <w:rFonts w:ascii="宋体" w:eastAsia="方正仿宋_GBK" w:hAnsi="宋体" w:hint="eastAsia"/>
          <w:kern w:val="0"/>
          <w:sz w:val="28"/>
          <w:szCs w:val="28"/>
          <w:u w:val="single"/>
        </w:rPr>
        <w:t>10</w:t>
      </w:r>
      <w:r>
        <w:rPr>
          <w:rFonts w:ascii="宋体" w:eastAsia="方正仿宋_GBK" w:hAnsi="宋体" w:hint="eastAsia"/>
          <w:kern w:val="0"/>
          <w:sz w:val="28"/>
          <w:szCs w:val="28"/>
        </w:rPr>
        <w:t>个工作日内，乙方向甲方交付合同总价款</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%履约保证金，金额为人民币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u w:val="none"/>
        </w:rPr>
        <w:t>元</w:t>
      </w:r>
      <w:r>
        <w:rPr>
          <w:rFonts w:ascii="宋体" w:eastAsia="方正仿宋_GBK" w:hAnsi="宋体" w:hint="eastAsia"/>
          <w:kern w:val="0"/>
          <w:sz w:val="28"/>
          <w:szCs w:val="28"/>
        </w:rPr>
        <w:t>）。</w:t>
      </w:r>
    </w:p>
    <w:p>
      <w:pPr>
        <w:pStyle w:val="60"/>
        <w:adjustRightInd w:val="0"/>
        <w:snapToGrid w:val="0"/>
        <w:spacing w:line="560" w:lineRule="exact"/>
        <w:ind w:firstLine="560" w:firstLineChars="200"/>
        <w:jc w:val="both"/>
        <w:rPr>
          <w:rFonts w:ascii="宋体" w:eastAsia="方正仿宋_GBK" w:hAnsi="宋体" w:hint="eastAsia"/>
          <w:sz w:val="28"/>
          <w:szCs w:val="28"/>
          <w:lang w:eastAsia="zh-CN"/>
        </w:rPr>
      </w:pPr>
      <w:r>
        <w:rPr>
          <w:rFonts w:ascii="宋体" w:eastAsia="方正仿宋_GBK" w:hAnsi="宋体" w:hint="eastAsia"/>
          <w:sz w:val="28"/>
          <w:szCs w:val="28"/>
          <w:lang w:eastAsia="zh-CN"/>
        </w:rPr>
        <w:t>2.履约保证金有效期自保证金提交之日起至</w:t>
      </w:r>
      <w:r>
        <w:rPr>
          <w:rFonts w:ascii="宋体" w:eastAsia="方正仿宋_GBK" w:hAnsi="宋体" w:cs="宋体" w:hint="eastAsia"/>
          <w:sz w:val="36"/>
          <w:szCs w:val="36"/>
          <w:u w:val="single"/>
          <w:lang w:eastAsia="zh-CN" w:bidi="ar-SA"/>
        </w:rPr>
        <w:t xml:space="preserve">　  </w:t>
      </w:r>
      <w:r>
        <w:rPr>
          <w:rFonts w:ascii="宋体" w:eastAsia="方正仿宋_GBK" w:hAnsi="宋体" w:hint="eastAsia"/>
          <w:sz w:val="28"/>
          <w:szCs w:val="28"/>
          <w:lang w:eastAsia="zh-CN"/>
        </w:rPr>
        <w:t>售后服务期满后</w:t>
      </w:r>
      <w:r>
        <w:rPr>
          <w:rFonts w:ascii="宋体" w:eastAsia="方正仿宋_GBK" w:hAnsi="宋体" w:hint="eastAsia"/>
          <w:kern w:val="2"/>
          <w:sz w:val="32"/>
          <w:szCs w:val="32"/>
          <w:u w:val="single"/>
          <w:lang w:eastAsia="zh-CN"/>
        </w:rPr>
        <w:t>30</w:t>
      </w:r>
      <w:r>
        <w:rPr>
          <w:rFonts w:ascii="宋体" w:eastAsia="方正仿宋_GBK" w:hAnsi="宋体" w:hint="eastAsia"/>
          <w:sz w:val="28"/>
          <w:szCs w:val="28"/>
          <w:lang w:eastAsia="zh-CN"/>
        </w:rPr>
        <w:t>日止（因服务供应商原因造成延期履约的，履约保证金有效期相应顺延）。</w:t>
      </w:r>
    </w:p>
    <w:p>
      <w:pPr>
        <w:pStyle w:val="410"/>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3.在乙方无违约情形的前提下，履约保证金在有效期满</w:t>
      </w:r>
      <w:r>
        <w:rPr>
          <w:rFonts w:ascii="宋体" w:eastAsia="方正仿宋_GBK" w:hAnsi="宋体" w:hint="eastAsia"/>
          <w:sz w:val="32"/>
          <w:szCs w:val="32"/>
          <w:u w:val="single"/>
        </w:rPr>
        <w:t>30</w:t>
      </w:r>
      <w:r>
        <w:rPr>
          <w:rFonts w:ascii="宋体" w:eastAsia="方正仿宋_GBK" w:hAnsi="宋体" w:hint="eastAsia"/>
          <w:kern w:val="0"/>
          <w:sz w:val="28"/>
          <w:szCs w:val="28"/>
        </w:rPr>
        <w:t>个工作日内无息退还。如乙方未按本合同条款履行合同义务，合同甲方有权利扣除</w:t>
      </w:r>
      <w:r>
        <w:rPr>
          <w:rFonts w:ascii="宋体" w:eastAsia="方正仿宋_GBK" w:hAnsi="宋体"/>
          <w:kern w:val="0"/>
          <w:sz w:val="28"/>
          <w:szCs w:val="28"/>
        </w:rPr>
        <w:t>或没收</w:t>
      </w:r>
      <w:r>
        <w:rPr>
          <w:rFonts w:ascii="宋体" w:eastAsia="方正仿宋_GBK" w:hAnsi="宋体" w:hint="eastAsia"/>
          <w:kern w:val="0"/>
          <w:sz w:val="28"/>
          <w:szCs w:val="28"/>
        </w:rPr>
        <w:t>履约保证金</w:t>
      </w:r>
      <w:r>
        <w:rPr>
          <w:rFonts w:ascii="宋体" w:eastAsia="方正仿宋_GBK" w:hAnsi="宋体" w:hint="eastAsia"/>
          <w:kern w:val="0"/>
          <w:sz w:val="28"/>
          <w:szCs w:val="28"/>
          <w:lang w:val="en-US" w:eastAsia="zh-CN"/>
        </w:rPr>
        <w:t>。</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（三）支付方式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sz w:val="28"/>
          <w:szCs w:val="28"/>
          <w:lang w:val="zh-CN" w:eastAsia="zh-CN"/>
        </w:rPr>
        <w:t>甲方收到乙方支付的履约保证金及发票（原件）之日起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3.本合同项目经过甲方技术部门验收合格后，乙方将发票（原件）及甲方技术部门出具的验收报告提交给甲方采购部门后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12"/>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2"/>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1"/>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第十条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w:t>
      </w:r>
      <w:r>
        <w:rPr>
          <w:rFonts w:ascii="宋体" w:eastAsia="方正仿宋_GBK" w:hAnsi="宋体" w:hint="eastAsia"/>
          <w:sz w:val="28"/>
          <w:szCs w:val="28"/>
        </w:rPr>
        <w:t>违约金不足以弥补甲方损失的，乙方应当继续予以赔偿</w:t>
      </w:r>
      <w:r>
        <w:rPr>
          <w:rFonts w:ascii="宋体" w:eastAsia="方正仿宋_GBK" w:hAnsi="宋体"/>
          <w:sz w:val="28"/>
          <w:szCs w:val="28"/>
        </w:rPr>
        <w:t>。</w:t>
      </w:r>
    </w:p>
    <w:p>
      <w:pPr>
        <w:pStyle w:val="30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pStyle w:val="31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破产终止</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r>
        <w:rPr>
          <w:rFonts w:ascii="宋体" w:eastAsia="方正仿宋_GBK" w:hAnsi="宋体"/>
          <w:sz w:val="28"/>
          <w:szCs w:val="28"/>
        </w:rPr>
        <w:t>败诉方需承担胜诉方支出的诉讼费、律师费等因诉讼产生的费用</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第十四条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第十五条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宋体" w:cs="Times New Roman" w:hint="eastAsia"/>
          <w:sz w:val="28"/>
          <w:szCs w:val="28"/>
          <w:lang w:bidi="ar-SA"/>
        </w:rPr>
        <w:t>5</w:t>
      </w:r>
      <w:r>
        <w:rPr>
          <w:rFonts w:ascii="宋体" w:eastAsia="方正仿宋_GBK" w:hAnsi="宋体" w:hint="eastAsia"/>
          <w:sz w:val="28"/>
          <w:szCs w:val="28"/>
        </w:rPr>
        <w:t>：安全责任书</w:t>
      </w: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 xml:space="preserve">    </w:t>
      </w:r>
    </w:p>
    <w:p>
      <w:pPr>
        <w:pStyle w:val="06"/>
        <w:autoSpaceDN w:val="0"/>
        <w:spacing w:line="360" w:lineRule="auto"/>
        <w:rPr>
          <w:rFonts w:ascii="宋体" w:eastAsia="方正仿宋_GBK" w:hAnsi="宋体" w:hint="eastAsia"/>
          <w:sz w:val="32"/>
          <w:szCs w:val="32"/>
        </w:rPr>
        <w:sectPr>
          <w:footerReference w:type="even" r:id="rId5"/>
          <w:footerReference w:type="default" r:id="rId6"/>
          <w:pgSz w:w="11906" w:h="16838"/>
          <w:pgMar w:top="1440" w:right="1800" w:bottom="1440" w:left="1800" w:header="851" w:footer="992" w:gutter="0"/>
          <w:pgNumType w:start="0"/>
          <w:cols w:space="720"/>
          <w:titlePg/>
          <w:docGrid w:type="lines" w:linePitch="312" w:charSpace="0"/>
        </w:sectPr>
      </w:pPr>
    </w:p>
    <w:p>
      <w:pPr>
        <w:pStyle w:val="06"/>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宋体" w:hint="eastAsia"/>
          <w:sz w:val="32"/>
          <w:szCs w:val="32"/>
        </w:rPr>
        <w:t>1</w:t>
      </w:r>
    </w:p>
    <w:p>
      <w:pPr>
        <w:pStyle w:val="06"/>
        <w:autoSpaceDN w:val="0"/>
        <w:spacing w:line="360" w:lineRule="auto"/>
        <w:jc w:val="center"/>
        <w:rPr>
          <w:rFonts w:ascii="宋体" w:eastAsia="方正仿宋_GBK" w:hAnsi="宋体" w:hint="eastAsia"/>
          <w:sz w:val="28"/>
          <w:szCs w:val="28"/>
        </w:rPr>
      </w:pPr>
      <w:r>
        <w:rPr>
          <w:rFonts w:ascii="宋体" w:eastAsia="方正仿宋_GBK" w:hAnsi="宋体" w:hint="eastAsia"/>
          <w:kern w:val="0"/>
          <w:sz w:val="28"/>
          <w:szCs w:val="28"/>
        </w:rPr>
        <w:t>项目技术需求</w:t>
      </w: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BodyTextIndent2"/>
        <w:tabs>
          <w:tab w:val="left" w:pos="4240"/>
        </w:tabs>
        <w:autoSpaceDN w:val="0"/>
        <w:spacing w:line="460" w:lineRule="exact"/>
        <w:ind w:firstLine="0"/>
        <w:rPr>
          <w:rFonts w:ascii="宋体" w:eastAsia="方正仿宋_GBK" w:hAnsi="宋体" w:hint="eastAsia"/>
          <w:kern w:val="2"/>
          <w:sz w:val="32"/>
          <w:szCs w:val="32"/>
        </w:rPr>
        <w:sectPr>
          <w:pgSz w:w="11906" w:h="16838"/>
          <w:pgMar w:top="1440" w:right="1800" w:bottom="1440" w:left="1800" w:header="851" w:footer="992" w:gutter="0"/>
          <w:pgNumType w:start="0"/>
          <w:cols w:space="720"/>
          <w:titlePg/>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宋体" w:hint="eastAsia"/>
          <w:kern w:val="2"/>
          <w:sz w:val="32"/>
          <w:szCs w:val="32"/>
        </w:rPr>
        <w:t xml:space="preserve">2 </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7"/>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w:t>
      </w:r>
      <w:r>
        <w:rPr>
          <w:rFonts w:ascii="宋体" w:eastAsia="方正仿宋_GBK" w:hAnsi="宋体"/>
          <w:sz w:val="28"/>
          <w:szCs w:val="28"/>
        </w:rPr>
        <w:t>保密信息成为公开信息之日起止</w:t>
      </w:r>
      <w:r>
        <w:rPr>
          <w:rFonts w:ascii="宋体" w:eastAsia="方正仿宋_GBK" w:hAnsi="宋体" w:hint="eastAsia"/>
          <w:sz w:val="28"/>
          <w:szCs w:val="28"/>
        </w:rPr>
        <w:t>，双方另有约定除外。乙方及乙方工作人员是否继续参与甲方关于该项目的工作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7"/>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宋体" w:hint="eastAsia"/>
          <w:kern w:val="2"/>
          <w:sz w:val="28"/>
          <w:szCs w:val="28"/>
        </w:rPr>
        <w:t>3</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宋体" w:hint="eastAsia"/>
          <w:kern w:val="2"/>
          <w:sz w:val="28"/>
          <w:szCs w:val="28"/>
        </w:rPr>
        <w:t>4</w:t>
      </w:r>
    </w:p>
    <w:p>
      <w:pPr>
        <w:pStyle w:val="911"/>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11"/>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11"/>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11"/>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宋体" w:hint="eastAsia"/>
          <w:sz w:val="28"/>
          <w:szCs w:val="28"/>
        </w:rPr>
        <w:t>5</w:t>
      </w:r>
    </w:p>
    <w:p>
      <w:pPr>
        <w:pStyle w:val="a10"/>
        <w:autoSpaceDN w:val="0"/>
        <w:spacing w:line="460" w:lineRule="exact"/>
        <w:ind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28"/>
          <w:szCs w:val="28"/>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乙方及乙方工作人员应配合中心开展安全大检查工作。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日期：    年   月   日</w:t>
      </w:r>
    </w:p>
    <w:p>
      <w:pPr>
        <w:jc w:val="center"/>
        <w:rPr>
          <w:rFonts w:eastAsia="方正小标宋_GBK"/>
          <w:color w:val="0000FF"/>
          <w:sz w:val="44"/>
        </w:rPr>
      </w:pPr>
      <w:bookmarkEnd w:id="65"/>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66" w:name="_Toc31833533"/>
      <w:r>
        <w:rPr>
          <w:rFonts w:ascii="宋体" w:hint="eastAsia"/>
          <w:b/>
          <w:color w:val="000000"/>
          <w:kern w:val="0"/>
          <w:sz w:val="30"/>
          <w:szCs w:val="30"/>
        </w:rPr>
        <w:t>第六部分  响应文件格式</w:t>
      </w:r>
      <w:bookmarkEnd w:id="66"/>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67"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68" w:name="_Toc327979114"/>
      <w:bookmarkStart w:id="69" w:name="_Toc214357458"/>
      <w:bookmarkStart w:id="70" w:name="_Toc327978983"/>
      <w:bookmarkStart w:id="71" w:name="_Toc321813030"/>
      <w:bookmarkStart w:id="72" w:name="_Toc321684678"/>
      <w:bookmarkStart w:id="73" w:name="_Toc321820611"/>
      <w:bookmarkStart w:id="74" w:name="_Toc327978573"/>
      <w:bookmarkStart w:id="75" w:name="_Toc19691490"/>
      <w:bookmarkStart w:id="76" w:name="_Toc321820691"/>
      <w:bookmarkStart w:id="77" w:name="_Toc323036845"/>
      <w:bookmarkStart w:id="78" w:name="_Toc321820520"/>
      <w:bookmarkStart w:id="79" w:name="_Toc249515483"/>
      <w:r>
        <w:rPr>
          <w:rFonts w:ascii="宋体" w:hint="eastAsia"/>
          <w:b/>
          <w:bCs/>
          <w:color w:val="000000"/>
          <w:kern w:val="0"/>
          <w:sz w:val="24"/>
        </w:rPr>
        <w:t>磋商响应函</w:t>
      </w:r>
      <w:bookmarkEnd w:id="68"/>
      <w:bookmarkEnd w:id="69"/>
      <w:bookmarkEnd w:id="70"/>
      <w:bookmarkEnd w:id="71"/>
      <w:bookmarkEnd w:id="72"/>
      <w:bookmarkEnd w:id="73"/>
      <w:bookmarkEnd w:id="74"/>
      <w:bookmarkEnd w:id="75"/>
      <w:bookmarkEnd w:id="76"/>
      <w:bookmarkEnd w:id="77"/>
      <w:bookmarkEnd w:id="78"/>
      <w:bookmarkEnd w:id="79"/>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80" w:name="_Toc76071526"/>
      <w:r>
        <w:rPr>
          <w:rFonts w:ascii="Times New Roman" w:eastAsia="宋体" w:hAnsi="Times New Roman" w:hint="eastAsia"/>
          <w:b w:val="0"/>
          <w:sz w:val="21"/>
          <w:szCs w:val="21"/>
        </w:rPr>
        <w:t>供应商名称：</w:t>
      </w:r>
      <w:r>
        <w:rPr>
          <w:szCs w:val="21"/>
          <w:u w:val="single"/>
        </w:rPr>
        <w:t xml:space="preserve">               </w:t>
      </w:r>
      <w:bookmarkEnd w:id="80"/>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81" w:name="_Toc485990846"/>
      <w:bookmarkStart w:id="82" w:name="_Toc499068177"/>
      <w:bookmarkStart w:id="83" w:name="_Toc501718543"/>
      <w:r>
        <w:rPr>
          <w:rFonts w:ascii="宋体" w:eastAsia="宋体" w:hint="eastAsia"/>
          <w:b/>
          <w:bCs/>
          <w:sz w:val="32"/>
          <w:szCs w:val="24"/>
          <w:highlight w:val="white"/>
          <w:lang w:eastAsia="zh-CN"/>
        </w:rPr>
        <w:t>商务偏离表</w:t>
      </w:r>
      <w:bookmarkEnd w:id="81"/>
      <w:bookmarkEnd w:id="82"/>
      <w:bookmarkEnd w:id="83"/>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84" w:name="_Toc499068181"/>
    </w:p>
    <w:p>
      <w:pPr>
        <w:pStyle w:val="199610"/>
        <w:widowControl/>
        <w:spacing w:before="100" w:beforeAutospacing="1" w:after="100" w:afterAutospacing="1" w:line="432" w:lineRule="auto"/>
        <w:jc w:val="center"/>
        <w:rPr>
          <w:rFonts w:eastAsia="宋体"/>
          <w:sz w:val="36"/>
          <w:szCs w:val="36"/>
        </w:rPr>
      </w:pPr>
      <w:bookmarkEnd w:id="84"/>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85" w:name="_Toc499068183"/>
      <w:bookmarkStart w:id="86" w:name="_Toc501718546"/>
      <w:bookmarkStart w:id="87"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85"/>
      <w:bookmarkEnd w:id="86"/>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87"/>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8" w:name="_Toc499068185"/>
      <w:bookmarkStart w:id="89" w:name="_Toc485990851"/>
      <w:r>
        <w:rPr>
          <w:rFonts w:ascii="宋体" w:eastAsia="宋体" w:hint="eastAsia"/>
          <w:szCs w:val="32"/>
          <w:lang w:eastAsia="zh-CN"/>
        </w:rPr>
        <w:t>服务偏离表</w:t>
      </w:r>
      <w:bookmarkEnd w:id="88"/>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89"/>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90" w:name="_Toc499068185_0"/>
      <w:r>
        <w:rPr>
          <w:rFonts w:ascii="宋体" w:eastAsia="宋体" w:hint="eastAsia"/>
          <w:szCs w:val="32"/>
          <w:lang w:eastAsia="zh-CN"/>
        </w:rPr>
        <w:t>技术偏离表</w:t>
      </w:r>
      <w:bookmarkEnd w:id="90"/>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6</w:t>
      </w:r>
      <w:r>
        <w:rPr>
          <w:rFonts w:ascii="宋体" w:hint="eastAsia"/>
          <w:color w:val="000000"/>
          <w:sz w:val="22"/>
        </w:rPr>
        <w:t>个月任意1个月的缴纳</w:t>
      </w:r>
      <w:r>
        <w:t>社保证明或劳务合同等证明材料</w:t>
      </w:r>
      <w:r>
        <w:rPr>
          <w:rFonts w:ascii="宋体" w:hint="eastAsia"/>
          <w:color w:val="000000"/>
          <w:sz w:val="22"/>
        </w:rPr>
        <w:t xml:space="preserve">（未提供的不予认定）；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7"/>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67"/>
    </w:p>
    <w:sectPr>
      <w:footerReference w:type="default" r:id="rId8"/>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swiss"/>
    <w:pitch w:val="variable"/>
    <w:sig w:usb0="00000003" w:usb1="288F0000" w:usb2="00000006" w:usb3="00000000" w:csb0="000C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方正黑体_GBK"/>
    <w:panose1 w:val="020B0503020204020204"/>
    <w:charset w:val="86"/>
    <w:family w:val="swiss"/>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altName w:val="DejaVu Sans"/>
    <w:panose1 w:val="020F0502020204030204"/>
    <w:charset w:val="00"/>
    <w:family w:val="swiss"/>
    <w:pitch w:val="variable"/>
    <w:sig w:usb0="E00002FF" w:usb1="4000ACFF" w:usb2="00000001" w:usb3="00000000" w:csb0="2000019F" w:csb1="00000000"/>
  </w:font>
  <w:font w:name="方正仿宋_GBK">
    <w:altName w:val="微软雅黑"/>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12</w:t>
    </w:r>
    <w:r>
      <w:fldChar w:fldCharType="end"/>
    </w: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pPr>
    <w:r>
      <w:rPr>
        <w:rStyle w:val="c21"/>
      </w:rPr>
      <w:fldChar w:fldCharType="begin"/>
    </w:r>
    <w:r>
      <w:rPr>
        <w:rStyle w:val="c21"/>
      </w:rPr>
      <w:instrText xml:space="preserve"> PAGE </w:instrText>
    </w:r>
    <w:r>
      <w:fldChar w:fldCharType="separate"/>
    </w:r>
    <w:r>
      <w:rPr>
        <w:rStyle w:val="c21"/>
        <w:lang w:val="en-US" w:eastAsia="zh-CN"/>
      </w:rPr>
      <w:t>63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26</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00000001"/>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6">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9">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4">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5">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6">
    <w:nsid w:val="6254DB12"/>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7">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0"/>
  </w:num>
  <w:num w:numId="2">
    <w:abstractNumId w:val="13"/>
  </w:num>
  <w:num w:numId="3">
    <w:abstractNumId w:val="0"/>
  </w:num>
  <w:num w:numId="4">
    <w:abstractNumId w:val="11"/>
  </w:num>
  <w:num w:numId="5">
    <w:abstractNumId w:val="14"/>
  </w:num>
  <w:num w:numId="6">
    <w:abstractNumId w:val="9"/>
  </w:num>
  <w:num w:numId="7">
    <w:abstractNumId w:val="15"/>
  </w:num>
  <w:num w:numId="8">
    <w:abstractNumId w:val="5"/>
  </w:num>
  <w:num w:numId="9">
    <w:abstractNumId w:val="16"/>
  </w:num>
  <w:num w:numId="10">
    <w:abstractNumId w:val="2"/>
  </w:num>
  <w:num w:numId="11">
    <w:abstractNumId w:val="1"/>
  </w:num>
  <w:num w:numId="12">
    <w:abstractNumId w:val="6"/>
  </w:num>
  <w:num w:numId="13">
    <w:abstractNumId w:val="4"/>
  </w:num>
  <w:num w:numId="14">
    <w:abstractNumId w:val="17"/>
  </w:num>
  <w:num w:numId="15">
    <w:abstractNumId w:val="7"/>
  </w:num>
  <w:num w:numId="16">
    <w:abstractNumId w:val="3"/>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8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9"/>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4"/>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7"/>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8312">
    <w:name w:val="样式 8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411">
    <w:name w:val="样式 8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511">
    <w:name w:val="样式 8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611">
    <w:name w:val="样式 8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811">
    <w:name w:val="样式 8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5210">
    <w:name w:val="样式 2052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autoRedefine/>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样式 121 小四"/>
    <w:autoRedefine/>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350">
    <w:name w:val="样式 13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HL">
    <w:name w:val="HL正文样式"/>
    <w:next w:val="TableParagraph"/>
    <w:autoRedefine/>
    <w:pPr>
      <w:widowControl w:val="0"/>
      <w:spacing w:before="50" w:beforeLines="50" w:line="360" w:lineRule="auto"/>
      <w:ind w:firstLine="200" w:firstLineChars="200"/>
      <w:jc w:val="both"/>
    </w:pPr>
    <w:rPr>
      <w:rFonts w:ascii="Arial" w:eastAsia="宋体" w:hAnsi="Arial" w:cs="Times New Roman"/>
      <w:kern w:val="2"/>
      <w:sz w:val="24"/>
      <w:szCs w:val="21"/>
      <w:lang w:val="en-US" w:eastAsia="zh-CN" w:bidi="ar-SA"/>
    </w:rPr>
  </w:style>
  <w:style w:type="paragraph" w:customStyle="1" w:styleId="TableParagraph">
    <w:name w:val="Table Paragraph"/>
    <w:basedOn w:val="Normal"/>
    <w:autoRedefine/>
    <w:pPr>
      <w:spacing w:line="360" w:lineRule="auto"/>
      <w:ind w:firstLine="480"/>
    </w:pPr>
    <w:rPr>
      <w:rFonts w:ascii="Calibri" w:eastAsia="Calibri" w:hAnsi="Calibri" w:cs="Calibri"/>
      <w:kern w:val="0"/>
      <w:sz w:val="24"/>
    </w:rPr>
  </w:style>
  <w:style w:type="paragraph" w:customStyle="1" w:styleId="11112">
    <w:name w:val="样式 1 11 磅"/>
    <w:autoRedefine/>
    <w:pPr>
      <w:widowControl w:val="0"/>
      <w:autoSpaceDE w:val="0"/>
      <w:autoSpaceDN w:val="0"/>
    </w:pPr>
    <w:rPr>
      <w:rFonts w:ascii="宋体" w:eastAsia="宋体" w:cs="宋体"/>
      <w:sz w:val="22"/>
      <w:szCs w:val="22"/>
      <w:lang w:val="en-US" w:eastAsia="en-US" w:bidi="ar-SA"/>
    </w:rPr>
  </w:style>
  <w:style w:type="paragraph" w:customStyle="1" w:styleId="11411">
    <w:name w:val="样式 11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512">
    <w:name w:val="样式 11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611">
    <w:name w:val="样式 11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711">
    <w:name w:val="样式 11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87">
    <w:name w:val="样式 11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91">
    <w:name w:val="样式 11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02">
    <w:name w:val="样式 12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22">
    <w:name w:val="样式 12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31">
    <w:name w:val="样式 12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42">
    <w:name w:val="样式 12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61">
    <w:name w:val="样式 12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13">
    <w:name w:val="样式 131 小四"/>
    <w:pPr>
      <w:widowControl w:val="0"/>
      <w:autoSpaceDE w:val="0"/>
      <w:autoSpaceDN w:val="0"/>
      <w:spacing w:before="151"/>
      <w:jc w:val="center"/>
    </w:pPr>
    <w:rPr>
      <w:rFonts w:ascii="宋体" w:eastAsia="宋体" w:cs="宋体"/>
      <w:sz w:val="24"/>
      <w:szCs w:val="24"/>
      <w:lang w:val="en-US" w:eastAsia="en-US" w:bidi="ar-SA"/>
    </w:rPr>
  </w:style>
  <w:style w:type="paragraph" w:customStyle="1" w:styleId="1291">
    <w:name w:val="样式 12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01">
    <w:name w:val="样式 13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411">
    <w:name w:val="样式 9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112">
    <w:name w:val="样式 7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912">
    <w:name w:val="样式 49 小四"/>
    <w:autoRedefin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autoRedefin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12">
    <w:name w:val="样式 51 小四"/>
    <w:autoRedefin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312">
    <w:name w:val="样式 53 小四"/>
    <w:autoRedefin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13">
    <w:name w:val="样式 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211">
    <w:name w:val="样式 8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autoRedefine/>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0810">
    <w:name w:val="样式 40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ListParagraph">
    <w:name w:val="List Paragraph"/>
    <w:basedOn w:val="Normal"/>
    <w:pPr>
      <w:ind w:firstLine="200" w:firstLineChars="200"/>
    </w:pPr>
    <w:rPr>
      <w:rFonts w:ascii="等线" w:eastAsia="等线" w:cs="Arial"/>
      <w:szCs w:val="20"/>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14096426</TotalTime>
  <Pages>117</Pages>
  <Words>54706</Words>
  <Characters>56451</Characters>
  <Application>Microsoft Office Word</Application>
  <DocSecurity>0</DocSecurity>
  <Lines>4444</Lines>
  <Paragraphs>1761</Paragraphs>
  <ScaleCrop>false</ScaleCrop>
  <Company>Lenovo (Beijing) Limited</Company>
  <LinksUpToDate>false</LinksUpToDate>
  <CharactersWithSpaces>59142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88</cp:revision>
  <cp:lastPrinted>2018-03-22T05:59:00Z</cp:lastPrinted>
  <dcterms:created xsi:type="dcterms:W3CDTF">2017-08-17T00:59:00Z</dcterms:created>
  <dcterms:modified xsi:type="dcterms:W3CDTF">2024-07-09T02:52:10Z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