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CG2024-BJ-GK-FW-041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海关总署2024年缉私局海关智慧监管平台缉私视频图像综合应用平台建设采购项目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4</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21</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22</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23</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24</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海关总署2024年缉私局海关智慧监管平台缉私视频图像综合应用平台建设采购项目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CG2024-BJ-GK-FW-041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海关总署2024年缉私局海关智慧监管平台缉私视频图像综合应用平台建设采购项目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本项目预算金额合计总金额人民币7,739,400.00元，其中包1人民币7,739,400.00元。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Grid"/>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534"/>
        <w:gridCol w:w="1296"/>
        <w:gridCol w:w="1252"/>
      </w:tblGrid>
      <w:tr>
        <w:tblPrEx>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hRule="auto" w:val="0"/>
          <w:jc w:val="center"/>
        </w:trPr>
        <w:tc>
          <w:tcPr>
            <w:tcW w:w="985" w:type="dxa"/>
            <w:vAlign w:val="top"/>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748" w:type="dxa"/>
            <w:vAlign w:val="top"/>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218" w:type="dxa"/>
            <w:vAlign w:val="top"/>
          </w:tcPr>
          <w:p>
            <w:pPr>
              <w:spacing w:after="120" w:line="240" w:lineRule="auto"/>
              <w:rPr>
                <w:rFonts w:ascii="宋体" w:hint="default"/>
                <w:b/>
                <w:color w:val="0000FF"/>
                <w:sz w:val="24"/>
                <w:highlight w:val="white"/>
              </w:rPr>
            </w:pPr>
            <w:bookmarkStart w:id="11" w:name="货物一览表_goodsName"/>
            <w:r>
              <w:rPr>
                <w:rFonts w:ascii="宋体" w:hint="eastAsia"/>
                <w:b/>
                <w:color w:val="0000FF"/>
                <w:sz w:val="24"/>
                <w:szCs w:val="24"/>
                <w:highlight w:val="white"/>
                <w:lang w:val="en-US" w:eastAsia="zh-CN"/>
              </w:rPr>
              <w:t>服务内容</w:t>
            </w:r>
            <w:bookmarkEnd w:id="11"/>
          </w:p>
        </w:tc>
        <w:tc>
          <w:tcPr>
            <w:tcW w:w="787" w:type="dxa"/>
            <w:vAlign w:val="top"/>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534" w:type="dxa"/>
            <w:vAlign w:val="top"/>
          </w:tcPr>
          <w:p>
            <w:pPr>
              <w:spacing w:after="120" w:line="240" w:lineRule="auto"/>
              <w:rPr>
                <w:rFonts w:ascii="宋体" w:hint="default"/>
                <w:b/>
                <w:color w:val="0000FF"/>
                <w:sz w:val="24"/>
                <w:highlight w:val="white"/>
              </w:rPr>
            </w:pPr>
            <w:bookmarkStart w:id="13" w:name="货物一览表_deliveryDate"/>
            <w:r>
              <w:rPr>
                <w:rFonts w:ascii="宋体" w:hint="eastAsia"/>
                <w:b/>
                <w:color w:val="0000FF"/>
                <w:sz w:val="24"/>
                <w:highlight w:val="white"/>
                <w:lang w:val="en-US" w:eastAsia="zh-CN"/>
              </w:rPr>
              <w:t>服务完成时间及节点要求</w:t>
            </w:r>
            <w:bookmarkEnd w:id="13"/>
          </w:p>
        </w:tc>
        <w:tc>
          <w:tcPr>
            <w:tcW w:w="1296" w:type="dxa"/>
            <w:vAlign w:val="top"/>
          </w:tcPr>
          <w:p>
            <w:pPr>
              <w:spacing w:after="120" w:line="240" w:lineRule="auto"/>
              <w:rPr>
                <w:rFonts w:ascii="宋体"/>
                <w:b/>
                <w:color w:val="0000FF"/>
                <w:sz w:val="24"/>
                <w:highlight w:val="white"/>
              </w:rPr>
            </w:pPr>
            <w:bookmarkStart w:id="14"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4"/>
          </w:p>
        </w:tc>
        <w:tc>
          <w:tcPr>
            <w:tcW w:w="1252" w:type="dxa"/>
            <w:vAlign w:val="top"/>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服务要求</w:t>
            </w:r>
            <w:bookmarkEnd w:id="15"/>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985" w:type="dxa"/>
            <w:vAlign w:val="center"/>
          </w:tcPr>
          <w:p>
            <w:pPr>
              <w:spacing w:after="120" w:line="240" w:lineRule="auto"/>
              <w:rPr>
                <w:rFonts w:ascii="宋体"/>
                <w:b/>
                <w:color w:val="0000FF"/>
                <w:sz w:val="24"/>
                <w:highlight w:val="white"/>
              </w:rPr>
            </w:pPr>
            <w:r>
              <w:t>包件1</w:t>
            </w:r>
          </w:p>
        </w:tc>
        <w:tc>
          <w:tcPr>
            <w:tcW w:w="748" w:type="dxa"/>
          </w:tcPr>
          <w:p>
            <w:pPr>
              <w:spacing w:after="120" w:line="240" w:lineRule="auto"/>
              <w:rPr>
                <w:rFonts w:ascii="宋体"/>
                <w:b/>
                <w:color w:val="0000FF"/>
                <w:sz w:val="24"/>
                <w:highlight w:val="white"/>
              </w:rPr>
            </w:pPr>
            <w:r>
              <w:t>1</w:t>
            </w:r>
          </w:p>
        </w:tc>
        <w:tc>
          <w:tcPr>
            <w:tcW w:w="1218" w:type="dxa"/>
          </w:tcPr>
          <w:p>
            <w:pPr>
              <w:spacing w:after="120" w:line="240" w:lineRule="auto"/>
              <w:rPr>
                <w:rFonts w:ascii="宋体" w:hint="default"/>
                <w:b/>
                <w:color w:val="0000FF"/>
                <w:sz w:val="24"/>
                <w:highlight w:val="white"/>
              </w:rPr>
            </w:pPr>
            <w:r>
              <w:t>海关智慧监管平台缉私视频图像综合应用平台建设采购项目</w:t>
            </w:r>
          </w:p>
        </w:tc>
        <w:tc>
          <w:tcPr>
            <w:tcW w:w="787" w:type="dxa"/>
          </w:tcPr>
          <w:p>
            <w:pPr>
              <w:spacing w:after="120" w:line="240" w:lineRule="auto"/>
              <w:rPr>
                <w:rFonts w:ascii="宋体"/>
                <w:b/>
                <w:color w:val="0000FF"/>
                <w:sz w:val="24"/>
                <w:highlight w:val="white"/>
              </w:rPr>
            </w:pPr>
            <w:r>
              <w:t>1</w:t>
            </w:r>
          </w:p>
        </w:tc>
        <w:tc>
          <w:tcPr>
            <w:tcW w:w="1534" w:type="dxa"/>
            <w:vAlign w:val="center"/>
          </w:tcPr>
          <w:p>
            <w:pPr>
              <w:spacing w:after="120" w:line="240" w:lineRule="auto"/>
              <w:rPr>
                <w:rFonts w:ascii="宋体" w:hint="default"/>
                <w:b/>
                <w:color w:val="0000FF"/>
                <w:sz w:val="24"/>
                <w:highlight w:val="white"/>
              </w:rPr>
            </w:pPr>
            <w:r>
              <w:t>签订合同后6个月内</w:t>
            </w:r>
          </w:p>
        </w:tc>
        <w:tc>
          <w:tcPr>
            <w:tcW w:w="1296" w:type="dxa"/>
            <w:vAlign w:val="center"/>
          </w:tcPr>
          <w:p>
            <w:pPr>
              <w:spacing w:after="120" w:line="240" w:lineRule="auto"/>
              <w:rPr>
                <w:rFonts w:ascii="宋体"/>
                <w:b/>
                <w:color w:val="0000FF"/>
                <w:sz w:val="24"/>
                <w:highlight w:val="white"/>
              </w:rPr>
            </w:pPr>
            <w:r>
              <w:t>海关指定地点</w:t>
            </w:r>
          </w:p>
        </w:tc>
        <w:tc>
          <w:tcPr>
            <w:tcW w:w="1252" w:type="dxa"/>
            <w:vAlign w:val="center"/>
          </w:tcPr>
          <w:p>
            <w:pPr>
              <w:spacing w:after="120" w:line="240" w:lineRule="auto"/>
              <w:rPr>
                <w:rFonts w:ascii="宋体" w:hint="eastAsia"/>
                <w:b/>
                <w:color w:val="0000FF"/>
                <w:sz w:val="24"/>
                <w:highlight w:val="white"/>
              </w:rPr>
            </w:pPr>
            <w:r>
              <w:t>详见采购文件</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
      <w:r>
        <w:rPr>
          <w:rFonts w:ascii="宋体" w:hint="eastAsia"/>
          <w:b/>
          <w:bCs/>
          <w:color w:val="0000FF"/>
          <w:sz w:val="24"/>
          <w:highlight w:val="none"/>
        </w:rPr>
        <w:t>软件和信息技术服务业</w:t>
      </w:r>
      <w:bookmarkEnd w:id="16"/>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7" w:name="公告_technologyRequire"/>
      <w:r>
        <w:rPr>
          <w:rFonts w:ascii="宋体" w:hint="eastAsia"/>
          <w:b/>
          <w:bCs/>
          <w:color w:val="0000FF"/>
          <w:sz w:val="24"/>
        </w:rPr>
        <w:t>1.投标人必须对所投标包中的所有服务内容进行投标，不允许拆包投标。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8"/>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2024-11-08 00:00:00</w:t>
      </w:r>
      <w:bookmarkEnd w:id="19"/>
      <w:r>
        <w:rPr>
          <w:rFonts w:ascii="宋体" w:hint="eastAsia"/>
          <w:sz w:val="24"/>
        </w:rPr>
        <w:t>至</w:t>
      </w:r>
      <w:bookmarkStart w:id="20" w:name="公告_signUpLastTime"/>
      <w:r>
        <w:rPr>
          <w:rFonts w:ascii="宋体" w:hint="eastAsia"/>
          <w:sz w:val="24"/>
        </w:rPr>
        <w:t>2024-11-15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2024-12-06 08:30:00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22" w:name="项目公告_openBidTime"/>
      <w:r>
        <w:rPr>
          <w:rFonts w:ascii="宋体" w:hint="eastAsia"/>
          <w:b/>
          <w:bCs/>
          <w:sz w:val="24"/>
        </w:rPr>
        <w:t>2024-12-06 08:30:00</w:t>
      </w:r>
      <w:bookmarkEnd w:id="22"/>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23"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010-65194937（业务咨询）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23"/>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24" w:name="公告_siteSurvey"/>
      <w:r>
        <w:rPr>
          <w:rFonts w:ascii="Wingdings 2" w:hAnsi="Wingdings 2"/>
          <w:b/>
          <w:color w:val="0000FF"/>
          <w:sz w:val="24"/>
          <w:highlight w:val="white"/>
        </w:rPr>
        <w:t>不适用</w:t>
      </w:r>
      <w:bookmarkEnd w:id="24"/>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25" w:name="任务单_publicDate"/>
      <w:r>
        <w:rPr>
          <w:rFonts w:ascii="宋体" w:hint="eastAsia"/>
          <w:b/>
          <w:sz w:val="24"/>
          <w:highlight w:val="white"/>
        </w:rPr>
        <w:t>于2024-01-12</w:t>
      </w:r>
      <w:bookmarkEnd w:id="25"/>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26" w:name="_Toc65406664"/>
      <w:r>
        <w:rPr>
          <w:rFonts w:hint="eastAsia"/>
          <w:highlight w:val="white"/>
        </w:rPr>
        <w:t>第二部分  投标人须知</w:t>
      </w:r>
      <w:bookmarkEnd w:id="26"/>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海关总署</w:t>
            </w:r>
            <w:bookmarkEnd w:id="27"/>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color w:val="0000FF"/>
                <w:sz w:val="24"/>
                <w:lang w:bidi="ar-SA"/>
              </w:rPr>
              <w:t>本项目预算金额合计总金额人民币7,739,400.00元，其中包1人民币7,739,400.00元。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7,739,400.00</w:t>
            </w:r>
            <w:bookmarkEnd w:id="29"/>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30" w:name="投标须知_agentBidding"/>
            <w:r>
              <w:rPr>
                <w:rFonts w:ascii="宋体" w:cs="微软雅黑" w:hint="eastAsia"/>
                <w:color w:val="0000FF"/>
                <w:sz w:val="24"/>
                <w:lang w:bidi="ar-SA"/>
              </w:rPr>
              <w:t>否</w:t>
            </w:r>
            <w:bookmarkEnd w:id="3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31" w:name="投标人须知_canUnion"/>
            <w:r>
              <w:rPr>
                <w:rFonts w:ascii="宋体" w:cs="微软雅黑" w:hint="eastAsia"/>
                <w:bCs/>
                <w:color w:val="0000FF"/>
                <w:sz w:val="24"/>
                <w:lang w:bidi="ar-SA"/>
              </w:rPr>
              <w:t>否</w:t>
            </w:r>
            <w:bookmarkEnd w:id="31"/>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2" w:name="采购任务单_purchaserOrgName_1"/>
      <w:r>
        <w:rPr>
          <w:rFonts w:ascii="宋体" w:hint="eastAsia"/>
          <w:color w:val="0000FF"/>
          <w:sz w:val="24"/>
          <w:lang w:val="en-US" w:eastAsia="zh-CN"/>
        </w:rPr>
        <w:t>海关总署</w:t>
      </w:r>
      <w:bookmarkEnd w:id="32"/>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3"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（3）投标人提供2021年1</w:t>
      </w:r>
      <w:r>
        <w:rPr>
          <w:rFonts w:ascii="Times New Roman" w:hAnsi="Times New Roman"/>
          <w:color w:val="0000FF"/>
          <w:kern w:val="0"/>
          <w:sz w:val="24"/>
          <w:szCs w:val="21"/>
          <w:highlight w:val="white"/>
        </w:rPr>
        <w:t>2</w:t>
      </w:r>
      <w:r>
        <w:rPr>
          <w:rFonts w:ascii="Times New Roman" w:hAnsi="Times New Roman" w:hint="eastAsia"/>
          <w:color w:val="0000FF"/>
          <w:kern w:val="0"/>
          <w:sz w:val="24"/>
          <w:szCs w:val="21"/>
          <w:highlight w:val="white"/>
        </w:rPr>
        <w:t>月1日至本项目招标公告发布之日止（以合同签订日期为准）同类服务项目业绩相关材料。（具体要求详见评审标准，加盖投标人电子签章）。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（4）证明投标人满足投标人资格标准的其他必要资格证明文件（如有）（加盖投标人电子签章）。</w:t>
      </w:r>
      <w:bookmarkEnd w:id="33"/>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4" w:name="技术应答文件"/>
      <w:r>
        <w:rPr>
          <w:rFonts w:ascii="Times New Roman" w:hAnsi="Times New Roman" w:hint="eastAsia"/>
          <w:color w:val="0000FF"/>
          <w:kern w:val="0"/>
          <w:sz w:val="24"/>
          <w:szCs w:val="21"/>
          <w:highlight w:val="white"/>
        </w:rPr>
        <w:t>（1）★《技术偏离表》：须对本招标文件第三部分《项目需求书》中相关内容，按附件格式逐项应答，如有缺项进行相应扣分，格式见第六部分（加盖投标人电子签章）。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（2）投标人需提供需求理解分析、总体设计方案、系统集成设计方案，具体要求见第四部分评审标准要求（加盖投标人电子签章）。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（3）投标人认为应该提供的其他证明材料（如有）（加盖投标人电子签章）。</w:t>
      </w:r>
      <w:bookmarkEnd w:id="34"/>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5" w:name="服务应答文件服务应答文件"/>
      <w:r>
        <w:rPr>
          <w:rFonts w:ascii="Times New Roman" w:hAnsi="Times New Roman" w:hint="eastAsia"/>
          <w:color w:val="0000FF"/>
          <w:kern w:val="0"/>
          <w:sz w:val="24"/>
          <w:szCs w:val="21"/>
          <w:highlight w:val="white"/>
        </w:rPr>
        <w:t>（1）投标人需提供实施管理方案、运维服务方案，具体要求见第四部分评审标准要求（加盖投标人电子签章）。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提供团队服务人员名单（包括项目履历、在本项目担任的角色等）、提供投标截止前6个月内任意一个月的社保缴纳证明等证明材料（未提供的不予认定），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（3）投标人认为应该提供的其他证明材料（如有）（加盖投标人电子签章）。</w:t>
      </w:r>
      <w:bookmarkEnd w:id="35"/>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36" w:name="_Toc65406665"/>
      <w:r>
        <w:rPr>
          <w:rFonts w:hint="eastAsia"/>
          <w:lang w:val="en-US" w:eastAsia="zh-CN"/>
        </w:rPr>
        <w:t>第三部分  项目需求书</w:t>
      </w:r>
      <w:bookmarkEnd w:id="36"/>
    </w:p>
    <w:p>
      <w:pPr>
        <w:rPr>
          <w:highlight w:val="white"/>
        </w:rPr>
      </w:pPr>
    </w:p>
    <w:p>
      <w:pPr>
        <w:rPr>
          <w:rFonts w:ascii="宋体"/>
        </w:rPr>
      </w:pPr>
      <w:bookmarkStart w:id="37" w:name="插入_采购需求书"/>
    </w:p>
    <w:p>
      <w:pPr>
        <w:rPr>
          <w:rFonts w:ascii="宋体"/>
        </w:rPr>
      </w:pPr>
      <w:r>
        <w:rPr>
          <w:rFonts w:ascii="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b/>
          <w:bCs/>
        </w:rPr>
      </w:pPr>
      <w:r>
        <w:rPr>
          <w:rFonts w:ascii="宋体" w:cs="微软雅黑" w:hint="eastAsia"/>
          <w:b/>
          <w:bCs/>
        </w:rPr>
        <w:t>提交投标文件时，须注明需提供证明材料或承诺函等材料项所在位置（页码）。</w:t>
      </w:r>
    </w:p>
    <w:p>
      <w:pPr>
        <w:pStyle w:val="Heading2"/>
        <w:numPr>
          <w:ilvl w:val="0"/>
          <w:numId w:val="2"/>
        </w:numPr>
        <w:rPr>
          <w:rFonts w:ascii="宋体" w:hint="eastAsia"/>
        </w:rPr>
      </w:pPr>
      <w:bookmarkStart w:id="38" w:name="采购政策落实"/>
      <w:r>
        <w:rPr>
          <w:rFonts w:ascii="宋体"/>
        </w:rPr>
        <w:t>承诺项</w:t>
      </w:r>
    </w:p>
    <w:p>
      <w:pPr>
        <w:rPr>
          <w:rFonts w:ascii="宋体"/>
        </w:rPr>
      </w:pPr>
      <w:r>
        <w:rPr>
          <w:rFonts w:ascii="宋体" w:cs="宋体"/>
        </w:rPr>
        <w:t>1.</w:t>
      </w:r>
      <w:r>
        <w:rPr>
          <w:rFonts w:ascii="宋体" w:cs="宋体" w:hint="eastAsia"/>
        </w:rPr>
        <w:t>行业类型（必填项）：软件和信息技术服务业</w:t>
      </w:r>
    </w:p>
    <w:p>
      <w:pPr>
        <w:rPr>
          <w:rFonts w:ascii="宋体"/>
        </w:rPr>
      </w:pPr>
      <w:r>
        <w:rPr>
          <w:rFonts w:ascii="宋体" w:cs="方正仿宋_GBK" w:hint="eastAsia"/>
        </w:rPr>
        <w:t>注：行业类型依据工业和信息化部等主管部门印发的《中小企业划型标准规定》（工信部联企业〔2011〕300号），参考《国民经济行业分类注释》（国家统计局2017年），如工业、建筑业、其他未列明行业等。</w:t>
      </w:r>
    </w:p>
    <w:p>
      <w:pPr>
        <w:rPr>
          <w:rFonts w:ascii="宋体" w:cs="方正仿宋_GBK"/>
        </w:rPr>
      </w:pPr>
      <w:r>
        <w:rPr>
          <w:rFonts w:ascii="宋体" w:cs="方正仿宋_GBK" w:hint="eastAsia"/>
        </w:rPr>
        <w:t>2.项目立项审核</w:t>
      </w:r>
      <w:r>
        <w:rPr>
          <w:rFonts w:ascii="宋体" w:cs="方正仿宋_GBK"/>
        </w:rPr>
        <w:t>情况</w:t>
      </w:r>
    </w:p>
    <w:p>
      <w:pPr>
        <w:rPr>
          <w:rFonts w:ascii="宋体" w:cs="方正仿宋_GBK"/>
        </w:rPr>
      </w:pPr>
      <w:r>
        <w:rPr>
          <w:rFonts w:ascii="宋体" w:cs="方正仿宋_GBK"/>
        </w:rPr>
        <w:t>本项目  是  属于新建的政务应用程序项目：</w:t>
      </w:r>
    </w:p>
    <w:p>
      <w:pPr>
        <w:rPr>
          <w:rFonts w:ascii="宋体" w:cs="方正仿宋_GBK"/>
        </w:rPr>
      </w:pPr>
      <w:r>
        <w:rPr>
          <w:rFonts w:ascii="宋体" w:cs="方正仿宋_GBK"/>
        </w:rPr>
        <w:t>（1）是否纳入信息化项目审批范围。</w:t>
      </w:r>
      <w:r>
        <w:rPr>
          <w:rFonts w:ascii="Wingdings 2" w:hAnsi="Wingdings 2"/>
        </w:rPr>
        <w:sym w:font="Wingdings 2" w:char="F052"/>
      </w:r>
      <w:r>
        <w:rPr>
          <w:rFonts w:ascii="宋体" w:cs="方正仿宋_GBK"/>
        </w:rPr>
        <w:t xml:space="preserve">是  </w:t>
      </w:r>
      <w:r>
        <w:rPr>
          <w:rFonts w:ascii="宋体" w:cs="方正仿宋_GBK" w:hint="eastAsia"/>
        </w:rPr>
        <w:t>□</w:t>
      </w:r>
      <w:r>
        <w:rPr>
          <w:rFonts w:ascii="宋体" w:cs="方正仿宋_GBK"/>
        </w:rPr>
        <w:t>否</w:t>
      </w:r>
    </w:p>
    <w:p>
      <w:pPr>
        <w:pStyle w:val="544"/>
        <w:rPr>
          <w:rFonts w:ascii="宋体" w:eastAsia="宋体" w:cs="方正仿宋_GBK"/>
          <w:kern w:val="2"/>
        </w:rPr>
      </w:pPr>
      <w:r>
        <w:rPr>
          <w:rFonts w:ascii="宋体" w:eastAsia="宋体" w:cs="方正仿宋_GBK" w:hint="eastAsia"/>
          <w:kern w:val="2"/>
        </w:rPr>
        <w:t>（</w:t>
      </w:r>
      <w:r>
        <w:rPr>
          <w:rFonts w:ascii="宋体" w:eastAsia="宋体" w:cs="方正仿宋_GBK"/>
          <w:kern w:val="2"/>
        </w:rPr>
        <w:t>2</w:t>
      </w:r>
      <w:r>
        <w:rPr>
          <w:rFonts w:ascii="宋体" w:eastAsia="宋体" w:cs="方正仿宋_GBK" w:hint="eastAsia"/>
          <w:kern w:val="2"/>
        </w:rPr>
        <w:t>）</w:t>
      </w:r>
      <w:r>
        <w:rPr>
          <w:rFonts w:ascii="宋体" w:eastAsia="宋体" w:cs="方正仿宋_GBK"/>
          <w:kern w:val="2"/>
        </w:rPr>
        <w:t>是否符合信息化数字化规划。</w:t>
      </w:r>
      <w:r>
        <w:rPr>
          <w:rFonts w:ascii="Wingdings 2" w:hAnsi="Wingdings 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pStyle w:val="56"/>
        <w:rPr>
          <w:rFonts w:ascii="宋体" w:eastAsia="宋体" w:cs="方正仿宋_GBK"/>
          <w:kern w:val="2"/>
        </w:rPr>
      </w:pPr>
      <w:r>
        <w:rPr>
          <w:rFonts w:ascii="宋体" w:eastAsia="宋体" w:cs="方正仿宋_GBK"/>
          <w:kern w:val="2"/>
        </w:rPr>
        <w:t>（3）是否与已有政务应用程序存在功能交叉重复。</w:t>
      </w:r>
      <w:r>
        <w:rPr>
          <w:rFonts w:ascii="Wingdings 2" w:eastAsia="宋体" w:hAnsi="Wingdings 2" w:cs="方正仿宋_GBK"/>
          <w:kern w:val="2"/>
        </w:rPr>
        <w:sym w:font="Wingdings 2" w:char="F0A3"/>
      </w:r>
      <w:r>
        <w:rPr>
          <w:rFonts w:ascii="宋体" w:eastAsia="宋体" w:cs="方正仿宋_GBK"/>
          <w:kern w:val="2"/>
        </w:rPr>
        <w:t xml:space="preserve">是  </w:t>
      </w:r>
      <w:r>
        <w:rPr>
          <w:rFonts w:ascii="Wingdings 2" w:hAnsi="Wingdings 2"/>
        </w:rPr>
        <w:sym w:font="Wingdings 2" w:char="F052"/>
      </w:r>
      <w:r>
        <w:rPr>
          <w:rFonts w:ascii="宋体" w:eastAsia="宋体" w:cs="方正仿宋_GBK"/>
          <w:kern w:val="2"/>
        </w:rPr>
        <w:t>否</w:t>
      </w:r>
    </w:p>
    <w:p>
      <w:pPr>
        <w:pStyle w:val="57"/>
        <w:rPr>
          <w:rFonts w:ascii="宋体" w:eastAsia="宋体" w:cs="方正仿宋_GBK"/>
          <w:kern w:val="2"/>
        </w:rPr>
      </w:pPr>
      <w:r>
        <w:rPr>
          <w:rFonts w:ascii="宋体" w:eastAsia="宋体" w:cs="方正仿宋_GBK"/>
          <w:kern w:val="2"/>
        </w:rPr>
        <w:t>（4）是否能作为功能模块嵌入到已有政务应用程序。</w:t>
      </w:r>
      <w:r>
        <w:rPr>
          <w:rFonts w:ascii="Wingdings 2" w:eastAsia="宋体" w:hAnsi="Wingdings 2" w:cs="方正仿宋_GBK"/>
          <w:kern w:val="2"/>
        </w:rPr>
        <w:sym w:font="Wingdings 2" w:char="F0A3"/>
      </w:r>
      <w:r>
        <w:rPr>
          <w:rFonts w:ascii="宋体" w:eastAsia="宋体" w:cs="方正仿宋_GBK"/>
          <w:kern w:val="2"/>
        </w:rPr>
        <w:t xml:space="preserve">是  </w:t>
      </w:r>
      <w:r>
        <w:rPr>
          <w:rFonts w:ascii="Wingdings 2" w:hAnsi="Wingdings 2"/>
        </w:rPr>
        <w:sym w:font="Wingdings 2" w:char="F052"/>
      </w:r>
      <w:r>
        <w:rPr>
          <w:rFonts w:ascii="宋体" w:eastAsia="宋体" w:cs="方正仿宋_GBK"/>
          <w:kern w:val="2"/>
        </w:rPr>
        <w:t>不涉及</w:t>
      </w:r>
    </w:p>
    <w:p>
      <w:pPr>
        <w:pStyle w:val="5812"/>
        <w:rPr>
          <w:rFonts w:ascii="宋体" w:eastAsia="宋体" w:cs="方正仿宋_GBK"/>
          <w:kern w:val="2"/>
        </w:rPr>
      </w:pPr>
      <w:r>
        <w:rPr>
          <w:rFonts w:ascii="宋体" w:eastAsia="宋体" w:cs="方正仿宋_GBK"/>
          <w:kern w:val="2"/>
        </w:rPr>
        <w:t>（5）是否能与相关政务应用程序项目进行协同。</w:t>
      </w:r>
      <w:r>
        <w:rPr>
          <w:rFonts w:ascii="Wingdings 2" w:hAnsi="Wingdings 2"/>
        </w:rPr>
        <w:sym w:font="Wingdings 2" w:char="F052"/>
      </w:r>
      <w:r>
        <w:rPr>
          <w:rFonts w:ascii="宋体" w:eastAsia="宋体" w:cs="方正仿宋_GBK"/>
          <w:kern w:val="2"/>
        </w:rPr>
        <w:t xml:space="preserve">是  </w:t>
      </w:r>
      <w:r>
        <w:rPr>
          <w:rFonts w:ascii="Wingdings 2" w:eastAsia="宋体" w:hAnsi="Wingdings 2" w:cs="方正仿宋_GBK"/>
          <w:kern w:val="2"/>
        </w:rPr>
        <w:sym w:font="Wingdings 2" w:char="F0A3"/>
      </w:r>
      <w:r>
        <w:rPr>
          <w:rFonts w:ascii="宋体" w:eastAsia="宋体" w:cs="方正仿宋_GBK"/>
          <w:kern w:val="2"/>
        </w:rPr>
        <w:t>否</w:t>
      </w:r>
    </w:p>
    <w:p>
      <w:pPr>
        <w:pStyle w:val="5912"/>
        <w:rPr>
          <w:rFonts w:ascii="宋体" w:eastAsia="宋体" w:cs="方正仿宋_GBK"/>
          <w:kern w:val="2"/>
        </w:rPr>
      </w:pPr>
      <w:r>
        <w:rPr>
          <w:rFonts w:ascii="宋体" w:eastAsia="宋体" w:cs="方正仿宋_GBK"/>
          <w:kern w:val="2"/>
        </w:rPr>
        <w:t>（6）是否满足数据管理和共享要求。</w:t>
      </w:r>
      <w:r>
        <w:rPr>
          <w:rFonts w:ascii="Wingdings 2" w:hAnsi="Wingdings 2"/>
        </w:rPr>
        <w:sym w:font="Wingdings 2" w:char="F052"/>
      </w:r>
      <w:r>
        <w:rPr>
          <w:rFonts w:ascii="宋体" w:eastAsia="宋体" w:cs="方正仿宋_GBK"/>
          <w:kern w:val="2"/>
        </w:rPr>
        <w:t xml:space="preserve">是  </w:t>
      </w:r>
      <w:r>
        <w:rPr>
          <w:rFonts w:ascii="Wingdings 2" w:eastAsia="宋体" w:hAnsi="Wingdings 2" w:cs="方正仿宋_GBK"/>
          <w:kern w:val="2"/>
        </w:rPr>
        <w:sym w:font="Wingdings 2" w:char="F0A3"/>
      </w:r>
      <w:r>
        <w:rPr>
          <w:rFonts w:ascii="宋体" w:eastAsia="宋体" w:cs="方正仿宋_GBK"/>
          <w:kern w:val="2"/>
        </w:rPr>
        <w:t>否</w:t>
      </w:r>
    </w:p>
    <w:p>
      <w:pPr>
        <w:pStyle w:val="Heading2"/>
        <w:numPr>
          <w:ilvl w:val="0"/>
          <w:numId w:val="2"/>
        </w:numPr>
        <w:rPr>
          <w:rFonts w:ascii="宋体" w:hint="eastAsia"/>
        </w:rPr>
      </w:pPr>
      <w:r>
        <w:rPr>
          <w:rFonts w:ascii="宋体" w:hint="eastAsia"/>
        </w:rPr>
        <w:t>采购政策落实</w:t>
      </w:r>
      <w:bookmarkEnd w:id="38"/>
    </w:p>
    <w:tbl>
      <w:tblPr>
        <w:tblW w:w="8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358"/>
      </w:tblGrid>
      <w:tr>
        <w:tblPrEx>
          <w:tblW w:w="8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center"/>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0"/>
              <w:jc w:val="center"/>
              <w:rPr>
                <w:rFonts w:ascii="宋体" w:cs="Calibri"/>
                <w:b/>
              </w:rPr>
            </w:pPr>
            <w:bookmarkStart w:id="39" w:name="采购政策落实_index"/>
            <w:bookmarkStart w:id="40" w:name="商务需求"/>
            <w:bookmarkEnd w:id="39"/>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rPr>
            </w:pPr>
            <w:r>
              <w:rPr>
                <w:rFonts w:ascii="宋体" w:cs="Calibri" w:hint="eastAsia"/>
                <w:b/>
                <w:sz w:val="24"/>
              </w:rPr>
              <w:t>内容</w:t>
            </w:r>
          </w:p>
        </w:tc>
        <w:tc>
          <w:tcPr>
            <w:tcW w:w="53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0"/>
              <w:jc w:val="center"/>
              <w:rPr>
                <w:rFonts w:ascii="宋体" w:cs="Calibri"/>
                <w:b/>
              </w:rPr>
            </w:pPr>
            <w:r>
              <w:rPr>
                <w:rFonts w:ascii="宋体" w:cs="Calibri" w:hint="eastAsia"/>
                <w:b/>
                <w:sz w:val="24"/>
              </w:rPr>
              <w:t>说明</w:t>
            </w:r>
          </w:p>
        </w:tc>
      </w:tr>
      <w:tr>
        <w:tblPrEx>
          <w:tblW w:w="8747" w:type="dxa"/>
          <w:jc w:val="center"/>
          <w:tblLayout w:type="fixed"/>
          <w:tblCellMar>
            <w:top w:w="0" w:type="dxa"/>
            <w:left w:w="108" w:type="dxa"/>
            <w:bottom w:w="0" w:type="dxa"/>
            <w:right w:w="108" w:type="dxa"/>
          </w:tblCellMar>
        </w:tblPrEx>
        <w:trPr>
          <w:trHeight w:val="1042"/>
          <w:jc w:val="center"/>
        </w:trPr>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111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shd w:val="clear" w:color="auto" w:fill="auto"/>
            <w:vAlign w:val="center"/>
          </w:tcPr>
          <w:p>
            <w:pPr>
              <w:pStyle w:val="1010"/>
              <w:rPr>
                <w:rFonts w:ascii="宋体"/>
                <w:szCs w:val="21"/>
              </w:rPr>
            </w:pPr>
            <w:r>
              <w:rPr>
                <w:rFonts w:ascii="宋体" w:hint="eastAsia"/>
                <w:szCs w:val="21"/>
              </w:rPr>
              <w:t>是否面向中小微企业</w:t>
            </w:r>
          </w:p>
        </w:tc>
        <w:tc>
          <w:tcPr>
            <w:tcW w:w="535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910"/>
              <w:jc w:val="left"/>
              <w:rPr>
                <w:rFonts w:ascii="宋体"/>
                <w:szCs w:val="21"/>
              </w:rPr>
            </w:pPr>
            <w:r>
              <w:rPr>
                <w:rFonts w:ascii="宋体" w:hint="eastAsia"/>
                <w:szCs w:val="21"/>
              </w:rPr>
              <w:t>是，提供《中小企业声明函》并加盖投标人公章。</w:t>
            </w:r>
          </w:p>
        </w:tc>
      </w:tr>
      <w:tr>
        <w:tblPrEx>
          <w:tblW w:w="8747" w:type="dxa"/>
          <w:jc w:val="center"/>
          <w:tblLayout w:type="fixed"/>
          <w:tblCellMar>
            <w:top w:w="0" w:type="dxa"/>
            <w:left w:w="108" w:type="dxa"/>
            <w:bottom w:w="0" w:type="dxa"/>
            <w:right w:w="108" w:type="dxa"/>
          </w:tblCellMar>
        </w:tblPrEx>
        <w:trPr>
          <w:trHeight w:val="1020"/>
          <w:jc w:val="center"/>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Cs w:val="21"/>
              </w:rPr>
            </w:pPr>
            <w:r>
              <w:rPr>
                <w:rFonts w:ascii="宋体" w:hint="eastAsia"/>
                <w:szCs w:val="21"/>
              </w:rPr>
              <w:t>是否允许进口产品</w:t>
            </w:r>
          </w:p>
        </w:tc>
        <w:tc>
          <w:tcPr>
            <w:tcW w:w="5358"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b/>
                <w:i/>
                <w:iCs/>
                <w:szCs w:val="21"/>
              </w:rPr>
            </w:pPr>
            <w:r>
              <w:rPr>
                <w:rFonts w:ascii="宋体" w:hint="eastAsia"/>
                <w:szCs w:val="21"/>
              </w:rPr>
              <w:t>否</w:t>
            </w:r>
          </w:p>
        </w:tc>
      </w:tr>
      <w:tr>
        <w:tblPrEx>
          <w:tblW w:w="8747" w:type="dxa"/>
          <w:jc w:val="center"/>
          <w:tblLayout w:type="fixed"/>
          <w:tblCellMar>
            <w:top w:w="0" w:type="dxa"/>
            <w:left w:w="108" w:type="dxa"/>
            <w:bottom w:w="0" w:type="dxa"/>
            <w:right w:w="108" w:type="dxa"/>
          </w:tblCellMar>
        </w:tblPrEx>
        <w:trPr>
          <w:trHeight w:val="1020"/>
          <w:jc w:val="center"/>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szCs w:val="21"/>
              </w:rPr>
            </w:pPr>
            <w:r>
              <w:rPr>
                <w:rFonts w:ascii="宋体" w:hint="eastAsia"/>
                <w:szCs w:val="21"/>
              </w:rPr>
              <w:t>是否需要节能产品</w:t>
            </w:r>
          </w:p>
        </w:tc>
        <w:tc>
          <w:tcPr>
            <w:tcW w:w="5358"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Cs w:val="21"/>
              </w:rPr>
            </w:pPr>
            <w:r>
              <w:rPr>
                <w:rFonts w:ascii="宋体" w:hAnsi="宋体" w:hint="eastAsia"/>
                <w:szCs w:val="21"/>
              </w:rPr>
              <w:t>否</w:t>
            </w:r>
          </w:p>
        </w:tc>
      </w:tr>
      <w:tr>
        <w:tblPrEx>
          <w:tblW w:w="8747" w:type="dxa"/>
          <w:jc w:val="center"/>
          <w:tblLayout w:type="fixed"/>
          <w:tblCellMar>
            <w:top w:w="0" w:type="dxa"/>
            <w:left w:w="108" w:type="dxa"/>
            <w:bottom w:w="0" w:type="dxa"/>
            <w:right w:w="108" w:type="dxa"/>
          </w:tblCellMar>
        </w:tblPrEx>
        <w:trPr>
          <w:trHeight w:val="1020"/>
          <w:jc w:val="center"/>
        </w:trPr>
        <w:tc>
          <w:tcPr>
            <w:tcW w:w="758" w:type="dxa"/>
            <w:tcBorders>
              <w:top w:val="single" w:sz="4" w:space="0" w:color="auto"/>
              <w:left w:val="single" w:sz="4" w:space="0" w:color="auto"/>
              <w:bottom w:val="single" w:sz="4" w:space="0" w:color="auto"/>
              <w:right w:val="single" w:sz="4" w:space="0" w:color="auto"/>
            </w:tcBorders>
            <w:vAlign w:val="center"/>
          </w:tcPr>
          <w:p>
            <w:pPr>
              <w:pStyle w:val="2100"/>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Cs w:val="21"/>
              </w:rPr>
            </w:pPr>
            <w:r>
              <w:rPr>
                <w:rFonts w:ascii="宋体" w:hint="eastAsia"/>
                <w:szCs w:val="21"/>
              </w:rPr>
              <w:t>是否需要环保标志产品</w:t>
            </w:r>
          </w:p>
        </w:tc>
        <w:tc>
          <w:tcPr>
            <w:tcW w:w="5358"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Cs w:val="21"/>
              </w:rPr>
            </w:pPr>
            <w:r>
              <w:rPr>
                <w:rFonts w:ascii="宋体" w:hint="eastAsia"/>
                <w:szCs w:val="21"/>
              </w:rPr>
              <w:t>否</w:t>
            </w:r>
          </w:p>
        </w:tc>
      </w:tr>
      <w:tr>
        <w:tblPrEx>
          <w:tblW w:w="8747" w:type="dxa"/>
          <w:jc w:val="center"/>
          <w:tblLayout w:type="fixed"/>
          <w:tblCellMar>
            <w:top w:w="0" w:type="dxa"/>
            <w:left w:w="108" w:type="dxa"/>
            <w:bottom w:w="0" w:type="dxa"/>
            <w:right w:w="108" w:type="dxa"/>
          </w:tblCellMar>
        </w:tblPrEx>
        <w:trPr>
          <w:trHeight w:val="1020"/>
          <w:jc w:val="center"/>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Cs w:val="21"/>
              </w:rPr>
            </w:pPr>
            <w:r>
              <w:rPr>
                <w:rFonts w:ascii="宋体" w:hint="eastAsia"/>
                <w:szCs w:val="21"/>
              </w:rPr>
              <w:t>是否面向监狱企业</w:t>
            </w:r>
          </w:p>
        </w:tc>
        <w:tc>
          <w:tcPr>
            <w:tcW w:w="5358"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Cs w:val="21"/>
              </w:rPr>
            </w:pPr>
            <w:r>
              <w:rPr>
                <w:rFonts w:ascii="宋体" w:hint="eastAsia"/>
                <w:szCs w:val="21"/>
              </w:rPr>
              <w:t>是，提供证明资料，并加盖投标人公章。</w:t>
            </w:r>
          </w:p>
        </w:tc>
      </w:tr>
      <w:tr>
        <w:tblPrEx>
          <w:tblW w:w="8747" w:type="dxa"/>
          <w:jc w:val="center"/>
          <w:tblLayout w:type="fixed"/>
          <w:tblCellMar>
            <w:top w:w="0" w:type="dxa"/>
            <w:left w:w="108" w:type="dxa"/>
            <w:bottom w:w="0" w:type="dxa"/>
            <w:right w:w="108" w:type="dxa"/>
          </w:tblCellMar>
        </w:tblPrEx>
        <w:trPr>
          <w:trHeight w:val="1020"/>
          <w:jc w:val="center"/>
        </w:trPr>
        <w:tc>
          <w:tcPr>
            <w:tcW w:w="758" w:type="dxa"/>
            <w:tcBorders>
              <w:top w:val="single" w:sz="4" w:space="0" w:color="auto"/>
              <w:left w:val="single" w:sz="4" w:space="0" w:color="auto"/>
              <w:bottom w:val="single" w:sz="4" w:space="0" w:color="auto"/>
              <w:right w:val="single" w:sz="4" w:space="0" w:color="auto"/>
            </w:tcBorders>
            <w:vAlign w:val="center"/>
          </w:tcPr>
          <w:p>
            <w:pPr>
              <w:pStyle w:val="107"/>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Cs w:val="21"/>
              </w:rPr>
            </w:pPr>
            <w:r>
              <w:rPr>
                <w:rFonts w:ascii="宋体" w:hint="eastAsia"/>
                <w:szCs w:val="21"/>
              </w:rPr>
              <w:t>是否面向残疾人福利性单位</w:t>
            </w:r>
          </w:p>
        </w:tc>
        <w:tc>
          <w:tcPr>
            <w:tcW w:w="5358" w:type="dxa"/>
            <w:tcBorders>
              <w:top w:val="single" w:sz="4" w:space="0" w:color="auto"/>
              <w:left w:val="single" w:sz="4" w:space="0" w:color="auto"/>
              <w:bottom w:val="single" w:sz="4" w:space="0" w:color="auto"/>
              <w:right w:val="single" w:sz="4" w:space="0" w:color="auto"/>
            </w:tcBorders>
            <w:vAlign w:val="center"/>
          </w:tcPr>
          <w:p>
            <w:pPr>
              <w:pStyle w:val="205710"/>
              <w:rPr>
                <w:rFonts w:ascii="宋体"/>
                <w:szCs w:val="21"/>
              </w:rPr>
            </w:pPr>
            <w:r>
              <w:rPr>
                <w:rFonts w:ascii="宋体" w:hint="eastAsia"/>
                <w:szCs w:val="21"/>
              </w:rPr>
              <w:t>是，提供《残疾人福利性单位声明函》并加盖投标人公章。</w:t>
            </w:r>
          </w:p>
        </w:tc>
      </w:tr>
    </w:tbl>
    <w:p/>
    <w:p>
      <w:pPr>
        <w:rPr>
          <w:rFonts w:ascii="宋体"/>
        </w:rPr>
      </w:pPr>
      <w:r>
        <w:rPr>
          <w:rFonts w:ascii="宋体" w:hint="eastAsia"/>
        </w:rPr>
        <w:t>本项目不专门面向中小微企业、监狱企业、残疾人企业。</w:t>
      </w:r>
    </w:p>
    <w:p>
      <w:pPr>
        <w:pStyle w:val="Heading2"/>
        <w:numPr>
          <w:ilvl w:val="0"/>
          <w:numId w:val="2"/>
        </w:numPr>
        <w:jc w:val="both"/>
        <w:rPr>
          <w:rFonts w:ascii="宋体" w:hint="eastAsia"/>
        </w:rPr>
      </w:pPr>
      <w:r>
        <w:rPr>
          <w:rFonts w:ascii="宋体" w:hint="eastAsia"/>
        </w:rPr>
        <w:t>商务需求</w:t>
      </w:r>
      <w:bookmarkEnd w:id="40"/>
    </w:p>
    <w:tbl>
      <w:tblPr>
        <w:tblW w:w="8608" w:type="dxa"/>
        <w:jc w:val="left"/>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6"/>
        <w:gridCol w:w="1830"/>
        <w:gridCol w:w="3369"/>
        <w:gridCol w:w="2693"/>
      </w:tblGrid>
      <w:tr>
        <w:tblPrEx>
          <w:tblW w:w="8608" w:type="dxa"/>
          <w:jc w:val="left"/>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16" w:type="dxa"/>
            <w:shd w:val="clear" w:color="A6A6A6" w:fill="A6A6A6"/>
            <w:vAlign w:val="center"/>
          </w:tcPr>
          <w:p>
            <w:pPr>
              <w:jc w:val="center"/>
              <w:rPr>
                <w:rFonts w:ascii="宋体"/>
                <w:b/>
              </w:rPr>
            </w:pPr>
            <w:r>
              <w:rPr>
                <w:rFonts w:ascii="宋体" w:hint="eastAsia"/>
                <w:b/>
              </w:rPr>
              <w:t>序号</w:t>
            </w:r>
          </w:p>
        </w:tc>
        <w:tc>
          <w:tcPr>
            <w:tcW w:w="1830" w:type="dxa"/>
            <w:shd w:val="clear" w:color="A6A6A6" w:fill="A6A6A6"/>
            <w:vAlign w:val="center"/>
          </w:tcPr>
          <w:p>
            <w:pPr>
              <w:jc w:val="center"/>
              <w:rPr>
                <w:rFonts w:ascii="宋体"/>
                <w:b/>
              </w:rPr>
            </w:pPr>
            <w:r>
              <w:rPr>
                <w:rFonts w:ascii="宋体" w:hint="eastAsia"/>
                <w:b/>
              </w:rPr>
              <w:t>内容</w:t>
            </w:r>
          </w:p>
        </w:tc>
        <w:tc>
          <w:tcPr>
            <w:tcW w:w="3369" w:type="dxa"/>
            <w:shd w:val="clear" w:color="A6A6A6" w:fill="A6A6A6"/>
            <w:vAlign w:val="center"/>
          </w:tcPr>
          <w:p>
            <w:pPr>
              <w:jc w:val="center"/>
              <w:rPr>
                <w:rFonts w:ascii="宋体"/>
                <w:b/>
              </w:rPr>
            </w:pPr>
            <w:bookmarkStart w:id="41" w:name="商务需求_Title_说明_Required_Table"/>
            <w:r>
              <w:rPr>
                <w:rFonts w:ascii="宋体" w:hint="eastAsia"/>
                <w:b/>
              </w:rPr>
              <w:t>说明</w:t>
            </w:r>
            <w:bookmarkEnd w:id="41"/>
          </w:p>
        </w:tc>
        <w:tc>
          <w:tcPr>
            <w:tcW w:w="2693" w:type="dxa"/>
            <w:shd w:val="clear" w:color="A6A6A6" w:fill="A6A6A6"/>
            <w:vAlign w:val="center"/>
          </w:tcPr>
          <w:p>
            <w:pPr>
              <w:jc w:val="center"/>
              <w:rPr>
                <w:rFonts w:ascii="宋体"/>
                <w:b/>
              </w:rPr>
            </w:pPr>
            <w:r>
              <w:rPr>
                <w:rFonts w:ascii="宋体" w:hint="eastAsia"/>
                <w:b/>
              </w:rPr>
              <w:t>证明材料要求</w:t>
            </w:r>
          </w:p>
        </w:tc>
      </w:tr>
      <w:tr>
        <w:tblPrEx>
          <w:tblW w:w="8608" w:type="dxa"/>
          <w:jc w:val="left"/>
          <w:tblInd w:w="-278" w:type="dxa"/>
          <w:tblLayout w:type="fixed"/>
          <w:tblCellMar>
            <w:top w:w="0" w:type="dxa"/>
            <w:left w:w="108" w:type="dxa"/>
            <w:bottom w:w="0" w:type="dxa"/>
            <w:right w:w="108" w:type="dxa"/>
          </w:tblCellMar>
        </w:tblPrEx>
        <w:trPr>
          <w:trHeight w:val="599"/>
          <w:jc w:val="left"/>
        </w:trPr>
        <w:tc>
          <w:tcPr>
            <w:tcW w:w="716" w:type="dxa"/>
            <w:vMerge w:val="restart"/>
            <w:vAlign w:val="center"/>
          </w:tcPr>
          <w:p>
            <w:pPr>
              <w:jc w:val="center"/>
              <w:rPr>
                <w:rFonts w:ascii="宋体"/>
              </w:rPr>
            </w:pPr>
            <w:r>
              <w:rPr>
                <w:rFonts w:ascii="宋体" w:hint="eastAsia"/>
                <w:b/>
              </w:rPr>
              <w:t>1</w:t>
            </w:r>
          </w:p>
        </w:tc>
        <w:tc>
          <w:tcPr>
            <w:tcW w:w="1830" w:type="dxa"/>
            <w:vMerge w:val="restart"/>
            <w:vAlign w:val="center"/>
          </w:tcPr>
          <w:p>
            <w:pPr>
              <w:rPr>
                <w:rFonts w:ascii="宋体"/>
                <w:b/>
              </w:rPr>
            </w:pPr>
            <w:r>
              <w:rPr>
                <w:rFonts w:ascii="宋体" w:hint="eastAsia"/>
                <w:b/>
              </w:rPr>
              <w:t>投标人资质</w:t>
            </w:r>
          </w:p>
        </w:tc>
        <w:tc>
          <w:tcPr>
            <w:tcW w:w="3369" w:type="dxa"/>
            <w:vAlign w:val="center"/>
          </w:tcPr>
          <w:p>
            <w:pPr>
              <w:rPr>
                <w:rFonts w:ascii="宋体"/>
                <w:lang w:bidi="en-US"/>
              </w:rPr>
            </w:pPr>
            <w:r>
              <w:rPr>
                <w:rFonts w:ascii="宋体" w:hint="eastAsia"/>
                <w:lang w:bidi="en-US"/>
              </w:rPr>
              <w:t>1、</w:t>
            </w:r>
            <w:r>
              <w:rPr>
                <w:rFonts w:ascii="宋体"/>
                <w:lang w:bidi="en-US"/>
              </w:rPr>
              <w:t>投标人资格条件</w:t>
            </w:r>
            <w:r>
              <w:rPr>
                <w:rFonts w:ascii="宋体" w:hint="eastAsia"/>
                <w:lang w:bidi="en-US"/>
              </w:rPr>
              <w:t>，详见招标公告</w:t>
            </w:r>
            <w:r>
              <w:rPr>
                <w:rFonts w:ascii="宋体"/>
                <w:lang w:bidi="en-US"/>
              </w:rPr>
              <w:t>。</w:t>
            </w:r>
          </w:p>
        </w:tc>
        <w:tc>
          <w:tcPr>
            <w:tcW w:w="2693" w:type="dxa"/>
            <w:vAlign w:val="center"/>
          </w:tcPr>
          <w:p>
            <w:pPr>
              <w:rPr>
                <w:rFonts w:ascii="宋体"/>
                <w:lang w:bidi="en-US"/>
              </w:rPr>
            </w:pPr>
            <w:r>
              <w:rPr>
                <w:rFonts w:ascii="宋体" w:hint="eastAsia"/>
                <w:lang w:bidi="en-US"/>
              </w:rPr>
              <w:t>否，招标文件其他部分有要求的，按要求提供</w:t>
            </w:r>
          </w:p>
        </w:tc>
      </w:tr>
      <w:tr>
        <w:tblPrEx>
          <w:tblW w:w="8608" w:type="dxa"/>
          <w:jc w:val="left"/>
          <w:tblInd w:w="-278" w:type="dxa"/>
          <w:tblLayout w:type="fixed"/>
          <w:tblCellMar>
            <w:top w:w="0" w:type="dxa"/>
            <w:left w:w="108" w:type="dxa"/>
            <w:bottom w:w="0" w:type="dxa"/>
            <w:right w:w="108" w:type="dxa"/>
          </w:tblCellMar>
        </w:tblPrEx>
        <w:trPr>
          <w:trHeight w:val="760"/>
          <w:jc w:val="left"/>
        </w:trPr>
        <w:tc>
          <w:tcPr>
            <w:tcW w:w="716" w:type="dxa"/>
            <w:vMerge/>
            <w:vAlign w:val="center"/>
          </w:tcPr>
          <w:p/>
        </w:tc>
        <w:tc>
          <w:tcPr>
            <w:tcW w:w="1830" w:type="dxa"/>
            <w:vMerge/>
            <w:vAlign w:val="center"/>
          </w:tcPr>
          <w:p/>
        </w:tc>
        <w:tc>
          <w:tcPr>
            <w:tcW w:w="3369" w:type="dxa"/>
            <w:vAlign w:val="center"/>
          </w:tcPr>
          <w:p>
            <w:pPr>
              <w:rPr>
                <w:rFonts w:ascii="宋体"/>
                <w:lang w:bidi="en-US"/>
              </w:rPr>
            </w:pPr>
            <w:r>
              <w:rPr>
                <w:rFonts w:ascii="宋体" w:hint="eastAsia"/>
                <w:lang w:bidi="en-US"/>
              </w:rPr>
              <w:t>2、本项目不接受分包、转包、联合体投标。</w:t>
            </w:r>
          </w:p>
          <w:p>
            <w:pPr>
              <w:rPr>
                <w:rFonts w:ascii="宋体"/>
                <w:lang w:bidi="en-US"/>
              </w:rPr>
            </w:pPr>
          </w:p>
        </w:tc>
        <w:tc>
          <w:tcPr>
            <w:tcW w:w="2693" w:type="dxa"/>
            <w:vAlign w:val="center"/>
          </w:tcPr>
          <w:p>
            <w:pPr>
              <w:rPr>
                <w:rFonts w:ascii="宋体"/>
                <w:lang w:bidi="en-US"/>
              </w:rPr>
            </w:pPr>
            <w:r>
              <w:rPr>
                <w:rFonts w:ascii="宋体" w:hint="eastAsia"/>
                <w:lang w:bidi="en-US"/>
              </w:rPr>
              <w:t>否</w:t>
            </w:r>
          </w:p>
        </w:tc>
      </w:tr>
      <w:tr>
        <w:tblPrEx>
          <w:tblW w:w="8608" w:type="dxa"/>
          <w:jc w:val="left"/>
          <w:tblInd w:w="-278" w:type="dxa"/>
          <w:tblLayout w:type="fixed"/>
          <w:tblCellMar>
            <w:top w:w="0" w:type="dxa"/>
            <w:left w:w="108" w:type="dxa"/>
            <w:bottom w:w="0" w:type="dxa"/>
            <w:right w:w="108" w:type="dxa"/>
          </w:tblCellMar>
        </w:tblPrEx>
        <w:trPr>
          <w:trHeight w:val="2148"/>
          <w:jc w:val="left"/>
        </w:trPr>
        <w:tc>
          <w:tcPr>
            <w:tcW w:w="716" w:type="dxa"/>
            <w:vMerge/>
            <w:vAlign w:val="center"/>
          </w:tcPr>
          <w:p/>
        </w:tc>
        <w:tc>
          <w:tcPr>
            <w:tcW w:w="1830" w:type="dxa"/>
            <w:vMerge/>
            <w:vAlign w:val="center"/>
          </w:tcPr>
          <w:p/>
        </w:tc>
        <w:tc>
          <w:tcPr>
            <w:tcW w:w="3369" w:type="dxa"/>
            <w:vAlign w:val="center"/>
          </w:tcPr>
          <w:p>
            <w:pPr>
              <w:rPr>
                <w:rFonts w:ascii="宋体"/>
                <w:lang w:bidi="en-US"/>
              </w:rPr>
            </w:pPr>
            <w:r>
              <w:rPr>
                <w:rFonts w:ascii="宋体"/>
                <w:lang w:bidi="en-US"/>
              </w:rPr>
              <w:t>3</w:t>
            </w:r>
            <w:r>
              <w:rPr>
                <w:rFonts w:ascii="宋体" w:hint="eastAsia"/>
                <w:lang w:bidi="en-US"/>
              </w:rPr>
              <w:t>、可作为评审因素的资质证书：</w:t>
            </w:r>
          </w:p>
          <w:p>
            <w:pPr>
              <w:rPr>
                <w:rFonts w:ascii="宋体"/>
                <w:lang w:bidi="en-US"/>
              </w:rPr>
            </w:pPr>
            <w:r>
              <w:rPr>
                <w:rFonts w:ascii="宋体" w:hint="eastAsia"/>
                <w:lang w:bidi="en-US"/>
              </w:rPr>
              <w:t>（1）</w:t>
            </w:r>
            <w:r>
              <w:rPr>
                <w:rFonts w:ascii="宋体"/>
                <w:lang w:bidi="en-US"/>
              </w:rPr>
              <w:t>ISO27001</w:t>
            </w:r>
            <w:r>
              <w:rPr>
                <w:rFonts w:ascii="宋体" w:hint="eastAsia"/>
                <w:lang w:bidi="en-US"/>
              </w:rPr>
              <w:t>信息安全管理体系认证证书</w:t>
            </w:r>
            <w:bookmarkStart w:id="42" w:name="_GoBack"/>
            <w:bookmarkEnd w:id="42"/>
            <w:r>
              <w:rPr>
                <w:rFonts w:ascii="宋体" w:hint="eastAsia"/>
                <w:lang w:bidi="en-US"/>
              </w:rPr>
              <w:t>。</w:t>
            </w:r>
          </w:p>
          <w:p>
            <w:pPr>
              <w:rPr>
                <w:rFonts w:ascii="宋体"/>
                <w:lang w:bidi="en-US"/>
              </w:rPr>
            </w:pPr>
            <w:r>
              <w:rPr>
                <w:rFonts w:ascii="宋体" w:hint="eastAsia"/>
                <w:lang w:bidi="en-US"/>
              </w:rPr>
              <w:t>（2）具有</w:t>
            </w:r>
            <w:r>
              <w:rPr>
                <w:rFonts w:ascii="宋体"/>
                <w:lang w:bidi="en-US"/>
              </w:rPr>
              <w:t>ISO20000</w:t>
            </w:r>
            <w:r>
              <w:rPr>
                <w:rFonts w:ascii="宋体" w:hint="eastAsia"/>
                <w:lang w:bidi="en-US"/>
              </w:rPr>
              <w:t>信息技术服务管理体系认证证书。</w:t>
            </w:r>
          </w:p>
          <w:p>
            <w:pPr>
              <w:rPr>
                <w:rFonts w:ascii="宋体"/>
                <w:lang w:bidi="en-US"/>
              </w:rPr>
            </w:pPr>
            <w:r>
              <w:rPr>
                <w:rFonts w:ascii="宋体" w:hint="eastAsia"/>
                <w:lang w:bidi="en-US"/>
              </w:rPr>
              <w:t>（3）</w:t>
            </w:r>
            <w:r>
              <w:rPr>
                <w:rFonts w:ascii="宋体"/>
                <w:lang w:bidi="en-US"/>
              </w:rPr>
              <w:t>ISO9001</w:t>
            </w:r>
            <w:r>
              <w:rPr>
                <w:rFonts w:ascii="宋体" w:hint="eastAsia"/>
                <w:lang w:bidi="en-US"/>
              </w:rPr>
              <w:t>质量管理体系认证。</w:t>
            </w:r>
          </w:p>
        </w:tc>
        <w:tc>
          <w:tcPr>
            <w:tcW w:w="2693" w:type="dxa"/>
            <w:vAlign w:val="center"/>
          </w:tcPr>
          <w:p>
            <w:pPr>
              <w:rPr>
                <w:rFonts w:ascii="宋体"/>
                <w:lang w:bidi="en-US"/>
              </w:rPr>
            </w:pPr>
            <w:r>
              <w:rPr>
                <w:rFonts w:ascii="宋体" w:hint="eastAsia"/>
                <w:lang w:bidi="en-US"/>
              </w:rPr>
              <w:t>是，提供证书复印件并加盖投标人单位公章</w:t>
            </w:r>
          </w:p>
        </w:tc>
      </w:tr>
      <w:tr>
        <w:tblPrEx>
          <w:tblW w:w="8608" w:type="dxa"/>
          <w:jc w:val="left"/>
          <w:tblInd w:w="-278" w:type="dxa"/>
          <w:tblLayout w:type="fixed"/>
          <w:tblCellMar>
            <w:top w:w="0" w:type="dxa"/>
            <w:left w:w="108" w:type="dxa"/>
            <w:bottom w:w="0" w:type="dxa"/>
            <w:right w:w="108" w:type="dxa"/>
          </w:tblCellMar>
        </w:tblPrEx>
        <w:trPr>
          <w:trHeight w:val="1020"/>
          <w:jc w:val="left"/>
        </w:trPr>
        <w:tc>
          <w:tcPr>
            <w:tcW w:w="716" w:type="dxa"/>
            <w:vAlign w:val="center"/>
          </w:tcPr>
          <w:p>
            <w:pPr>
              <w:jc w:val="center"/>
              <w:rPr>
                <w:rFonts w:ascii="宋体"/>
              </w:rPr>
            </w:pPr>
            <w:r>
              <w:rPr>
                <w:rFonts w:ascii="宋体" w:hint="eastAsia"/>
                <w:b/>
              </w:rPr>
              <w:t>2</w:t>
            </w:r>
          </w:p>
        </w:tc>
        <w:tc>
          <w:tcPr>
            <w:tcW w:w="1830" w:type="dxa"/>
            <w:vAlign w:val="center"/>
          </w:tcPr>
          <w:p>
            <w:pPr>
              <w:rPr>
                <w:rFonts w:ascii="宋体"/>
                <w:b/>
              </w:rPr>
            </w:pPr>
            <w:r>
              <w:rPr>
                <w:rFonts w:ascii="宋体" w:hint="eastAsia"/>
                <w:b/>
              </w:rPr>
              <w:t>投标产品资质</w:t>
            </w:r>
          </w:p>
        </w:tc>
        <w:tc>
          <w:tcPr>
            <w:tcW w:w="3369" w:type="dxa"/>
            <w:vAlign w:val="center"/>
          </w:tcPr>
          <w:p>
            <w:pPr>
              <w:rPr>
                <w:rFonts w:ascii="宋体"/>
                <w:lang w:bidi="en-US"/>
              </w:rPr>
            </w:pPr>
            <w:r>
              <w:rPr>
                <w:rFonts w:ascii="宋体" w:hint="eastAsia"/>
                <w:lang w:bidi="en-US"/>
              </w:rPr>
              <w:t>无</w:t>
            </w:r>
          </w:p>
        </w:tc>
        <w:tc>
          <w:tcPr>
            <w:tcW w:w="2693" w:type="dxa"/>
            <w:vAlign w:val="center"/>
          </w:tcPr>
          <w:p>
            <w:pPr>
              <w:rPr>
                <w:rFonts w:ascii="宋体"/>
                <w:lang w:bidi="en-US"/>
              </w:rPr>
            </w:pPr>
            <w:r>
              <w:rPr>
                <w:rFonts w:ascii="宋体" w:hint="eastAsia"/>
                <w:lang w:bidi="en-US"/>
              </w:rPr>
              <w:t>否</w:t>
            </w:r>
          </w:p>
        </w:tc>
      </w:tr>
      <w:tr>
        <w:tblPrEx>
          <w:tblW w:w="8608" w:type="dxa"/>
          <w:jc w:val="left"/>
          <w:tblInd w:w="-278" w:type="dxa"/>
          <w:tblLayout w:type="fixed"/>
          <w:tblCellMar>
            <w:top w:w="0" w:type="dxa"/>
            <w:left w:w="108" w:type="dxa"/>
            <w:bottom w:w="0" w:type="dxa"/>
            <w:right w:w="108" w:type="dxa"/>
          </w:tblCellMar>
        </w:tblPrEx>
        <w:trPr>
          <w:trHeight w:val="1020"/>
          <w:jc w:val="left"/>
        </w:trPr>
        <w:tc>
          <w:tcPr>
            <w:tcW w:w="716" w:type="dxa"/>
            <w:vAlign w:val="center"/>
          </w:tcPr>
          <w:p>
            <w:pPr>
              <w:jc w:val="center"/>
              <w:rPr>
                <w:rFonts w:ascii="宋体"/>
                <w:b/>
              </w:rPr>
            </w:pPr>
            <w:r>
              <w:rPr>
                <w:rFonts w:ascii="宋体" w:hint="eastAsia"/>
                <w:b/>
              </w:rPr>
              <w:t>3</w:t>
            </w:r>
          </w:p>
        </w:tc>
        <w:tc>
          <w:tcPr>
            <w:tcW w:w="1830" w:type="dxa"/>
            <w:vAlign w:val="center"/>
          </w:tcPr>
          <w:p>
            <w:pPr>
              <w:rPr>
                <w:rFonts w:ascii="宋体"/>
                <w:b/>
              </w:rPr>
            </w:pPr>
            <w:r>
              <w:rPr>
                <w:rFonts w:ascii="宋体" w:hint="eastAsia"/>
                <w:b/>
              </w:rPr>
              <w:t>核心产品</w:t>
            </w:r>
          </w:p>
        </w:tc>
        <w:tc>
          <w:tcPr>
            <w:tcW w:w="3369" w:type="dxa"/>
            <w:vAlign w:val="center"/>
          </w:tcPr>
          <w:p>
            <w:pPr>
              <w:rPr>
                <w:rFonts w:ascii="宋体"/>
                <w:lang w:bidi="en-US"/>
              </w:rPr>
            </w:pPr>
            <w:r>
              <w:rPr>
                <w:rFonts w:ascii="宋体" w:hint="eastAsia"/>
                <w:lang w:bidi="en-US"/>
              </w:rPr>
              <w:t>无</w:t>
            </w:r>
          </w:p>
        </w:tc>
        <w:tc>
          <w:tcPr>
            <w:tcW w:w="2693" w:type="dxa"/>
            <w:vAlign w:val="center"/>
          </w:tcPr>
          <w:p>
            <w:pPr>
              <w:rPr>
                <w:rFonts w:ascii="宋体"/>
                <w:lang w:bidi="en-US"/>
              </w:rPr>
            </w:pPr>
            <w:r>
              <w:rPr>
                <w:rFonts w:ascii="宋体" w:hint="eastAsia"/>
                <w:lang w:bidi="en-US"/>
              </w:rPr>
              <w:t>否</w:t>
            </w:r>
          </w:p>
        </w:tc>
      </w:tr>
      <w:tr>
        <w:tblPrEx>
          <w:tblW w:w="8608" w:type="dxa"/>
          <w:jc w:val="left"/>
          <w:tblInd w:w="-278" w:type="dxa"/>
          <w:tblLayout w:type="fixed"/>
          <w:tblCellMar>
            <w:top w:w="0" w:type="dxa"/>
            <w:left w:w="108" w:type="dxa"/>
            <w:bottom w:w="0" w:type="dxa"/>
            <w:right w:w="108" w:type="dxa"/>
          </w:tblCellMar>
        </w:tblPrEx>
        <w:trPr>
          <w:trHeight w:val="1020"/>
          <w:jc w:val="left"/>
        </w:trPr>
        <w:tc>
          <w:tcPr>
            <w:tcW w:w="716" w:type="dxa"/>
            <w:vAlign w:val="center"/>
          </w:tcPr>
          <w:p>
            <w:pPr>
              <w:jc w:val="center"/>
              <w:rPr>
                <w:rFonts w:ascii="宋体"/>
              </w:rPr>
            </w:pPr>
            <w:r>
              <w:rPr>
                <w:rFonts w:ascii="宋体"/>
                <w:b/>
              </w:rPr>
              <w:t>4</w:t>
            </w:r>
          </w:p>
        </w:tc>
        <w:tc>
          <w:tcPr>
            <w:tcW w:w="1830" w:type="dxa"/>
            <w:vAlign w:val="center"/>
          </w:tcPr>
          <w:p>
            <w:pPr>
              <w:rPr>
                <w:rFonts w:ascii="宋体"/>
                <w:b/>
              </w:rPr>
            </w:pPr>
            <w:r>
              <w:rPr>
                <w:rFonts w:ascii="宋体" w:hint="eastAsia"/>
                <w:lang w:bidi="en-US"/>
              </w:rPr>
              <w:t>★</w:t>
            </w:r>
            <w:r>
              <w:rPr>
                <w:rFonts w:ascii="宋体" w:hint="eastAsia"/>
                <w:b/>
              </w:rPr>
              <w:t>信息安全要求</w:t>
            </w:r>
          </w:p>
        </w:tc>
        <w:tc>
          <w:tcPr>
            <w:tcW w:w="3369" w:type="dxa"/>
            <w:vAlign w:val="center"/>
          </w:tcPr>
          <w:p>
            <w:pPr>
              <w:rPr>
                <w:rFonts w:ascii="宋体"/>
                <w:lang w:bidi="en-US"/>
              </w:rPr>
            </w:pPr>
            <w:r>
              <w:rPr>
                <w:rFonts w:ascii="宋体" w:cs="Times New Roman" w:hint="eastAsia"/>
                <w:sz w:val="21"/>
                <w:lang w:bidi="en-US"/>
              </w:rPr>
              <w:t>本项目的信息系统安全保护等级为三级。投标人提供服务需符合信息系统安全保护等级三级相关要求。</w:t>
            </w:r>
          </w:p>
        </w:tc>
        <w:tc>
          <w:tcPr>
            <w:tcW w:w="2693" w:type="dxa"/>
            <w:vAlign w:val="center"/>
          </w:tcPr>
          <w:p>
            <w:pPr>
              <w:rPr>
                <w:rFonts w:ascii="宋体" w:cs="Times New Roman"/>
                <w:sz w:val="21"/>
                <w:lang w:bidi="en-US"/>
              </w:rPr>
            </w:pPr>
            <w:r>
              <w:rPr>
                <w:rFonts w:ascii="宋体" w:cs="Times New Roman" w:hint="eastAsia"/>
                <w:sz w:val="21"/>
                <w:lang w:bidi="en-US"/>
              </w:rPr>
              <w:t>是，提供投标人承诺函并加盖投标人单位公章。</w:t>
            </w:r>
          </w:p>
        </w:tc>
      </w:tr>
      <w:tr>
        <w:tblPrEx>
          <w:tblW w:w="8608" w:type="dxa"/>
          <w:jc w:val="left"/>
          <w:tblInd w:w="-278" w:type="dxa"/>
          <w:tblLayout w:type="fixed"/>
          <w:tblCellMar>
            <w:top w:w="0" w:type="dxa"/>
            <w:left w:w="108" w:type="dxa"/>
            <w:bottom w:w="0" w:type="dxa"/>
            <w:right w:w="108" w:type="dxa"/>
          </w:tblCellMar>
        </w:tblPrEx>
        <w:trPr>
          <w:trHeight w:val="1020"/>
          <w:jc w:val="left"/>
        </w:trPr>
        <w:tc>
          <w:tcPr>
            <w:tcW w:w="716" w:type="dxa"/>
            <w:vAlign w:val="center"/>
          </w:tcPr>
          <w:p>
            <w:pPr>
              <w:jc w:val="center"/>
              <w:rPr>
                <w:rFonts w:ascii="宋体"/>
              </w:rPr>
            </w:pPr>
            <w:r>
              <w:rPr>
                <w:rFonts w:ascii="宋体"/>
              </w:rPr>
              <w:t>5</w:t>
            </w:r>
          </w:p>
        </w:tc>
        <w:tc>
          <w:tcPr>
            <w:tcW w:w="1830" w:type="dxa"/>
            <w:vAlign w:val="center"/>
          </w:tcPr>
          <w:p>
            <w:pPr>
              <w:rPr>
                <w:rFonts w:ascii="宋体"/>
                <w:b/>
              </w:rPr>
            </w:pPr>
            <w:r>
              <w:rPr>
                <w:rFonts w:ascii="宋体" w:hint="eastAsia"/>
                <w:b/>
              </w:rPr>
              <w:t>是否需要现场考察</w:t>
            </w:r>
          </w:p>
        </w:tc>
        <w:tc>
          <w:tcPr>
            <w:tcW w:w="3369" w:type="dxa"/>
            <w:vAlign w:val="center"/>
          </w:tcPr>
          <w:p>
            <w:pPr>
              <w:rPr>
                <w:rFonts w:ascii="宋体"/>
                <w:lang w:bidi="en-US"/>
              </w:rPr>
            </w:pPr>
            <w:r>
              <w:rPr>
                <w:rFonts w:ascii="宋体" w:hint="eastAsia"/>
                <w:lang w:bidi="en-US"/>
              </w:rPr>
              <w:t>否</w:t>
            </w:r>
          </w:p>
        </w:tc>
        <w:tc>
          <w:tcPr>
            <w:tcW w:w="2693" w:type="dxa"/>
            <w:vAlign w:val="center"/>
          </w:tcPr>
          <w:p>
            <w:pPr>
              <w:rPr>
                <w:rFonts w:ascii="宋体"/>
                <w:lang w:bidi="en-US"/>
              </w:rPr>
            </w:pPr>
            <w:r>
              <w:rPr>
                <w:rFonts w:ascii="宋体" w:hint="eastAsia"/>
                <w:lang w:bidi="en-US"/>
              </w:rPr>
              <w:t>否</w:t>
            </w:r>
          </w:p>
        </w:tc>
      </w:tr>
      <w:tr>
        <w:tblPrEx>
          <w:tblW w:w="8608" w:type="dxa"/>
          <w:jc w:val="left"/>
          <w:tblInd w:w="-278" w:type="dxa"/>
          <w:tblLayout w:type="fixed"/>
          <w:tblCellMar>
            <w:top w:w="0" w:type="dxa"/>
            <w:left w:w="108" w:type="dxa"/>
            <w:bottom w:w="0" w:type="dxa"/>
            <w:right w:w="108" w:type="dxa"/>
          </w:tblCellMar>
        </w:tblPrEx>
        <w:trPr>
          <w:trHeight w:val="1020"/>
          <w:jc w:val="left"/>
        </w:trPr>
        <w:tc>
          <w:tcPr>
            <w:tcW w:w="716" w:type="dxa"/>
            <w:vAlign w:val="center"/>
          </w:tcPr>
          <w:p>
            <w:pPr>
              <w:jc w:val="center"/>
              <w:rPr>
                <w:rFonts w:ascii="宋体"/>
              </w:rPr>
            </w:pPr>
            <w:r>
              <w:rPr>
                <w:rFonts w:ascii="宋体"/>
              </w:rPr>
              <w:t>6</w:t>
            </w:r>
          </w:p>
        </w:tc>
        <w:tc>
          <w:tcPr>
            <w:tcW w:w="1830" w:type="dxa"/>
            <w:vAlign w:val="center"/>
          </w:tcPr>
          <w:p>
            <w:pPr>
              <w:rPr>
                <w:rFonts w:ascii="宋体"/>
                <w:b/>
              </w:rPr>
            </w:pPr>
            <w:r>
              <w:rPr>
                <w:rFonts w:ascii="宋体" w:hint="eastAsia"/>
                <w:b/>
              </w:rPr>
              <w:t>是否收取履约保证金</w:t>
            </w:r>
          </w:p>
        </w:tc>
        <w:tc>
          <w:tcPr>
            <w:tcW w:w="3369" w:type="dxa"/>
            <w:vAlign w:val="center"/>
          </w:tcPr>
          <w:p>
            <w:pPr>
              <w:rPr>
                <w:rFonts w:ascii="宋体"/>
                <w:lang w:bidi="en-US"/>
              </w:rPr>
            </w:pPr>
            <w:r>
              <w:rPr>
                <w:rFonts w:ascii="宋体" w:cs="宋体" w:hint="eastAsia"/>
                <w:iCs/>
                <w:sz w:val="24"/>
                <w:lang w:bidi="en-US"/>
              </w:rPr>
              <w:t>是，交付合同金额的5%的履约保函或履约保证金。履约保证金的提交时间、金额、形式及有效期详见合同文本。</w:t>
            </w:r>
            <w:r>
              <w:rPr>
                <w:rFonts w:ascii="宋体" w:cs="宋体" w:hint="eastAsia"/>
                <w:sz w:val="24"/>
              </w:rPr>
              <w:t>项目合同验收通过后，甲方在收到乙方提交的履约保证金退款申请后10个工作日内无息退还。</w:t>
            </w:r>
          </w:p>
        </w:tc>
        <w:tc>
          <w:tcPr>
            <w:tcW w:w="2693" w:type="dxa"/>
            <w:vAlign w:val="center"/>
          </w:tcPr>
          <w:p>
            <w:pPr>
              <w:rPr>
                <w:rFonts w:ascii="宋体" w:cs="宋体"/>
                <w:iCs/>
                <w:lang w:bidi="en-US"/>
              </w:rPr>
            </w:pPr>
            <w:r>
              <w:rPr>
                <w:rFonts w:ascii="宋体" w:cs="宋体" w:hint="eastAsia"/>
                <w:iCs/>
                <w:sz w:val="24"/>
                <w:lang w:bidi="en-US"/>
              </w:rPr>
              <w:t>否</w:t>
            </w:r>
          </w:p>
        </w:tc>
      </w:tr>
      <w:tr>
        <w:tblPrEx>
          <w:tblW w:w="8608" w:type="dxa"/>
          <w:jc w:val="left"/>
          <w:tblInd w:w="-278" w:type="dxa"/>
          <w:tblLayout w:type="fixed"/>
          <w:tblCellMar>
            <w:top w:w="0" w:type="dxa"/>
            <w:left w:w="108" w:type="dxa"/>
            <w:bottom w:w="0" w:type="dxa"/>
            <w:right w:w="108" w:type="dxa"/>
          </w:tblCellMar>
        </w:tblPrEx>
        <w:trPr>
          <w:trHeight w:val="485"/>
          <w:jc w:val="left"/>
        </w:trPr>
        <w:tc>
          <w:tcPr>
            <w:tcW w:w="716" w:type="dxa"/>
            <w:vAlign w:val="center"/>
          </w:tcPr>
          <w:p>
            <w:pPr>
              <w:jc w:val="center"/>
              <w:rPr>
                <w:rFonts w:ascii="宋体"/>
              </w:rPr>
            </w:pPr>
            <w:r>
              <w:rPr>
                <w:rFonts w:ascii="宋体"/>
              </w:rPr>
              <w:t>7</w:t>
            </w:r>
          </w:p>
        </w:tc>
        <w:tc>
          <w:tcPr>
            <w:tcW w:w="1830" w:type="dxa"/>
            <w:vAlign w:val="center"/>
          </w:tcPr>
          <w:p>
            <w:pPr>
              <w:rPr>
                <w:rFonts w:ascii="宋体"/>
                <w:b/>
              </w:rPr>
            </w:pPr>
            <w:r>
              <w:rPr>
                <w:rFonts w:ascii="宋体"/>
                <w:b/>
              </w:rPr>
              <w:t>支付方式</w:t>
            </w:r>
          </w:p>
        </w:tc>
        <w:tc>
          <w:tcPr>
            <w:tcW w:w="3369" w:type="dxa"/>
            <w:vAlign w:val="center"/>
          </w:tcPr>
          <w:p>
            <w:pPr>
              <w:rPr>
                <w:rFonts w:ascii="宋体"/>
                <w:lang w:bidi="en-US"/>
              </w:rPr>
            </w:pPr>
            <w:r>
              <w:rPr>
                <w:rFonts w:ascii="宋体" w:hint="eastAsia"/>
                <w:lang w:bidi="en-US"/>
              </w:rPr>
              <w:t>合同签订</w:t>
            </w:r>
            <w:r>
              <w:rPr>
                <w:rFonts w:ascii="宋体"/>
                <w:lang w:bidi="en-US"/>
              </w:rPr>
              <w:t>10</w:t>
            </w:r>
            <w:r>
              <w:rPr>
                <w:rFonts w:ascii="宋体" w:hint="eastAsia"/>
                <w:lang w:bidi="en-US"/>
              </w:rPr>
              <w:t>个工作日内，甲方向乙方支付合同款项的</w:t>
            </w:r>
            <w:r>
              <w:rPr>
                <w:rFonts w:ascii="宋体"/>
                <w:lang w:bidi="en-US"/>
              </w:rPr>
              <w:t>30%</w:t>
            </w:r>
            <w:r>
              <w:rPr>
                <w:rFonts w:ascii="宋体" w:hint="eastAsia"/>
                <w:lang w:bidi="en-US"/>
              </w:rPr>
              <w:t>；乙方完成系统功能开发，经业务测试通过具备上线条件，且服务器设备到货并安装调试验收通过，甲方向乙方支付合同款项的6</w:t>
            </w:r>
            <w:r>
              <w:rPr>
                <w:rFonts w:ascii="宋体"/>
                <w:lang w:bidi="en-US"/>
              </w:rPr>
              <w:t>0%</w:t>
            </w:r>
            <w:r>
              <w:rPr>
                <w:rFonts w:ascii="宋体" w:hint="eastAsia"/>
                <w:lang w:bidi="en-US"/>
              </w:rPr>
              <w:t>；合同验收通过后，甲方向乙方支付合同款项的1</w:t>
            </w:r>
            <w:r>
              <w:rPr>
                <w:rFonts w:ascii="宋体"/>
                <w:lang w:bidi="en-US"/>
              </w:rPr>
              <w:t>0%</w:t>
            </w:r>
            <w:r>
              <w:rPr>
                <w:rFonts w:ascii="宋体" w:hint="eastAsia"/>
                <w:lang w:bidi="en-US"/>
              </w:rPr>
              <w:t>。</w:t>
            </w:r>
          </w:p>
        </w:tc>
        <w:tc>
          <w:tcPr>
            <w:tcW w:w="2693" w:type="dxa"/>
            <w:vAlign w:val="center"/>
          </w:tcPr>
          <w:p>
            <w:pPr>
              <w:rPr>
                <w:rFonts w:ascii="宋体"/>
                <w:lang w:bidi="en-US"/>
              </w:rPr>
            </w:pPr>
            <w:r>
              <w:rPr>
                <w:rFonts w:ascii="宋体" w:hint="eastAsia"/>
                <w:lang w:bidi="en-US"/>
              </w:rPr>
              <w:t>否</w:t>
            </w:r>
          </w:p>
        </w:tc>
      </w:tr>
    </w:tbl>
    <w:p>
      <w:pPr>
        <w:pStyle w:val="Heading2"/>
        <w:numPr>
          <w:ilvl w:val="0"/>
          <w:numId w:val="2"/>
        </w:numPr>
        <w:rPr>
          <w:rFonts w:ascii="宋体" w:hint="eastAsia"/>
        </w:rPr>
      </w:pPr>
      <w:bookmarkStart w:id="43" w:name="项目概述"/>
      <w:r>
        <w:rPr>
          <w:rFonts w:ascii="宋体" w:hint="eastAsia"/>
        </w:rPr>
        <w:t>项目概述</w:t>
      </w:r>
      <w:bookmarkEnd w:id="43"/>
    </w:p>
    <w:tbl>
      <w:tblPr>
        <w:tblW w:w="8500"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1618"/>
        <w:gridCol w:w="6124"/>
      </w:tblGrid>
      <w:tr>
        <w:tblPrEx>
          <w:tblW w:w="8500"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jc w:val="center"/>
              <w:rPr>
                <w:rFonts w:ascii="宋体"/>
                <w:b/>
              </w:rPr>
            </w:pPr>
            <w:r>
              <w:rPr>
                <w:rFonts w:ascii="宋体" w:hint="eastAsia"/>
                <w:b/>
              </w:rPr>
              <w:t>序号</w:t>
            </w:r>
          </w:p>
        </w:tc>
        <w:tc>
          <w:tcPr>
            <w:tcW w:w="1618" w:type="dxa"/>
            <w:tcBorders>
              <w:top w:val="single" w:sz="4" w:space="0" w:color="auto"/>
              <w:left w:val="single" w:sz="4" w:space="0" w:color="auto"/>
              <w:bottom w:val="single" w:sz="4" w:space="0" w:color="auto"/>
              <w:right w:val="single" w:sz="4" w:space="0" w:color="auto"/>
            </w:tcBorders>
            <w:shd w:val="clear" w:color="A6A6A6" w:fill="A6A6A6"/>
          </w:tcPr>
          <w:p>
            <w:pPr>
              <w:jc w:val="center"/>
              <w:rPr>
                <w:rFonts w:ascii="宋体"/>
                <w:b/>
              </w:rPr>
            </w:pPr>
            <w:r>
              <w:rPr>
                <w:rFonts w:ascii="宋体" w:hint="eastAsia"/>
                <w:b/>
              </w:rPr>
              <w:t>内容</w:t>
            </w:r>
          </w:p>
        </w:tc>
        <w:tc>
          <w:tcPr>
            <w:tcW w:w="6124" w:type="dxa"/>
            <w:tcBorders>
              <w:top w:val="single" w:sz="4" w:space="0" w:color="auto"/>
              <w:left w:val="single" w:sz="4" w:space="0" w:color="auto"/>
              <w:bottom w:val="single" w:sz="4" w:space="0" w:color="auto"/>
              <w:right w:val="single" w:sz="4" w:space="0" w:color="auto"/>
            </w:tcBorders>
            <w:shd w:val="clear" w:color="A6A6A6" w:fill="A6A6A6"/>
          </w:tcPr>
          <w:p>
            <w:pPr>
              <w:jc w:val="center"/>
              <w:rPr>
                <w:rFonts w:ascii="宋体"/>
                <w:b/>
              </w:rPr>
            </w:pPr>
            <w:bookmarkStart w:id="44" w:name="项目概述_Title_说明_Required_Table"/>
            <w:r>
              <w:rPr>
                <w:rFonts w:ascii="宋体" w:hint="eastAsia"/>
                <w:b/>
              </w:rPr>
              <w:t>说明</w:t>
            </w:r>
            <w:bookmarkEnd w:id="44"/>
          </w:p>
        </w:tc>
      </w:tr>
      <w:tr>
        <w:tblPrEx>
          <w:tblW w:w="8500" w:type="dxa"/>
          <w:jc w:val="left"/>
          <w:tblInd w:w="0" w:type="dxa"/>
          <w:tblLayout w:type="fixed"/>
          <w:tblCellMar>
            <w:top w:w="0" w:type="dxa"/>
            <w:left w:w="108" w:type="dxa"/>
            <w:bottom w:w="0" w:type="dxa"/>
            <w:right w:w="108" w:type="dxa"/>
          </w:tblCellMar>
        </w:tblPrEx>
        <w:trPr>
          <w:trHeight w:val="401"/>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hint="eastAsia"/>
                <w:b/>
              </w:rPr>
              <w:t>1</w:t>
            </w:r>
          </w:p>
        </w:tc>
        <w:tc>
          <w:tcPr>
            <w:tcW w:w="1618" w:type="dxa"/>
            <w:tcBorders>
              <w:top w:val="single" w:sz="4" w:space="0" w:color="auto"/>
              <w:left w:val="single" w:sz="4" w:space="0" w:color="auto"/>
              <w:bottom w:val="single" w:sz="4" w:space="0" w:color="auto"/>
              <w:right w:val="single" w:sz="4" w:space="0" w:color="auto"/>
            </w:tcBorders>
            <w:vAlign w:val="center"/>
          </w:tcPr>
          <w:p>
            <w:pPr>
              <w:rPr>
                <w:rFonts w:ascii="宋体"/>
                <w:b/>
              </w:rPr>
            </w:pPr>
            <w:r>
              <w:rPr>
                <w:rFonts w:ascii="宋体" w:hint="eastAsia"/>
                <w:b/>
              </w:rPr>
              <w:t>项目背景</w:t>
            </w:r>
          </w:p>
        </w:tc>
        <w:tc>
          <w:tcPr>
            <w:tcW w:w="6124"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lang w:bidi="en-US"/>
              </w:rPr>
            </w:pPr>
            <w:r>
              <w:rPr>
                <w:rFonts w:ascii="宋体" w:hint="eastAsia"/>
                <w:lang w:bidi="en-US"/>
              </w:rPr>
              <w:t>视频图像应用目前已经成为公安机关科技信息化建设工作中的重要组成部分，在全面提升公安工作整体效能和核心战斗力方面发挥了重要作用。全国缉私部门在打击走私犯罪的过程中，迫切需要利用视频图像应用开展执法办案、信息研判等工作，对人、车等对象要素开展信息采集、汇聚、治理、分析和应用，对各类视频图像资源进行管理、分析，为缉私部门打击走私犯罪提供智能化的研判手段，进一步提升智慧缉私建设水平。</w:t>
            </w:r>
          </w:p>
        </w:tc>
      </w:tr>
      <w:tr>
        <w:tblPrEx>
          <w:tblW w:w="8500" w:type="dxa"/>
          <w:jc w:val="left"/>
          <w:tblInd w:w="0" w:type="dxa"/>
          <w:tblLayout w:type="fixed"/>
          <w:tblCellMar>
            <w:top w:w="0" w:type="dxa"/>
            <w:left w:w="108" w:type="dxa"/>
            <w:bottom w:w="0" w:type="dxa"/>
            <w:right w:w="108" w:type="dxa"/>
          </w:tblCellMar>
        </w:tblPrEx>
        <w:trPr>
          <w:trHeight w:val="9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hint="eastAsia"/>
                <w:b/>
              </w:rPr>
              <w:t>2</w:t>
            </w:r>
          </w:p>
        </w:tc>
        <w:tc>
          <w:tcPr>
            <w:tcW w:w="1618" w:type="dxa"/>
            <w:tcBorders>
              <w:top w:val="single" w:sz="4" w:space="0" w:color="auto"/>
              <w:left w:val="single" w:sz="4" w:space="0" w:color="auto"/>
              <w:bottom w:val="single" w:sz="4" w:space="0" w:color="auto"/>
              <w:right w:val="single" w:sz="4" w:space="0" w:color="auto"/>
            </w:tcBorders>
            <w:vAlign w:val="center"/>
          </w:tcPr>
          <w:p>
            <w:pPr>
              <w:rPr>
                <w:rFonts w:ascii="宋体"/>
                <w:b/>
              </w:rPr>
            </w:pPr>
            <w:r>
              <w:rPr>
                <w:rFonts w:ascii="宋体" w:hint="eastAsia"/>
                <w:b/>
              </w:rPr>
              <w:t>执行依据</w:t>
            </w:r>
          </w:p>
        </w:tc>
        <w:tc>
          <w:tcPr>
            <w:tcW w:w="6124"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lang w:bidi="en-US"/>
              </w:rPr>
            </w:pPr>
            <w:r>
              <w:rPr>
                <w:rFonts w:ascii="宋体" w:hint="eastAsia"/>
                <w:lang w:bidi="en-US"/>
              </w:rPr>
              <w:t>《关于规范推进公安视频图像智能化应用建设的通知》（公科信〔</w:t>
            </w:r>
            <w:r>
              <w:rPr>
                <w:rFonts w:ascii="宋体"/>
                <w:lang w:bidi="en-US"/>
              </w:rPr>
              <w:t>2019</w:t>
            </w:r>
            <w:r>
              <w:rPr>
                <w:rFonts w:ascii="宋体" w:hint="eastAsia"/>
                <w:lang w:bidi="en-US"/>
              </w:rPr>
              <w:t>〕</w:t>
            </w:r>
            <w:r>
              <w:rPr>
                <w:rFonts w:ascii="宋体"/>
                <w:lang w:bidi="en-US"/>
              </w:rPr>
              <w:t>36</w:t>
            </w:r>
            <w:r>
              <w:rPr>
                <w:rFonts w:ascii="宋体" w:hint="eastAsia"/>
                <w:lang w:bidi="en-US"/>
              </w:rPr>
              <w:t>号）</w:t>
            </w:r>
          </w:p>
          <w:p>
            <w:pPr>
              <w:ind w:firstLine="420" w:firstLineChars="200"/>
              <w:rPr>
                <w:rFonts w:ascii="宋体"/>
                <w:lang w:bidi="en-US"/>
              </w:rPr>
            </w:pPr>
            <w:r>
              <w:rPr>
                <w:rFonts w:ascii="宋体" w:hint="eastAsia"/>
                <w:lang w:bidi="en-US"/>
              </w:rPr>
              <w:t>《公安视频图像智能化建设应用指南》（公科信〔</w:t>
            </w:r>
            <w:r>
              <w:rPr>
                <w:rFonts w:ascii="宋体"/>
                <w:lang w:bidi="en-US"/>
              </w:rPr>
              <w:t>2020</w:t>
            </w:r>
            <w:r>
              <w:rPr>
                <w:rFonts w:ascii="宋体" w:hint="eastAsia"/>
                <w:lang w:bidi="en-US"/>
              </w:rPr>
              <w:t>〕</w:t>
            </w:r>
            <w:r>
              <w:rPr>
                <w:rFonts w:ascii="宋体"/>
                <w:lang w:bidi="en-US"/>
              </w:rPr>
              <w:t>48</w:t>
            </w:r>
            <w:r>
              <w:rPr>
                <w:rFonts w:ascii="宋体" w:hint="eastAsia"/>
                <w:lang w:bidi="en-US"/>
              </w:rPr>
              <w:t>号）</w:t>
            </w:r>
          </w:p>
          <w:p>
            <w:pPr>
              <w:ind w:firstLine="420" w:firstLineChars="200"/>
              <w:rPr>
                <w:rFonts w:ascii="宋体"/>
                <w:lang w:bidi="en-US"/>
              </w:rPr>
            </w:pPr>
            <w:r>
              <w:rPr>
                <w:rFonts w:ascii="宋体" w:hint="eastAsia"/>
                <w:lang w:bidi="en-US"/>
              </w:rPr>
              <w:t>《公共安全视频监控联网系统信息传输、交换、控制技术要求》（</w:t>
            </w:r>
            <w:r>
              <w:rPr>
                <w:rFonts w:ascii="宋体"/>
                <w:lang w:bidi="en-US"/>
              </w:rPr>
              <w:t>GB/T</w:t>
            </w:r>
            <w:r>
              <w:rPr>
                <w:rFonts w:ascii="宋体" w:hint="eastAsia"/>
                <w:lang w:bidi="en-US"/>
              </w:rPr>
              <w:t xml:space="preserve"> </w:t>
            </w:r>
            <w:r>
              <w:rPr>
                <w:rFonts w:ascii="宋体"/>
                <w:lang w:bidi="en-US"/>
              </w:rPr>
              <w:t>28181-20</w:t>
            </w:r>
            <w:r>
              <w:rPr>
                <w:rFonts w:ascii="宋体" w:hint="eastAsia"/>
                <w:lang w:bidi="en-US"/>
              </w:rPr>
              <w:t>22）</w:t>
            </w:r>
          </w:p>
          <w:p>
            <w:pPr>
              <w:ind w:firstLine="420" w:firstLineChars="200"/>
              <w:rPr>
                <w:rFonts w:ascii="宋体"/>
                <w:lang w:bidi="en-US"/>
              </w:rPr>
            </w:pPr>
            <w:r>
              <w:rPr>
                <w:rFonts w:ascii="宋体" w:hint="eastAsia"/>
                <w:lang w:bidi="en-US"/>
              </w:rPr>
              <w:t>《公安视频图像信息应用系统</w:t>
            </w:r>
            <w:r>
              <w:rPr>
                <w:rFonts w:ascii="宋体"/>
                <w:lang w:bidi="en-US"/>
              </w:rPr>
              <w:t xml:space="preserve"> </w:t>
            </w:r>
            <w:r>
              <w:rPr>
                <w:rFonts w:ascii="宋体" w:hint="eastAsia"/>
                <w:lang w:bidi="en-US"/>
              </w:rPr>
              <w:t>第</w:t>
            </w:r>
            <w:r>
              <w:rPr>
                <w:rFonts w:ascii="宋体"/>
                <w:lang w:bidi="en-US"/>
              </w:rPr>
              <w:t>1</w:t>
            </w:r>
            <w:r>
              <w:rPr>
                <w:rFonts w:ascii="宋体" w:hint="eastAsia"/>
                <w:lang w:bidi="en-US"/>
              </w:rPr>
              <w:t>部分：通用技术要求》（</w:t>
            </w:r>
            <w:r>
              <w:rPr>
                <w:rFonts w:ascii="宋体"/>
                <w:lang w:bidi="en-US"/>
              </w:rPr>
              <w:t>GA/T 1400.1-2017</w:t>
            </w:r>
            <w:r>
              <w:rPr>
                <w:rFonts w:ascii="宋体" w:hint="eastAsia"/>
                <w:lang w:bidi="en-US"/>
              </w:rPr>
              <w:t>）</w:t>
            </w:r>
          </w:p>
          <w:p>
            <w:pPr>
              <w:ind w:firstLine="420" w:firstLineChars="200"/>
              <w:rPr>
                <w:rFonts w:ascii="宋体"/>
                <w:lang w:bidi="en-US"/>
              </w:rPr>
            </w:pPr>
            <w:r>
              <w:rPr>
                <w:rFonts w:ascii="宋体" w:hint="eastAsia"/>
                <w:lang w:bidi="en-US"/>
              </w:rPr>
              <w:t>《公安视频图像信息应用系统</w:t>
            </w:r>
            <w:r>
              <w:rPr>
                <w:rFonts w:ascii="宋体"/>
                <w:lang w:bidi="en-US"/>
              </w:rPr>
              <w:t xml:space="preserve"> </w:t>
            </w:r>
            <w:r>
              <w:rPr>
                <w:rFonts w:ascii="宋体" w:hint="eastAsia"/>
                <w:lang w:bidi="en-US"/>
              </w:rPr>
              <w:t>第</w:t>
            </w:r>
            <w:r>
              <w:rPr>
                <w:rFonts w:ascii="宋体"/>
                <w:lang w:bidi="en-US"/>
              </w:rPr>
              <w:t>2</w:t>
            </w:r>
            <w:r>
              <w:rPr>
                <w:rFonts w:ascii="宋体" w:hint="eastAsia"/>
                <w:lang w:bidi="en-US"/>
              </w:rPr>
              <w:t>部分：应用平台技术要求》（</w:t>
            </w:r>
            <w:r>
              <w:rPr>
                <w:rFonts w:ascii="宋体"/>
                <w:lang w:bidi="en-US"/>
              </w:rPr>
              <w:t xml:space="preserve">GA/T 1400.2-2017 </w:t>
            </w:r>
            <w:r>
              <w:rPr>
                <w:rFonts w:ascii="宋体" w:hint="eastAsia"/>
                <w:lang w:bidi="en-US"/>
              </w:rPr>
              <w:t>）</w:t>
            </w:r>
          </w:p>
          <w:p>
            <w:pPr>
              <w:ind w:firstLine="420" w:firstLineChars="200"/>
              <w:rPr>
                <w:rFonts w:ascii="宋体"/>
                <w:lang w:bidi="en-US"/>
              </w:rPr>
            </w:pPr>
            <w:r>
              <w:rPr>
                <w:rFonts w:ascii="宋体" w:hint="eastAsia"/>
                <w:lang w:bidi="en-US"/>
              </w:rPr>
              <w:t>《公安视频图像信息应用系统</w:t>
            </w:r>
            <w:r>
              <w:rPr>
                <w:rFonts w:ascii="宋体"/>
                <w:lang w:bidi="en-US"/>
              </w:rPr>
              <w:t xml:space="preserve"> </w:t>
            </w:r>
            <w:r>
              <w:rPr>
                <w:rFonts w:ascii="宋体" w:hint="eastAsia"/>
                <w:lang w:bidi="en-US"/>
              </w:rPr>
              <w:t>第</w:t>
            </w:r>
            <w:r>
              <w:rPr>
                <w:rFonts w:ascii="宋体"/>
                <w:lang w:bidi="en-US"/>
              </w:rPr>
              <w:t>3</w:t>
            </w:r>
            <w:r>
              <w:rPr>
                <w:rFonts w:ascii="宋体" w:hint="eastAsia"/>
                <w:lang w:bidi="en-US"/>
              </w:rPr>
              <w:t>部分：数据库技术要求》（</w:t>
            </w:r>
            <w:r>
              <w:rPr>
                <w:rFonts w:ascii="宋体"/>
                <w:lang w:bidi="en-US"/>
              </w:rPr>
              <w:t>GA/T 1400.3-2017</w:t>
            </w:r>
            <w:r>
              <w:rPr>
                <w:rFonts w:ascii="宋体" w:hint="eastAsia"/>
                <w:lang w:bidi="en-US"/>
              </w:rPr>
              <w:t>）</w:t>
            </w:r>
          </w:p>
          <w:p>
            <w:pPr>
              <w:ind w:firstLine="420" w:firstLineChars="200"/>
              <w:rPr>
                <w:rFonts w:ascii="宋体"/>
                <w:lang w:bidi="en-US"/>
              </w:rPr>
            </w:pPr>
            <w:r>
              <w:rPr>
                <w:rFonts w:ascii="宋体" w:hint="eastAsia"/>
                <w:lang w:bidi="en-US"/>
              </w:rPr>
              <w:t>《公安视频图像信息应用系统</w:t>
            </w:r>
            <w:r>
              <w:rPr>
                <w:rFonts w:ascii="宋体"/>
                <w:lang w:bidi="en-US"/>
              </w:rPr>
              <w:t xml:space="preserve"> </w:t>
            </w:r>
            <w:r>
              <w:rPr>
                <w:rFonts w:ascii="宋体" w:hint="eastAsia"/>
                <w:lang w:bidi="en-US"/>
              </w:rPr>
              <w:t>第</w:t>
            </w:r>
            <w:r>
              <w:rPr>
                <w:rFonts w:ascii="宋体"/>
                <w:lang w:bidi="en-US"/>
              </w:rPr>
              <w:t>4</w:t>
            </w:r>
            <w:r>
              <w:rPr>
                <w:rFonts w:ascii="宋体" w:hint="eastAsia"/>
                <w:lang w:bidi="en-US"/>
              </w:rPr>
              <w:t>部分</w:t>
            </w:r>
            <w:r>
              <w:rPr>
                <w:rFonts w:ascii="宋体"/>
                <w:lang w:bidi="en-US"/>
              </w:rPr>
              <w:t xml:space="preserve"> </w:t>
            </w:r>
            <w:r>
              <w:rPr>
                <w:rFonts w:ascii="宋体" w:hint="eastAsia"/>
                <w:lang w:bidi="en-US"/>
              </w:rPr>
              <w:t>接口协议要求》（</w:t>
            </w:r>
            <w:r>
              <w:rPr>
                <w:rFonts w:ascii="宋体"/>
                <w:lang w:bidi="en-US"/>
              </w:rPr>
              <w:t>GA/T 1400.4-2017</w:t>
            </w:r>
            <w:r>
              <w:rPr>
                <w:rFonts w:ascii="宋体" w:hint="eastAsia"/>
                <w:lang w:bidi="en-US"/>
              </w:rPr>
              <w:t>）</w:t>
            </w:r>
          </w:p>
          <w:p>
            <w:pPr>
              <w:ind w:firstLine="420" w:firstLineChars="200"/>
              <w:rPr>
                <w:rFonts w:ascii="宋体"/>
                <w:lang w:bidi="en-US"/>
              </w:rPr>
            </w:pPr>
            <w:r>
              <w:rPr>
                <w:rFonts w:ascii="宋体" w:hint="eastAsia"/>
                <w:lang w:bidi="en-US"/>
              </w:rPr>
              <w:t>《公安视频图像分析系统</w:t>
            </w:r>
            <w:r>
              <w:rPr>
                <w:rFonts w:ascii="宋体"/>
                <w:lang w:bidi="en-US"/>
              </w:rPr>
              <w:t xml:space="preserve"> </w:t>
            </w:r>
            <w:r>
              <w:rPr>
                <w:rFonts w:ascii="宋体" w:hint="eastAsia"/>
                <w:lang w:bidi="en-US"/>
              </w:rPr>
              <w:t>第</w:t>
            </w:r>
            <w:r>
              <w:rPr>
                <w:rFonts w:ascii="宋体"/>
                <w:lang w:bidi="en-US"/>
              </w:rPr>
              <w:t>1</w:t>
            </w:r>
            <w:r>
              <w:rPr>
                <w:rFonts w:ascii="宋体" w:hint="eastAsia"/>
                <w:lang w:bidi="en-US"/>
              </w:rPr>
              <w:t>部分：通用技术要求》（</w:t>
            </w:r>
            <w:r>
              <w:rPr>
                <w:rFonts w:ascii="宋体"/>
                <w:lang w:bidi="en-US"/>
              </w:rPr>
              <w:t>GA/T 1399</w:t>
            </w:r>
            <w:r>
              <w:rPr>
                <w:rFonts w:ascii="宋体" w:hint="eastAsia"/>
                <w:lang w:bidi="en-US"/>
              </w:rPr>
              <w:t>.1-2017）</w:t>
            </w:r>
          </w:p>
          <w:p>
            <w:pPr>
              <w:ind w:firstLine="420" w:firstLineChars="200"/>
              <w:rPr>
                <w:rFonts w:ascii="宋体"/>
                <w:lang w:bidi="en-US"/>
              </w:rPr>
            </w:pPr>
            <w:r>
              <w:rPr>
                <w:rFonts w:ascii="宋体" w:hint="eastAsia"/>
                <w:lang w:bidi="en-US"/>
              </w:rPr>
              <w:t>《公安视频图像分析系统</w:t>
            </w:r>
            <w:r>
              <w:rPr>
                <w:rFonts w:ascii="宋体"/>
                <w:lang w:bidi="en-US"/>
              </w:rPr>
              <w:t xml:space="preserve"> </w:t>
            </w:r>
            <w:r>
              <w:rPr>
                <w:rFonts w:ascii="宋体" w:hint="eastAsia"/>
                <w:lang w:bidi="en-US"/>
              </w:rPr>
              <w:t>第</w:t>
            </w:r>
            <w:r>
              <w:rPr>
                <w:rFonts w:ascii="宋体"/>
                <w:lang w:bidi="en-US"/>
              </w:rPr>
              <w:t>2</w:t>
            </w:r>
            <w:r>
              <w:rPr>
                <w:rFonts w:ascii="宋体" w:hint="eastAsia"/>
                <w:lang w:bidi="en-US"/>
              </w:rPr>
              <w:t>部分：视频图像内容分析及描述技术要求》（</w:t>
            </w:r>
            <w:r>
              <w:rPr>
                <w:rFonts w:ascii="宋体"/>
                <w:lang w:bidi="en-US"/>
              </w:rPr>
              <w:t>GA</w:t>
            </w:r>
            <w:r>
              <w:rPr>
                <w:rFonts w:ascii="宋体" w:hint="eastAsia"/>
                <w:lang w:bidi="en-US"/>
              </w:rPr>
              <w:t>／</w:t>
            </w:r>
            <w:r>
              <w:rPr>
                <w:rFonts w:ascii="宋体"/>
                <w:lang w:bidi="en-US"/>
              </w:rPr>
              <w:t>T 1399.2-2017</w:t>
            </w:r>
            <w:r>
              <w:rPr>
                <w:rFonts w:ascii="宋体" w:hint="eastAsia"/>
                <w:lang w:bidi="en-US"/>
              </w:rPr>
              <w:t>）</w:t>
            </w:r>
          </w:p>
        </w:tc>
      </w:tr>
      <w:tr>
        <w:tblPrEx>
          <w:tblW w:w="8500"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hint="eastAsia"/>
                <w:b/>
              </w:rPr>
              <w:t>3</w:t>
            </w:r>
          </w:p>
        </w:tc>
        <w:tc>
          <w:tcPr>
            <w:tcW w:w="1618" w:type="dxa"/>
            <w:tcBorders>
              <w:top w:val="single" w:sz="4" w:space="0" w:color="auto"/>
              <w:left w:val="single" w:sz="4" w:space="0" w:color="auto"/>
              <w:bottom w:val="single" w:sz="4" w:space="0" w:color="auto"/>
              <w:right w:val="single" w:sz="4" w:space="0" w:color="auto"/>
            </w:tcBorders>
            <w:vAlign w:val="center"/>
          </w:tcPr>
          <w:p>
            <w:pPr>
              <w:rPr>
                <w:rFonts w:ascii="宋体"/>
                <w:b/>
              </w:rPr>
            </w:pPr>
            <w:r>
              <w:rPr>
                <w:rFonts w:ascii="宋体" w:hint="eastAsia"/>
                <w:b/>
              </w:rPr>
              <w:t>项目内容</w:t>
            </w:r>
          </w:p>
        </w:tc>
        <w:tc>
          <w:tcPr>
            <w:tcW w:w="6124"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lang w:bidi="en-US"/>
              </w:rPr>
            </w:pPr>
            <w:r>
              <w:rPr>
                <w:rFonts w:ascii="宋体" w:hint="eastAsia"/>
              </w:rPr>
              <w:t>缉私视频图像综合应用</w:t>
            </w:r>
            <w:r>
              <w:rPr>
                <w:rFonts w:hint="eastAsia"/>
              </w:rPr>
              <w:t>平台</w:t>
            </w:r>
            <w:r>
              <w:rPr>
                <w:rFonts w:ascii="宋体" w:hint="eastAsia"/>
                <w:lang w:bidi="en-US"/>
              </w:rPr>
              <w:t>核心功能包括视频图像联网共享、视频图像融合接入、视频图像汇聚、视频图像解析、视频图像信息数据库、视频图像应用、软硬件部署和适配等内容。</w:t>
            </w:r>
          </w:p>
        </w:tc>
      </w:tr>
      <w:tr>
        <w:tblPrEx>
          <w:tblW w:w="8500" w:type="dxa"/>
          <w:jc w:val="left"/>
          <w:tblInd w:w="0" w:type="dxa"/>
          <w:tblLayout w:type="fixed"/>
          <w:tblCellMar>
            <w:top w:w="0" w:type="dxa"/>
            <w:left w:w="108" w:type="dxa"/>
            <w:bottom w:w="0" w:type="dxa"/>
            <w:right w:w="108" w:type="dxa"/>
          </w:tblCellMar>
        </w:tblPrEx>
        <w:trPr>
          <w:trHeight w:val="712"/>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hint="eastAsia"/>
              </w:rPr>
              <w:t>4</w:t>
            </w:r>
          </w:p>
        </w:tc>
        <w:tc>
          <w:tcPr>
            <w:tcW w:w="1618" w:type="dxa"/>
            <w:tcBorders>
              <w:top w:val="single" w:sz="4" w:space="0" w:color="auto"/>
              <w:left w:val="single" w:sz="4" w:space="0" w:color="auto"/>
              <w:bottom w:val="single" w:sz="4" w:space="0" w:color="auto"/>
              <w:right w:val="single" w:sz="4" w:space="0" w:color="auto"/>
            </w:tcBorders>
            <w:vAlign w:val="center"/>
          </w:tcPr>
          <w:p>
            <w:pPr>
              <w:rPr>
                <w:rFonts w:ascii="宋体"/>
                <w:b/>
              </w:rPr>
            </w:pPr>
            <w:r>
              <w:rPr>
                <w:rFonts w:ascii="宋体" w:hint="eastAsia"/>
                <w:b/>
              </w:rPr>
              <w:t>项目范围</w:t>
            </w:r>
          </w:p>
        </w:tc>
        <w:tc>
          <w:tcPr>
            <w:tcW w:w="6124"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lang w:bidi="en-US"/>
              </w:rPr>
            </w:pPr>
            <w:r>
              <w:rPr>
                <w:rFonts w:ascii="宋体" w:hint="eastAsia"/>
                <w:lang w:bidi="en-US"/>
              </w:rPr>
              <w:t>项目应用范围为全国缉私部门。</w:t>
            </w:r>
          </w:p>
        </w:tc>
      </w:tr>
      <w:tr>
        <w:tblPrEx>
          <w:tblW w:w="8500"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hint="eastAsia"/>
              </w:rPr>
              <w:t>5</w:t>
            </w:r>
          </w:p>
        </w:tc>
        <w:tc>
          <w:tcPr>
            <w:tcW w:w="1618" w:type="dxa"/>
            <w:tcBorders>
              <w:top w:val="single" w:sz="4" w:space="0" w:color="auto"/>
              <w:left w:val="single" w:sz="4" w:space="0" w:color="auto"/>
              <w:bottom w:val="single" w:sz="4" w:space="0" w:color="auto"/>
              <w:right w:val="single" w:sz="4" w:space="0" w:color="auto"/>
            </w:tcBorders>
            <w:vAlign w:val="center"/>
          </w:tcPr>
          <w:p>
            <w:pPr>
              <w:rPr>
                <w:rFonts w:ascii="宋体"/>
                <w:b/>
              </w:rPr>
            </w:pPr>
            <w:r>
              <w:rPr>
                <w:rFonts w:ascii="宋体" w:hint="eastAsia"/>
                <w:b/>
              </w:rPr>
              <w:t>需求分析</w:t>
            </w:r>
          </w:p>
        </w:tc>
        <w:tc>
          <w:tcPr>
            <w:tcW w:w="6124" w:type="dxa"/>
            <w:tcBorders>
              <w:top w:val="single" w:sz="4" w:space="0" w:color="auto"/>
              <w:left w:val="single" w:sz="4" w:space="0" w:color="auto"/>
              <w:bottom w:val="single" w:sz="4" w:space="0" w:color="auto"/>
              <w:right w:val="single" w:sz="4" w:space="0" w:color="auto"/>
            </w:tcBorders>
            <w:vAlign w:val="center"/>
          </w:tcPr>
          <w:p>
            <w:pPr>
              <w:rPr>
                <w:rFonts w:ascii="宋体"/>
                <w:lang w:bidi="en-US"/>
              </w:rPr>
            </w:pPr>
            <w:r>
              <w:rPr>
                <w:rFonts w:ascii="宋体" w:hint="eastAsia"/>
                <w:lang w:bidi="en-US"/>
              </w:rPr>
              <w:t>（1）实现缉私物联感知设备的接入与管理，实现与其他视频图像监控平台之间的级联或互联，对各类视频图像资源实施管理。</w:t>
            </w:r>
          </w:p>
          <w:p>
            <w:pPr>
              <w:rPr>
                <w:rFonts w:ascii="宋体"/>
                <w:lang w:bidi="en-US"/>
              </w:rPr>
            </w:pPr>
            <w:r>
              <w:rPr>
                <w:rFonts w:ascii="宋体" w:hint="eastAsia"/>
                <w:lang w:bidi="en-US"/>
              </w:rPr>
              <w:t>（</w:t>
            </w:r>
            <w:r>
              <w:rPr>
                <w:rFonts w:ascii="宋体"/>
                <w:lang w:bidi="en-US"/>
              </w:rPr>
              <w:t>2</w:t>
            </w:r>
            <w:r>
              <w:rPr>
                <w:rFonts w:ascii="宋体" w:hint="eastAsia"/>
                <w:lang w:bidi="en-US"/>
              </w:rPr>
              <w:t>）实现对各类视频图像资源的汇聚，面向缉私部门用户提供视频分发、分组调阅、图上调阅、视频片段管理等基础支撑服务。</w:t>
            </w:r>
          </w:p>
          <w:p>
            <w:pPr>
              <w:rPr>
                <w:rFonts w:ascii="宋体"/>
                <w:lang w:bidi="en-US"/>
              </w:rPr>
            </w:pPr>
            <w:r>
              <w:rPr>
                <w:rFonts w:ascii="宋体" w:hint="eastAsia"/>
                <w:lang w:bidi="en-US"/>
              </w:rPr>
              <w:t>（</w:t>
            </w:r>
            <w:r>
              <w:rPr>
                <w:rFonts w:ascii="宋体"/>
                <w:lang w:bidi="en-US"/>
              </w:rPr>
              <w:t>3</w:t>
            </w:r>
            <w:r>
              <w:rPr>
                <w:rFonts w:ascii="宋体" w:hint="eastAsia"/>
                <w:lang w:bidi="en-US"/>
              </w:rPr>
              <w:t>）提供基于图像的人像识别、车辆识别和视频的结构化等服务，将非结构化的图片和视频解析成结构化数据。</w:t>
            </w:r>
          </w:p>
          <w:p>
            <w:pPr>
              <w:rPr>
                <w:rFonts w:ascii="宋体"/>
                <w:lang w:bidi="en-US"/>
              </w:rPr>
            </w:pPr>
            <w:r>
              <w:rPr>
                <w:rFonts w:ascii="宋体" w:hint="eastAsia"/>
                <w:lang w:bidi="en-US"/>
              </w:rPr>
              <w:t>（4）对各类视频、图像、特征值、解析结果等结构化、半结构化、非结构化数据进行治理、处理，形成基础资源库、主题资源库等，提供数据存储服务和数据应用服务。</w:t>
            </w:r>
          </w:p>
          <w:p>
            <w:pPr>
              <w:rPr>
                <w:rFonts w:ascii="宋体"/>
                <w:lang w:bidi="en-US"/>
              </w:rPr>
            </w:pPr>
            <w:r>
              <w:rPr>
                <w:rFonts w:ascii="宋体" w:hint="eastAsia"/>
                <w:lang w:bidi="en-US"/>
              </w:rPr>
              <w:t>（5）建设视频图像智能化应用，实现</w:t>
            </w:r>
            <w:r>
              <w:rPr>
                <w:rFonts w:ascii="宋体" w:cs="宋体" w:hint="eastAsia"/>
                <w:color w:val="000000"/>
              </w:rPr>
              <w:t>视频调阅、</w:t>
            </w:r>
            <w:r>
              <w:rPr>
                <w:rFonts w:ascii="宋体" w:hint="eastAsia"/>
                <w:lang w:bidi="en-US"/>
              </w:rPr>
              <w:t>智能检索、</w:t>
            </w:r>
            <w:r>
              <w:rPr>
                <w:rFonts w:ascii="宋体" w:cs="宋体" w:hint="eastAsia"/>
                <w:color w:val="000000"/>
              </w:rPr>
              <w:t>布控告警、</w:t>
            </w:r>
            <w:r>
              <w:rPr>
                <w:rFonts w:ascii="宋体" w:hint="eastAsia"/>
                <w:lang w:bidi="en-US"/>
              </w:rPr>
              <w:t>人车技战法应用、</w:t>
            </w:r>
            <w:r>
              <w:rPr>
                <w:rFonts w:ascii="宋体" w:cs="宋体" w:hint="eastAsia"/>
                <w:color w:val="000000"/>
              </w:rPr>
              <w:t>缉私线索管理、</w:t>
            </w:r>
            <w:r>
              <w:rPr>
                <w:rFonts w:ascii="宋体" w:hint="eastAsia"/>
                <w:lang w:bidi="en-US"/>
              </w:rPr>
              <w:t>涉案数据管理</w:t>
            </w:r>
            <w:r>
              <w:rPr>
                <w:rFonts w:ascii="宋体" w:cs="宋体" w:hint="eastAsia"/>
                <w:color w:val="000000"/>
              </w:rPr>
              <w:t>等功能。</w:t>
            </w:r>
          </w:p>
        </w:tc>
      </w:tr>
      <w:tr>
        <w:tblPrEx>
          <w:tblW w:w="8500" w:type="dxa"/>
          <w:jc w:val="left"/>
          <w:tblInd w:w="0" w:type="dxa"/>
          <w:tblLayout w:type="fixed"/>
          <w:tblCellMar>
            <w:top w:w="0" w:type="dxa"/>
            <w:left w:w="108" w:type="dxa"/>
            <w:bottom w:w="0" w:type="dxa"/>
            <w:right w:w="108" w:type="dxa"/>
          </w:tblCellMar>
        </w:tblPrEx>
        <w:trPr>
          <w:trHeight w:val="1158"/>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hint="eastAsia"/>
              </w:rPr>
              <w:t>6</w:t>
            </w:r>
          </w:p>
        </w:tc>
        <w:tc>
          <w:tcPr>
            <w:tcW w:w="1618" w:type="dxa"/>
            <w:tcBorders>
              <w:top w:val="single" w:sz="4" w:space="0" w:color="auto"/>
              <w:left w:val="single" w:sz="4" w:space="0" w:color="auto"/>
              <w:bottom w:val="single" w:sz="4" w:space="0" w:color="auto"/>
              <w:right w:val="single" w:sz="4" w:space="0" w:color="auto"/>
            </w:tcBorders>
            <w:vAlign w:val="center"/>
          </w:tcPr>
          <w:p>
            <w:pPr>
              <w:rPr>
                <w:rFonts w:ascii="宋体"/>
                <w:b/>
              </w:rPr>
            </w:pPr>
            <w:r>
              <w:rPr>
                <w:rFonts w:ascii="宋体" w:hint="eastAsia"/>
                <w:b/>
              </w:rPr>
              <w:t>与前期项目的关系</w:t>
            </w:r>
          </w:p>
        </w:tc>
        <w:tc>
          <w:tcPr>
            <w:tcW w:w="6124"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lang w:bidi="en-US"/>
              </w:rPr>
            </w:pPr>
            <w:r>
              <w:rPr>
                <w:rFonts w:ascii="宋体" w:hint="eastAsia"/>
                <w:lang w:bidi="en-US"/>
              </w:rPr>
              <w:t>无，本项目为新建系统。</w:t>
            </w:r>
          </w:p>
        </w:tc>
      </w:tr>
      <w:tr>
        <w:tblPrEx>
          <w:tblW w:w="8500" w:type="dxa"/>
          <w:jc w:val="left"/>
          <w:tblInd w:w="0" w:type="dxa"/>
          <w:tblLayout w:type="fixed"/>
          <w:tblCellMar>
            <w:top w:w="0" w:type="dxa"/>
            <w:left w:w="108" w:type="dxa"/>
            <w:bottom w:w="0" w:type="dxa"/>
            <w:right w:w="108" w:type="dxa"/>
          </w:tblCellMar>
        </w:tblPrEx>
        <w:trPr>
          <w:trHeight w:val="488"/>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3"/>
              <w:spacing w:line="240" w:lineRule="auto"/>
              <w:ind w:firstLine="0"/>
              <w:jc w:val="center"/>
              <w:rPr>
                <w:rFonts w:ascii="宋体" w:eastAsia="宋体"/>
              </w:rPr>
            </w:pPr>
            <w:r>
              <w:rPr>
                <w:rFonts w:ascii="宋体" w:eastAsia="宋体" w:hint="eastAsia"/>
              </w:rPr>
              <w:t>7</w:t>
            </w:r>
          </w:p>
        </w:tc>
        <w:tc>
          <w:tcPr>
            <w:tcW w:w="1618" w:type="dxa"/>
            <w:tcBorders>
              <w:top w:val="single" w:sz="4" w:space="0" w:color="auto"/>
              <w:left w:val="single" w:sz="4" w:space="0" w:color="auto"/>
              <w:bottom w:val="single" w:sz="4" w:space="0" w:color="auto"/>
              <w:right w:val="single" w:sz="4" w:space="0" w:color="auto"/>
            </w:tcBorders>
            <w:vAlign w:val="center"/>
          </w:tcPr>
          <w:p>
            <w:pPr>
              <w:pStyle w:val="343"/>
              <w:spacing w:line="240" w:lineRule="auto"/>
              <w:ind w:firstLine="0"/>
              <w:rPr>
                <w:rFonts w:ascii="宋体" w:eastAsia="宋体"/>
                <w:b/>
              </w:rPr>
            </w:pPr>
            <w:r>
              <w:rPr>
                <w:rFonts w:ascii="等线" w:eastAsia="等线" w:cs="宋体" w:hint="eastAsia"/>
              </w:rPr>
              <w:t>★</w:t>
            </w:r>
            <w:r>
              <w:rPr>
                <w:rFonts w:ascii="宋体" w:eastAsia="宋体" w:hint="eastAsia"/>
                <w:b/>
              </w:rPr>
              <w:t>项目履约时间</w:t>
            </w:r>
          </w:p>
        </w:tc>
        <w:tc>
          <w:tcPr>
            <w:tcW w:w="6124"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lang w:bidi="en-US"/>
              </w:rPr>
            </w:pPr>
            <w:r>
              <w:rPr>
                <w:rFonts w:ascii="宋体" w:hint="eastAsia"/>
                <w:lang w:bidi="en-US"/>
              </w:rPr>
              <w:t>项目履约时间为合同签订后6个月内完成上线试运行。合同验收完成后，针对本项目所开发的软件系统提供不少于3年的免费维护升级服务，对本项目所提供的服务器设备提供不少于5年免费维保服务。投标人提供承诺函并加盖投标人公章。</w:t>
            </w:r>
          </w:p>
        </w:tc>
      </w:tr>
    </w:tbl>
    <w:p>
      <w:pPr>
        <w:rPr>
          <w:rFonts w:ascii="宋体"/>
        </w:rPr>
      </w:pPr>
    </w:p>
    <w:p>
      <w:pPr>
        <w:pStyle w:val="Heading2"/>
        <w:numPr>
          <w:ilvl w:val="0"/>
          <w:numId w:val="2"/>
        </w:numPr>
        <w:rPr>
          <w:rFonts w:ascii="宋体" w:hint="eastAsia"/>
        </w:rPr>
      </w:pPr>
      <w:bookmarkStart w:id="45" w:name="集成需求"/>
      <w:r>
        <w:rPr>
          <w:rFonts w:ascii="宋体" w:hint="eastAsia"/>
        </w:rPr>
        <w:t>集成需求</w:t>
      </w:r>
      <w:bookmarkEnd w:id="45"/>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7"/>
        <w:gridCol w:w="1276"/>
        <w:gridCol w:w="5386"/>
        <w:gridCol w:w="1043"/>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17" w:type="dxa"/>
            <w:shd w:val="clear" w:color="A6A6A6" w:fill="A6A6A6"/>
            <w:vAlign w:val="center"/>
          </w:tcPr>
          <w:p>
            <w:pPr>
              <w:jc w:val="center"/>
              <w:rPr>
                <w:rFonts w:ascii="宋体"/>
                <w:b/>
              </w:rPr>
            </w:pPr>
            <w:r>
              <w:rPr>
                <w:rFonts w:ascii="宋体" w:hint="eastAsia"/>
                <w:b/>
              </w:rPr>
              <w:t>序号</w:t>
            </w:r>
          </w:p>
        </w:tc>
        <w:tc>
          <w:tcPr>
            <w:tcW w:w="1276" w:type="dxa"/>
            <w:shd w:val="clear" w:color="A6A6A6" w:fill="A6A6A6"/>
            <w:vAlign w:val="center"/>
          </w:tcPr>
          <w:p>
            <w:pPr>
              <w:jc w:val="center"/>
              <w:rPr>
                <w:rFonts w:ascii="宋体"/>
                <w:b/>
              </w:rPr>
            </w:pPr>
            <w:r>
              <w:rPr>
                <w:rFonts w:ascii="宋体" w:hint="eastAsia"/>
                <w:b/>
              </w:rPr>
              <w:t>内容</w:t>
            </w:r>
          </w:p>
        </w:tc>
        <w:tc>
          <w:tcPr>
            <w:tcW w:w="5386" w:type="dxa"/>
            <w:shd w:val="clear" w:color="A6A6A6" w:fill="A6A6A6"/>
            <w:vAlign w:val="center"/>
          </w:tcPr>
          <w:p>
            <w:pPr>
              <w:jc w:val="center"/>
              <w:rPr>
                <w:rFonts w:ascii="宋体"/>
                <w:b/>
              </w:rPr>
            </w:pPr>
            <w:bookmarkStart w:id="46" w:name="集成需求_Title_说明_Required_Table"/>
            <w:r>
              <w:rPr>
                <w:rFonts w:ascii="宋体" w:hint="eastAsia"/>
                <w:b/>
              </w:rPr>
              <w:t>说明</w:t>
            </w:r>
            <w:bookmarkEnd w:id="46"/>
          </w:p>
        </w:tc>
        <w:tc>
          <w:tcPr>
            <w:tcW w:w="1043" w:type="dxa"/>
            <w:shd w:val="clear" w:color="A6A6A6" w:fill="A6A6A6"/>
            <w:vAlign w:val="center"/>
          </w:tcPr>
          <w:p>
            <w:pPr>
              <w:jc w:val="center"/>
              <w:rPr>
                <w:rFonts w:ascii="宋体"/>
                <w:b/>
              </w:rPr>
            </w:pPr>
            <w:r>
              <w:rPr>
                <w:rFonts w:ascii="宋体"/>
                <w:b/>
              </w:rPr>
              <w:t>证明材料要求</w:t>
            </w:r>
          </w:p>
        </w:tc>
      </w:tr>
      <w:tr>
        <w:tblPrEx>
          <w:tblW w:w="8522" w:type="dxa"/>
          <w:jc w:val="left"/>
          <w:tblInd w:w="0" w:type="dxa"/>
          <w:tblLayout w:type="fixed"/>
          <w:tblCellMar>
            <w:top w:w="0" w:type="dxa"/>
            <w:left w:w="108" w:type="dxa"/>
            <w:bottom w:w="0" w:type="dxa"/>
            <w:right w:w="108" w:type="dxa"/>
          </w:tblCellMar>
        </w:tblPrEx>
        <w:trPr>
          <w:trHeight w:val="416"/>
          <w:jc w:val="left"/>
        </w:trPr>
        <w:tc>
          <w:tcPr>
            <w:tcW w:w="817" w:type="dxa"/>
            <w:vAlign w:val="center"/>
          </w:tcPr>
          <w:p>
            <w:pPr>
              <w:jc w:val="center"/>
              <w:rPr>
                <w:rFonts w:ascii="宋体"/>
              </w:rPr>
            </w:pPr>
            <w:r>
              <w:rPr>
                <w:rFonts w:ascii="宋体" w:hint="eastAsia"/>
                <w:b/>
              </w:rPr>
              <w:t>1</w:t>
            </w:r>
          </w:p>
        </w:tc>
        <w:tc>
          <w:tcPr>
            <w:tcW w:w="1276" w:type="dxa"/>
            <w:vAlign w:val="center"/>
          </w:tcPr>
          <w:p>
            <w:pPr>
              <w:rPr>
                <w:rFonts w:ascii="宋体"/>
                <w:b/>
              </w:rPr>
            </w:pPr>
            <w:r>
              <w:rPr>
                <w:rFonts w:ascii="宋体" w:hint="eastAsia"/>
                <w:b/>
              </w:rPr>
              <w:t>业务需求</w:t>
            </w:r>
          </w:p>
        </w:tc>
        <w:tc>
          <w:tcPr>
            <w:tcW w:w="5386" w:type="dxa"/>
            <w:vAlign w:val="center"/>
          </w:tcPr>
          <w:p>
            <w:pPr>
              <w:rPr>
                <w:rFonts w:ascii="宋体"/>
                <w:lang w:bidi="en-US"/>
              </w:rPr>
            </w:pPr>
            <w:r>
              <w:rPr>
                <w:rFonts w:ascii="宋体" w:hint="eastAsia"/>
                <w:lang w:bidi="en-US"/>
              </w:rPr>
              <w:t>（1）与公安信息网PKI/CA基础设施对接</w:t>
            </w:r>
          </w:p>
          <w:p>
            <w:pPr>
              <w:rPr>
                <w:rFonts w:ascii="宋体"/>
                <w:lang w:bidi="en-US"/>
              </w:rPr>
            </w:pPr>
            <w:r>
              <w:rPr>
                <w:rFonts w:ascii="宋体" w:hint="eastAsia"/>
                <w:lang w:bidi="en-US"/>
              </w:rPr>
              <w:t>对接公安信息网</w:t>
            </w:r>
            <w:r>
              <w:rPr>
                <w:rFonts w:ascii="宋体"/>
                <w:lang w:bidi="en-US"/>
              </w:rPr>
              <w:t>PKI/CA</w:t>
            </w:r>
            <w:r>
              <w:rPr>
                <w:rFonts w:ascii="宋体" w:hint="eastAsia"/>
                <w:lang w:bidi="en-US"/>
              </w:rPr>
              <w:t>基础设施，实现基于数字证书的身份认证和访问授权，实现对用户身份的统一认证和单点登录。</w:t>
            </w:r>
          </w:p>
          <w:p>
            <w:pPr>
              <w:rPr>
                <w:rFonts w:ascii="宋体"/>
                <w:lang w:bidi="en-US"/>
              </w:rPr>
            </w:pPr>
            <w:r>
              <w:rPr>
                <w:rFonts w:ascii="宋体" w:hint="eastAsia"/>
                <w:lang w:bidi="en-US"/>
              </w:rPr>
              <w:t>（2）与海关缉私移动警务系统对接</w:t>
            </w:r>
          </w:p>
          <w:p>
            <w:pPr>
              <w:rPr>
                <w:rFonts w:ascii="宋体"/>
                <w:lang w:bidi="en-US"/>
              </w:rPr>
            </w:pPr>
            <w:r>
              <w:rPr>
                <w:rFonts w:ascii="宋体" w:hint="eastAsia"/>
                <w:lang w:bidi="en-US"/>
              </w:rPr>
              <w:t>与缉私部门移动警务系统对接，基于移动警务PKI基础设施和统一认证框架实现身份认证和单点登录，通过移动警务资源服务总线实现对视频图像资源的管理和使用。</w:t>
            </w:r>
          </w:p>
          <w:p>
            <w:pPr>
              <w:pStyle w:val="BodyText3"/>
              <w:spacing w:after="0" w:line="240" w:lineRule="auto"/>
              <w:ind w:firstLine="0"/>
              <w:rPr>
                <w:rFonts w:ascii="宋体" w:eastAsia="宋体" w:hint="eastAsia"/>
                <w:lang w:bidi="en-US"/>
              </w:rPr>
            </w:pPr>
            <w:r>
              <w:rPr>
                <w:rFonts w:ascii="宋体" w:eastAsia="宋体" w:hint="eastAsia"/>
                <w:color w:val="auto"/>
                <w:sz w:val="21"/>
                <w:lang w:bidi="en-US"/>
              </w:rPr>
              <w:t>（3）与公安部视频图像信息综合应用平台对接，支持按照“因案因事授权”要求与公安部平台进行对接。</w:t>
            </w:r>
          </w:p>
        </w:tc>
        <w:tc>
          <w:tcPr>
            <w:tcW w:w="1043" w:type="dxa"/>
            <w:vAlign w:val="center"/>
          </w:tcPr>
          <w:p>
            <w:pPr>
              <w:rPr>
                <w:rFonts w:ascii="宋体"/>
                <w:lang w:bidi="en-US"/>
              </w:rPr>
            </w:pPr>
            <w:r>
              <w:rPr>
                <w:rFonts w:ascii="宋体" w:hint="eastAsia"/>
                <w:lang w:bidi="en-US"/>
              </w:rPr>
              <w:t>否</w:t>
            </w:r>
          </w:p>
        </w:tc>
      </w:tr>
      <w:tr>
        <w:tblPrEx>
          <w:tblW w:w="8522" w:type="dxa"/>
          <w:jc w:val="left"/>
          <w:tblInd w:w="0" w:type="dxa"/>
          <w:tblLayout w:type="fixed"/>
          <w:tblCellMar>
            <w:top w:w="0" w:type="dxa"/>
            <w:left w:w="108" w:type="dxa"/>
            <w:bottom w:w="0" w:type="dxa"/>
            <w:right w:w="108" w:type="dxa"/>
          </w:tblCellMar>
        </w:tblPrEx>
        <w:trPr>
          <w:trHeight w:val="1158"/>
          <w:jc w:val="left"/>
        </w:trPr>
        <w:tc>
          <w:tcPr>
            <w:tcW w:w="817" w:type="dxa"/>
            <w:vAlign w:val="center"/>
          </w:tcPr>
          <w:p>
            <w:pPr>
              <w:jc w:val="center"/>
              <w:rPr>
                <w:rFonts w:ascii="宋体"/>
                <w:b/>
              </w:rPr>
            </w:pPr>
            <w:r>
              <w:rPr>
                <w:rFonts w:ascii="宋体" w:hint="eastAsia"/>
                <w:b/>
              </w:rPr>
              <w:t>2</w:t>
            </w:r>
          </w:p>
        </w:tc>
        <w:tc>
          <w:tcPr>
            <w:tcW w:w="1276" w:type="dxa"/>
            <w:vAlign w:val="center"/>
          </w:tcPr>
          <w:p>
            <w:pPr>
              <w:rPr>
                <w:rFonts w:ascii="宋体"/>
                <w:b/>
              </w:rPr>
            </w:pPr>
            <w:r>
              <w:rPr>
                <w:rFonts w:ascii="宋体" w:cs="宋体" w:hint="eastAsia"/>
                <w:b/>
              </w:rPr>
              <w:t>技术需求</w:t>
            </w:r>
          </w:p>
        </w:tc>
        <w:tc>
          <w:tcPr>
            <w:tcW w:w="5386" w:type="dxa"/>
            <w:vAlign w:val="center"/>
          </w:tcPr>
          <w:p>
            <w:pPr>
              <w:rPr>
                <w:rFonts w:ascii="宋体" w:eastAsia="等线" w:hAnsi="宋体" w:cs="宋体" w:hint="eastAsia"/>
                <w:lang w:bidi="en-US"/>
              </w:rPr>
            </w:pPr>
            <w:r>
              <w:rPr>
                <w:rFonts w:ascii="宋体" w:cs="宋体" w:hint="eastAsia"/>
                <w:lang w:bidi="en-US"/>
              </w:rPr>
              <w:t>本项目的建设与管理要符合海关、公安部门信息化建设的有关管理规定、技术架构、标准规范等方面要求。</w:t>
            </w:r>
          </w:p>
        </w:tc>
        <w:tc>
          <w:tcPr>
            <w:tcW w:w="1043" w:type="dxa"/>
            <w:vAlign w:val="center"/>
          </w:tcPr>
          <w:p>
            <w:pPr>
              <w:rPr>
                <w:rFonts w:ascii="宋体"/>
                <w:lang w:bidi="en-US"/>
              </w:rPr>
            </w:pPr>
            <w:r>
              <w:rPr>
                <w:rFonts w:ascii="宋体" w:hint="eastAsia"/>
                <w:lang w:bidi="en-US"/>
              </w:rPr>
              <w:t>否</w:t>
            </w:r>
          </w:p>
        </w:tc>
      </w:tr>
      <w:tr>
        <w:tblPrEx>
          <w:tblW w:w="8522" w:type="dxa"/>
          <w:jc w:val="left"/>
          <w:tblInd w:w="0" w:type="dxa"/>
          <w:tblLayout w:type="fixed"/>
          <w:tblCellMar>
            <w:top w:w="0" w:type="dxa"/>
            <w:left w:w="108" w:type="dxa"/>
            <w:bottom w:w="0" w:type="dxa"/>
            <w:right w:w="108" w:type="dxa"/>
          </w:tblCellMar>
        </w:tblPrEx>
        <w:trPr>
          <w:trHeight w:val="1158"/>
          <w:jc w:val="left"/>
        </w:trPr>
        <w:tc>
          <w:tcPr>
            <w:tcW w:w="817" w:type="dxa"/>
            <w:vAlign w:val="center"/>
          </w:tcPr>
          <w:p>
            <w:pPr>
              <w:jc w:val="center"/>
              <w:rPr>
                <w:rFonts w:ascii="宋体"/>
              </w:rPr>
            </w:pPr>
            <w:r>
              <w:rPr>
                <w:rFonts w:ascii="宋体"/>
                <w:b/>
              </w:rPr>
              <w:t>3</w:t>
            </w:r>
          </w:p>
        </w:tc>
        <w:tc>
          <w:tcPr>
            <w:tcW w:w="1276" w:type="dxa"/>
            <w:vAlign w:val="center"/>
          </w:tcPr>
          <w:p>
            <w:pPr>
              <w:rPr>
                <w:rFonts w:ascii="宋体"/>
                <w:b/>
              </w:rPr>
            </w:pPr>
            <w:r>
              <w:rPr>
                <w:rFonts w:ascii="宋体" w:hint="eastAsia"/>
                <w:b/>
              </w:rPr>
              <w:t>系统需求</w:t>
            </w:r>
          </w:p>
        </w:tc>
        <w:tc>
          <w:tcPr>
            <w:tcW w:w="5386" w:type="dxa"/>
            <w:vAlign w:val="center"/>
          </w:tcPr>
          <w:p>
            <w:pPr>
              <w:rPr>
                <w:rFonts w:ascii="宋体"/>
                <w:lang w:bidi="en-US"/>
              </w:rPr>
            </w:pPr>
            <w:r>
              <w:rPr>
                <w:rFonts w:ascii="宋体" w:hint="eastAsia"/>
                <w:lang w:bidi="en-US"/>
              </w:rPr>
              <w:t>投标人应满足用户对国产化适配及云环境适配的要求。适配国产化硬件设备和缉私部门云平台环境。</w:t>
            </w:r>
          </w:p>
        </w:tc>
        <w:tc>
          <w:tcPr>
            <w:tcW w:w="1043" w:type="dxa"/>
            <w:vAlign w:val="center"/>
          </w:tcPr>
          <w:p>
            <w:pPr>
              <w:rPr>
                <w:rFonts w:ascii="宋体"/>
                <w:lang w:bidi="en-US"/>
              </w:rPr>
            </w:pPr>
            <w:r>
              <w:rPr>
                <w:rFonts w:ascii="宋体" w:hint="eastAsia"/>
                <w:lang w:bidi="en-US"/>
              </w:rPr>
              <w:t>否</w:t>
            </w:r>
          </w:p>
        </w:tc>
      </w:tr>
    </w:tbl>
    <w:p>
      <w:pPr>
        <w:rPr>
          <w:rFonts w:ascii="宋体"/>
        </w:rPr>
      </w:pPr>
    </w:p>
    <w:p>
      <w:pPr>
        <w:pStyle w:val="Heading2"/>
        <w:numPr>
          <w:ilvl w:val="0"/>
          <w:numId w:val="2"/>
        </w:numPr>
        <w:rPr>
          <w:rFonts w:ascii="宋体" w:hint="eastAsia"/>
        </w:rPr>
      </w:pPr>
      <w:bookmarkStart w:id="47" w:name="货物或服务指标要求"/>
      <w:bookmarkStart w:id="48" w:name="_Hlk171706988"/>
      <w:r>
        <w:rPr>
          <w:rFonts w:ascii="宋体" w:hint="eastAsia"/>
        </w:rPr>
        <w:t>货物或服务指标要求</w:t>
      </w:r>
      <w:bookmarkEnd w:id="47"/>
    </w:p>
    <w:p>
      <w:pPr>
        <w:rPr>
          <w:rFonts w:ascii="宋体"/>
        </w:rPr>
      </w:pPr>
      <w:bookmarkEnd w:id="48"/>
      <w:r>
        <w:rPr>
          <w:rFonts w:ascii="宋体" w:hint="eastAsia"/>
        </w:rPr>
        <w:t>参数指标要求</w:t>
      </w:r>
    </w:p>
    <w:p>
      <w:pPr>
        <w:rPr>
          <w:rFonts w:ascii="宋体"/>
        </w:rPr>
      </w:pPr>
      <w:r>
        <w:rPr>
          <w:rFonts w:ascii="宋体" w:hint="eastAsia"/>
        </w:rPr>
        <w:t>①★代表实质性指标，不满足该指标项将导致投标被拒绝；加 “▲”标记表示为重要指标项，无标识则表示一般指标项，如不满足将影响评分。</w:t>
      </w:r>
    </w:p>
    <w:p>
      <w:pPr>
        <w:rPr>
          <w:rFonts w:ascii="宋体"/>
        </w:rPr>
      </w:pPr>
      <w:r>
        <w:rPr>
          <w:rFonts w:ascii="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tbl>
      <w:tblPr>
        <w:tblW w:w="821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80"/>
        <w:gridCol w:w="675"/>
        <w:gridCol w:w="1222"/>
        <w:gridCol w:w="4506"/>
        <w:gridCol w:w="1134"/>
      </w:tblGrid>
      <w:tr>
        <w:tblPrEx>
          <w:tblW w:w="821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90"/>
          <w:jc w:val="left"/>
        </w:trPr>
        <w:tc>
          <w:tcPr>
            <w:tcW w:w="680" w:type="dxa"/>
            <w:shd w:val="clear" w:color="000000" w:fill="BFBFBF"/>
            <w:vAlign w:val="center"/>
          </w:tcPr>
          <w:p>
            <w:pPr>
              <w:widowControl/>
              <w:jc w:val="center"/>
              <w:rPr>
                <w:rFonts w:ascii="宋体"/>
                <w:b/>
              </w:rPr>
            </w:pPr>
            <w:r>
              <w:rPr>
                <w:rFonts w:ascii="宋体"/>
                <w:b/>
              </w:rPr>
              <w:t>序号</w:t>
            </w:r>
          </w:p>
        </w:tc>
        <w:tc>
          <w:tcPr>
            <w:tcW w:w="675" w:type="dxa"/>
            <w:shd w:val="clear" w:color="000000" w:fill="BFBFBF"/>
            <w:vAlign w:val="center"/>
          </w:tcPr>
          <w:p>
            <w:pPr>
              <w:widowControl/>
              <w:jc w:val="center"/>
              <w:rPr>
                <w:rFonts w:ascii="宋体"/>
                <w:b/>
              </w:rPr>
            </w:pPr>
            <w:r>
              <w:rPr>
                <w:rFonts w:ascii="宋体"/>
                <w:b/>
              </w:rPr>
              <w:t>重要性</w:t>
            </w:r>
          </w:p>
        </w:tc>
        <w:tc>
          <w:tcPr>
            <w:tcW w:w="1222" w:type="dxa"/>
            <w:shd w:val="clear" w:color="000000" w:fill="BFBFBF"/>
            <w:vAlign w:val="center"/>
          </w:tcPr>
          <w:p>
            <w:pPr>
              <w:widowControl/>
              <w:jc w:val="center"/>
              <w:rPr>
                <w:rFonts w:ascii="宋体"/>
                <w:b/>
              </w:rPr>
            </w:pPr>
            <w:r>
              <w:rPr>
                <w:rFonts w:ascii="宋体"/>
                <w:b/>
              </w:rPr>
              <w:t>指标项</w:t>
            </w:r>
          </w:p>
        </w:tc>
        <w:tc>
          <w:tcPr>
            <w:tcW w:w="4506" w:type="dxa"/>
            <w:shd w:val="clear" w:color="000000" w:fill="BFBFBF"/>
            <w:vAlign w:val="center"/>
          </w:tcPr>
          <w:p>
            <w:pPr>
              <w:widowControl/>
              <w:jc w:val="center"/>
              <w:rPr>
                <w:rFonts w:ascii="宋体"/>
                <w:b/>
              </w:rPr>
            </w:pPr>
            <w:r>
              <w:rPr>
                <w:rFonts w:ascii="宋体"/>
                <w:b/>
              </w:rPr>
              <w:t>指标要求</w:t>
            </w:r>
          </w:p>
        </w:tc>
        <w:tc>
          <w:tcPr>
            <w:tcW w:w="1134" w:type="dxa"/>
            <w:shd w:val="clear" w:color="000000" w:fill="BFBFBF"/>
            <w:vAlign w:val="center"/>
          </w:tcPr>
          <w:p>
            <w:pPr>
              <w:widowControl/>
              <w:jc w:val="center"/>
              <w:rPr>
                <w:rFonts w:ascii="宋体"/>
                <w:b/>
              </w:rPr>
            </w:pPr>
            <w:r>
              <w:rPr>
                <w:rFonts w:ascii="宋体"/>
                <w:b/>
              </w:rPr>
              <w:t>证明材料要求</w:t>
            </w:r>
          </w:p>
        </w:tc>
      </w:tr>
      <w:tr>
        <w:tblPrEx>
          <w:tblW w:w="8217" w:type="dxa"/>
          <w:jc w:val="left"/>
          <w:tblInd w:w="0" w:type="dxa"/>
          <w:tblCellMar>
            <w:top w:w="0" w:type="dxa"/>
            <w:left w:w="108" w:type="dxa"/>
            <w:bottom w:w="0" w:type="dxa"/>
            <w:right w:w="108" w:type="dxa"/>
          </w:tblCellMar>
        </w:tblPrEx>
        <w:trPr>
          <w:trHeight w:val="3380"/>
          <w:jc w:val="left"/>
        </w:trPr>
        <w:tc>
          <w:tcPr>
            <w:tcW w:w="680" w:type="dxa"/>
            <w:shd w:val="clear" w:color="auto" w:fill="auto"/>
            <w:vAlign w:val="center"/>
          </w:tcPr>
          <w:p>
            <w:pPr>
              <w:widowControl/>
              <w:jc w:val="center"/>
              <w:rPr>
                <w:rFonts w:ascii="宋体"/>
              </w:rPr>
            </w:pPr>
            <w:r>
              <w:rPr>
                <w:rFonts w:ascii="宋体"/>
              </w:rPr>
              <w:t>1</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视频图像汇聚子系统-涉私视频浏览</w:t>
            </w:r>
          </w:p>
        </w:tc>
        <w:tc>
          <w:tcPr>
            <w:tcW w:w="4506" w:type="dxa"/>
            <w:shd w:val="clear" w:color="auto" w:fill="auto"/>
            <w:vAlign w:val="center"/>
          </w:tcPr>
          <w:p>
            <w:pPr>
              <w:widowControl/>
              <w:ind w:firstLine="420" w:firstLineChars="200"/>
              <w:jc w:val="left"/>
              <w:rPr>
                <w:rFonts w:ascii="宋体" w:cs="宋体"/>
              </w:rPr>
            </w:pPr>
            <w:r>
              <w:rPr>
                <w:rFonts w:ascii="宋体"/>
              </w:rPr>
              <w:t>通过调取实时视频流实现涉私视频预览，为了获得良好的视频浏览体验，应具备如下功能：</w:t>
            </w:r>
          </w:p>
          <w:p>
            <w:pPr>
              <w:widowControl/>
              <w:ind w:firstLine="315" w:firstLineChars="150"/>
              <w:jc w:val="left"/>
              <w:rPr>
                <w:rFonts w:ascii="宋体" w:cs="宋体"/>
              </w:rPr>
            </w:pPr>
            <w:r>
              <w:rPr>
                <w:rFonts w:ascii="宋体"/>
              </w:rPr>
              <w:t>支持GB/T28181标准规定的多种媒体压缩解码能力。</w:t>
            </w:r>
          </w:p>
          <w:p>
            <w:pPr>
              <w:widowControl/>
              <w:ind w:firstLine="315" w:firstLineChars="150"/>
              <w:jc w:val="left"/>
              <w:rPr>
                <w:rFonts w:ascii="宋体" w:cs="宋体"/>
              </w:rPr>
            </w:pPr>
            <w:r>
              <w:rPr>
                <w:rFonts w:ascii="宋体"/>
              </w:rPr>
              <w:t>支持多分屏模式浏览视频。</w:t>
            </w:r>
          </w:p>
          <w:p>
            <w:pPr>
              <w:widowControl/>
              <w:ind w:firstLine="315" w:firstLineChars="150"/>
              <w:jc w:val="left"/>
              <w:rPr>
                <w:rFonts w:ascii="宋体" w:cs="宋体"/>
              </w:rPr>
            </w:pPr>
            <w:r>
              <w:rPr>
                <w:rFonts w:ascii="宋体"/>
              </w:rPr>
              <w:t>支持查看视频码流信息并按需切换主、子码流。</w:t>
            </w:r>
          </w:p>
          <w:p>
            <w:pPr>
              <w:widowControl/>
              <w:ind w:firstLine="315" w:firstLineChars="150"/>
              <w:jc w:val="left"/>
              <w:rPr>
                <w:rFonts w:ascii="宋体" w:cs="宋体"/>
              </w:rPr>
            </w:pPr>
            <w:r>
              <w:rPr>
                <w:rFonts w:ascii="宋体"/>
              </w:rPr>
              <w:t>支持电子放大、3D放大、即时回放、抓图抓录、视频增强、云台控制、语音对讲等功能。</w:t>
            </w:r>
          </w:p>
          <w:p>
            <w:pPr>
              <w:widowControl/>
              <w:ind w:firstLine="315" w:firstLineChars="150"/>
              <w:jc w:val="left"/>
              <w:rPr>
                <w:rFonts w:ascii="宋体" w:cs="宋体"/>
              </w:rPr>
            </w:pPr>
            <w:r>
              <w:rPr>
                <w:rFonts w:ascii="宋体"/>
              </w:rPr>
              <w:t>支持创建视频预案，配置视频巡逻计划，对视频点位按计划自动轮巡。</w:t>
            </w:r>
          </w:p>
          <w:p>
            <w:pPr>
              <w:widowControl/>
              <w:ind w:firstLine="315" w:firstLineChars="150"/>
              <w:jc w:val="left"/>
              <w:rPr>
                <w:rFonts w:ascii="宋体" w:cs="宋体"/>
              </w:rPr>
            </w:pPr>
            <w:r>
              <w:rPr>
                <w:rFonts w:ascii="宋体"/>
              </w:rPr>
              <w:t>支持通过关键字、资源树查找监控点位，并能查看监控点信息，调取监控点视频。</w:t>
            </w:r>
          </w:p>
          <w:p>
            <w:pPr>
              <w:widowControl/>
              <w:ind w:firstLine="315" w:firstLineChars="150"/>
              <w:jc w:val="left"/>
              <w:rPr>
                <w:rFonts w:ascii="宋体"/>
              </w:rPr>
            </w:pPr>
            <w:r>
              <w:rPr>
                <w:rFonts w:ascii="宋体"/>
              </w:rPr>
              <w:t>支持对实时画面添加视频安全水印，支持自定义编辑水印内容。</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625"/>
          <w:jc w:val="left"/>
        </w:trPr>
        <w:tc>
          <w:tcPr>
            <w:tcW w:w="680" w:type="dxa"/>
            <w:shd w:val="clear" w:color="auto" w:fill="auto"/>
            <w:vAlign w:val="center"/>
          </w:tcPr>
          <w:p>
            <w:pPr>
              <w:widowControl/>
              <w:jc w:val="center"/>
              <w:rPr>
                <w:rFonts w:ascii="宋体"/>
              </w:rPr>
            </w:pPr>
            <w:r>
              <w:rPr>
                <w:rFonts w:ascii="宋体"/>
              </w:rPr>
              <w:t>2</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视频图像汇聚子系统-视频回放</w:t>
            </w:r>
          </w:p>
        </w:tc>
        <w:tc>
          <w:tcPr>
            <w:tcW w:w="4506" w:type="dxa"/>
            <w:shd w:val="clear" w:color="auto" w:fill="auto"/>
            <w:vAlign w:val="center"/>
          </w:tcPr>
          <w:p>
            <w:pPr>
              <w:widowControl/>
              <w:ind w:firstLine="420" w:firstLineChars="200"/>
              <w:jc w:val="left"/>
              <w:rPr>
                <w:rFonts w:ascii="宋体" w:cs="宋体"/>
              </w:rPr>
            </w:pPr>
            <w:r>
              <w:rPr>
                <w:rFonts w:ascii="宋体"/>
              </w:rPr>
              <w:t>通过调取历史录像实现缉私视频回放，为了获得良好的录像回放体验，应具备如下功能：</w:t>
            </w:r>
          </w:p>
          <w:p>
            <w:pPr>
              <w:widowControl/>
              <w:ind w:firstLine="315" w:firstLineChars="150"/>
              <w:jc w:val="left"/>
              <w:rPr>
                <w:rFonts w:ascii="宋体" w:cs="宋体"/>
              </w:rPr>
            </w:pPr>
            <w:r>
              <w:rPr>
                <w:rFonts w:ascii="宋体"/>
              </w:rPr>
              <w:t>支持多分屏模式回放录像。</w:t>
            </w:r>
          </w:p>
          <w:p>
            <w:pPr>
              <w:widowControl/>
              <w:ind w:firstLine="315" w:firstLineChars="150"/>
              <w:jc w:val="left"/>
              <w:rPr>
                <w:rFonts w:ascii="宋体" w:cs="宋体"/>
              </w:rPr>
            </w:pPr>
            <w:r>
              <w:rPr>
                <w:rFonts w:ascii="宋体"/>
              </w:rPr>
              <w:t>支持电子放大、抓图、录像剪辑、视频增强、分段播放、倍速回放、同异步播放等功能。</w:t>
            </w:r>
          </w:p>
          <w:p>
            <w:pPr>
              <w:widowControl/>
              <w:ind w:firstLine="315" w:firstLineChars="150"/>
              <w:jc w:val="left"/>
              <w:rPr>
                <w:rFonts w:ascii="宋体" w:cs="宋体"/>
              </w:rPr>
            </w:pPr>
            <w:r>
              <w:rPr>
                <w:rFonts w:ascii="宋体"/>
              </w:rPr>
              <w:t>支持对录像回放时间进度条控制，支持切换时间播放录像画面，支持查看回放录像的缩略图。</w:t>
            </w:r>
          </w:p>
          <w:p>
            <w:pPr>
              <w:widowControl/>
              <w:ind w:firstLine="315" w:firstLineChars="150"/>
              <w:jc w:val="left"/>
              <w:rPr>
                <w:rFonts w:ascii="宋体" w:cs="宋体"/>
              </w:rPr>
            </w:pPr>
            <w:r>
              <w:rPr>
                <w:rFonts w:ascii="宋体"/>
              </w:rPr>
              <w:t>支持暂停、播放、单帧前进、单帧后退、倒放等播放控制。</w:t>
            </w:r>
          </w:p>
          <w:p>
            <w:pPr>
              <w:widowControl/>
              <w:ind w:firstLine="315" w:firstLineChars="150"/>
              <w:jc w:val="left"/>
              <w:rPr>
                <w:rFonts w:ascii="宋体" w:cs="宋体"/>
              </w:rPr>
            </w:pPr>
            <w:r>
              <w:rPr>
                <w:rFonts w:ascii="宋体"/>
              </w:rPr>
              <w:t>支持通过关键字、资源树查找视频监控点位，并能查看监控点信息，调取监控点视频。</w:t>
            </w:r>
          </w:p>
          <w:p>
            <w:pPr>
              <w:widowControl/>
              <w:ind w:firstLine="315" w:firstLineChars="150"/>
              <w:jc w:val="left"/>
              <w:rPr>
                <w:rFonts w:ascii="宋体"/>
              </w:rPr>
            </w:pPr>
            <w:r>
              <w:rPr>
                <w:rFonts w:ascii="宋体"/>
              </w:rPr>
              <w:t>支持对录像画面添加视频安全水印，支持自定义编辑水印内容。</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57"/>
          <w:jc w:val="left"/>
        </w:trPr>
        <w:tc>
          <w:tcPr>
            <w:tcW w:w="680" w:type="dxa"/>
            <w:shd w:val="clear" w:color="auto" w:fill="auto"/>
            <w:vAlign w:val="center"/>
          </w:tcPr>
          <w:p>
            <w:pPr>
              <w:widowControl/>
              <w:jc w:val="center"/>
              <w:rPr>
                <w:rFonts w:ascii="宋体"/>
              </w:rPr>
            </w:pPr>
            <w:r>
              <w:rPr>
                <w:rFonts w:ascii="宋体"/>
              </w:rPr>
              <w:t>3</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视频图像汇聚子系统-地图关联</w:t>
            </w:r>
          </w:p>
        </w:tc>
        <w:tc>
          <w:tcPr>
            <w:tcW w:w="4506" w:type="dxa"/>
            <w:shd w:val="clear" w:color="auto" w:fill="auto"/>
            <w:vAlign w:val="center"/>
          </w:tcPr>
          <w:p>
            <w:pPr>
              <w:widowControl/>
              <w:ind w:firstLine="420" w:firstLineChars="200"/>
              <w:jc w:val="left"/>
              <w:rPr>
                <w:rFonts w:ascii="宋体" w:cs="宋体"/>
              </w:rPr>
            </w:pPr>
            <w:r>
              <w:rPr>
                <w:rFonts w:ascii="宋体" w:cs="宋体" w:hint="eastAsia"/>
              </w:rPr>
              <w:t>投标人需为系统提供电子地图，基于系统自带</w:t>
            </w:r>
            <w:r>
              <w:rPr>
                <w:rFonts w:ascii="宋体"/>
              </w:rPr>
              <w:t>电子地图开展图上视频调阅，提供点、线、面等多种图上找点方式，并结合业务场景针对重点部位开展分组调阅，应具备如下功能：</w:t>
            </w:r>
          </w:p>
          <w:p>
            <w:pPr>
              <w:widowControl/>
              <w:ind w:firstLine="315" w:firstLineChars="150"/>
              <w:jc w:val="left"/>
              <w:rPr>
                <w:rFonts w:ascii="宋体" w:cs="宋体"/>
              </w:rPr>
            </w:pPr>
            <w:r>
              <w:rPr>
                <w:rFonts w:ascii="宋体"/>
              </w:rPr>
              <w:t>支持地图放大、缩小、测距、测面、图层控制、卫星矢量地图切换等基本功能。</w:t>
            </w:r>
          </w:p>
          <w:p>
            <w:pPr>
              <w:widowControl/>
              <w:ind w:firstLine="315" w:firstLineChars="150"/>
              <w:jc w:val="left"/>
              <w:rPr>
                <w:rFonts w:ascii="宋体" w:cs="宋体"/>
              </w:rPr>
            </w:pPr>
            <w:r>
              <w:rPr>
                <w:rFonts w:ascii="宋体"/>
              </w:rPr>
              <w:t>支持在地图以聚合效果展示视频资源，可根据视频资源类型（如监控点、卡口）控制设备在地图上的显隐。支持在地图选择监控点查看设备信息，可实现预览、回放、收藏、周边搜索等功能。</w:t>
            </w:r>
          </w:p>
          <w:p>
            <w:pPr>
              <w:widowControl/>
              <w:ind w:firstLine="315" w:firstLineChars="150"/>
              <w:jc w:val="left"/>
              <w:rPr>
                <w:rFonts w:ascii="宋体" w:cs="宋体"/>
              </w:rPr>
            </w:pPr>
            <w:r>
              <w:rPr>
                <w:rFonts w:ascii="宋体"/>
              </w:rPr>
              <w:t>支持通过关键字查找监控点位，并与地图进行关联，实现图上定位；支持通过方形选、圈选、线选、多边形选、点选、交集、并集、差集等多种空间选点方式，并可实现点位的批量收藏、视频浏览、录像回放等功能。</w:t>
            </w:r>
          </w:p>
          <w:p>
            <w:pPr>
              <w:widowControl/>
              <w:ind w:firstLine="315" w:firstLineChars="150"/>
              <w:jc w:val="left"/>
              <w:rPr>
                <w:rFonts w:ascii="宋体" w:cs="宋体"/>
              </w:rPr>
            </w:pPr>
            <w:r>
              <w:rPr>
                <w:rFonts w:ascii="宋体"/>
              </w:rPr>
              <w:t>支持对视频资源实现分组管理，并可将分组分享给其他用户；支持根据经纬度实现视频资源与分组的关联，可调阅监控点视频；支持对分组添加轮巡计划。</w:t>
            </w:r>
          </w:p>
          <w:p>
            <w:pPr>
              <w:widowControl/>
              <w:ind w:firstLine="315" w:firstLineChars="150"/>
              <w:jc w:val="left"/>
              <w:rPr>
                <w:rFonts w:ascii="宋体"/>
              </w:rPr>
            </w:pPr>
            <w:r>
              <w:rPr>
                <w:rFonts w:ascii="宋体"/>
              </w:rPr>
              <w:t>支持从调取的视频流中截取视频片段，生成视频片段索引，可按索引查询视频片段，进行回放、下载、删除；支持对视频片段进行共享，提供共享范围、共享权限的管理功能。</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4</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视频图像汇聚子系统-涉私视频注册</w:t>
            </w:r>
          </w:p>
        </w:tc>
        <w:tc>
          <w:tcPr>
            <w:tcW w:w="4506" w:type="dxa"/>
            <w:shd w:val="clear" w:color="auto" w:fill="auto"/>
            <w:vAlign w:val="center"/>
          </w:tcPr>
          <w:p>
            <w:pPr>
              <w:widowControl/>
              <w:ind w:firstLine="420" w:firstLineChars="200"/>
              <w:jc w:val="left"/>
              <w:rPr>
                <w:rFonts w:ascii="宋体"/>
              </w:rPr>
            </w:pPr>
            <w:r>
              <w:rPr>
                <w:rFonts w:ascii="宋体"/>
              </w:rPr>
              <w:t>支持通过GB/T28181协议、ONVIF协议、设备SDK等方式接入视频编码设备，实现不低于10000路本级视频编码设备的接入能力。</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
          <w:jc w:val="left"/>
        </w:trPr>
        <w:tc>
          <w:tcPr>
            <w:tcW w:w="680" w:type="dxa"/>
            <w:shd w:val="clear" w:color="auto" w:fill="auto"/>
            <w:vAlign w:val="center"/>
          </w:tcPr>
          <w:p>
            <w:pPr>
              <w:widowControl/>
              <w:jc w:val="center"/>
              <w:rPr>
                <w:rFonts w:ascii="宋体"/>
              </w:rPr>
            </w:pPr>
            <w:r>
              <w:rPr>
                <w:rFonts w:ascii="宋体"/>
              </w:rPr>
              <w:t>5</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视频图像联网共享子系统-中心信令管理</w:t>
            </w:r>
          </w:p>
        </w:tc>
        <w:tc>
          <w:tcPr>
            <w:tcW w:w="4506" w:type="dxa"/>
            <w:shd w:val="clear" w:color="auto" w:fill="auto"/>
            <w:vAlign w:val="center"/>
          </w:tcPr>
          <w:p>
            <w:pPr>
              <w:widowControl/>
              <w:ind w:firstLine="420" w:firstLineChars="200"/>
              <w:jc w:val="left"/>
              <w:rPr>
                <w:rFonts w:ascii="宋体"/>
              </w:rPr>
            </w:pPr>
            <w:r>
              <w:rPr>
                <w:rFonts w:ascii="宋体"/>
              </w:rPr>
              <w:t>支持通过GB/T28181协议与外域平台信令级联，可实现管理本级域和外域平台的信令交互。</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
          <w:jc w:val="left"/>
        </w:trPr>
        <w:tc>
          <w:tcPr>
            <w:tcW w:w="680" w:type="dxa"/>
            <w:shd w:val="clear" w:color="auto" w:fill="auto"/>
            <w:vAlign w:val="center"/>
          </w:tcPr>
          <w:p>
            <w:pPr>
              <w:widowControl/>
              <w:jc w:val="center"/>
              <w:rPr>
                <w:rFonts w:ascii="宋体"/>
              </w:rPr>
            </w:pPr>
            <w:r>
              <w:rPr>
                <w:rFonts w:ascii="宋体"/>
              </w:rPr>
              <w:t>6</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视频图像联网共享子系统-流媒体控制</w:t>
            </w:r>
          </w:p>
        </w:tc>
        <w:tc>
          <w:tcPr>
            <w:tcW w:w="4506" w:type="dxa"/>
            <w:shd w:val="clear" w:color="auto" w:fill="auto"/>
            <w:vAlign w:val="center"/>
          </w:tcPr>
          <w:p>
            <w:pPr>
              <w:widowControl/>
              <w:ind w:firstLine="420" w:firstLineChars="200"/>
              <w:jc w:val="left"/>
              <w:rPr>
                <w:rFonts w:ascii="宋体"/>
              </w:rPr>
            </w:pPr>
            <w:r>
              <w:rPr>
                <w:rFonts w:ascii="宋体"/>
              </w:rPr>
              <w:t>支持对级联的视频编码资源提供流媒体转分发服务，实现不低于600M/s的并发取流能力。</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7</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视频图像联网共享子系统-视频联网</w:t>
            </w:r>
          </w:p>
        </w:tc>
        <w:tc>
          <w:tcPr>
            <w:tcW w:w="4506" w:type="dxa"/>
            <w:shd w:val="clear" w:color="auto" w:fill="auto"/>
            <w:vAlign w:val="center"/>
          </w:tcPr>
          <w:p>
            <w:pPr>
              <w:widowControl/>
              <w:ind w:firstLine="420" w:firstLineChars="200"/>
              <w:jc w:val="left"/>
              <w:rPr>
                <w:rFonts w:ascii="宋体" w:cs="宋体"/>
              </w:rPr>
            </w:pPr>
            <w:r>
              <w:rPr>
                <w:rFonts w:ascii="宋体"/>
              </w:rPr>
              <w:t>支持通过GB/T28181协议与不低于50个外域视频监控平台的国标级联，实现不低于500000路视频监控点位资源目录管理能力。</w:t>
            </w:r>
          </w:p>
          <w:p>
            <w:pPr>
              <w:widowControl/>
              <w:ind w:firstLine="420" w:firstLineChars="200"/>
              <w:jc w:val="left"/>
              <w:rPr>
                <w:rFonts w:ascii="宋体"/>
              </w:rPr>
            </w:pPr>
            <w:r>
              <w:rPr>
                <w:rFonts w:ascii="宋体" w:cs="宋体" w:hint="eastAsia"/>
              </w:rPr>
              <w:t>支持100000路视频接入，并可完成500路视频结构化解析。</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290"/>
          <w:jc w:val="left"/>
        </w:trPr>
        <w:tc>
          <w:tcPr>
            <w:tcW w:w="680" w:type="dxa"/>
            <w:shd w:val="clear" w:color="auto" w:fill="auto"/>
            <w:vAlign w:val="center"/>
          </w:tcPr>
          <w:p>
            <w:pPr>
              <w:widowControl/>
              <w:jc w:val="center"/>
              <w:rPr>
                <w:rFonts w:ascii="宋体"/>
              </w:rPr>
            </w:pPr>
            <w:r>
              <w:rPr>
                <w:rFonts w:ascii="宋体"/>
              </w:rPr>
              <w:t>8</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视频图像联网共享子系统-NTP网络校时</w:t>
            </w:r>
          </w:p>
        </w:tc>
        <w:tc>
          <w:tcPr>
            <w:tcW w:w="4506" w:type="dxa"/>
            <w:shd w:val="clear" w:color="auto" w:fill="auto"/>
            <w:vAlign w:val="center"/>
          </w:tcPr>
          <w:p>
            <w:pPr>
              <w:widowControl/>
              <w:ind w:firstLine="420" w:firstLineChars="200"/>
              <w:jc w:val="left"/>
              <w:rPr>
                <w:rFonts w:ascii="宋体"/>
              </w:rPr>
            </w:pPr>
            <w:r>
              <w:rPr>
                <w:rFonts w:ascii="宋体"/>
              </w:rPr>
              <w:t>支持使用NTP协议进行校时，支持配置校时时钟源。</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
          <w:jc w:val="left"/>
        </w:trPr>
        <w:tc>
          <w:tcPr>
            <w:tcW w:w="680" w:type="dxa"/>
            <w:shd w:val="clear" w:color="auto" w:fill="auto"/>
            <w:vAlign w:val="center"/>
          </w:tcPr>
          <w:p>
            <w:pPr>
              <w:widowControl/>
              <w:jc w:val="center"/>
              <w:rPr>
                <w:rFonts w:ascii="宋体"/>
              </w:rPr>
            </w:pPr>
            <w:r>
              <w:rPr>
                <w:rFonts w:ascii="宋体"/>
              </w:rPr>
              <w:t>9</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视频图像联网共享子系统-视频注册接入</w:t>
            </w:r>
          </w:p>
        </w:tc>
        <w:tc>
          <w:tcPr>
            <w:tcW w:w="4506" w:type="dxa"/>
            <w:shd w:val="clear" w:color="auto" w:fill="auto"/>
            <w:vAlign w:val="center"/>
          </w:tcPr>
          <w:p>
            <w:pPr>
              <w:widowControl/>
              <w:ind w:firstLine="420" w:firstLineChars="200"/>
              <w:jc w:val="left"/>
              <w:rPr>
                <w:rFonts w:ascii="宋体"/>
              </w:rPr>
            </w:pPr>
            <w:r>
              <w:rPr>
                <w:rFonts w:ascii="宋体"/>
              </w:rPr>
              <w:t>支持通过GB/T28181协议注册第三方视频监控平台，获取视频流。</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
          <w:jc w:val="left"/>
        </w:trPr>
        <w:tc>
          <w:tcPr>
            <w:tcW w:w="680" w:type="dxa"/>
            <w:shd w:val="clear" w:color="auto" w:fill="auto"/>
            <w:vAlign w:val="center"/>
          </w:tcPr>
          <w:p>
            <w:pPr>
              <w:widowControl/>
              <w:jc w:val="center"/>
              <w:rPr>
                <w:rFonts w:ascii="宋体"/>
              </w:rPr>
            </w:pPr>
            <w:r>
              <w:rPr>
                <w:rFonts w:ascii="宋体"/>
              </w:rPr>
              <w:t>10</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视频图像联网共享子系统-视频综合浏览</w:t>
            </w:r>
          </w:p>
        </w:tc>
        <w:tc>
          <w:tcPr>
            <w:tcW w:w="4506" w:type="dxa"/>
            <w:shd w:val="clear" w:color="auto" w:fill="auto"/>
            <w:vAlign w:val="center"/>
          </w:tcPr>
          <w:p>
            <w:pPr>
              <w:widowControl/>
              <w:ind w:firstLine="420" w:firstLineChars="200"/>
              <w:jc w:val="left"/>
              <w:rPr>
                <w:rFonts w:ascii="宋体"/>
              </w:rPr>
            </w:pPr>
            <w:r>
              <w:rPr>
                <w:rFonts w:ascii="宋体"/>
              </w:rPr>
              <w:t>在权限设置允许的条件下，支持对下级平台的摄像机实现视频取流、云台控制等功能。</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
          <w:jc w:val="left"/>
        </w:trPr>
        <w:tc>
          <w:tcPr>
            <w:tcW w:w="680" w:type="dxa"/>
            <w:shd w:val="clear" w:color="auto" w:fill="auto"/>
            <w:vAlign w:val="center"/>
          </w:tcPr>
          <w:p>
            <w:pPr>
              <w:widowControl/>
              <w:jc w:val="center"/>
              <w:rPr>
                <w:rFonts w:ascii="宋体"/>
              </w:rPr>
            </w:pPr>
            <w:r>
              <w:rPr>
                <w:rFonts w:ascii="宋体"/>
              </w:rPr>
              <w:t>11</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视频图像联网共享子系统-录像回放</w:t>
            </w:r>
          </w:p>
        </w:tc>
        <w:tc>
          <w:tcPr>
            <w:tcW w:w="4506" w:type="dxa"/>
            <w:shd w:val="clear" w:color="auto" w:fill="auto"/>
            <w:vAlign w:val="center"/>
          </w:tcPr>
          <w:p>
            <w:pPr>
              <w:widowControl/>
              <w:ind w:firstLine="420" w:firstLineChars="200"/>
              <w:jc w:val="left"/>
              <w:rPr>
                <w:rFonts w:ascii="宋体"/>
              </w:rPr>
            </w:pPr>
            <w:r>
              <w:rPr>
                <w:rFonts w:ascii="宋体"/>
              </w:rPr>
              <w:t>在权限设置允许的条件下，支持对下级平台的历史录像实现查询、下载、回放、进度控制等功能。</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040"/>
          <w:jc w:val="left"/>
        </w:trPr>
        <w:tc>
          <w:tcPr>
            <w:tcW w:w="680" w:type="dxa"/>
            <w:shd w:val="clear" w:color="auto" w:fill="auto"/>
            <w:vAlign w:val="center"/>
          </w:tcPr>
          <w:p>
            <w:pPr>
              <w:widowControl/>
              <w:jc w:val="center"/>
              <w:rPr>
                <w:rFonts w:ascii="宋体"/>
              </w:rPr>
            </w:pPr>
            <w:r>
              <w:rPr>
                <w:rFonts w:ascii="宋体"/>
              </w:rPr>
              <w:t>12</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视频图像联网共享子系统-管理配置</w:t>
            </w:r>
          </w:p>
        </w:tc>
        <w:tc>
          <w:tcPr>
            <w:tcW w:w="4506" w:type="dxa"/>
            <w:shd w:val="clear" w:color="auto" w:fill="auto"/>
            <w:vAlign w:val="center"/>
          </w:tcPr>
          <w:p>
            <w:pPr>
              <w:widowControl/>
              <w:ind w:firstLine="420" w:firstLineChars="200"/>
              <w:jc w:val="left"/>
              <w:rPr>
                <w:rFonts w:ascii="宋体"/>
              </w:rPr>
            </w:pPr>
            <w:r>
              <w:rPr>
                <w:rFonts w:ascii="宋体"/>
              </w:rPr>
              <w:t>支持对视频联网级联进行管理，支持可视化展示联网级联情况，提供外域平台的管理；可遵循GB/T28181标准规范要求，构建多层级的视频基础资源目录，并可根据业务需求构建业务资源目录。</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560"/>
          <w:jc w:val="left"/>
        </w:trPr>
        <w:tc>
          <w:tcPr>
            <w:tcW w:w="680" w:type="dxa"/>
            <w:shd w:val="clear" w:color="auto" w:fill="auto"/>
            <w:vAlign w:val="center"/>
          </w:tcPr>
          <w:p>
            <w:pPr>
              <w:widowControl/>
              <w:jc w:val="center"/>
              <w:rPr>
                <w:rFonts w:ascii="宋体"/>
              </w:rPr>
            </w:pPr>
            <w:r>
              <w:rPr>
                <w:rFonts w:ascii="宋体"/>
              </w:rPr>
              <w:t>13</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视频图像融合接入子系统-缉私信息采集插件仓库</w:t>
            </w:r>
          </w:p>
        </w:tc>
        <w:tc>
          <w:tcPr>
            <w:tcW w:w="4506" w:type="dxa"/>
            <w:shd w:val="clear" w:color="auto" w:fill="auto"/>
            <w:vAlign w:val="center"/>
          </w:tcPr>
          <w:p>
            <w:pPr>
              <w:widowControl/>
              <w:ind w:firstLine="420" w:firstLineChars="200"/>
              <w:jc w:val="left"/>
              <w:rPr>
                <w:rFonts w:ascii="宋体"/>
              </w:rPr>
            </w:pPr>
            <w:r>
              <w:rPr>
                <w:rFonts w:ascii="宋体"/>
              </w:rPr>
              <w:t>支持通过GB/T28181协议、onvif协议、设备SDK等协议接入视频监控设备，实现视频采集等功能。支持通过GB/T28181协议、GA/T1400协议、设备SDK等协议接入人像抓拍设备、车辆设备，实现视频采集、属性采集、图片抓拍等功能。支持通过设备SDK等协议接入WiFi设备，实现信息采集等能力。</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905"/>
          <w:jc w:val="left"/>
        </w:trPr>
        <w:tc>
          <w:tcPr>
            <w:tcW w:w="680" w:type="dxa"/>
            <w:shd w:val="clear" w:color="auto" w:fill="auto"/>
            <w:vAlign w:val="center"/>
          </w:tcPr>
          <w:p>
            <w:pPr>
              <w:widowControl/>
              <w:jc w:val="center"/>
              <w:rPr>
                <w:rFonts w:ascii="宋体"/>
              </w:rPr>
            </w:pPr>
            <w:r>
              <w:rPr>
                <w:rFonts w:ascii="宋体"/>
              </w:rPr>
              <w:t>14</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视频图像融合接入子系统-缉私信息插件综合管理</w:t>
            </w:r>
          </w:p>
        </w:tc>
        <w:tc>
          <w:tcPr>
            <w:tcW w:w="4506" w:type="dxa"/>
            <w:shd w:val="clear" w:color="auto" w:fill="auto"/>
            <w:vAlign w:val="center"/>
          </w:tcPr>
          <w:p>
            <w:pPr>
              <w:widowControl/>
              <w:ind w:firstLine="420" w:firstLineChars="200"/>
              <w:jc w:val="left"/>
              <w:rPr>
                <w:rFonts w:ascii="宋体" w:cs="宋体"/>
              </w:rPr>
            </w:pPr>
            <w:r>
              <w:rPr>
                <w:rFonts w:ascii="宋体"/>
              </w:rPr>
              <w:t>对视频编码设备、视频监控点位、车辆卡口设备、WiFi设备等视频资源进行管理，应具备如下功能：</w:t>
            </w:r>
          </w:p>
          <w:p>
            <w:pPr>
              <w:widowControl/>
              <w:ind w:firstLine="315" w:firstLineChars="150"/>
              <w:jc w:val="left"/>
              <w:rPr>
                <w:rFonts w:ascii="宋体" w:cs="宋体"/>
              </w:rPr>
            </w:pPr>
            <w:r>
              <w:rPr>
                <w:rFonts w:ascii="宋体"/>
              </w:rPr>
              <w:t>针对视频编码设备，可通过单IP、IP段、单编号及编号段等多种方式添加，支持批量导入编码设备，并能查看所属区域、设备接入协议、设备编号、设备型号、IP地址及端口号、密码强度、视频通道数等编码设备信息；支持通过名称、IP等条件搜索编码设备。</w:t>
            </w:r>
          </w:p>
          <w:p>
            <w:pPr>
              <w:widowControl/>
              <w:ind w:firstLine="315" w:firstLineChars="150"/>
              <w:jc w:val="left"/>
              <w:rPr>
                <w:rFonts w:ascii="宋体" w:cs="宋体"/>
              </w:rPr>
            </w:pPr>
            <w:r>
              <w:rPr>
                <w:rFonts w:ascii="宋体"/>
              </w:rPr>
              <w:t>针对视频监控点位，可批量添加编码设备中的监控点，并能查看监控点名称、传输协议、所属设备、IP地址、端口及通道号等监控点信息；支持通过导入导出经纬度批量修改监控点经纬度信息，支持输入经纬度、地图定位等方式标注监控点位置；支持通过名称、IP等条件搜索监控点；支持级联点位标签设置；支持OSD信息叠加配置，包括监控点名称、时间的显示隐藏以及位置配置等。</w:t>
            </w:r>
          </w:p>
          <w:p>
            <w:pPr>
              <w:widowControl/>
              <w:ind w:firstLine="315" w:firstLineChars="150"/>
              <w:jc w:val="left"/>
              <w:rPr>
                <w:rFonts w:ascii="宋体" w:cs="宋体"/>
              </w:rPr>
            </w:pPr>
            <w:r>
              <w:rPr>
                <w:rFonts w:ascii="宋体"/>
              </w:rPr>
              <w:t>针对车辆卡口设备，可添加卡口设备、配置卡口车道信息等，并能查看所属区域、卡口编号、前端类型、出入城类型、级联状态、经纬度、车道数等卡口设备信息；支持输入经纬度、地图定位等方式标注卡口位置。</w:t>
            </w:r>
          </w:p>
          <w:p>
            <w:pPr>
              <w:widowControl/>
              <w:ind w:firstLine="315" w:firstLineChars="150"/>
              <w:jc w:val="left"/>
              <w:rPr>
                <w:rFonts w:ascii="宋体"/>
              </w:rPr>
            </w:pPr>
            <w:r>
              <w:rPr>
                <w:rFonts w:ascii="宋体"/>
              </w:rPr>
              <w:t>针对WiFi设备，可添加WiFi设备、配置设备位置等，支持查看已添加WiFi设备信息，支持查询。</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15</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视频图像融合接入子系统-缉私多维信息接入网关</w:t>
            </w:r>
          </w:p>
        </w:tc>
        <w:tc>
          <w:tcPr>
            <w:tcW w:w="4506" w:type="dxa"/>
            <w:shd w:val="clear" w:color="auto" w:fill="auto"/>
            <w:vAlign w:val="center"/>
          </w:tcPr>
          <w:p>
            <w:pPr>
              <w:widowControl/>
              <w:ind w:firstLine="420" w:firstLineChars="200"/>
              <w:jc w:val="left"/>
              <w:rPr>
                <w:rFonts w:ascii="宋体"/>
              </w:rPr>
            </w:pPr>
            <w:r>
              <w:rPr>
                <w:rFonts w:ascii="宋体"/>
              </w:rPr>
              <w:t>对视频资源采集的数据进行配置管理，包括人脸数据采集配置管理、人体数据采集配置管理、车辆数据采集配置管理、WiFi数据采集配置管理。</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
          <w:jc w:val="left"/>
        </w:trPr>
        <w:tc>
          <w:tcPr>
            <w:tcW w:w="680" w:type="dxa"/>
            <w:shd w:val="clear" w:color="auto" w:fill="auto"/>
            <w:vAlign w:val="center"/>
          </w:tcPr>
          <w:p>
            <w:pPr>
              <w:widowControl/>
              <w:jc w:val="center"/>
              <w:rPr>
                <w:rFonts w:ascii="宋体"/>
              </w:rPr>
            </w:pPr>
            <w:r>
              <w:rPr>
                <w:rFonts w:ascii="宋体"/>
              </w:rPr>
              <w:t>16</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视频图像融合接入子系统-涉私视频流接入</w:t>
            </w:r>
          </w:p>
        </w:tc>
        <w:tc>
          <w:tcPr>
            <w:tcW w:w="4506" w:type="dxa"/>
            <w:shd w:val="clear" w:color="auto" w:fill="auto"/>
            <w:vAlign w:val="center"/>
          </w:tcPr>
          <w:p>
            <w:pPr>
              <w:widowControl/>
              <w:ind w:firstLine="420" w:firstLineChars="200"/>
              <w:jc w:val="left"/>
              <w:rPr>
                <w:rFonts w:ascii="宋体"/>
              </w:rPr>
            </w:pPr>
            <w:r>
              <w:rPr>
                <w:rFonts w:ascii="宋体"/>
              </w:rPr>
              <w:t>支持RTSP、RTMP、HLS、Websocket等多种流媒体取流协议，提供媒体流保活机制，实现不低于600M/s的并发取流能力。</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699"/>
          <w:jc w:val="left"/>
        </w:trPr>
        <w:tc>
          <w:tcPr>
            <w:tcW w:w="680" w:type="dxa"/>
            <w:shd w:val="clear" w:color="auto" w:fill="auto"/>
            <w:vAlign w:val="center"/>
          </w:tcPr>
          <w:p>
            <w:pPr>
              <w:widowControl/>
              <w:jc w:val="center"/>
              <w:rPr>
                <w:rFonts w:ascii="宋体"/>
              </w:rPr>
            </w:pPr>
            <w:r>
              <w:rPr>
                <w:rFonts w:ascii="宋体"/>
              </w:rPr>
              <w:t>17</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视频图像融合接入子系统-视频流媒体融合共享</w:t>
            </w:r>
          </w:p>
        </w:tc>
        <w:tc>
          <w:tcPr>
            <w:tcW w:w="4506" w:type="dxa"/>
            <w:shd w:val="clear" w:color="auto" w:fill="auto"/>
            <w:vAlign w:val="center"/>
          </w:tcPr>
          <w:p>
            <w:pPr>
              <w:widowControl/>
              <w:ind w:firstLine="420" w:firstLineChars="200"/>
              <w:jc w:val="left"/>
              <w:rPr>
                <w:rFonts w:ascii="宋体"/>
              </w:rPr>
            </w:pPr>
            <w:r>
              <w:rPr>
                <w:rFonts w:ascii="宋体"/>
              </w:rPr>
              <w:t>支持根据指定的设备、通道等信息实现实时点播，支持点播图像的显示、缩放、抓拍和录像，支持多用户对同一视频资源同时点播。支持根据指定的设备、通道、时间等信息实现录像回放，支持播放、暂停、抓拍、下载等功能。支持对云台摄像机进行云台遥控；支持媒体访问请求，向请求方分发流媒体数据。支持将非标视频码流转换为GB/T28181标准码流。支持根据指定设备、通道等进行图像实时解码，输出视频信号上墙显示。</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699"/>
          <w:jc w:val="left"/>
        </w:trPr>
        <w:tc>
          <w:tcPr>
            <w:tcW w:w="680" w:type="dxa"/>
            <w:shd w:val="clear" w:color="auto" w:fill="auto"/>
            <w:vAlign w:val="center"/>
          </w:tcPr>
          <w:p>
            <w:pPr>
              <w:widowControl/>
              <w:jc w:val="center"/>
              <w:rPr>
                <w:rFonts w:ascii="宋体"/>
              </w:rPr>
            </w:pPr>
            <w:r>
              <w:rPr>
                <w:rFonts w:ascii="宋体"/>
              </w:rPr>
              <w:t>18</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w:t>
            </w:r>
            <w:r>
              <w:rPr>
                <w:rFonts w:ascii="宋体" w:cs="宋体" w:hint="eastAsia"/>
              </w:rPr>
              <w:t>感知数据共享</w:t>
            </w:r>
          </w:p>
        </w:tc>
        <w:tc>
          <w:tcPr>
            <w:tcW w:w="4506" w:type="dxa"/>
            <w:shd w:val="clear" w:color="auto" w:fill="auto"/>
            <w:vAlign w:val="center"/>
          </w:tcPr>
          <w:p>
            <w:pPr>
              <w:widowControl/>
              <w:ind w:firstLine="420" w:firstLineChars="200"/>
              <w:jc w:val="left"/>
              <w:rPr>
                <w:rFonts w:ascii="宋体"/>
              </w:rPr>
            </w:pPr>
            <w:r>
              <w:rPr>
                <w:rFonts w:ascii="宋体"/>
              </w:rPr>
              <w:t>支持通过1400协议及其扩展协议实现人脸、人体、车辆等信息的订阅，并可对订阅任务进行管理。支持按背景图URL和小图URL、背景图URL和小图文件、背景图文件和小图文件等方式接收返回图片，支持模型的级联。支持通过订阅标题、订阅类别、级联方式、订阅任务类型、订阅状态等条件查询订阅通知任务。</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040"/>
          <w:jc w:val="left"/>
        </w:trPr>
        <w:tc>
          <w:tcPr>
            <w:tcW w:w="680" w:type="dxa"/>
            <w:shd w:val="clear" w:color="auto" w:fill="auto"/>
            <w:vAlign w:val="center"/>
          </w:tcPr>
          <w:p>
            <w:pPr>
              <w:widowControl/>
              <w:jc w:val="center"/>
              <w:rPr>
                <w:rFonts w:ascii="宋体"/>
              </w:rPr>
            </w:pPr>
            <w:r>
              <w:rPr>
                <w:rFonts w:ascii="宋体"/>
              </w:rPr>
              <w:t>19</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视频图像融合接入子系统-涉私图片流接入</w:t>
            </w:r>
          </w:p>
        </w:tc>
        <w:tc>
          <w:tcPr>
            <w:tcW w:w="4506" w:type="dxa"/>
            <w:shd w:val="clear" w:color="auto" w:fill="auto"/>
            <w:vAlign w:val="center"/>
          </w:tcPr>
          <w:p>
            <w:pPr>
              <w:widowControl/>
              <w:ind w:firstLine="420" w:firstLineChars="200"/>
              <w:jc w:val="left"/>
              <w:rPr>
                <w:rFonts w:ascii="宋体"/>
              </w:rPr>
            </w:pPr>
            <w:r>
              <w:rPr>
                <w:rFonts w:ascii="宋体"/>
              </w:rPr>
              <w:t>支持接入人脸、人体图片并转发进行存储。针对转发数据包含人脸或人体图片的情况，支持不低于100条/s的数据转发能力；针对转发数据不包含人脸或人体图片的情况，支持不低于1500条/s的数据转发能力。</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040"/>
          <w:jc w:val="left"/>
        </w:trPr>
        <w:tc>
          <w:tcPr>
            <w:tcW w:w="680" w:type="dxa"/>
            <w:shd w:val="clear" w:color="auto" w:fill="auto"/>
            <w:vAlign w:val="center"/>
          </w:tcPr>
          <w:p>
            <w:pPr>
              <w:widowControl/>
              <w:jc w:val="center"/>
              <w:rPr>
                <w:rFonts w:ascii="宋体"/>
              </w:rPr>
            </w:pPr>
            <w:r>
              <w:rPr>
                <w:rFonts w:ascii="宋体"/>
              </w:rPr>
              <w:t>20</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视频图像融合接入子系统-泛卡口视图资源接入</w:t>
            </w:r>
          </w:p>
        </w:tc>
        <w:tc>
          <w:tcPr>
            <w:tcW w:w="4506" w:type="dxa"/>
            <w:shd w:val="clear" w:color="auto" w:fill="auto"/>
            <w:vAlign w:val="center"/>
          </w:tcPr>
          <w:p>
            <w:pPr>
              <w:widowControl/>
              <w:ind w:firstLine="420" w:firstLineChars="200"/>
              <w:jc w:val="left"/>
              <w:rPr>
                <w:rFonts w:ascii="宋体"/>
              </w:rPr>
            </w:pPr>
            <w:r>
              <w:rPr>
                <w:rFonts w:ascii="宋体"/>
              </w:rPr>
              <w:t>支持接入车辆图片并转发进行存储。针对转发数据包含车辆图片的情况，实现不低于100条/s的数据转发能力；针对转发数据不包含车辆图片的情况，实现不低于1500条/s的数据转发能力。</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
          <w:jc w:val="left"/>
        </w:trPr>
        <w:tc>
          <w:tcPr>
            <w:tcW w:w="680" w:type="dxa"/>
            <w:shd w:val="clear" w:color="auto" w:fill="auto"/>
            <w:vAlign w:val="center"/>
          </w:tcPr>
          <w:p>
            <w:pPr>
              <w:widowControl/>
              <w:jc w:val="center"/>
              <w:rPr>
                <w:rFonts w:ascii="宋体"/>
              </w:rPr>
            </w:pPr>
            <w:r>
              <w:rPr>
                <w:rFonts w:ascii="宋体"/>
              </w:rPr>
              <w:t>21</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视频图像融合接入子系统-对接业务系统信息资源库</w:t>
            </w:r>
          </w:p>
        </w:tc>
        <w:tc>
          <w:tcPr>
            <w:tcW w:w="4506" w:type="dxa"/>
            <w:shd w:val="clear" w:color="auto" w:fill="auto"/>
            <w:vAlign w:val="center"/>
          </w:tcPr>
          <w:p>
            <w:pPr>
              <w:widowControl/>
              <w:ind w:firstLine="420" w:firstLineChars="200"/>
              <w:jc w:val="left"/>
              <w:rPr>
                <w:rFonts w:ascii="宋体"/>
              </w:rPr>
            </w:pPr>
            <w:r>
              <w:rPr>
                <w:rFonts w:ascii="宋体"/>
              </w:rPr>
              <w:t>支持基于GB/T28181协议对接缉私部门的视频监控平台的视频图像资源。</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629"/>
          <w:jc w:val="left"/>
        </w:trPr>
        <w:tc>
          <w:tcPr>
            <w:tcW w:w="680" w:type="dxa"/>
            <w:shd w:val="clear" w:color="auto" w:fill="auto"/>
            <w:vAlign w:val="center"/>
          </w:tcPr>
          <w:p>
            <w:pPr>
              <w:widowControl/>
              <w:jc w:val="center"/>
              <w:rPr>
                <w:rFonts w:ascii="宋体"/>
              </w:rPr>
            </w:pPr>
            <w:r>
              <w:rPr>
                <w:rFonts w:ascii="宋体"/>
              </w:rPr>
              <w:t>22</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视频图像融合接入子系统-缓存和存储服务</w:t>
            </w:r>
          </w:p>
        </w:tc>
        <w:tc>
          <w:tcPr>
            <w:tcW w:w="4506" w:type="dxa"/>
            <w:shd w:val="clear" w:color="auto" w:fill="auto"/>
            <w:vAlign w:val="center"/>
          </w:tcPr>
          <w:p>
            <w:pPr>
              <w:widowControl/>
              <w:ind w:firstLine="420" w:firstLineChars="200"/>
              <w:jc w:val="left"/>
              <w:rPr>
                <w:rFonts w:ascii="宋体" w:cs="宋体"/>
              </w:rPr>
            </w:pPr>
            <w:r>
              <w:rPr>
                <w:rFonts w:ascii="宋体"/>
              </w:rPr>
              <w:t>针对视频存储，支持关联平台录像计划，将前端设备采集的录像数据存储，并能通过监控点编号、录像类型、时间组合、锁定、标注等条件查询录像数据；支持根据监控点编号以及时间段、录像类型对录像数据进行快放、慢放、倒序回放、I帧回放、下载等功能；支持对指定的录像片段进行锁定，锁定后的数据不被循环覆盖掉，到期自动解锁。</w:t>
            </w:r>
          </w:p>
          <w:p>
            <w:pPr>
              <w:widowControl/>
              <w:ind w:firstLine="420" w:firstLineChars="200"/>
              <w:jc w:val="left"/>
              <w:rPr>
                <w:rFonts w:ascii="宋体" w:cs="宋体"/>
              </w:rPr>
            </w:pPr>
            <w:r>
              <w:rPr>
                <w:rFonts w:ascii="宋体"/>
              </w:rPr>
              <w:t>针对图片存储，支持根据URL进行图片预览、图片下载、图片锁定等，支持根据监控点编号以及时间段对图片批量下载，支持多种图片压缩方式；支持对图片批量锁定，到期自动解锁；支持对图片实现即存即取。</w:t>
            </w:r>
          </w:p>
          <w:p>
            <w:pPr>
              <w:widowControl/>
              <w:ind w:firstLine="420" w:firstLineChars="200"/>
              <w:jc w:val="left"/>
              <w:rPr>
                <w:rFonts w:ascii="宋体" w:cs="宋体"/>
              </w:rPr>
            </w:pPr>
            <w:r>
              <w:rPr>
                <w:rFonts w:ascii="宋体"/>
              </w:rPr>
              <w:t>针对对象存储，支持将整个文件切分成多个分片独立上传，支持将分片合并成一个文件；支持一次性返回所有数据的下载方式；支持断点续传下载，指定下载开始偏移与结束偏移，返回指定偏移段内数据；支持通过URL分享，授权第三方下载。</w:t>
            </w:r>
          </w:p>
          <w:p>
            <w:pPr>
              <w:widowControl/>
              <w:ind w:firstLine="420" w:firstLineChars="200"/>
              <w:jc w:val="left"/>
              <w:rPr>
                <w:rFonts w:ascii="宋体"/>
              </w:rPr>
            </w:pPr>
            <w:r>
              <w:rPr>
                <w:rFonts w:ascii="宋体"/>
              </w:rPr>
              <w:t>支持对图片数据进行处理，包括图片预览、压缩、裁剪、旋转、缩放、格式转换、马赛克、归一化、文字水印等。</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300"/>
          <w:jc w:val="left"/>
        </w:trPr>
        <w:tc>
          <w:tcPr>
            <w:tcW w:w="680" w:type="dxa"/>
            <w:shd w:val="clear" w:color="auto" w:fill="auto"/>
            <w:vAlign w:val="center"/>
          </w:tcPr>
          <w:p>
            <w:pPr>
              <w:widowControl/>
              <w:jc w:val="center"/>
              <w:rPr>
                <w:rFonts w:ascii="宋体"/>
              </w:rPr>
            </w:pPr>
            <w:r>
              <w:rPr>
                <w:rFonts w:ascii="宋体"/>
              </w:rPr>
              <w:t>23</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视频图像融合接入子系统-涉私视频控制管理</w:t>
            </w:r>
          </w:p>
        </w:tc>
        <w:tc>
          <w:tcPr>
            <w:tcW w:w="4506" w:type="dxa"/>
            <w:shd w:val="clear" w:color="auto" w:fill="auto"/>
            <w:vAlign w:val="center"/>
          </w:tcPr>
          <w:p>
            <w:pPr>
              <w:widowControl/>
              <w:ind w:firstLine="420" w:firstLineChars="200"/>
              <w:jc w:val="left"/>
              <w:rPr>
                <w:rFonts w:ascii="宋体"/>
              </w:rPr>
            </w:pPr>
            <w:r>
              <w:rPr>
                <w:rFonts w:ascii="宋体"/>
              </w:rPr>
              <w:t>支持对视频、图片、文件、对象数据等实现混合存储，并可执行不同的数据存储策略，实现对数据生命周期管理。支持存储运维管理，可获取版本、CPU、内存、网卡、磁盘等系统信息，支持CPU、内存、设备故障、掉线等设备故障告警，支持标准的SNMP协议对接。</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0"/>
          <w:jc w:val="left"/>
        </w:trPr>
        <w:tc>
          <w:tcPr>
            <w:tcW w:w="680" w:type="dxa"/>
            <w:shd w:val="clear" w:color="auto" w:fill="auto"/>
            <w:vAlign w:val="center"/>
          </w:tcPr>
          <w:p>
            <w:pPr>
              <w:widowControl/>
              <w:jc w:val="center"/>
              <w:rPr>
                <w:rFonts w:ascii="宋体"/>
              </w:rPr>
            </w:pPr>
            <w:r>
              <w:rPr>
                <w:rFonts w:ascii="宋体"/>
              </w:rPr>
              <w:t>24</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视频图像解析子系统-缉私统一解析服务</w:t>
            </w:r>
          </w:p>
        </w:tc>
        <w:tc>
          <w:tcPr>
            <w:tcW w:w="4506" w:type="dxa"/>
            <w:shd w:val="clear" w:color="auto" w:fill="auto"/>
            <w:vAlign w:val="center"/>
          </w:tcPr>
          <w:p>
            <w:pPr>
              <w:widowControl/>
              <w:ind w:firstLine="315" w:firstLineChars="150"/>
              <w:jc w:val="left"/>
              <w:rPr>
                <w:rFonts w:ascii="宋体"/>
              </w:rPr>
            </w:pPr>
            <w:r>
              <w:rPr>
                <w:rFonts w:ascii="宋体"/>
              </w:rPr>
              <w:t>支持视频流解析，支持通过GB/T28181、RTSP 等协议获取视频流，支持解析视频点播。</w:t>
            </w:r>
          </w:p>
          <w:p>
            <w:pPr>
              <w:widowControl/>
              <w:ind w:firstLine="315" w:firstLineChars="150"/>
              <w:jc w:val="left"/>
              <w:rPr>
                <w:rFonts w:ascii="宋体"/>
              </w:rPr>
            </w:pPr>
            <w:r>
              <w:rPr>
                <w:rFonts w:ascii="宋体"/>
              </w:rPr>
              <w:t>支持统一解码，解码后数据输入视频流解析进行特征及属性提取。</w:t>
            </w:r>
          </w:p>
          <w:p>
            <w:pPr>
              <w:widowControl/>
              <w:ind w:firstLine="420" w:firstLineChars="200"/>
              <w:jc w:val="left"/>
              <w:rPr>
                <w:rFonts w:ascii="宋体"/>
              </w:rPr>
            </w:pPr>
            <w:r>
              <w:rPr>
                <w:rFonts w:ascii="宋体"/>
              </w:rPr>
              <w:t>支持图片流解析，支持对图片流数据进行处理及解析。支持GA1400协议获取图片。</w:t>
            </w:r>
          </w:p>
          <w:p>
            <w:pPr>
              <w:widowControl/>
              <w:ind w:firstLine="420" w:firstLineChars="200"/>
              <w:jc w:val="left"/>
              <w:rPr>
                <w:rFonts w:ascii="宋体"/>
              </w:rPr>
            </w:pPr>
            <w:r>
              <w:rPr>
                <w:rFonts w:ascii="宋体"/>
              </w:rPr>
              <w:t>支持人脸解析，支持对人脸目标进行人脸属性、特征提取。</w:t>
            </w:r>
          </w:p>
          <w:p>
            <w:pPr>
              <w:widowControl/>
              <w:ind w:firstLine="420" w:firstLineChars="200"/>
              <w:jc w:val="left"/>
              <w:rPr>
                <w:rFonts w:ascii="宋体"/>
              </w:rPr>
            </w:pPr>
            <w:r>
              <w:rPr>
                <w:rFonts w:ascii="宋体"/>
              </w:rPr>
              <w:t>支持涉私人脸人体解析，支持对人脸目标进行人脸属性、特征提取，支持对人体目标进行人体属性、特征提取。当同一个画面同一人的人脸、人体都满足解析要求时，支持对人脸、人体进行分别解析并建立人脸与人体的关联关系。</w:t>
            </w:r>
          </w:p>
          <w:p>
            <w:pPr>
              <w:widowControl/>
              <w:ind w:firstLine="420" w:firstLineChars="200"/>
              <w:jc w:val="left"/>
              <w:rPr>
                <w:rFonts w:ascii="宋体"/>
              </w:rPr>
            </w:pPr>
            <w:r>
              <w:rPr>
                <w:rFonts w:ascii="宋体"/>
              </w:rPr>
              <w:t>支持视频结构化解析，对视频中的人脸、行人、非机动车、机动车等目标进行检测、跟踪、属性及关联关系提取，支持对人脸目标进行人脸属性、特征提取，支持对人体目标进行人体属性、特征提取，支持对机动车目标进行机动车属性、特征提取，支持对非机动车目标进行非机动车属性、特征提取，支持对人脸-人体、人体-非机动车等关联关系提取。</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947"/>
          <w:jc w:val="left"/>
        </w:trPr>
        <w:tc>
          <w:tcPr>
            <w:tcW w:w="680" w:type="dxa"/>
            <w:shd w:val="clear" w:color="auto" w:fill="auto"/>
            <w:vAlign w:val="center"/>
          </w:tcPr>
          <w:p>
            <w:pPr>
              <w:widowControl/>
              <w:jc w:val="center"/>
              <w:rPr>
                <w:rFonts w:ascii="宋体"/>
              </w:rPr>
            </w:pPr>
            <w:r>
              <w:rPr>
                <w:rFonts w:ascii="宋体"/>
              </w:rPr>
              <w:t>25</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视频图像解析子系统-人员结构化服务</w:t>
            </w:r>
          </w:p>
        </w:tc>
        <w:tc>
          <w:tcPr>
            <w:tcW w:w="4506" w:type="dxa"/>
            <w:shd w:val="clear" w:color="auto" w:fill="auto"/>
            <w:vAlign w:val="center"/>
          </w:tcPr>
          <w:p>
            <w:pPr>
              <w:widowControl/>
              <w:ind w:firstLine="420" w:firstLineChars="200"/>
              <w:jc w:val="left"/>
              <w:rPr>
                <w:rFonts w:ascii="宋体"/>
              </w:rPr>
            </w:pPr>
            <w:r>
              <w:rPr>
                <w:rFonts w:ascii="宋体"/>
              </w:rPr>
              <w:t>支持人脸的结构化解析，并返回人脸结构化信息。支持的人脸结构化信息不少于9种。</w:t>
            </w:r>
          </w:p>
          <w:p>
            <w:pPr>
              <w:widowControl/>
              <w:ind w:firstLine="420" w:firstLineChars="200"/>
              <w:jc w:val="left"/>
              <w:rPr>
                <w:rFonts w:ascii="宋体"/>
              </w:rPr>
            </w:pPr>
            <w:r>
              <w:rPr>
                <w:rFonts w:ascii="宋体"/>
              </w:rPr>
              <w:t>支持人体的结构化解析，并返回人体结构化信息。支持的人体结构化信息不少于26种。</w:t>
            </w:r>
          </w:p>
        </w:tc>
        <w:tc>
          <w:tcPr>
            <w:tcW w:w="1134" w:type="dxa"/>
            <w:shd w:val="clear" w:color="auto" w:fill="auto"/>
            <w:vAlign w:val="center"/>
          </w:tcPr>
          <w:p>
            <w:pPr>
              <w:widowControl/>
              <w:jc w:val="center"/>
              <w:rPr>
                <w:rFonts w:ascii="宋体"/>
              </w:rPr>
            </w:pPr>
          </w:p>
        </w:tc>
      </w:tr>
      <w:tr>
        <w:tblPrEx>
          <w:tblW w:w="8217" w:type="dxa"/>
          <w:jc w:val="left"/>
          <w:tblInd w:w="0" w:type="dxa"/>
          <w:tblCellMar>
            <w:top w:w="0" w:type="dxa"/>
            <w:left w:w="108" w:type="dxa"/>
            <w:bottom w:w="0" w:type="dxa"/>
            <w:right w:w="108" w:type="dxa"/>
          </w:tblCellMar>
        </w:tblPrEx>
        <w:trPr>
          <w:trHeight w:val="699"/>
          <w:jc w:val="left"/>
        </w:trPr>
        <w:tc>
          <w:tcPr>
            <w:tcW w:w="680" w:type="dxa"/>
            <w:shd w:val="clear" w:color="auto" w:fill="auto"/>
            <w:vAlign w:val="center"/>
          </w:tcPr>
          <w:p>
            <w:pPr>
              <w:widowControl/>
              <w:jc w:val="center"/>
              <w:rPr>
                <w:rFonts w:ascii="宋体"/>
              </w:rPr>
            </w:pPr>
            <w:r>
              <w:rPr>
                <w:rFonts w:ascii="宋体"/>
              </w:rPr>
              <w:t>26</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视频图像解析子系统-车辆结构化服务</w:t>
            </w:r>
          </w:p>
        </w:tc>
        <w:tc>
          <w:tcPr>
            <w:tcW w:w="4506" w:type="dxa"/>
            <w:shd w:val="clear" w:color="auto" w:fill="auto"/>
            <w:vAlign w:val="center"/>
          </w:tcPr>
          <w:p>
            <w:pPr>
              <w:widowControl/>
              <w:ind w:firstLine="420" w:firstLineChars="200"/>
              <w:jc w:val="left"/>
              <w:rPr>
                <w:rFonts w:ascii="宋体"/>
              </w:rPr>
            </w:pPr>
            <w:r>
              <w:rPr>
                <w:rFonts w:ascii="宋体"/>
              </w:rPr>
              <w:t>支持对车辆的结构化解析，并返回车辆结构化信息。</w:t>
            </w:r>
          </w:p>
          <w:p>
            <w:pPr>
              <w:widowControl/>
              <w:ind w:firstLine="420" w:firstLineChars="200"/>
              <w:jc w:val="left"/>
              <w:rPr>
                <w:rFonts w:ascii="宋体"/>
              </w:rPr>
            </w:pPr>
            <w:r>
              <w:rPr>
                <w:rFonts w:ascii="宋体"/>
              </w:rPr>
              <w:t>支持的车辆结构化信息不少于28种，</w:t>
            </w:r>
            <w:r>
              <w:rPr>
                <w:rFonts w:ascii="宋体" w:hint="eastAsia"/>
              </w:rPr>
              <w:t>至少</w:t>
            </w:r>
            <w:r>
              <w:rPr>
                <w:rFonts w:ascii="宋体"/>
              </w:rPr>
              <w:t>包括：号牌种类、车牌颜色、车牌号、车辆类型、特殊车辆类型、车辆品牌、车辆型号、车身颜色等。</w:t>
            </w:r>
          </w:p>
        </w:tc>
        <w:tc>
          <w:tcPr>
            <w:tcW w:w="1134" w:type="dxa"/>
            <w:shd w:val="clear" w:color="auto" w:fill="auto"/>
            <w:vAlign w:val="center"/>
          </w:tcPr>
          <w:p>
            <w:pPr>
              <w:widowControl/>
              <w:jc w:val="center"/>
              <w:rPr>
                <w:rFonts w:ascii="宋体"/>
              </w:rPr>
            </w:pPr>
          </w:p>
        </w:tc>
      </w:tr>
      <w:tr>
        <w:tblPrEx>
          <w:tblW w:w="8217" w:type="dxa"/>
          <w:jc w:val="left"/>
          <w:tblInd w:w="0" w:type="dxa"/>
          <w:tblCellMar>
            <w:top w:w="0" w:type="dxa"/>
            <w:left w:w="108" w:type="dxa"/>
            <w:bottom w:w="0" w:type="dxa"/>
            <w:right w:w="108" w:type="dxa"/>
          </w:tblCellMar>
        </w:tblPrEx>
        <w:trPr>
          <w:trHeight w:val="408"/>
          <w:jc w:val="left"/>
        </w:trPr>
        <w:tc>
          <w:tcPr>
            <w:tcW w:w="680" w:type="dxa"/>
            <w:shd w:val="clear" w:color="auto" w:fill="auto"/>
            <w:vAlign w:val="center"/>
          </w:tcPr>
          <w:p>
            <w:pPr>
              <w:widowControl/>
              <w:jc w:val="center"/>
              <w:rPr>
                <w:rFonts w:ascii="宋体"/>
              </w:rPr>
            </w:pPr>
            <w:r>
              <w:rPr>
                <w:rFonts w:ascii="宋体"/>
              </w:rPr>
              <w:t>27</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视频图像解析子系统-非机动车结构化服务</w:t>
            </w:r>
          </w:p>
        </w:tc>
        <w:tc>
          <w:tcPr>
            <w:tcW w:w="4506" w:type="dxa"/>
            <w:shd w:val="clear" w:color="auto" w:fill="auto"/>
            <w:vAlign w:val="center"/>
          </w:tcPr>
          <w:p>
            <w:pPr>
              <w:widowControl/>
              <w:jc w:val="left"/>
              <w:rPr>
                <w:rFonts w:ascii="宋体"/>
              </w:rPr>
            </w:pPr>
            <w:r>
              <w:rPr>
                <w:rFonts w:ascii="宋体"/>
              </w:rPr>
              <w:t>支持对非机动车的结构化解析，并返回非机动车结构化信息。支持的非机动车结构化信息不少于6种。需包括：非机动车类型、车身颜色、车辆朝向、电动车有无挡风布、电动车前载物有无、电动车后载物类型。</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3900"/>
          <w:jc w:val="left"/>
        </w:trPr>
        <w:tc>
          <w:tcPr>
            <w:tcW w:w="680" w:type="dxa"/>
            <w:shd w:val="clear" w:color="auto" w:fill="auto"/>
            <w:vAlign w:val="center"/>
          </w:tcPr>
          <w:p>
            <w:pPr>
              <w:widowControl/>
              <w:jc w:val="center"/>
              <w:rPr>
                <w:rFonts w:ascii="宋体"/>
              </w:rPr>
            </w:pPr>
            <w:r>
              <w:rPr>
                <w:rFonts w:ascii="宋体"/>
              </w:rPr>
              <w:t>28</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rPr>
              <w:t>视频图像解析子系统-人车分析准确率</w:t>
            </w:r>
          </w:p>
        </w:tc>
        <w:tc>
          <w:tcPr>
            <w:tcW w:w="4506" w:type="dxa"/>
            <w:shd w:val="clear" w:color="auto" w:fill="auto"/>
            <w:vAlign w:val="center"/>
          </w:tcPr>
          <w:p>
            <w:pPr>
              <w:widowControl/>
              <w:ind w:firstLine="420" w:firstLineChars="200"/>
              <w:jc w:val="left"/>
              <w:rPr>
                <w:rFonts w:ascii="宋体" w:cs="宋体"/>
              </w:rPr>
            </w:pPr>
            <w:r>
              <w:rPr>
                <w:rFonts w:ascii="宋体"/>
              </w:rPr>
              <w:t>行人上衣颜色分析准确率≥95%，下装颜色分析准确率≥95%。</w:t>
            </w:r>
          </w:p>
          <w:p>
            <w:pPr>
              <w:widowControl/>
              <w:ind w:firstLine="420" w:firstLineChars="200"/>
              <w:jc w:val="left"/>
              <w:rPr>
                <w:rFonts w:ascii="宋体" w:cs="宋体"/>
              </w:rPr>
            </w:pPr>
            <w:r>
              <w:rPr>
                <w:rFonts w:ascii="宋体"/>
              </w:rPr>
              <w:t>在白天光照正常、夜间补光正常、车辆特征人眼可辨识的条件下，车辆类型分析准确率不低于99%。</w:t>
            </w:r>
          </w:p>
          <w:p>
            <w:pPr>
              <w:widowControl/>
              <w:ind w:firstLine="420" w:firstLineChars="200"/>
              <w:jc w:val="left"/>
              <w:rPr>
                <w:rFonts w:ascii="宋体" w:cs="宋体"/>
              </w:rPr>
            </w:pPr>
            <w:r>
              <w:rPr>
                <w:rFonts w:ascii="宋体"/>
              </w:rPr>
              <w:t>人脸性别检出率≥99.5%，人脸性别分析准确率≥99.5%。</w:t>
            </w:r>
          </w:p>
          <w:p>
            <w:pPr>
              <w:widowControl/>
              <w:ind w:firstLine="420" w:firstLineChars="200"/>
              <w:jc w:val="left"/>
              <w:rPr>
                <w:rFonts w:ascii="宋体" w:cs="宋体"/>
              </w:rPr>
            </w:pPr>
            <w:r>
              <w:rPr>
                <w:rFonts w:ascii="宋体"/>
              </w:rPr>
              <w:t>机动车车牌号识别在漏检率≤0.1%的情况下，机动车车牌识别准确率应≥99.5%。</w:t>
            </w:r>
          </w:p>
          <w:p>
            <w:pPr>
              <w:widowControl/>
              <w:ind w:firstLine="420" w:firstLineChars="200"/>
              <w:jc w:val="left"/>
              <w:rPr>
                <w:rFonts w:ascii="宋体" w:cs="宋体"/>
              </w:rPr>
            </w:pPr>
            <w:r>
              <w:rPr>
                <w:rFonts w:ascii="宋体"/>
              </w:rPr>
              <w:t>车辆品牌分析准确率≥99%。</w:t>
            </w:r>
          </w:p>
          <w:p>
            <w:pPr>
              <w:widowControl/>
              <w:ind w:firstLine="420" w:firstLineChars="200"/>
              <w:jc w:val="left"/>
              <w:rPr>
                <w:rFonts w:ascii="宋体" w:cs="宋体"/>
              </w:rPr>
            </w:pPr>
            <w:r>
              <w:rPr>
                <w:rFonts w:ascii="宋体"/>
              </w:rPr>
              <w:t>非机动车类型（自行车、摩托车/电动车、三轮车）分析准确率≥95%。</w:t>
            </w:r>
          </w:p>
          <w:p>
            <w:pPr>
              <w:widowControl/>
              <w:ind w:firstLine="420" w:firstLineChars="200"/>
              <w:jc w:val="left"/>
              <w:rPr>
                <w:rFonts w:ascii="宋体" w:cs="宋体"/>
              </w:rPr>
            </w:pPr>
            <w:r>
              <w:rPr>
                <w:rFonts w:ascii="宋体"/>
              </w:rPr>
              <w:t>光照正常、目标属性清晰可辨识的视频进行人脸、人体抓拍，人脸人体关联检出率不低于95%。</w:t>
            </w:r>
          </w:p>
          <w:p>
            <w:pPr>
              <w:widowControl/>
              <w:ind w:firstLine="420" w:firstLineChars="200"/>
              <w:jc w:val="left"/>
              <w:rPr>
                <w:rFonts w:ascii="宋体"/>
              </w:rPr>
            </w:pPr>
            <w:r>
              <w:rPr>
                <w:rFonts w:ascii="宋体"/>
              </w:rPr>
              <w:t>对人脸图片进行聚类归档，召回率≥99%，准确率≥99%。</w:t>
            </w:r>
          </w:p>
        </w:tc>
        <w:tc>
          <w:tcPr>
            <w:tcW w:w="1134" w:type="dxa"/>
            <w:shd w:val="clear" w:color="auto" w:fill="auto"/>
            <w:vAlign w:val="center"/>
          </w:tcPr>
          <w:p>
            <w:pPr>
              <w:widowControl/>
              <w:jc w:val="center"/>
              <w:rPr>
                <w:rFonts w:ascii="宋体"/>
              </w:rPr>
            </w:pPr>
            <w:r>
              <w:rPr>
                <w:rFonts w:ascii="宋体"/>
              </w:rPr>
              <w:t>是，投标人提供</w:t>
            </w:r>
            <w:r>
              <w:rPr>
                <w:rFonts w:ascii="宋体" w:cs="宋体" w:hint="eastAsia"/>
              </w:rPr>
              <w:t>承诺函并</w:t>
            </w:r>
            <w:r>
              <w:rPr>
                <w:rFonts w:ascii="宋体"/>
              </w:rPr>
              <w:t>加盖</w:t>
            </w:r>
            <w:r>
              <w:rPr>
                <w:rFonts w:ascii="宋体" w:cs="宋体" w:hint="eastAsia"/>
              </w:rPr>
              <w:t>投标人</w:t>
            </w:r>
            <w:r>
              <w:rPr>
                <w:rFonts w:ascii="宋体"/>
              </w:rPr>
              <w:t>公章</w:t>
            </w:r>
          </w:p>
        </w:tc>
      </w:tr>
      <w:tr>
        <w:tblPrEx>
          <w:tblW w:w="8217" w:type="dxa"/>
          <w:jc w:val="left"/>
          <w:tblInd w:w="0" w:type="dxa"/>
          <w:tblCellMar>
            <w:top w:w="0" w:type="dxa"/>
            <w:left w:w="108" w:type="dxa"/>
            <w:bottom w:w="0" w:type="dxa"/>
            <w:right w:w="108" w:type="dxa"/>
          </w:tblCellMar>
        </w:tblPrEx>
        <w:trPr>
          <w:trHeight w:val="1040"/>
          <w:jc w:val="left"/>
        </w:trPr>
        <w:tc>
          <w:tcPr>
            <w:tcW w:w="680" w:type="dxa"/>
            <w:shd w:val="clear" w:color="auto" w:fill="auto"/>
            <w:vAlign w:val="center"/>
          </w:tcPr>
          <w:p>
            <w:pPr>
              <w:widowControl/>
              <w:jc w:val="center"/>
              <w:rPr>
                <w:rFonts w:ascii="宋体"/>
              </w:rPr>
            </w:pPr>
            <w:r>
              <w:rPr>
                <w:rFonts w:ascii="宋体"/>
              </w:rPr>
              <w:t>29</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rPr>
              <w:t>视频图像解析子系统-人脸比对检索准确率</w:t>
            </w:r>
          </w:p>
        </w:tc>
        <w:tc>
          <w:tcPr>
            <w:tcW w:w="4506" w:type="dxa"/>
            <w:shd w:val="clear" w:color="auto" w:fill="auto"/>
            <w:vAlign w:val="center"/>
          </w:tcPr>
          <w:p>
            <w:pPr>
              <w:widowControl/>
              <w:ind w:firstLine="420" w:firstLineChars="200"/>
              <w:jc w:val="left"/>
              <w:rPr>
                <w:rFonts w:ascii="宋体" w:cs="宋体"/>
              </w:rPr>
            </w:pPr>
            <w:r>
              <w:rPr>
                <w:rFonts w:ascii="宋体"/>
              </w:rPr>
              <w:t>百万人脸库规模下，以脸搜脸首位命中率不低于99%；以脸搜脸前十位命中率不低于 99.9%</w:t>
            </w:r>
            <w:r>
              <w:rPr>
                <w:rFonts w:ascii="宋体" w:hint="eastAsia"/>
              </w:rPr>
              <w:t>；</w:t>
            </w:r>
            <w:r>
              <w:rPr>
                <w:rFonts w:ascii="宋体"/>
              </w:rPr>
              <w:t>以脸搜脸前五十位命中率不低于 99.99%。</w:t>
            </w:r>
          </w:p>
          <w:p>
            <w:pPr>
              <w:widowControl/>
              <w:ind w:firstLine="420" w:firstLineChars="200"/>
              <w:jc w:val="left"/>
              <w:rPr>
                <w:rFonts w:ascii="宋体"/>
              </w:rPr>
            </w:pPr>
            <w:r>
              <w:rPr>
                <w:rFonts w:ascii="宋体"/>
              </w:rPr>
              <w:t>戴口罩人脸布控漏报率≤0.5%，报警准确率≥99.5%。</w:t>
            </w:r>
          </w:p>
        </w:tc>
        <w:tc>
          <w:tcPr>
            <w:tcW w:w="1134" w:type="dxa"/>
            <w:shd w:val="clear" w:color="auto" w:fill="auto"/>
            <w:vAlign w:val="center"/>
          </w:tcPr>
          <w:p>
            <w:pPr>
              <w:widowControl/>
              <w:jc w:val="center"/>
              <w:rPr>
                <w:rFonts w:ascii="宋体"/>
              </w:rPr>
            </w:pPr>
            <w:r>
              <w:rPr>
                <w:rFonts w:ascii="宋体"/>
              </w:rPr>
              <w:t>是，投标人提供</w:t>
            </w:r>
            <w:r>
              <w:rPr>
                <w:rFonts w:ascii="宋体" w:cs="宋体" w:hint="eastAsia"/>
              </w:rPr>
              <w:t>承诺函并</w:t>
            </w:r>
            <w:r>
              <w:rPr>
                <w:rFonts w:ascii="宋体"/>
              </w:rPr>
              <w:t>加盖</w:t>
            </w:r>
            <w:r>
              <w:rPr>
                <w:rFonts w:ascii="宋体" w:cs="宋体" w:hint="eastAsia"/>
              </w:rPr>
              <w:t>投标人</w:t>
            </w:r>
            <w:r>
              <w:rPr>
                <w:rFonts w:ascii="宋体"/>
              </w:rPr>
              <w:t>公章</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30</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视频图像解析子系统-缉私人像存储网关</w:t>
            </w:r>
          </w:p>
        </w:tc>
        <w:tc>
          <w:tcPr>
            <w:tcW w:w="4506" w:type="dxa"/>
            <w:shd w:val="clear" w:color="auto" w:fill="auto"/>
            <w:vAlign w:val="center"/>
          </w:tcPr>
          <w:p>
            <w:pPr>
              <w:widowControl/>
              <w:ind w:firstLine="420" w:firstLineChars="200"/>
              <w:jc w:val="left"/>
              <w:rPr>
                <w:rFonts w:ascii="宋体"/>
              </w:rPr>
            </w:pPr>
            <w:r>
              <w:rPr>
                <w:rFonts w:ascii="宋体"/>
              </w:rPr>
              <w:t>支持存储视图特征解析形成的结果，支持将特征、属性信息通过消息服务推送到人脸/人体时空特征库、结构化信息库等进行存储。</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2600"/>
          <w:jc w:val="left"/>
        </w:trPr>
        <w:tc>
          <w:tcPr>
            <w:tcW w:w="680" w:type="dxa"/>
            <w:shd w:val="clear" w:color="auto" w:fill="auto"/>
            <w:vAlign w:val="center"/>
          </w:tcPr>
          <w:p>
            <w:pPr>
              <w:widowControl/>
              <w:jc w:val="center"/>
              <w:rPr>
                <w:rFonts w:ascii="宋体"/>
              </w:rPr>
            </w:pPr>
            <w:r>
              <w:rPr>
                <w:rFonts w:ascii="宋体"/>
              </w:rPr>
              <w:t>31</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视频图像解析子系统-特征比对检索服务</w:t>
            </w:r>
          </w:p>
        </w:tc>
        <w:tc>
          <w:tcPr>
            <w:tcW w:w="4506" w:type="dxa"/>
            <w:shd w:val="clear" w:color="auto" w:fill="auto"/>
            <w:vAlign w:val="center"/>
          </w:tcPr>
          <w:p>
            <w:pPr>
              <w:widowControl/>
              <w:ind w:firstLine="420" w:firstLineChars="200"/>
              <w:jc w:val="left"/>
              <w:rPr>
                <w:rFonts w:ascii="宋体" w:cs="宋体"/>
              </w:rPr>
            </w:pPr>
            <w:r>
              <w:rPr>
                <w:rFonts w:ascii="宋体"/>
              </w:rPr>
              <w:t>支持缉私人脸布控特征库服务、缉私人脸静态特征库服务、缉私人脸时空特征库服务、人体时空特征库服务、缉私车辆时空特征库服务、缉私非机动车时空特征库服务及重点人员特征库服务。支持存储特征并提供特征比对检索服务。</w:t>
            </w:r>
          </w:p>
          <w:p>
            <w:pPr>
              <w:widowControl/>
              <w:ind w:firstLine="420" w:firstLineChars="200"/>
              <w:jc w:val="left"/>
              <w:rPr>
                <w:rFonts w:ascii="宋体" w:cs="宋体"/>
              </w:rPr>
            </w:pPr>
            <w:r>
              <w:rPr>
                <w:rFonts w:ascii="宋体"/>
              </w:rPr>
              <w:t>支持结构化信息库服务，支持存储人脸、人体、车辆结构化信息。</w:t>
            </w:r>
          </w:p>
          <w:p>
            <w:pPr>
              <w:widowControl/>
              <w:ind w:firstLine="420" w:firstLineChars="200"/>
              <w:jc w:val="left"/>
              <w:rPr>
                <w:rFonts w:ascii="宋体"/>
              </w:rPr>
            </w:pPr>
            <w:r>
              <w:rPr>
                <w:rFonts w:ascii="宋体"/>
              </w:rPr>
              <w:t>支持对视图特征解析获取的结构化与非结构化数据进行检索查询应用，同时对各类人像库等进行创建、管理等操作。</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983"/>
          <w:jc w:val="left"/>
        </w:trPr>
        <w:tc>
          <w:tcPr>
            <w:tcW w:w="680" w:type="dxa"/>
            <w:shd w:val="clear" w:color="auto" w:fill="auto"/>
            <w:vAlign w:val="center"/>
          </w:tcPr>
          <w:p>
            <w:pPr>
              <w:widowControl/>
              <w:jc w:val="center"/>
              <w:rPr>
                <w:rFonts w:ascii="宋体"/>
              </w:rPr>
            </w:pPr>
            <w:r>
              <w:rPr>
                <w:rFonts w:ascii="宋体"/>
              </w:rPr>
              <w:t>32</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视频图像解析子系统-缉私视图数据分析及聚档服务</w:t>
            </w:r>
          </w:p>
        </w:tc>
        <w:tc>
          <w:tcPr>
            <w:tcW w:w="4506" w:type="dxa"/>
            <w:shd w:val="clear" w:color="auto" w:fill="auto"/>
            <w:vAlign w:val="center"/>
          </w:tcPr>
          <w:p>
            <w:pPr>
              <w:widowControl/>
              <w:ind w:firstLine="420" w:firstLineChars="200"/>
              <w:jc w:val="left"/>
              <w:rPr>
                <w:rFonts w:ascii="宋体" w:cs="宋体"/>
              </w:rPr>
            </w:pPr>
            <w:r>
              <w:rPr>
                <w:rFonts w:ascii="宋体"/>
              </w:rPr>
              <w:t>支持对视图解析形成的海量人脸人体时空特征数据等结构化与非结构化数据进行多维度融合分析，形成一人一档数据。</w:t>
            </w:r>
          </w:p>
          <w:p>
            <w:pPr>
              <w:widowControl/>
              <w:ind w:firstLine="420" w:firstLineChars="200"/>
              <w:jc w:val="left"/>
              <w:rPr>
                <w:rFonts w:ascii="宋体" w:cs="宋体"/>
              </w:rPr>
            </w:pPr>
            <w:r>
              <w:rPr>
                <w:rFonts w:ascii="宋体"/>
              </w:rPr>
              <w:t>支持聚类归档服务，支持关联人脸人体特征，形成人脸人体档案数据。</w:t>
            </w:r>
          </w:p>
          <w:p>
            <w:pPr>
              <w:widowControl/>
              <w:ind w:firstLine="420" w:firstLineChars="200"/>
              <w:jc w:val="left"/>
              <w:rPr>
                <w:rFonts w:ascii="宋体" w:cs="宋体"/>
              </w:rPr>
            </w:pPr>
            <w:r>
              <w:rPr>
                <w:rFonts w:ascii="宋体"/>
              </w:rPr>
              <w:t>支持档案置信服务，赋予人档明确身份信息。</w:t>
            </w:r>
          </w:p>
          <w:p>
            <w:pPr>
              <w:widowControl/>
              <w:ind w:firstLine="420" w:firstLineChars="200"/>
              <w:jc w:val="left"/>
              <w:rPr>
                <w:rFonts w:ascii="宋体" w:cs="宋体"/>
              </w:rPr>
            </w:pPr>
            <w:r>
              <w:rPr>
                <w:rFonts w:ascii="宋体"/>
              </w:rPr>
              <w:t>支持档案数据库服务，支持对聚类归档及档案置信形成的匿名人档、实名人档进行库管理及人档数据的查询检索应用；支持档案库1:N检索、人档轨迹检索、档案库生命周期管理。</w:t>
            </w:r>
          </w:p>
          <w:p>
            <w:pPr>
              <w:widowControl/>
              <w:ind w:firstLine="420" w:firstLineChars="200"/>
              <w:jc w:val="left"/>
              <w:rPr>
                <w:rFonts w:ascii="宋体" w:cs="宋体"/>
              </w:rPr>
            </w:pPr>
            <w:r>
              <w:rPr>
                <w:rFonts w:ascii="宋体"/>
              </w:rPr>
              <w:t>支持档案去重服务，在档案聚类过程中，支持动态合并相似聚类档案。</w:t>
            </w:r>
          </w:p>
          <w:p>
            <w:pPr>
              <w:widowControl/>
              <w:ind w:firstLine="420" w:firstLineChars="200"/>
              <w:jc w:val="left"/>
              <w:rPr>
                <w:rFonts w:ascii="宋体" w:cs="宋体"/>
              </w:rPr>
            </w:pPr>
            <w:r>
              <w:rPr>
                <w:rFonts w:ascii="宋体"/>
              </w:rPr>
              <w:t>支持融合分析服务，根据缉私业务需要构建多种数据分析模型，如同行人分析、时空档案过滤、频繁过人分析、时空碰撞分析等。</w:t>
            </w:r>
          </w:p>
          <w:p>
            <w:pPr>
              <w:widowControl/>
              <w:ind w:firstLine="420" w:firstLineChars="200"/>
              <w:jc w:val="left"/>
              <w:rPr>
                <w:rFonts w:ascii="宋体"/>
              </w:rPr>
            </w:pPr>
            <w:r>
              <w:rPr>
                <w:rFonts w:ascii="宋体"/>
              </w:rPr>
              <w:t>支持分析任务管理，支持对任务的创建、取消、删除、任务查看、状态查看等操作。</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820"/>
          <w:jc w:val="left"/>
        </w:trPr>
        <w:tc>
          <w:tcPr>
            <w:tcW w:w="680" w:type="dxa"/>
            <w:shd w:val="clear" w:color="auto" w:fill="auto"/>
            <w:vAlign w:val="center"/>
          </w:tcPr>
          <w:p>
            <w:pPr>
              <w:widowControl/>
              <w:jc w:val="center"/>
              <w:rPr>
                <w:rFonts w:ascii="宋体"/>
              </w:rPr>
            </w:pPr>
            <w:r>
              <w:rPr>
                <w:rFonts w:ascii="宋体"/>
              </w:rPr>
              <w:t>33</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rPr>
              <w:t>视频图像解析子系统-解析服务接口封装</w:t>
            </w:r>
          </w:p>
        </w:tc>
        <w:tc>
          <w:tcPr>
            <w:tcW w:w="4506" w:type="dxa"/>
            <w:shd w:val="clear" w:color="auto" w:fill="auto"/>
            <w:vAlign w:val="center"/>
          </w:tcPr>
          <w:p>
            <w:pPr>
              <w:widowControl/>
              <w:ind w:firstLine="420" w:firstLineChars="200"/>
              <w:jc w:val="left"/>
              <w:rPr>
                <w:rFonts w:ascii="宋体" w:cs="宋体"/>
              </w:rPr>
            </w:pPr>
            <w:r>
              <w:rPr>
                <w:rFonts w:ascii="宋体"/>
              </w:rPr>
              <w:t>支持通过解析接口封装，提供包括人脸1：N比对在内的不少于9种接口封装。</w:t>
            </w:r>
          </w:p>
          <w:p>
            <w:pPr>
              <w:pStyle w:val="BodyText3"/>
              <w:spacing w:line="240" w:lineRule="auto"/>
              <w:rPr>
                <w:rFonts w:ascii="宋体"/>
                <w:color w:val="auto"/>
                <w:sz w:val="24"/>
              </w:rPr>
            </w:pPr>
            <w:r>
              <w:rPr>
                <w:rFonts w:ascii="宋体"/>
                <w:color w:val="auto"/>
                <w:sz w:val="24"/>
              </w:rPr>
              <w:t>支持调用算法服务任务接口，以实现智能任务的增加、查询、删除，任务包括目标检测/属性识别、以图像检索目标、1:1比对、1：N比对、布控告警等。</w:t>
            </w:r>
          </w:p>
          <w:p>
            <w:pPr>
              <w:widowControl/>
              <w:ind w:firstLine="420" w:firstLineChars="200"/>
              <w:jc w:val="left"/>
            </w:pPr>
            <w:r>
              <w:rPr>
                <w:rFonts w:ascii="宋体"/>
              </w:rPr>
              <w:t>具备算法仓库功能，</w:t>
            </w:r>
            <w:r>
              <w:rPr>
                <w:rFonts w:ascii="宋体" w:cs="宋体" w:hint="eastAsia"/>
              </w:rPr>
              <w:t>算法仓库至少支持</w:t>
            </w:r>
            <w:r>
              <w:rPr>
                <w:rFonts w:hint="eastAsia"/>
              </w:rPr>
              <w:t>3</w:t>
            </w:r>
            <w:r>
              <w:rPr>
                <w:rFonts w:ascii="宋体" w:cs="宋体" w:hint="eastAsia"/>
              </w:rPr>
              <w:t>类解析算法（包括但不限于人像解析算法、车辆解析算法、体态解析算法等）接入、调度，至少支持三个产品制造商的解析</w:t>
            </w:r>
            <w:r>
              <w:rPr>
                <w:rFonts w:ascii="宋体"/>
              </w:rPr>
              <w:t>算法接入、调度。</w:t>
            </w:r>
          </w:p>
        </w:tc>
        <w:tc>
          <w:tcPr>
            <w:tcW w:w="1134" w:type="dxa"/>
            <w:shd w:val="clear" w:color="auto" w:fill="auto"/>
            <w:vAlign w:val="center"/>
          </w:tcPr>
          <w:p>
            <w:pPr>
              <w:widowControl/>
              <w:jc w:val="center"/>
              <w:rPr>
                <w:rFonts w:ascii="宋体"/>
              </w:rPr>
            </w:pPr>
            <w:r>
              <w:rPr>
                <w:rFonts w:ascii="宋体"/>
              </w:rPr>
              <w:t>是，投标人提供</w:t>
            </w:r>
            <w:r>
              <w:rPr>
                <w:rFonts w:ascii="宋体" w:cs="宋体" w:hint="eastAsia"/>
              </w:rPr>
              <w:t>承诺函并</w:t>
            </w:r>
            <w:r>
              <w:rPr>
                <w:rFonts w:ascii="宋体"/>
              </w:rPr>
              <w:t>加盖</w:t>
            </w:r>
            <w:r>
              <w:rPr>
                <w:rFonts w:ascii="宋体" w:cs="宋体" w:hint="eastAsia"/>
              </w:rPr>
              <w:t>投标人</w:t>
            </w:r>
            <w:r>
              <w:rPr>
                <w:rFonts w:ascii="宋体"/>
              </w:rPr>
              <w:t>公章</w:t>
            </w:r>
          </w:p>
        </w:tc>
      </w:tr>
      <w:tr>
        <w:tblPrEx>
          <w:tblW w:w="8217" w:type="dxa"/>
          <w:jc w:val="left"/>
          <w:tblInd w:w="0" w:type="dxa"/>
          <w:tblCellMar>
            <w:top w:w="0" w:type="dxa"/>
            <w:left w:w="108" w:type="dxa"/>
            <w:bottom w:w="0" w:type="dxa"/>
            <w:right w:w="108" w:type="dxa"/>
          </w:tblCellMar>
        </w:tblPrEx>
        <w:trPr>
          <w:trHeight w:val="1934"/>
          <w:jc w:val="left"/>
        </w:trPr>
        <w:tc>
          <w:tcPr>
            <w:tcW w:w="680" w:type="dxa"/>
            <w:shd w:val="clear" w:color="auto" w:fill="auto"/>
            <w:vAlign w:val="center"/>
          </w:tcPr>
          <w:p>
            <w:pPr>
              <w:widowControl/>
              <w:jc w:val="center"/>
              <w:rPr>
                <w:rFonts w:ascii="宋体"/>
              </w:rPr>
            </w:pPr>
            <w:r>
              <w:rPr>
                <w:rFonts w:ascii="宋体"/>
              </w:rPr>
              <w:t>34</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视频图像数据库子系统-视图库级联</w:t>
            </w:r>
          </w:p>
        </w:tc>
        <w:tc>
          <w:tcPr>
            <w:tcW w:w="4506" w:type="dxa"/>
            <w:shd w:val="clear" w:color="auto" w:fill="auto"/>
            <w:vAlign w:val="center"/>
          </w:tcPr>
          <w:p>
            <w:pPr>
              <w:widowControl/>
              <w:ind w:firstLine="420" w:firstLineChars="200"/>
              <w:jc w:val="left"/>
              <w:rPr>
                <w:rFonts w:ascii="宋体" w:cs="宋体"/>
              </w:rPr>
            </w:pPr>
            <w:r>
              <w:rPr>
                <w:rFonts w:ascii="宋体"/>
              </w:rPr>
              <w:t>通过GA/T1400标准协议及扩展协议级联人体、人脸、车辆、设备、非机动车等数据，应具备如下功能：</w:t>
            </w:r>
          </w:p>
          <w:p>
            <w:pPr>
              <w:widowControl/>
              <w:ind w:firstLine="420" w:firstLineChars="200"/>
              <w:jc w:val="left"/>
              <w:rPr>
                <w:rFonts w:ascii="宋体" w:cs="宋体"/>
              </w:rPr>
            </w:pPr>
            <w:r>
              <w:rPr>
                <w:rFonts w:ascii="宋体"/>
              </w:rPr>
              <w:t>支持认证鉴权功能，对接入视图库的用户身份进行合法性认证；支持提供给远程设备/系统使用与视图库之间进行通信用的账号。</w:t>
            </w:r>
          </w:p>
          <w:p>
            <w:pPr>
              <w:widowControl/>
              <w:ind w:firstLine="420" w:firstLineChars="200"/>
              <w:jc w:val="left"/>
              <w:rPr>
                <w:rFonts w:ascii="宋体" w:cs="宋体"/>
              </w:rPr>
            </w:pPr>
            <w:r>
              <w:rPr>
                <w:rFonts w:ascii="宋体"/>
              </w:rPr>
              <w:t>支持上下级视图库管理，支持实时监测上下级视图库的在线情况，支持多个视图库的联网接入。</w:t>
            </w:r>
          </w:p>
          <w:p>
            <w:pPr>
              <w:widowControl/>
              <w:ind w:firstLine="420" w:firstLineChars="200"/>
              <w:jc w:val="left"/>
              <w:rPr>
                <w:rFonts w:ascii="宋体"/>
              </w:rPr>
            </w:pPr>
            <w:r>
              <w:rPr>
                <w:rFonts w:ascii="宋体"/>
              </w:rPr>
              <w:t>支持数据接入和分发，数据类型包括人体、人脸、车辆、非机动车等数据；支持对接入和分发数据量进行统计，并将统计结果上报至数据对账模块。</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35</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视频图像数据库子系统-涉私数据接入</w:t>
            </w:r>
          </w:p>
        </w:tc>
        <w:tc>
          <w:tcPr>
            <w:tcW w:w="4506" w:type="dxa"/>
            <w:shd w:val="clear" w:color="auto" w:fill="auto"/>
            <w:vAlign w:val="center"/>
          </w:tcPr>
          <w:p>
            <w:pPr>
              <w:widowControl/>
              <w:ind w:firstLine="420" w:firstLineChars="200"/>
              <w:jc w:val="left"/>
              <w:rPr>
                <w:rFonts w:ascii="宋体"/>
              </w:rPr>
            </w:pPr>
            <w:r>
              <w:rPr>
                <w:rFonts w:ascii="宋体"/>
              </w:rPr>
              <w:t>通过GA/T1400协议及扩展协议接入人像数据、车辆数据、非机动车数据、WiFi数据等，支持接入数据的存储周期时间管理，支持数据接入任务管理。</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820"/>
          <w:jc w:val="left"/>
        </w:trPr>
        <w:tc>
          <w:tcPr>
            <w:tcW w:w="680" w:type="dxa"/>
            <w:shd w:val="clear" w:color="auto" w:fill="auto"/>
            <w:vAlign w:val="center"/>
          </w:tcPr>
          <w:p>
            <w:pPr>
              <w:widowControl/>
              <w:jc w:val="center"/>
              <w:rPr>
                <w:rFonts w:ascii="宋体"/>
              </w:rPr>
            </w:pPr>
            <w:r>
              <w:rPr>
                <w:rFonts w:ascii="宋体"/>
              </w:rPr>
              <w:t>36</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视频图像数据库子系统-涉私业务数据处理</w:t>
            </w:r>
          </w:p>
        </w:tc>
        <w:tc>
          <w:tcPr>
            <w:tcW w:w="4506" w:type="dxa"/>
            <w:shd w:val="clear" w:color="auto" w:fill="auto"/>
            <w:vAlign w:val="center"/>
          </w:tcPr>
          <w:p>
            <w:pPr>
              <w:widowControl/>
              <w:ind w:firstLine="420" w:firstLineChars="200"/>
              <w:jc w:val="left"/>
              <w:rPr>
                <w:rFonts w:ascii="宋体" w:cs="宋体"/>
              </w:rPr>
            </w:pPr>
            <w:r>
              <w:rPr>
                <w:rFonts w:ascii="宋体"/>
              </w:rPr>
              <w:t>支持通用元数据的管理维护，定义元数据标准的多级分类；支持元数据标准的标签分类管理、字段管理等；支持基于字段的校验规则的管理维护。</w:t>
            </w:r>
          </w:p>
          <w:p>
            <w:pPr>
              <w:widowControl/>
              <w:ind w:firstLine="420" w:firstLineChars="200"/>
              <w:jc w:val="left"/>
              <w:rPr>
                <w:rFonts w:ascii="宋体" w:cs="宋体"/>
              </w:rPr>
            </w:pPr>
            <w:r>
              <w:rPr>
                <w:rFonts w:ascii="宋体"/>
              </w:rPr>
              <w:t xml:space="preserve">支持对接入的属性数据进行数据清洗，支持按照预设的清洗规则进行数据清洗，支持将清洗后的数据入库存储。 </w:t>
            </w:r>
          </w:p>
          <w:p>
            <w:pPr>
              <w:widowControl/>
              <w:ind w:firstLine="420" w:firstLineChars="200"/>
              <w:jc w:val="left"/>
              <w:rPr>
                <w:rFonts w:ascii="宋体"/>
              </w:rPr>
            </w:pPr>
            <w:r>
              <w:rPr>
                <w:rFonts w:ascii="宋体"/>
              </w:rPr>
              <w:t>支持对接入的属性数据进行数据转换，支持按照预设的转换规则进行数据转换，支持将转换后的数据入库存储。</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903"/>
          <w:jc w:val="left"/>
        </w:trPr>
        <w:tc>
          <w:tcPr>
            <w:tcW w:w="680" w:type="dxa"/>
            <w:shd w:val="clear" w:color="auto" w:fill="auto"/>
            <w:vAlign w:val="center"/>
          </w:tcPr>
          <w:p>
            <w:pPr>
              <w:widowControl/>
              <w:jc w:val="center"/>
              <w:rPr>
                <w:rFonts w:ascii="宋体"/>
              </w:rPr>
            </w:pPr>
            <w:r>
              <w:rPr>
                <w:rFonts w:ascii="宋体"/>
              </w:rPr>
              <w:t>37</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视频图像数据库子系统-缉私图像标准数据服务</w:t>
            </w:r>
          </w:p>
        </w:tc>
        <w:tc>
          <w:tcPr>
            <w:tcW w:w="4506" w:type="dxa"/>
            <w:shd w:val="clear" w:color="auto" w:fill="auto"/>
            <w:vAlign w:val="center"/>
          </w:tcPr>
          <w:p>
            <w:pPr>
              <w:widowControl/>
              <w:ind w:firstLine="420" w:firstLineChars="200"/>
              <w:jc w:val="left"/>
              <w:rPr>
                <w:rFonts w:ascii="宋体" w:cs="宋体"/>
              </w:rPr>
            </w:pPr>
            <w:r>
              <w:rPr>
                <w:rFonts w:ascii="宋体"/>
              </w:rPr>
              <w:t>支持自定义数据目录分类主题，支持自定义各类主题的数据分类管理。支持自定义接口资源目录分类，支持对需要开放的接口进行编目，实现接口资源共享，支持提供数据资源的接口服务。</w:t>
            </w:r>
            <w:r>
              <w:rPr>
                <w:rFonts w:ascii="宋体" w:cs="宋体" w:hint="eastAsia"/>
              </w:rPr>
              <w:t xml:space="preserve">   </w:t>
            </w:r>
          </w:p>
          <w:p>
            <w:pPr>
              <w:widowControl/>
              <w:ind w:firstLine="420" w:firstLineChars="200"/>
              <w:jc w:val="left"/>
              <w:rPr>
                <w:rFonts w:ascii="宋体" w:cs="宋体"/>
              </w:rPr>
            </w:pPr>
            <w:r>
              <w:rPr>
                <w:rFonts w:ascii="宋体"/>
              </w:rPr>
              <w:t>支持对人像的批量人员布控、单个人员布控、布控任务管理、查询告警记录、撤销布控等服务；支持对车辆的布控数据检索、车辆布控策略配置、车辆告警数据检索、车辆告警数据推送等服务。</w:t>
            </w:r>
          </w:p>
          <w:p>
            <w:pPr>
              <w:widowControl/>
              <w:ind w:firstLine="420" w:firstLineChars="200"/>
              <w:jc w:val="left"/>
              <w:rPr>
                <w:rFonts w:ascii="宋体" w:cs="宋体"/>
              </w:rPr>
            </w:pPr>
            <w:r>
              <w:rPr>
                <w:rFonts w:ascii="宋体"/>
              </w:rPr>
              <w:t>支持数据使用方通过数据订阅服务获取数据资源，支持数据文件传输和消息发布订阅等形式。</w:t>
            </w:r>
          </w:p>
          <w:p>
            <w:pPr>
              <w:widowControl/>
              <w:ind w:firstLine="420" w:firstLineChars="200"/>
              <w:jc w:val="left"/>
              <w:rPr>
                <w:rFonts w:ascii="宋体"/>
              </w:rPr>
            </w:pPr>
            <w:r>
              <w:rPr>
                <w:rFonts w:ascii="宋体"/>
              </w:rPr>
              <w:t>支持本级视图库向上级视图库注册，下级视图库向本级视图库注册，支持心跳监测、超时自动掉线、时钟同步服务。</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2080"/>
          <w:jc w:val="left"/>
        </w:trPr>
        <w:tc>
          <w:tcPr>
            <w:tcW w:w="680" w:type="dxa"/>
            <w:shd w:val="clear" w:color="auto" w:fill="auto"/>
            <w:vAlign w:val="center"/>
          </w:tcPr>
          <w:p>
            <w:pPr>
              <w:widowControl/>
              <w:jc w:val="center"/>
              <w:rPr>
                <w:rFonts w:ascii="宋体"/>
              </w:rPr>
            </w:pPr>
            <w:r>
              <w:rPr>
                <w:rFonts w:ascii="宋体"/>
              </w:rPr>
              <w:t>38</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视频图像数据库子系统-涉私数据服务</w:t>
            </w:r>
          </w:p>
        </w:tc>
        <w:tc>
          <w:tcPr>
            <w:tcW w:w="4506" w:type="dxa"/>
            <w:shd w:val="clear" w:color="auto" w:fill="auto"/>
            <w:vAlign w:val="center"/>
          </w:tcPr>
          <w:p>
            <w:pPr>
              <w:widowControl/>
              <w:ind w:firstLine="420" w:firstLineChars="200"/>
              <w:jc w:val="left"/>
              <w:rPr>
                <w:rFonts w:ascii="宋体"/>
              </w:rPr>
            </w:pPr>
            <w:r>
              <w:rPr>
                <w:rFonts w:ascii="宋体"/>
              </w:rPr>
              <w:t>通过接口服务对上层应用提供人脸、人体、车辆、WiFi等数据的服务支撑，支持抓拍库查询接口、人脸抓拍统计接口、监控点TOP_N统计接口、人体查询接口、车辆分组查询接口、车流量统计接口、WiFi数据查询接口、WiFi数据统计接口、人人同行接口、人人同乘接口、人员落脚点接口、人员活跃时段接口、人员活跃点位接口、人员昼伏夜出接口、车车同行接口、车辆落脚点接口、车辆活跃点位接口、车辆昼伏夜出接口等。</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39</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视频图像数据库子系统-涉私元数据管理</w:t>
            </w:r>
          </w:p>
        </w:tc>
        <w:tc>
          <w:tcPr>
            <w:tcW w:w="4506" w:type="dxa"/>
            <w:shd w:val="clear" w:color="auto" w:fill="auto"/>
            <w:vAlign w:val="center"/>
          </w:tcPr>
          <w:p>
            <w:pPr>
              <w:widowControl/>
              <w:ind w:firstLine="420" w:firstLineChars="200"/>
              <w:jc w:val="left"/>
              <w:rPr>
                <w:rFonts w:ascii="宋体"/>
              </w:rPr>
            </w:pPr>
            <w:r>
              <w:rPr>
                <w:rFonts w:ascii="宋体"/>
              </w:rPr>
              <w:t>支持对各类数据源采用手动或者自动采集的方式，将元数据信息进行统一存储。支持数据源管理、元数据检索、数据血缘、数据地图、表关联度分析等功能。</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040"/>
          <w:jc w:val="left"/>
        </w:trPr>
        <w:tc>
          <w:tcPr>
            <w:tcW w:w="680" w:type="dxa"/>
            <w:shd w:val="clear" w:color="auto" w:fill="auto"/>
            <w:vAlign w:val="center"/>
          </w:tcPr>
          <w:p>
            <w:pPr>
              <w:widowControl/>
              <w:jc w:val="center"/>
              <w:rPr>
                <w:rFonts w:ascii="宋体"/>
              </w:rPr>
            </w:pPr>
            <w:r>
              <w:rPr>
                <w:rFonts w:ascii="宋体"/>
              </w:rPr>
              <w:t>40</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视频图像数据库子系统-缉私数据对账</w:t>
            </w:r>
          </w:p>
        </w:tc>
        <w:tc>
          <w:tcPr>
            <w:tcW w:w="4506" w:type="dxa"/>
            <w:shd w:val="clear" w:color="auto" w:fill="auto"/>
            <w:vAlign w:val="center"/>
          </w:tcPr>
          <w:p>
            <w:pPr>
              <w:widowControl/>
              <w:ind w:firstLine="420" w:firstLineChars="200"/>
              <w:jc w:val="left"/>
              <w:rPr>
                <w:rFonts w:ascii="宋体"/>
              </w:rPr>
            </w:pPr>
            <w:r>
              <w:rPr>
                <w:rFonts w:ascii="宋体"/>
              </w:rPr>
              <w:t>针对视图库接入的数据条数进行核对和检验，数据读取后的自动对账，可提供接收数据量、入库数据量、倒挂量、倒挂率、延迟量、延迟率、平均延迟等多种维度的数据梳理， 保障数据对账。</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
          <w:jc w:val="left"/>
        </w:trPr>
        <w:tc>
          <w:tcPr>
            <w:tcW w:w="680" w:type="dxa"/>
            <w:shd w:val="clear" w:color="auto" w:fill="auto"/>
            <w:vAlign w:val="center"/>
          </w:tcPr>
          <w:p>
            <w:pPr>
              <w:widowControl/>
              <w:jc w:val="center"/>
              <w:rPr>
                <w:rFonts w:ascii="宋体"/>
              </w:rPr>
            </w:pPr>
            <w:r>
              <w:rPr>
                <w:rFonts w:ascii="宋体"/>
              </w:rPr>
              <w:t>41</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视频图像数据库子系统-缉私人车布控中心</w:t>
            </w:r>
          </w:p>
        </w:tc>
        <w:tc>
          <w:tcPr>
            <w:tcW w:w="4506" w:type="dxa"/>
            <w:shd w:val="clear" w:color="auto" w:fill="auto"/>
            <w:vAlign w:val="center"/>
          </w:tcPr>
          <w:p>
            <w:pPr>
              <w:widowControl/>
              <w:ind w:firstLine="420" w:firstLineChars="200"/>
              <w:jc w:val="left"/>
              <w:rPr>
                <w:rFonts w:ascii="宋体"/>
              </w:rPr>
            </w:pPr>
            <w:r>
              <w:rPr>
                <w:rFonts w:ascii="宋体"/>
              </w:rPr>
              <w:t>支持人脸、车辆级联布控服务，支持布控任务增删改查、撤控、重新布控等，支持按行政区域、点位等进行级联布控。</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2652"/>
          <w:jc w:val="left"/>
        </w:trPr>
        <w:tc>
          <w:tcPr>
            <w:tcW w:w="680" w:type="dxa"/>
            <w:shd w:val="clear" w:color="auto" w:fill="auto"/>
            <w:vAlign w:val="center"/>
          </w:tcPr>
          <w:p>
            <w:pPr>
              <w:widowControl/>
              <w:jc w:val="center"/>
              <w:rPr>
                <w:rFonts w:ascii="宋体"/>
              </w:rPr>
            </w:pPr>
            <w:r>
              <w:rPr>
                <w:rFonts w:ascii="宋体"/>
              </w:rPr>
              <w:t>42</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视频图像数据库子系统-缉私视频图像基础资源库</w:t>
            </w:r>
          </w:p>
        </w:tc>
        <w:tc>
          <w:tcPr>
            <w:tcW w:w="4506" w:type="dxa"/>
            <w:shd w:val="clear" w:color="auto" w:fill="auto"/>
            <w:vAlign w:val="center"/>
          </w:tcPr>
          <w:p>
            <w:pPr>
              <w:widowControl/>
              <w:ind w:firstLine="420" w:firstLineChars="200"/>
              <w:jc w:val="left"/>
              <w:rPr>
                <w:rFonts w:ascii="宋体" w:cs="宋体"/>
              </w:rPr>
            </w:pPr>
            <w:r>
              <w:rPr>
                <w:rFonts w:ascii="宋体"/>
              </w:rPr>
              <w:t>通过缉私人像库汇聚存储接入的人像数据；支持通过名称搜索库；支持查看库内数据，包括表显示名称、表物理名称、数据源类型、更新时间等；支持对库内数据进行检索。</w:t>
            </w:r>
          </w:p>
          <w:p>
            <w:pPr>
              <w:widowControl/>
              <w:ind w:firstLine="420" w:firstLineChars="200"/>
              <w:jc w:val="left"/>
              <w:rPr>
                <w:rFonts w:ascii="宋体" w:cs="宋体"/>
              </w:rPr>
            </w:pPr>
            <w:r>
              <w:rPr>
                <w:rFonts w:ascii="宋体"/>
              </w:rPr>
              <w:t>通过缉私车辆库汇聚存储接入的车辆数据；支持通过名称搜索库；支持查看库内数据，包括表显示名称、表物理名称、数据源类型、更新时间等；支持对库内数据进行检索。</w:t>
            </w:r>
          </w:p>
          <w:p>
            <w:pPr>
              <w:widowControl/>
              <w:ind w:firstLine="420" w:firstLineChars="200"/>
              <w:jc w:val="left"/>
              <w:rPr>
                <w:rFonts w:ascii="宋体" w:cs="宋体"/>
              </w:rPr>
            </w:pPr>
            <w:r>
              <w:rPr>
                <w:rFonts w:ascii="宋体"/>
              </w:rPr>
              <w:t>通过缉私案事件库汇聚存储接入的案件信息；支持通过关键字、案件类别、案件状态、案发事件、更新事件等对库内案件数据进行检索。</w:t>
            </w:r>
          </w:p>
          <w:p>
            <w:pPr>
              <w:widowControl/>
              <w:ind w:firstLine="420" w:firstLineChars="200"/>
              <w:jc w:val="left"/>
              <w:rPr>
                <w:rFonts w:ascii="宋体" w:cs="宋体"/>
              </w:rPr>
            </w:pPr>
            <w:r>
              <w:rPr>
                <w:rFonts w:ascii="宋体"/>
              </w:rPr>
              <w:t>通过缉私设备档案库汇聚存储接入的设备信息；支持通过名称搜索库；支持查看库内数据，包括表显示名称、表物理名称、数据源类型、更新时间等；支持对库内数据进行检索。</w:t>
            </w:r>
          </w:p>
          <w:p>
            <w:pPr>
              <w:widowControl/>
              <w:ind w:firstLine="420" w:firstLineChars="200"/>
              <w:jc w:val="left"/>
              <w:rPr>
                <w:rFonts w:ascii="宋体"/>
              </w:rPr>
            </w:pPr>
            <w:r>
              <w:rPr>
                <w:rFonts w:ascii="宋体"/>
              </w:rPr>
              <w:t>通过缉私WiFi感知库汇聚存储接入的WiFi数据；支持通过名称搜索库；支持查看库内数据，包括表显示名称、表物理名称、数据源类型、更新时间等；支持对库内数据进行检索。</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2600"/>
          <w:jc w:val="left"/>
        </w:trPr>
        <w:tc>
          <w:tcPr>
            <w:tcW w:w="680" w:type="dxa"/>
            <w:shd w:val="clear" w:color="auto" w:fill="auto"/>
            <w:vAlign w:val="center"/>
          </w:tcPr>
          <w:p>
            <w:pPr>
              <w:widowControl/>
              <w:jc w:val="center"/>
              <w:rPr>
                <w:rFonts w:ascii="宋体"/>
              </w:rPr>
            </w:pPr>
            <w:r>
              <w:rPr>
                <w:rFonts w:ascii="宋体"/>
              </w:rPr>
              <w:t>43</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视频图像数据库子系统-缉私专题资源库</w:t>
            </w:r>
          </w:p>
        </w:tc>
        <w:tc>
          <w:tcPr>
            <w:tcW w:w="4506" w:type="dxa"/>
            <w:shd w:val="clear" w:color="auto" w:fill="auto"/>
            <w:vAlign w:val="center"/>
          </w:tcPr>
          <w:p>
            <w:pPr>
              <w:widowControl/>
              <w:ind w:firstLine="420" w:firstLineChars="200"/>
              <w:jc w:val="left"/>
              <w:rPr>
                <w:rFonts w:ascii="宋体" w:cs="宋体"/>
              </w:rPr>
            </w:pPr>
            <w:r>
              <w:rPr>
                <w:rFonts w:ascii="宋体"/>
              </w:rPr>
              <w:t>通过缉私人像专题库汇聚存储与缉私业务相关的各类人像数据；支持通过名称搜索库；支持查看库内数据，包括表显示名称、表物理名称、数据源类型、更新时间等；支持对库内数据进行检索。</w:t>
            </w:r>
          </w:p>
          <w:p>
            <w:pPr>
              <w:widowControl/>
              <w:ind w:firstLine="420" w:firstLineChars="200"/>
              <w:jc w:val="left"/>
              <w:rPr>
                <w:rFonts w:ascii="宋体" w:cs="宋体"/>
              </w:rPr>
            </w:pPr>
            <w:r>
              <w:rPr>
                <w:rFonts w:ascii="宋体"/>
              </w:rPr>
              <w:t>通过缉私车辆专题库汇聚存储与缉私业务相关的各类车辆数据；支持通过名称搜索库；支持查看库内数据，包括表显示名称、表物理名称、数据源类型、更新时间等；支持对库内数据进行检索。</w:t>
            </w:r>
          </w:p>
          <w:p>
            <w:pPr>
              <w:widowControl/>
              <w:ind w:firstLine="420" w:firstLineChars="200"/>
              <w:jc w:val="left"/>
              <w:rPr>
                <w:rFonts w:ascii="宋体"/>
              </w:rPr>
            </w:pPr>
            <w:r>
              <w:rPr>
                <w:rFonts w:ascii="宋体"/>
              </w:rPr>
              <w:t>通过缉私数据质量库对于接入的进行数据量统计分析、数据延迟分析、数据重复分析、数据倒挂分析等管理。</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2008"/>
          <w:jc w:val="left"/>
        </w:trPr>
        <w:tc>
          <w:tcPr>
            <w:tcW w:w="680" w:type="dxa"/>
            <w:shd w:val="clear" w:color="auto" w:fill="auto"/>
            <w:vAlign w:val="center"/>
          </w:tcPr>
          <w:p>
            <w:pPr>
              <w:widowControl/>
              <w:jc w:val="center"/>
              <w:rPr>
                <w:rFonts w:ascii="宋体"/>
              </w:rPr>
            </w:pPr>
            <w:r>
              <w:rPr>
                <w:rFonts w:ascii="宋体"/>
              </w:rPr>
              <w:t>44</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视频图像数据库子系统-涉私数据存储服务</w:t>
            </w:r>
          </w:p>
        </w:tc>
        <w:tc>
          <w:tcPr>
            <w:tcW w:w="4506" w:type="dxa"/>
            <w:shd w:val="clear" w:color="auto" w:fill="auto"/>
            <w:vAlign w:val="center"/>
          </w:tcPr>
          <w:p>
            <w:pPr>
              <w:widowControl/>
              <w:ind w:firstLine="420" w:firstLineChars="200"/>
              <w:jc w:val="left"/>
              <w:rPr>
                <w:rFonts w:ascii="宋体"/>
              </w:rPr>
            </w:pPr>
            <w:r>
              <w:rPr>
                <w:rFonts w:ascii="宋体"/>
              </w:rPr>
              <w:t>提供支持多源异构的数据存储，包括消息发布订阅系统、对象存储、括NoSQL存储、并行数据数据库等。提供分布式协调服务、工作流调度服务，为视图库计算提供统一的作业提交、调度和管理接口。提供通用流处理引擎、实时计算框架，对实时数据进行流处理、实时计算。提供内存计算引擎，对历史数据进行批处理计算分析。提供统一SQL分析引擎、全文检索引擎、元数据中心，从而实现即时查询、统计分析等查询分析。支持节点管理、服务管理、告警信息、告警监控、日志审计、用户管理等功能。</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45</w:t>
            </w:r>
          </w:p>
        </w:tc>
        <w:tc>
          <w:tcPr>
            <w:tcW w:w="675" w:type="dxa"/>
            <w:shd w:val="clear" w:color="auto" w:fill="auto"/>
            <w:vAlign w:val="center"/>
          </w:tcPr>
          <w:p>
            <w:pPr>
              <w:widowControl/>
              <w:jc w:val="center"/>
              <w:rPr>
                <w:rFonts w:ascii="宋体"/>
              </w:rPr>
            </w:pPr>
            <w:r>
              <w:rPr>
                <w:rFonts w:ascii="宋体" w:cs="宋体" w:hint="eastAsia"/>
              </w:rPr>
              <w:t>★</w:t>
            </w:r>
          </w:p>
        </w:tc>
        <w:tc>
          <w:tcPr>
            <w:tcW w:w="1222" w:type="dxa"/>
            <w:shd w:val="clear" w:color="auto" w:fill="auto"/>
            <w:vAlign w:val="center"/>
          </w:tcPr>
          <w:p>
            <w:pPr>
              <w:widowControl/>
              <w:jc w:val="left"/>
              <w:rPr>
                <w:rFonts w:ascii="宋体"/>
              </w:rPr>
            </w:pPr>
            <w:r>
              <w:rPr>
                <w:rFonts w:ascii="宋体"/>
              </w:rPr>
              <w:t>视频图像数据库子系统-对接公安部“视重通”</w:t>
            </w:r>
          </w:p>
        </w:tc>
        <w:tc>
          <w:tcPr>
            <w:tcW w:w="4506" w:type="dxa"/>
            <w:shd w:val="clear" w:color="auto" w:fill="auto"/>
            <w:vAlign w:val="center"/>
          </w:tcPr>
          <w:p>
            <w:pPr>
              <w:widowControl/>
              <w:ind w:firstLine="420" w:firstLineChars="200"/>
              <w:jc w:val="left"/>
              <w:rPr>
                <w:rFonts w:ascii="宋体"/>
              </w:rPr>
            </w:pPr>
            <w:r>
              <w:rPr>
                <w:rFonts w:ascii="宋体" w:cs="宋体" w:hint="eastAsia"/>
              </w:rPr>
              <w:t>须</w:t>
            </w:r>
            <w:r>
              <w:rPr>
                <w:rFonts w:ascii="宋体"/>
              </w:rPr>
              <w:t xml:space="preserve">对接公安部“视重通”接口对接，支撑缉私部门对于关注人员的业务应用。 </w:t>
            </w:r>
          </w:p>
        </w:tc>
        <w:tc>
          <w:tcPr>
            <w:tcW w:w="1134" w:type="dxa"/>
            <w:shd w:val="clear" w:color="auto" w:fill="auto"/>
            <w:vAlign w:val="center"/>
          </w:tcPr>
          <w:p>
            <w:pPr>
              <w:widowControl/>
              <w:jc w:val="left"/>
              <w:rPr>
                <w:rFonts w:ascii="宋体"/>
              </w:rPr>
            </w:pPr>
            <w:r>
              <w:rPr>
                <w:rFonts w:ascii="宋体"/>
              </w:rPr>
              <w:t>是，投标人提供</w:t>
            </w:r>
            <w:r>
              <w:rPr>
                <w:rFonts w:ascii="宋体" w:cs="宋体" w:hint="eastAsia"/>
              </w:rPr>
              <w:t>承诺函并</w:t>
            </w:r>
            <w:r>
              <w:rPr>
                <w:rFonts w:ascii="宋体"/>
              </w:rPr>
              <w:t>加盖</w:t>
            </w:r>
            <w:r>
              <w:rPr>
                <w:rFonts w:ascii="宋体" w:cs="宋体" w:hint="eastAsia"/>
              </w:rPr>
              <w:t>投标人</w:t>
            </w:r>
            <w:r>
              <w:rPr>
                <w:rFonts w:ascii="宋体"/>
              </w:rPr>
              <w:t>公章</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46</w:t>
            </w:r>
          </w:p>
        </w:tc>
        <w:tc>
          <w:tcPr>
            <w:tcW w:w="675" w:type="dxa"/>
            <w:shd w:val="clear" w:color="auto" w:fill="auto"/>
            <w:vAlign w:val="center"/>
          </w:tcPr>
          <w:p>
            <w:pPr>
              <w:widowControl/>
              <w:jc w:val="center"/>
              <w:rPr>
                <w:rFonts w:ascii="宋体"/>
              </w:rPr>
            </w:pPr>
            <w:r>
              <w:rPr>
                <w:rFonts w:ascii="宋体" w:cs="宋体" w:hint="eastAsia"/>
              </w:rPr>
              <w:t>★</w:t>
            </w:r>
          </w:p>
        </w:tc>
        <w:tc>
          <w:tcPr>
            <w:tcW w:w="1222" w:type="dxa"/>
            <w:shd w:val="clear" w:color="auto" w:fill="auto"/>
            <w:vAlign w:val="center"/>
          </w:tcPr>
          <w:p>
            <w:pPr>
              <w:widowControl/>
              <w:jc w:val="left"/>
              <w:rPr>
                <w:rFonts w:ascii="宋体"/>
              </w:rPr>
            </w:pPr>
            <w:r>
              <w:rPr>
                <w:rFonts w:ascii="宋体"/>
              </w:rPr>
              <w:t>视频图像数据库子系统-对接人像比对服务</w:t>
            </w:r>
          </w:p>
        </w:tc>
        <w:tc>
          <w:tcPr>
            <w:tcW w:w="4506" w:type="dxa"/>
            <w:shd w:val="clear" w:color="auto" w:fill="auto"/>
            <w:vAlign w:val="center"/>
          </w:tcPr>
          <w:p>
            <w:pPr>
              <w:widowControl/>
              <w:ind w:firstLine="420" w:firstLineChars="200"/>
              <w:jc w:val="left"/>
              <w:rPr>
                <w:rFonts w:ascii="宋体"/>
              </w:rPr>
            </w:pPr>
            <w:r>
              <w:rPr>
                <w:rFonts w:ascii="宋体" w:cs="宋体" w:hint="eastAsia"/>
              </w:rPr>
              <w:t>须</w:t>
            </w:r>
            <w:r>
              <w:rPr>
                <w:rFonts w:ascii="宋体"/>
              </w:rPr>
              <w:t>通过调用全国人像比对服务接口，基于被查询人员人像，提供全国人像1：N查询服务，实现身份信息确认。</w:t>
            </w:r>
          </w:p>
        </w:tc>
        <w:tc>
          <w:tcPr>
            <w:tcW w:w="1134" w:type="dxa"/>
            <w:shd w:val="clear" w:color="auto" w:fill="auto"/>
            <w:vAlign w:val="center"/>
          </w:tcPr>
          <w:p>
            <w:pPr>
              <w:widowControl/>
              <w:jc w:val="left"/>
              <w:rPr>
                <w:rFonts w:ascii="宋体"/>
              </w:rPr>
            </w:pPr>
            <w:r>
              <w:rPr>
                <w:rFonts w:ascii="宋体"/>
              </w:rPr>
              <w:t>是，投标人提供</w:t>
            </w:r>
            <w:r>
              <w:rPr>
                <w:rFonts w:ascii="宋体" w:cs="宋体" w:hint="eastAsia"/>
              </w:rPr>
              <w:t>承诺函并</w:t>
            </w:r>
            <w:r>
              <w:rPr>
                <w:rFonts w:ascii="宋体"/>
              </w:rPr>
              <w:t>加盖</w:t>
            </w:r>
            <w:r>
              <w:rPr>
                <w:rFonts w:ascii="宋体" w:cs="宋体" w:hint="eastAsia"/>
              </w:rPr>
              <w:t>投标人</w:t>
            </w:r>
            <w:r>
              <w:rPr>
                <w:rFonts w:ascii="宋体"/>
              </w:rPr>
              <w:t>公章</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47</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视频图像数据库子系统-综合管理和配置</w:t>
            </w:r>
          </w:p>
        </w:tc>
        <w:tc>
          <w:tcPr>
            <w:tcW w:w="4506" w:type="dxa"/>
            <w:shd w:val="clear" w:color="auto" w:fill="auto"/>
            <w:vAlign w:val="center"/>
          </w:tcPr>
          <w:p>
            <w:pPr>
              <w:widowControl/>
              <w:ind w:firstLine="420" w:firstLineChars="200"/>
              <w:jc w:val="left"/>
              <w:rPr>
                <w:rFonts w:ascii="宋体"/>
              </w:rPr>
            </w:pPr>
            <w:r>
              <w:rPr>
                <w:rFonts w:ascii="宋体"/>
              </w:rPr>
              <w:t>支持用户认证鉴权管理，对接入视图库的用户身份进行合法性认证。支持通过数据订阅服务获取数据资源。支持对数据存储周期配置。支持通用数据字典管理。</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820"/>
          <w:jc w:val="left"/>
        </w:trPr>
        <w:tc>
          <w:tcPr>
            <w:tcW w:w="680" w:type="dxa"/>
            <w:shd w:val="clear" w:color="auto" w:fill="auto"/>
            <w:vAlign w:val="center"/>
          </w:tcPr>
          <w:p>
            <w:pPr>
              <w:widowControl/>
              <w:jc w:val="center"/>
              <w:rPr>
                <w:rFonts w:ascii="宋体"/>
              </w:rPr>
            </w:pPr>
            <w:r>
              <w:rPr>
                <w:rFonts w:ascii="宋体"/>
              </w:rPr>
              <w:t>48</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视频图像应用子系统-应用门户</w:t>
            </w:r>
          </w:p>
        </w:tc>
        <w:tc>
          <w:tcPr>
            <w:tcW w:w="4506" w:type="dxa"/>
            <w:shd w:val="clear" w:color="auto" w:fill="auto"/>
            <w:vAlign w:val="center"/>
          </w:tcPr>
          <w:p>
            <w:pPr>
              <w:widowControl/>
              <w:ind w:firstLine="420" w:firstLineChars="200"/>
              <w:jc w:val="left"/>
              <w:rPr>
                <w:rFonts w:ascii="宋体"/>
              </w:rPr>
            </w:pPr>
            <w:r>
              <w:rPr>
                <w:rFonts w:ascii="宋体"/>
              </w:rPr>
              <w:t>为全国缉私视频图像综合应用平台提供统一的应用门户入口，实现各应用菜单集成，支持对应用菜单自定义管理，支持快捷导航功能，支持用户名密码登录及PKI登录方式，支持自动锁定用户IP。支持面向侧重业务使用用户提供快捷搜索、快速进入模块应用的工作台，支持在工作台直接上传图片或者输入文本即可开展人车数据检索，支持看视频、搜索、布控、身份辨认、研判等常用实战应用分类。</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
          <w:jc w:val="left"/>
        </w:trPr>
        <w:tc>
          <w:tcPr>
            <w:tcW w:w="680" w:type="dxa"/>
            <w:shd w:val="clear" w:color="auto" w:fill="auto"/>
            <w:vAlign w:val="center"/>
          </w:tcPr>
          <w:p>
            <w:pPr>
              <w:widowControl/>
              <w:jc w:val="center"/>
              <w:rPr>
                <w:rFonts w:ascii="宋体"/>
              </w:rPr>
            </w:pPr>
            <w:r>
              <w:rPr>
                <w:rFonts w:ascii="宋体"/>
              </w:rPr>
              <w:t>49</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视频图像应用子系统-涉私数据看板</w:t>
            </w:r>
          </w:p>
        </w:tc>
        <w:tc>
          <w:tcPr>
            <w:tcW w:w="4506" w:type="dxa"/>
            <w:shd w:val="clear" w:color="auto" w:fill="auto"/>
            <w:vAlign w:val="center"/>
          </w:tcPr>
          <w:p>
            <w:pPr>
              <w:widowControl/>
              <w:ind w:firstLine="420" w:firstLineChars="200"/>
              <w:jc w:val="left"/>
              <w:rPr>
                <w:rFonts w:ascii="宋体"/>
              </w:rPr>
            </w:pPr>
            <w:r>
              <w:rPr>
                <w:rFonts w:ascii="宋体"/>
              </w:rPr>
              <w:t>通过可视化方式展示系统的使用情况、资源情况、分析任务情况、抓拍及档案情况等数据。</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490"/>
          <w:jc w:val="left"/>
        </w:trPr>
        <w:tc>
          <w:tcPr>
            <w:tcW w:w="680" w:type="dxa"/>
            <w:shd w:val="clear" w:color="auto" w:fill="auto"/>
            <w:vAlign w:val="center"/>
          </w:tcPr>
          <w:p>
            <w:pPr>
              <w:widowControl/>
              <w:jc w:val="center"/>
              <w:rPr>
                <w:rFonts w:ascii="宋体"/>
              </w:rPr>
            </w:pPr>
            <w:r>
              <w:rPr>
                <w:rFonts w:ascii="宋体"/>
              </w:rPr>
              <w:t>50</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视频图像应用子系统-涉私全息档案</w:t>
            </w:r>
          </w:p>
        </w:tc>
        <w:tc>
          <w:tcPr>
            <w:tcW w:w="4506" w:type="dxa"/>
            <w:shd w:val="clear" w:color="auto" w:fill="auto"/>
            <w:vAlign w:val="center"/>
          </w:tcPr>
          <w:p>
            <w:pPr>
              <w:widowControl/>
              <w:ind w:firstLine="420" w:firstLineChars="200"/>
              <w:jc w:val="left"/>
              <w:rPr>
                <w:rFonts w:ascii="宋体" w:cs="宋体"/>
              </w:rPr>
            </w:pPr>
            <w:r>
              <w:rPr>
                <w:rFonts w:ascii="宋体"/>
              </w:rPr>
              <w:t>支持从多个维度对人员档案进行统计，包括档案总数、实名档案总数、有抓拍数据的实名档案数、近30天有抓拍数据的实名档案数、陌生人档案总数等。</w:t>
            </w:r>
          </w:p>
          <w:p>
            <w:pPr>
              <w:widowControl/>
              <w:ind w:firstLine="420" w:firstLineChars="200"/>
              <w:jc w:val="left"/>
              <w:rPr>
                <w:rFonts w:ascii="宋体" w:cs="宋体"/>
              </w:rPr>
            </w:pPr>
            <w:r>
              <w:rPr>
                <w:rFonts w:ascii="宋体"/>
              </w:rPr>
              <w:t>支持基于姓名、身份证号码查询人员档案；支持搜索陌生人档案；支持通过图片、相似度等查询人员档案；支持通过时间与空间组合条件查询人员档案；支持通过上衣颜色、上衣类型、下装颜色、下装类型、年龄段、发型等人像属性特征查询人员档案。</w:t>
            </w:r>
          </w:p>
          <w:p>
            <w:pPr>
              <w:widowControl/>
              <w:ind w:firstLine="420" w:firstLineChars="200"/>
              <w:jc w:val="left"/>
              <w:rPr>
                <w:rFonts w:ascii="宋体" w:cs="宋体"/>
              </w:rPr>
            </w:pPr>
            <w:r>
              <w:rPr>
                <w:rFonts w:ascii="宋体"/>
              </w:rPr>
              <w:t>支持对查询结果进行预览查阅，包括人员姓名、身份证号码、最近一次抓拍照片、最近一次抓拍时间、档案标签等信息。</w:t>
            </w:r>
          </w:p>
          <w:p>
            <w:pPr>
              <w:widowControl/>
              <w:ind w:firstLine="420" w:firstLineChars="200"/>
              <w:jc w:val="left"/>
              <w:rPr>
                <w:rFonts w:ascii="宋体"/>
              </w:rPr>
            </w:pPr>
            <w:r>
              <w:rPr>
                <w:rFonts w:ascii="宋体"/>
              </w:rPr>
              <w:t>支持查看档案详情，支持查看姓名、身份证号、性别、体貌特征标签、近30天行为标签等人员基本信息，支持对查看抓拍记录、抓拍轨迹、活跃地点、停留点、夜宿点、同行人员、同乘人员、驾驶过的车辆等信息。</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300"/>
          <w:jc w:val="left"/>
        </w:trPr>
        <w:tc>
          <w:tcPr>
            <w:tcW w:w="680" w:type="dxa"/>
            <w:shd w:val="clear" w:color="auto" w:fill="auto"/>
            <w:vAlign w:val="center"/>
          </w:tcPr>
          <w:p>
            <w:pPr>
              <w:widowControl/>
              <w:jc w:val="center"/>
              <w:rPr>
                <w:rFonts w:ascii="宋体"/>
              </w:rPr>
            </w:pPr>
            <w:r>
              <w:rPr>
                <w:rFonts w:ascii="宋体"/>
              </w:rPr>
              <w:t>51</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视频图像应用子系统-缉私布控态势展示</w:t>
            </w:r>
          </w:p>
        </w:tc>
        <w:tc>
          <w:tcPr>
            <w:tcW w:w="4506" w:type="dxa"/>
            <w:shd w:val="clear" w:color="auto" w:fill="auto"/>
            <w:vAlign w:val="center"/>
          </w:tcPr>
          <w:p>
            <w:pPr>
              <w:widowControl/>
              <w:ind w:firstLine="420" w:firstLineChars="200"/>
              <w:jc w:val="left"/>
              <w:rPr>
                <w:rFonts w:ascii="宋体"/>
              </w:rPr>
            </w:pPr>
            <w:r>
              <w:rPr>
                <w:rFonts w:ascii="宋体"/>
              </w:rPr>
              <w:t>对布控预警态势情况统计展示，支持布控任务、撤控任务、布控审核的数量及占比等统计，支持对人脸布控数、人体布控数、车辆布控数等统计，支持对预警总数、不同关注级别预警量、不同预警类型数据等统计，支持预警数量TOP5、预警数量趋势的态势等统计。</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772"/>
          <w:jc w:val="left"/>
        </w:trPr>
        <w:tc>
          <w:tcPr>
            <w:tcW w:w="680" w:type="dxa"/>
            <w:shd w:val="clear" w:color="auto" w:fill="auto"/>
            <w:vAlign w:val="center"/>
          </w:tcPr>
          <w:p>
            <w:pPr>
              <w:widowControl/>
              <w:jc w:val="center"/>
              <w:rPr>
                <w:rFonts w:ascii="宋体"/>
              </w:rPr>
            </w:pPr>
            <w:r>
              <w:rPr>
                <w:rFonts w:ascii="宋体"/>
              </w:rPr>
              <w:t>52</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视频图像应用子系统-缉私业务标签模型工厂</w:t>
            </w:r>
          </w:p>
        </w:tc>
        <w:tc>
          <w:tcPr>
            <w:tcW w:w="4506" w:type="dxa"/>
            <w:shd w:val="clear" w:color="auto" w:fill="auto"/>
            <w:vAlign w:val="center"/>
          </w:tcPr>
          <w:p>
            <w:pPr>
              <w:widowControl/>
              <w:ind w:firstLine="420" w:firstLineChars="200"/>
              <w:jc w:val="left"/>
              <w:rPr>
                <w:rFonts w:ascii="宋体" w:cs="宋体"/>
              </w:rPr>
            </w:pPr>
            <w:r>
              <w:rPr>
                <w:rFonts w:ascii="宋体"/>
              </w:rPr>
              <w:t>支持添加实体对象，定义实体对象的编码，支持修改、删除已添加的实体对象；支持实体对象发布、下线，支持通过发布状态对实体对象进行条件筛选。</w:t>
            </w:r>
            <w:r>
              <w:rPr>
                <w:rFonts w:ascii="宋体" w:cs="宋体" w:hint="eastAsia"/>
              </w:rPr>
              <w:t xml:space="preserve"> </w:t>
            </w:r>
          </w:p>
          <w:p>
            <w:pPr>
              <w:widowControl/>
              <w:ind w:firstLine="420" w:firstLineChars="200"/>
              <w:jc w:val="left"/>
              <w:rPr>
                <w:rFonts w:ascii="宋体" w:cs="宋体"/>
              </w:rPr>
            </w:pPr>
            <w:r>
              <w:rPr>
                <w:rFonts w:ascii="宋体"/>
              </w:rPr>
              <w:t>支持基于各个实体对象添加标签类目，支持一级分类、二级分类等管理维护，支持通过关键字模糊检索标签分类。</w:t>
            </w:r>
          </w:p>
          <w:p>
            <w:pPr>
              <w:widowControl/>
              <w:ind w:firstLine="420" w:firstLineChars="200"/>
              <w:jc w:val="left"/>
              <w:rPr>
                <w:rFonts w:ascii="宋体" w:cs="宋体"/>
              </w:rPr>
            </w:pPr>
            <w:r>
              <w:rPr>
                <w:rFonts w:ascii="宋体"/>
              </w:rPr>
              <w:t>支持新增标签的定义配置，包括标签名称的定义、标签编码的定义、标签值的定义、标签规则的定义等；支持标签的发布、下线等，支持标签的关键字模糊检索。</w:t>
            </w:r>
          </w:p>
          <w:p>
            <w:pPr>
              <w:widowControl/>
              <w:ind w:firstLine="420" w:firstLineChars="200"/>
              <w:jc w:val="left"/>
              <w:rPr>
                <w:rFonts w:ascii="宋体" w:cs="宋体"/>
              </w:rPr>
            </w:pPr>
            <w:r>
              <w:rPr>
                <w:rFonts w:ascii="宋体"/>
              </w:rPr>
              <w:t xml:space="preserve">支持通过对实体标签的统计，实现图表化的展示；支持对人员标签、车辆标签等实现典型对象、所属实体和标签总数的统计和排名。 </w:t>
            </w:r>
          </w:p>
          <w:p>
            <w:pPr>
              <w:widowControl/>
              <w:ind w:firstLine="420" w:firstLineChars="200"/>
              <w:jc w:val="left"/>
              <w:rPr>
                <w:rFonts w:ascii="宋体" w:cs="宋体"/>
              </w:rPr>
            </w:pPr>
            <w:r>
              <w:rPr>
                <w:rFonts w:ascii="宋体"/>
              </w:rPr>
              <w:t xml:space="preserve">支持基于各类实体、标签对数据进行查询，支持通过关键字查找选择标签，支持通过与、或、非的组合实现多标签的条件查询。 </w:t>
            </w:r>
          </w:p>
          <w:p>
            <w:pPr>
              <w:widowControl/>
              <w:ind w:firstLine="420" w:firstLineChars="200"/>
              <w:jc w:val="left"/>
              <w:rPr>
                <w:rFonts w:ascii="宋体"/>
              </w:rPr>
            </w:pPr>
            <w:r>
              <w:rPr>
                <w:rFonts w:ascii="宋体"/>
              </w:rPr>
              <w:t>支持申请标签的审核工作。</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3640"/>
          <w:jc w:val="left"/>
        </w:trPr>
        <w:tc>
          <w:tcPr>
            <w:tcW w:w="680" w:type="dxa"/>
            <w:shd w:val="clear" w:color="auto" w:fill="auto"/>
            <w:vAlign w:val="center"/>
          </w:tcPr>
          <w:p>
            <w:pPr>
              <w:widowControl/>
              <w:jc w:val="center"/>
              <w:rPr>
                <w:rFonts w:ascii="宋体"/>
              </w:rPr>
            </w:pPr>
            <w:r>
              <w:rPr>
                <w:rFonts w:ascii="宋体"/>
              </w:rPr>
              <w:t>53</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视频图像应用子系统-缉私人车布控</w:t>
            </w:r>
          </w:p>
        </w:tc>
        <w:tc>
          <w:tcPr>
            <w:tcW w:w="4506" w:type="dxa"/>
            <w:shd w:val="clear" w:color="auto" w:fill="auto"/>
            <w:vAlign w:val="center"/>
          </w:tcPr>
          <w:p>
            <w:pPr>
              <w:widowControl/>
              <w:ind w:firstLine="420" w:firstLineChars="200"/>
              <w:jc w:val="left"/>
              <w:rPr>
                <w:rFonts w:ascii="宋体" w:cs="宋体"/>
              </w:rPr>
            </w:pPr>
            <w:r>
              <w:rPr>
                <w:rFonts w:ascii="宋体"/>
              </w:rPr>
              <w:t>支持单人多张人脸图片布控、人脸名单库布控、车牌号码布控、单张车辆图片布控、车辆名单库布控等多种布控方式。</w:t>
            </w:r>
          </w:p>
          <w:p>
            <w:pPr>
              <w:widowControl/>
              <w:ind w:firstLine="420" w:firstLineChars="200"/>
              <w:jc w:val="left"/>
              <w:rPr>
                <w:rFonts w:ascii="宋体" w:cs="宋体"/>
              </w:rPr>
            </w:pPr>
            <w:r>
              <w:rPr>
                <w:rFonts w:ascii="宋体"/>
              </w:rPr>
              <w:t>支持通过人脸、人体、身份证号、车牌号码进行多维布控，支持同个布控任务录入多张人脸图片、多张人体图片、多个车牌号码，支持通过身份证号查询自动补全其他维度的信息。</w:t>
            </w:r>
          </w:p>
          <w:p>
            <w:pPr>
              <w:widowControl/>
              <w:ind w:firstLine="420" w:firstLineChars="200"/>
              <w:jc w:val="left"/>
              <w:rPr>
                <w:rFonts w:ascii="宋体" w:cs="宋体"/>
              </w:rPr>
            </w:pPr>
            <w:r>
              <w:rPr>
                <w:rFonts w:ascii="宋体"/>
              </w:rPr>
              <w:t>支持布控范围、布控有效期、关注级别、布控原因、处置类型等布控配置；支持布控有效时段、相似度、预警推送范围等多种布控策略；支持预警归属推送、预警账号推送、短信联动等多种推送方式。</w:t>
            </w:r>
          </w:p>
          <w:p>
            <w:pPr>
              <w:widowControl/>
              <w:ind w:firstLine="420" w:firstLineChars="200"/>
              <w:jc w:val="left"/>
              <w:rPr>
                <w:rFonts w:ascii="宋体"/>
              </w:rPr>
            </w:pPr>
            <w:r>
              <w:rPr>
                <w:rFonts w:ascii="宋体"/>
              </w:rPr>
              <w:t>支持查看待完成、已提交、待审核的布控任务；支持布控任务的审核处理；支持布控任务的编辑撤控和续控；支持撤控任务的查看、重新布控、删除等。</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040"/>
          <w:jc w:val="left"/>
        </w:trPr>
        <w:tc>
          <w:tcPr>
            <w:tcW w:w="680" w:type="dxa"/>
            <w:shd w:val="clear" w:color="auto" w:fill="auto"/>
            <w:vAlign w:val="center"/>
          </w:tcPr>
          <w:p>
            <w:pPr>
              <w:widowControl/>
              <w:jc w:val="center"/>
              <w:rPr>
                <w:rFonts w:ascii="宋体"/>
              </w:rPr>
            </w:pPr>
            <w:r>
              <w:rPr>
                <w:rFonts w:ascii="宋体"/>
              </w:rPr>
              <w:t>54</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视频图像应用子系统-布控库</w:t>
            </w:r>
          </w:p>
        </w:tc>
        <w:tc>
          <w:tcPr>
            <w:tcW w:w="4506" w:type="dxa"/>
            <w:shd w:val="clear" w:color="auto" w:fill="auto"/>
            <w:vAlign w:val="center"/>
          </w:tcPr>
          <w:p>
            <w:pPr>
              <w:widowControl/>
              <w:ind w:firstLine="420" w:firstLineChars="200"/>
              <w:jc w:val="left"/>
              <w:rPr>
                <w:rFonts w:ascii="宋体"/>
              </w:rPr>
            </w:pPr>
            <w:r>
              <w:rPr>
                <w:rFonts w:ascii="宋体"/>
              </w:rPr>
              <w:t xml:space="preserve">支持通过任务名称、布控类型、名单库、布控状态、修改时间等查询全部已布控的任务，支持布控任务的查看、修改、撤控和续控等功能，支持查看布控任务的布控类型、关注级别、创建人、预警总数等信息。 </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300"/>
          <w:jc w:val="left"/>
        </w:trPr>
        <w:tc>
          <w:tcPr>
            <w:tcW w:w="680" w:type="dxa"/>
            <w:shd w:val="clear" w:color="auto" w:fill="auto"/>
            <w:vAlign w:val="center"/>
          </w:tcPr>
          <w:p>
            <w:pPr>
              <w:widowControl/>
              <w:jc w:val="center"/>
              <w:rPr>
                <w:rFonts w:ascii="宋体"/>
              </w:rPr>
            </w:pPr>
            <w:r>
              <w:rPr>
                <w:rFonts w:ascii="宋体"/>
              </w:rPr>
              <w:t>55</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视频图像应用子系统-告警库</w:t>
            </w:r>
          </w:p>
        </w:tc>
        <w:tc>
          <w:tcPr>
            <w:tcW w:w="4506" w:type="dxa"/>
            <w:shd w:val="clear" w:color="auto" w:fill="auto"/>
            <w:vAlign w:val="center"/>
          </w:tcPr>
          <w:p>
            <w:pPr>
              <w:widowControl/>
              <w:ind w:firstLine="420" w:firstLineChars="200"/>
              <w:jc w:val="left"/>
              <w:rPr>
                <w:rFonts w:ascii="宋体"/>
              </w:rPr>
            </w:pPr>
            <w:r>
              <w:rPr>
                <w:rFonts w:ascii="宋体"/>
              </w:rPr>
              <w:t>支持通过任务名称、关键字、时间范围、布控范围、布控场景、预警等级、布控类型、处理状态、处置类型等查询历史预警，支持查看预警信息的任务名称、预警时间、预警地址、抓拍照片、处置状态等，支持对预警信息进行处理、推送。</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56</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视频图像应用子系统-消息通知</w:t>
            </w:r>
          </w:p>
        </w:tc>
        <w:tc>
          <w:tcPr>
            <w:tcW w:w="4506" w:type="dxa"/>
            <w:shd w:val="clear" w:color="auto" w:fill="auto"/>
            <w:vAlign w:val="center"/>
          </w:tcPr>
          <w:p>
            <w:pPr>
              <w:widowControl/>
              <w:jc w:val="left"/>
              <w:rPr>
                <w:rFonts w:ascii="宋体"/>
              </w:rPr>
            </w:pPr>
            <w:r>
              <w:rPr>
                <w:rFonts w:ascii="宋体"/>
              </w:rPr>
              <w:t>支持系统新消息通知提醒，如布控告警提醒、审批提醒等，支持查看新消息通知，支持通过消息通知类别、消息通知时间等查询消息通知。</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90"/>
          <w:jc w:val="left"/>
        </w:trPr>
        <w:tc>
          <w:tcPr>
            <w:tcW w:w="680" w:type="dxa"/>
            <w:shd w:val="clear" w:color="auto" w:fill="auto"/>
            <w:vAlign w:val="center"/>
          </w:tcPr>
          <w:p>
            <w:pPr>
              <w:widowControl/>
              <w:jc w:val="center"/>
              <w:rPr>
                <w:rFonts w:ascii="宋体"/>
              </w:rPr>
            </w:pPr>
            <w:r>
              <w:rPr>
                <w:rFonts w:ascii="宋体"/>
              </w:rPr>
              <w:t>57</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rPr>
              <w:t>视频图像应用子系统-视频调阅</w:t>
            </w:r>
          </w:p>
        </w:tc>
        <w:tc>
          <w:tcPr>
            <w:tcW w:w="4506" w:type="dxa"/>
            <w:shd w:val="clear" w:color="auto" w:fill="auto"/>
            <w:vAlign w:val="center"/>
          </w:tcPr>
          <w:p>
            <w:pPr>
              <w:widowControl/>
              <w:ind w:firstLine="420" w:firstLineChars="200"/>
              <w:jc w:val="left"/>
              <w:rPr>
                <w:rFonts w:ascii="宋体" w:cs="宋体"/>
              </w:rPr>
            </w:pPr>
            <w:r>
              <w:rPr>
                <w:rFonts w:ascii="宋体"/>
              </w:rPr>
              <w:t>支持多分屏模式浏览视频；支持查看视频码流信息并按需切换主、子码流；支持电子放大、3D放大、即时回放、抓图抓录、视频增强、云台控制、语音对讲等功能；支持创建视频预案，配置视频巡逻计划，对视频点位按计划自动轮巡。</w:t>
            </w:r>
          </w:p>
          <w:p>
            <w:pPr>
              <w:widowControl/>
              <w:ind w:firstLine="420" w:firstLineChars="200"/>
              <w:jc w:val="left"/>
              <w:rPr>
                <w:rFonts w:ascii="宋体" w:cs="宋体"/>
              </w:rPr>
            </w:pPr>
            <w:r>
              <w:rPr>
                <w:rFonts w:ascii="宋体"/>
              </w:rPr>
              <w:t>支持多分屏模式回放录像；支持电子放大、抓图、录像剪辑、视频增强、分段播放、倍速回放、同异步播放等功能；支持对录像回放时间进度条控制，支持切换时间播放录像画面，支持查看回放录像的缩略图；支持暂停、播放、单帧前进、单帧后退、倒放等播放控制。</w:t>
            </w:r>
          </w:p>
          <w:p>
            <w:pPr>
              <w:widowControl/>
              <w:ind w:firstLine="420" w:firstLineChars="200"/>
              <w:jc w:val="left"/>
              <w:rPr>
                <w:rFonts w:ascii="宋体" w:cs="宋体"/>
              </w:rPr>
            </w:pPr>
            <w:r>
              <w:rPr>
                <w:rFonts w:ascii="宋体"/>
              </w:rPr>
              <w:t>支持电视墙场景管理，支持上墙控制，实现场景一键上墙、场景切换、电视墙切换、监控点上下墙、轮巡控制等功能。</w:t>
            </w:r>
          </w:p>
          <w:p>
            <w:pPr>
              <w:widowControl/>
              <w:ind w:firstLine="420" w:firstLineChars="200"/>
              <w:jc w:val="left"/>
              <w:rPr>
                <w:rFonts w:ascii="宋体" w:cs="宋体"/>
              </w:rPr>
            </w:pPr>
            <w:r>
              <w:rPr>
                <w:rFonts w:ascii="宋体"/>
              </w:rPr>
              <w:t>支持通过关键字、资源树查找视频监控点位，并能查看监控点信息，调取监控点视频。</w:t>
            </w:r>
          </w:p>
          <w:p>
            <w:pPr>
              <w:widowControl/>
              <w:ind w:firstLine="420" w:firstLineChars="200"/>
              <w:jc w:val="left"/>
              <w:rPr>
                <w:rFonts w:ascii="宋体" w:cs="宋体"/>
              </w:rPr>
            </w:pPr>
            <w:r>
              <w:rPr>
                <w:rFonts w:ascii="宋体"/>
              </w:rPr>
              <w:t>支持对录像画面添加视频安全水印，支持自定义编辑水印内容。</w:t>
            </w:r>
          </w:p>
          <w:p>
            <w:pPr>
              <w:widowControl/>
              <w:ind w:firstLine="420" w:firstLineChars="200"/>
              <w:jc w:val="left"/>
              <w:rPr>
                <w:rFonts w:ascii="宋体" w:cs="宋体"/>
              </w:rPr>
            </w:pPr>
            <w:r>
              <w:rPr>
                <w:rFonts w:ascii="宋体"/>
              </w:rPr>
              <w:t>支持实时预览或录像回放时进行截图，自动识别图片中的人车等目标，并对关注目标进行快捷搜索。</w:t>
            </w:r>
          </w:p>
          <w:p>
            <w:pPr>
              <w:widowControl/>
              <w:ind w:firstLine="420" w:firstLineChars="200"/>
              <w:jc w:val="left"/>
              <w:rPr>
                <w:rFonts w:ascii="宋体" w:cs="宋体"/>
              </w:rPr>
            </w:pPr>
            <w:r>
              <w:rPr>
                <w:rFonts w:ascii="宋体"/>
              </w:rPr>
              <w:t>支持回放在线录像时，检测有画面变化的片段，并自动调整播放速度。当有画面变化时正常播放，无画面变化时高倍速播放；支持在画面中叠加目标框，支持在回放轴提示画面有无变化。支持在录像画面中绘制局部关注区域，根据区域内有无画面变化自动调整播放速度，当关注区域画面变化时正常播放，无画面变化时高倍速播放。支持播放倍速、关注目标大小等播放配置。</w:t>
            </w:r>
          </w:p>
          <w:p>
            <w:pPr>
              <w:pStyle w:val="BodyText3"/>
            </w:pPr>
            <w:r>
              <w:rPr>
                <w:rFonts w:ascii="宋体" w:eastAsia="宋体" w:cs="宋体" w:hint="eastAsia"/>
                <w:color w:val="auto"/>
                <w:sz w:val="24"/>
              </w:rPr>
              <w:t>在总体设计方案中详细描述。</w:t>
            </w:r>
          </w:p>
        </w:tc>
        <w:tc>
          <w:tcPr>
            <w:tcW w:w="1134" w:type="dxa"/>
            <w:shd w:val="clear" w:color="auto" w:fill="auto"/>
            <w:vAlign w:val="center"/>
          </w:tcPr>
          <w:p>
            <w:pPr>
              <w:widowControl/>
              <w:jc w:val="center"/>
              <w:rPr>
                <w:rFonts w:ascii="宋体"/>
              </w:rPr>
            </w:pPr>
            <w:r>
              <w:rPr>
                <w:rFonts w:ascii="宋体" w:cs="宋体" w:hint="eastAsia"/>
              </w:rPr>
              <w:t>是，在投标时提供的总体设计方案中详细体现。</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58</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视频图像应用子系统-图片预处理</w:t>
            </w:r>
          </w:p>
        </w:tc>
        <w:tc>
          <w:tcPr>
            <w:tcW w:w="4506" w:type="dxa"/>
            <w:shd w:val="clear" w:color="auto" w:fill="auto"/>
            <w:vAlign w:val="center"/>
          </w:tcPr>
          <w:p>
            <w:pPr>
              <w:widowControl/>
              <w:ind w:firstLine="420" w:firstLineChars="200"/>
              <w:jc w:val="left"/>
              <w:rPr>
                <w:rFonts w:ascii="宋体"/>
              </w:rPr>
            </w:pPr>
            <w:r>
              <w:rPr>
                <w:rFonts w:ascii="宋体"/>
              </w:rPr>
              <w:t>支持对以图搜图上传的图片进行图片预处理，支持自动提取图片中的人脸、人体、车辆、非机动车目标并分类展示，支持手动框选图片中的目标。</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57"/>
          <w:jc w:val="left"/>
        </w:trPr>
        <w:tc>
          <w:tcPr>
            <w:tcW w:w="680" w:type="dxa"/>
            <w:shd w:val="clear" w:color="auto" w:fill="auto"/>
            <w:vAlign w:val="center"/>
          </w:tcPr>
          <w:p>
            <w:pPr>
              <w:widowControl/>
              <w:jc w:val="center"/>
              <w:rPr>
                <w:rFonts w:ascii="宋体"/>
              </w:rPr>
            </w:pPr>
            <w:r>
              <w:rPr>
                <w:rFonts w:ascii="宋体"/>
              </w:rPr>
              <w:t>59</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视频图像应用子系统-缉私数据库专题统计</w:t>
            </w:r>
          </w:p>
        </w:tc>
        <w:tc>
          <w:tcPr>
            <w:tcW w:w="4506" w:type="dxa"/>
            <w:shd w:val="clear" w:color="auto" w:fill="auto"/>
            <w:vAlign w:val="center"/>
          </w:tcPr>
          <w:p>
            <w:pPr>
              <w:widowControl/>
              <w:ind w:firstLine="420" w:firstLineChars="200"/>
              <w:jc w:val="left"/>
              <w:rPr>
                <w:rFonts w:ascii="宋体" w:cs="宋体"/>
              </w:rPr>
            </w:pPr>
            <w:r>
              <w:rPr>
                <w:rFonts w:ascii="宋体"/>
              </w:rPr>
              <w:t>支持从监控点总数、当日抓拍人脸量、累计抓拍人脸量、人脸布控任务等维度统计人脸数据整体情况；支持按最近24小时、最近15天、最近1年等维度对抓拍时段抓拍量、活跃抓拍机、报警数据等进行统计；支持名单库的库总数量、布控库数量、总人员数量、布控人员数量、建模成功率、建模失败率等进行统计。</w:t>
            </w:r>
          </w:p>
          <w:p>
            <w:pPr>
              <w:widowControl/>
              <w:ind w:firstLine="420" w:firstLineChars="200"/>
              <w:jc w:val="left"/>
              <w:rPr>
                <w:rFonts w:ascii="宋体" w:cs="宋体"/>
              </w:rPr>
            </w:pPr>
            <w:r>
              <w:rPr>
                <w:rFonts w:ascii="宋体"/>
              </w:rPr>
              <w:t>支持从卡口总数、今日抓拍车辆、累计过车总数、布控库数量、报警总数等维度统计车辆数据整体情况；支持按最近24小时、最近15天、最近1年等维度对车流量趋势、报警数据、有效布控任务等进行统计。</w:t>
            </w:r>
          </w:p>
          <w:p>
            <w:pPr>
              <w:widowControl/>
              <w:ind w:firstLine="420" w:firstLineChars="200"/>
              <w:jc w:val="left"/>
              <w:rPr>
                <w:rFonts w:ascii="宋体"/>
              </w:rPr>
            </w:pPr>
            <w:r>
              <w:rPr>
                <w:rFonts w:ascii="宋体"/>
              </w:rPr>
              <w:t>支持从监控点总数、累计抓拍人体数、今日抓拍人体数等维度统计人体数据整体情况；支持按最近24小时、最近15天、最近1年等维度对抓拍时段抓拍量、抓拍密度、活跃抓拍机等进行统计。</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629"/>
          <w:jc w:val="left"/>
        </w:trPr>
        <w:tc>
          <w:tcPr>
            <w:tcW w:w="680" w:type="dxa"/>
            <w:shd w:val="clear" w:color="auto" w:fill="auto"/>
            <w:vAlign w:val="center"/>
          </w:tcPr>
          <w:p>
            <w:pPr>
              <w:widowControl/>
              <w:jc w:val="center"/>
              <w:rPr>
                <w:rFonts w:ascii="宋体"/>
              </w:rPr>
            </w:pPr>
            <w:r>
              <w:rPr>
                <w:rFonts w:ascii="宋体"/>
              </w:rPr>
              <w:t>60</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视频图像应用子系统-缉私业务感知预警</w:t>
            </w:r>
          </w:p>
        </w:tc>
        <w:tc>
          <w:tcPr>
            <w:tcW w:w="4506" w:type="dxa"/>
            <w:shd w:val="clear" w:color="auto" w:fill="auto"/>
            <w:vAlign w:val="center"/>
          </w:tcPr>
          <w:p>
            <w:pPr>
              <w:widowControl/>
              <w:ind w:firstLine="420" w:firstLineChars="200"/>
              <w:jc w:val="left"/>
              <w:rPr>
                <w:rFonts w:ascii="宋体"/>
              </w:rPr>
            </w:pPr>
            <w:r>
              <w:rPr>
                <w:rFonts w:ascii="宋体"/>
              </w:rPr>
              <w:t>支持对人员个体布控、人员群体布控、车辆个体布控、车辆群体布控等进行实时预警提示，支持查看预警信息的处置类型，支持对预警信息进行处理、推送，支持通过部门组织选择人员进行预警推送。</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4299"/>
          <w:jc w:val="left"/>
        </w:trPr>
        <w:tc>
          <w:tcPr>
            <w:tcW w:w="680" w:type="dxa"/>
            <w:shd w:val="clear" w:color="auto" w:fill="auto"/>
            <w:vAlign w:val="center"/>
          </w:tcPr>
          <w:p>
            <w:pPr>
              <w:widowControl/>
              <w:jc w:val="center"/>
              <w:rPr>
                <w:rFonts w:ascii="宋体"/>
              </w:rPr>
            </w:pPr>
            <w:r>
              <w:rPr>
                <w:rFonts w:ascii="宋体"/>
              </w:rPr>
              <w:t>61</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视频图像应用子系统-涉私告警服务</w:t>
            </w:r>
          </w:p>
        </w:tc>
        <w:tc>
          <w:tcPr>
            <w:tcW w:w="4506" w:type="dxa"/>
            <w:shd w:val="clear" w:color="auto" w:fill="auto"/>
            <w:vAlign w:val="center"/>
          </w:tcPr>
          <w:p>
            <w:pPr>
              <w:widowControl/>
              <w:ind w:firstLine="420" w:firstLineChars="200"/>
              <w:jc w:val="left"/>
              <w:rPr>
                <w:rFonts w:ascii="宋体" w:cs="宋体"/>
              </w:rPr>
            </w:pPr>
            <w:r>
              <w:rPr>
                <w:rFonts w:ascii="宋体"/>
              </w:rPr>
              <w:t>支持展示实时预警信息，支持弹窗提示；支持按关注级别、预警类型、处理状态等分类展示；支持查看预警详情信息；支持聚合展示预警信息；支持以地图模式实时展示预警地点；支持展示相似度、姓名、证件号码、抓拍时间、抓拍地点、布控任务名称、布控原因、名单库、所属辖区、布控人员等信息；支持查看人脸抓拍图大图，查看抓拍图与证件照的对比；支持对预警信息进行订阅，支持通过关键字搜索布控任务进行订阅。</w:t>
            </w:r>
          </w:p>
          <w:p>
            <w:pPr>
              <w:widowControl/>
              <w:ind w:firstLine="420" w:firstLineChars="200"/>
              <w:jc w:val="left"/>
              <w:rPr>
                <w:rFonts w:ascii="宋体" w:cs="宋体"/>
              </w:rPr>
            </w:pPr>
            <w:r>
              <w:rPr>
                <w:rFonts w:ascii="宋体"/>
              </w:rPr>
              <w:t>支持通过任务名称、关键字、时间范围、布控范围、预警等级、布控类型、处理状态、处置类型等查询历史预警；支持查看预警详情信息，支持关联视频预览、录像回放、以脸搜脸、以人搜人、身份确认、人员档案、查看轨迹等应用。</w:t>
            </w:r>
          </w:p>
          <w:p>
            <w:pPr>
              <w:widowControl/>
              <w:ind w:firstLine="420" w:firstLineChars="200"/>
              <w:jc w:val="left"/>
              <w:rPr>
                <w:rFonts w:ascii="宋体" w:cs="宋体"/>
              </w:rPr>
            </w:pPr>
            <w:r>
              <w:rPr>
                <w:rFonts w:ascii="宋体"/>
              </w:rPr>
              <w:t>支持对历史预警信息的统计，支持按今日、昨日、近7日等统计布控任务情况、不同布控类型情况、不同预警级别预警等情况。</w:t>
            </w:r>
          </w:p>
          <w:p>
            <w:pPr>
              <w:widowControl/>
              <w:ind w:firstLine="420" w:firstLineChars="200"/>
              <w:jc w:val="left"/>
              <w:rPr>
                <w:rFonts w:ascii="宋体" w:cs="宋体"/>
              </w:rPr>
            </w:pPr>
            <w:r>
              <w:rPr>
                <w:rFonts w:ascii="宋体"/>
              </w:rPr>
              <w:t>支持查看预警详细情况、查看预警录像回放，关联开展以脸搜脸、以人搜人、身份确认等应用；支持对预警信息进行正报、误报、是否撤控等进行处理，支持上传图片，支持填写处理描述意见；支持预警信息推送给其他用户。</w:t>
            </w:r>
          </w:p>
          <w:p>
            <w:pPr>
              <w:widowControl/>
              <w:ind w:firstLine="420" w:firstLineChars="200"/>
              <w:jc w:val="left"/>
              <w:rPr>
                <w:rFonts w:ascii="宋体" w:cs="宋体"/>
              </w:rPr>
            </w:pPr>
            <w:r>
              <w:rPr>
                <w:rFonts w:ascii="宋体"/>
              </w:rPr>
              <w:t>支持对未完成、已布控、撤控和需要审核的布控预警任务进行管理；支持查看和继续编辑未完成的布控草稿任务；支持已布控任务的查看、撤控、续控等；支持已撤控任务查看、重新布控和删除等。</w:t>
            </w:r>
          </w:p>
          <w:p>
            <w:pPr>
              <w:widowControl/>
              <w:ind w:firstLine="420" w:firstLineChars="200"/>
              <w:jc w:val="left"/>
              <w:rPr>
                <w:rFonts w:ascii="宋体"/>
              </w:rPr>
            </w:pPr>
            <w:r>
              <w:rPr>
                <w:rFonts w:ascii="宋体"/>
              </w:rPr>
              <w:t>支持具备权限的用户查看所有布控任务，管理员可以进行任务管理；支持具备审核权限的用户审核普通用户提交的布控任务。</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6048"/>
          <w:jc w:val="left"/>
        </w:trPr>
        <w:tc>
          <w:tcPr>
            <w:tcW w:w="680" w:type="dxa"/>
            <w:shd w:val="clear" w:color="auto" w:fill="auto"/>
            <w:vAlign w:val="center"/>
          </w:tcPr>
          <w:p>
            <w:pPr>
              <w:widowControl/>
              <w:jc w:val="center"/>
              <w:rPr>
                <w:rFonts w:ascii="宋体"/>
              </w:rPr>
            </w:pPr>
            <w:r>
              <w:rPr>
                <w:rFonts w:ascii="宋体"/>
              </w:rPr>
              <w:t>62</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rPr>
              <w:t>视频图像应用子系统-离线涉私视频解析</w:t>
            </w:r>
          </w:p>
        </w:tc>
        <w:tc>
          <w:tcPr>
            <w:tcW w:w="4506" w:type="dxa"/>
            <w:shd w:val="clear" w:color="auto" w:fill="auto"/>
            <w:vAlign w:val="center"/>
          </w:tcPr>
          <w:p>
            <w:pPr>
              <w:widowControl/>
              <w:ind w:firstLine="420" w:firstLineChars="200"/>
              <w:jc w:val="left"/>
              <w:rPr>
                <w:rFonts w:ascii="宋体" w:cs="宋体"/>
              </w:rPr>
            </w:pPr>
            <w:r>
              <w:rPr>
                <w:rFonts w:ascii="宋体"/>
              </w:rPr>
              <w:t>对本地离线视频进行视频结构化解析，提取视频中的人脸、人体、机动车、非机动车目标，并可实现搜索应用，应具备如下功能：</w:t>
            </w:r>
          </w:p>
          <w:p>
            <w:pPr>
              <w:widowControl/>
              <w:ind w:firstLine="420" w:firstLineChars="200"/>
              <w:jc w:val="left"/>
              <w:rPr>
                <w:rFonts w:ascii="宋体" w:cs="宋体"/>
              </w:rPr>
            </w:pPr>
            <w:r>
              <w:rPr>
                <w:rFonts w:ascii="宋体"/>
              </w:rPr>
              <w:t>支持批量上传离线视频文件，支持边上传边解析、边解析边出结果、边出结果边查看。</w:t>
            </w:r>
          </w:p>
          <w:p>
            <w:pPr>
              <w:widowControl/>
              <w:ind w:firstLine="420" w:firstLineChars="200"/>
              <w:jc w:val="left"/>
              <w:rPr>
                <w:rFonts w:ascii="宋体" w:cs="宋体"/>
              </w:rPr>
            </w:pPr>
            <w:r>
              <w:rPr>
                <w:rFonts w:ascii="宋体"/>
              </w:rPr>
              <w:t>支持对mp4、dav、ts、asf、nsf、sdv、avi、avx、dat、wmv等格式的视频文件进行视频解析。</w:t>
            </w:r>
          </w:p>
          <w:p>
            <w:pPr>
              <w:widowControl/>
              <w:ind w:firstLine="420" w:firstLineChars="200"/>
              <w:jc w:val="left"/>
              <w:rPr>
                <w:rFonts w:ascii="宋体" w:cs="宋体"/>
              </w:rPr>
            </w:pPr>
            <w:r>
              <w:rPr>
                <w:rFonts w:ascii="宋体"/>
              </w:rPr>
              <w:t>支持上传视频文件进行状态显示，包括上传进度、解析进度、上传文件数等功能。</w:t>
            </w:r>
          </w:p>
          <w:p>
            <w:pPr>
              <w:widowControl/>
              <w:ind w:firstLine="420" w:firstLineChars="200"/>
              <w:jc w:val="left"/>
              <w:rPr>
                <w:rFonts w:ascii="宋体" w:cs="宋体"/>
              </w:rPr>
            </w:pPr>
            <w:r>
              <w:rPr>
                <w:rFonts w:ascii="宋体"/>
              </w:rPr>
              <w:t>支持通过人脸、人体、机动车、非机动车目标图片对视频解析结果进行搜索，可实现30张图同时搜索。</w:t>
            </w:r>
          </w:p>
          <w:p>
            <w:pPr>
              <w:widowControl/>
              <w:ind w:firstLine="420" w:firstLineChars="200"/>
              <w:jc w:val="left"/>
              <w:rPr>
                <w:rFonts w:ascii="宋体" w:cs="宋体"/>
              </w:rPr>
            </w:pPr>
            <w:r>
              <w:rPr>
                <w:rFonts w:ascii="宋体"/>
              </w:rPr>
              <w:t>支持对关注的目标人员分析同行人信息。</w:t>
            </w:r>
          </w:p>
          <w:p>
            <w:pPr>
              <w:widowControl/>
              <w:ind w:firstLine="420" w:firstLineChars="200"/>
              <w:jc w:val="left"/>
              <w:rPr>
                <w:rFonts w:ascii="宋体" w:cs="宋体"/>
              </w:rPr>
            </w:pPr>
            <w:r>
              <w:rPr>
                <w:rFonts w:ascii="宋体"/>
              </w:rPr>
              <w:t>支持对视频解析结果进行人员自动分组和实名身份推荐，可调整人员分组结果。</w:t>
            </w:r>
          </w:p>
          <w:p>
            <w:pPr>
              <w:pStyle w:val="BodyText3"/>
              <w:ind w:firstLine="480" w:firstLineChars="200"/>
              <w:rPr>
                <w:rFonts w:ascii="宋体"/>
              </w:rPr>
            </w:pPr>
            <w:r>
              <w:rPr>
                <w:rFonts w:ascii="宋体" w:eastAsia="宋体" w:cs="宋体" w:hint="eastAsia"/>
                <w:color w:val="auto"/>
                <w:sz w:val="24"/>
              </w:rPr>
              <w:t>在总体设计方案中详细描述。</w:t>
            </w:r>
          </w:p>
        </w:tc>
        <w:tc>
          <w:tcPr>
            <w:tcW w:w="1134" w:type="dxa"/>
            <w:shd w:val="clear" w:color="auto" w:fill="auto"/>
            <w:vAlign w:val="center"/>
          </w:tcPr>
          <w:p>
            <w:pPr>
              <w:widowControl/>
              <w:jc w:val="left"/>
              <w:rPr>
                <w:rFonts w:ascii="宋体"/>
              </w:rPr>
            </w:pPr>
            <w:r>
              <w:rPr>
                <w:rFonts w:ascii="宋体"/>
              </w:rPr>
              <w:t>是，</w:t>
            </w:r>
            <w:r>
              <w:rPr>
                <w:rFonts w:ascii="宋体" w:hint="eastAsia"/>
              </w:rPr>
              <w:t>在投标时提供的总体设计方案中详细体现。</w:t>
            </w:r>
            <w:r>
              <w:rPr>
                <w:rFonts w:ascii="宋体" w:cs="宋体" w:hint="eastAsia"/>
              </w:rPr>
              <w:t>。</w:t>
            </w:r>
          </w:p>
        </w:tc>
      </w:tr>
      <w:tr>
        <w:tblPrEx>
          <w:tblW w:w="8217" w:type="dxa"/>
          <w:jc w:val="left"/>
          <w:tblInd w:w="0" w:type="dxa"/>
          <w:tblCellMar>
            <w:top w:w="0" w:type="dxa"/>
            <w:left w:w="108" w:type="dxa"/>
            <w:bottom w:w="0" w:type="dxa"/>
            <w:right w:w="108" w:type="dxa"/>
          </w:tblCellMar>
        </w:tblPrEx>
        <w:trPr>
          <w:trHeight w:val="2860"/>
          <w:jc w:val="left"/>
        </w:trPr>
        <w:tc>
          <w:tcPr>
            <w:tcW w:w="680" w:type="dxa"/>
            <w:shd w:val="clear" w:color="auto" w:fill="auto"/>
            <w:vAlign w:val="center"/>
          </w:tcPr>
          <w:p>
            <w:pPr>
              <w:widowControl/>
              <w:jc w:val="center"/>
              <w:rPr>
                <w:rFonts w:ascii="宋体"/>
              </w:rPr>
            </w:pPr>
            <w:r>
              <w:rPr>
                <w:rFonts w:ascii="宋体"/>
              </w:rPr>
              <w:t>63</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视频图像应用子系统-人像定向化检索</w:t>
            </w:r>
          </w:p>
        </w:tc>
        <w:tc>
          <w:tcPr>
            <w:tcW w:w="4506" w:type="dxa"/>
            <w:shd w:val="clear" w:color="auto" w:fill="auto"/>
            <w:vAlign w:val="center"/>
          </w:tcPr>
          <w:p>
            <w:pPr>
              <w:widowControl/>
              <w:ind w:firstLine="420" w:firstLineChars="200"/>
              <w:jc w:val="left"/>
              <w:rPr>
                <w:rFonts w:ascii="宋体" w:cs="宋体"/>
              </w:rPr>
            </w:pPr>
            <w:r>
              <w:rPr>
                <w:rFonts w:ascii="宋体"/>
              </w:rPr>
              <w:t>支持通过单张或多张人脸图片、相似度、时空范围等条件搜索人脸数据，支持对搜索结果进行排序、导出、生成轨迹、布控、图片搜索、视频回放、下载图片等功能。</w:t>
            </w:r>
          </w:p>
          <w:p>
            <w:pPr>
              <w:widowControl/>
              <w:ind w:firstLine="420" w:firstLineChars="200"/>
              <w:jc w:val="left"/>
              <w:rPr>
                <w:rFonts w:ascii="宋体" w:cs="宋体"/>
              </w:rPr>
            </w:pPr>
            <w:r>
              <w:rPr>
                <w:rFonts w:ascii="宋体"/>
              </w:rPr>
              <w:t>支持通过单张或多张人体图片、相似度、时空范围等条件搜索人体数据，支持对搜索结果进行排序、导出、生成轨迹、图片搜索、视频回放、下载图片等功能。</w:t>
            </w:r>
          </w:p>
          <w:p>
            <w:pPr>
              <w:widowControl/>
              <w:ind w:firstLine="420" w:firstLineChars="200"/>
              <w:jc w:val="left"/>
              <w:rPr>
                <w:rFonts w:ascii="宋体"/>
              </w:rPr>
            </w:pPr>
            <w:r>
              <w:rPr>
                <w:rFonts w:ascii="宋体"/>
              </w:rPr>
              <w:t>支持通过人员属性、时空范围等条件搜索人脸、人体数据及名单数据，支持姓名、性别、年龄段、衣着、发型、戴口罩、戴帽子、背包、骑车等人员属性；支持对搜索结果进行排序、导出、生成轨迹、布控、图片搜索、视频回放、下载图片等功能。</w:t>
            </w:r>
          </w:p>
        </w:tc>
        <w:tc>
          <w:tcPr>
            <w:tcW w:w="1134" w:type="dxa"/>
            <w:shd w:val="clear" w:color="auto" w:fill="auto"/>
            <w:vAlign w:val="center"/>
          </w:tcPr>
          <w:p>
            <w:pPr>
              <w:widowControl/>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045"/>
          <w:jc w:val="left"/>
        </w:trPr>
        <w:tc>
          <w:tcPr>
            <w:tcW w:w="680" w:type="dxa"/>
            <w:shd w:val="clear" w:color="auto" w:fill="auto"/>
            <w:vAlign w:val="center"/>
          </w:tcPr>
          <w:p>
            <w:pPr>
              <w:widowControl/>
              <w:jc w:val="center"/>
              <w:rPr>
                <w:rFonts w:ascii="宋体"/>
              </w:rPr>
            </w:pPr>
            <w:r>
              <w:rPr>
                <w:rFonts w:ascii="宋体"/>
              </w:rPr>
              <w:t>64</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视频图像应用子系统-人像技战法</w:t>
            </w:r>
          </w:p>
        </w:tc>
        <w:tc>
          <w:tcPr>
            <w:tcW w:w="4506" w:type="dxa"/>
            <w:shd w:val="clear" w:color="auto" w:fill="auto"/>
            <w:vAlign w:val="center"/>
          </w:tcPr>
          <w:p>
            <w:pPr>
              <w:widowControl/>
              <w:ind w:firstLine="315" w:firstLineChars="150"/>
              <w:jc w:val="left"/>
              <w:rPr>
                <w:rFonts w:ascii="宋体" w:cs="宋体"/>
              </w:rPr>
            </w:pPr>
            <w:r>
              <w:rPr>
                <w:rFonts w:ascii="宋体"/>
              </w:rPr>
              <w:t>支持通过指定地点范围、指定时间范围分析出在多个地方都出现过的人员，支持查看分析结果。</w:t>
            </w:r>
          </w:p>
          <w:p>
            <w:pPr>
              <w:widowControl/>
              <w:ind w:firstLine="315" w:firstLineChars="150"/>
              <w:jc w:val="left"/>
              <w:rPr>
                <w:rFonts w:ascii="宋体" w:cs="宋体"/>
              </w:rPr>
            </w:pPr>
            <w:r>
              <w:rPr>
                <w:rFonts w:ascii="宋体"/>
              </w:rPr>
              <w:t>支持通过指定目标人员分析其在指定地点范围、指定时间范围内轨迹消失点，支持查看分析结果。</w:t>
            </w:r>
          </w:p>
          <w:p>
            <w:pPr>
              <w:widowControl/>
              <w:ind w:firstLine="315" w:firstLineChars="150"/>
              <w:jc w:val="left"/>
              <w:rPr>
                <w:rFonts w:ascii="宋体" w:cs="宋体"/>
              </w:rPr>
            </w:pPr>
            <w:r>
              <w:rPr>
                <w:rFonts w:ascii="宋体"/>
              </w:rPr>
              <w:t>支持通过指定地点范围、指定时间范围内分析出与指定目标人员同行的人员，支持查看分析结果。</w:t>
            </w:r>
          </w:p>
          <w:p>
            <w:pPr>
              <w:widowControl/>
              <w:ind w:firstLine="315" w:firstLineChars="150"/>
              <w:jc w:val="left"/>
              <w:rPr>
                <w:rFonts w:ascii="宋体" w:cs="宋体"/>
              </w:rPr>
            </w:pPr>
            <w:r>
              <w:rPr>
                <w:rFonts w:ascii="宋体"/>
              </w:rPr>
              <w:t>支持通过指定地点范围、指定时间范围内分析出频繁出现的人员，支持查看分析结果。</w:t>
            </w:r>
          </w:p>
          <w:p>
            <w:pPr>
              <w:widowControl/>
              <w:ind w:firstLine="315" w:firstLineChars="150"/>
              <w:jc w:val="left"/>
              <w:rPr>
                <w:rFonts w:ascii="宋体" w:cs="宋体"/>
              </w:rPr>
            </w:pPr>
            <w:r>
              <w:rPr>
                <w:rFonts w:ascii="宋体"/>
              </w:rPr>
              <w:t>支持通过指定地点范围、指定时间范围内分析出在指定时间点后出现且在此之前从未露面的人员，支持查看分析结果。</w:t>
            </w:r>
          </w:p>
          <w:p>
            <w:pPr>
              <w:widowControl/>
              <w:ind w:firstLine="315" w:firstLineChars="150"/>
              <w:jc w:val="left"/>
              <w:rPr>
                <w:rFonts w:ascii="宋体"/>
              </w:rPr>
            </w:pPr>
            <w:r>
              <w:rPr>
                <w:rFonts w:ascii="宋体"/>
              </w:rPr>
              <w:t>支持通过指定目标人员分析其在指定地点、时间范围内最常出现的地方，支持查看分析结果。</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040"/>
          <w:jc w:val="left"/>
        </w:trPr>
        <w:tc>
          <w:tcPr>
            <w:tcW w:w="680" w:type="dxa"/>
            <w:shd w:val="clear" w:color="auto" w:fill="auto"/>
            <w:vAlign w:val="center"/>
          </w:tcPr>
          <w:p>
            <w:pPr>
              <w:widowControl/>
              <w:jc w:val="center"/>
              <w:rPr>
                <w:rFonts w:ascii="宋体"/>
              </w:rPr>
            </w:pPr>
            <w:r>
              <w:rPr>
                <w:rFonts w:ascii="宋体"/>
              </w:rPr>
              <w:t>65</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视频图像应用子系统-涉私人员身份确认</w:t>
            </w:r>
          </w:p>
        </w:tc>
        <w:tc>
          <w:tcPr>
            <w:tcW w:w="4506" w:type="dxa"/>
            <w:shd w:val="clear" w:color="auto" w:fill="auto"/>
            <w:vAlign w:val="center"/>
          </w:tcPr>
          <w:p>
            <w:pPr>
              <w:widowControl/>
              <w:ind w:firstLine="420" w:firstLineChars="200"/>
              <w:jc w:val="left"/>
              <w:rPr>
                <w:rFonts w:ascii="宋体"/>
              </w:rPr>
            </w:pPr>
            <w:r>
              <w:rPr>
                <w:rFonts w:ascii="宋体"/>
              </w:rPr>
              <w:t>支持通过人脸照片、姓名或身份证号等条件进行人员身份确认，支持按相似度从高到低对结果进行排列，支持对身份确认结果标进行以脸搜脸、布控、查看档案、查看轨迹等应用。</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780"/>
          <w:jc w:val="left"/>
        </w:trPr>
        <w:tc>
          <w:tcPr>
            <w:tcW w:w="680" w:type="dxa"/>
            <w:shd w:val="clear" w:color="auto" w:fill="auto"/>
            <w:vAlign w:val="center"/>
          </w:tcPr>
          <w:p>
            <w:pPr>
              <w:widowControl/>
              <w:jc w:val="center"/>
              <w:rPr>
                <w:rFonts w:ascii="宋体"/>
              </w:rPr>
            </w:pPr>
            <w:r>
              <w:rPr>
                <w:rFonts w:ascii="宋体"/>
              </w:rPr>
              <w:t>66</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视频图像应用子系统-人像1：1比对</w:t>
            </w:r>
          </w:p>
        </w:tc>
        <w:tc>
          <w:tcPr>
            <w:tcW w:w="4506" w:type="dxa"/>
            <w:shd w:val="clear" w:color="auto" w:fill="auto"/>
            <w:vAlign w:val="center"/>
          </w:tcPr>
          <w:p>
            <w:pPr>
              <w:widowControl/>
              <w:ind w:firstLine="420" w:firstLineChars="200"/>
              <w:jc w:val="left"/>
              <w:rPr>
                <w:rFonts w:ascii="宋体"/>
              </w:rPr>
            </w:pPr>
            <w:r>
              <w:rPr>
                <w:rFonts w:ascii="宋体"/>
              </w:rPr>
              <w:t>支持对两张人像图片进行相似度比对，支持显示两张图片中人脸的相似度，支持对比对图进行以脸搜脸、一键布控、身份确认等应用。</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820"/>
          <w:jc w:val="left"/>
        </w:trPr>
        <w:tc>
          <w:tcPr>
            <w:tcW w:w="680" w:type="dxa"/>
            <w:shd w:val="clear" w:color="auto" w:fill="auto"/>
            <w:vAlign w:val="center"/>
          </w:tcPr>
          <w:p>
            <w:pPr>
              <w:widowControl/>
              <w:jc w:val="center"/>
              <w:rPr>
                <w:rFonts w:ascii="宋体"/>
              </w:rPr>
            </w:pPr>
            <w:r>
              <w:rPr>
                <w:rFonts w:ascii="宋体"/>
              </w:rPr>
              <w:t>67</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视频图像应用子系统-人像库管理</w:t>
            </w:r>
          </w:p>
        </w:tc>
        <w:tc>
          <w:tcPr>
            <w:tcW w:w="4506" w:type="dxa"/>
            <w:shd w:val="clear" w:color="auto" w:fill="auto"/>
            <w:vAlign w:val="center"/>
          </w:tcPr>
          <w:p>
            <w:pPr>
              <w:widowControl/>
              <w:ind w:firstLine="420" w:firstLineChars="200"/>
              <w:jc w:val="left"/>
              <w:rPr>
                <w:rFonts w:ascii="宋体"/>
              </w:rPr>
            </w:pPr>
            <w:r>
              <w:rPr>
                <w:rFonts w:ascii="宋体"/>
              </w:rPr>
              <w:t>支持人员名单库的增删改查，支持配置人员名单库的名称、编号、标签、权限等信息；支持人员名单的增删改查，支持配置人员名单的图片、姓名、证件号码、人员标签、关联车辆等信息；支持对人员名单的批量导入、批量移库、批量删除等功能；支持通过库标签、库名称、库编号等搜索人员名单库；支持通过图片、名单编号、姓名、证件号码、人员标签等搜索人员名单。</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20"/>
          <w:jc w:val="left"/>
        </w:trPr>
        <w:tc>
          <w:tcPr>
            <w:tcW w:w="680" w:type="dxa"/>
            <w:shd w:val="clear" w:color="auto" w:fill="auto"/>
            <w:vAlign w:val="center"/>
          </w:tcPr>
          <w:p>
            <w:pPr>
              <w:widowControl/>
              <w:jc w:val="center"/>
              <w:rPr>
                <w:rFonts w:ascii="宋体"/>
              </w:rPr>
            </w:pPr>
            <w:r>
              <w:rPr>
                <w:rFonts w:ascii="宋体"/>
              </w:rPr>
              <w:t>68</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视频图像应用子系统-涉私人员昼伏夜出</w:t>
            </w:r>
          </w:p>
        </w:tc>
        <w:tc>
          <w:tcPr>
            <w:tcW w:w="4506" w:type="dxa"/>
            <w:shd w:val="clear" w:color="auto" w:fill="auto"/>
            <w:vAlign w:val="center"/>
          </w:tcPr>
          <w:p>
            <w:pPr>
              <w:widowControl/>
              <w:ind w:firstLine="420" w:firstLineChars="200"/>
              <w:jc w:val="left"/>
              <w:rPr>
                <w:rFonts w:ascii="宋体"/>
              </w:rPr>
            </w:pPr>
            <w:r>
              <w:rPr>
                <w:rFonts w:ascii="宋体"/>
              </w:rPr>
              <w:t>支持通过指定地点范围、指定时间范围等条件分析出白天隐匿、晚上露面的人员，支持查看分析结果。</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300"/>
          <w:jc w:val="left"/>
        </w:trPr>
        <w:tc>
          <w:tcPr>
            <w:tcW w:w="680" w:type="dxa"/>
            <w:shd w:val="clear" w:color="auto" w:fill="auto"/>
            <w:vAlign w:val="center"/>
          </w:tcPr>
          <w:p>
            <w:pPr>
              <w:widowControl/>
              <w:jc w:val="center"/>
              <w:rPr>
                <w:rFonts w:ascii="宋体"/>
              </w:rPr>
            </w:pPr>
            <w:r>
              <w:rPr>
                <w:rFonts w:ascii="宋体"/>
              </w:rPr>
              <w:t>69</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视频图像应用子系统-标签画像搜人</w:t>
            </w:r>
          </w:p>
        </w:tc>
        <w:tc>
          <w:tcPr>
            <w:tcW w:w="4506" w:type="dxa"/>
            <w:shd w:val="clear" w:color="auto" w:fill="auto"/>
            <w:vAlign w:val="center"/>
          </w:tcPr>
          <w:p>
            <w:pPr>
              <w:widowControl/>
              <w:ind w:firstLine="420" w:firstLineChars="200"/>
              <w:jc w:val="left"/>
              <w:rPr>
                <w:rFonts w:ascii="宋体"/>
              </w:rPr>
            </w:pPr>
            <w:r>
              <w:rPr>
                <w:rFonts w:ascii="宋体"/>
              </w:rPr>
              <w:t>通过人体、人脸属性元素（如长发短发、上下衣种类和颜色、是否背包、是否戴眼镜、是否戴口罩等）刻画人物形象，结合指定时间、点位实现抓拍图搜索，并可实现查看档案、图片搜索、视频回放、查看轨迹等功能，支持通过多个搜索结果生成轨迹。</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040"/>
          <w:jc w:val="left"/>
        </w:trPr>
        <w:tc>
          <w:tcPr>
            <w:tcW w:w="680" w:type="dxa"/>
            <w:shd w:val="clear" w:color="auto" w:fill="auto"/>
            <w:vAlign w:val="center"/>
          </w:tcPr>
          <w:p>
            <w:pPr>
              <w:widowControl/>
              <w:jc w:val="center"/>
              <w:rPr>
                <w:rFonts w:ascii="宋体"/>
              </w:rPr>
            </w:pPr>
            <w:r>
              <w:rPr>
                <w:rFonts w:ascii="宋体"/>
              </w:rPr>
              <w:t>70</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视频图像应用子系统-以物特征搜人</w:t>
            </w:r>
          </w:p>
        </w:tc>
        <w:tc>
          <w:tcPr>
            <w:tcW w:w="4506" w:type="dxa"/>
            <w:shd w:val="clear" w:color="auto" w:fill="auto"/>
            <w:vAlign w:val="center"/>
          </w:tcPr>
          <w:p>
            <w:pPr>
              <w:widowControl/>
              <w:ind w:firstLine="420" w:firstLineChars="200"/>
              <w:jc w:val="left"/>
              <w:rPr>
                <w:rFonts w:ascii="宋体"/>
              </w:rPr>
            </w:pPr>
            <w:r>
              <w:rPr>
                <w:rFonts w:ascii="宋体"/>
              </w:rPr>
              <w:t>以物特征搜人通过从添加的人脸或人体目标图片中自动检测或手动框选鞋子、帽子或背包特征，以及查询时间、相似度、点位范围等条件搜索人员目标。支持对搜索结果查看详情、批量导出、生成轨迹、搜图、视频回放、布控等功能。</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820"/>
          <w:jc w:val="left"/>
        </w:trPr>
        <w:tc>
          <w:tcPr>
            <w:tcW w:w="680" w:type="dxa"/>
            <w:shd w:val="clear" w:color="auto" w:fill="auto"/>
            <w:vAlign w:val="center"/>
          </w:tcPr>
          <w:p>
            <w:pPr>
              <w:widowControl/>
              <w:jc w:val="center"/>
              <w:rPr>
                <w:rFonts w:ascii="宋体"/>
              </w:rPr>
            </w:pPr>
            <w:r>
              <w:rPr>
                <w:rFonts w:ascii="宋体"/>
              </w:rPr>
              <w:t>71</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视频图像应用子系统-车辆数据综合应用</w:t>
            </w:r>
          </w:p>
        </w:tc>
        <w:tc>
          <w:tcPr>
            <w:tcW w:w="4506" w:type="dxa"/>
            <w:shd w:val="clear" w:color="auto" w:fill="auto"/>
            <w:vAlign w:val="center"/>
          </w:tcPr>
          <w:p>
            <w:pPr>
              <w:widowControl/>
              <w:ind w:firstLine="420" w:firstLineChars="200"/>
              <w:jc w:val="left"/>
              <w:rPr>
                <w:rFonts w:ascii="宋体"/>
              </w:rPr>
            </w:pPr>
            <w:r>
              <w:rPr>
                <w:rFonts w:ascii="宋体"/>
              </w:rPr>
              <w:t>支持车辆名单库的增删改查，支持配置车辆名单库的名称、编号、标签、权限等信息；支持车辆名单的增删改查，支持配置车辆名单的图片、车牌号码、车牌颜色、车辆颜色、车辆品牌、车辆类型等信息；支持对车辆名单的批量导入、批量移库、批量删除等功能；支持通过库标签、库名称、库编号等搜索车辆名单库；支持通过车牌号码、车牌颜色、车辆品牌、车辆颜色、车辆标签等搜索车辆名单。</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2600"/>
          <w:jc w:val="left"/>
        </w:trPr>
        <w:tc>
          <w:tcPr>
            <w:tcW w:w="680" w:type="dxa"/>
            <w:shd w:val="clear" w:color="auto" w:fill="auto"/>
            <w:vAlign w:val="center"/>
          </w:tcPr>
          <w:p>
            <w:pPr>
              <w:widowControl/>
              <w:jc w:val="center"/>
              <w:rPr>
                <w:rFonts w:ascii="宋体"/>
              </w:rPr>
            </w:pPr>
            <w:r>
              <w:rPr>
                <w:rFonts w:ascii="宋体"/>
              </w:rPr>
              <w:t>72</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视频图像应用子系统-车辆库检索</w:t>
            </w:r>
          </w:p>
        </w:tc>
        <w:tc>
          <w:tcPr>
            <w:tcW w:w="4506" w:type="dxa"/>
            <w:shd w:val="clear" w:color="auto" w:fill="auto"/>
            <w:vAlign w:val="center"/>
          </w:tcPr>
          <w:p>
            <w:pPr>
              <w:widowControl/>
              <w:ind w:firstLine="420" w:firstLineChars="200"/>
              <w:jc w:val="left"/>
              <w:rPr>
                <w:rFonts w:ascii="宋体" w:cs="宋体"/>
              </w:rPr>
            </w:pPr>
            <w:r>
              <w:rPr>
                <w:rFonts w:ascii="宋体"/>
              </w:rPr>
              <w:t>支持通过车牌号码、车牌类型、车辆品牌、车身颜色、车辆类型、抓拍角度（正向、背向）、遮阳板、行李架、车身喷字、车检贴标、挂件、纸巾盒、时空范围等条件搜索车辆数据，支持对搜索结果进行排序、导出、生成轨迹等功能，支持一键布控、图片搜索、视频回放、下载图片等关联应用。</w:t>
            </w:r>
          </w:p>
          <w:p>
            <w:pPr>
              <w:widowControl/>
              <w:ind w:firstLine="420" w:firstLineChars="200"/>
              <w:jc w:val="left"/>
              <w:rPr>
                <w:rFonts w:ascii="宋体"/>
              </w:rPr>
            </w:pPr>
            <w:r>
              <w:rPr>
                <w:rFonts w:ascii="宋体"/>
              </w:rPr>
              <w:t>支持通过非机动车的特征属性（如颜色、类型等）搜索非机动车数据；支持自动识别上传图片中的非机动车目标，支持按照设定的时间、最小相似度、点位等进行搜索；支持批量导出结果、生成轨迹等功能。</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040"/>
          <w:jc w:val="left"/>
        </w:trPr>
        <w:tc>
          <w:tcPr>
            <w:tcW w:w="680" w:type="dxa"/>
            <w:shd w:val="clear" w:color="auto" w:fill="auto"/>
            <w:vAlign w:val="center"/>
          </w:tcPr>
          <w:p>
            <w:pPr>
              <w:widowControl/>
              <w:jc w:val="center"/>
              <w:rPr>
                <w:rFonts w:ascii="宋体"/>
              </w:rPr>
            </w:pPr>
            <w:r>
              <w:rPr>
                <w:rFonts w:ascii="宋体"/>
              </w:rPr>
              <w:t>73</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视频图像应用子系统-车辆库以图搜车</w:t>
            </w:r>
          </w:p>
        </w:tc>
        <w:tc>
          <w:tcPr>
            <w:tcW w:w="4506" w:type="dxa"/>
            <w:shd w:val="clear" w:color="auto" w:fill="auto"/>
            <w:vAlign w:val="center"/>
          </w:tcPr>
          <w:p>
            <w:pPr>
              <w:widowControl/>
              <w:jc w:val="left"/>
              <w:rPr>
                <w:rFonts w:ascii="宋体"/>
              </w:rPr>
            </w:pPr>
            <w:r>
              <w:rPr>
                <w:rFonts w:ascii="宋体"/>
              </w:rPr>
              <w:t>支持通过单张或多张车辆图片、最小相似度、时空范围等条件搜索车辆数据；支持通过车辆类型、车身颜色、车辆品牌等条件对搜索结果过滤；支持对搜索结果进行排序、导出、生成轨迹等功能。</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3380"/>
          <w:jc w:val="left"/>
        </w:trPr>
        <w:tc>
          <w:tcPr>
            <w:tcW w:w="680" w:type="dxa"/>
            <w:shd w:val="clear" w:color="auto" w:fill="auto"/>
            <w:vAlign w:val="center"/>
          </w:tcPr>
          <w:p>
            <w:pPr>
              <w:widowControl/>
              <w:jc w:val="center"/>
              <w:rPr>
                <w:rFonts w:ascii="宋体"/>
              </w:rPr>
            </w:pPr>
            <w:r>
              <w:rPr>
                <w:rFonts w:ascii="宋体"/>
              </w:rPr>
              <w:t>74</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视频图像应用子系统-车辆技战法</w:t>
            </w:r>
          </w:p>
        </w:tc>
        <w:tc>
          <w:tcPr>
            <w:tcW w:w="4506" w:type="dxa"/>
            <w:shd w:val="clear" w:color="auto" w:fill="auto"/>
            <w:vAlign w:val="center"/>
          </w:tcPr>
          <w:p>
            <w:pPr>
              <w:widowControl/>
              <w:ind w:firstLine="420" w:firstLineChars="200"/>
              <w:jc w:val="left"/>
              <w:rPr>
                <w:rFonts w:ascii="宋体" w:cs="宋体"/>
              </w:rPr>
            </w:pPr>
            <w:r>
              <w:rPr>
                <w:rFonts w:ascii="宋体"/>
              </w:rPr>
              <w:t>支持通过指定目标车辆分析其在指定地点范围、指定时间范围内轨迹信息，支持分析多个车辆的轨迹信息，支持查看分析结果。</w:t>
            </w:r>
          </w:p>
          <w:p>
            <w:pPr>
              <w:widowControl/>
              <w:ind w:firstLine="420" w:firstLineChars="200"/>
              <w:jc w:val="left"/>
              <w:rPr>
                <w:rFonts w:ascii="宋体" w:cs="宋体"/>
              </w:rPr>
            </w:pPr>
            <w:r>
              <w:rPr>
                <w:rFonts w:ascii="宋体"/>
              </w:rPr>
              <w:t>支持通过指定地点范围、指定时间范围分析出在多个地方都出现过的车辆，支持查看分析结果。</w:t>
            </w:r>
          </w:p>
          <w:p>
            <w:pPr>
              <w:widowControl/>
              <w:ind w:firstLine="420" w:firstLineChars="200"/>
              <w:jc w:val="left"/>
              <w:rPr>
                <w:rFonts w:ascii="宋体" w:cs="宋体"/>
              </w:rPr>
            </w:pPr>
            <w:r>
              <w:rPr>
                <w:rFonts w:ascii="宋体"/>
              </w:rPr>
              <w:t>支持通过指定地点范围、指定时间范围内分析出与指定目标车辆同行的车辆，支持查看分析结果。</w:t>
            </w:r>
          </w:p>
          <w:p>
            <w:pPr>
              <w:widowControl/>
              <w:ind w:firstLine="420" w:firstLineChars="200"/>
              <w:jc w:val="left"/>
              <w:rPr>
                <w:rFonts w:ascii="宋体" w:cs="宋体"/>
              </w:rPr>
            </w:pPr>
            <w:r>
              <w:rPr>
                <w:rFonts w:ascii="宋体"/>
              </w:rPr>
              <w:t>支持通过指定地点范围、指定时间范围内分析出频繁出现的车辆，支持查看分析结果。</w:t>
            </w:r>
          </w:p>
          <w:p>
            <w:pPr>
              <w:widowControl/>
              <w:ind w:firstLine="420" w:firstLineChars="200"/>
              <w:jc w:val="left"/>
              <w:rPr>
                <w:rFonts w:ascii="宋体" w:cs="宋体"/>
              </w:rPr>
            </w:pPr>
            <w:r>
              <w:rPr>
                <w:rFonts w:ascii="宋体"/>
              </w:rPr>
              <w:t>支持通过指定目标车辆分析其在指定地点范围、指定时间范围内轨迹消失点，支持查看分析结果。</w:t>
            </w:r>
          </w:p>
          <w:p>
            <w:pPr>
              <w:widowControl/>
              <w:ind w:firstLine="420" w:firstLineChars="200"/>
              <w:jc w:val="left"/>
              <w:rPr>
                <w:rFonts w:ascii="宋体"/>
              </w:rPr>
            </w:pPr>
            <w:r>
              <w:rPr>
                <w:rFonts w:ascii="宋体"/>
              </w:rPr>
              <w:t>支持通过指定地点范围、指定时间范围分析出白天隐匿、晚上露面的车辆，支持查看分析结果。</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741"/>
          <w:jc w:val="left"/>
        </w:trPr>
        <w:tc>
          <w:tcPr>
            <w:tcW w:w="680" w:type="dxa"/>
            <w:shd w:val="clear" w:color="auto" w:fill="auto"/>
            <w:vAlign w:val="center"/>
          </w:tcPr>
          <w:p>
            <w:pPr>
              <w:widowControl/>
              <w:jc w:val="center"/>
              <w:rPr>
                <w:rFonts w:ascii="宋体"/>
              </w:rPr>
            </w:pPr>
            <w:r>
              <w:rPr>
                <w:rFonts w:ascii="宋体"/>
              </w:rPr>
              <w:t>75</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rPr>
              <w:t>视频图像应用子系统-局部特征搜车</w:t>
            </w:r>
          </w:p>
        </w:tc>
        <w:tc>
          <w:tcPr>
            <w:tcW w:w="4506" w:type="dxa"/>
            <w:shd w:val="clear" w:color="auto" w:fill="auto"/>
            <w:vAlign w:val="center"/>
          </w:tcPr>
          <w:p>
            <w:pPr>
              <w:widowControl/>
              <w:ind w:firstLine="420" w:firstLineChars="200"/>
              <w:jc w:val="left"/>
              <w:rPr>
                <w:rFonts w:ascii="宋体" w:cs="宋体"/>
              </w:rPr>
            </w:pPr>
            <w:r>
              <w:rPr>
                <w:rFonts w:ascii="宋体"/>
              </w:rPr>
              <w:t>局部特征搜车通过从添加的车辆图片中框选车辆目标的局部特征，以及查询时间、相似度、点位范围等条件搜索车辆目标。支持对搜索结果查看详情、批量导出、生成轨迹、搜图等功能。</w:t>
            </w:r>
          </w:p>
          <w:p>
            <w:pPr>
              <w:pStyle w:val="BodyText3"/>
              <w:ind w:firstLine="0"/>
            </w:pPr>
            <w:r>
              <w:rPr>
                <w:rFonts w:ascii="宋体" w:eastAsia="宋体" w:cs="宋体" w:hint="eastAsia"/>
                <w:color w:val="auto"/>
                <w:sz w:val="24"/>
              </w:rPr>
              <w:t>在总体设计方案中详细描述。</w:t>
            </w:r>
          </w:p>
        </w:tc>
        <w:tc>
          <w:tcPr>
            <w:tcW w:w="1134" w:type="dxa"/>
            <w:shd w:val="clear" w:color="auto" w:fill="auto"/>
            <w:vAlign w:val="center"/>
          </w:tcPr>
          <w:p>
            <w:pPr>
              <w:widowControl/>
              <w:jc w:val="left"/>
              <w:rPr>
                <w:rFonts w:ascii="宋体"/>
              </w:rPr>
            </w:pPr>
            <w:r>
              <w:rPr>
                <w:rFonts w:ascii="宋体"/>
              </w:rPr>
              <w:t>是，</w:t>
            </w:r>
            <w:r>
              <w:rPr>
                <w:rFonts w:ascii="宋体" w:hint="eastAsia"/>
              </w:rPr>
              <w:t>在投标时提供的总体设计方案中详细体现。</w:t>
            </w:r>
          </w:p>
        </w:tc>
      </w:tr>
      <w:tr>
        <w:tblPrEx>
          <w:tblW w:w="8217" w:type="dxa"/>
          <w:jc w:val="left"/>
          <w:tblInd w:w="0" w:type="dxa"/>
          <w:tblCellMar>
            <w:top w:w="0" w:type="dxa"/>
            <w:left w:w="108" w:type="dxa"/>
            <w:bottom w:w="0" w:type="dxa"/>
            <w:right w:w="108" w:type="dxa"/>
          </w:tblCellMar>
        </w:tblPrEx>
        <w:trPr>
          <w:trHeight w:val="2330"/>
          <w:jc w:val="left"/>
        </w:trPr>
        <w:tc>
          <w:tcPr>
            <w:tcW w:w="680" w:type="dxa"/>
            <w:shd w:val="clear" w:color="auto" w:fill="auto"/>
            <w:vAlign w:val="center"/>
          </w:tcPr>
          <w:p>
            <w:pPr>
              <w:widowControl/>
              <w:jc w:val="center"/>
              <w:rPr>
                <w:rFonts w:ascii="宋体"/>
              </w:rPr>
            </w:pPr>
            <w:r>
              <w:rPr>
                <w:rFonts w:ascii="宋体"/>
              </w:rPr>
              <w:t>76</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视频图像应用子系统-单一感知功能分析</w:t>
            </w:r>
          </w:p>
        </w:tc>
        <w:tc>
          <w:tcPr>
            <w:tcW w:w="4506" w:type="dxa"/>
            <w:shd w:val="clear" w:color="auto" w:fill="auto"/>
            <w:vAlign w:val="center"/>
          </w:tcPr>
          <w:p>
            <w:pPr>
              <w:widowControl/>
              <w:ind w:firstLine="420" w:firstLineChars="200"/>
              <w:jc w:val="left"/>
              <w:rPr>
                <w:rFonts w:ascii="宋体" w:cs="宋体"/>
              </w:rPr>
            </w:pPr>
            <w:r>
              <w:rPr>
                <w:rFonts w:ascii="宋体"/>
              </w:rPr>
              <w:t>支持对本地视频文件播放，兼容不少于GA/T1154.2-2014中4.4.2.1规定的70种视频格式文件，支持多种倍速播放模式，支持当视频画面中有移动目标时1倍速播放且没有移动目标时高倍速播放，支持画面局部区域浓缩播放，支持选择某个时间段的视频保存为一个新的视频文件，支持对视频文件分段播放、视频增强、单帧进和单帧退、单张图片抓拍和连续多张抓拍、循环播放等功能。</w:t>
            </w:r>
          </w:p>
          <w:p>
            <w:pPr>
              <w:widowControl/>
              <w:ind w:firstLine="420" w:firstLineChars="200"/>
              <w:jc w:val="left"/>
              <w:rPr>
                <w:rFonts w:ascii="宋体" w:cs="宋体"/>
              </w:rPr>
            </w:pPr>
            <w:r>
              <w:rPr>
                <w:rFonts w:ascii="宋体"/>
              </w:rPr>
              <w:t>支持通过参考线测量图片中目标人员的身高信息。支持对本地视频文件转换为目标视频编码格式。支持对本地视频文件进行视频剪切、拼接、标注等功能。支持录屏功能。</w:t>
            </w:r>
          </w:p>
          <w:p>
            <w:pPr>
              <w:widowControl/>
              <w:ind w:firstLine="420" w:firstLineChars="200"/>
              <w:jc w:val="left"/>
              <w:rPr>
                <w:rFonts w:ascii="宋体"/>
              </w:rPr>
            </w:pPr>
            <w:r>
              <w:rPr>
                <w:rFonts w:ascii="宋体"/>
              </w:rPr>
              <w:t>支持对本地视频文件进行解析，支持提取视频文件中的人员、机动车、非机动车目标，支持以图搜图、属性搜索，支持对多个视频文件进行人员碰撞分析。</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557"/>
          <w:jc w:val="left"/>
        </w:trPr>
        <w:tc>
          <w:tcPr>
            <w:tcW w:w="680" w:type="dxa"/>
            <w:shd w:val="clear" w:color="auto" w:fill="auto"/>
            <w:vAlign w:val="center"/>
          </w:tcPr>
          <w:p>
            <w:pPr>
              <w:widowControl/>
              <w:jc w:val="center"/>
              <w:rPr>
                <w:rFonts w:ascii="宋体"/>
              </w:rPr>
            </w:pPr>
            <w:r>
              <w:rPr>
                <w:rFonts w:ascii="宋体"/>
              </w:rPr>
              <w:t>77</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rPr>
              <w:t>视频图像应用子系统-人像图像关联分析</w:t>
            </w:r>
          </w:p>
        </w:tc>
        <w:tc>
          <w:tcPr>
            <w:tcW w:w="4506" w:type="dxa"/>
            <w:shd w:val="clear" w:color="auto" w:fill="auto"/>
            <w:vAlign w:val="center"/>
          </w:tcPr>
          <w:p>
            <w:pPr>
              <w:widowControl/>
              <w:ind w:firstLine="420" w:firstLineChars="200"/>
              <w:jc w:val="left"/>
              <w:rPr>
                <w:rFonts w:ascii="宋体" w:cs="宋体"/>
              </w:rPr>
            </w:pPr>
            <w:r>
              <w:rPr>
                <w:rFonts w:ascii="宋体"/>
              </w:rPr>
              <w:t>支持新建案件，录入案件基本信息、办案信息、报案人、办案人、案发地点等信息；支持上传和导出案件的图片和视频线索；支持对图片目标进行手工和自动结构化标注；支持通过线索名称、目标名称和重要特征的关键字检索线索；支持查看线索图片的详情内容；</w:t>
            </w:r>
          </w:p>
          <w:p>
            <w:pPr>
              <w:widowControl/>
              <w:ind w:firstLine="420" w:firstLineChars="200"/>
              <w:jc w:val="left"/>
              <w:rPr>
                <w:rFonts w:ascii="宋体" w:cs="宋体"/>
              </w:rPr>
            </w:pPr>
            <w:r>
              <w:rPr>
                <w:rFonts w:ascii="宋体"/>
              </w:rPr>
              <w:t>支持对视频进行时间校正；支持多个嫌疑人轨迹的同时展示。支持依据线索中人脸/人体特征清晰程度将线索分类为低质量、中质量、高质量，并展示低中高质量的占比。</w:t>
            </w:r>
          </w:p>
          <w:p>
            <w:pPr>
              <w:widowControl/>
              <w:ind w:firstLine="420" w:firstLineChars="200"/>
              <w:jc w:val="left"/>
              <w:rPr>
                <w:rFonts w:ascii="宋体" w:cs="宋体"/>
              </w:rPr>
            </w:pPr>
            <w:r>
              <w:rPr>
                <w:rFonts w:ascii="宋体"/>
              </w:rPr>
              <w:t>支持通过对线索图片内的人脸、人体、车辆模型的自动分析比对，推荐出可能的串并案件；支持对系统推荐的串并案件进行目标的人工比对确认，并完成案件串并。</w:t>
            </w:r>
          </w:p>
          <w:p>
            <w:pPr>
              <w:widowControl/>
              <w:ind w:firstLine="420" w:firstLineChars="200"/>
              <w:jc w:val="left"/>
            </w:pPr>
            <w:r>
              <w:rPr>
                <w:rFonts w:ascii="宋体" w:cs="宋体" w:hint="eastAsia"/>
              </w:rPr>
              <w:t>在总体设计方案中详细描述。</w:t>
            </w:r>
          </w:p>
        </w:tc>
        <w:tc>
          <w:tcPr>
            <w:tcW w:w="1134" w:type="dxa"/>
            <w:shd w:val="clear" w:color="auto" w:fill="auto"/>
            <w:vAlign w:val="center"/>
          </w:tcPr>
          <w:p>
            <w:pPr>
              <w:widowControl/>
              <w:jc w:val="left"/>
              <w:rPr>
                <w:rFonts w:ascii="宋体"/>
              </w:rPr>
            </w:pPr>
            <w:r>
              <w:rPr>
                <w:rFonts w:ascii="宋体"/>
              </w:rPr>
              <w:t>是，</w:t>
            </w:r>
            <w:r>
              <w:rPr>
                <w:rFonts w:ascii="宋体" w:hint="eastAsia"/>
              </w:rPr>
              <w:t>在投标时提供的总体设计方案中详细体现。</w:t>
            </w:r>
          </w:p>
        </w:tc>
      </w:tr>
      <w:tr>
        <w:tblPrEx>
          <w:tblW w:w="8217" w:type="dxa"/>
          <w:jc w:val="left"/>
          <w:tblInd w:w="0" w:type="dxa"/>
          <w:tblCellMar>
            <w:top w:w="0" w:type="dxa"/>
            <w:left w:w="108" w:type="dxa"/>
            <w:bottom w:w="0" w:type="dxa"/>
            <w:right w:w="108" w:type="dxa"/>
          </w:tblCellMar>
        </w:tblPrEx>
        <w:trPr>
          <w:trHeight w:val="448"/>
          <w:jc w:val="left"/>
        </w:trPr>
        <w:tc>
          <w:tcPr>
            <w:tcW w:w="680" w:type="dxa"/>
            <w:shd w:val="clear" w:color="auto" w:fill="auto"/>
            <w:vAlign w:val="center"/>
          </w:tcPr>
          <w:p>
            <w:pPr>
              <w:widowControl/>
              <w:jc w:val="center"/>
              <w:rPr>
                <w:rFonts w:ascii="宋体"/>
              </w:rPr>
            </w:pPr>
            <w:r>
              <w:rPr>
                <w:rFonts w:ascii="宋体"/>
              </w:rPr>
              <w:t>78</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rPr>
              <w:t>视频图像应用子系统-文档语义搜索</w:t>
            </w:r>
          </w:p>
        </w:tc>
        <w:tc>
          <w:tcPr>
            <w:tcW w:w="4506" w:type="dxa"/>
            <w:shd w:val="clear" w:color="auto" w:fill="auto"/>
            <w:vAlign w:val="center"/>
          </w:tcPr>
          <w:p>
            <w:pPr>
              <w:widowControl/>
              <w:ind w:firstLine="420" w:firstLineChars="200"/>
              <w:jc w:val="left"/>
              <w:rPr>
                <w:rFonts w:ascii="宋体"/>
              </w:rPr>
            </w:pPr>
            <w:r>
              <w:rPr>
                <w:rFonts w:ascii="宋体"/>
              </w:rPr>
              <w:t>文档语义搜索通过word、excel或txt文档进行目标搜索，支持对文本结构化解析，提取出文档中的特征关键词，支持选择特征关键词进行查询，支持查看搜索结果信息。</w:t>
            </w:r>
          </w:p>
        </w:tc>
        <w:tc>
          <w:tcPr>
            <w:tcW w:w="1134" w:type="dxa"/>
            <w:shd w:val="clear" w:color="auto" w:fill="auto"/>
            <w:vAlign w:val="center"/>
          </w:tcPr>
          <w:p>
            <w:pPr>
              <w:widowControl/>
              <w:jc w:val="center"/>
              <w:rPr>
                <w:rFonts w:ascii="宋体"/>
              </w:rPr>
            </w:pPr>
            <w:r>
              <w:rPr>
                <w:rFonts w:ascii="宋体"/>
              </w:rPr>
              <w:t>是，投标人提供</w:t>
            </w:r>
            <w:r>
              <w:rPr>
                <w:rFonts w:ascii="宋体" w:cs="宋体" w:hint="eastAsia"/>
              </w:rPr>
              <w:t>承诺函并</w:t>
            </w:r>
            <w:r>
              <w:rPr>
                <w:rFonts w:ascii="宋体"/>
              </w:rPr>
              <w:t>加盖</w:t>
            </w:r>
            <w:r>
              <w:rPr>
                <w:rFonts w:ascii="宋体" w:cs="宋体" w:hint="eastAsia"/>
              </w:rPr>
              <w:t>投标人</w:t>
            </w:r>
            <w:r>
              <w:rPr>
                <w:rFonts w:ascii="宋体"/>
              </w:rPr>
              <w:t>公章</w:t>
            </w:r>
          </w:p>
        </w:tc>
      </w:tr>
      <w:tr>
        <w:tblPrEx>
          <w:tblW w:w="8217" w:type="dxa"/>
          <w:jc w:val="left"/>
          <w:tblInd w:w="0" w:type="dxa"/>
          <w:tblCellMar>
            <w:top w:w="0" w:type="dxa"/>
            <w:left w:w="108" w:type="dxa"/>
            <w:bottom w:w="0" w:type="dxa"/>
            <w:right w:w="108" w:type="dxa"/>
          </w:tblCellMar>
        </w:tblPrEx>
        <w:trPr>
          <w:trHeight w:val="1124"/>
          <w:jc w:val="left"/>
        </w:trPr>
        <w:tc>
          <w:tcPr>
            <w:tcW w:w="680" w:type="dxa"/>
            <w:shd w:val="clear" w:color="auto" w:fill="auto"/>
            <w:vAlign w:val="center"/>
          </w:tcPr>
          <w:p>
            <w:pPr>
              <w:widowControl/>
              <w:jc w:val="center"/>
              <w:rPr>
                <w:rFonts w:ascii="宋体"/>
              </w:rPr>
            </w:pPr>
            <w:r>
              <w:rPr>
                <w:rFonts w:ascii="宋体"/>
              </w:rPr>
              <w:t>79</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rPr>
              <w:t>视频图像应用子系统-图上智图研判</w:t>
            </w:r>
          </w:p>
        </w:tc>
        <w:tc>
          <w:tcPr>
            <w:tcW w:w="4506" w:type="dxa"/>
            <w:shd w:val="clear" w:color="auto" w:fill="auto"/>
            <w:vAlign w:val="center"/>
          </w:tcPr>
          <w:p>
            <w:pPr>
              <w:widowControl/>
              <w:ind w:firstLine="420" w:firstLineChars="200"/>
              <w:jc w:val="left"/>
              <w:rPr>
                <w:rFonts w:ascii="宋体" w:cs="宋体"/>
              </w:rPr>
            </w:pPr>
            <w:r>
              <w:rPr>
                <w:rFonts w:ascii="宋体"/>
              </w:rPr>
              <w:t>图上智图研判通过基于电子地图实现人脸、人体、机动车、非机动车目标的搜索，以及目标轨迹的时空刻画，应具备如下功能：</w:t>
            </w:r>
          </w:p>
          <w:p>
            <w:pPr>
              <w:widowControl/>
              <w:ind w:firstLine="420" w:firstLineChars="200"/>
              <w:jc w:val="left"/>
              <w:rPr>
                <w:rFonts w:ascii="宋体" w:cs="宋体"/>
              </w:rPr>
            </w:pPr>
            <w:r>
              <w:rPr>
                <w:rFonts w:ascii="宋体"/>
              </w:rPr>
              <w:t>支持基于电子地图、关键字等方式搜索监控点，支持预览及回放监控点视频画面，支持抓图并发起以图搜图、身份确认等功能，支持自动识别图片中的人脸、人体、机动车、非机动车目标。</w:t>
            </w:r>
          </w:p>
          <w:p>
            <w:pPr>
              <w:widowControl/>
              <w:ind w:firstLine="420" w:firstLineChars="200"/>
              <w:jc w:val="left"/>
              <w:rPr>
                <w:rFonts w:ascii="宋体" w:cs="宋体"/>
              </w:rPr>
            </w:pPr>
            <w:r>
              <w:rPr>
                <w:rFonts w:ascii="宋体"/>
              </w:rPr>
              <w:t>支持多张人脸/人体/机动车/非机动车图片同时查询，查询结果分类展示。</w:t>
            </w:r>
          </w:p>
          <w:p>
            <w:pPr>
              <w:widowControl/>
              <w:ind w:firstLine="420" w:firstLineChars="200"/>
              <w:jc w:val="left"/>
              <w:rPr>
                <w:rFonts w:ascii="宋体" w:cs="宋体"/>
              </w:rPr>
            </w:pPr>
            <w:r>
              <w:rPr>
                <w:rFonts w:ascii="宋体"/>
              </w:rPr>
              <w:t>支持通过背影人体图片进行查询，可按相似度查看查询到的人体及关联人脸结果，支持选择人体关联人脸结果进行人脸、人体融合查询。</w:t>
            </w:r>
          </w:p>
          <w:p>
            <w:pPr>
              <w:widowControl/>
              <w:ind w:firstLine="420" w:firstLineChars="200"/>
              <w:jc w:val="left"/>
              <w:rPr>
                <w:rFonts w:ascii="宋体" w:cs="宋体"/>
              </w:rPr>
            </w:pPr>
            <w:r>
              <w:rPr>
                <w:rFonts w:ascii="宋体"/>
              </w:rPr>
              <w:t>支持通过侧脸人脸图进行查询，可查看查询到的正向人脸结果，支持选择人脸结果进行人脸查询。</w:t>
            </w:r>
          </w:p>
          <w:p>
            <w:pPr>
              <w:widowControl/>
              <w:ind w:firstLine="420" w:firstLineChars="200"/>
              <w:jc w:val="left"/>
              <w:rPr>
                <w:rFonts w:ascii="宋体" w:cs="宋体"/>
              </w:rPr>
            </w:pPr>
            <w:r>
              <w:rPr>
                <w:rFonts w:ascii="宋体"/>
              </w:rPr>
              <w:t>支持查看搜索结果，包括目标图片、人体抓拍图片、人脸抓拍图片、相似度等；支持对搜索结果进行人体和人脸融合搜索，支持将搜索结果加入搜索条件继续搜索。</w:t>
            </w:r>
          </w:p>
          <w:p>
            <w:pPr>
              <w:widowControl/>
              <w:ind w:firstLine="420" w:firstLineChars="200"/>
              <w:jc w:val="left"/>
              <w:rPr>
                <w:rFonts w:ascii="宋体" w:cs="宋体"/>
              </w:rPr>
            </w:pPr>
            <w:r>
              <w:rPr>
                <w:rFonts w:ascii="宋体"/>
              </w:rPr>
              <w:t>支持对同行人发起人脸、人体融合搜索，支持基于电子地图生成关注目标的时空轨迹，支持轨迹回放、轨迹详细、加入线索库等功能。</w:t>
            </w:r>
          </w:p>
          <w:p>
            <w:pPr>
              <w:widowControl/>
              <w:ind w:firstLine="420" w:firstLineChars="200"/>
              <w:jc w:val="left"/>
              <w:rPr>
                <w:rFonts w:ascii="宋体" w:cs="宋体"/>
              </w:rPr>
            </w:pPr>
            <w:r>
              <w:rPr>
                <w:rFonts w:ascii="宋体"/>
              </w:rPr>
              <w:t>支持通过人员图片、车辆图片、非机动车图片搜索符合特征的抓拍数据，支持单类目标、多类目标融合、带关联目标等搜索方式；支持通过人员属性、车辆属性、非机动车属性搜索符合特征的抓拍数据；支持对搜索结果进行排序、导出结果数据等；支持图片搜索、视频回放、下载图片、添加轨迹等功能。</w:t>
            </w:r>
          </w:p>
          <w:p>
            <w:pPr>
              <w:widowControl/>
              <w:ind w:firstLine="420" w:firstLineChars="200"/>
              <w:jc w:val="left"/>
            </w:pPr>
            <w:r>
              <w:rPr>
                <w:rFonts w:ascii="宋体" w:cs="宋体" w:hint="eastAsia"/>
              </w:rPr>
              <w:t>在总体设计方案中详细描述。</w:t>
            </w:r>
          </w:p>
        </w:tc>
        <w:tc>
          <w:tcPr>
            <w:tcW w:w="1134" w:type="dxa"/>
            <w:shd w:val="clear" w:color="auto" w:fill="auto"/>
            <w:vAlign w:val="center"/>
          </w:tcPr>
          <w:p>
            <w:pPr>
              <w:widowControl/>
              <w:jc w:val="center"/>
              <w:rPr>
                <w:rFonts w:ascii="宋体"/>
              </w:rPr>
            </w:pPr>
            <w:r>
              <w:rPr>
                <w:rFonts w:ascii="宋体"/>
              </w:rPr>
              <w:t>是，投标人提供</w:t>
            </w:r>
            <w:r>
              <w:rPr>
                <w:rFonts w:ascii="宋体" w:cs="宋体" w:hint="eastAsia"/>
              </w:rPr>
              <w:t>承诺函并</w:t>
            </w:r>
            <w:r>
              <w:rPr>
                <w:rFonts w:ascii="宋体"/>
              </w:rPr>
              <w:t>加盖</w:t>
            </w:r>
            <w:r>
              <w:rPr>
                <w:rFonts w:ascii="宋体" w:cs="宋体" w:hint="eastAsia"/>
              </w:rPr>
              <w:t>投标人</w:t>
            </w:r>
            <w:r>
              <w:rPr>
                <w:rFonts w:ascii="宋体"/>
              </w:rPr>
              <w:t>公章</w:t>
            </w:r>
          </w:p>
        </w:tc>
      </w:tr>
      <w:tr>
        <w:tblPrEx>
          <w:tblW w:w="8217" w:type="dxa"/>
          <w:jc w:val="left"/>
          <w:tblInd w:w="0" w:type="dxa"/>
          <w:tblCellMar>
            <w:top w:w="0" w:type="dxa"/>
            <w:left w:w="108" w:type="dxa"/>
            <w:bottom w:w="0" w:type="dxa"/>
            <w:right w:w="108" w:type="dxa"/>
          </w:tblCellMar>
        </w:tblPrEx>
        <w:trPr>
          <w:trHeight w:val="1300"/>
          <w:jc w:val="left"/>
        </w:trPr>
        <w:tc>
          <w:tcPr>
            <w:tcW w:w="680" w:type="dxa"/>
            <w:shd w:val="clear" w:color="auto" w:fill="auto"/>
            <w:vAlign w:val="center"/>
          </w:tcPr>
          <w:p>
            <w:pPr>
              <w:widowControl/>
              <w:jc w:val="center"/>
              <w:rPr>
                <w:rFonts w:ascii="宋体"/>
              </w:rPr>
            </w:pPr>
            <w:r>
              <w:rPr>
                <w:rFonts w:ascii="宋体"/>
              </w:rPr>
              <w:t>80</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视频图像应用子系统-标签调阅视频</w:t>
            </w:r>
          </w:p>
        </w:tc>
        <w:tc>
          <w:tcPr>
            <w:tcW w:w="4506" w:type="dxa"/>
            <w:shd w:val="clear" w:color="auto" w:fill="auto"/>
            <w:vAlign w:val="center"/>
          </w:tcPr>
          <w:p>
            <w:pPr>
              <w:widowControl/>
              <w:ind w:firstLine="420" w:firstLineChars="200"/>
              <w:jc w:val="left"/>
              <w:rPr>
                <w:rFonts w:ascii="宋体"/>
              </w:rPr>
            </w:pPr>
            <w:r>
              <w:rPr>
                <w:rFonts w:ascii="宋体"/>
              </w:rPr>
              <w:t>标签调阅视频通过设备名称、智能AI场景类型标签、监控可视地标OCR标签、地理信息、资源目录、空间规则等找点方式，实现视频点位的灵活、高效查询，提高视频调阅效率。支持在地图上对监控资源进行可视场景图预览、监控预览/回放、设备标签编辑等功能。</w:t>
            </w:r>
          </w:p>
        </w:tc>
        <w:tc>
          <w:tcPr>
            <w:tcW w:w="1134" w:type="dxa"/>
            <w:shd w:val="clear" w:color="auto" w:fill="auto"/>
            <w:vAlign w:val="center"/>
          </w:tcPr>
          <w:p>
            <w:pPr>
              <w:widowControl/>
              <w:jc w:val="center"/>
              <w:rPr>
                <w:rFonts w:ascii="宋体"/>
              </w:rPr>
            </w:pPr>
          </w:p>
        </w:tc>
      </w:tr>
      <w:tr>
        <w:tblPrEx>
          <w:tblW w:w="8217" w:type="dxa"/>
          <w:jc w:val="left"/>
          <w:tblInd w:w="0" w:type="dxa"/>
          <w:tblCellMar>
            <w:top w:w="0" w:type="dxa"/>
            <w:left w:w="108" w:type="dxa"/>
            <w:bottom w:w="0" w:type="dxa"/>
            <w:right w:w="108" w:type="dxa"/>
          </w:tblCellMar>
        </w:tblPrEx>
        <w:trPr>
          <w:trHeight w:val="699"/>
          <w:jc w:val="left"/>
        </w:trPr>
        <w:tc>
          <w:tcPr>
            <w:tcW w:w="680" w:type="dxa"/>
            <w:shd w:val="clear" w:color="auto" w:fill="auto"/>
            <w:vAlign w:val="center"/>
          </w:tcPr>
          <w:p>
            <w:pPr>
              <w:widowControl/>
              <w:jc w:val="center"/>
              <w:rPr>
                <w:rFonts w:ascii="宋体"/>
              </w:rPr>
            </w:pPr>
            <w:r>
              <w:rPr>
                <w:rFonts w:ascii="宋体"/>
              </w:rPr>
              <w:t>81</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rPr>
              <w:t>视频图像应用子系统-缉私移动警务视频图像应用</w:t>
            </w:r>
          </w:p>
        </w:tc>
        <w:tc>
          <w:tcPr>
            <w:tcW w:w="4506" w:type="dxa"/>
            <w:shd w:val="clear" w:color="auto" w:fill="auto"/>
            <w:vAlign w:val="center"/>
          </w:tcPr>
          <w:p>
            <w:pPr>
              <w:widowControl/>
              <w:ind w:firstLine="420" w:firstLineChars="200"/>
              <w:jc w:val="left"/>
              <w:rPr>
                <w:rFonts w:ascii="宋体" w:cs="宋体"/>
              </w:rPr>
            </w:pPr>
            <w:r>
              <w:rPr>
                <w:rFonts w:ascii="宋体"/>
              </w:rPr>
              <w:t>支持缉私移动警务人员认证比对，并对人员是否是缉私业务关注人员进行查询。</w:t>
            </w:r>
          </w:p>
          <w:p>
            <w:pPr>
              <w:widowControl/>
              <w:ind w:firstLine="420" w:firstLineChars="200"/>
              <w:jc w:val="left"/>
              <w:rPr>
                <w:rFonts w:ascii="宋体" w:cs="宋体"/>
              </w:rPr>
            </w:pPr>
            <w:r>
              <w:rPr>
                <w:rFonts w:ascii="宋体"/>
              </w:rPr>
              <w:t>支持缉私移动警务人像检索，支持基于人脸照片与人像库进行1：N比对。</w:t>
            </w:r>
          </w:p>
          <w:p>
            <w:pPr>
              <w:widowControl/>
              <w:ind w:firstLine="420" w:firstLineChars="200"/>
              <w:jc w:val="left"/>
              <w:rPr>
                <w:rFonts w:ascii="宋体" w:cs="宋体"/>
              </w:rPr>
            </w:pPr>
            <w:r>
              <w:rPr>
                <w:rFonts w:ascii="宋体"/>
              </w:rPr>
              <w:t>支持缉私移动警务图像相似度比对。</w:t>
            </w:r>
          </w:p>
          <w:p>
            <w:pPr>
              <w:widowControl/>
              <w:ind w:firstLine="420" w:firstLineChars="200"/>
              <w:jc w:val="left"/>
              <w:rPr>
                <w:rFonts w:ascii="宋体" w:cs="宋体"/>
              </w:rPr>
            </w:pPr>
            <w:r>
              <w:rPr>
                <w:rFonts w:ascii="宋体"/>
              </w:rPr>
              <w:t>支持缉私移动警务信息推送，当应用系统有告警时，对有此布控任务权限的警员进行告警推送。</w:t>
            </w:r>
          </w:p>
          <w:p>
            <w:pPr>
              <w:widowControl/>
              <w:ind w:firstLine="420" w:firstLineChars="200"/>
              <w:jc w:val="left"/>
              <w:rPr>
                <w:rFonts w:ascii="宋体" w:cs="宋体"/>
              </w:rPr>
            </w:pPr>
            <w:r>
              <w:rPr>
                <w:rFonts w:ascii="宋体"/>
              </w:rPr>
              <w:t>支持缉私移动警务视频调阅，支持对监控点视频画面进行实时预览和录像回放。</w:t>
            </w:r>
          </w:p>
          <w:p>
            <w:pPr>
              <w:widowControl/>
              <w:ind w:firstLine="420" w:firstLineChars="200"/>
              <w:jc w:val="left"/>
            </w:pPr>
            <w:r>
              <w:rPr>
                <w:rFonts w:ascii="宋体" w:cs="宋体" w:hint="eastAsia"/>
              </w:rPr>
              <w:t>在总体设计方案中详细描述。</w:t>
            </w:r>
          </w:p>
        </w:tc>
        <w:tc>
          <w:tcPr>
            <w:tcW w:w="1134" w:type="dxa"/>
            <w:shd w:val="clear" w:color="auto" w:fill="auto"/>
            <w:vAlign w:val="center"/>
          </w:tcPr>
          <w:p>
            <w:pPr>
              <w:widowControl/>
              <w:jc w:val="left"/>
              <w:rPr>
                <w:rFonts w:ascii="宋体"/>
              </w:rPr>
            </w:pPr>
            <w:r>
              <w:rPr>
                <w:rFonts w:ascii="宋体" w:cs="宋体" w:hint="eastAsia"/>
              </w:rPr>
              <w:t>是，在投标时提供的总体设计方案中详细体现。</w:t>
            </w:r>
          </w:p>
        </w:tc>
      </w:tr>
      <w:tr>
        <w:tblPrEx>
          <w:tblW w:w="8217" w:type="dxa"/>
          <w:jc w:val="left"/>
          <w:tblInd w:w="0" w:type="dxa"/>
          <w:tblCellMar>
            <w:top w:w="0" w:type="dxa"/>
            <w:left w:w="108" w:type="dxa"/>
            <w:bottom w:w="0" w:type="dxa"/>
            <w:right w:w="108" w:type="dxa"/>
          </w:tblCellMar>
        </w:tblPrEx>
        <w:trPr>
          <w:trHeight w:val="1560"/>
          <w:jc w:val="left"/>
        </w:trPr>
        <w:tc>
          <w:tcPr>
            <w:tcW w:w="680" w:type="dxa"/>
            <w:shd w:val="clear" w:color="auto" w:fill="auto"/>
            <w:vAlign w:val="center"/>
          </w:tcPr>
          <w:p>
            <w:pPr>
              <w:widowControl/>
              <w:jc w:val="center"/>
              <w:rPr>
                <w:rFonts w:ascii="宋体"/>
              </w:rPr>
            </w:pPr>
            <w:r>
              <w:rPr>
                <w:rFonts w:ascii="宋体"/>
              </w:rPr>
              <w:t>82</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视频图像应用子系统-系统管理</w:t>
            </w:r>
          </w:p>
        </w:tc>
        <w:tc>
          <w:tcPr>
            <w:tcW w:w="4506" w:type="dxa"/>
            <w:shd w:val="clear" w:color="auto" w:fill="auto"/>
            <w:vAlign w:val="center"/>
          </w:tcPr>
          <w:p>
            <w:pPr>
              <w:widowControl/>
              <w:ind w:firstLine="420" w:firstLineChars="200"/>
              <w:jc w:val="left"/>
              <w:rPr>
                <w:rFonts w:ascii="宋体"/>
              </w:rPr>
            </w:pPr>
            <w:r>
              <w:rPr>
                <w:rFonts w:ascii="宋体"/>
              </w:rPr>
              <w:t>支持用户组、用户基本信息的增删改查等功能；支持绑定用户MAC地址及IP、重置密码等功能；支持角色的增删改查、分配用户、分配用户组等功能；支持添加组织和人员的增删改查等功能；支持配置角色的权限范围、资源类型/权限项等功能；支持配置角色的组织权限；支持系统日志管理、操作日志管理、日志审计等功能。</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1300"/>
          <w:jc w:val="left"/>
        </w:trPr>
        <w:tc>
          <w:tcPr>
            <w:tcW w:w="680" w:type="dxa"/>
            <w:shd w:val="clear" w:color="auto" w:fill="auto"/>
            <w:vAlign w:val="center"/>
          </w:tcPr>
          <w:p>
            <w:pPr>
              <w:widowControl/>
              <w:jc w:val="center"/>
              <w:rPr>
                <w:rFonts w:ascii="宋体"/>
              </w:rPr>
            </w:pPr>
            <w:r>
              <w:rPr>
                <w:rFonts w:ascii="宋体"/>
              </w:rPr>
              <w:t>83</w:t>
            </w:r>
          </w:p>
        </w:tc>
        <w:tc>
          <w:tcPr>
            <w:tcW w:w="675" w:type="dxa"/>
            <w:shd w:val="clear" w:color="auto" w:fill="auto"/>
            <w:vAlign w:val="center"/>
          </w:tcPr>
          <w:p>
            <w:pPr>
              <w:widowControl/>
              <w:jc w:val="center"/>
              <w:rPr>
                <w:rFonts w:ascii="宋体"/>
              </w:rPr>
            </w:pPr>
          </w:p>
        </w:tc>
        <w:tc>
          <w:tcPr>
            <w:tcW w:w="1222" w:type="dxa"/>
            <w:shd w:val="clear" w:color="auto" w:fill="auto"/>
            <w:vAlign w:val="center"/>
          </w:tcPr>
          <w:p>
            <w:pPr>
              <w:widowControl/>
              <w:jc w:val="left"/>
              <w:rPr>
                <w:rFonts w:ascii="宋体"/>
              </w:rPr>
            </w:pPr>
            <w:r>
              <w:rPr>
                <w:rFonts w:ascii="宋体"/>
              </w:rPr>
              <w:t>视频图像应用子系统-系统对接</w:t>
            </w:r>
          </w:p>
        </w:tc>
        <w:tc>
          <w:tcPr>
            <w:tcW w:w="4506" w:type="dxa"/>
            <w:shd w:val="clear" w:color="auto" w:fill="auto"/>
            <w:vAlign w:val="center"/>
          </w:tcPr>
          <w:p>
            <w:pPr>
              <w:widowControl/>
              <w:ind w:firstLine="420" w:firstLineChars="200"/>
              <w:jc w:val="left"/>
              <w:rPr>
                <w:rFonts w:ascii="宋体"/>
              </w:rPr>
            </w:pPr>
            <w:r>
              <w:rPr>
                <w:rFonts w:ascii="宋体"/>
              </w:rPr>
              <w:t>支持通过GB/T28181协议接入视频监控联网平台的视频资源，调用视频监控联网平台提供的视频基础服务；支持通过GA/T1400协议接入视图库的数据资源，支持订阅下级视图库的人员、车辆、案事件等数据资源，支持跨级布控服务；支持对接GIS/PGIS平台，实现基于电子地图的应用。</w:t>
            </w:r>
          </w:p>
        </w:tc>
        <w:tc>
          <w:tcPr>
            <w:tcW w:w="1134" w:type="dxa"/>
            <w:shd w:val="clear" w:color="auto" w:fill="auto"/>
            <w:vAlign w:val="center"/>
          </w:tcPr>
          <w:p>
            <w:pPr>
              <w:widowControl/>
              <w:jc w:val="center"/>
              <w:rPr>
                <w:rFonts w:ascii="宋体"/>
              </w:rPr>
            </w:pPr>
            <w:r>
              <w:rPr>
                <w:rFonts w:ascii="宋体"/>
              </w:rPr>
              <w:t>否</w:t>
            </w:r>
          </w:p>
        </w:tc>
      </w:tr>
      <w:tr>
        <w:tblPrEx>
          <w:tblW w:w="8217" w:type="dxa"/>
          <w:jc w:val="left"/>
          <w:tblInd w:w="0" w:type="dxa"/>
          <w:tblCellMar>
            <w:top w:w="0" w:type="dxa"/>
            <w:left w:w="108" w:type="dxa"/>
            <w:bottom w:w="0" w:type="dxa"/>
            <w:right w:w="108" w:type="dxa"/>
          </w:tblCellMar>
        </w:tblPrEx>
        <w:trPr>
          <w:trHeight w:val="657"/>
          <w:jc w:val="left"/>
        </w:trPr>
        <w:tc>
          <w:tcPr>
            <w:tcW w:w="680" w:type="dxa"/>
            <w:shd w:val="clear" w:color="auto" w:fill="auto"/>
            <w:vAlign w:val="center"/>
          </w:tcPr>
          <w:p>
            <w:pPr>
              <w:widowControl/>
              <w:jc w:val="center"/>
              <w:rPr>
                <w:rFonts w:ascii="宋体" w:cs="宋体"/>
              </w:rPr>
            </w:pPr>
            <w:r>
              <w:rPr>
                <w:rFonts w:ascii="宋体" w:cs="宋体" w:hint="eastAsia"/>
              </w:rPr>
              <w:t>84</w:t>
            </w:r>
          </w:p>
        </w:tc>
        <w:tc>
          <w:tcPr>
            <w:tcW w:w="675" w:type="dxa"/>
            <w:shd w:val="clear" w:color="auto" w:fill="auto"/>
            <w:vAlign w:val="center"/>
          </w:tcPr>
          <w:p>
            <w:pPr>
              <w:widowControl/>
              <w:jc w:val="center"/>
              <w:rPr>
                <w:rFonts w:ascii="宋体" w:cs="宋体"/>
              </w:rPr>
            </w:pPr>
          </w:p>
        </w:tc>
        <w:tc>
          <w:tcPr>
            <w:tcW w:w="1222" w:type="dxa"/>
            <w:shd w:val="clear" w:color="auto" w:fill="auto"/>
            <w:vAlign w:val="center"/>
          </w:tcPr>
          <w:p>
            <w:pPr>
              <w:widowControl/>
              <w:jc w:val="left"/>
              <w:rPr>
                <w:rFonts w:ascii="宋体" w:cs="宋体"/>
              </w:rPr>
            </w:pPr>
            <w:r>
              <w:rPr>
                <w:rFonts w:ascii="宋体" w:cs="宋体" w:hint="eastAsia"/>
              </w:rPr>
              <w:t>扩展需求</w:t>
            </w:r>
          </w:p>
        </w:tc>
        <w:tc>
          <w:tcPr>
            <w:tcW w:w="4506" w:type="dxa"/>
            <w:shd w:val="clear" w:color="auto" w:fill="auto"/>
            <w:vAlign w:val="center"/>
          </w:tcPr>
          <w:p>
            <w:pPr>
              <w:widowControl/>
              <w:ind w:firstLine="420" w:firstLineChars="200"/>
              <w:jc w:val="left"/>
              <w:rPr>
                <w:rFonts w:ascii="宋体" w:cs="宋体"/>
                <w:lang w:bidi="en-US"/>
              </w:rPr>
            </w:pPr>
            <w:r>
              <w:rPr>
                <w:rFonts w:ascii="宋体" w:cs="宋体" w:hint="eastAsia"/>
                <w:lang w:bidi="en-US"/>
              </w:rPr>
              <w:t>系统应同时满足技术和业务上的性能需求。在技术设计上能考虑到在在线并发用户数达到500人数的情况下，系统性能依然能够满足稳定运行的要求。</w:t>
            </w:r>
          </w:p>
          <w:p>
            <w:pPr>
              <w:widowControl/>
              <w:ind w:firstLine="420" w:firstLineChars="200"/>
              <w:jc w:val="left"/>
              <w:rPr>
                <w:rFonts w:ascii="宋体" w:cs="宋体"/>
                <w:lang w:bidi="en-US"/>
              </w:rPr>
            </w:pPr>
            <w:r>
              <w:rPr>
                <w:rFonts w:ascii="宋体" w:cs="宋体" w:hint="eastAsia"/>
                <w:lang w:bidi="en-US"/>
              </w:rPr>
              <w:t>同时根据业务需要，为今后新增的功能模块做好预留准备。</w:t>
            </w:r>
          </w:p>
          <w:p>
            <w:pPr>
              <w:widowControl/>
              <w:ind w:firstLine="420" w:firstLineChars="200"/>
              <w:jc w:val="left"/>
              <w:rPr>
                <w:rFonts w:ascii="宋体" w:cs="宋体"/>
                <w:lang w:bidi="en-US"/>
              </w:rPr>
            </w:pPr>
            <w:r>
              <w:rPr>
                <w:rFonts w:ascii="宋体" w:cs="宋体"/>
                <w:lang w:bidi="en-US"/>
              </w:rPr>
              <w:t>可扩展性与可伸缩性</w:t>
            </w:r>
            <w:r>
              <w:rPr>
                <w:rFonts w:ascii="宋体" w:cs="宋体" w:hint="eastAsia"/>
                <w:lang w:bidi="en-US"/>
              </w:rPr>
              <w:t>。</w:t>
            </w:r>
            <w:r>
              <w:rPr>
                <w:rFonts w:ascii="宋体" w:cs="宋体"/>
                <w:lang w:bidi="en-US"/>
              </w:rPr>
              <w:t>系统具有开放的、可扩展的系统结构，在功能设计、数据库设计等方面，尽量降低功能耦合度，便于将来扩展系统功能。系统能够适应组织的变更及扩展而不需要对程序做相应的修改。系统能够适应应用模块不断的添加而不至于程序大量的修改或推翻重来。随着用户数的增长及功能应用的增长系统能够保持足够的稳定性，维持正常的运行。</w:t>
            </w:r>
          </w:p>
        </w:tc>
        <w:tc>
          <w:tcPr>
            <w:tcW w:w="1134" w:type="dxa"/>
            <w:shd w:val="clear" w:color="auto" w:fill="auto"/>
            <w:vAlign w:val="center"/>
          </w:tcPr>
          <w:p>
            <w:pPr>
              <w:widowControl/>
              <w:jc w:val="center"/>
              <w:rPr>
                <w:rFonts w:ascii="宋体" w:cs="宋体"/>
              </w:rPr>
            </w:pPr>
            <w:r>
              <w:rPr>
                <w:rFonts w:ascii="宋体" w:cs="宋体" w:hint="eastAsia"/>
              </w:rPr>
              <w:t>否</w:t>
            </w:r>
          </w:p>
        </w:tc>
      </w:tr>
      <w:tr>
        <w:tblPrEx>
          <w:tblW w:w="8217" w:type="dxa"/>
          <w:jc w:val="left"/>
          <w:tblInd w:w="0" w:type="dxa"/>
          <w:tblCellMar>
            <w:top w:w="0" w:type="dxa"/>
            <w:left w:w="108" w:type="dxa"/>
            <w:bottom w:w="0" w:type="dxa"/>
            <w:right w:w="108" w:type="dxa"/>
          </w:tblCellMar>
        </w:tblPrEx>
        <w:trPr>
          <w:trHeight w:val="1560"/>
          <w:jc w:val="left"/>
        </w:trPr>
        <w:tc>
          <w:tcPr>
            <w:tcW w:w="680" w:type="dxa"/>
            <w:shd w:val="clear" w:color="auto" w:fill="auto"/>
            <w:vAlign w:val="center"/>
          </w:tcPr>
          <w:p>
            <w:pPr>
              <w:widowControl/>
              <w:jc w:val="center"/>
              <w:rPr>
                <w:rFonts w:ascii="宋体" w:cs="宋体"/>
              </w:rPr>
            </w:pPr>
            <w:r>
              <w:rPr>
                <w:rFonts w:ascii="宋体" w:cs="宋体" w:hint="eastAsia"/>
              </w:rPr>
              <w:t>85</w:t>
            </w:r>
          </w:p>
        </w:tc>
        <w:tc>
          <w:tcPr>
            <w:tcW w:w="675" w:type="dxa"/>
            <w:shd w:val="clear" w:color="auto" w:fill="auto"/>
            <w:vAlign w:val="center"/>
          </w:tcPr>
          <w:p>
            <w:pPr>
              <w:widowControl/>
              <w:jc w:val="center"/>
              <w:rPr>
                <w:rFonts w:ascii="宋体" w:cs="宋体"/>
              </w:rPr>
            </w:pPr>
            <w:r>
              <w:rPr>
                <w:rFonts w:ascii="宋体" w:cs="宋体"/>
                <w:lang w:bidi="en-US"/>
              </w:rPr>
              <w:t>★</w:t>
            </w:r>
          </w:p>
        </w:tc>
        <w:tc>
          <w:tcPr>
            <w:tcW w:w="1222" w:type="dxa"/>
            <w:shd w:val="clear" w:color="auto" w:fill="auto"/>
            <w:vAlign w:val="center"/>
          </w:tcPr>
          <w:p>
            <w:pPr>
              <w:widowControl/>
              <w:jc w:val="left"/>
              <w:rPr>
                <w:rFonts w:ascii="宋体" w:cs="宋体"/>
              </w:rPr>
            </w:pPr>
            <w:r>
              <w:rPr>
                <w:rFonts w:ascii="宋体" w:cs="宋体"/>
              </w:rPr>
              <w:t>技术要求</w:t>
            </w:r>
          </w:p>
        </w:tc>
        <w:tc>
          <w:tcPr>
            <w:tcW w:w="4506" w:type="dxa"/>
            <w:shd w:val="clear" w:color="auto" w:fill="auto"/>
            <w:vAlign w:val="center"/>
          </w:tcPr>
          <w:p>
            <w:pPr>
              <w:widowControl/>
              <w:ind w:firstLine="420" w:firstLineChars="200"/>
              <w:jc w:val="left"/>
              <w:rPr>
                <w:rFonts w:ascii="宋体" w:cs="宋体"/>
                <w:lang w:bidi="en-US"/>
              </w:rPr>
            </w:pPr>
            <w:r>
              <w:rPr>
                <w:rFonts w:ascii="宋体" w:cs="宋体"/>
                <w:lang w:bidi="en-US"/>
              </w:rPr>
              <w:t>完成项目的国产化环境适配，确保产品可以在</w:t>
            </w:r>
            <w:r>
              <w:rPr>
                <w:rFonts w:ascii="宋体" w:cs="宋体" w:hint="eastAsia"/>
                <w:lang w:bidi="en-US"/>
              </w:rPr>
              <w:t>采购人</w:t>
            </w:r>
            <w:r>
              <w:rPr>
                <w:rFonts w:ascii="宋体" w:cs="宋体"/>
                <w:lang w:bidi="en-US"/>
              </w:rPr>
              <w:t>规定的国产化环境中正常使用，包括但不限于操作系统、中间件、浏览器、数据库等国产化环境。</w:t>
            </w:r>
          </w:p>
          <w:p>
            <w:pPr>
              <w:widowControl/>
              <w:ind w:firstLine="420" w:firstLineChars="200"/>
              <w:jc w:val="left"/>
              <w:rPr>
                <w:rFonts w:ascii="宋体" w:cs="宋体"/>
                <w:lang w:bidi="en-US"/>
              </w:rPr>
            </w:pPr>
            <w:r>
              <w:rPr>
                <w:rFonts w:ascii="宋体" w:cs="宋体"/>
                <w:lang w:bidi="en-US"/>
              </w:rPr>
              <w:t>规范性与标准化</w:t>
            </w:r>
            <w:r>
              <w:rPr>
                <w:rFonts w:ascii="宋体" w:cs="宋体" w:hint="eastAsia"/>
                <w:lang w:bidi="en-US"/>
              </w:rPr>
              <w:t>：</w:t>
            </w:r>
            <w:r>
              <w:rPr>
                <w:rFonts w:ascii="宋体" w:cs="宋体"/>
                <w:lang w:bidi="en-US"/>
              </w:rPr>
              <w:t>系统的设计和开发在严格遵循国家相关标准、行业标准的同时，充分考虑海关总署、海关总署缉私局已制定的各种规范和政策，数据库设计要同时考虑公安部相关数据指标规范，严格执行统一的指标体系和其他各类编码标准，以满足向其他系统提供数据的需求。</w:t>
            </w:r>
          </w:p>
          <w:p>
            <w:pPr>
              <w:pStyle w:val="BodyText3"/>
              <w:spacing w:after="0" w:line="240" w:lineRule="auto"/>
              <w:ind w:firstLine="482"/>
              <w:rPr>
                <w:rFonts w:ascii="宋体" w:eastAsia="宋体" w:cs="宋体"/>
                <w:color w:val="auto"/>
                <w:kern w:val="2"/>
                <w:sz w:val="21"/>
                <w:szCs w:val="22"/>
                <w:lang w:bidi="en-US"/>
              </w:rPr>
            </w:pPr>
            <w:r>
              <w:rPr>
                <w:rFonts w:ascii="宋体" w:eastAsia="宋体" w:cs="宋体"/>
                <w:color w:val="auto"/>
                <w:kern w:val="2"/>
                <w:sz w:val="21"/>
                <w:szCs w:val="22"/>
                <w:lang w:bidi="en-US"/>
              </w:rPr>
              <w:t>灵活性与可维护性：开发平台应具有定制与二次开发的能力，系统易于扩展、升级和移植，并具备支持业务处理的灵活的参数化配置，业务功能的重组与更新的灵活性，在规范性管理同时满足用户灵活性、个性化需要。系统应提供运行维护工具和完备的系统异常应急处置方案，便于维护人员开展日常维护工作，在代码开发和测试层面，开发平台应具备良好的可维护性。</w:t>
            </w:r>
          </w:p>
          <w:p>
            <w:pPr>
              <w:widowControl/>
              <w:ind w:firstLine="420" w:firstLineChars="200"/>
              <w:jc w:val="left"/>
              <w:rPr>
                <w:rFonts w:ascii="宋体" w:cs="宋体"/>
                <w:lang w:bidi="en-US"/>
              </w:rPr>
            </w:pPr>
            <w:r>
              <w:rPr>
                <w:rFonts w:ascii="宋体" w:cs="宋体"/>
                <w:color w:val="auto"/>
                <w:lang w:bidi="en-US"/>
              </w:rPr>
              <w:t>易用性：系统设计面向最终用户，应保证易操作、易理解、易控制；系统所出现的问题能够及时预报并迅速解决。</w:t>
            </w:r>
          </w:p>
        </w:tc>
        <w:tc>
          <w:tcPr>
            <w:tcW w:w="1134" w:type="dxa"/>
            <w:shd w:val="clear" w:color="auto" w:fill="auto"/>
            <w:vAlign w:val="center"/>
          </w:tcPr>
          <w:p>
            <w:pPr>
              <w:widowControl/>
              <w:rPr>
                <w:rFonts w:ascii="宋体" w:cs="宋体"/>
                <w:lang w:bidi="en-US"/>
              </w:rPr>
            </w:pPr>
            <w:r>
              <w:rPr>
                <w:rFonts w:ascii="宋体" w:cs="宋体" w:hint="eastAsia"/>
                <w:lang w:bidi="en-US"/>
              </w:rPr>
              <w:t>是，投标人提供承诺函并加盖投标人公章</w:t>
            </w:r>
          </w:p>
        </w:tc>
      </w:tr>
      <w:tr>
        <w:tblPrEx>
          <w:tblW w:w="8217" w:type="dxa"/>
          <w:jc w:val="left"/>
          <w:tblInd w:w="0" w:type="dxa"/>
          <w:tblCellMar>
            <w:top w:w="0" w:type="dxa"/>
            <w:left w:w="108" w:type="dxa"/>
            <w:bottom w:w="0" w:type="dxa"/>
            <w:right w:w="108" w:type="dxa"/>
          </w:tblCellMar>
        </w:tblPrEx>
        <w:trPr>
          <w:trHeight w:val="771"/>
          <w:jc w:val="left"/>
        </w:trPr>
        <w:tc>
          <w:tcPr>
            <w:tcW w:w="680" w:type="dxa"/>
            <w:shd w:val="clear" w:color="auto" w:fill="auto"/>
            <w:vAlign w:val="center"/>
          </w:tcPr>
          <w:p>
            <w:pPr>
              <w:widowControl/>
              <w:jc w:val="center"/>
              <w:rPr>
                <w:rFonts w:ascii="宋体" w:cs="宋体"/>
              </w:rPr>
            </w:pPr>
            <w:r>
              <w:rPr>
                <w:rFonts w:ascii="宋体" w:cs="宋体"/>
              </w:rPr>
              <w:t>86</w:t>
            </w:r>
          </w:p>
        </w:tc>
        <w:tc>
          <w:tcPr>
            <w:tcW w:w="675" w:type="dxa"/>
            <w:shd w:val="clear" w:color="auto" w:fill="auto"/>
            <w:vAlign w:val="center"/>
          </w:tcPr>
          <w:p>
            <w:pPr>
              <w:widowControl/>
              <w:jc w:val="center"/>
              <w:rPr>
                <w:rFonts w:ascii="宋体" w:cs="宋体"/>
              </w:rPr>
            </w:pPr>
            <w:r>
              <w:rPr>
                <w:rFonts w:ascii="宋体"/>
              </w:rPr>
              <w:t>★</w:t>
            </w:r>
          </w:p>
        </w:tc>
        <w:tc>
          <w:tcPr>
            <w:tcW w:w="1222" w:type="dxa"/>
            <w:shd w:val="clear" w:color="auto" w:fill="auto"/>
            <w:vAlign w:val="center"/>
          </w:tcPr>
          <w:p>
            <w:pPr>
              <w:widowControl/>
              <w:jc w:val="left"/>
              <w:rPr>
                <w:rFonts w:ascii="宋体" w:cs="宋体"/>
              </w:rPr>
            </w:pPr>
            <w:r>
              <w:rPr>
                <w:rFonts w:ascii="宋体" w:cs="宋体"/>
              </w:rPr>
              <w:t>安全要求</w:t>
            </w:r>
          </w:p>
        </w:tc>
        <w:tc>
          <w:tcPr>
            <w:tcW w:w="4506" w:type="dxa"/>
            <w:shd w:val="clear" w:color="auto" w:fill="auto"/>
            <w:vAlign w:val="center"/>
          </w:tcPr>
          <w:p>
            <w:pPr>
              <w:widowControl/>
              <w:ind w:firstLine="420" w:firstLineChars="200"/>
              <w:jc w:val="left"/>
              <w:rPr>
                <w:rFonts w:ascii="宋体" w:cs="宋体"/>
                <w:lang w:bidi="en-US"/>
              </w:rPr>
            </w:pPr>
            <w:r>
              <w:rPr>
                <w:rFonts w:ascii="宋体" w:cs="宋体"/>
                <w:lang w:bidi="en-US"/>
              </w:rPr>
              <w:t>数据保密性保护要求</w:t>
            </w:r>
            <w:r>
              <w:rPr>
                <w:rFonts w:ascii="宋体" w:cs="宋体" w:hint="eastAsia"/>
                <w:lang w:bidi="en-US"/>
              </w:rPr>
              <w:t>:</w:t>
            </w:r>
            <w:r>
              <w:rPr>
                <w:rFonts w:ascii="宋体" w:cs="宋体"/>
                <w:lang w:bidi="en-US"/>
              </w:rPr>
              <w:t>系统按最小原则返回信息给用户。采取技术手段保护敏感数据的传输和存储，防止未授权的访问。</w:t>
            </w:r>
          </w:p>
          <w:p>
            <w:pPr>
              <w:widowControl/>
              <w:ind w:firstLine="420" w:firstLineChars="200"/>
              <w:jc w:val="left"/>
              <w:rPr>
                <w:rFonts w:ascii="宋体" w:cs="宋体"/>
                <w:lang w:bidi="en-US"/>
              </w:rPr>
            </w:pPr>
            <w:r>
              <w:rPr>
                <w:rFonts w:ascii="宋体" w:cs="宋体"/>
                <w:lang w:bidi="en-US"/>
              </w:rPr>
              <w:t>数据完整性保护需求</w:t>
            </w:r>
            <w:r>
              <w:rPr>
                <w:rFonts w:ascii="宋体" w:cs="宋体" w:hint="eastAsia"/>
                <w:lang w:bidi="en-US"/>
              </w:rPr>
              <w:t>:</w:t>
            </w:r>
            <w:r>
              <w:rPr>
                <w:rFonts w:ascii="宋体" w:cs="宋体"/>
                <w:lang w:bidi="en-US"/>
              </w:rPr>
              <w:t>系统代码及配置文件中不保存明文口令及数据库连接信息</w:t>
            </w:r>
          </w:p>
          <w:p>
            <w:pPr>
              <w:widowControl/>
              <w:ind w:firstLine="420" w:firstLineChars="200"/>
              <w:jc w:val="left"/>
              <w:rPr>
                <w:rFonts w:ascii="宋体" w:cs="宋体"/>
                <w:lang w:bidi="en-US"/>
              </w:rPr>
            </w:pPr>
            <w:r>
              <w:rPr>
                <w:rFonts w:ascii="宋体" w:cs="宋体"/>
                <w:lang w:bidi="en-US"/>
              </w:rPr>
              <w:t>软件容错需求</w:t>
            </w:r>
            <w:r>
              <w:rPr>
                <w:rFonts w:ascii="宋体" w:cs="宋体" w:hint="eastAsia"/>
                <w:lang w:bidi="en-US"/>
              </w:rPr>
              <w:t>:</w:t>
            </w:r>
            <w:r>
              <w:rPr>
                <w:rFonts w:ascii="宋体" w:cs="宋体"/>
                <w:lang w:bidi="en-US"/>
              </w:rPr>
              <w:t>对系统中的数据提供有效性检验功能，保证系统数据的格式或长度符合系统设定要求</w:t>
            </w:r>
          </w:p>
          <w:p>
            <w:pPr>
              <w:widowControl/>
              <w:ind w:firstLine="420" w:firstLineChars="200"/>
              <w:jc w:val="left"/>
              <w:rPr>
                <w:rFonts w:ascii="宋体" w:cs="宋体"/>
                <w:lang w:bidi="en-US"/>
              </w:rPr>
            </w:pPr>
            <w:r>
              <w:rPr>
                <w:rFonts w:ascii="宋体" w:cs="宋体"/>
                <w:lang w:bidi="en-US"/>
              </w:rPr>
              <w:t>用户角色及权限需求</w:t>
            </w:r>
            <w:r>
              <w:rPr>
                <w:rFonts w:ascii="宋体" w:cs="宋体" w:hint="eastAsia"/>
                <w:lang w:bidi="en-US"/>
              </w:rPr>
              <w:t>:</w:t>
            </w:r>
            <w:r>
              <w:rPr>
                <w:rFonts w:ascii="宋体" w:cs="宋体"/>
                <w:lang w:bidi="en-US"/>
              </w:rPr>
              <w:t>根据实际业务需求，</w:t>
            </w:r>
            <w:r>
              <w:rPr>
                <w:rFonts w:ascii="宋体" w:cs="宋体" w:hint="eastAsia"/>
                <w:lang w:bidi="en-US"/>
              </w:rPr>
              <w:t>设置</w:t>
            </w:r>
            <w:r>
              <w:rPr>
                <w:rFonts w:ascii="宋体" w:cs="宋体"/>
                <w:lang w:bidi="en-US"/>
              </w:rPr>
              <w:t>包括系统管理员与操作</w:t>
            </w:r>
            <w:r>
              <w:rPr>
                <w:rFonts w:ascii="宋体" w:cs="宋体" w:hint="eastAsia"/>
                <w:lang w:bidi="en-US"/>
              </w:rPr>
              <w:t>在内的用户</w:t>
            </w:r>
            <w:r>
              <w:rPr>
                <w:rFonts w:ascii="宋体" w:cs="宋体"/>
                <w:lang w:bidi="en-US"/>
              </w:rPr>
              <w:t>角色，根据不同角色的权限定义，对登录用户的身份进行鉴别，为不同角色的用户授予不同权限，用户仅能进行权限范围内允许的操作，防止未授权的访问。</w:t>
            </w:r>
          </w:p>
          <w:p>
            <w:pPr>
              <w:widowControl/>
              <w:ind w:firstLine="420" w:firstLineChars="200"/>
              <w:jc w:val="left"/>
              <w:rPr>
                <w:rFonts w:ascii="宋体" w:cs="宋体"/>
                <w:lang w:bidi="en-US"/>
              </w:rPr>
            </w:pPr>
            <w:r>
              <w:rPr>
                <w:rFonts w:ascii="宋体" w:cs="宋体"/>
                <w:lang w:bidi="en-US"/>
              </w:rPr>
              <w:t>审计日志需求</w:t>
            </w:r>
            <w:r>
              <w:rPr>
                <w:rFonts w:ascii="宋体" w:cs="宋体" w:hint="eastAsia"/>
                <w:lang w:bidi="en-US"/>
              </w:rPr>
              <w:t>:</w:t>
            </w:r>
            <w:r>
              <w:rPr>
                <w:rFonts w:ascii="宋体" w:cs="宋体"/>
                <w:lang w:bidi="en-US"/>
              </w:rPr>
              <w:t>系统日志记录的需求应当覆盖全部用户的重要操作行为及安全事件。日志保存期限应适当，操作日志保存</w:t>
            </w:r>
            <w:r>
              <w:rPr>
                <w:rFonts w:ascii="宋体" w:cs="宋体" w:hint="eastAsia"/>
                <w:lang w:bidi="en-US"/>
              </w:rPr>
              <w:t>3</w:t>
            </w:r>
            <w:r>
              <w:rPr>
                <w:rFonts w:ascii="宋体" w:cs="宋体"/>
                <w:lang w:bidi="en-US"/>
              </w:rPr>
              <w:t>年，其他日志保存1年。</w:t>
            </w:r>
          </w:p>
          <w:p>
            <w:pPr>
              <w:widowControl/>
              <w:ind w:firstLine="420" w:firstLineChars="200"/>
              <w:jc w:val="left"/>
              <w:rPr>
                <w:rFonts w:ascii="宋体" w:cs="宋体"/>
                <w:lang w:bidi="en-US"/>
              </w:rPr>
            </w:pPr>
            <w:r>
              <w:rPr>
                <w:rFonts w:ascii="宋体" w:cs="宋体"/>
                <w:lang w:bidi="en-US"/>
              </w:rPr>
              <w:t>剩余信息保护需求</w:t>
            </w:r>
            <w:r>
              <w:rPr>
                <w:rFonts w:ascii="宋体" w:cs="宋体" w:hint="eastAsia"/>
                <w:lang w:bidi="en-US"/>
              </w:rPr>
              <w:t>:</w:t>
            </w:r>
            <w:r>
              <w:rPr>
                <w:rFonts w:ascii="宋体" w:cs="宋体"/>
                <w:lang w:bidi="en-US"/>
              </w:rPr>
              <w:t>系统只有授权人员方可登录使用，且同一用户账户在同一时间点只能在一台电脑登录系统，系统业务界面需含有安全水印。</w:t>
            </w:r>
          </w:p>
        </w:tc>
        <w:tc>
          <w:tcPr>
            <w:tcW w:w="1134" w:type="dxa"/>
            <w:shd w:val="clear" w:color="auto" w:fill="auto"/>
            <w:vAlign w:val="center"/>
          </w:tcPr>
          <w:p>
            <w:pPr>
              <w:widowControl/>
              <w:rPr>
                <w:rFonts w:ascii="宋体" w:cs="宋体"/>
              </w:rPr>
            </w:pPr>
            <w:r>
              <w:rPr>
                <w:rFonts w:ascii="宋体" w:cs="宋体"/>
                <w:lang w:bidi="en-US"/>
              </w:rPr>
              <w:t>是，投标人提供承诺函并加盖投标人公章</w:t>
            </w:r>
          </w:p>
        </w:tc>
      </w:tr>
      <w:tr>
        <w:tblPrEx>
          <w:tblW w:w="8217" w:type="dxa"/>
          <w:jc w:val="left"/>
          <w:tblInd w:w="0" w:type="dxa"/>
          <w:tblCellMar>
            <w:top w:w="0" w:type="dxa"/>
            <w:left w:w="108" w:type="dxa"/>
            <w:bottom w:w="0" w:type="dxa"/>
            <w:right w:w="108" w:type="dxa"/>
          </w:tblCellMar>
        </w:tblPrEx>
        <w:trPr>
          <w:trHeight w:val="1560"/>
          <w:jc w:val="left"/>
        </w:trPr>
        <w:tc>
          <w:tcPr>
            <w:tcW w:w="680" w:type="dxa"/>
            <w:shd w:val="clear" w:color="auto" w:fill="auto"/>
            <w:vAlign w:val="center"/>
          </w:tcPr>
          <w:p>
            <w:pPr>
              <w:widowControl/>
              <w:jc w:val="center"/>
              <w:rPr>
                <w:rFonts w:ascii="宋体" w:cs="宋体"/>
              </w:rPr>
            </w:pPr>
            <w:r>
              <w:rPr>
                <w:rFonts w:ascii="宋体" w:cs="宋体"/>
              </w:rPr>
              <w:t>87</w:t>
            </w:r>
          </w:p>
        </w:tc>
        <w:tc>
          <w:tcPr>
            <w:tcW w:w="675" w:type="dxa"/>
            <w:shd w:val="clear" w:color="auto" w:fill="auto"/>
            <w:vAlign w:val="center"/>
          </w:tcPr>
          <w:p>
            <w:pPr>
              <w:widowControl/>
              <w:jc w:val="center"/>
              <w:rPr>
                <w:rFonts w:ascii="宋体" w:cs="宋体"/>
              </w:rPr>
            </w:pPr>
          </w:p>
        </w:tc>
        <w:tc>
          <w:tcPr>
            <w:tcW w:w="1222" w:type="dxa"/>
            <w:shd w:val="clear" w:color="auto" w:fill="auto"/>
            <w:vAlign w:val="center"/>
          </w:tcPr>
          <w:p>
            <w:pPr>
              <w:widowControl/>
              <w:jc w:val="left"/>
              <w:rPr>
                <w:rFonts w:ascii="宋体" w:cs="宋体"/>
              </w:rPr>
            </w:pPr>
            <w:r>
              <w:rPr>
                <w:rFonts w:ascii="宋体" w:cs="宋体"/>
              </w:rPr>
              <w:t>测试工作</w:t>
            </w:r>
          </w:p>
        </w:tc>
        <w:tc>
          <w:tcPr>
            <w:tcW w:w="4506" w:type="dxa"/>
            <w:shd w:val="clear" w:color="auto" w:fill="auto"/>
            <w:vAlign w:val="center"/>
          </w:tcPr>
          <w:p>
            <w:pPr>
              <w:widowControl/>
              <w:ind w:firstLine="420" w:firstLineChars="200"/>
              <w:jc w:val="left"/>
              <w:rPr>
                <w:rFonts w:ascii="宋体" w:cs="宋体"/>
                <w:lang w:bidi="en-US"/>
              </w:rPr>
            </w:pPr>
            <w:r>
              <w:rPr>
                <w:rFonts w:ascii="宋体" w:cs="宋体"/>
                <w:lang w:bidi="en-US"/>
              </w:rPr>
              <w:t>项目开发完成后，应通过系统测试（包括单元测试、系统测试、性能测试等）。</w:t>
            </w:r>
          </w:p>
          <w:p>
            <w:pPr>
              <w:widowControl/>
              <w:ind w:firstLine="420" w:firstLineChars="200"/>
              <w:jc w:val="left"/>
              <w:rPr>
                <w:rFonts w:ascii="宋体" w:cs="宋体"/>
                <w:lang w:bidi="en-US"/>
              </w:rPr>
            </w:pPr>
            <w:r>
              <w:rPr>
                <w:rFonts w:ascii="宋体" w:cs="宋体"/>
                <w:lang w:bidi="en-US"/>
              </w:rPr>
              <w:t>投标人需按</w:t>
            </w:r>
            <w:r>
              <w:rPr>
                <w:rFonts w:ascii="宋体" w:cs="宋体" w:hint="eastAsia"/>
                <w:lang w:bidi="en-US"/>
              </w:rPr>
              <w:t>用户</w:t>
            </w:r>
            <w:r>
              <w:rPr>
                <w:rFonts w:ascii="宋体" w:cs="宋体"/>
                <w:lang w:bidi="en-US"/>
              </w:rPr>
              <w:t>要求，配合完成业务测试、系统上线、试运行等工作，按要求完成缺陷修复，重新提交工作成果。</w:t>
            </w:r>
          </w:p>
        </w:tc>
        <w:tc>
          <w:tcPr>
            <w:tcW w:w="1134" w:type="dxa"/>
            <w:shd w:val="clear" w:color="auto" w:fill="auto"/>
            <w:vAlign w:val="center"/>
          </w:tcPr>
          <w:p>
            <w:pPr>
              <w:widowControl/>
              <w:rPr>
                <w:rFonts w:ascii="宋体" w:cs="宋体"/>
                <w:lang w:bidi="en-US"/>
              </w:rPr>
            </w:pPr>
            <w:r>
              <w:rPr>
                <w:rFonts w:ascii="宋体" w:cs="宋体"/>
                <w:lang w:bidi="en-US"/>
              </w:rPr>
              <w:t>否</w:t>
            </w:r>
          </w:p>
        </w:tc>
      </w:tr>
      <w:tr>
        <w:tblPrEx>
          <w:tblW w:w="8217" w:type="dxa"/>
          <w:jc w:val="left"/>
          <w:tblInd w:w="0" w:type="dxa"/>
          <w:tblCellMar>
            <w:top w:w="0" w:type="dxa"/>
            <w:left w:w="108" w:type="dxa"/>
            <w:bottom w:w="0" w:type="dxa"/>
            <w:right w:w="108" w:type="dxa"/>
          </w:tblCellMar>
        </w:tblPrEx>
        <w:trPr>
          <w:trHeight w:val="1560"/>
          <w:jc w:val="left"/>
        </w:trPr>
        <w:tc>
          <w:tcPr>
            <w:tcW w:w="680" w:type="dxa"/>
            <w:shd w:val="clear" w:color="auto" w:fill="auto"/>
            <w:vAlign w:val="center"/>
          </w:tcPr>
          <w:p>
            <w:pPr>
              <w:widowControl/>
              <w:jc w:val="center"/>
              <w:rPr>
                <w:rFonts w:ascii="宋体" w:cs="宋体"/>
              </w:rPr>
            </w:pPr>
            <w:r>
              <w:rPr>
                <w:rFonts w:ascii="宋体" w:cs="宋体"/>
              </w:rPr>
              <w:t>88</w:t>
            </w:r>
          </w:p>
        </w:tc>
        <w:tc>
          <w:tcPr>
            <w:tcW w:w="675" w:type="dxa"/>
            <w:shd w:val="clear" w:color="auto" w:fill="auto"/>
            <w:vAlign w:val="center"/>
          </w:tcPr>
          <w:p>
            <w:pPr>
              <w:widowControl/>
              <w:jc w:val="left"/>
              <w:rPr>
                <w:rFonts w:ascii="宋体" w:cs="宋体"/>
              </w:rPr>
            </w:pPr>
          </w:p>
        </w:tc>
        <w:tc>
          <w:tcPr>
            <w:tcW w:w="1222" w:type="dxa"/>
            <w:shd w:val="clear" w:color="auto" w:fill="auto"/>
            <w:vAlign w:val="center"/>
          </w:tcPr>
          <w:p>
            <w:pPr>
              <w:widowControl/>
              <w:jc w:val="left"/>
              <w:rPr>
                <w:rFonts w:ascii="宋体" w:cs="宋体"/>
              </w:rPr>
            </w:pPr>
            <w:r>
              <w:rPr>
                <w:rFonts w:ascii="宋体" w:cs="宋体"/>
              </w:rPr>
              <w:t>验收要求</w:t>
            </w:r>
          </w:p>
        </w:tc>
        <w:tc>
          <w:tcPr>
            <w:tcW w:w="4506" w:type="dxa"/>
            <w:shd w:val="clear" w:color="auto" w:fill="auto"/>
            <w:vAlign w:val="center"/>
          </w:tcPr>
          <w:p>
            <w:pPr>
              <w:widowControl/>
              <w:ind w:firstLine="420" w:firstLineChars="200"/>
              <w:jc w:val="left"/>
              <w:rPr>
                <w:rFonts w:ascii="宋体" w:cs="宋体"/>
                <w:lang w:bidi="en-US"/>
              </w:rPr>
            </w:pPr>
            <w:r>
              <w:rPr>
                <w:rFonts w:ascii="宋体" w:cs="宋体" w:hint="eastAsia"/>
                <w:lang w:bidi="en-US"/>
              </w:rPr>
              <w:t>验收由用户组织相关业务、技术专家进行评审。投标人应承诺配合用户完成验收，并协助为竣工验收提供相关服务。</w:t>
            </w:r>
          </w:p>
          <w:p>
            <w:pPr>
              <w:widowControl/>
              <w:ind w:firstLine="315" w:firstLineChars="150"/>
              <w:jc w:val="left"/>
              <w:rPr>
                <w:rFonts w:ascii="宋体" w:cs="宋体"/>
                <w:lang w:bidi="en-US"/>
              </w:rPr>
            </w:pPr>
            <w:r>
              <w:rPr>
                <w:rFonts w:ascii="宋体" w:cs="宋体" w:hint="eastAsia"/>
                <w:lang w:bidi="en-US"/>
              </w:rPr>
              <w:t>软件系统合同验收须至少满足以下要求：系统上线运行时功能、性能满足国家相关标准、合同和实施方案的要求。系统总体功能、性能测试和试运行验收时出现的问题已被解决。已提供了合同约定的全部资料、源代码、软件等。移交与本项目有关的技术资料。</w:t>
            </w:r>
          </w:p>
          <w:p>
            <w:pPr>
              <w:widowControl/>
              <w:ind w:firstLine="420" w:firstLineChars="200"/>
              <w:jc w:val="left"/>
              <w:rPr>
                <w:rFonts w:ascii="宋体" w:cs="宋体"/>
                <w:lang w:bidi="en-US"/>
              </w:rPr>
            </w:pPr>
            <w:r>
              <w:rPr>
                <w:rFonts w:ascii="宋体" w:cs="宋体" w:hint="eastAsia"/>
                <w:lang w:bidi="en-US"/>
              </w:rPr>
              <w:t>服务器设备验收相关要求：货物在发运手续办理完毕后</w:t>
            </w:r>
            <w:r>
              <w:rPr>
                <w:rFonts w:ascii="宋体" w:cs="宋体"/>
                <w:lang w:bidi="en-US"/>
              </w:rPr>
              <w:t>24</w:t>
            </w:r>
            <w:r>
              <w:rPr>
                <w:rFonts w:ascii="宋体" w:cs="宋体" w:hint="eastAsia"/>
                <w:lang w:bidi="en-US"/>
              </w:rPr>
              <w:t>小时内或货到用户前</w:t>
            </w:r>
            <w:r>
              <w:rPr>
                <w:rFonts w:ascii="宋体" w:cs="宋体"/>
                <w:lang w:bidi="en-US"/>
              </w:rPr>
              <w:t>48</w:t>
            </w:r>
            <w:r>
              <w:rPr>
                <w:rFonts w:ascii="宋体" w:cs="宋体" w:hint="eastAsia"/>
                <w:lang w:bidi="en-US"/>
              </w:rPr>
              <w:t>小时通知采购人，以准备接货验收。验收方式为到货验收、安装调试验收及合同验收。验收过程中产生纠纷的，由质量技术监督部门认定的检测机构检测，如为供应商原因造成的，由供应商承担检测费用；否则，由采购人承担。验收不合格，由供应商返工直至合格，有关返工、再行验收，以及给采购人造成的损失等费用由供应商承担。</w:t>
            </w:r>
          </w:p>
        </w:tc>
        <w:tc>
          <w:tcPr>
            <w:tcW w:w="1134" w:type="dxa"/>
            <w:shd w:val="clear" w:color="auto" w:fill="auto"/>
            <w:vAlign w:val="center"/>
          </w:tcPr>
          <w:p>
            <w:pPr>
              <w:widowControl/>
              <w:jc w:val="left"/>
              <w:rPr>
                <w:rFonts w:ascii="宋体" w:cs="宋体"/>
              </w:rPr>
            </w:pPr>
            <w:r>
              <w:rPr>
                <w:rFonts w:ascii="宋体" w:cs="宋体" w:hint="eastAsia"/>
                <w:lang w:bidi="en-US"/>
              </w:rPr>
              <w:t>是，投标人提供承诺函并加盖投标人公章</w:t>
            </w:r>
          </w:p>
        </w:tc>
      </w:tr>
      <w:tr>
        <w:tblPrEx>
          <w:tblW w:w="8217" w:type="dxa"/>
          <w:jc w:val="left"/>
          <w:tblInd w:w="0" w:type="dxa"/>
          <w:tblCellMar>
            <w:top w:w="0" w:type="dxa"/>
            <w:left w:w="108" w:type="dxa"/>
            <w:bottom w:w="0" w:type="dxa"/>
            <w:right w:w="108" w:type="dxa"/>
          </w:tblCellMar>
        </w:tblPrEx>
        <w:trPr>
          <w:trHeight w:val="940"/>
          <w:jc w:val="left"/>
        </w:trPr>
        <w:tc>
          <w:tcPr>
            <w:tcW w:w="680" w:type="dxa"/>
            <w:shd w:val="clear" w:color="auto" w:fill="auto"/>
            <w:vAlign w:val="center"/>
          </w:tcPr>
          <w:p>
            <w:pPr>
              <w:widowControl/>
              <w:jc w:val="center"/>
              <w:rPr>
                <w:rFonts w:ascii="宋体" w:cs="宋体"/>
              </w:rPr>
            </w:pPr>
            <w:r>
              <w:rPr>
                <w:rFonts w:ascii="宋体" w:cs="宋体"/>
              </w:rPr>
              <w:t>89</w:t>
            </w:r>
          </w:p>
        </w:tc>
        <w:tc>
          <w:tcPr>
            <w:tcW w:w="675" w:type="dxa"/>
            <w:shd w:val="clear" w:color="auto" w:fill="auto"/>
            <w:vAlign w:val="center"/>
          </w:tcPr>
          <w:p>
            <w:pPr>
              <w:widowControl/>
              <w:jc w:val="center"/>
              <w:rPr>
                <w:rFonts w:ascii="宋体" w:cs="宋体"/>
              </w:rPr>
            </w:pPr>
          </w:p>
        </w:tc>
        <w:tc>
          <w:tcPr>
            <w:tcW w:w="1222" w:type="dxa"/>
            <w:shd w:val="clear" w:color="auto" w:fill="auto"/>
            <w:vAlign w:val="center"/>
          </w:tcPr>
          <w:p>
            <w:pPr>
              <w:widowControl/>
              <w:jc w:val="left"/>
              <w:rPr>
                <w:rFonts w:ascii="宋体" w:cs="宋体"/>
              </w:rPr>
            </w:pPr>
            <w:r>
              <w:rPr>
                <w:rFonts w:ascii="宋体" w:cs="宋体" w:hint="eastAsia"/>
                <w:sz w:val="24"/>
              </w:rPr>
              <w:t>上线</w:t>
            </w:r>
          </w:p>
        </w:tc>
        <w:tc>
          <w:tcPr>
            <w:tcW w:w="4506" w:type="dxa"/>
            <w:shd w:val="clear" w:color="auto" w:fill="auto"/>
            <w:vAlign w:val="center"/>
          </w:tcPr>
          <w:p>
            <w:pPr>
              <w:widowControl/>
              <w:ind w:firstLine="420" w:firstLineChars="200"/>
              <w:jc w:val="left"/>
              <w:rPr>
                <w:rFonts w:ascii="宋体" w:cs="宋体"/>
                <w:lang w:bidi="en-US"/>
              </w:rPr>
            </w:pPr>
            <w:r>
              <w:rPr>
                <w:rFonts w:ascii="宋体" w:cs="宋体" w:hint="eastAsia"/>
                <w:sz w:val="21"/>
                <w:lang w:bidi="en-US"/>
              </w:rPr>
              <w:t>配合采购方完成验收，并完成系统上线部署，做好运行期间的运行支持（包括必要的异地支持）。</w:t>
            </w:r>
          </w:p>
        </w:tc>
        <w:tc>
          <w:tcPr>
            <w:tcW w:w="1134" w:type="dxa"/>
            <w:shd w:val="clear" w:color="auto" w:fill="auto"/>
            <w:vAlign w:val="center"/>
          </w:tcPr>
          <w:p>
            <w:pPr>
              <w:widowControl/>
              <w:ind w:firstLine="480"/>
              <w:jc w:val="center"/>
              <w:rPr>
                <w:rFonts w:ascii="宋体" w:cs="宋体"/>
              </w:rPr>
            </w:pPr>
            <w:r>
              <w:rPr>
                <w:rFonts w:ascii="宋体" w:cs="宋体" w:hint="eastAsia"/>
                <w:sz w:val="24"/>
              </w:rPr>
              <w:t>否</w:t>
            </w:r>
          </w:p>
        </w:tc>
      </w:tr>
      <w:tr>
        <w:tblPrEx>
          <w:tblW w:w="8217" w:type="dxa"/>
          <w:jc w:val="left"/>
          <w:tblInd w:w="0" w:type="dxa"/>
          <w:tblCellMar>
            <w:top w:w="0" w:type="dxa"/>
            <w:left w:w="108" w:type="dxa"/>
            <w:bottom w:w="0" w:type="dxa"/>
            <w:right w:w="108" w:type="dxa"/>
          </w:tblCellMar>
        </w:tblPrEx>
        <w:trPr>
          <w:trHeight w:val="1000"/>
          <w:jc w:val="left"/>
        </w:trPr>
        <w:tc>
          <w:tcPr>
            <w:tcW w:w="680" w:type="dxa"/>
            <w:shd w:val="clear" w:color="auto" w:fill="auto"/>
            <w:vAlign w:val="center"/>
          </w:tcPr>
          <w:p>
            <w:pPr>
              <w:widowControl/>
              <w:jc w:val="center"/>
              <w:rPr>
                <w:rFonts w:ascii="宋体"/>
              </w:rPr>
            </w:pPr>
            <w:r>
              <w:rPr>
                <w:rFonts w:ascii="宋体" w:cs="宋体" w:hint="eastAsia"/>
              </w:rPr>
              <w:t>90</w:t>
            </w:r>
          </w:p>
        </w:tc>
        <w:tc>
          <w:tcPr>
            <w:tcW w:w="675" w:type="dxa"/>
            <w:shd w:val="clear" w:color="auto" w:fill="auto"/>
            <w:vAlign w:val="center"/>
          </w:tcPr>
          <w:p>
            <w:pPr>
              <w:widowControl/>
              <w:jc w:val="center"/>
              <w:rPr>
                <w:rFonts w:ascii="宋体"/>
              </w:rPr>
            </w:pPr>
            <w:r>
              <w:rPr>
                <w:rFonts w:ascii="宋体"/>
              </w:rPr>
              <w:t>★</w:t>
            </w:r>
          </w:p>
        </w:tc>
        <w:tc>
          <w:tcPr>
            <w:tcW w:w="1222" w:type="dxa"/>
            <w:shd w:val="clear" w:color="auto" w:fill="auto"/>
            <w:vAlign w:val="center"/>
          </w:tcPr>
          <w:p>
            <w:pPr>
              <w:widowControl/>
              <w:jc w:val="left"/>
              <w:rPr>
                <w:rFonts w:ascii="宋体"/>
              </w:rPr>
            </w:pPr>
            <w:r>
              <w:rPr>
                <w:rFonts w:ascii="宋体" w:hint="eastAsia"/>
              </w:rPr>
              <w:t>GPU服务器</w:t>
            </w:r>
          </w:p>
        </w:tc>
        <w:tc>
          <w:tcPr>
            <w:tcW w:w="4506" w:type="dxa"/>
            <w:shd w:val="clear" w:color="auto" w:fill="auto"/>
            <w:vAlign w:val="center"/>
          </w:tcPr>
          <w:p>
            <w:pPr>
              <w:widowControl/>
              <w:ind w:firstLine="420" w:firstLineChars="200"/>
              <w:jc w:val="left"/>
              <w:rPr>
                <w:rFonts w:ascii="宋体"/>
              </w:rPr>
            </w:pPr>
            <w:r>
              <w:rPr>
                <w:rFonts w:ascii="宋体"/>
              </w:rPr>
              <w:t>CPU:国产化技术路线，采用精简指令集，配置不少于2颗处理器，单颗核数≥48核心，主频≥2.6GHz;</w:t>
            </w:r>
          </w:p>
          <w:p>
            <w:pPr>
              <w:widowControl/>
              <w:ind w:firstLine="420" w:firstLineChars="200"/>
              <w:jc w:val="left"/>
              <w:rPr>
                <w:rFonts w:ascii="宋体" w:cs="宋体"/>
              </w:rPr>
            </w:pPr>
            <w:r>
              <w:rPr>
                <w:rFonts w:ascii="宋体"/>
              </w:rPr>
              <w:t>内存</w:t>
            </w:r>
            <w:r>
              <w:rPr>
                <w:rFonts w:ascii="宋体" w:cs="宋体" w:hint="eastAsia"/>
              </w:rPr>
              <w:t>容量：≥256GB；</w:t>
            </w:r>
          </w:p>
          <w:p>
            <w:pPr>
              <w:widowControl/>
              <w:ind w:firstLine="420" w:firstLineChars="200"/>
              <w:jc w:val="left"/>
              <w:rPr>
                <w:rFonts w:ascii="宋体"/>
              </w:rPr>
            </w:pPr>
            <w:r>
              <w:rPr>
                <w:rFonts w:ascii="宋体" w:cs="宋体" w:hint="eastAsia"/>
              </w:rPr>
              <w:t>单条内存容量</w:t>
            </w:r>
            <w:r>
              <w:rPr>
                <w:rFonts w:ascii="宋体"/>
              </w:rPr>
              <w:t>：≥32GB</w:t>
            </w:r>
            <w:r>
              <w:rPr>
                <w:rFonts w:ascii="宋体" w:cs="宋体" w:hint="eastAsia"/>
              </w:rPr>
              <w:t>；</w:t>
            </w:r>
          </w:p>
          <w:p>
            <w:pPr>
              <w:widowControl/>
              <w:ind w:firstLine="420" w:firstLineChars="200"/>
              <w:jc w:val="left"/>
              <w:rPr>
                <w:rFonts w:ascii="宋体"/>
              </w:rPr>
            </w:pPr>
            <w:r>
              <w:rPr>
                <w:rFonts w:ascii="宋体"/>
              </w:rPr>
              <w:t>硬盘：≥480GB SSD*2;</w:t>
            </w:r>
          </w:p>
          <w:p>
            <w:pPr>
              <w:widowControl/>
              <w:ind w:firstLine="420" w:firstLineChars="200"/>
              <w:jc w:val="left"/>
              <w:rPr>
                <w:rFonts w:ascii="宋体"/>
              </w:rPr>
            </w:pPr>
            <w:r>
              <w:rPr>
                <w:rFonts w:ascii="宋体"/>
              </w:rPr>
              <w:t>GPU：≥TESLAT4或同级别GPU卡*6</w:t>
            </w:r>
          </w:p>
          <w:p>
            <w:pPr>
              <w:widowControl/>
              <w:ind w:firstLine="420" w:firstLineChars="200"/>
              <w:jc w:val="left"/>
              <w:rPr>
                <w:rFonts w:ascii="宋体"/>
              </w:rPr>
            </w:pPr>
            <w:r>
              <w:rPr>
                <w:rFonts w:ascii="宋体"/>
              </w:rPr>
              <w:t>网口：6*10GE端口含6块光模块，≥2个千兆电口</w:t>
            </w:r>
            <w:r>
              <w:rPr>
                <w:rFonts w:ascii="宋体" w:cs="宋体" w:hint="eastAsia"/>
              </w:rPr>
              <w:t>；</w:t>
            </w:r>
          </w:p>
          <w:p>
            <w:pPr>
              <w:widowControl/>
              <w:ind w:firstLine="420" w:firstLineChars="200"/>
              <w:jc w:val="left"/>
              <w:rPr>
                <w:rFonts w:ascii="宋体" w:cs="宋体"/>
              </w:rPr>
            </w:pPr>
            <w:r>
              <w:rPr>
                <w:rFonts w:ascii="宋体" w:cs="宋体" w:hint="eastAsia"/>
              </w:rPr>
              <w:t>配置1块RAID卡，缓存≥2GB，配置超级电容或掉电保护模块，支持RAID0、1、5、6、10、50、60；</w:t>
            </w:r>
          </w:p>
          <w:p>
            <w:pPr>
              <w:widowControl/>
              <w:ind w:firstLine="420" w:firstLineChars="200"/>
              <w:rPr>
                <w:rFonts w:ascii="宋体" w:cs="宋体"/>
              </w:rPr>
            </w:pPr>
            <w:r>
              <w:rPr>
                <w:rFonts w:ascii="宋体"/>
              </w:rPr>
              <w:t>服务器技术指标需满足财库《通用服务器政府采购需求标准(2023年版)》中的星标项“*</w:t>
            </w:r>
            <w:r>
              <w:rPr>
                <w:rFonts w:ascii="宋体" w:hint="eastAsia"/>
              </w:rPr>
              <w:t>”</w:t>
            </w:r>
            <w:r>
              <w:rPr>
                <w:rFonts w:ascii="宋体"/>
              </w:rPr>
              <w:t>指标。</w:t>
            </w:r>
          </w:p>
          <w:p>
            <w:pPr>
              <w:widowControl/>
              <w:ind w:firstLine="420" w:firstLineChars="200"/>
              <w:rPr>
                <w:rFonts w:ascii="宋体" w:cs="宋体"/>
              </w:rPr>
            </w:pPr>
            <w:r>
              <w:rPr>
                <w:rFonts w:ascii="宋体" w:cs="宋体" w:hint="eastAsia"/>
              </w:rPr>
              <w:t>投标人须提供符合以上指标的服务器不少于2台。</w:t>
            </w:r>
          </w:p>
          <w:p>
            <w:pPr>
              <w:widowControl/>
              <w:ind w:firstLine="420" w:firstLineChars="200"/>
            </w:pPr>
            <w:r>
              <w:rPr>
                <w:rFonts w:ascii="宋体" w:cs="宋体" w:hint="eastAsia"/>
              </w:rPr>
              <w:t>投标人需提供所投产品的分项报价清单（清单应包括名称、规格型号、数量、品牌、原产地和制造商名称、单价、合价、总价）、技术指标及配置清单。</w:t>
            </w:r>
          </w:p>
        </w:tc>
        <w:tc>
          <w:tcPr>
            <w:tcW w:w="1134" w:type="dxa"/>
            <w:shd w:val="clear" w:color="auto" w:fill="auto"/>
            <w:vAlign w:val="center"/>
          </w:tcPr>
          <w:p>
            <w:pPr>
              <w:widowControl/>
              <w:jc w:val="left"/>
              <w:rPr>
                <w:rFonts w:ascii="宋体" w:cs="宋体"/>
              </w:rPr>
            </w:pPr>
            <w:r>
              <w:rPr>
                <w:rFonts w:ascii="宋体"/>
              </w:rPr>
              <w:t>是，投标人</w:t>
            </w:r>
            <w:r>
              <w:rPr>
                <w:rFonts w:ascii="宋体" w:cs="宋体" w:hint="eastAsia"/>
              </w:rPr>
              <w:t>需</w:t>
            </w:r>
            <w:r>
              <w:rPr>
                <w:rFonts w:ascii="宋体"/>
              </w:rPr>
              <w:t>提供</w:t>
            </w:r>
            <w:r>
              <w:rPr>
                <w:rFonts w:ascii="宋体" w:cs="宋体" w:hint="eastAsia"/>
              </w:rPr>
              <w:t>所投产品的分项报价清单、技术指标及配置清单，</w:t>
            </w:r>
          </w:p>
          <w:p>
            <w:pPr>
              <w:widowControl/>
              <w:jc w:val="left"/>
              <w:rPr>
                <w:rFonts w:ascii="宋体"/>
              </w:rPr>
            </w:pPr>
            <w:r>
              <w:rPr>
                <w:rFonts w:ascii="宋体" w:cs="宋体" w:hint="eastAsia"/>
              </w:rPr>
              <w:t>并</w:t>
            </w:r>
            <w:r>
              <w:rPr>
                <w:rFonts w:ascii="宋体"/>
              </w:rPr>
              <w:t>加盖</w:t>
            </w:r>
            <w:r>
              <w:rPr>
                <w:rFonts w:ascii="宋体" w:cs="宋体" w:hint="eastAsia"/>
              </w:rPr>
              <w:t>投标人</w:t>
            </w:r>
            <w:r>
              <w:rPr>
                <w:rFonts w:ascii="宋体"/>
              </w:rPr>
              <w:t>公章</w:t>
            </w:r>
          </w:p>
        </w:tc>
      </w:tr>
      <w:tr>
        <w:tblPrEx>
          <w:tblW w:w="8217" w:type="dxa"/>
          <w:jc w:val="left"/>
          <w:tblInd w:w="0" w:type="dxa"/>
          <w:tblCellMar>
            <w:top w:w="0" w:type="dxa"/>
            <w:left w:w="108" w:type="dxa"/>
            <w:bottom w:w="0" w:type="dxa"/>
            <w:right w:w="108" w:type="dxa"/>
          </w:tblCellMar>
        </w:tblPrEx>
        <w:trPr>
          <w:trHeight w:val="579"/>
          <w:jc w:val="left"/>
        </w:trPr>
        <w:tc>
          <w:tcPr>
            <w:tcW w:w="680" w:type="dxa"/>
            <w:shd w:val="clear" w:color="auto" w:fill="auto"/>
            <w:vAlign w:val="center"/>
          </w:tcPr>
          <w:p>
            <w:pPr>
              <w:widowControl/>
              <w:jc w:val="center"/>
              <w:rPr>
                <w:rFonts w:ascii="宋体" w:cs="宋体"/>
              </w:rPr>
            </w:pPr>
            <w:r>
              <w:rPr>
                <w:rFonts w:ascii="宋体" w:cs="宋体" w:hint="eastAsia"/>
              </w:rPr>
              <w:t>9</w:t>
            </w:r>
            <w:r>
              <w:rPr>
                <w:rFonts w:ascii="宋体" w:cs="宋体" w:hint="eastAsia"/>
                <w:lang w:val="en-US" w:eastAsia="zh-CN"/>
              </w:rPr>
              <w:t>1</w:t>
            </w:r>
          </w:p>
        </w:tc>
        <w:tc>
          <w:tcPr>
            <w:tcW w:w="675" w:type="dxa"/>
            <w:shd w:val="clear" w:color="auto" w:fill="auto"/>
            <w:vAlign w:val="center"/>
          </w:tcPr>
          <w:p>
            <w:pPr>
              <w:widowControl/>
              <w:jc w:val="center"/>
              <w:rPr>
                <w:rFonts w:ascii="宋体" w:cs="宋体"/>
              </w:rPr>
            </w:pPr>
            <w:r>
              <w:rPr>
                <w:rFonts w:ascii="宋体" w:cs="宋体" w:hint="eastAsia"/>
              </w:rPr>
              <w:t>★</w:t>
            </w:r>
          </w:p>
        </w:tc>
        <w:tc>
          <w:tcPr>
            <w:tcW w:w="1222" w:type="dxa"/>
            <w:shd w:val="clear" w:color="auto" w:fill="auto"/>
            <w:vAlign w:val="center"/>
          </w:tcPr>
          <w:p>
            <w:pPr>
              <w:widowControl/>
              <w:jc w:val="left"/>
              <w:rPr>
                <w:rFonts w:ascii="宋体" w:cs="宋体"/>
              </w:rPr>
            </w:pPr>
            <w:r>
              <w:rPr>
                <w:rFonts w:ascii="宋体" w:cs="宋体" w:hint="eastAsia"/>
              </w:rPr>
              <w:t>人像解析算法</w:t>
            </w:r>
          </w:p>
        </w:tc>
        <w:tc>
          <w:tcPr>
            <w:tcW w:w="4506" w:type="dxa"/>
            <w:shd w:val="clear" w:color="auto" w:fill="auto"/>
            <w:vAlign w:val="center"/>
          </w:tcPr>
          <w:p>
            <w:pPr>
              <w:widowControl/>
              <w:ind w:firstLine="420" w:firstLineChars="200"/>
              <w:jc w:val="left"/>
              <w:rPr>
                <w:rFonts w:ascii="宋体" w:cs="宋体"/>
              </w:rPr>
            </w:pPr>
            <w:r>
              <w:rPr>
                <w:rFonts w:ascii="宋体" w:cs="宋体" w:hint="eastAsia"/>
              </w:rPr>
              <w:t>投标人应提供不少于3家不同制造商的人像解析算法，并承诺采购人对人像解析算法拥有永久使用权许可。</w:t>
            </w:r>
          </w:p>
          <w:p>
            <w:pPr>
              <w:widowControl/>
              <w:ind w:firstLine="420" w:firstLineChars="200"/>
              <w:jc w:val="left"/>
              <w:rPr>
                <w:rFonts w:ascii="宋体" w:cs="宋体"/>
              </w:rPr>
            </w:pPr>
            <w:r>
              <w:rPr>
                <w:rFonts w:ascii="宋体" w:cs="宋体" w:hint="eastAsia"/>
              </w:rPr>
              <w:t>投标人所提供算法的性能要求：</w:t>
            </w:r>
          </w:p>
          <w:p>
            <w:pPr>
              <w:widowControl/>
              <w:jc w:val="left"/>
              <w:rPr>
                <w:rFonts w:ascii="宋体" w:cs="宋体"/>
              </w:rPr>
            </w:pPr>
            <w:r>
              <w:rPr>
                <w:rFonts w:ascii="宋体" w:cs="宋体" w:hint="eastAsia"/>
              </w:rPr>
              <w:t>同一静态画面内人像检测数量不少于</w:t>
            </w:r>
            <w:r>
              <w:rPr>
                <w:rFonts w:ascii="宋体" w:cs="宋体"/>
              </w:rPr>
              <w:t>100</w:t>
            </w:r>
            <w:r>
              <w:rPr>
                <w:rFonts w:ascii="宋体" w:cs="宋体" w:hint="eastAsia"/>
              </w:rPr>
              <w:t>个（人像两眼瞳距15像素点以上）。人像检出率≥</w:t>
            </w:r>
            <w:r>
              <w:rPr>
                <w:rFonts w:ascii="宋体" w:cs="宋体"/>
              </w:rPr>
              <w:t>99%</w:t>
            </w:r>
            <w:r>
              <w:rPr>
                <w:rFonts w:ascii="宋体" w:cs="宋体" w:hint="eastAsia"/>
              </w:rPr>
              <w:t>，人像检测识别准确率≥</w:t>
            </w:r>
            <w:r>
              <w:rPr>
                <w:rFonts w:ascii="宋体" w:cs="宋体"/>
              </w:rPr>
              <w:t>99%</w:t>
            </w:r>
            <w:r>
              <w:rPr>
                <w:rFonts w:ascii="宋体" w:cs="宋体" w:hint="eastAsia"/>
              </w:rPr>
              <w:t>。支持对图片出现人像进行检测抓拍，比对识别，首位识别准确率≥</w:t>
            </w:r>
            <w:r>
              <w:rPr>
                <w:rFonts w:ascii="宋体" w:cs="宋体"/>
              </w:rPr>
              <w:t>99%</w:t>
            </w:r>
            <w:r>
              <w:rPr>
                <w:rFonts w:ascii="宋体" w:cs="宋体" w:hint="eastAsia"/>
              </w:rPr>
              <w:t>。</w:t>
            </w:r>
          </w:p>
          <w:p>
            <w:pPr>
              <w:widowControl/>
              <w:ind w:firstLine="420" w:firstLineChars="200"/>
              <w:jc w:val="left"/>
              <w:rPr>
                <w:rFonts w:ascii="宋体" w:cs="宋体"/>
              </w:rPr>
            </w:pPr>
            <w:r>
              <w:rPr>
                <w:rFonts w:ascii="宋体" w:cs="宋体" w:hint="eastAsia"/>
              </w:rPr>
              <w:t>投标人需提供所投产品的分项清单，清单应包括产品名称、版本名称、数量、品牌、原产地和制造商名称、技术指标及配置清单。</w:t>
            </w:r>
          </w:p>
        </w:tc>
        <w:tc>
          <w:tcPr>
            <w:tcW w:w="1134" w:type="dxa"/>
            <w:shd w:val="clear" w:color="auto" w:fill="auto"/>
            <w:vAlign w:val="center"/>
          </w:tcPr>
          <w:p>
            <w:pPr>
              <w:widowControl/>
              <w:jc w:val="left"/>
              <w:rPr>
                <w:rFonts w:ascii="宋体" w:cs="宋体"/>
              </w:rPr>
            </w:pPr>
            <w:r>
              <w:rPr>
                <w:rFonts w:ascii="宋体" w:cs="宋体" w:hint="eastAsia"/>
              </w:rPr>
              <w:t>是，投标人需提供产品分项清单及承诺函，并加盖投标人公章</w:t>
            </w:r>
          </w:p>
        </w:tc>
      </w:tr>
      <w:tr>
        <w:tblPrEx>
          <w:tblW w:w="8217" w:type="dxa"/>
          <w:jc w:val="left"/>
          <w:tblInd w:w="0" w:type="dxa"/>
          <w:tblCellMar>
            <w:top w:w="0" w:type="dxa"/>
            <w:left w:w="108" w:type="dxa"/>
            <w:bottom w:w="0" w:type="dxa"/>
            <w:right w:w="108" w:type="dxa"/>
          </w:tblCellMar>
        </w:tblPrEx>
        <w:trPr>
          <w:trHeight w:val="1300"/>
          <w:jc w:val="left"/>
        </w:trPr>
        <w:tc>
          <w:tcPr>
            <w:tcW w:w="680" w:type="dxa"/>
            <w:shd w:val="clear" w:color="auto" w:fill="auto"/>
            <w:vAlign w:val="center"/>
          </w:tcPr>
          <w:p>
            <w:pPr>
              <w:widowControl/>
              <w:jc w:val="center"/>
              <w:rPr>
                <w:rFonts w:ascii="宋体" w:cs="宋体"/>
              </w:rPr>
            </w:pPr>
            <w:r>
              <w:rPr>
                <w:rFonts w:ascii="宋体" w:cs="宋体" w:hint="eastAsia"/>
              </w:rPr>
              <w:t>9</w:t>
            </w:r>
            <w:r>
              <w:rPr>
                <w:rFonts w:ascii="宋体" w:cs="宋体" w:hint="eastAsia"/>
                <w:lang w:val="en-US" w:eastAsia="zh-CN"/>
              </w:rPr>
              <w:t>2</w:t>
            </w:r>
          </w:p>
        </w:tc>
        <w:tc>
          <w:tcPr>
            <w:tcW w:w="675" w:type="dxa"/>
            <w:shd w:val="clear" w:color="auto" w:fill="auto"/>
            <w:vAlign w:val="center"/>
          </w:tcPr>
          <w:p>
            <w:pPr>
              <w:widowControl/>
              <w:jc w:val="center"/>
              <w:rPr>
                <w:rFonts w:ascii="宋体" w:cs="宋体"/>
              </w:rPr>
            </w:pPr>
            <w:r>
              <w:rPr>
                <w:rFonts w:ascii="宋体" w:cs="宋体" w:hint="eastAsia"/>
              </w:rPr>
              <w:t>▲</w:t>
            </w:r>
          </w:p>
        </w:tc>
        <w:tc>
          <w:tcPr>
            <w:tcW w:w="1222" w:type="dxa"/>
            <w:shd w:val="clear" w:color="auto" w:fill="auto"/>
            <w:vAlign w:val="center"/>
          </w:tcPr>
          <w:p>
            <w:pPr>
              <w:widowControl/>
              <w:jc w:val="left"/>
              <w:rPr>
                <w:rFonts w:ascii="宋体" w:cs="宋体"/>
              </w:rPr>
            </w:pPr>
            <w:r>
              <w:rPr>
                <w:rFonts w:ascii="宋体" w:cs="宋体" w:hint="eastAsia"/>
              </w:rPr>
              <w:t>供应保障</w:t>
            </w:r>
          </w:p>
        </w:tc>
        <w:tc>
          <w:tcPr>
            <w:tcW w:w="4506" w:type="dxa"/>
            <w:shd w:val="clear" w:color="auto" w:fill="auto"/>
            <w:vAlign w:val="center"/>
          </w:tcPr>
          <w:p>
            <w:pPr>
              <w:widowControl/>
              <w:ind w:firstLine="420" w:firstLineChars="200"/>
              <w:rPr>
                <w:rFonts w:ascii="宋体" w:cs="宋体"/>
              </w:rPr>
            </w:pPr>
            <w:r>
              <w:rPr>
                <w:rFonts w:ascii="宋体" w:cs="宋体" w:hint="eastAsia"/>
              </w:rPr>
              <w:t>针对本项目所涉及</w:t>
            </w:r>
            <w:r>
              <w:t>GPU</w:t>
            </w:r>
            <w:r>
              <w:rPr>
                <w:rFonts w:ascii="宋体" w:cs="宋体" w:hint="eastAsia"/>
              </w:rPr>
              <w:t>服务器，投标人提供服务器芯片厂商针对本项目出具的供应保障函，明确承诺保障此次采购服务器所需芯片按时按量交付。</w:t>
            </w:r>
          </w:p>
        </w:tc>
        <w:tc>
          <w:tcPr>
            <w:tcW w:w="1134" w:type="dxa"/>
            <w:shd w:val="clear" w:color="auto" w:fill="auto"/>
            <w:vAlign w:val="center"/>
          </w:tcPr>
          <w:p>
            <w:pPr>
              <w:widowControl/>
              <w:jc w:val="left"/>
              <w:rPr>
                <w:rFonts w:ascii="宋体" w:cs="宋体"/>
              </w:rPr>
            </w:pPr>
            <w:r>
              <w:rPr>
                <w:rFonts w:ascii="宋体" w:cs="宋体" w:hint="eastAsia"/>
              </w:rPr>
              <w:t>是，投标人提供承诺函并加盖投标人公章</w:t>
            </w:r>
          </w:p>
        </w:tc>
      </w:tr>
    </w:tbl>
    <w:p>
      <w:pPr>
        <w:pStyle w:val="BodyText3"/>
        <w:ind w:firstLine="0"/>
        <w:rPr>
          <w:rFonts w:eastAsia="等线"/>
        </w:rPr>
      </w:pPr>
    </w:p>
    <w:p>
      <w:pPr>
        <w:pStyle w:val="Heading2"/>
        <w:numPr>
          <w:ilvl w:val="0"/>
          <w:numId w:val="2"/>
        </w:numPr>
        <w:rPr>
          <w:rFonts w:ascii="宋体" w:hint="eastAsia"/>
        </w:rPr>
      </w:pPr>
      <w:bookmarkStart w:id="49" w:name="指标明细_index_Required_goodsId"/>
      <w:bookmarkStart w:id="50" w:name="服务要求"/>
      <w:bookmarkEnd w:id="49"/>
      <w:r>
        <w:rPr>
          <w:rFonts w:ascii="宋体" w:hint="eastAsia"/>
        </w:rPr>
        <w:t>服务要求</w:t>
      </w:r>
      <w:bookmarkEnd w:id="50"/>
    </w:p>
    <w:p>
      <w:pPr>
        <w:rPr>
          <w:rFonts w:ascii="宋体"/>
        </w:rPr>
      </w:pPr>
      <w:r>
        <w:rPr>
          <w:rFonts w:ascii="宋体" w:hint="eastAsia"/>
        </w:rPr>
        <w:t>①★代表实质性指标，不满足该指标项将导致投标被拒绝；加 “▲”标记表示为重要指标项，无标识则表示一般指标项，如不满足将影响评分。</w:t>
      </w:r>
    </w:p>
    <w:p>
      <w:pPr>
        <w:rPr>
          <w:rFonts w:ascii="宋体"/>
        </w:rPr>
      </w:pPr>
      <w:r>
        <w:rPr>
          <w:rFonts w:ascii="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024"/>
        <w:gridCol w:w="3862"/>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jc w:val="center"/>
              <w:rPr>
                <w:rFonts w:ascii="宋体"/>
              </w:rPr>
            </w:pPr>
            <w:r>
              <w:rPr>
                <w:rFonts w:ascii="宋体" w:hint="eastAsia"/>
              </w:rPr>
              <w:t>序号</w:t>
            </w:r>
          </w:p>
        </w:tc>
        <w:tc>
          <w:tcPr>
            <w:tcW w:w="1140" w:type="dxa"/>
          </w:tcPr>
          <w:p>
            <w:pPr>
              <w:jc w:val="center"/>
              <w:rPr>
                <w:rFonts w:ascii="宋体"/>
              </w:rPr>
            </w:pPr>
            <w:r>
              <w:rPr>
                <w:rFonts w:ascii="宋体" w:hint="eastAsia"/>
              </w:rPr>
              <w:t>内容</w:t>
            </w:r>
          </w:p>
        </w:tc>
        <w:tc>
          <w:tcPr>
            <w:tcW w:w="1024" w:type="dxa"/>
          </w:tcPr>
          <w:p>
            <w:pPr>
              <w:jc w:val="center"/>
              <w:rPr>
                <w:rFonts w:ascii="宋体"/>
              </w:rPr>
            </w:pPr>
            <w:r>
              <w:rPr>
                <w:rFonts w:ascii="宋体" w:hint="eastAsia"/>
              </w:rPr>
              <w:t>重要性</w:t>
            </w:r>
          </w:p>
        </w:tc>
        <w:tc>
          <w:tcPr>
            <w:tcW w:w="3862" w:type="dxa"/>
          </w:tcPr>
          <w:p>
            <w:pPr>
              <w:jc w:val="center"/>
              <w:rPr>
                <w:rFonts w:ascii="宋体"/>
              </w:rPr>
            </w:pPr>
            <w:bookmarkStart w:id="51" w:name="服务要求_Title_服务要求标准_Required_Table"/>
            <w:r>
              <w:rPr>
                <w:rFonts w:ascii="宋体" w:hint="eastAsia"/>
              </w:rPr>
              <w:t>服务要求标准</w:t>
            </w:r>
            <w:bookmarkEnd w:id="51"/>
          </w:p>
        </w:tc>
        <w:tc>
          <w:tcPr>
            <w:tcW w:w="1685" w:type="dxa"/>
          </w:tcPr>
          <w:p>
            <w:pPr>
              <w:jc w:val="center"/>
              <w:rPr>
                <w:rFonts w:ascii="宋体"/>
              </w:rPr>
            </w:pPr>
            <w:bookmarkStart w:id="52" w:name="服务要求_Title_证明材料要求_Required_Table"/>
            <w:r>
              <w:rPr>
                <w:rFonts w:ascii="宋体" w:hint="eastAsia"/>
              </w:rPr>
              <w:t>证明材料要求</w:t>
            </w:r>
            <w:bookmarkEnd w:id="52"/>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bookmarkStart w:id="53" w:name="_Hlk180944603"/>
            <w:bookmarkStart w:id="54" w:name="_Hlk180941735"/>
            <w:r>
              <w:rPr>
                <w:rFonts w:ascii="宋体" w:hint="eastAsia"/>
              </w:rPr>
              <w:t>1</w:t>
            </w:r>
          </w:p>
        </w:tc>
        <w:tc>
          <w:tcPr>
            <w:tcW w:w="1140" w:type="dxa"/>
            <w:vAlign w:val="center"/>
          </w:tcPr>
          <w:p>
            <w:pPr>
              <w:jc w:val="center"/>
              <w:rPr>
                <w:rFonts w:ascii="宋体"/>
              </w:rPr>
            </w:pPr>
            <w:r>
              <w:rPr>
                <w:rFonts w:ascii="宋体" w:hint="eastAsia"/>
              </w:rPr>
              <w:t>售后服务承诺函</w:t>
            </w:r>
          </w:p>
        </w:tc>
        <w:tc>
          <w:tcPr>
            <w:tcW w:w="1024" w:type="dxa"/>
            <w:vAlign w:val="center"/>
          </w:tcPr>
          <w:p>
            <w:pPr>
              <w:jc w:val="center"/>
              <w:rPr>
                <w:rFonts w:ascii="宋体"/>
              </w:rPr>
            </w:pPr>
          </w:p>
        </w:tc>
        <w:tc>
          <w:tcPr>
            <w:tcW w:w="3862" w:type="dxa"/>
            <w:vAlign w:val="center"/>
          </w:tcPr>
          <w:p>
            <w:pPr>
              <w:ind w:firstLine="420" w:firstLineChars="200"/>
              <w:rPr>
                <w:rFonts w:ascii="宋体" w:cs="宋体"/>
              </w:rPr>
            </w:pPr>
            <w:r>
              <w:rPr>
                <w:rFonts w:ascii="宋体" w:cs="宋体" w:hint="eastAsia"/>
              </w:rPr>
              <w:t>投标人须提供售后服务承诺函，对提供的售后服务内容予以承诺，并承诺应答事项全部真实有效。</w:t>
            </w:r>
          </w:p>
        </w:tc>
        <w:tc>
          <w:tcPr>
            <w:tcW w:w="1685" w:type="dxa"/>
            <w:vAlign w:val="center"/>
          </w:tcPr>
          <w:p>
            <w:pPr>
              <w:jc w:val="center"/>
              <w:rPr>
                <w:rFonts w:ascii="宋体"/>
              </w:rPr>
            </w:pPr>
            <w:r>
              <w:rPr>
                <w:rFonts w:ascii="宋体" w:cs="宋体" w:hint="eastAsia"/>
              </w:rPr>
              <w:t>是，投标人提供承诺函并加盖投标人公章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bookmarkStart w:id="55" w:name="_Hlk180943041"/>
            <w:bookmarkEnd w:id="53"/>
            <w:bookmarkEnd w:id="54"/>
            <w:r>
              <w:rPr>
                <w:rFonts w:ascii="宋体" w:hint="eastAsia"/>
              </w:rPr>
              <w:t>2</w:t>
            </w:r>
          </w:p>
        </w:tc>
        <w:tc>
          <w:tcPr>
            <w:tcW w:w="1140" w:type="dxa"/>
            <w:vAlign w:val="center"/>
          </w:tcPr>
          <w:p>
            <w:pPr>
              <w:jc w:val="center"/>
              <w:rPr>
                <w:rFonts w:ascii="宋体"/>
              </w:rPr>
            </w:pPr>
            <w:r>
              <w:rPr>
                <w:rFonts w:ascii="宋体" w:cs="宋体" w:hint="eastAsia"/>
              </w:rPr>
              <w:t>驻场人员要求</w:t>
            </w:r>
          </w:p>
        </w:tc>
        <w:tc>
          <w:tcPr>
            <w:tcW w:w="1024" w:type="dxa"/>
            <w:vAlign w:val="center"/>
          </w:tcPr>
          <w:p>
            <w:pPr>
              <w:jc w:val="center"/>
              <w:rPr>
                <w:rFonts w:ascii="等线" w:hAnsi="等线" w:hint="eastAsia"/>
              </w:rPr>
            </w:pPr>
            <w:r>
              <w:rPr>
                <w:rFonts w:ascii="等线" w:eastAsia="等线" w:cs="宋体" w:hint="eastAsia"/>
              </w:rPr>
              <w:t>★</w:t>
            </w:r>
          </w:p>
        </w:tc>
        <w:tc>
          <w:tcPr>
            <w:tcW w:w="3862" w:type="dxa"/>
            <w:vAlign w:val="center"/>
          </w:tcPr>
          <w:p>
            <w:pPr>
              <w:widowControl/>
              <w:ind w:firstLine="420" w:firstLineChars="200"/>
              <w:jc w:val="left"/>
              <w:textAlignment w:val="auto"/>
              <w:rPr>
                <w:rFonts w:ascii="宋体" w:cs="宋体" w:hint="eastAsia"/>
                <w:sz w:val="21"/>
              </w:rPr>
            </w:pPr>
            <w:r>
              <w:rPr>
                <w:rFonts w:ascii="宋体" w:cs="宋体" w:hint="eastAsia"/>
                <w:sz w:val="21"/>
              </w:rPr>
              <w:t>（1）在免费运维期间内需至少提供3名驻场人员，</w:t>
            </w:r>
            <w:r>
              <w:rPr>
                <w:rFonts w:ascii="宋体" w:cs="宋体" w:hint="eastAsia"/>
              </w:rPr>
              <w:t>人员应为开发团队成员。</w:t>
            </w:r>
            <w:r>
              <w:rPr>
                <w:rFonts w:ascii="宋体" w:cs="宋体" w:hint="eastAsia"/>
                <w:sz w:val="21"/>
              </w:rPr>
              <w:t>中标方须接受采购人的统管，协助招标方完成运维工作。</w:t>
            </w:r>
          </w:p>
          <w:p>
            <w:pPr>
              <w:widowControl/>
              <w:ind w:firstLine="420" w:firstLineChars="200"/>
              <w:jc w:val="left"/>
              <w:textAlignment w:val="auto"/>
              <w:rPr>
                <w:rFonts w:ascii="宋体" w:cs="宋体" w:hint="eastAsia"/>
                <w:sz w:val="21"/>
              </w:rPr>
            </w:pPr>
            <w:r>
              <w:rPr>
                <w:rFonts w:ascii="宋体" w:cs="宋体" w:hint="eastAsia"/>
                <w:sz w:val="21"/>
              </w:rPr>
              <w:t>（2）驻场地点：采购人指定场所（北京市），驻场期间的保障费用由投标人自行承担。</w:t>
            </w:r>
          </w:p>
          <w:p>
            <w:pPr>
              <w:ind w:firstLine="420" w:firstLineChars="200"/>
              <w:rPr>
                <w:rFonts w:ascii="宋体" w:cs="宋体"/>
              </w:rPr>
            </w:pPr>
            <w:r>
              <w:rPr>
                <w:rFonts w:ascii="宋体" w:cs="宋体" w:hint="eastAsia"/>
                <w:sz w:val="21"/>
              </w:rPr>
              <w:t>（3）投标人服务人员驻场期间，应严格遵守采购人各项管理制度，包括工作制度、项目管理制度、内部安全管理要求、安全生产管理、数据安全管理的相关要求。</w:t>
            </w:r>
          </w:p>
        </w:tc>
        <w:tc>
          <w:tcPr>
            <w:tcW w:w="1685" w:type="dxa"/>
            <w:vAlign w:val="center"/>
          </w:tcPr>
          <w:p>
            <w:pPr>
              <w:jc w:val="left"/>
              <w:rPr>
                <w:rFonts w:ascii="宋体"/>
              </w:rPr>
            </w:pPr>
            <w:r>
              <w:rPr>
                <w:rFonts w:ascii="宋体" w:cs="宋体" w:hint="eastAsia"/>
              </w:rPr>
              <w:t>是，投标人提供承诺函并加盖投标人公章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bookmarkStart w:id="56" w:name="_Hlk180941773"/>
            <w:bookmarkEnd w:id="55"/>
            <w:r>
              <w:rPr>
                <w:rFonts w:ascii="宋体" w:hint="eastAsia"/>
              </w:rPr>
              <w:t>3</w:t>
            </w:r>
          </w:p>
        </w:tc>
        <w:tc>
          <w:tcPr>
            <w:tcW w:w="1140" w:type="dxa"/>
            <w:vAlign w:val="center"/>
          </w:tcPr>
          <w:p>
            <w:pPr>
              <w:jc w:val="center"/>
              <w:rPr>
                <w:rFonts w:ascii="宋体"/>
              </w:rPr>
            </w:pPr>
            <w:r>
              <w:rPr>
                <w:rFonts w:ascii="宋体" w:hint="eastAsia"/>
              </w:rPr>
              <w:t>投标人服务标准</w:t>
            </w:r>
          </w:p>
        </w:tc>
        <w:tc>
          <w:tcPr>
            <w:tcW w:w="1024" w:type="dxa"/>
            <w:vAlign w:val="center"/>
          </w:tcPr>
          <w:p>
            <w:pPr>
              <w:jc w:val="center"/>
              <w:rPr>
                <w:rFonts w:ascii="宋体"/>
              </w:rPr>
            </w:pPr>
          </w:p>
        </w:tc>
        <w:tc>
          <w:tcPr>
            <w:tcW w:w="3862" w:type="dxa"/>
            <w:vAlign w:val="center"/>
          </w:tcPr>
          <w:p>
            <w:pPr>
              <w:pStyle w:val="10912"/>
              <w:spacing w:line="240" w:lineRule="auto"/>
              <w:ind w:firstLine="420" w:firstLineChars="200"/>
              <w:rPr>
                <w:rFonts w:ascii="宋体" w:eastAsia="宋体" w:cs="宋体" w:hint="eastAsia"/>
                <w:kern w:val="2"/>
                <w:sz w:val="21"/>
                <w:szCs w:val="22"/>
              </w:rPr>
            </w:pPr>
            <w:r>
              <w:rPr>
                <w:rFonts w:ascii="宋体" w:eastAsia="宋体" w:cs="宋体" w:hint="eastAsia"/>
                <w:kern w:val="2"/>
                <w:sz w:val="21"/>
                <w:szCs w:val="22"/>
              </w:rPr>
              <w:t>售后服务标准：软件系统质保期内，驻场人员提供5×8小时（工作日9：00-17：00）运维服务。软件系统质量保障期间，投标人应提供7*24小时技术支持、故障响应服务，提供软件免费升级和调优服务、技术咨询和现场技术支持等服务。</w:t>
            </w:r>
          </w:p>
          <w:p>
            <w:pPr>
              <w:pStyle w:val="10912"/>
              <w:spacing w:line="240" w:lineRule="auto"/>
              <w:ind w:firstLine="420" w:firstLineChars="200"/>
              <w:rPr>
                <w:rFonts w:ascii="宋体" w:eastAsia="宋体" w:cs="宋体" w:hint="eastAsia"/>
                <w:kern w:val="2"/>
                <w:sz w:val="21"/>
                <w:szCs w:val="22"/>
              </w:rPr>
            </w:pPr>
            <w:r>
              <w:rPr>
                <w:rFonts w:ascii="宋体" w:eastAsia="宋体" w:cs="宋体" w:hint="eastAsia"/>
                <w:kern w:val="2"/>
                <w:sz w:val="21"/>
                <w:szCs w:val="22"/>
              </w:rPr>
              <w:t>故障响应服务：投标人接到用户报修后应在2小时内提出解决方案，在8小时内修复故障。如发生驻场人员无法解决的系统故障，应增派支持人员1小时内提供现场支持，并采取相应措施，直至问题解决。</w:t>
            </w:r>
          </w:p>
          <w:p>
            <w:pPr>
              <w:ind w:firstLine="420" w:firstLineChars="200"/>
              <w:rPr>
                <w:rFonts w:ascii="宋体" w:cs="宋体" w:hint="eastAsia"/>
              </w:rPr>
            </w:pPr>
            <w:r>
              <w:rPr>
                <w:rFonts w:ascii="宋体" w:cs="宋体" w:hint="eastAsia"/>
              </w:rPr>
              <w:t>服务内容：售后服务内容包括但不限于已交付内容的缺陷修复、性能调整、故障修复、问题处理、技术支持等。驻场服务应包括但不限于软件交付、本次招标文件要求相关内容的个性化定制开发、产品性能调优、系统更新等。投标人同时负责制定项目运维工作方案，解决工程运行期间的各项问题，做好相关项目运维建设绩效整理与编制、项目审计材料准备等综合性工作，编制项目实施方案、部署文档、运维手册等技术资料，提供常见故障处理预案、技术培训文档等。</w:t>
            </w:r>
          </w:p>
          <w:p>
            <w:pPr>
              <w:ind w:firstLine="420" w:firstLineChars="200"/>
              <w:rPr>
                <w:rFonts w:ascii="宋体" w:cs="宋体" w:hint="eastAsia"/>
              </w:rPr>
            </w:pPr>
            <w:r>
              <w:rPr>
                <w:rFonts w:ascii="宋体" w:cs="宋体" w:hint="eastAsia"/>
              </w:rPr>
              <w:t>管理服务标准：投标人服务人员驻场期间，应严格遵守用户各项管理制度，包括工作制度、项目管理制度、内部安全管理制度、安全生产管理制度、数据安全管理制度等。投标人服务人员驻场期间，由投标人自备办公设备。</w:t>
            </w:r>
          </w:p>
        </w:tc>
        <w:tc>
          <w:tcPr>
            <w:tcW w:w="1685" w:type="dxa"/>
            <w:vAlign w:val="center"/>
          </w:tcPr>
          <w:p>
            <w:pPr>
              <w:jc w:val="left"/>
              <w:rPr>
                <w:rFonts w:ascii="宋体"/>
              </w:rPr>
            </w:pPr>
            <w:r>
              <w:rPr>
                <w:rFonts w:ascii="宋体" w:hint="eastAsia"/>
              </w:rPr>
              <w:t>是，投标人提供承诺函并加盖投标人公章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bookmarkEnd w:id="56"/>
            <w:r>
              <w:rPr>
                <w:rFonts w:ascii="宋体" w:hint="eastAsia"/>
              </w:rPr>
              <w:t>4</w:t>
            </w:r>
          </w:p>
        </w:tc>
        <w:tc>
          <w:tcPr>
            <w:tcW w:w="1140"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hint="eastAsia"/>
              </w:rPr>
              <w:t>算法服务支撑</w:t>
            </w:r>
          </w:p>
        </w:tc>
        <w:tc>
          <w:tcPr>
            <w:tcW w:w="1024"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hint="eastAsia"/>
              </w:rPr>
              <w:t>★</w:t>
            </w:r>
          </w:p>
        </w:tc>
        <w:tc>
          <w:tcPr>
            <w:tcW w:w="3862" w:type="dxa"/>
            <w:tcBorders>
              <w:top w:val="single" w:sz="4" w:space="0" w:color="auto"/>
              <w:left w:val="single" w:sz="4" w:space="0" w:color="auto"/>
              <w:bottom w:val="single" w:sz="4" w:space="0" w:color="auto"/>
              <w:right w:val="single" w:sz="4" w:space="0" w:color="auto"/>
            </w:tcBorders>
            <w:vAlign w:val="center"/>
          </w:tcPr>
          <w:p>
            <w:pPr>
              <w:pStyle w:val="10912"/>
              <w:spacing w:line="240" w:lineRule="auto"/>
              <w:ind w:firstLine="0"/>
              <w:rPr>
                <w:rFonts w:ascii="宋体" w:hAnsi="宋体"/>
              </w:rPr>
            </w:pPr>
            <w:r>
              <w:rPr>
                <w:rFonts w:ascii="宋体" w:eastAsia="宋体" w:cs="宋体" w:hint="eastAsia"/>
              </w:rPr>
              <w:t>应实现本项目要求提供的人像解析算法在本项目算法仓库的接入和调度，应可用于本项目人像解析相关功能，应可用于对接</w:t>
            </w:r>
            <w:r>
              <w:rPr>
                <w:rFonts w:ascii="宋体" w:eastAsia="宋体" w:cs="宋体"/>
              </w:rPr>
              <w:t>“</w:t>
            </w:r>
            <w:r>
              <w:rPr>
                <w:rFonts w:ascii="宋体" w:eastAsia="宋体" w:cs="宋体" w:hint="eastAsia"/>
              </w:rPr>
              <w:t>视重通</w:t>
            </w:r>
            <w:r>
              <w:rPr>
                <w:rFonts w:ascii="宋体" w:eastAsia="宋体" w:cs="宋体"/>
              </w:rPr>
              <w:t>”</w:t>
            </w:r>
            <w:r>
              <w:rPr>
                <w:rFonts w:ascii="宋体" w:eastAsia="宋体" w:cs="宋体" w:hint="eastAsia"/>
              </w:rPr>
              <w:t>后对“视重通”人像资源的解析。投标人应在软件系统质量保障期内提供人像解析算法原厂升级等相关服务。</w:t>
            </w:r>
          </w:p>
        </w:tc>
        <w:tc>
          <w:tcPr>
            <w:tcW w:w="1685" w:type="dxa"/>
            <w:tcBorders>
              <w:top w:val="single" w:sz="4" w:space="0" w:color="auto"/>
              <w:left w:val="single" w:sz="4" w:space="0" w:color="auto"/>
              <w:bottom w:val="single" w:sz="4" w:space="0" w:color="auto"/>
              <w:right w:val="single" w:sz="4" w:space="0" w:color="auto"/>
            </w:tcBorders>
            <w:vAlign w:val="center"/>
          </w:tcPr>
          <w:p>
            <w:pPr>
              <w:jc w:val="left"/>
              <w:rPr>
                <w:rFonts w:ascii="宋体"/>
              </w:rPr>
            </w:pPr>
            <w:r>
              <w:rPr>
                <w:rFonts w:ascii="宋体" w:hint="eastAsia"/>
              </w:rPr>
              <w:t>是，投标人提供承诺函并加盖投标人公章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r>
              <w:rPr>
                <w:rFonts w:ascii="宋体" w:hint="eastAsia"/>
              </w:rPr>
              <w:t>5</w:t>
            </w:r>
          </w:p>
        </w:tc>
        <w:tc>
          <w:tcPr>
            <w:tcW w:w="1140" w:type="dxa"/>
            <w:vAlign w:val="center"/>
          </w:tcPr>
          <w:p>
            <w:pPr>
              <w:jc w:val="center"/>
              <w:rPr>
                <w:rFonts w:ascii="宋体"/>
              </w:rPr>
            </w:pPr>
            <w:r>
              <w:rPr>
                <w:rFonts w:ascii="宋体" w:hint="eastAsia"/>
              </w:rPr>
              <w:t>硬件、软件制造商服务标准</w:t>
            </w:r>
          </w:p>
        </w:tc>
        <w:tc>
          <w:tcPr>
            <w:tcW w:w="1024" w:type="dxa"/>
            <w:vAlign w:val="center"/>
          </w:tcPr>
          <w:p>
            <w:pPr>
              <w:jc w:val="center"/>
              <w:rPr>
                <w:rFonts w:ascii="宋体"/>
              </w:rPr>
            </w:pPr>
            <w:r>
              <w:rPr>
                <w:rFonts w:ascii="宋体" w:cs="宋体" w:hint="eastAsia"/>
              </w:rPr>
              <w:t>▲</w:t>
            </w:r>
          </w:p>
        </w:tc>
        <w:tc>
          <w:tcPr>
            <w:tcW w:w="3862" w:type="dxa"/>
            <w:vAlign w:val="center"/>
          </w:tcPr>
          <w:p>
            <w:pPr>
              <w:pStyle w:val="10912"/>
              <w:spacing w:line="240" w:lineRule="auto"/>
              <w:ind w:firstLine="0"/>
              <w:rPr>
                <w:rFonts w:ascii="宋体" w:eastAsia="宋体" w:cs="宋体"/>
              </w:rPr>
            </w:pPr>
            <w:r>
              <w:rPr>
                <w:rFonts w:ascii="宋体" w:eastAsia="宋体" w:cs="宋体" w:hint="eastAsia"/>
              </w:rPr>
              <w:t>针对本项目所涉及GPU服务器，投标人提供服务器产品制造商对本项目出具的售后服务承诺函，明确承诺在质量保障期内提供原厂免费维保服务（含质量保障期内存储介质免回收服务，如出现存储介质故障判定分歧，以用户判断为准）</w:t>
            </w:r>
          </w:p>
        </w:tc>
        <w:tc>
          <w:tcPr>
            <w:tcW w:w="1685" w:type="dxa"/>
            <w:vAlign w:val="center"/>
          </w:tcPr>
          <w:p>
            <w:pPr>
              <w:jc w:val="left"/>
              <w:rPr>
                <w:rFonts w:ascii="宋体"/>
              </w:rPr>
            </w:pPr>
            <w:r>
              <w:rPr>
                <w:rFonts w:ascii="宋体" w:hint="eastAsia"/>
              </w:rPr>
              <w:t>是，投标人提供服务器产品制造商承诺函，并加盖制造商公章</w:t>
            </w:r>
          </w:p>
        </w:tc>
      </w:tr>
      <w:tr>
        <w:tblPrEx>
          <w:tblW w:w="8519" w:type="dxa"/>
          <w:jc w:val="left"/>
          <w:tblInd w:w="0" w:type="dxa"/>
          <w:tblLayout w:type="fixed"/>
          <w:tblCellMar>
            <w:top w:w="0" w:type="dxa"/>
            <w:left w:w="108" w:type="dxa"/>
            <w:bottom w:w="0" w:type="dxa"/>
            <w:right w:w="108" w:type="dxa"/>
          </w:tblCellMar>
        </w:tblPrEx>
        <w:trPr>
          <w:trHeight w:val="1866"/>
          <w:jc w:val="left"/>
        </w:trPr>
        <w:tc>
          <w:tcPr>
            <w:tcW w:w="808" w:type="dxa"/>
            <w:vAlign w:val="center"/>
          </w:tcPr>
          <w:p>
            <w:pPr>
              <w:jc w:val="center"/>
              <w:rPr>
                <w:rFonts w:ascii="宋体"/>
              </w:rPr>
            </w:pPr>
            <w:r>
              <w:rPr>
                <w:rFonts w:ascii="宋体" w:hint="eastAsia"/>
              </w:rPr>
              <w:t>6</w:t>
            </w:r>
          </w:p>
        </w:tc>
        <w:tc>
          <w:tcPr>
            <w:tcW w:w="1140" w:type="dxa"/>
            <w:vAlign w:val="center"/>
          </w:tcPr>
          <w:p>
            <w:pPr>
              <w:jc w:val="center"/>
            </w:pPr>
            <w:r>
              <w:rPr>
                <w:rFonts w:ascii="宋体" w:cs="宋体" w:hint="eastAsia"/>
                <w:sz w:val="24"/>
              </w:rPr>
              <w:t>团队及人员要求</w:t>
            </w:r>
          </w:p>
        </w:tc>
        <w:tc>
          <w:tcPr>
            <w:tcW w:w="1024" w:type="dxa"/>
            <w:vAlign w:val="center"/>
          </w:tcPr>
          <w:p>
            <w:pPr>
              <w:jc w:val="center"/>
              <w:rPr>
                <w:rFonts w:ascii="宋体"/>
              </w:rPr>
            </w:pPr>
            <w:r>
              <w:rPr>
                <w:rFonts w:ascii="宋体" w:cs="宋体" w:hint="eastAsia"/>
              </w:rPr>
              <w:t>▲</w:t>
            </w:r>
          </w:p>
        </w:tc>
        <w:tc>
          <w:tcPr>
            <w:tcW w:w="3862" w:type="dxa"/>
            <w:vAlign w:val="center"/>
          </w:tcPr>
          <w:p>
            <w:pPr>
              <w:rPr>
                <w:rFonts w:ascii="宋体" w:cs="宋体"/>
              </w:rPr>
            </w:pPr>
            <w:r>
              <w:rPr>
                <w:rFonts w:ascii="宋体" w:cs="宋体" w:hint="eastAsia"/>
              </w:rPr>
              <w:t>项目实施期间需提供具有项目开发和管理优势的人力资源，项目团队不少于15人，团队角色分工包括但不限于项目经理、系统架构、图形设计、需求分析、数据库、软件开发、测试、安全管理等。为团队配备项目经理1人（需取得人力资源和社会保障部及工业和信息化部</w:t>
            </w:r>
            <w:r>
              <w:rPr>
                <w:rFonts w:ascii="宋体" w:cs="宋体" w:hint="eastAsia"/>
                <w:lang w:val="en-US" w:eastAsia="zh-CN"/>
              </w:rPr>
              <w:t>及</w:t>
            </w:r>
            <w:r>
              <w:rPr>
                <w:rFonts w:ascii="宋体" w:cs="宋体" w:hint="eastAsia"/>
              </w:rPr>
              <w:t>颁发的信息系统项目管理师资格证书）；其他团队成员中不少于</w:t>
            </w:r>
            <w:r>
              <w:rPr>
                <w:rFonts w:ascii="宋体" w:cs="宋体" w:hint="eastAsia"/>
                <w:lang w:val="en-US" w:eastAsia="zh-CN"/>
              </w:rPr>
              <w:t>4</w:t>
            </w:r>
            <w:r>
              <w:rPr>
                <w:rFonts w:ascii="宋体" w:cs="宋体" w:hint="eastAsia"/>
              </w:rPr>
              <w:t>人具有以下证书之一：人力资源和社会保障部门</w:t>
            </w:r>
            <w:r>
              <w:rPr>
                <w:rFonts w:ascii="宋体" w:cs="宋体" w:hint="eastAsia"/>
                <w:lang w:val="en-US" w:eastAsia="zh-CN"/>
              </w:rPr>
              <w:t>及工业和信息化部</w:t>
            </w:r>
            <w:r>
              <w:rPr>
                <w:rFonts w:ascii="宋体" w:cs="宋体" w:hint="eastAsia"/>
              </w:rPr>
              <w:t>颁发的软件工程师、信息安全工程师、网络工程师、系统架构设计师（一个人有多种证书的，按一种计算；每种证书只计算一次，不重复计算）。</w:t>
            </w:r>
          </w:p>
          <w:p>
            <w:pPr>
              <w:rPr>
                <w:rFonts w:ascii="宋体" w:cs="宋体"/>
              </w:rPr>
            </w:pPr>
            <w:r>
              <w:rPr>
                <w:rFonts w:ascii="宋体" w:cs="宋体" w:hint="eastAsia"/>
                <w:sz w:val="24"/>
              </w:rPr>
              <w:t>需提供《团队人员方案》。</w:t>
            </w:r>
          </w:p>
        </w:tc>
        <w:tc>
          <w:tcPr>
            <w:tcW w:w="1685" w:type="dxa"/>
            <w:vAlign w:val="center"/>
          </w:tcPr>
          <w:p>
            <w:pPr>
              <w:rPr>
                <w:rFonts w:ascii="宋体" w:cs="宋体"/>
              </w:rPr>
            </w:pPr>
            <w:r>
              <w:rPr>
                <w:rFonts w:ascii="宋体" w:cs="宋体" w:hint="eastAsia"/>
              </w:rPr>
              <w:t>是，按要求提供《团队人员方案》，</w:t>
            </w:r>
            <w:r>
              <w:rPr>
                <w:rFonts w:ascii="宋体" w:cs="宋体" w:hint="eastAsia"/>
                <w:sz w:val="21"/>
              </w:rPr>
              <w:t>包括团队人员名单、项目履历、相关资质证书、在本项目中职责分工，并按人员提供距开标之日前6个月内任意一个月的社保证明等材料。</w:t>
            </w:r>
          </w:p>
        </w:tc>
      </w:tr>
      <w:tr>
        <w:tblPrEx>
          <w:tblW w:w="8519" w:type="dxa"/>
          <w:jc w:val="left"/>
          <w:tblInd w:w="0" w:type="dxa"/>
          <w:tblLayout w:type="fixed"/>
          <w:tblCellMar>
            <w:top w:w="0" w:type="dxa"/>
            <w:left w:w="108" w:type="dxa"/>
            <w:bottom w:w="0" w:type="dxa"/>
            <w:right w:w="108" w:type="dxa"/>
          </w:tblCellMar>
        </w:tblPrEx>
        <w:trPr>
          <w:trHeight w:val="533"/>
          <w:jc w:val="left"/>
        </w:trPr>
        <w:tc>
          <w:tcPr>
            <w:tcW w:w="808" w:type="dxa"/>
            <w:vAlign w:val="center"/>
          </w:tcPr>
          <w:p>
            <w:pPr>
              <w:jc w:val="center"/>
              <w:rPr>
                <w:rFonts w:ascii="宋体"/>
              </w:rPr>
            </w:pPr>
            <w:r>
              <w:rPr>
                <w:rFonts w:ascii="宋体" w:hint="eastAsia"/>
              </w:rPr>
              <w:t>7</w:t>
            </w:r>
          </w:p>
        </w:tc>
        <w:tc>
          <w:tcPr>
            <w:tcW w:w="1140" w:type="dxa"/>
            <w:vAlign w:val="center"/>
          </w:tcPr>
          <w:p>
            <w:pPr>
              <w:jc w:val="center"/>
              <w:rPr>
                <w:rFonts w:ascii="宋体"/>
              </w:rPr>
            </w:pPr>
            <w:r>
              <w:rPr>
                <w:rFonts w:ascii="宋体" w:hint="eastAsia"/>
              </w:rPr>
              <w:t>服务网络标准</w:t>
            </w:r>
          </w:p>
        </w:tc>
        <w:tc>
          <w:tcPr>
            <w:tcW w:w="1024" w:type="dxa"/>
            <w:vAlign w:val="center"/>
          </w:tcPr>
          <w:p>
            <w:pPr>
              <w:jc w:val="center"/>
              <w:rPr>
                <w:rFonts w:ascii="宋体"/>
                <w:sz w:val="28"/>
              </w:rPr>
            </w:pPr>
          </w:p>
        </w:tc>
        <w:tc>
          <w:tcPr>
            <w:tcW w:w="3862" w:type="dxa"/>
            <w:vAlign w:val="center"/>
          </w:tcPr>
          <w:p>
            <w:pPr>
              <w:rPr>
                <w:rFonts w:ascii="宋体"/>
              </w:rPr>
            </w:pPr>
            <w:r>
              <w:rPr>
                <w:rFonts w:ascii="宋体" w:cs="宋体" w:hint="eastAsia"/>
              </w:rPr>
              <w:t>无</w:t>
            </w:r>
          </w:p>
        </w:tc>
        <w:tc>
          <w:tcPr>
            <w:tcW w:w="1685" w:type="dxa"/>
            <w:vAlign w:val="center"/>
          </w:tcPr>
          <w:p>
            <w:pPr>
              <w:jc w:val="left"/>
              <w:rPr>
                <w:rFonts w:ascii="宋体"/>
              </w:rPr>
            </w:pPr>
            <w:r>
              <w:rPr>
                <w:rFonts w:asci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2472"/>
          <w:jc w:val="left"/>
        </w:trPr>
        <w:tc>
          <w:tcPr>
            <w:tcW w:w="808" w:type="dxa"/>
            <w:vAlign w:val="center"/>
          </w:tcPr>
          <w:p>
            <w:pPr>
              <w:jc w:val="center"/>
              <w:rPr>
                <w:rFonts w:ascii="宋体"/>
              </w:rPr>
            </w:pPr>
            <w:r>
              <w:rPr>
                <w:rFonts w:ascii="宋体" w:hint="eastAsia"/>
              </w:rPr>
              <w:t>8</w:t>
            </w:r>
          </w:p>
        </w:tc>
        <w:tc>
          <w:tcPr>
            <w:tcW w:w="1140" w:type="dxa"/>
            <w:vAlign w:val="center"/>
          </w:tcPr>
          <w:p>
            <w:pPr>
              <w:jc w:val="center"/>
              <w:rPr>
                <w:rFonts w:ascii="宋体"/>
              </w:rPr>
            </w:pPr>
            <w:r>
              <w:rPr>
                <w:rFonts w:ascii="宋体" w:hint="eastAsia"/>
              </w:rPr>
              <w:t>培训标准</w:t>
            </w:r>
          </w:p>
        </w:tc>
        <w:tc>
          <w:tcPr>
            <w:tcW w:w="1024" w:type="dxa"/>
            <w:vAlign w:val="center"/>
          </w:tcPr>
          <w:p>
            <w:pPr>
              <w:jc w:val="center"/>
              <w:rPr>
                <w:rFonts w:ascii="等线" w:eastAsia="等线" w:cs="Arial"/>
              </w:rPr>
            </w:pPr>
          </w:p>
        </w:tc>
        <w:tc>
          <w:tcPr>
            <w:tcW w:w="3862" w:type="dxa"/>
            <w:vAlign w:val="center"/>
          </w:tcPr>
          <w:p>
            <w:pPr>
              <w:ind w:firstLine="420" w:firstLineChars="200"/>
              <w:jc w:val="left"/>
              <w:rPr>
                <w:rFonts w:ascii="宋体" w:cs="宋体"/>
              </w:rPr>
            </w:pPr>
            <w:r>
              <w:rPr>
                <w:rFonts w:ascii="宋体" w:cs="宋体" w:hint="eastAsia"/>
              </w:rPr>
              <w:t>培训对象：</w:t>
            </w:r>
          </w:p>
          <w:p>
            <w:pPr>
              <w:ind w:firstLine="420" w:firstLineChars="200"/>
              <w:jc w:val="left"/>
              <w:rPr>
                <w:rFonts w:ascii="宋体" w:cs="宋体"/>
              </w:rPr>
            </w:pPr>
            <w:r>
              <w:rPr>
                <w:rFonts w:ascii="宋体" w:cs="宋体" w:hint="eastAsia"/>
              </w:rPr>
              <w:t>系统运行前期，提供详细的培训服务，包括操作人员培训和系统管理人员培训。</w:t>
            </w:r>
          </w:p>
          <w:p>
            <w:pPr>
              <w:ind w:firstLine="420" w:firstLineChars="200"/>
              <w:jc w:val="left"/>
              <w:rPr>
                <w:rFonts w:ascii="宋体" w:cs="宋体"/>
              </w:rPr>
            </w:pPr>
            <w:r>
              <w:rPr>
                <w:rFonts w:ascii="宋体" w:cs="宋体" w:hint="eastAsia"/>
              </w:rPr>
              <w:t>培训范围：</w:t>
            </w:r>
          </w:p>
          <w:p>
            <w:pPr>
              <w:ind w:firstLine="420" w:firstLineChars="200"/>
              <w:jc w:val="left"/>
              <w:rPr>
                <w:rFonts w:ascii="宋体" w:cs="宋体"/>
              </w:rPr>
            </w:pPr>
            <w:r>
              <w:rPr>
                <w:rFonts w:ascii="宋体" w:cs="宋体" w:hint="eastAsia"/>
              </w:rPr>
              <w:t>软件使用类培训：对系统的注册用户进行培训，保证最终用户对系统业务功能的使用；</w:t>
            </w:r>
          </w:p>
          <w:p>
            <w:pPr>
              <w:ind w:firstLine="420" w:firstLineChars="200"/>
              <w:jc w:val="left"/>
              <w:rPr>
                <w:rFonts w:ascii="宋体" w:cs="宋体"/>
              </w:rPr>
            </w:pPr>
            <w:r>
              <w:rPr>
                <w:rFonts w:ascii="宋体" w:cs="宋体" w:hint="eastAsia"/>
              </w:rPr>
              <w:t>培训形式：</w:t>
            </w:r>
          </w:p>
          <w:p>
            <w:pPr>
              <w:ind w:firstLine="420" w:firstLineChars="200"/>
              <w:jc w:val="left"/>
              <w:rPr>
                <w:rFonts w:ascii="宋体" w:cs="宋体"/>
              </w:rPr>
            </w:pPr>
            <w:r>
              <w:rPr>
                <w:rFonts w:ascii="宋体" w:cs="宋体" w:hint="eastAsia"/>
              </w:rPr>
              <w:t>单独培训：根据人员情况可进行单独培训。</w:t>
            </w:r>
          </w:p>
          <w:p>
            <w:pPr>
              <w:ind w:firstLine="420" w:firstLineChars="200"/>
              <w:jc w:val="left"/>
              <w:rPr>
                <w:rFonts w:ascii="宋体" w:cs="宋体"/>
              </w:rPr>
            </w:pPr>
            <w:r>
              <w:rPr>
                <w:rFonts w:ascii="宋体" w:cs="宋体" w:hint="eastAsia"/>
              </w:rPr>
              <w:t>集中培训：按采购人要求在指定场所、指定时间进行全员集中培训。</w:t>
            </w:r>
          </w:p>
          <w:p>
            <w:pPr>
              <w:ind w:firstLine="420" w:firstLineChars="200"/>
              <w:jc w:val="left"/>
              <w:rPr>
                <w:rFonts w:ascii="宋体" w:cs="宋体"/>
              </w:rPr>
            </w:pPr>
            <w:r>
              <w:rPr>
                <w:rFonts w:ascii="宋体" w:cs="宋体" w:hint="eastAsia"/>
              </w:rPr>
              <w:t>远程培训：通过多媒体设备、即时通讯软件等平台进行远程培训。</w:t>
            </w:r>
          </w:p>
          <w:p>
            <w:pPr>
              <w:ind w:firstLine="420" w:firstLineChars="200"/>
              <w:jc w:val="left"/>
              <w:rPr>
                <w:rFonts w:ascii="宋体" w:cs="宋体"/>
              </w:rPr>
            </w:pPr>
            <w:r>
              <w:rPr>
                <w:rFonts w:ascii="宋体" w:cs="宋体" w:hint="eastAsia"/>
              </w:rPr>
              <w:t>培训时间：</w:t>
            </w:r>
          </w:p>
          <w:p>
            <w:pPr>
              <w:ind w:firstLine="420" w:firstLineChars="200"/>
              <w:jc w:val="left"/>
            </w:pPr>
            <w:r>
              <w:rPr>
                <w:rFonts w:ascii="宋体" w:cs="宋体" w:hint="eastAsia"/>
              </w:rPr>
              <w:t>需提供不少于100人天的系统应用培训，具体培训时间由采购方与供应商协商而定。</w:t>
            </w:r>
          </w:p>
        </w:tc>
        <w:tc>
          <w:tcPr>
            <w:tcW w:w="1685" w:type="dxa"/>
            <w:vAlign w:val="center"/>
          </w:tcPr>
          <w:p>
            <w:pPr>
              <w:rPr>
                <w:rFonts w:ascii="宋体"/>
              </w:rPr>
            </w:pPr>
            <w:r>
              <w:rPr>
                <w:rFonts w:ascii="宋体" w:hint="eastAsia"/>
              </w:rPr>
              <w:t>否</w:t>
            </w:r>
          </w:p>
        </w:tc>
      </w:tr>
      <w:tr>
        <w:tblPrEx>
          <w:tblW w:w="8519" w:type="dxa"/>
          <w:jc w:val="left"/>
          <w:tblInd w:w="0" w:type="dxa"/>
          <w:tblLayout w:type="fixed"/>
          <w:tblCellMar>
            <w:top w:w="0" w:type="dxa"/>
            <w:left w:w="108" w:type="dxa"/>
            <w:bottom w:w="0" w:type="dxa"/>
            <w:right w:w="108" w:type="dxa"/>
          </w:tblCellMar>
        </w:tblPrEx>
        <w:trPr>
          <w:trHeight w:val="473"/>
          <w:jc w:val="left"/>
        </w:trPr>
        <w:tc>
          <w:tcPr>
            <w:tcW w:w="808" w:type="dxa"/>
            <w:vAlign w:val="center"/>
          </w:tcPr>
          <w:p>
            <w:pPr>
              <w:jc w:val="center"/>
              <w:rPr>
                <w:rFonts w:ascii="宋体"/>
              </w:rPr>
            </w:pPr>
            <w:r>
              <w:rPr>
                <w:rFonts w:ascii="宋体" w:hint="eastAsia"/>
              </w:rPr>
              <w:t>9</w:t>
            </w:r>
          </w:p>
        </w:tc>
        <w:tc>
          <w:tcPr>
            <w:tcW w:w="1140" w:type="dxa"/>
            <w:vAlign w:val="center"/>
          </w:tcPr>
          <w:p>
            <w:pPr>
              <w:jc w:val="center"/>
              <w:rPr>
                <w:rFonts w:ascii="宋体" w:eastAsia="Calibri" w:hAnsi="宋体" w:cs="宋体"/>
              </w:rPr>
            </w:pPr>
            <w:r>
              <w:rPr>
                <w:rFonts w:ascii="宋体" w:cs="宋体" w:hint="eastAsia"/>
                <w:sz w:val="24"/>
              </w:rPr>
              <w:t>集成标准</w:t>
            </w:r>
          </w:p>
        </w:tc>
        <w:tc>
          <w:tcPr>
            <w:tcW w:w="1024" w:type="dxa"/>
            <w:vAlign w:val="center"/>
          </w:tcPr>
          <w:p>
            <w:pPr>
              <w:ind w:firstLine="480"/>
              <w:jc w:val="center"/>
              <w:rPr>
                <w:rFonts w:ascii="宋体" w:eastAsia="Calibri" w:hAnsi="宋体" w:cs="宋体"/>
              </w:rPr>
            </w:pPr>
          </w:p>
        </w:tc>
        <w:tc>
          <w:tcPr>
            <w:tcW w:w="3862" w:type="dxa"/>
            <w:vAlign w:val="center"/>
          </w:tcPr>
          <w:p>
            <w:pPr>
              <w:ind w:firstLine="420" w:firstLineChars="200"/>
              <w:jc w:val="left"/>
              <w:rPr>
                <w:rFonts w:ascii="宋体" w:eastAsia="宋体" w:cs="宋体" w:hint="eastAsia"/>
                <w:sz w:val="21"/>
                <w:szCs w:val="22"/>
              </w:rPr>
            </w:pPr>
            <w:r>
              <w:rPr>
                <w:rFonts w:ascii="宋体" w:cs="宋体" w:hint="eastAsia"/>
                <w:sz w:val="21"/>
              </w:rPr>
              <w:t>该项目需要按照集成需求，符合公安部关于PKI、移动警务及视频应用等相关标准、规范开展。</w:t>
            </w:r>
          </w:p>
        </w:tc>
        <w:tc>
          <w:tcPr>
            <w:tcW w:w="1685" w:type="dxa"/>
            <w:vAlign w:val="center"/>
          </w:tcPr>
          <w:p>
            <w:pPr>
              <w:ind w:firstLine="420" w:firstLineChars="200"/>
              <w:jc w:val="left"/>
              <w:rPr>
                <w:rFonts w:ascii="宋体" w:eastAsia="宋体" w:cs="宋体" w:hint="eastAsia"/>
                <w:sz w:val="21"/>
                <w:szCs w:val="22"/>
              </w:rPr>
            </w:pPr>
            <w:r>
              <w:rPr>
                <w:rFonts w:ascii="宋体" w:cs="宋体" w:hint="eastAsia"/>
                <w:color w:val="auto"/>
                <w:sz w:val="21"/>
              </w:rPr>
              <w:t>否</w:t>
            </w:r>
          </w:p>
        </w:tc>
      </w:tr>
      <w:tr>
        <w:tblPrEx>
          <w:tblW w:w="8519" w:type="dxa"/>
          <w:jc w:val="left"/>
          <w:tblInd w:w="0" w:type="dxa"/>
          <w:tblLayout w:type="fixed"/>
          <w:tblCellMar>
            <w:top w:w="0" w:type="dxa"/>
            <w:left w:w="108" w:type="dxa"/>
            <w:bottom w:w="0" w:type="dxa"/>
            <w:right w:w="108" w:type="dxa"/>
          </w:tblCellMar>
        </w:tblPrEx>
        <w:trPr>
          <w:trHeight w:val="473"/>
          <w:jc w:val="left"/>
        </w:trPr>
        <w:tc>
          <w:tcPr>
            <w:tcW w:w="808" w:type="dxa"/>
            <w:vAlign w:val="center"/>
          </w:tcPr>
          <w:p>
            <w:pPr>
              <w:jc w:val="center"/>
              <w:rPr>
                <w:rFonts w:ascii="宋体"/>
              </w:rPr>
            </w:pPr>
            <w:r>
              <w:rPr>
                <w:rFonts w:ascii="宋体" w:hint="eastAsia"/>
              </w:rPr>
              <w:t>10</w:t>
            </w:r>
          </w:p>
        </w:tc>
        <w:tc>
          <w:tcPr>
            <w:tcW w:w="1140" w:type="dxa"/>
            <w:vAlign w:val="center"/>
          </w:tcPr>
          <w:p>
            <w:pPr>
              <w:jc w:val="center"/>
              <w:rPr>
                <w:rFonts w:ascii="宋体"/>
              </w:rPr>
            </w:pPr>
            <w:r>
              <w:rPr>
                <w:rFonts w:ascii="宋体" w:hint="eastAsia"/>
              </w:rPr>
              <w:t>其他要求</w:t>
            </w:r>
          </w:p>
        </w:tc>
        <w:tc>
          <w:tcPr>
            <w:tcW w:w="1024" w:type="dxa"/>
            <w:vAlign w:val="center"/>
          </w:tcPr>
          <w:p>
            <w:pPr>
              <w:jc w:val="center"/>
              <w:rPr>
                <w:rFonts w:ascii="等线" w:eastAsia="等线" w:cs="宋体"/>
              </w:rPr>
            </w:pPr>
            <w:r>
              <w:rPr>
                <w:rFonts w:ascii="等线" w:eastAsia="等线" w:cs="宋体" w:hint="eastAsia"/>
              </w:rPr>
              <w:t>★</w:t>
            </w:r>
          </w:p>
        </w:tc>
        <w:tc>
          <w:tcPr>
            <w:tcW w:w="3862" w:type="dxa"/>
            <w:vAlign w:val="center"/>
          </w:tcPr>
          <w:p>
            <w:pPr>
              <w:ind w:firstLine="420" w:firstLineChars="200"/>
              <w:rPr>
                <w:rFonts w:ascii="宋体"/>
              </w:rPr>
            </w:pPr>
            <w:r>
              <w:rPr>
                <w:rFonts w:ascii="宋体" w:hint="eastAsia"/>
              </w:rPr>
              <w:t>项目实施建设过程中如涉及操作系统、中间件、数据库等基础软件，若采购人现网运行环境中无投标人开发使用的基础软件授权，则需由投标人按要求提供操作系统、数据库、中间件部署，且相关软件使用权许可归采购人所有。操作系统技术指标需满足财库《操作系统政府采购需求标准（</w:t>
            </w:r>
            <w:r>
              <w:rPr>
                <w:rFonts w:ascii="宋体"/>
              </w:rPr>
              <w:t>2023</w:t>
            </w:r>
            <w:r>
              <w:rPr>
                <w:rFonts w:ascii="宋体" w:hint="eastAsia"/>
              </w:rPr>
              <w:t>年版）》中的星标项“</w:t>
            </w:r>
            <w:r>
              <w:rPr>
                <w:rFonts w:ascii="宋体"/>
              </w:rPr>
              <w:t>*”</w:t>
            </w:r>
            <w:r>
              <w:rPr>
                <w:rFonts w:ascii="宋体" w:hint="eastAsia"/>
              </w:rPr>
              <w:t>指标。数据库技术指标需满足财库《数据库政府采购需求标准（</w:t>
            </w:r>
            <w:r>
              <w:rPr>
                <w:rFonts w:ascii="宋体"/>
              </w:rPr>
              <w:t>2023</w:t>
            </w:r>
            <w:r>
              <w:rPr>
                <w:rFonts w:ascii="宋体" w:hint="eastAsia"/>
              </w:rPr>
              <w:t>年版）》中的星标项“*”指标。</w:t>
            </w:r>
          </w:p>
        </w:tc>
        <w:tc>
          <w:tcPr>
            <w:tcW w:w="1685" w:type="dxa"/>
            <w:vAlign w:val="center"/>
          </w:tcPr>
          <w:p>
            <w:pPr>
              <w:rPr>
                <w:rFonts w:ascii="宋体"/>
              </w:rPr>
            </w:pPr>
            <w:r>
              <w:rPr>
                <w:rFonts w:ascii="宋体" w:hint="eastAsia"/>
              </w:rPr>
              <w:t>是，投标人提供承诺函并加盖投标人公章</w:t>
            </w:r>
          </w:p>
        </w:tc>
      </w:tr>
    </w:tbl>
    <w:p>
      <w:pPr>
        <w:pStyle w:val="Heading2"/>
        <w:numPr>
          <w:ilvl w:val="0"/>
          <w:numId w:val="2"/>
        </w:numPr>
        <w:rPr>
          <w:rFonts w:ascii="宋体" w:hint="eastAsia"/>
        </w:rPr>
      </w:pPr>
      <w:bookmarkStart w:id="57" w:name="实施方案"/>
      <w:r>
        <w:rPr>
          <w:rFonts w:ascii="宋体" w:hint="eastAsia"/>
        </w:rPr>
        <w:t>实施</w:t>
      </w:r>
      <w:bookmarkEnd w:id="57"/>
      <w:r>
        <w:rPr>
          <w:rFonts w:ascii="宋体"/>
        </w:rPr>
        <w:t>要求</w:t>
      </w:r>
    </w:p>
    <w:p>
      <w:pPr>
        <w:rPr>
          <w:rFonts w:ascii="宋体"/>
        </w:rPr>
      </w:pPr>
      <w:r>
        <w:rPr>
          <w:rFonts w:ascii="宋体" w:hint="eastAsia"/>
        </w:rPr>
        <w:t>①★代表实质性指标，不满足该指标项将导致投标被拒绝；加 “▲”标记表示为重要指标项，无标识则表示一般指标项，如不满足将影响评分。</w:t>
      </w:r>
    </w:p>
    <w:p>
      <w:pPr>
        <w:rPr>
          <w:rFonts w:ascii="宋体"/>
        </w:rPr>
      </w:pPr>
      <w:r>
        <w:rPr>
          <w:rFonts w:ascii="宋体" w:hint="eastAsia"/>
        </w:rPr>
        <w:t>②“证明材料要求”项可填“是”和“否”。填“是”的，投标人须按“</w:t>
      </w:r>
      <w:r>
        <w:rPr>
          <w:rFonts w:ascii="宋体"/>
        </w:rPr>
        <w:t>实施</w:t>
      </w:r>
      <w:r>
        <w:rPr>
          <w:rFonts w:ascii="宋体"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jc w:val="center"/>
              <w:rPr>
                <w:rFonts w:ascii="宋体"/>
              </w:rPr>
            </w:pPr>
            <w:r>
              <w:rPr>
                <w:rFonts w:ascii="宋体" w:hint="eastAsia"/>
              </w:rPr>
              <w:t>序号</w:t>
            </w:r>
          </w:p>
        </w:tc>
        <w:tc>
          <w:tcPr>
            <w:tcW w:w="1140" w:type="dxa"/>
          </w:tcPr>
          <w:p>
            <w:pPr>
              <w:jc w:val="center"/>
              <w:rPr>
                <w:rFonts w:ascii="宋体"/>
              </w:rPr>
            </w:pPr>
            <w:r>
              <w:rPr>
                <w:rFonts w:ascii="宋体" w:hint="eastAsia"/>
              </w:rPr>
              <w:t>内容</w:t>
            </w:r>
          </w:p>
        </w:tc>
        <w:tc>
          <w:tcPr>
            <w:tcW w:w="1196" w:type="dxa"/>
          </w:tcPr>
          <w:p>
            <w:pPr>
              <w:jc w:val="center"/>
              <w:rPr>
                <w:rFonts w:ascii="宋体"/>
              </w:rPr>
            </w:pPr>
            <w:r>
              <w:rPr>
                <w:rFonts w:ascii="宋体" w:hint="eastAsia"/>
              </w:rPr>
              <w:t>重要性</w:t>
            </w:r>
          </w:p>
        </w:tc>
        <w:tc>
          <w:tcPr>
            <w:tcW w:w="3690" w:type="dxa"/>
          </w:tcPr>
          <w:p>
            <w:pPr>
              <w:jc w:val="center"/>
              <w:rPr>
                <w:rFonts w:ascii="宋体"/>
              </w:rPr>
            </w:pPr>
            <w:bookmarkStart w:id="58" w:name="实施方案_Title_实施标准_Required_Table"/>
            <w:r>
              <w:rPr>
                <w:rFonts w:ascii="宋体" w:hint="eastAsia"/>
              </w:rPr>
              <w:t>实施标准</w:t>
            </w:r>
            <w:bookmarkEnd w:id="58"/>
          </w:p>
        </w:tc>
        <w:tc>
          <w:tcPr>
            <w:tcW w:w="1685" w:type="dxa"/>
          </w:tcPr>
          <w:p>
            <w:pPr>
              <w:jc w:val="center"/>
              <w:rPr>
                <w:rFonts w:ascii="宋体"/>
              </w:rPr>
            </w:pPr>
            <w:bookmarkStart w:id="59" w:name="实施方案_Title_证明材料要求_Required_Table"/>
            <w:r>
              <w:rPr>
                <w:rFonts w:ascii="宋体" w:hint="eastAsia"/>
              </w:rPr>
              <w:t>证明材料要求</w:t>
            </w:r>
            <w:bookmarkEnd w:id="59"/>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r>
              <w:rPr>
                <w:rFonts w:ascii="宋体" w:hint="eastAsia"/>
              </w:rPr>
              <w:t>1</w:t>
            </w:r>
          </w:p>
        </w:tc>
        <w:tc>
          <w:tcPr>
            <w:tcW w:w="1140" w:type="dxa"/>
            <w:vAlign w:val="center"/>
          </w:tcPr>
          <w:p>
            <w:pPr>
              <w:jc w:val="center"/>
              <w:rPr>
                <w:rFonts w:ascii="宋体"/>
              </w:rPr>
            </w:pPr>
            <w:r>
              <w:rPr>
                <w:rFonts w:ascii="宋体" w:hint="eastAsia"/>
              </w:rPr>
              <w:t>项目实施过程控制</w:t>
            </w:r>
          </w:p>
        </w:tc>
        <w:tc>
          <w:tcPr>
            <w:tcW w:w="1196" w:type="dxa"/>
            <w:vAlign w:val="center"/>
          </w:tcPr>
          <w:p>
            <w:pPr>
              <w:jc w:val="center"/>
              <w:rPr>
                <w:rFonts w:ascii="宋体"/>
              </w:rPr>
            </w:pPr>
          </w:p>
        </w:tc>
        <w:tc>
          <w:tcPr>
            <w:tcW w:w="3690" w:type="dxa"/>
            <w:vAlign w:val="center"/>
          </w:tcPr>
          <w:p>
            <w:pPr>
              <w:widowControl/>
              <w:jc w:val="left"/>
              <w:textAlignment w:val="center"/>
              <w:rPr>
                <w:rFonts w:ascii="宋体" w:cs="宋体"/>
                <w:color w:val="000000"/>
                <w:kern w:val="0"/>
              </w:rPr>
            </w:pPr>
            <w:r>
              <w:rPr>
                <w:rFonts w:ascii="宋体" w:cs="宋体" w:hint="eastAsia"/>
                <w:color w:val="000000"/>
                <w:kern w:val="0"/>
                <w:sz w:val="24"/>
              </w:rPr>
              <w:t>（1）根据工程进展及时向工程实施单位报送工程文档、项目问题、风险；对不符合进度的事项有问题及时报告、及时请示。</w:t>
            </w:r>
          </w:p>
          <w:p>
            <w:pPr>
              <w:widowControl/>
              <w:jc w:val="left"/>
              <w:textAlignment w:val="center"/>
              <w:rPr>
                <w:rFonts w:ascii="宋体" w:cs="宋体"/>
                <w:color w:val="000000"/>
                <w:kern w:val="0"/>
              </w:rPr>
            </w:pPr>
            <w:r>
              <w:rPr>
                <w:rFonts w:ascii="宋体" w:cs="宋体" w:hint="eastAsia"/>
                <w:color w:val="000000"/>
                <w:kern w:val="0"/>
                <w:sz w:val="24"/>
              </w:rPr>
              <w:t>（2）定期将工程实际进度和资源投入（人力、设备材料、工具）情况报送工程实施单位。</w:t>
            </w:r>
          </w:p>
          <w:p>
            <w:pPr>
              <w:widowControl/>
              <w:jc w:val="left"/>
              <w:textAlignment w:val="center"/>
              <w:rPr>
                <w:rFonts w:ascii="宋体" w:cs="宋体"/>
                <w:color w:val="000000"/>
                <w:kern w:val="0"/>
              </w:rPr>
            </w:pPr>
            <w:r>
              <w:rPr>
                <w:rFonts w:ascii="宋体" w:cs="宋体" w:hint="eastAsia"/>
                <w:color w:val="000000"/>
                <w:kern w:val="0"/>
                <w:sz w:val="24"/>
              </w:rPr>
              <w:t>（3）所有设计文档必须通过采购人的评审。</w:t>
            </w:r>
          </w:p>
          <w:p>
            <w:pPr>
              <w:widowControl/>
              <w:jc w:val="left"/>
              <w:textAlignment w:val="center"/>
              <w:rPr>
                <w:rFonts w:ascii="宋体" w:cs="宋体"/>
                <w:color w:val="000000"/>
                <w:kern w:val="0"/>
              </w:rPr>
            </w:pPr>
            <w:r>
              <w:rPr>
                <w:rFonts w:ascii="宋体" w:cs="宋体" w:hint="eastAsia"/>
                <w:color w:val="000000"/>
                <w:kern w:val="0"/>
                <w:sz w:val="24"/>
              </w:rPr>
              <w:t>（4）系统开发须满足《应用项目工程建设技术规范说明书》的要求。</w:t>
            </w:r>
          </w:p>
          <w:p>
            <w:pPr>
              <w:widowControl/>
              <w:jc w:val="left"/>
              <w:textAlignment w:val="center"/>
              <w:rPr>
                <w:rFonts w:ascii="宋体" w:cs="宋体"/>
                <w:color w:val="000000"/>
                <w:kern w:val="0"/>
              </w:rPr>
            </w:pPr>
            <w:r>
              <w:rPr>
                <w:rFonts w:ascii="宋体" w:cs="宋体" w:hint="eastAsia"/>
                <w:color w:val="000000"/>
                <w:kern w:val="0"/>
                <w:sz w:val="24"/>
              </w:rPr>
              <w:t>（5）系统严格遵循海关有关技术规范及技术要求。</w:t>
            </w:r>
          </w:p>
          <w:p>
            <w:pPr>
              <w:widowControl/>
              <w:jc w:val="left"/>
              <w:textAlignment w:val="center"/>
              <w:rPr>
                <w:rFonts w:ascii="宋体" w:cs="宋体"/>
                <w:color w:val="000000"/>
                <w:kern w:val="0"/>
              </w:rPr>
            </w:pPr>
            <w:r>
              <w:rPr>
                <w:rFonts w:ascii="宋体" w:cs="宋体" w:hint="eastAsia"/>
                <w:color w:val="000000"/>
                <w:kern w:val="0"/>
                <w:sz w:val="24"/>
              </w:rPr>
              <w:t>（6）项目实施过程严格遵循海关有关规程及规定。</w:t>
            </w:r>
          </w:p>
          <w:p>
            <w:pPr>
              <w:ind w:firstLine="0"/>
              <w:rPr>
                <w:rFonts w:ascii="宋体"/>
                <w:szCs w:val="21"/>
              </w:rPr>
            </w:pPr>
            <w:r>
              <w:rPr>
                <w:rFonts w:ascii="宋体" w:cs="宋体" w:hint="eastAsia"/>
                <w:color w:val="000000"/>
                <w:kern w:val="0"/>
                <w:sz w:val="24"/>
              </w:rPr>
              <w:t>（7）需接受建设单位聘请的总集成单位、监理单位的集成管理和监理工作。投标人提供兼职或专职的档案管理人员，配合完成档案的收集、整理、组卷、归档等工作，直至项目通过竣工验收。</w:t>
            </w:r>
          </w:p>
        </w:tc>
        <w:tc>
          <w:tcPr>
            <w:tcW w:w="1685" w:type="dxa"/>
            <w:vAlign w:val="center"/>
          </w:tcPr>
          <w:p>
            <w:pPr>
              <w:jc w:val="center"/>
              <w:rPr>
                <w:rFonts w:ascii="宋体"/>
              </w:rPr>
            </w:pPr>
            <w:r>
              <w:rPr>
                <w:rFonts w:ascii="宋体" w:hint="eastAsia"/>
                <w:szCs w:val="21"/>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r>
              <w:rPr>
                <w:rFonts w:ascii="宋体" w:hint="eastAsia"/>
              </w:rPr>
              <w:t>2</w:t>
            </w:r>
          </w:p>
        </w:tc>
        <w:tc>
          <w:tcPr>
            <w:tcW w:w="1140" w:type="dxa"/>
            <w:vAlign w:val="center"/>
          </w:tcPr>
          <w:p>
            <w:pPr>
              <w:jc w:val="center"/>
              <w:rPr>
                <w:rFonts w:ascii="宋体"/>
              </w:rPr>
            </w:pPr>
            <w:r>
              <w:rPr>
                <w:rFonts w:ascii="宋体" w:hint="eastAsia"/>
              </w:rPr>
              <w:t>项目实施过程文档管理</w:t>
            </w:r>
          </w:p>
        </w:tc>
        <w:tc>
          <w:tcPr>
            <w:tcW w:w="1196" w:type="dxa"/>
            <w:vAlign w:val="center"/>
          </w:tcPr>
          <w:p>
            <w:pPr>
              <w:jc w:val="center"/>
              <w:rPr>
                <w:rFonts w:ascii="宋体"/>
              </w:rPr>
            </w:pPr>
          </w:p>
        </w:tc>
        <w:tc>
          <w:tcPr>
            <w:tcW w:w="3690" w:type="dxa"/>
            <w:vAlign w:val="center"/>
          </w:tcPr>
          <w:p>
            <w:pPr>
              <w:ind w:firstLine="420" w:firstLineChars="200"/>
              <w:rPr>
                <w:rFonts w:ascii="宋体"/>
                <w:szCs w:val="21"/>
              </w:rPr>
            </w:pPr>
            <w:r>
              <w:rPr>
                <w:rFonts w:ascii="宋体" w:hint="eastAsia"/>
                <w:szCs w:val="21"/>
              </w:rPr>
              <w:t>投标人须提供相关文档，文档内容需符合采购人相应的管理要求，并通过采购人的评审或确认。</w:t>
            </w:r>
          </w:p>
        </w:tc>
        <w:tc>
          <w:tcPr>
            <w:tcW w:w="1685" w:type="dxa"/>
            <w:vAlign w:val="center"/>
          </w:tcPr>
          <w:p>
            <w:pPr>
              <w:jc w:val="center"/>
              <w:rPr>
                <w:rFonts w:ascii="宋体"/>
              </w:rPr>
            </w:pPr>
            <w:r>
              <w:rPr>
                <w:rFonts w:ascii="宋体" w:hint="eastAsia"/>
                <w:szCs w:val="21"/>
              </w:rPr>
              <w:t>否</w:t>
            </w:r>
          </w:p>
        </w:tc>
      </w:tr>
      <w:tr>
        <w:tblPrEx>
          <w:tblW w:w="8519" w:type="dxa"/>
          <w:jc w:val="left"/>
          <w:tblInd w:w="0" w:type="dxa"/>
          <w:tblLayout w:type="fixed"/>
          <w:tblCellMar>
            <w:top w:w="0" w:type="dxa"/>
            <w:left w:w="108" w:type="dxa"/>
            <w:bottom w:w="0" w:type="dxa"/>
            <w:right w:w="108" w:type="dxa"/>
          </w:tblCellMar>
        </w:tblPrEx>
        <w:trPr>
          <w:trHeight w:val="490"/>
          <w:jc w:val="left"/>
        </w:trPr>
        <w:tc>
          <w:tcPr>
            <w:tcW w:w="808" w:type="dxa"/>
            <w:vAlign w:val="center"/>
          </w:tcPr>
          <w:p>
            <w:pPr>
              <w:jc w:val="center"/>
              <w:rPr>
                <w:rFonts w:ascii="宋体"/>
              </w:rPr>
            </w:pPr>
            <w:r>
              <w:rPr>
                <w:rFonts w:ascii="宋体" w:hint="eastAsia"/>
              </w:rPr>
              <w:t>3</w:t>
            </w:r>
          </w:p>
        </w:tc>
        <w:tc>
          <w:tcPr>
            <w:tcW w:w="1140" w:type="dxa"/>
            <w:vAlign w:val="center"/>
          </w:tcPr>
          <w:p>
            <w:pPr>
              <w:jc w:val="center"/>
              <w:rPr>
                <w:rFonts w:ascii="宋体"/>
              </w:rPr>
            </w:pPr>
            <w:r>
              <w:rPr>
                <w:rFonts w:ascii="宋体" w:hint="eastAsia"/>
              </w:rPr>
              <w:t>项目实施进度安排</w:t>
            </w:r>
          </w:p>
        </w:tc>
        <w:tc>
          <w:tcPr>
            <w:tcW w:w="1196" w:type="dxa"/>
            <w:vAlign w:val="center"/>
          </w:tcPr>
          <w:p>
            <w:pPr>
              <w:jc w:val="center"/>
              <w:rPr>
                <w:rFonts w:ascii="宋体"/>
              </w:rPr>
            </w:pPr>
            <w:r>
              <w:rPr>
                <w:rFonts w:ascii="等线" w:eastAsia="等线" w:cs="宋体" w:hint="eastAsia"/>
                <w:bCs/>
                <w:color w:val="000000"/>
                <w:lang w:bidi="en-US"/>
              </w:rPr>
              <w:t>★</w:t>
            </w:r>
          </w:p>
        </w:tc>
        <w:tc>
          <w:tcPr>
            <w:tcW w:w="3690" w:type="dxa"/>
            <w:vAlign w:val="center"/>
          </w:tcPr>
          <w:p>
            <w:pPr>
              <w:ind w:firstLine="420" w:firstLineChars="200"/>
              <w:rPr>
                <w:rFonts w:ascii="宋体"/>
                <w:szCs w:val="21"/>
              </w:rPr>
            </w:pPr>
            <w:r>
              <w:rPr>
                <w:rFonts w:ascii="宋体" w:hint="eastAsia"/>
                <w:szCs w:val="21"/>
              </w:rPr>
              <w:t>系统总体建设周期为6</w:t>
            </w:r>
            <w:r>
              <w:rPr>
                <w:rFonts w:ascii="宋体"/>
                <w:szCs w:val="21"/>
              </w:rPr>
              <w:t>个月，项目各阶段工作安排如下</w:t>
            </w:r>
            <w:r>
              <w:rPr>
                <w:rFonts w:ascii="宋体" w:hint="eastAsia"/>
                <w:szCs w:val="21"/>
              </w:rPr>
              <w:t>：</w:t>
            </w:r>
          </w:p>
          <w:p>
            <w:pPr>
              <w:ind w:firstLine="420" w:firstLineChars="200"/>
              <w:rPr>
                <w:rFonts w:ascii="宋体"/>
                <w:szCs w:val="21"/>
              </w:rPr>
            </w:pPr>
            <w:r>
              <w:rPr>
                <w:rFonts w:ascii="宋体" w:hint="eastAsia"/>
                <w:szCs w:val="21"/>
              </w:rPr>
              <w:t>需求分析：</w:t>
            </w:r>
            <w:r>
              <w:rPr>
                <w:rFonts w:ascii="宋体"/>
                <w:szCs w:val="21"/>
              </w:rPr>
              <w:t>工期1月</w:t>
            </w:r>
            <w:r>
              <w:rPr>
                <w:rFonts w:ascii="宋体" w:hint="eastAsia"/>
                <w:szCs w:val="21"/>
              </w:rPr>
              <w:t>,项目启动</w:t>
            </w:r>
            <w:r>
              <w:rPr>
                <w:rFonts w:ascii="宋体"/>
                <w:szCs w:val="21"/>
              </w:rPr>
              <w:t>后1</w:t>
            </w:r>
            <w:r>
              <w:rPr>
                <w:rFonts w:ascii="宋体" w:hint="eastAsia"/>
                <w:szCs w:val="21"/>
              </w:rPr>
              <w:t>个</w:t>
            </w:r>
            <w:r>
              <w:rPr>
                <w:rFonts w:ascii="宋体"/>
                <w:szCs w:val="21"/>
              </w:rPr>
              <w:t>月完成</w:t>
            </w:r>
            <w:r>
              <w:rPr>
                <w:rFonts w:ascii="宋体" w:hint="eastAsia"/>
                <w:szCs w:val="21"/>
              </w:rPr>
              <w:t>。</w:t>
            </w:r>
          </w:p>
          <w:p>
            <w:pPr>
              <w:ind w:firstLine="420" w:firstLineChars="200"/>
              <w:rPr>
                <w:rFonts w:ascii="宋体"/>
                <w:szCs w:val="21"/>
              </w:rPr>
            </w:pPr>
            <w:r>
              <w:rPr>
                <w:rFonts w:ascii="宋体" w:hint="eastAsia"/>
                <w:szCs w:val="21"/>
              </w:rPr>
              <w:t>系统设计：</w:t>
            </w:r>
            <w:r>
              <w:rPr>
                <w:rFonts w:ascii="宋体"/>
                <w:szCs w:val="21"/>
              </w:rPr>
              <w:t>工期1月</w:t>
            </w:r>
            <w:r>
              <w:rPr>
                <w:rFonts w:ascii="宋体" w:hint="eastAsia"/>
                <w:szCs w:val="21"/>
              </w:rPr>
              <w:t>,需分析完成后</w:t>
            </w:r>
            <w:r>
              <w:rPr>
                <w:rFonts w:ascii="宋体"/>
                <w:szCs w:val="21"/>
              </w:rPr>
              <w:t>1</w:t>
            </w:r>
            <w:r>
              <w:rPr>
                <w:rFonts w:ascii="宋体" w:hint="eastAsia"/>
                <w:szCs w:val="21"/>
              </w:rPr>
              <w:t>个</w:t>
            </w:r>
            <w:r>
              <w:rPr>
                <w:rFonts w:ascii="宋体"/>
                <w:szCs w:val="21"/>
              </w:rPr>
              <w:t>月完成</w:t>
            </w:r>
            <w:r>
              <w:rPr>
                <w:rFonts w:ascii="宋体" w:hint="eastAsia"/>
                <w:szCs w:val="21"/>
              </w:rPr>
              <w:t>。</w:t>
            </w:r>
          </w:p>
          <w:p>
            <w:pPr>
              <w:ind w:firstLine="420" w:firstLineChars="200"/>
              <w:rPr>
                <w:rFonts w:ascii="宋体"/>
                <w:szCs w:val="21"/>
              </w:rPr>
            </w:pPr>
            <w:r>
              <w:rPr>
                <w:rFonts w:ascii="宋体" w:hint="eastAsia"/>
                <w:szCs w:val="21"/>
              </w:rPr>
              <w:t>开发测试：</w:t>
            </w:r>
            <w:r>
              <w:rPr>
                <w:rFonts w:ascii="宋体"/>
                <w:szCs w:val="21"/>
              </w:rPr>
              <w:t>工期</w:t>
            </w:r>
            <w:r>
              <w:rPr>
                <w:rFonts w:ascii="宋体" w:hint="eastAsia"/>
                <w:szCs w:val="21"/>
              </w:rPr>
              <w:t>3</w:t>
            </w:r>
            <w:r>
              <w:rPr>
                <w:rFonts w:ascii="宋体"/>
                <w:szCs w:val="21"/>
              </w:rPr>
              <w:t>个月</w:t>
            </w:r>
            <w:r>
              <w:rPr>
                <w:rFonts w:ascii="宋体" w:hint="eastAsia"/>
                <w:szCs w:val="21"/>
              </w:rPr>
              <w:t>，项目启动</w:t>
            </w:r>
            <w:r>
              <w:rPr>
                <w:rFonts w:ascii="宋体"/>
                <w:szCs w:val="21"/>
              </w:rPr>
              <w:t>后</w:t>
            </w:r>
            <w:r>
              <w:rPr>
                <w:rFonts w:ascii="宋体" w:hint="eastAsia"/>
                <w:szCs w:val="21"/>
              </w:rPr>
              <w:t>4</w:t>
            </w:r>
            <w:r>
              <w:rPr>
                <w:rFonts w:ascii="宋体"/>
                <w:szCs w:val="21"/>
              </w:rPr>
              <w:t>个月完成</w:t>
            </w:r>
            <w:r>
              <w:rPr>
                <w:rFonts w:ascii="宋体" w:hint="eastAsia"/>
                <w:szCs w:val="21"/>
              </w:rPr>
              <w:t>。</w:t>
            </w:r>
          </w:p>
          <w:p>
            <w:pPr>
              <w:ind w:firstLine="420" w:firstLineChars="200"/>
              <w:rPr>
                <w:rFonts w:ascii="宋体"/>
                <w:szCs w:val="21"/>
              </w:rPr>
            </w:pPr>
            <w:r>
              <w:rPr>
                <w:rFonts w:ascii="宋体" w:hint="eastAsia"/>
                <w:szCs w:val="21"/>
              </w:rPr>
              <w:t>联调测试及部署上线：</w:t>
            </w:r>
            <w:r>
              <w:rPr>
                <w:rFonts w:ascii="宋体"/>
                <w:szCs w:val="21"/>
              </w:rPr>
              <w:t>工期</w:t>
            </w:r>
            <w:r>
              <w:rPr>
                <w:rFonts w:ascii="宋体" w:hint="eastAsia"/>
                <w:szCs w:val="21"/>
              </w:rPr>
              <w:t>1</w:t>
            </w:r>
            <w:r>
              <w:rPr>
                <w:rFonts w:ascii="宋体"/>
                <w:szCs w:val="21"/>
              </w:rPr>
              <w:t>个月，</w:t>
            </w:r>
            <w:r>
              <w:rPr>
                <w:rFonts w:ascii="宋体" w:hint="eastAsia"/>
                <w:szCs w:val="21"/>
              </w:rPr>
              <w:t>项目启动</w:t>
            </w:r>
            <w:r>
              <w:rPr>
                <w:rFonts w:ascii="宋体"/>
                <w:szCs w:val="21"/>
              </w:rPr>
              <w:t>后</w:t>
            </w:r>
            <w:r>
              <w:rPr>
                <w:rFonts w:ascii="宋体" w:hint="eastAsia"/>
                <w:szCs w:val="21"/>
              </w:rPr>
              <w:t>6</w:t>
            </w:r>
            <w:r>
              <w:rPr>
                <w:rFonts w:ascii="宋体"/>
                <w:szCs w:val="21"/>
              </w:rPr>
              <w:t>个月</w:t>
            </w:r>
            <w:r>
              <w:rPr>
                <w:rFonts w:ascii="宋体" w:hint="eastAsia"/>
                <w:szCs w:val="21"/>
              </w:rPr>
              <w:t>内</w:t>
            </w:r>
            <w:r>
              <w:rPr>
                <w:rFonts w:ascii="宋体"/>
                <w:szCs w:val="21"/>
              </w:rPr>
              <w:t>完成</w:t>
            </w:r>
            <w:r>
              <w:rPr>
                <w:rFonts w:ascii="宋体" w:hint="eastAsia"/>
                <w:szCs w:val="21"/>
              </w:rPr>
              <w:t>。</w:t>
            </w:r>
          </w:p>
          <w:p>
            <w:pPr>
              <w:ind w:firstLine="420" w:firstLineChars="200"/>
            </w:pPr>
            <w:r>
              <w:rPr>
                <w:rFonts w:ascii="宋体" w:hint="eastAsia"/>
                <w:szCs w:val="21"/>
              </w:rPr>
              <w:t>试运行：按照采购人要求开展试运行工作。</w:t>
            </w:r>
          </w:p>
        </w:tc>
        <w:tc>
          <w:tcPr>
            <w:tcW w:w="1685" w:type="dxa"/>
            <w:vAlign w:val="center"/>
          </w:tcPr>
          <w:p>
            <w:pPr>
              <w:jc w:val="left"/>
              <w:rPr>
                <w:rFonts w:ascii="宋体"/>
              </w:rPr>
            </w:pPr>
            <w:r>
              <w:rPr>
                <w:rFonts w:ascii="宋体" w:hint="eastAsia"/>
              </w:rPr>
              <w:t>是，投标人提供承诺函并加盖投标人公章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r>
              <w:rPr>
                <w:rFonts w:ascii="宋体" w:hint="eastAsia"/>
              </w:rPr>
              <w:t>4</w:t>
            </w:r>
          </w:p>
        </w:tc>
        <w:tc>
          <w:tcPr>
            <w:tcW w:w="1140" w:type="dxa"/>
            <w:vAlign w:val="center"/>
          </w:tcPr>
          <w:p>
            <w:pPr>
              <w:jc w:val="center"/>
              <w:rPr>
                <w:rFonts w:ascii="宋体"/>
              </w:rPr>
            </w:pPr>
            <w:r>
              <w:rPr>
                <w:rFonts w:ascii="宋体" w:hint="eastAsia"/>
              </w:rPr>
              <w:t>项目安装过程安排</w:t>
            </w:r>
          </w:p>
        </w:tc>
        <w:tc>
          <w:tcPr>
            <w:tcW w:w="1196" w:type="dxa"/>
            <w:vAlign w:val="center"/>
          </w:tcPr>
          <w:p>
            <w:pPr>
              <w:jc w:val="center"/>
              <w:rPr>
                <w:rFonts w:ascii="宋体"/>
              </w:rPr>
            </w:pPr>
          </w:p>
        </w:tc>
        <w:tc>
          <w:tcPr>
            <w:tcW w:w="3690" w:type="dxa"/>
            <w:vAlign w:val="center"/>
          </w:tcPr>
          <w:p>
            <w:pPr>
              <w:ind w:firstLine="420" w:firstLineChars="200"/>
              <w:rPr>
                <w:rFonts w:ascii="宋体"/>
                <w:szCs w:val="21"/>
              </w:rPr>
            </w:pPr>
            <w:r>
              <w:rPr>
                <w:rFonts w:ascii="宋体" w:hint="eastAsia"/>
                <w:szCs w:val="21"/>
              </w:rPr>
              <w:t>投标人应根据用户要求提供服务器设备实施的整体规划、部署实施、系统调试和验收等服务，完成所有货物的运输（包括从仓库至机房的运输）、到货、安装部署、调试、试运行、配合验收等工作，承担相应的全部费用。</w:t>
            </w:r>
          </w:p>
          <w:p>
            <w:pPr>
              <w:ind w:firstLine="420" w:firstLineChars="200"/>
              <w:jc w:val="left"/>
              <w:rPr>
                <w:rFonts w:ascii="宋体"/>
              </w:rPr>
            </w:pPr>
            <w:r>
              <w:rPr>
                <w:rFonts w:ascii="宋体" w:hint="eastAsia"/>
              </w:rPr>
              <w:t>投标人应根据用户要求完成的实施工作包括但不限于完成服务器上架上电、</w:t>
            </w:r>
            <w:r>
              <w:rPr>
                <w:rFonts w:ascii="宋体"/>
              </w:rPr>
              <w:t>RAID</w:t>
            </w:r>
            <w:r>
              <w:rPr>
                <w:rFonts w:ascii="宋体" w:hint="eastAsia"/>
              </w:rPr>
              <w:t>配置、设备联网、</w:t>
            </w:r>
            <w:r>
              <w:rPr>
                <w:rFonts w:ascii="宋体"/>
              </w:rPr>
              <w:t>IP</w:t>
            </w:r>
            <w:r>
              <w:rPr>
                <w:rFonts w:ascii="宋体" w:hint="eastAsia"/>
              </w:rPr>
              <w:t>地址配置、参数设置、运维和安全配置、零部件重组重装、机房内迁移、操作系统及杀毒软件等服务器基础软件安装、设备与运维管理设施及安全设施对接、设备及架构调优、线路连接、线缆敷设、标签标识的规划设计与实施工作。</w:t>
            </w:r>
          </w:p>
          <w:p>
            <w:pPr>
              <w:ind w:firstLine="420" w:firstLineChars="200"/>
              <w:jc w:val="left"/>
              <w:rPr>
                <w:rFonts w:ascii="宋体"/>
              </w:rPr>
            </w:pPr>
            <w:r>
              <w:rPr>
                <w:rFonts w:ascii="宋体" w:hint="eastAsia"/>
              </w:rPr>
              <w:t>投标人须根据用户要求，除提供采购需求部分已要求的随设备配备的线缆外，在实施过程中，根据机房环境免费按标准提供设备联网上架运行所需的辅料。</w:t>
            </w:r>
          </w:p>
          <w:p>
            <w:pPr>
              <w:ind w:firstLine="420" w:firstLineChars="200"/>
              <w:jc w:val="left"/>
            </w:pPr>
            <w:r>
              <w:rPr>
                <w:rFonts w:ascii="宋体" w:hint="eastAsia"/>
              </w:rPr>
              <w:t>项目启动后，服务器设备应在1个月内到货，到货后7天内完成安装调试。安装调试验收后，开展设备试运行，试运行时间按用户要求设定。</w:t>
            </w:r>
          </w:p>
        </w:tc>
        <w:tc>
          <w:tcPr>
            <w:tcW w:w="1685" w:type="dxa"/>
            <w:vAlign w:val="center"/>
          </w:tcPr>
          <w:p>
            <w:pPr>
              <w:jc w:val="center"/>
              <w:rPr>
                <w:rFonts w:ascii="宋体"/>
              </w:rPr>
            </w:pPr>
            <w:r>
              <w:rPr>
                <w:rFonts w:ascii="宋体" w:hint="eastAsia"/>
              </w:rPr>
              <w:t>是，投标人提供承诺函并加盖投标人公章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r>
              <w:rPr>
                <w:rFonts w:ascii="宋体" w:hint="eastAsia"/>
              </w:rPr>
              <w:t>5</w:t>
            </w:r>
          </w:p>
        </w:tc>
        <w:tc>
          <w:tcPr>
            <w:tcW w:w="1140" w:type="dxa"/>
            <w:vAlign w:val="center"/>
          </w:tcPr>
          <w:p>
            <w:pPr>
              <w:jc w:val="center"/>
              <w:rPr>
                <w:rFonts w:ascii="宋体"/>
              </w:rPr>
            </w:pPr>
            <w:r>
              <w:rPr>
                <w:rFonts w:ascii="宋体" w:hint="eastAsia"/>
              </w:rPr>
              <w:t>项目验收安排</w:t>
            </w:r>
          </w:p>
        </w:tc>
        <w:tc>
          <w:tcPr>
            <w:tcW w:w="1196" w:type="dxa"/>
            <w:vAlign w:val="center"/>
          </w:tcPr>
          <w:p>
            <w:pPr>
              <w:jc w:val="center"/>
              <w:rPr>
                <w:rFonts w:ascii="宋体"/>
              </w:rPr>
            </w:pPr>
          </w:p>
        </w:tc>
        <w:tc>
          <w:tcPr>
            <w:tcW w:w="3690" w:type="dxa"/>
            <w:vAlign w:val="center"/>
          </w:tcPr>
          <w:p>
            <w:pPr>
              <w:rPr>
                <w:rFonts w:ascii="宋体"/>
              </w:rPr>
            </w:pPr>
            <w:r>
              <w:rPr>
                <w:rFonts w:ascii="宋体" w:cs="宋体" w:hint="eastAsia"/>
              </w:rPr>
              <w:t>投标人需保障项目所有任务通过验收。</w:t>
            </w:r>
          </w:p>
        </w:tc>
        <w:tc>
          <w:tcPr>
            <w:tcW w:w="1685" w:type="dxa"/>
            <w:vAlign w:val="center"/>
          </w:tcPr>
          <w:p>
            <w:pPr>
              <w:jc w:val="left"/>
              <w:rPr>
                <w:rFonts w:ascii="宋体"/>
              </w:rPr>
            </w:pPr>
            <w:r>
              <w:rPr>
                <w:rFonts w:ascii="宋体" w:hint="eastAsia"/>
              </w:rPr>
              <w:t>是，投标人提供承诺函并加盖投标人公章。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r>
              <w:rPr>
                <w:rFonts w:ascii="宋体" w:hint="eastAsia"/>
              </w:rPr>
              <w:t>6</w:t>
            </w:r>
          </w:p>
        </w:tc>
        <w:tc>
          <w:tcPr>
            <w:tcW w:w="1140" w:type="dxa"/>
            <w:vAlign w:val="center"/>
          </w:tcPr>
          <w:p>
            <w:pPr>
              <w:jc w:val="center"/>
              <w:rPr>
                <w:rFonts w:ascii="宋体"/>
              </w:rPr>
            </w:pPr>
            <w:r>
              <w:rPr>
                <w:rFonts w:ascii="宋体" w:hint="eastAsia"/>
              </w:rPr>
              <w:t>项目培训安排</w:t>
            </w:r>
          </w:p>
        </w:tc>
        <w:tc>
          <w:tcPr>
            <w:tcW w:w="1196" w:type="dxa"/>
            <w:vAlign w:val="center"/>
          </w:tcPr>
          <w:p>
            <w:pPr>
              <w:jc w:val="center"/>
              <w:rPr>
                <w:rFonts w:ascii="宋体"/>
              </w:rPr>
            </w:pPr>
          </w:p>
        </w:tc>
        <w:tc>
          <w:tcPr>
            <w:tcW w:w="3690" w:type="dxa"/>
            <w:vAlign w:val="center"/>
          </w:tcPr>
          <w:p>
            <w:pPr>
              <w:ind w:firstLine="420" w:firstLineChars="200"/>
              <w:rPr>
                <w:rFonts w:ascii="宋体" w:cs="宋体"/>
              </w:rPr>
            </w:pPr>
            <w:r>
              <w:rPr>
                <w:rFonts w:ascii="宋体" w:cs="宋体" w:hint="eastAsia"/>
              </w:rPr>
              <w:t>投标人必须根据应用软件的功能和特点，充分考虑到应用人员实际水平，提出详细的培训方案，应包括系统维护培训等，以达到应用管理人员能够独立管理投标人所提供的应用软件和日常的维护处理能力。</w:t>
            </w:r>
          </w:p>
          <w:p>
            <w:pPr>
              <w:ind w:firstLine="420" w:firstLineChars="200"/>
              <w:rPr>
                <w:rFonts w:ascii="宋体" w:cs="宋体"/>
              </w:rPr>
            </w:pPr>
            <w:r>
              <w:rPr>
                <w:rFonts w:ascii="宋体" w:cs="宋体" w:hint="eastAsia"/>
              </w:rPr>
              <w:t>投标人根据采购人要求，分别列出全部产品及应用正常运行、管理和使用所需要的培训，包括培训的类别、培训人员与人数、培训课件、培训材料、培训方式、培训时间等安排。根据采购人的培训要求，投标人需要承担培训方案、培训教材（纸质版和电子版）、师资力量及教师的交通、住宿、三餐的费用。</w:t>
            </w:r>
          </w:p>
          <w:p>
            <w:pPr>
              <w:ind w:firstLine="420" w:firstLineChars="200"/>
              <w:rPr>
                <w:rFonts w:ascii="宋体" w:cs="宋体"/>
              </w:rPr>
            </w:pPr>
            <w:r>
              <w:rPr>
                <w:rFonts w:ascii="宋体" w:cs="宋体" w:hint="eastAsia"/>
              </w:rPr>
              <w:t>投标人须至少提供2名培训讲师作为本项目培训教师为学员进行项目培训授课。</w:t>
            </w:r>
          </w:p>
          <w:p>
            <w:pPr>
              <w:ind w:firstLine="420" w:firstLineChars="200"/>
              <w:rPr>
                <w:rFonts w:ascii="宋体"/>
              </w:rPr>
            </w:pPr>
            <w:r>
              <w:rPr>
                <w:rFonts w:ascii="宋体" w:cs="宋体" w:hint="eastAsia"/>
              </w:rPr>
              <w:t>培训内容包括但不限于软硬件安装、配置、管理、维护等内容。</w:t>
            </w:r>
          </w:p>
        </w:tc>
        <w:tc>
          <w:tcPr>
            <w:tcW w:w="1685" w:type="dxa"/>
            <w:vAlign w:val="center"/>
          </w:tcPr>
          <w:p>
            <w:pPr>
              <w:jc w:val="left"/>
              <w:rPr>
                <w:rFonts w:ascii="宋体"/>
              </w:rPr>
            </w:pPr>
            <w:r>
              <w:rPr>
                <w:rFonts w:ascii="宋体" w:hint="eastAsia"/>
              </w:rPr>
              <w:t>是，投标人提供承诺函并加盖投标人公章。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r>
              <w:rPr>
                <w:rFonts w:ascii="宋体" w:hint="eastAsia"/>
              </w:rPr>
              <w:t>7</w:t>
            </w:r>
          </w:p>
        </w:tc>
        <w:tc>
          <w:tcPr>
            <w:tcW w:w="1140" w:type="dxa"/>
            <w:vAlign w:val="center"/>
          </w:tcPr>
          <w:p>
            <w:pPr>
              <w:spacing w:line="240" w:lineRule="auto"/>
              <w:jc w:val="center"/>
              <w:rPr>
                <w:rFonts w:ascii="宋体" w:eastAsia="宋体" w:cs="Times New Roman" w:hint="eastAsia"/>
                <w:sz w:val="21"/>
                <w:szCs w:val="22"/>
              </w:rPr>
            </w:pPr>
            <w:r>
              <w:rPr>
                <w:rFonts w:ascii="宋体" w:hint="eastAsia"/>
                <w:sz w:val="21"/>
              </w:rPr>
              <w:t>项目人员工作要求</w:t>
            </w:r>
          </w:p>
        </w:tc>
        <w:tc>
          <w:tcPr>
            <w:tcW w:w="1196" w:type="dxa"/>
            <w:vAlign w:val="center"/>
          </w:tcPr>
          <w:p>
            <w:pPr>
              <w:spacing w:line="360" w:lineRule="auto"/>
              <w:jc w:val="center"/>
              <w:rPr>
                <w:rFonts w:ascii="宋体" w:eastAsia="Calibri" w:hAnsi="宋体" w:cs="Calibri"/>
              </w:rPr>
            </w:pPr>
            <w:r>
              <w:rPr>
                <w:rFonts w:ascii="宋体" w:cs="宋体" w:hint="eastAsia"/>
                <w:sz w:val="24"/>
              </w:rPr>
              <w:t>★</w:t>
            </w:r>
          </w:p>
        </w:tc>
        <w:tc>
          <w:tcPr>
            <w:tcW w:w="3690" w:type="dxa"/>
          </w:tcPr>
          <w:p>
            <w:pPr>
              <w:widowControl/>
              <w:spacing w:line="240" w:lineRule="auto"/>
              <w:ind w:firstLine="420" w:firstLineChars="200"/>
              <w:jc w:val="left"/>
              <w:textAlignment w:val="auto"/>
              <w:rPr>
                <w:rFonts w:ascii="宋体" w:eastAsia="宋体" w:cs="宋体" w:hint="eastAsia"/>
                <w:color w:val="auto"/>
                <w:kern w:val="2"/>
                <w:sz w:val="21"/>
                <w:szCs w:val="22"/>
              </w:rPr>
            </w:pPr>
            <w:r>
              <w:rPr>
                <w:rFonts w:ascii="宋体" w:cs="宋体" w:hint="eastAsia"/>
                <w:color w:val="auto"/>
                <w:kern w:val="2"/>
                <w:sz w:val="21"/>
              </w:rPr>
              <w:t>投标人应严格遵守项目进度及海关、公安项目管理制度、信息化合作企业管理等规定要求；应签署项目相关保密协议并严格执行，规范内部安全管理；严格遵守项目进度及招标人的项目管理制度；为保证项目正常进行，投标人须保证项目人员相对固定，除采购人批准外，不得更换项目经理、核心技术人员。</w:t>
            </w:r>
          </w:p>
        </w:tc>
        <w:tc>
          <w:tcPr>
            <w:tcW w:w="1685" w:type="dxa"/>
            <w:vAlign w:val="center"/>
          </w:tcPr>
          <w:p>
            <w:pPr>
              <w:spacing w:line="240" w:lineRule="auto"/>
              <w:jc w:val="left"/>
              <w:rPr>
                <w:rFonts w:ascii="宋体" w:eastAsia="宋体" w:cs="Times New Roman" w:hint="eastAsia"/>
                <w:sz w:val="21"/>
                <w:szCs w:val="22"/>
              </w:rPr>
            </w:pPr>
            <w:r>
              <w:rPr>
                <w:rFonts w:ascii="宋体" w:cs="Times New Roman" w:hint="eastAsia"/>
                <w:sz w:val="21"/>
              </w:rPr>
              <w:t>是，投标人提供承诺函并加盖投标人公章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r>
              <w:rPr>
                <w:rFonts w:ascii="宋体" w:hint="eastAsia"/>
              </w:rPr>
              <w:t>8</w:t>
            </w:r>
          </w:p>
        </w:tc>
        <w:tc>
          <w:tcPr>
            <w:tcW w:w="1140" w:type="dxa"/>
            <w:vAlign w:val="center"/>
          </w:tcPr>
          <w:p>
            <w:pPr>
              <w:jc w:val="center"/>
              <w:rPr>
                <w:rFonts w:ascii="宋体"/>
              </w:rPr>
            </w:pPr>
            <w:r>
              <w:rPr>
                <w:rFonts w:ascii="宋体" w:hint="eastAsia"/>
                <w:sz w:val="21"/>
              </w:rPr>
              <w:t>知识产权要求</w:t>
            </w:r>
          </w:p>
        </w:tc>
        <w:tc>
          <w:tcPr>
            <w:tcW w:w="1196" w:type="dxa"/>
            <w:vAlign w:val="center"/>
          </w:tcPr>
          <w:p>
            <w:pPr>
              <w:jc w:val="center"/>
              <w:rPr>
                <w:rFonts w:ascii="等线" w:eastAsia="等线" w:cs="宋体"/>
              </w:rPr>
            </w:pPr>
            <w:r>
              <w:rPr>
                <w:rFonts w:ascii="宋体" w:cs="等线" w:hint="eastAsia"/>
                <w:sz w:val="24"/>
              </w:rPr>
              <w:t>★</w:t>
            </w:r>
          </w:p>
        </w:tc>
        <w:tc>
          <w:tcPr>
            <w:tcW w:w="3690" w:type="dxa"/>
          </w:tcPr>
          <w:p>
            <w:pPr>
              <w:widowControl/>
              <w:ind w:firstLine="420" w:firstLineChars="200"/>
              <w:jc w:val="left"/>
              <w:textAlignment w:val="auto"/>
              <w:rPr>
                <w:rFonts w:ascii="宋体" w:cs="宋体" w:hint="eastAsia"/>
              </w:rPr>
            </w:pPr>
            <w:r>
              <w:rPr>
                <w:rFonts w:ascii="宋体" w:cs="宋体" w:hint="eastAsia"/>
                <w:color w:val="auto"/>
                <w:kern w:val="2"/>
                <w:sz w:val="21"/>
              </w:rPr>
              <w:t>投标人须保证招标人及其用户对投标人所提供的软件产品享有合法的使用权。</w:t>
            </w:r>
            <w:r>
              <w:rPr>
                <w:rFonts w:ascii="宋体" w:cs="宋体" w:hint="eastAsia"/>
              </w:rPr>
              <w:t>采购人有权对本项目涉及的所有成果在全国缉私部门范围内进行推广应用。采购人对本项目开发产生内容（包括但不限于软件功能、算法等）拥有所有权及全部、完整的知识产权（包括但不限于著作权、专利权、商标权以及知识产权申请权等）。</w:t>
            </w:r>
          </w:p>
          <w:p>
            <w:pPr>
              <w:widowControl/>
              <w:ind w:firstLine="420" w:firstLineChars="200"/>
              <w:jc w:val="left"/>
              <w:textAlignment w:val="auto"/>
              <w:rPr>
                <w:rFonts w:ascii="宋体" w:cs="宋体" w:hint="eastAsia"/>
                <w:color w:val="auto"/>
                <w:kern w:val="2"/>
                <w:sz w:val="21"/>
              </w:rPr>
            </w:pPr>
            <w:r>
              <w:rPr>
                <w:rFonts w:ascii="宋体" w:cs="宋体" w:hint="eastAsia"/>
                <w:color w:val="auto"/>
                <w:kern w:val="2"/>
                <w:sz w:val="21"/>
              </w:rPr>
              <w:t>投标人须保证招标人及其用户单位在使用过程中不受到第三方关于侵犯专利权等知识产权的指控。任何第三方如果提出指控，投标人须与第三方交涉并承担可能发生的一切法律责任和费用。</w:t>
            </w:r>
          </w:p>
          <w:p>
            <w:pPr>
              <w:widowControl/>
              <w:ind w:firstLine="420" w:firstLineChars="200"/>
              <w:jc w:val="left"/>
              <w:textAlignment w:val="auto"/>
              <w:rPr>
                <w:rFonts w:ascii="宋体" w:cs="宋体" w:hint="eastAsia"/>
                <w:color w:val="auto"/>
                <w:kern w:val="2"/>
                <w:sz w:val="21"/>
              </w:rPr>
            </w:pPr>
            <w:r>
              <w:rPr>
                <w:rFonts w:ascii="宋体" w:cs="宋体" w:hint="eastAsia"/>
                <w:color w:val="auto"/>
                <w:kern w:val="2"/>
                <w:sz w:val="21"/>
              </w:rPr>
              <w:t>投标人就本项目开发的软件，应向招标人提供全部源代码和不限次数的使用权以及二次开发权，本项目所开发软件的知识产权归招标人所有。</w:t>
            </w:r>
          </w:p>
          <w:p>
            <w:pPr>
              <w:widowControl/>
              <w:ind w:firstLine="420" w:firstLineChars="200"/>
              <w:jc w:val="left"/>
              <w:textAlignment w:val="auto"/>
              <w:rPr>
                <w:rFonts w:ascii="宋体" w:cs="宋体" w:hint="eastAsia"/>
              </w:rPr>
            </w:pPr>
            <w:r>
              <w:rPr>
                <w:rFonts w:ascii="宋体" w:cs="宋体" w:hint="eastAsia"/>
                <w:color w:val="auto"/>
                <w:kern w:val="2"/>
                <w:sz w:val="21"/>
              </w:rPr>
              <w:t>投标人的具有自主知识产权的第三方软件，如需要在本项目中使用，须在投标文件中明确指出和说明。如出现因引入第三方软件而引出的知识产权纠纷，由投标人负责，与招标人无关。</w:t>
            </w:r>
          </w:p>
        </w:tc>
        <w:tc>
          <w:tcPr>
            <w:tcW w:w="1685" w:type="dxa"/>
            <w:vAlign w:val="center"/>
          </w:tcPr>
          <w:p>
            <w:pPr>
              <w:jc w:val="left"/>
              <w:rPr>
                <w:rFonts w:ascii="宋体"/>
              </w:rPr>
            </w:pPr>
            <w:r>
              <w:rPr>
                <w:rFonts w:ascii="宋体" w:cs="Times New Roman" w:hint="eastAsia"/>
                <w:color w:val="auto"/>
                <w:kern w:val="2"/>
                <w:sz w:val="21"/>
              </w:rPr>
              <w:t>是，投标人提供承诺函并加盖投标人公章。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rPr>
                <w:rFonts w:ascii="宋体"/>
              </w:rPr>
            </w:pPr>
            <w:r>
              <w:rPr>
                <w:rFonts w:ascii="宋体" w:hint="eastAsia"/>
              </w:rPr>
              <w:t>9</w:t>
            </w:r>
          </w:p>
        </w:tc>
        <w:tc>
          <w:tcPr>
            <w:tcW w:w="1140" w:type="dxa"/>
            <w:vAlign w:val="center"/>
          </w:tcPr>
          <w:p>
            <w:pPr>
              <w:spacing w:line="240" w:lineRule="auto"/>
              <w:jc w:val="center"/>
              <w:rPr>
                <w:rFonts w:ascii="宋体" w:eastAsia="宋体" w:cs="Times New Roman" w:hint="eastAsia"/>
                <w:sz w:val="21"/>
                <w:szCs w:val="22"/>
              </w:rPr>
            </w:pPr>
            <w:r>
              <w:rPr>
                <w:rFonts w:ascii="宋体" w:hint="eastAsia"/>
                <w:sz w:val="21"/>
              </w:rPr>
              <w:t>项目配合工作</w:t>
            </w:r>
          </w:p>
        </w:tc>
        <w:tc>
          <w:tcPr>
            <w:tcW w:w="1196" w:type="dxa"/>
            <w:vAlign w:val="center"/>
          </w:tcPr>
          <w:p>
            <w:pPr>
              <w:spacing w:line="360" w:lineRule="auto"/>
              <w:ind w:firstLine="480"/>
              <w:rPr>
                <w:rFonts w:ascii="宋体" w:eastAsia="Calibri" w:hAnsi="宋体" w:cs="等线"/>
              </w:rPr>
            </w:pPr>
          </w:p>
        </w:tc>
        <w:tc>
          <w:tcPr>
            <w:tcW w:w="3690" w:type="dxa"/>
          </w:tcPr>
          <w:p>
            <w:pPr>
              <w:widowControl/>
              <w:ind w:firstLine="420" w:firstLineChars="200"/>
              <w:jc w:val="left"/>
              <w:textAlignment w:val="auto"/>
              <w:rPr>
                <w:rFonts w:ascii="宋体" w:cs="宋体" w:hint="eastAsia"/>
                <w:color w:val="auto"/>
                <w:kern w:val="2"/>
                <w:sz w:val="21"/>
              </w:rPr>
            </w:pPr>
            <w:r>
              <w:rPr>
                <w:rFonts w:ascii="宋体" w:cs="宋体" w:hint="eastAsia"/>
                <w:color w:val="auto"/>
                <w:kern w:val="2"/>
                <w:sz w:val="21"/>
              </w:rPr>
              <w:t>投标人需配合等级保护的系统定级、评审、备案等系列工作；竣工验收前配合做好第三方验收测试、各类审计等工作。为满足项目安全要求，需要投标人配合商用密码应用测评、网络安全等保测评，竣工验收前按照测评要求完成整改工作。在质量保障期内配合完成档案移交、资产转固等工作。</w:t>
            </w:r>
          </w:p>
          <w:p>
            <w:pPr>
              <w:widowControl/>
              <w:ind w:firstLine="420" w:firstLineChars="200"/>
              <w:jc w:val="left"/>
              <w:textAlignment w:val="auto"/>
              <w:rPr>
                <w:rFonts w:ascii="宋体" w:cs="宋体" w:hint="eastAsia"/>
                <w:color w:val="auto"/>
                <w:kern w:val="2"/>
                <w:sz w:val="21"/>
                <w:szCs w:val="22"/>
              </w:rPr>
            </w:pPr>
            <w:r>
              <w:rPr>
                <w:rFonts w:ascii="宋体" w:cs="宋体" w:hint="eastAsia"/>
              </w:rPr>
              <w:t>投标人应对在工作过程中所获知的全部技术资料和技术秘密采取保密措施。在本项目服务期结束后，投标人保证归还采购人提供的所有技术资料和文件，并承诺不保留任何副本。投标人应保证己方人员保守其获悉的采购人秘密，并采取必要措施确保己方人员遵守有关知识产权、保密等方面的约定。</w:t>
            </w:r>
          </w:p>
        </w:tc>
        <w:tc>
          <w:tcPr>
            <w:tcW w:w="1685" w:type="dxa"/>
            <w:vAlign w:val="center"/>
          </w:tcPr>
          <w:p>
            <w:pPr>
              <w:spacing w:line="240" w:lineRule="auto"/>
              <w:jc w:val="left"/>
              <w:rPr>
                <w:rFonts w:ascii="宋体" w:eastAsia="宋体" w:cs="Times New Roman" w:hint="eastAsia"/>
                <w:color w:val="auto"/>
                <w:kern w:val="2"/>
                <w:sz w:val="21"/>
                <w:szCs w:val="22"/>
              </w:rPr>
            </w:pPr>
            <w:r>
              <w:rPr>
                <w:rFonts w:ascii="宋体" w:cs="Times New Roman" w:hint="eastAsia"/>
                <w:color w:val="auto"/>
                <w:kern w:val="2"/>
                <w:sz w:val="21"/>
              </w:rPr>
              <w:t>是，投标人提供承诺函并加盖投标人公章。</w:t>
            </w:r>
          </w:p>
        </w:tc>
      </w:tr>
    </w:tbl>
    <w:p>
      <w:pPr>
        <w:pStyle w:val="Heading2"/>
        <w:numPr>
          <w:ilvl w:val="0"/>
          <w:numId w:val="2"/>
        </w:numPr>
        <w:rPr>
          <w:rFonts w:ascii="宋体" w:hint="eastAsia"/>
        </w:rPr>
      </w:pPr>
      <w:r>
        <w:rPr>
          <w:rFonts w:ascii="宋体" w:hint="eastAsia"/>
        </w:rPr>
        <w:t>其它内容</w:t>
      </w:r>
    </w:p>
    <w:p>
      <w:pPr>
        <w:ind w:firstLine="482"/>
        <w:outlineLvl w:val="1"/>
        <w:rPr>
          <w:rFonts w:ascii="宋体"/>
        </w:rPr>
      </w:pPr>
      <w:r>
        <w:rPr>
          <w:rFonts w:ascii="宋体" w:hint="eastAsia"/>
        </w:rPr>
        <w:t>（一）业绩要求</w:t>
      </w:r>
    </w:p>
    <w:p>
      <w:pPr>
        <w:ind w:firstLine="420" w:firstLineChars="200"/>
      </w:pPr>
      <w:r>
        <w:rPr>
          <w:rFonts w:hint="eastAsia"/>
        </w:rPr>
        <w:t>投标人提供</w:t>
      </w:r>
      <w:r>
        <w:t>2021</w:t>
      </w:r>
      <w:r>
        <w:rPr>
          <w:rFonts w:hint="eastAsia"/>
        </w:rPr>
        <w:t>年</w:t>
      </w:r>
      <w:r>
        <w:t>12</w:t>
      </w:r>
      <w:r>
        <w:rPr>
          <w:rFonts w:hint="eastAsia"/>
        </w:rPr>
        <w:t>月</w:t>
      </w:r>
      <w:r>
        <w:t>1</w:t>
      </w:r>
      <w:r>
        <w:rPr>
          <w:rFonts w:hint="eastAsia"/>
        </w:rPr>
        <w:t>日起至本项目招标公告发布之日止（以合同签订日期为准），</w:t>
      </w:r>
      <w:r>
        <w:rPr>
          <w:rFonts w:ascii="宋体" w:hint="eastAsia"/>
        </w:rPr>
        <w:t>与本项目同类</w:t>
      </w:r>
      <w:r>
        <w:rPr>
          <w:rFonts w:ascii="宋体" w:cs="宋体" w:hint="eastAsia"/>
        </w:rPr>
        <w:t>服务项目业绩相关材料</w:t>
      </w:r>
      <w:r>
        <w:rPr>
          <w:rFonts w:ascii="宋体" w:hint="eastAsia"/>
        </w:rPr>
        <w:t>。</w:t>
      </w:r>
    </w:p>
    <w:p>
      <w:pPr>
        <w:ind w:firstLine="482"/>
        <w:outlineLvl w:val="1"/>
        <w:rPr>
          <w:rFonts w:ascii="宋体"/>
        </w:rPr>
      </w:pPr>
      <w:r>
        <w:rPr>
          <w:rFonts w:ascii="宋体" w:hint="eastAsia"/>
        </w:rPr>
        <w:t>（二）</w:t>
      </w:r>
      <w:r>
        <w:rPr>
          <w:rFonts w:ascii="宋体"/>
        </w:rPr>
        <w:t>相关主观评审因素要求</w:t>
      </w:r>
    </w:p>
    <w:p>
      <w:pPr>
        <w:ind w:firstLine="482"/>
        <w:outlineLvl w:val="2"/>
        <w:rPr>
          <w:rFonts w:ascii="宋体"/>
        </w:rPr>
      </w:pPr>
      <w:r>
        <w:rPr>
          <w:rFonts w:ascii="宋体" w:hint="eastAsia"/>
        </w:rPr>
        <w:t>1.需求理解分析</w:t>
      </w:r>
    </w:p>
    <w:p>
      <w:pPr>
        <w:ind w:firstLine="482"/>
        <w:rPr>
          <w:rFonts w:ascii="宋体"/>
        </w:rPr>
      </w:pPr>
      <w:r>
        <w:rPr>
          <w:rFonts w:ascii="宋体" w:hint="eastAsia"/>
        </w:rPr>
        <w:t>需求理解分析阐述对项目需求的理解，对项目功能性需求与非功能性需求进行分析，至少包括业务流程分析、业务需求分析、与外部系统的关系分析、性能需求、环境需求等内容。</w:t>
      </w:r>
    </w:p>
    <w:p>
      <w:pPr>
        <w:ind w:firstLine="482"/>
        <w:outlineLvl w:val="2"/>
        <w:rPr>
          <w:rFonts w:ascii="宋体" w:hint="eastAsia"/>
        </w:rPr>
      </w:pPr>
      <w:r>
        <w:rPr>
          <w:rFonts w:ascii="宋体" w:hint="eastAsia"/>
        </w:rPr>
        <w:t>2.实施管理方案。</w:t>
      </w:r>
    </w:p>
    <w:p>
      <w:pPr>
        <w:pStyle w:val="2117"/>
        <w:spacing w:line="360" w:lineRule="auto"/>
        <w:rPr>
          <w:rFonts w:ascii="宋体" w:hint="eastAsia"/>
          <w:szCs w:val="24"/>
        </w:rPr>
      </w:pPr>
      <w:r>
        <w:rPr>
          <w:rFonts w:ascii="宋体" w:cs="等线" w:hint="eastAsia"/>
          <w:szCs w:val="24"/>
        </w:rPr>
        <w:t>提供项目实施管理方案，对项目实施计划、</w:t>
      </w:r>
      <w:r>
        <w:rPr>
          <w:rFonts w:ascii="宋体" w:hint="eastAsia"/>
          <w:szCs w:val="24"/>
        </w:rPr>
        <w:t>项目实施</w:t>
      </w:r>
      <w:r>
        <w:rPr>
          <w:rFonts w:ascii="宋体" w:cs="等线" w:hint="eastAsia"/>
          <w:szCs w:val="24"/>
        </w:rPr>
        <w:t>进度及保障措施等予以描述，包括但不限于</w:t>
      </w:r>
      <w:r>
        <w:rPr>
          <w:rFonts w:ascii="宋体" w:hint="eastAsia"/>
          <w:szCs w:val="24"/>
        </w:rPr>
        <w:t>实施</w:t>
      </w:r>
      <w:r>
        <w:rPr>
          <w:rFonts w:ascii="宋体" w:cs="等线" w:hint="eastAsia"/>
          <w:szCs w:val="24"/>
        </w:rPr>
        <w:t>过程控制、组织架构、文档管理、进度管控、验收</w:t>
      </w:r>
      <w:r>
        <w:rPr>
          <w:rFonts w:ascii="宋体" w:hint="eastAsia"/>
          <w:szCs w:val="24"/>
        </w:rPr>
        <w:t>安排、应急措施、风险管理</w:t>
      </w:r>
      <w:r>
        <w:rPr>
          <w:rFonts w:ascii="宋体" w:cs="等线" w:hint="eastAsia"/>
          <w:szCs w:val="24"/>
        </w:rPr>
        <w:t>、质量管理、安全管理</w:t>
      </w:r>
      <w:r>
        <w:rPr>
          <w:rFonts w:ascii="宋体" w:hint="eastAsia"/>
          <w:szCs w:val="24"/>
        </w:rPr>
        <w:t>等内容。</w:t>
      </w:r>
    </w:p>
    <w:p>
      <w:pPr>
        <w:ind w:firstLine="482"/>
        <w:outlineLvl w:val="2"/>
        <w:rPr>
          <w:rFonts w:ascii="宋体"/>
        </w:rPr>
      </w:pPr>
      <w:r>
        <w:rPr>
          <w:rFonts w:ascii="宋体" w:hint="eastAsia"/>
        </w:rPr>
        <w:t>3.</w:t>
      </w:r>
      <w:r>
        <w:rPr>
          <w:rFonts w:ascii="宋体"/>
        </w:rPr>
        <w:t>总体设计方案</w:t>
      </w:r>
    </w:p>
    <w:p>
      <w:pPr>
        <w:ind w:firstLine="420" w:firstLineChars="200"/>
        <w:rPr>
          <w:rFonts w:ascii="宋体"/>
        </w:rPr>
      </w:pPr>
      <w:r>
        <w:rPr>
          <w:rFonts w:ascii="宋体" w:cs="等线" w:hint="eastAsia"/>
        </w:rPr>
        <w:t>提供总体技术设计方案，包括但不限于业务功能设计、应用架构、总体技术架构、数据架构、数据流向、部署设计、安全设计、重点设计、项目总体的国产化适配等内容。</w:t>
      </w:r>
    </w:p>
    <w:p>
      <w:pPr>
        <w:ind w:firstLine="482"/>
        <w:outlineLvl w:val="2"/>
        <w:rPr>
          <w:rFonts w:ascii="宋体"/>
        </w:rPr>
      </w:pPr>
      <w:r>
        <w:rPr>
          <w:rFonts w:ascii="宋体" w:hint="eastAsia"/>
        </w:rPr>
        <w:t>4.</w:t>
      </w:r>
      <w:r>
        <w:rPr>
          <w:rFonts w:ascii="宋体"/>
        </w:rPr>
        <w:t>系统集成设计</w:t>
      </w:r>
    </w:p>
    <w:p>
      <w:pPr>
        <w:ind w:firstLine="420" w:firstLineChars="200"/>
        <w:rPr>
          <w:rFonts w:ascii="宋体" w:cs="等线"/>
        </w:rPr>
      </w:pPr>
      <w:r>
        <w:rPr>
          <w:rFonts w:ascii="宋体" w:cs="等线" w:hint="eastAsia"/>
        </w:rPr>
        <w:t>提供系统集成方案，内容应包括相关应用间的业务需求、技术需求、系统需求，以及相应应用间详细接口设计、业务逻辑关系、调用关系和依存关系、对接流程图，技术实现方式、数据集成接口规范等。</w:t>
      </w:r>
    </w:p>
    <w:p>
      <w:pPr>
        <w:ind w:firstLine="482"/>
        <w:outlineLvl w:val="2"/>
        <w:rPr>
          <w:rFonts w:ascii="宋体"/>
        </w:rPr>
      </w:pPr>
      <w:r>
        <w:rPr>
          <w:rFonts w:ascii="宋体" w:hint="eastAsia"/>
        </w:rPr>
        <w:t>5.</w:t>
      </w:r>
      <w:r>
        <w:rPr>
          <w:rFonts w:ascii="宋体" w:cs="等线" w:hint="eastAsia"/>
        </w:rPr>
        <w:t>运维服务方案</w:t>
      </w:r>
    </w:p>
    <w:p>
      <w:pPr>
        <w:ind w:firstLine="420" w:firstLineChars="200"/>
        <w:rPr>
          <w:rFonts w:ascii="宋体"/>
        </w:rPr>
      </w:pPr>
      <w:r>
        <w:rPr>
          <w:rFonts w:ascii="宋体" w:cs="等线" w:hint="eastAsia"/>
        </w:rPr>
        <w:t>提供运维服务方案，内容应包括运维服务团队配置、服务内容、服务响应时间、故障处理、应急措施等内容</w:t>
      </w:r>
      <w:r>
        <w:rPr>
          <w:rFonts w:ascii="宋体" w:hint="eastAsia"/>
        </w:rPr>
        <w:t>。</w:t>
      </w:r>
    </w:p>
    <w:p>
      <w:pPr>
        <w:ind w:firstLine="420" w:firstLineChars="200"/>
        <w:rPr>
          <w:rFonts w:ascii="宋体"/>
        </w:rPr>
      </w:pPr>
    </w:p>
    <w:p>
      <w:pPr>
        <w:ind w:firstLine="420" w:firstLineChars="200"/>
        <w:rPr>
          <w:rFonts w:ascii="宋体" w:cs="等线"/>
        </w:rPr>
      </w:pPr>
    </w:p>
    <w:p>
      <w:pPr>
        <w:ind w:firstLine="482"/>
        <w:outlineLvl w:val="1"/>
        <w:rPr>
          <w:rFonts w:ascii="宋体"/>
        </w:rPr>
      </w:pPr>
      <w:r>
        <w:rPr>
          <w:rFonts w:ascii="宋体" w:hint="eastAsia"/>
        </w:rPr>
        <w:t>（三）</w:t>
      </w:r>
      <w:r>
        <w:rPr>
          <w:rFonts w:ascii="宋体"/>
        </w:rPr>
        <w:t>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4"/>
        <w:gridCol w:w="1134"/>
        <w:gridCol w:w="1134"/>
        <w:gridCol w:w="5536"/>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704" w:type="dxa"/>
            <w:tcBorders>
              <w:top w:val="single" w:sz="4" w:space="0" w:color="auto"/>
              <w:left w:val="single" w:sz="4" w:space="0" w:color="auto"/>
              <w:bottom w:val="single" w:sz="4" w:space="0" w:color="auto"/>
              <w:right w:val="single" w:sz="4" w:space="0" w:color="auto"/>
            </w:tcBorders>
            <w:shd w:val="pct10" w:color="auto" w:fill="auto"/>
            <w:noWrap/>
            <w:vAlign w:val="center"/>
          </w:tcPr>
          <w:p>
            <w:pPr>
              <w:jc w:val="center"/>
              <w:rPr>
                <w:rFonts w:ascii="宋体"/>
                <w:b/>
                <w:color w:val="000000"/>
              </w:rPr>
            </w:pPr>
            <w:r>
              <w:rPr>
                <w:rFonts w:ascii="宋体" w:hint="eastAsia"/>
                <w:b/>
                <w:color w:val="000000"/>
              </w:rPr>
              <w:t>序号</w:t>
            </w:r>
          </w:p>
        </w:tc>
        <w:tc>
          <w:tcPr>
            <w:tcW w:w="1134" w:type="dxa"/>
            <w:tcBorders>
              <w:top w:val="single" w:sz="4" w:space="0" w:color="auto"/>
              <w:left w:val="single" w:sz="4" w:space="0" w:color="auto"/>
              <w:bottom w:val="single" w:sz="4" w:space="0" w:color="auto"/>
              <w:right w:val="single" w:sz="4" w:space="0" w:color="auto"/>
            </w:tcBorders>
            <w:shd w:val="pct10" w:color="auto" w:fill="auto"/>
            <w:noWrap/>
            <w:vAlign w:val="center"/>
          </w:tcPr>
          <w:p>
            <w:pPr>
              <w:jc w:val="center"/>
              <w:rPr>
                <w:rFonts w:ascii="宋体"/>
                <w:b/>
                <w:color w:val="000000"/>
              </w:rPr>
            </w:pPr>
            <w:r>
              <w:rPr>
                <w:rFonts w:ascii="宋体" w:hint="eastAsia"/>
                <w:b/>
                <w:color w:val="000000"/>
              </w:rPr>
              <w:t>内容</w:t>
            </w:r>
          </w:p>
        </w:tc>
        <w:tc>
          <w:tcPr>
            <w:tcW w:w="1134" w:type="dxa"/>
            <w:tcBorders>
              <w:top w:val="single" w:sz="4" w:space="0" w:color="auto"/>
              <w:left w:val="single" w:sz="4" w:space="0" w:color="auto"/>
              <w:bottom w:val="single" w:sz="4" w:space="0" w:color="auto"/>
              <w:right w:val="single" w:sz="4" w:space="0" w:color="auto"/>
            </w:tcBorders>
            <w:shd w:val="pct10" w:color="auto" w:fill="auto"/>
            <w:noWrap/>
            <w:vAlign w:val="center"/>
          </w:tcPr>
          <w:p>
            <w:pPr>
              <w:jc w:val="center"/>
              <w:rPr>
                <w:rFonts w:ascii="宋体"/>
                <w:b/>
                <w:color w:val="000000"/>
              </w:rPr>
            </w:pPr>
            <w:r>
              <w:rPr>
                <w:rFonts w:ascii="宋体" w:hint="eastAsia"/>
                <w:b/>
                <w:color w:val="000000"/>
              </w:rPr>
              <w:t>数量</w:t>
            </w:r>
          </w:p>
        </w:tc>
        <w:tc>
          <w:tcPr>
            <w:tcW w:w="5536" w:type="dxa"/>
            <w:tcBorders>
              <w:top w:val="single" w:sz="4" w:space="0" w:color="auto"/>
              <w:left w:val="single" w:sz="4" w:space="0" w:color="auto"/>
              <w:bottom w:val="single" w:sz="4" w:space="0" w:color="auto"/>
              <w:right w:val="single" w:sz="4" w:space="0" w:color="auto"/>
            </w:tcBorders>
            <w:shd w:val="pct10" w:color="auto" w:fill="auto"/>
            <w:noWrap/>
            <w:vAlign w:val="center"/>
          </w:tcPr>
          <w:p>
            <w:pPr>
              <w:jc w:val="center"/>
              <w:rPr>
                <w:rFonts w:ascii="宋体"/>
                <w:b/>
                <w:color w:val="000000"/>
              </w:rPr>
            </w:pPr>
            <w:r>
              <w:rPr>
                <w:rFonts w:ascii="宋体" w:hint="eastAsia"/>
                <w:b/>
                <w:color w:val="000000"/>
              </w:rPr>
              <w:t>所在位置</w:t>
            </w:r>
          </w:p>
        </w:tc>
      </w:tr>
      <w:tr>
        <w:tblPrEx>
          <w:tblW w:w="8508" w:type="dxa"/>
          <w:jc w:val="left"/>
          <w:tblInd w:w="0" w:type="dxa"/>
          <w:tblLayout w:type="fixed"/>
          <w:tblCellMar>
            <w:top w:w="0" w:type="dxa"/>
            <w:left w:w="108" w:type="dxa"/>
            <w:bottom w:w="0" w:type="dxa"/>
            <w:right w:w="108" w:type="dxa"/>
          </w:tblCellMar>
        </w:tblPrEx>
        <w:trPr>
          <w:trHeight w:val="1041"/>
          <w:jc w:val="left"/>
        </w:trPr>
        <w:tc>
          <w:tcPr>
            <w:tcW w:w="704" w:type="dxa"/>
            <w:noWrap/>
            <w:vAlign w:val="center"/>
          </w:tcPr>
          <w:p>
            <w:pPr>
              <w:jc w:val="center"/>
              <w:rPr>
                <w:rFonts w:ascii="宋体"/>
                <w:color w:val="000000"/>
              </w:rPr>
            </w:pPr>
            <w:r>
              <w:rPr>
                <w:rFonts w:ascii="宋体" w:hint="eastAsia"/>
                <w:color w:val="000000"/>
              </w:rPr>
              <w:t>1</w:t>
            </w:r>
          </w:p>
        </w:tc>
        <w:tc>
          <w:tcPr>
            <w:tcW w:w="1134" w:type="dxa"/>
            <w:noWrap/>
            <w:vAlign w:val="center"/>
          </w:tcPr>
          <w:p>
            <w:pPr>
              <w:pStyle w:val="626"/>
              <w:ind w:firstLine="0"/>
              <w:jc w:val="center"/>
              <w:rPr>
                <w:rFonts w:ascii="宋体" w:eastAsia="宋体"/>
                <w:color w:val="000000"/>
              </w:rPr>
            </w:pPr>
            <w:r>
              <w:rPr>
                <w:rFonts w:ascii="宋体" w:eastAsia="宋体" w:hint="eastAsia"/>
                <w:color w:val="000000"/>
              </w:rPr>
              <w:t>重要指标项</w:t>
            </w:r>
          </w:p>
        </w:tc>
        <w:tc>
          <w:tcPr>
            <w:tcW w:w="1134" w:type="dxa"/>
            <w:noWrap/>
            <w:vAlign w:val="center"/>
          </w:tcPr>
          <w:p>
            <w:pPr>
              <w:pStyle w:val="626"/>
              <w:ind w:firstLine="0"/>
              <w:jc w:val="center"/>
              <w:rPr>
                <w:rFonts w:ascii="宋体" w:eastAsia="宋体"/>
                <w:color w:val="000000"/>
              </w:rPr>
            </w:pPr>
            <w:r>
              <w:rPr>
                <w:rFonts w:ascii="宋体" w:eastAsia="宋体" w:hint="eastAsia"/>
                <w:color w:val="000000"/>
                <w:sz w:val="21"/>
                <w:szCs w:val="21"/>
              </w:rPr>
              <w:t>12</w:t>
            </w:r>
          </w:p>
        </w:tc>
        <w:tc>
          <w:tcPr>
            <w:tcW w:w="5536" w:type="dxa"/>
            <w:noWrap/>
            <w:vAlign w:val="center"/>
          </w:tcPr>
          <w:p>
            <w:pPr>
              <w:pStyle w:val="626"/>
              <w:ind w:firstLine="0"/>
              <w:jc w:val="left"/>
              <w:rPr>
                <w:rFonts w:ascii="宋体"/>
                <w:color w:val="000000"/>
                <w:sz w:val="21"/>
              </w:rPr>
            </w:pPr>
            <w:r>
              <w:rPr>
                <w:rFonts w:ascii="宋体"/>
                <w:color w:val="000000"/>
                <w:sz w:val="21"/>
              </w:rPr>
              <w:t>六、货物或服务指标要求</w:t>
            </w:r>
            <w:r>
              <w:rPr>
                <w:rFonts w:ascii="宋体" w:eastAsia="宋体" w:hint="eastAsia"/>
                <w:color w:val="000000"/>
                <w:sz w:val="21"/>
                <w:szCs w:val="21"/>
              </w:rPr>
              <w:t>10个：</w:t>
            </w:r>
            <w:r>
              <w:rPr>
                <w:rFonts w:ascii="宋体"/>
                <w:color w:val="000000"/>
                <w:sz w:val="21"/>
              </w:rPr>
              <w:t>第28、29、</w:t>
            </w:r>
            <w:r>
              <w:rPr>
                <w:rFonts w:ascii="宋体" w:eastAsia="宋体"/>
                <w:color w:val="000000"/>
                <w:sz w:val="21"/>
                <w:szCs w:val="21"/>
              </w:rPr>
              <w:t>57</w:t>
            </w:r>
            <w:r>
              <w:rPr>
                <w:rFonts w:ascii="宋体" w:eastAsia="宋体" w:hint="eastAsia"/>
                <w:color w:val="000000"/>
                <w:sz w:val="21"/>
                <w:szCs w:val="21"/>
              </w:rPr>
              <w:t>、</w:t>
            </w:r>
            <w:r>
              <w:rPr>
                <w:rFonts w:ascii="宋体" w:eastAsia="宋体"/>
                <w:color w:val="000000"/>
                <w:sz w:val="21"/>
                <w:szCs w:val="21"/>
              </w:rPr>
              <w:t>62</w:t>
            </w:r>
            <w:r>
              <w:rPr>
                <w:rFonts w:ascii="宋体" w:eastAsia="宋体" w:hint="eastAsia"/>
                <w:color w:val="000000"/>
                <w:sz w:val="21"/>
                <w:szCs w:val="21"/>
              </w:rPr>
              <w:t>、</w:t>
            </w:r>
            <w:r>
              <w:rPr>
                <w:rFonts w:ascii="宋体" w:eastAsia="宋体"/>
                <w:color w:val="000000"/>
                <w:sz w:val="21"/>
                <w:szCs w:val="21"/>
              </w:rPr>
              <w:t>75</w:t>
            </w:r>
            <w:r>
              <w:rPr>
                <w:rFonts w:ascii="宋体" w:eastAsia="宋体" w:hint="eastAsia"/>
                <w:color w:val="000000"/>
                <w:sz w:val="21"/>
                <w:szCs w:val="21"/>
              </w:rPr>
              <w:t>、</w:t>
            </w:r>
            <w:r>
              <w:rPr>
                <w:rFonts w:ascii="宋体" w:eastAsia="宋体"/>
                <w:color w:val="000000"/>
                <w:sz w:val="21"/>
                <w:szCs w:val="21"/>
              </w:rPr>
              <w:t>77</w:t>
            </w:r>
            <w:r>
              <w:rPr>
                <w:rFonts w:ascii="宋体" w:eastAsia="宋体" w:hint="eastAsia"/>
                <w:color w:val="000000"/>
                <w:sz w:val="21"/>
                <w:szCs w:val="21"/>
              </w:rPr>
              <w:t>、78、79、</w:t>
            </w:r>
            <w:r>
              <w:rPr>
                <w:rFonts w:ascii="宋体" w:eastAsia="宋体"/>
                <w:color w:val="000000"/>
                <w:sz w:val="21"/>
                <w:szCs w:val="21"/>
              </w:rPr>
              <w:t>81</w:t>
            </w:r>
            <w:r>
              <w:rPr>
                <w:rFonts w:ascii="宋体" w:eastAsia="宋体" w:hint="eastAsia"/>
                <w:color w:val="000000"/>
                <w:sz w:val="21"/>
                <w:szCs w:val="21"/>
              </w:rPr>
              <w:t>、9</w:t>
            </w:r>
            <w:r>
              <w:rPr>
                <w:rFonts w:ascii="宋体" w:eastAsia="宋体" w:hint="eastAsia"/>
                <w:color w:val="000000"/>
                <w:sz w:val="21"/>
                <w:szCs w:val="21"/>
                <w:lang w:val="en-US" w:eastAsia="zh-CN"/>
              </w:rPr>
              <w:t>2</w:t>
            </w:r>
            <w:r>
              <w:rPr>
                <w:rFonts w:ascii="宋体" w:eastAsia="宋体" w:hint="eastAsia"/>
                <w:color w:val="000000"/>
                <w:sz w:val="21"/>
                <w:szCs w:val="21"/>
              </w:rPr>
              <w:t>项各</w:t>
            </w:r>
            <w:r>
              <w:rPr>
                <w:rFonts w:ascii="宋体" w:eastAsia="宋体"/>
                <w:color w:val="000000"/>
                <w:sz w:val="21"/>
                <w:szCs w:val="21"/>
              </w:rPr>
              <w:t>1</w:t>
            </w:r>
            <w:r>
              <w:rPr>
                <w:rFonts w:ascii="宋体" w:eastAsia="宋体" w:hint="eastAsia"/>
                <w:color w:val="000000"/>
                <w:sz w:val="21"/>
                <w:szCs w:val="21"/>
              </w:rPr>
              <w:t>个。</w:t>
            </w:r>
          </w:p>
          <w:p>
            <w:pPr>
              <w:pStyle w:val="626"/>
              <w:ind w:firstLine="0"/>
              <w:jc w:val="left"/>
              <w:rPr>
                <w:rFonts w:ascii="宋体"/>
                <w:color w:val="000000"/>
              </w:rPr>
            </w:pPr>
            <w:r>
              <w:rPr>
                <w:rFonts w:ascii="宋体" w:eastAsia="宋体" w:hint="eastAsia"/>
                <w:color w:val="000000"/>
                <w:sz w:val="21"/>
                <w:szCs w:val="21"/>
              </w:rPr>
              <w:t>七、服务</w:t>
            </w:r>
            <w:r>
              <w:rPr>
                <w:rFonts w:ascii="宋体"/>
                <w:color w:val="000000"/>
                <w:sz w:val="21"/>
              </w:rPr>
              <w:t>要求</w:t>
            </w:r>
            <w:r>
              <w:rPr>
                <w:rFonts w:ascii="宋体" w:eastAsia="宋体"/>
                <w:color w:val="000000"/>
                <w:sz w:val="21"/>
                <w:szCs w:val="21"/>
              </w:rPr>
              <w:t>2</w:t>
            </w:r>
            <w:r>
              <w:rPr>
                <w:rFonts w:ascii="宋体" w:eastAsia="宋体" w:hint="eastAsia"/>
                <w:color w:val="000000"/>
                <w:sz w:val="21"/>
                <w:szCs w:val="21"/>
              </w:rPr>
              <w:t>个：第5、6</w:t>
            </w:r>
            <w:r>
              <w:rPr>
                <w:rFonts w:ascii="宋体"/>
                <w:color w:val="000000"/>
                <w:sz w:val="21"/>
              </w:rPr>
              <w:t>项</w:t>
            </w:r>
            <w:r>
              <w:rPr>
                <w:rFonts w:ascii="宋体" w:eastAsia="宋体" w:hint="eastAsia"/>
                <w:color w:val="000000"/>
                <w:sz w:val="21"/>
                <w:szCs w:val="21"/>
              </w:rPr>
              <w:t>各</w:t>
            </w:r>
            <w:r>
              <w:rPr>
                <w:rFonts w:ascii="宋体" w:eastAsia="宋体"/>
                <w:color w:val="000000"/>
                <w:sz w:val="21"/>
                <w:szCs w:val="21"/>
              </w:rPr>
              <w:t>1</w:t>
            </w:r>
            <w:r>
              <w:rPr>
                <w:rFonts w:ascii="宋体" w:eastAsia="宋体" w:hint="eastAsia"/>
                <w:color w:val="000000"/>
                <w:sz w:val="21"/>
                <w:szCs w:val="21"/>
              </w:rPr>
              <w:t>个。</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704" w:type="dxa"/>
            <w:noWrap/>
            <w:vAlign w:val="center"/>
          </w:tcPr>
          <w:p>
            <w:pPr>
              <w:jc w:val="center"/>
              <w:rPr>
                <w:rFonts w:ascii="宋体"/>
                <w:color w:val="000000"/>
              </w:rPr>
            </w:pPr>
            <w:r>
              <w:rPr>
                <w:rFonts w:ascii="宋体" w:hint="eastAsia"/>
                <w:color w:val="000000"/>
              </w:rPr>
              <w:t>2</w:t>
            </w:r>
          </w:p>
        </w:tc>
        <w:tc>
          <w:tcPr>
            <w:tcW w:w="1134" w:type="dxa"/>
            <w:noWrap/>
            <w:vAlign w:val="center"/>
          </w:tcPr>
          <w:p>
            <w:pPr>
              <w:pStyle w:val="626"/>
              <w:ind w:firstLine="0"/>
              <w:jc w:val="center"/>
              <w:rPr>
                <w:rFonts w:ascii="宋体" w:eastAsia="宋体"/>
                <w:color w:val="000000"/>
              </w:rPr>
            </w:pPr>
            <w:r>
              <w:rPr>
                <w:rFonts w:ascii="宋体" w:eastAsia="宋体" w:hint="eastAsia"/>
                <w:color w:val="000000"/>
              </w:rPr>
              <w:t>一般指标项</w:t>
            </w:r>
          </w:p>
        </w:tc>
        <w:tc>
          <w:tcPr>
            <w:tcW w:w="1134" w:type="dxa"/>
            <w:noWrap/>
            <w:vAlign w:val="center"/>
          </w:tcPr>
          <w:p>
            <w:pPr>
              <w:pStyle w:val="626"/>
              <w:ind w:firstLine="0"/>
              <w:jc w:val="center"/>
              <w:rPr>
                <w:rFonts w:ascii="宋体" w:eastAsia="宋体"/>
                <w:color w:val="000000"/>
              </w:rPr>
            </w:pPr>
            <w:r>
              <w:rPr>
                <w:rFonts w:ascii="宋体" w:eastAsia="宋体" w:hint="eastAsia"/>
                <w:color w:val="000000"/>
                <w:sz w:val="21"/>
                <w:szCs w:val="21"/>
              </w:rPr>
              <w:t>88</w:t>
            </w:r>
          </w:p>
        </w:tc>
        <w:tc>
          <w:tcPr>
            <w:tcW w:w="5536" w:type="dxa"/>
            <w:noWrap/>
            <w:vAlign w:val="center"/>
          </w:tcPr>
          <w:p>
            <w:pPr>
              <w:pStyle w:val="626"/>
              <w:ind w:firstLine="0"/>
              <w:jc w:val="left"/>
              <w:rPr>
                <w:rFonts w:ascii="宋体" w:eastAsia="宋体" w:hint="eastAsia"/>
                <w:color w:val="000000"/>
                <w:sz w:val="21"/>
              </w:rPr>
            </w:pPr>
            <w:r>
              <w:rPr>
                <w:rFonts w:ascii="宋体" w:eastAsia="宋体" w:hint="eastAsia"/>
                <w:color w:val="000000"/>
                <w:sz w:val="21"/>
              </w:rPr>
              <w:t>五、集成需求3个，第1-3项各1个。</w:t>
            </w:r>
          </w:p>
          <w:p>
            <w:pPr>
              <w:pStyle w:val="626"/>
              <w:ind w:firstLine="0"/>
              <w:jc w:val="left"/>
              <w:rPr>
                <w:rFonts w:ascii="宋体"/>
                <w:color w:val="000000"/>
                <w:sz w:val="21"/>
              </w:rPr>
            </w:pPr>
            <w:r>
              <w:rPr>
                <w:rFonts w:ascii="宋体"/>
                <w:color w:val="000000"/>
                <w:sz w:val="21"/>
              </w:rPr>
              <w:t>六、货物或服务指标要求</w:t>
            </w:r>
            <w:r>
              <w:rPr>
                <w:rFonts w:ascii="宋体" w:eastAsia="宋体" w:hint="eastAsia"/>
                <w:color w:val="000000"/>
                <w:sz w:val="21"/>
                <w:szCs w:val="21"/>
              </w:rPr>
              <w:t>75个：</w:t>
            </w:r>
            <w:r>
              <w:rPr>
                <w:rFonts w:ascii="宋体"/>
                <w:color w:val="000000"/>
                <w:sz w:val="21"/>
              </w:rPr>
              <w:t>第1-2</w:t>
            </w:r>
            <w:r>
              <w:rPr>
                <w:rFonts w:ascii="宋体" w:eastAsia="宋体" w:hint="eastAsia"/>
                <w:color w:val="000000"/>
                <w:sz w:val="21"/>
              </w:rPr>
              <w:t>7</w:t>
            </w:r>
            <w:r>
              <w:rPr>
                <w:rFonts w:ascii="宋体"/>
                <w:color w:val="000000"/>
                <w:sz w:val="21"/>
              </w:rPr>
              <w:t>项、</w:t>
            </w:r>
            <w:r>
              <w:rPr>
                <w:rFonts w:ascii="宋体" w:eastAsia="宋体" w:hint="eastAsia"/>
                <w:color w:val="000000"/>
                <w:sz w:val="21"/>
              </w:rPr>
              <w:t>第</w:t>
            </w:r>
            <w:r>
              <w:rPr>
                <w:rFonts w:ascii="宋体"/>
                <w:color w:val="000000"/>
                <w:sz w:val="21"/>
              </w:rPr>
              <w:t>30-32项、</w:t>
            </w:r>
            <w:r>
              <w:rPr>
                <w:rFonts w:ascii="宋体" w:eastAsia="宋体" w:hint="eastAsia"/>
                <w:color w:val="000000"/>
                <w:sz w:val="21"/>
              </w:rPr>
              <w:t>第</w:t>
            </w:r>
            <w:r>
              <w:rPr>
                <w:rFonts w:ascii="宋体"/>
                <w:color w:val="000000"/>
                <w:sz w:val="21"/>
              </w:rPr>
              <w:t>34-44项、</w:t>
            </w:r>
            <w:r>
              <w:rPr>
                <w:rFonts w:ascii="宋体" w:eastAsia="宋体" w:hint="eastAsia"/>
                <w:color w:val="000000"/>
                <w:sz w:val="21"/>
              </w:rPr>
              <w:t>第</w:t>
            </w:r>
            <w:r>
              <w:rPr>
                <w:rFonts w:ascii="宋体"/>
                <w:color w:val="000000"/>
                <w:sz w:val="21"/>
              </w:rPr>
              <w:t>47-56项、</w:t>
            </w:r>
            <w:r>
              <w:rPr>
                <w:rFonts w:ascii="宋体" w:eastAsia="宋体" w:hint="eastAsia"/>
                <w:color w:val="000000"/>
                <w:sz w:val="21"/>
              </w:rPr>
              <w:t>第</w:t>
            </w:r>
            <w:r>
              <w:rPr>
                <w:rFonts w:ascii="宋体"/>
                <w:color w:val="000000"/>
                <w:sz w:val="21"/>
              </w:rPr>
              <w:t>58-61项、</w:t>
            </w:r>
            <w:r>
              <w:rPr>
                <w:rFonts w:ascii="宋体" w:eastAsia="宋体" w:hint="eastAsia"/>
                <w:color w:val="000000"/>
                <w:sz w:val="21"/>
              </w:rPr>
              <w:t>第</w:t>
            </w:r>
            <w:r>
              <w:rPr>
                <w:rFonts w:ascii="宋体"/>
                <w:color w:val="000000"/>
                <w:sz w:val="21"/>
              </w:rPr>
              <w:t>63-74项、76项、</w:t>
            </w:r>
            <w:r>
              <w:rPr>
                <w:rFonts w:ascii="宋体" w:eastAsia="宋体" w:hint="eastAsia"/>
                <w:color w:val="000000"/>
                <w:sz w:val="21"/>
              </w:rPr>
              <w:t>80项、第</w:t>
            </w:r>
            <w:r>
              <w:rPr>
                <w:rFonts w:ascii="宋体"/>
                <w:color w:val="000000"/>
                <w:sz w:val="21"/>
              </w:rPr>
              <w:t>82</w:t>
            </w:r>
            <w:r>
              <w:rPr>
                <w:rFonts w:ascii="宋体" w:eastAsia="宋体"/>
                <w:color w:val="000000"/>
                <w:sz w:val="21"/>
                <w:szCs w:val="21"/>
              </w:rPr>
              <w:t>-84</w:t>
            </w:r>
            <w:r>
              <w:rPr>
                <w:rFonts w:ascii="宋体"/>
                <w:color w:val="000000"/>
                <w:sz w:val="21"/>
              </w:rPr>
              <w:t>项、</w:t>
            </w:r>
            <w:r>
              <w:rPr>
                <w:rFonts w:ascii="宋体" w:eastAsia="宋体" w:hint="eastAsia"/>
                <w:color w:val="000000"/>
                <w:sz w:val="21"/>
              </w:rPr>
              <w:t>第</w:t>
            </w:r>
            <w:r>
              <w:rPr>
                <w:rFonts w:ascii="宋体" w:eastAsia="宋体" w:hint="eastAsia"/>
                <w:color w:val="000000"/>
                <w:sz w:val="21"/>
                <w:szCs w:val="21"/>
              </w:rPr>
              <w:t>87</w:t>
            </w:r>
            <w:r>
              <w:rPr>
                <w:rFonts w:ascii="宋体" w:eastAsia="宋体"/>
                <w:color w:val="000000"/>
                <w:sz w:val="21"/>
                <w:szCs w:val="21"/>
              </w:rPr>
              <w:t>-</w:t>
            </w:r>
            <w:r>
              <w:rPr>
                <w:rFonts w:ascii="宋体" w:eastAsia="宋体" w:hint="eastAsia"/>
                <w:color w:val="000000"/>
                <w:sz w:val="21"/>
                <w:szCs w:val="21"/>
              </w:rPr>
              <w:t>89</w:t>
            </w:r>
            <w:r>
              <w:rPr>
                <w:rFonts w:ascii="宋体"/>
                <w:color w:val="000000"/>
                <w:sz w:val="21"/>
              </w:rPr>
              <w:t>项</w:t>
            </w:r>
            <w:r>
              <w:rPr>
                <w:rFonts w:ascii="宋体" w:eastAsia="宋体" w:hint="eastAsia"/>
                <w:color w:val="000000"/>
                <w:sz w:val="21"/>
                <w:szCs w:val="21"/>
              </w:rPr>
              <w:t>各</w:t>
            </w:r>
            <w:r>
              <w:rPr>
                <w:rFonts w:ascii="宋体" w:eastAsia="宋体"/>
                <w:color w:val="000000"/>
                <w:sz w:val="21"/>
                <w:szCs w:val="21"/>
              </w:rPr>
              <w:t>1</w:t>
            </w:r>
            <w:r>
              <w:rPr>
                <w:rFonts w:ascii="宋体" w:eastAsia="宋体" w:hint="eastAsia"/>
                <w:color w:val="000000"/>
                <w:sz w:val="21"/>
                <w:szCs w:val="21"/>
              </w:rPr>
              <w:t>个。</w:t>
            </w:r>
          </w:p>
          <w:p>
            <w:pPr>
              <w:pStyle w:val="626"/>
              <w:ind w:firstLine="0"/>
              <w:jc w:val="left"/>
              <w:rPr>
                <w:rFonts w:ascii="宋体"/>
                <w:color w:val="000000"/>
                <w:sz w:val="21"/>
              </w:rPr>
            </w:pPr>
            <w:r>
              <w:rPr>
                <w:rFonts w:ascii="宋体"/>
                <w:color w:val="000000"/>
                <w:sz w:val="21"/>
              </w:rPr>
              <w:t>七、服务要求</w:t>
            </w:r>
            <w:r>
              <w:rPr>
                <w:rFonts w:ascii="宋体" w:eastAsia="宋体" w:hint="eastAsia"/>
                <w:color w:val="000000"/>
                <w:sz w:val="21"/>
              </w:rPr>
              <w:t>4</w:t>
            </w:r>
            <w:r>
              <w:rPr>
                <w:rFonts w:ascii="宋体" w:eastAsia="宋体" w:hint="eastAsia"/>
                <w:color w:val="000000"/>
                <w:sz w:val="21"/>
                <w:szCs w:val="21"/>
              </w:rPr>
              <w:t>个：第</w:t>
            </w:r>
            <w:r>
              <w:rPr>
                <w:rFonts w:ascii="宋体" w:eastAsia="宋体"/>
                <w:color w:val="000000"/>
                <w:sz w:val="21"/>
                <w:szCs w:val="21"/>
              </w:rPr>
              <w:t>1</w:t>
            </w:r>
            <w:r>
              <w:rPr>
                <w:rFonts w:ascii="宋体" w:eastAsia="宋体" w:hint="eastAsia"/>
                <w:color w:val="000000"/>
                <w:sz w:val="21"/>
                <w:szCs w:val="21"/>
              </w:rPr>
              <w:t>、3、8、9项各</w:t>
            </w:r>
            <w:r>
              <w:rPr>
                <w:rFonts w:ascii="宋体" w:eastAsia="宋体"/>
                <w:color w:val="000000"/>
                <w:sz w:val="21"/>
                <w:szCs w:val="21"/>
              </w:rPr>
              <w:t>1</w:t>
            </w:r>
            <w:r>
              <w:rPr>
                <w:rFonts w:ascii="宋体" w:eastAsia="宋体" w:hint="eastAsia"/>
                <w:color w:val="000000"/>
                <w:sz w:val="21"/>
                <w:szCs w:val="21"/>
              </w:rPr>
              <w:t>个。</w:t>
            </w:r>
          </w:p>
          <w:p>
            <w:pPr>
              <w:pStyle w:val="626"/>
              <w:ind w:firstLine="0"/>
              <w:jc w:val="left"/>
            </w:pPr>
            <w:r>
              <w:rPr>
                <w:rFonts w:ascii="宋体"/>
                <w:color w:val="000000"/>
                <w:sz w:val="21"/>
              </w:rPr>
              <w:t>八、实施要</w:t>
            </w:r>
            <w:r>
              <w:rPr>
                <w:rFonts w:ascii="宋体" w:eastAsia="宋体" w:hint="eastAsia"/>
                <w:color w:val="000000"/>
                <w:sz w:val="21"/>
              </w:rPr>
              <w:t>6</w:t>
            </w:r>
            <w:r>
              <w:rPr>
                <w:rFonts w:ascii="宋体" w:eastAsia="宋体" w:hint="eastAsia"/>
                <w:color w:val="000000"/>
                <w:sz w:val="21"/>
                <w:szCs w:val="21"/>
              </w:rPr>
              <w:t>个：</w:t>
            </w:r>
            <w:r>
              <w:rPr>
                <w:rFonts w:ascii="宋体"/>
                <w:color w:val="000000"/>
                <w:sz w:val="21"/>
              </w:rPr>
              <w:t>第1、2、</w:t>
            </w:r>
            <w:r>
              <w:rPr>
                <w:rFonts w:ascii="宋体" w:eastAsia="宋体" w:hint="eastAsia"/>
                <w:color w:val="000000"/>
                <w:sz w:val="21"/>
              </w:rPr>
              <w:t>4、</w:t>
            </w:r>
            <w:r>
              <w:rPr>
                <w:rFonts w:ascii="宋体" w:eastAsia="宋体"/>
                <w:color w:val="000000"/>
                <w:sz w:val="21"/>
                <w:szCs w:val="21"/>
              </w:rPr>
              <w:t>5</w:t>
            </w:r>
            <w:r>
              <w:rPr>
                <w:rFonts w:ascii="宋体" w:eastAsia="宋体" w:hint="eastAsia"/>
                <w:color w:val="000000"/>
                <w:sz w:val="21"/>
                <w:szCs w:val="21"/>
              </w:rPr>
              <w:t>、</w:t>
            </w:r>
            <w:r>
              <w:rPr>
                <w:rFonts w:ascii="宋体" w:eastAsia="宋体"/>
                <w:color w:val="000000"/>
                <w:sz w:val="21"/>
                <w:szCs w:val="21"/>
              </w:rPr>
              <w:t>6</w:t>
            </w:r>
            <w:r>
              <w:rPr>
                <w:rFonts w:ascii="宋体" w:eastAsia="宋体" w:hint="eastAsia"/>
                <w:color w:val="000000"/>
                <w:sz w:val="21"/>
                <w:szCs w:val="21"/>
              </w:rPr>
              <w:t>、9</w:t>
            </w:r>
            <w:r>
              <w:rPr>
                <w:rFonts w:ascii="宋体"/>
                <w:color w:val="000000"/>
                <w:sz w:val="21"/>
              </w:rPr>
              <w:t>项</w:t>
            </w:r>
            <w:r>
              <w:rPr>
                <w:rFonts w:ascii="宋体" w:eastAsia="宋体" w:hint="eastAsia"/>
                <w:color w:val="000000"/>
                <w:sz w:val="21"/>
                <w:szCs w:val="21"/>
              </w:rPr>
              <w:t>各</w:t>
            </w:r>
            <w:r>
              <w:rPr>
                <w:rFonts w:ascii="宋体" w:eastAsia="宋体"/>
                <w:color w:val="000000"/>
                <w:sz w:val="21"/>
                <w:szCs w:val="21"/>
              </w:rPr>
              <w:t>1</w:t>
            </w:r>
            <w:r>
              <w:rPr>
                <w:rFonts w:ascii="宋体" w:eastAsia="宋体" w:hint="eastAsia"/>
                <w:color w:val="000000"/>
                <w:sz w:val="21"/>
                <w:szCs w:val="21"/>
              </w:rPr>
              <w:t>个。</w:t>
            </w:r>
          </w:p>
        </w:tc>
      </w:tr>
    </w:tbl>
    <w:p>
      <w:pPr>
        <w:rPr>
          <w:rFonts w:ascii="等线" w:eastAsia="等线"/>
          <w:b/>
          <w:bCs/>
          <w:color w:val="000000"/>
        </w:rPr>
      </w:pPr>
      <w:r>
        <w:rPr>
          <w:rFonts w:ascii="等线" w:eastAsia="等线" w:hint="eastAsia"/>
          <w:b/>
          <w:bCs/>
          <w:color w:val="000000"/>
        </w:rPr>
        <w:t>备注：</w:t>
      </w:r>
    </w:p>
    <w:p>
      <w:pPr>
        <w:rPr>
          <w:rFonts w:ascii="宋体"/>
        </w:rPr>
      </w:pPr>
      <w:r>
        <w:rPr>
          <w:rFonts w:ascii="宋体" w:hint="eastAsia"/>
        </w:rPr>
        <w:t>①表格内容填写完整、规范，确保无缺漏项。</w:t>
      </w:r>
    </w:p>
    <w:p>
      <w:pPr>
        <w:rPr>
          <w:rFonts w:ascii="宋体"/>
        </w:rPr>
      </w:pPr>
      <w:r>
        <w:rPr>
          <w:rFonts w:ascii="宋体" w:hint="eastAsia"/>
        </w:rPr>
        <w:t>②第</w:t>
      </w:r>
      <w:r>
        <w:rPr>
          <w:rFonts w:ascii="宋体"/>
        </w:rPr>
        <w:t>五</w:t>
      </w:r>
      <w:r>
        <w:rPr>
          <w:rFonts w:ascii="宋体" w:hint="eastAsia"/>
        </w:rPr>
        <w:t>部分至第</w:t>
      </w:r>
      <w:r>
        <w:rPr>
          <w:rFonts w:ascii="宋体"/>
        </w:rPr>
        <w:t>九</w:t>
      </w:r>
      <w:r>
        <w:rPr>
          <w:rFonts w:ascii="宋体" w:hint="eastAsia"/>
        </w:rPr>
        <w:t>部分（集成需求、货物或服务指标要求、服务要求、实施</w:t>
      </w:r>
      <w:r>
        <w:rPr>
          <w:rFonts w:ascii="宋体"/>
        </w:rPr>
        <w:t>要求、其它内容</w:t>
      </w:r>
      <w:r>
        <w:rPr>
          <w:rFonts w:ascii="宋体" w:hint="eastAsia"/>
        </w:rPr>
        <w:t>）内容需按照法律规定将评审因素细化、量化，制定科学合理评分标准，第</w:t>
      </w:r>
      <w:r>
        <w:rPr>
          <w:rFonts w:ascii="宋体"/>
        </w:rPr>
        <w:t>四</w:t>
      </w:r>
      <w:r>
        <w:rPr>
          <w:rFonts w:ascii="宋体" w:hint="eastAsia"/>
        </w:rPr>
        <w:t>部分（项目概述）根据具体内容研判是否设置评分标准。</w:t>
      </w:r>
    </w:p>
    <w:p>
      <w:pPr>
        <w:rPr>
          <w:rFonts w:ascii="宋体"/>
        </w:rPr>
      </w:pPr>
      <w:r>
        <w:rPr>
          <w:rFonts w:ascii="宋体" w:hint="eastAsia"/>
        </w:rPr>
        <w:t>③需统计重要指标项和一般指标项数量，并分别填入</w:t>
      </w:r>
      <w:r>
        <w:rPr>
          <w:rFonts w:ascii="宋体"/>
        </w:rPr>
        <w:t>《技术服务需求响应程度表》</w:t>
      </w:r>
      <w:r>
        <w:rPr>
          <w:rFonts w:ascii="宋体" w:hint="eastAsia"/>
        </w:rPr>
        <w:t>。</w:t>
      </w:r>
    </w:p>
    <w:p>
      <w:pPr>
        <w:rPr>
          <w:color w:val="0000FF"/>
          <w:lang w:val="en-US" w:eastAsia="zh-CN"/>
        </w:rPr>
      </w:pPr>
      <w:bookmarkEnd w:id="37"/>
    </w:p>
    <w:p>
      <w:pPr>
        <w:rPr>
          <w:rFonts w:hint="eastAsia"/>
          <w:highlight w:val="white"/>
        </w:rPr>
      </w:pPr>
    </w:p>
    <w:p>
      <w:pPr>
        <w:pStyle w:val="Heading1"/>
      </w:pPr>
      <w:r>
        <w:rPr>
          <w:highlight w:val="white"/>
        </w:rPr>
        <w:br w:type="page"/>
      </w:r>
      <w:bookmarkStart w:id="60"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60"/>
    </w:p>
    <w:p>
      <w:bookmarkStart w:id="61"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42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1124"/>
        <w:gridCol w:w="6135"/>
        <w:gridCol w:w="1561"/>
      </w:tblGrid>
      <w:tr>
        <w:tblPrEx>
          <w:tblW w:w="542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1124" w:type="dxa"/>
          </w:tcPr>
          <w:p>
            <w:r>
              <w:t>评审因素</w:t>
            </w:r>
          </w:p>
        </w:tc>
        <w:tc>
          <w:tcPr>
            <w:tcW w:w="6135" w:type="dxa"/>
          </w:tcPr>
          <w:p>
            <w:r>
              <w:t>评分标准说明</w:t>
            </w:r>
          </w:p>
        </w:tc>
        <w:tc>
          <w:tcPr>
            <w:tcW w:w="1561" w:type="dxa"/>
          </w:tcPr>
          <w:p>
            <w:r>
              <w:t>分值范围</w:t>
            </w:r>
          </w:p>
        </w:tc>
      </w:tr>
      <w:tr>
        <w:tblPrEx>
          <w:tblW w:w="5420" w:type="pct"/>
          <w:jc w:val="left"/>
          <w:tblInd w:w="0" w:type="dxa"/>
          <w:tblCellMar>
            <w:top w:w="0" w:type="dxa"/>
            <w:left w:w="108" w:type="dxa"/>
            <w:bottom w:w="0" w:type="dxa"/>
            <w:right w:w="108" w:type="dxa"/>
          </w:tblCellMar>
        </w:tblPrEx>
        <w:trPr>
          <w:jc w:val="left"/>
        </w:trPr>
        <w:tc>
          <w:tcPr>
            <w:tcW w:w="426" w:type="dxa"/>
          </w:tcPr>
          <w:p>
            <w:r>
              <w:t>价格分</w:t>
            </w:r>
          </w:p>
        </w:tc>
        <w:tc>
          <w:tcPr>
            <w:tcW w:w="1124" w:type="dxa"/>
          </w:tcPr>
          <w:p>
            <w:r>
              <w:t>价格评审</w:t>
            </w:r>
          </w:p>
        </w:tc>
        <w:tc>
          <w:tcPr>
            <w:tcW w:w="6135" w:type="dxa"/>
          </w:tcPr>
          <w:p>
            <w:r>
              <w:t>采用低价优先法计算，即满足招标文件要求且投标价格最低的投标报价为评标基准价，其价格分为满分。其他投标人的价格分按照下列公式计算：价格得分=(评标基准价／投标报价)×10%×100。</w:t>
            </w:r>
          </w:p>
        </w:tc>
        <w:tc>
          <w:tcPr>
            <w:tcW w:w="1561" w:type="dxa"/>
          </w:tcPr>
          <w:p>
            <w:r>
              <w:t>区间打分(0-10)</w:t>
            </w:r>
          </w:p>
        </w:tc>
      </w:tr>
      <w:tr>
        <w:tblPrEx>
          <w:tblW w:w="5420"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1124" w:type="dxa"/>
          </w:tcPr>
          <w:p>
            <w:r>
              <w:t>投标文件编制质量、对招标文件的响应程度</w:t>
            </w:r>
          </w:p>
        </w:tc>
        <w:tc>
          <w:tcPr>
            <w:tcW w:w="6135" w:type="dxa"/>
          </w:tcPr>
          <w:p>
            <w:r>
              <w:t>电子投标文件的逐项响应、定位和绑定清晰准确得0.5分；         有一项未响应或定位和绑定模糊、有偏差的得0.25分；        有两项或两项以上未响应或定位和绑定模糊、有偏差的得0分。</w:t>
            </w:r>
          </w:p>
        </w:tc>
        <w:tc>
          <w:tcPr>
            <w:tcW w:w="1561" w:type="dxa"/>
          </w:tcPr>
          <w:p>
            <w:r>
              <w:t>勾选打分(0;0.25;0.5)</w:t>
            </w:r>
          </w:p>
        </w:tc>
      </w:tr>
      <w:tr>
        <w:tblPrEx>
          <w:tblW w:w="5420" w:type="pct"/>
          <w:jc w:val="left"/>
          <w:tblInd w:w="0" w:type="dxa"/>
          <w:tblCellMar>
            <w:top w:w="0" w:type="dxa"/>
            <w:left w:w="108" w:type="dxa"/>
            <w:bottom w:w="0" w:type="dxa"/>
            <w:right w:w="108" w:type="dxa"/>
          </w:tblCellMar>
        </w:tblPrEx>
        <w:trPr>
          <w:jc w:val="left"/>
        </w:trPr>
        <w:tc>
          <w:tcPr>
            <w:tcW w:w="291" w:type="dxa"/>
            <w:vMerge/>
          </w:tcPr>
          <w:p/>
        </w:tc>
        <w:tc>
          <w:tcPr>
            <w:tcW w:w="1124" w:type="dxa"/>
          </w:tcPr>
          <w:p>
            <w:r>
              <w:t>投标人业绩</w:t>
            </w:r>
          </w:p>
        </w:tc>
        <w:tc>
          <w:tcPr>
            <w:tcW w:w="6135" w:type="dxa"/>
          </w:tcPr>
          <w:p>
            <w:r>
              <w:t xml:space="preserve">投标人提供近3年来与本项目同类服务方面业绩相关材料, 每有一个有效案例得1 分，最多得5分。      </w:t>
            </w:r>
          </w:p>
          <w:p>
            <w:r>
              <w:t xml:space="preserve">注：1.上述业绩合同签订时间须为2021年12月1日（以合同签订日期为准）起至本项目采购公告发布之日止；    </w:t>
            </w:r>
          </w:p>
          <w:p>
            <w:r>
              <w:t xml:space="preserve">2.合同销售方（乙方）必须为供应商自身，需提供合同复印件并加盖公章，其中合同中必须至少包含合同首页、服务内容、双方印章、签字、签订时间、付款条件页，以及合同履行第一笔付款乙方开具的发票复印件等信息内容（以上内容缺少一项，案例不予承认）；    </w:t>
            </w:r>
          </w:p>
          <w:p>
            <w:r>
              <w:t xml:space="preserve">3.提供的案例业绩合同材料复印件须字迹清晰，辨识无误；    </w:t>
            </w:r>
          </w:p>
          <w:p>
            <w:r>
              <w:t>4.不符合上述要求或未按要求提供有效证明文件的业绩在评审时将不予以承认。</w:t>
            </w:r>
          </w:p>
        </w:tc>
        <w:tc>
          <w:tcPr>
            <w:tcW w:w="1561" w:type="dxa"/>
          </w:tcPr>
          <w:p>
            <w:r>
              <w:t>勾选打分(0;1;2;3;4;5)</w:t>
            </w:r>
          </w:p>
        </w:tc>
      </w:tr>
      <w:tr>
        <w:tblPrEx>
          <w:tblW w:w="5420" w:type="pct"/>
          <w:jc w:val="left"/>
          <w:tblInd w:w="0" w:type="dxa"/>
          <w:tblCellMar>
            <w:top w:w="0" w:type="dxa"/>
            <w:left w:w="108" w:type="dxa"/>
            <w:bottom w:w="0" w:type="dxa"/>
            <w:right w:w="108" w:type="dxa"/>
          </w:tblCellMar>
        </w:tblPrEx>
        <w:trPr>
          <w:jc w:val="left"/>
        </w:trPr>
        <w:tc>
          <w:tcPr>
            <w:tcW w:w="291" w:type="dxa"/>
            <w:vMerge/>
          </w:tcPr>
          <w:p/>
        </w:tc>
        <w:tc>
          <w:tcPr>
            <w:tcW w:w="1124" w:type="dxa"/>
          </w:tcPr>
          <w:p>
            <w:r>
              <w:t>企业综合实力</w:t>
            </w:r>
          </w:p>
        </w:tc>
        <w:tc>
          <w:tcPr>
            <w:tcW w:w="6135" w:type="dxa"/>
          </w:tcPr>
          <w:p>
            <w:r>
              <w:t xml:space="preserve">1.投标人提供ISO9001质量管理体系认证证书，完整准确无误提供得0.5分，不提供不得分； </w:t>
            </w:r>
          </w:p>
          <w:p>
            <w:r>
              <w:t xml:space="preserve">2.投标人提供ISO20000信息技术服务管理体系认证证书，完整准确无误提供得0.5分，不提供不得分； </w:t>
            </w:r>
          </w:p>
          <w:p>
            <w:r>
              <w:t xml:space="preserve">3.投标人提供ISO27001信息安全管理体系认证证书，完整准确无误提供得0.5分，不提供不得分； </w:t>
            </w:r>
          </w:p>
          <w:p>
            <w:r>
              <w:t>上述证书均需处于有效期内，否则不得分，需提供证书复印件并加盖投标人公章。</w:t>
            </w:r>
          </w:p>
        </w:tc>
        <w:tc>
          <w:tcPr>
            <w:tcW w:w="1561" w:type="dxa"/>
          </w:tcPr>
          <w:p>
            <w:r>
              <w:t>勾选打分(0;0.5;1;1.5)</w:t>
            </w:r>
          </w:p>
        </w:tc>
      </w:tr>
      <w:tr>
        <w:tblPrEx>
          <w:tblW w:w="5420" w:type="pct"/>
          <w:jc w:val="left"/>
          <w:tblInd w:w="0" w:type="dxa"/>
          <w:tblCellMar>
            <w:top w:w="0" w:type="dxa"/>
            <w:left w:w="108" w:type="dxa"/>
            <w:bottom w:w="0" w:type="dxa"/>
            <w:right w:w="108" w:type="dxa"/>
          </w:tblCellMar>
        </w:tblPrEx>
        <w:trPr>
          <w:jc w:val="left"/>
        </w:trPr>
        <w:tc>
          <w:tcPr>
            <w:tcW w:w="426" w:type="dxa"/>
            <w:vMerge w:val="restart"/>
          </w:tcPr>
          <w:p>
            <w:r>
              <w:t>技术部分</w:t>
            </w:r>
          </w:p>
        </w:tc>
        <w:tc>
          <w:tcPr>
            <w:tcW w:w="1124" w:type="dxa"/>
          </w:tcPr>
          <w:p>
            <w:r>
              <w:t>重要技术服务指标响应程度</w:t>
            </w:r>
          </w:p>
        </w:tc>
        <w:tc>
          <w:tcPr>
            <w:tcW w:w="6135" w:type="dxa"/>
          </w:tcPr>
          <w:p>
            <w:r>
              <w:t xml:space="preserve">完全满足文件指标要求得28.8分，▲标记重要指标项每有一项不满足扣2.4分。         </w:t>
            </w:r>
          </w:p>
          <w:p>
            <w:r>
              <w:t xml:space="preserve">注：一共有12个重要指标，分别在：   </w:t>
            </w:r>
          </w:p>
          <w:p>
            <w:r>
              <w:t xml:space="preserve">六、货物或服务指标要求10个：第28、29、57、62、75、77、78、79、81、92项各1个。 </w:t>
            </w:r>
          </w:p>
          <w:p>
            <w:r>
              <w:t>七、服务要求2个：第5、6项各1个。</w:t>
            </w:r>
          </w:p>
        </w:tc>
        <w:tc>
          <w:tcPr>
            <w:tcW w:w="1561" w:type="dxa"/>
          </w:tcPr>
          <w:p>
            <w:r>
              <w:t>区间打分(0-28.8)</w:t>
            </w:r>
          </w:p>
        </w:tc>
      </w:tr>
      <w:tr>
        <w:tblPrEx>
          <w:tblW w:w="5420" w:type="pct"/>
          <w:jc w:val="left"/>
          <w:tblInd w:w="0" w:type="dxa"/>
          <w:tblCellMar>
            <w:top w:w="0" w:type="dxa"/>
            <w:left w:w="108" w:type="dxa"/>
            <w:bottom w:w="0" w:type="dxa"/>
            <w:right w:w="108" w:type="dxa"/>
          </w:tblCellMar>
        </w:tblPrEx>
        <w:trPr>
          <w:jc w:val="left"/>
        </w:trPr>
        <w:tc>
          <w:tcPr>
            <w:tcW w:w="291" w:type="dxa"/>
            <w:vMerge/>
          </w:tcPr>
          <w:p/>
        </w:tc>
        <w:tc>
          <w:tcPr>
            <w:tcW w:w="1124" w:type="dxa"/>
          </w:tcPr>
          <w:p>
            <w:r>
              <w:t>一般技术服务指标响应程度</w:t>
            </w:r>
          </w:p>
        </w:tc>
        <w:tc>
          <w:tcPr>
            <w:tcW w:w="6135" w:type="dxa"/>
          </w:tcPr>
          <w:p>
            <w:r>
              <w:t xml:space="preserve">完全满足文件指标要求得35.2分，普通指标项每有一项不满足扣0.4分。           </w:t>
            </w:r>
          </w:p>
          <w:p>
            <w:r>
              <w:t xml:space="preserve">注：一共88个一般指标项，   分别在：   </w:t>
            </w:r>
          </w:p>
          <w:p>
            <w:r>
              <w:t xml:space="preserve">五、集成需求3个，第1-3项各1个。 </w:t>
            </w:r>
          </w:p>
          <w:p>
            <w:r>
              <w:t xml:space="preserve">六、货物或服务指标要求75个：第1-27项、第30-32项、第34-44项、第47-56项、第58-61项、第63-74项、76项、80项、第82-84项、第87-89项各1个。 </w:t>
            </w:r>
          </w:p>
          <w:p>
            <w:r>
              <w:t xml:space="preserve">七、服务要求4个：第1、3、8、9项各1个。 </w:t>
            </w:r>
          </w:p>
          <w:p>
            <w:r>
              <w:t>八、实施要6个：第1、2、4、5、6、9项各1个。</w:t>
            </w:r>
          </w:p>
        </w:tc>
        <w:tc>
          <w:tcPr>
            <w:tcW w:w="1561" w:type="dxa"/>
          </w:tcPr>
          <w:p>
            <w:r>
              <w:t>区间打分(0-35.2)</w:t>
            </w:r>
          </w:p>
        </w:tc>
      </w:tr>
      <w:tr>
        <w:tblPrEx>
          <w:tblW w:w="5420" w:type="pct"/>
          <w:jc w:val="left"/>
          <w:tblInd w:w="0" w:type="dxa"/>
          <w:tblCellMar>
            <w:top w:w="0" w:type="dxa"/>
            <w:left w:w="108" w:type="dxa"/>
            <w:bottom w:w="0" w:type="dxa"/>
            <w:right w:w="108" w:type="dxa"/>
          </w:tblCellMar>
        </w:tblPrEx>
        <w:trPr>
          <w:jc w:val="left"/>
        </w:trPr>
        <w:tc>
          <w:tcPr>
            <w:tcW w:w="291" w:type="dxa"/>
            <w:vMerge/>
          </w:tcPr>
          <w:p/>
        </w:tc>
        <w:tc>
          <w:tcPr>
            <w:tcW w:w="1124" w:type="dxa"/>
          </w:tcPr>
          <w:p>
            <w:r>
              <w:t>需求理解分析</w:t>
            </w:r>
          </w:p>
        </w:tc>
        <w:tc>
          <w:tcPr>
            <w:tcW w:w="6135" w:type="dxa"/>
          </w:tcPr>
          <w:p>
            <w:r>
              <w:t xml:space="preserve">需求理解分析阐述对项目需求的理解，对项目功能性需求与非功能性需求进行分析，至少包括业务流程分析、业务需求分析、与外部系统的关系分析、性能需求、环境需求等内容。  </w:t>
            </w:r>
          </w:p>
          <w:p/>
          <w:p>
            <w:r>
              <w:t xml:space="preserve">需求理解分析内容科学周密，内容全面，完全契合项目需求实际，针对性可行性强，得5分；              </w:t>
            </w:r>
          </w:p>
          <w:p>
            <w:r>
              <w:t xml:space="preserve">需求理解分析内容较完整，基本满足项目需求，针对性可行性较强，但其中一项方案小项有缺陷（缺陷包括：与事实不符、前后内容不一致、逻辑错误、不符合采购需求、内容有缺失等），得3分；       </w:t>
            </w:r>
          </w:p>
          <w:p>
            <w:r>
              <w:t xml:space="preserve">需求理解分析内容有漏项，未完全包括上述几小项内容，或两个及以上方案小项中存在缺陷，得1分；   </w:t>
            </w:r>
          </w:p>
          <w:p>
            <w:r>
              <w:t>未提供需求理解分析内容或方案严重脱离项目实际，得0分。</w:t>
            </w:r>
          </w:p>
        </w:tc>
        <w:tc>
          <w:tcPr>
            <w:tcW w:w="1561" w:type="dxa"/>
          </w:tcPr>
          <w:p>
            <w:r>
              <w:t>勾选打分(0;1;3;5)</w:t>
            </w:r>
          </w:p>
        </w:tc>
      </w:tr>
      <w:tr>
        <w:tblPrEx>
          <w:tblW w:w="5420" w:type="pct"/>
          <w:jc w:val="left"/>
          <w:tblInd w:w="0" w:type="dxa"/>
          <w:tblCellMar>
            <w:top w:w="0" w:type="dxa"/>
            <w:left w:w="108" w:type="dxa"/>
            <w:bottom w:w="0" w:type="dxa"/>
            <w:right w:w="108" w:type="dxa"/>
          </w:tblCellMar>
        </w:tblPrEx>
        <w:trPr>
          <w:jc w:val="left"/>
        </w:trPr>
        <w:tc>
          <w:tcPr>
            <w:tcW w:w="291" w:type="dxa"/>
            <w:vMerge/>
          </w:tcPr>
          <w:p/>
        </w:tc>
        <w:tc>
          <w:tcPr>
            <w:tcW w:w="1124" w:type="dxa"/>
          </w:tcPr>
          <w:p>
            <w:r>
              <w:t>总体设计方案</w:t>
            </w:r>
          </w:p>
        </w:tc>
        <w:tc>
          <w:tcPr>
            <w:tcW w:w="6135" w:type="dxa"/>
          </w:tcPr>
          <w:p>
            <w:r>
              <w:t xml:space="preserve">提供总体技术设计方案，包括但不限于业务功能设计、应用架构、总体技术架构、数据架构、数据流向、部署设计、安全设计、重点设计、项目总体的国产化适配等内容。  </w:t>
            </w:r>
          </w:p>
          <w:p/>
          <w:p>
            <w:r>
              <w:t xml:space="preserve">总体设计方案内容科学周密，内容全面，完全契合项目需求实际，针对性可行性强，得5分；              </w:t>
            </w:r>
          </w:p>
          <w:p>
            <w:r>
              <w:t xml:space="preserve">总体设计方案内容较完整，基本满足项目需求，针对性可行性较强，但其中一项方案小项有缺陷（缺陷包括：与事实不符、前后内容不一致、逻辑错误、不符合采购需求、内容有缺失等），得3分；       </w:t>
            </w:r>
          </w:p>
          <w:p>
            <w:r>
              <w:t xml:space="preserve">总体设计方案内容有漏项，未完全包括上述几小项内容，或两个及以上方案小项中存在缺陷，得1分；   </w:t>
            </w:r>
          </w:p>
          <w:p>
            <w:r>
              <w:t>未提供总体设计方案内容或方案严重脱离项目实际，得0分。</w:t>
            </w:r>
          </w:p>
        </w:tc>
        <w:tc>
          <w:tcPr>
            <w:tcW w:w="1561" w:type="dxa"/>
          </w:tcPr>
          <w:p>
            <w:r>
              <w:t>勾选打分(0;1;3;5)</w:t>
            </w:r>
          </w:p>
        </w:tc>
      </w:tr>
      <w:tr>
        <w:tblPrEx>
          <w:tblW w:w="5420" w:type="pct"/>
          <w:jc w:val="left"/>
          <w:tblInd w:w="0" w:type="dxa"/>
          <w:tblCellMar>
            <w:top w:w="0" w:type="dxa"/>
            <w:left w:w="108" w:type="dxa"/>
            <w:bottom w:w="0" w:type="dxa"/>
            <w:right w:w="108" w:type="dxa"/>
          </w:tblCellMar>
        </w:tblPrEx>
        <w:trPr>
          <w:jc w:val="left"/>
        </w:trPr>
        <w:tc>
          <w:tcPr>
            <w:tcW w:w="291" w:type="dxa"/>
            <w:vMerge/>
          </w:tcPr>
          <w:p/>
        </w:tc>
        <w:tc>
          <w:tcPr>
            <w:tcW w:w="1124" w:type="dxa"/>
          </w:tcPr>
          <w:p>
            <w:r>
              <w:t>系统集成设计方案</w:t>
            </w:r>
          </w:p>
        </w:tc>
        <w:tc>
          <w:tcPr>
            <w:tcW w:w="6135" w:type="dxa"/>
          </w:tcPr>
          <w:p>
            <w:r>
              <w:t xml:space="preserve">提供系统集成方案，内容应包括相关应用间的业务需求、技术需求、系统需求，以及相应应用间详细接口设计、业务逻辑关系、调用关系和依存关系、对接流程图，技术实现方式、数据集成接口规范等。  </w:t>
            </w:r>
          </w:p>
          <w:p/>
          <w:p>
            <w:r>
              <w:t xml:space="preserve">系统集成方案内容科学周密，内容完整，完全契合项目需求实际，针对性可行性强，得4.5分；              </w:t>
            </w:r>
          </w:p>
          <w:p>
            <w:r>
              <w:t xml:space="preserve">系统集成方案内容较完整，基本满足项目需求，针对性可行性较强，但其中一项方案小项有缺陷（缺陷包括：与事实不符、前后内容不一致、逻辑错误、不符合采购需求、内容有缺失等），得2.5分；       </w:t>
            </w:r>
          </w:p>
          <w:p>
            <w:r>
              <w:t xml:space="preserve">系统集成方案内容有漏项，未完全包括上述几小项内容，或两个及以上方案小项中存在缺陷，得1分；   </w:t>
            </w:r>
          </w:p>
          <w:p>
            <w:r>
              <w:t>未提供系统集成方案内容或方案严重脱离项目实际，得0分。</w:t>
            </w:r>
          </w:p>
        </w:tc>
        <w:tc>
          <w:tcPr>
            <w:tcW w:w="1561" w:type="dxa"/>
          </w:tcPr>
          <w:p>
            <w:r>
              <w:t>勾选打分(0;1;2.5;4.5)</w:t>
            </w:r>
          </w:p>
        </w:tc>
      </w:tr>
      <w:tr>
        <w:tblPrEx>
          <w:tblW w:w="5420"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1124" w:type="dxa"/>
          </w:tcPr>
          <w:p>
            <w:r>
              <w:t>实施管理方案</w:t>
            </w:r>
          </w:p>
        </w:tc>
        <w:tc>
          <w:tcPr>
            <w:tcW w:w="6135" w:type="dxa"/>
          </w:tcPr>
          <w:p>
            <w:r>
              <w:t xml:space="preserve">提供项目实施管理方案，对项目实施计划、项目实施进度及保障措施等予以描述，包括但不限于实施过程控制、组织架构、文档管理、进度管控、验收安排、应急措施、风险管理、质量管理、安全管理等内容。  </w:t>
            </w:r>
          </w:p>
          <w:p/>
          <w:p>
            <w:r>
              <w:t xml:space="preserve">实施管理方案内容科学周密，完全契合项目需求实际，计划措施针对性可行性强，工作进度安排科学合理，完全契合项目实施要求、实施进度要求及交付要求等得2.5分；              </w:t>
            </w:r>
          </w:p>
          <w:p>
            <w:r>
              <w:t xml:space="preserve">实施管理方案内容较完整，基本满足项目需求，针对性可行性较强，但其中一项方案小项有缺陷（缺陷包括：与事实不符、前后内容不一致、逻辑错误、不符合采购需求、内容有缺失等），得1.5分；       </w:t>
            </w:r>
          </w:p>
          <w:p>
            <w:r>
              <w:t xml:space="preserve">实施管理方案内容有漏项，未完全包括上述几小项内容，或两个及以上方案小项中存在缺陷，得0.5分；   </w:t>
            </w:r>
          </w:p>
          <w:p>
            <w:r>
              <w:t>未提供实施管理方案内容或方案严重脱离项目实际，得0分。</w:t>
            </w:r>
          </w:p>
        </w:tc>
        <w:tc>
          <w:tcPr>
            <w:tcW w:w="1561" w:type="dxa"/>
          </w:tcPr>
          <w:p>
            <w:r>
              <w:t>勾选打分(0;0.5;1.5;2.5)</w:t>
            </w:r>
          </w:p>
        </w:tc>
      </w:tr>
      <w:tr>
        <w:tblPrEx>
          <w:tblW w:w="5420" w:type="pct"/>
          <w:jc w:val="left"/>
          <w:tblInd w:w="0" w:type="dxa"/>
          <w:tblCellMar>
            <w:top w:w="0" w:type="dxa"/>
            <w:left w:w="108" w:type="dxa"/>
            <w:bottom w:w="0" w:type="dxa"/>
            <w:right w:w="108" w:type="dxa"/>
          </w:tblCellMar>
        </w:tblPrEx>
        <w:trPr>
          <w:jc w:val="left"/>
        </w:trPr>
        <w:tc>
          <w:tcPr>
            <w:tcW w:w="291" w:type="dxa"/>
            <w:vMerge/>
          </w:tcPr>
          <w:p/>
        </w:tc>
        <w:tc>
          <w:tcPr>
            <w:tcW w:w="1124" w:type="dxa"/>
          </w:tcPr>
          <w:p>
            <w:r>
              <w:t>运维服务方案</w:t>
            </w:r>
          </w:p>
        </w:tc>
        <w:tc>
          <w:tcPr>
            <w:tcW w:w="6135" w:type="dxa"/>
          </w:tcPr>
          <w:p>
            <w:r>
              <w:t xml:space="preserve">提供运维服务方案，内容应包括运维服务团队配置、服务内容、服务响应时间、故障处理、应急措施等内容。  </w:t>
            </w:r>
          </w:p>
          <w:p/>
          <w:p>
            <w:r>
              <w:t xml:space="preserve">运维服务方案内容科学周密，内容全面，完全契合项目需求实际，针对性可行性强，得2分；              </w:t>
            </w:r>
          </w:p>
          <w:p>
            <w:r>
              <w:t xml:space="preserve">运维服务方案内容较完整，基本满足项目需求，针对性可行性较强，但其中一项方案小项有缺陷（缺陷包括：与事实不符、前后内容不一致、逻辑错误、不符合采购需求、内容有缺失等），得1.2分；       </w:t>
            </w:r>
          </w:p>
          <w:p>
            <w:r>
              <w:t xml:space="preserve">运维服务方案内容有漏项，未完全包括上述几小项内容，或两个及以上方案小项中存在缺陷，得0.6分；   </w:t>
            </w:r>
          </w:p>
          <w:p>
            <w:r>
              <w:t>未提供运维服务方案内容或方案严重脱离项目实际，得0分。</w:t>
            </w:r>
          </w:p>
        </w:tc>
        <w:tc>
          <w:tcPr>
            <w:tcW w:w="1561" w:type="dxa"/>
          </w:tcPr>
          <w:p>
            <w:r>
              <w:t>勾选打分(0;0.6;1.2;2)</w:t>
            </w:r>
          </w:p>
        </w:tc>
      </w:tr>
    </w:tbl>
    <w:p>
      <w:pPr>
        <w:pStyle w:val="1414"/>
      </w:pPr>
      <w:bookmarkEnd w:id="61"/>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62"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62"/>
    </w:p>
    <w:p>
      <w:pPr>
        <w:rPr>
          <w:rFonts w:ascii="宋体" w:hint="eastAsia"/>
          <w:color w:val="000000"/>
          <w:sz w:val="24"/>
        </w:rPr>
      </w:pPr>
      <w:bookmarkStart w:id="63" w:name="插入_TBWJGS_CONTRACT"/>
      <w:r>
        <w:rPr>
          <w:rFonts w:ascii="宋体" w:hint="eastAsia"/>
          <w:color w:val="000000"/>
          <w:sz w:val="24"/>
        </w:rPr>
        <w:t>甲方（采购人）:</w:t>
      </w:r>
    </w:p>
    <w:p>
      <w:pPr>
        <w:rPr>
          <w:rFonts w:ascii="宋体" w:hint="eastAsia"/>
          <w:color w:val="000000"/>
          <w:sz w:val="24"/>
        </w:rPr>
      </w:pPr>
      <w:r>
        <w:rPr>
          <w:rFonts w:ascii="宋体" w:hint="eastAsia"/>
          <w:color w:val="000000"/>
          <w:sz w:val="24"/>
        </w:rPr>
        <w:t xml:space="preserve">乙方（供应商）:                                  </w:t>
      </w:r>
    </w:p>
    <w:p>
      <w:pPr>
        <w:ind w:firstLine="480" w:firstLineChars="200"/>
        <w:rPr>
          <w:rFonts w:ascii="宋体" w:hint="eastAsia"/>
          <w:color w:val="000000"/>
          <w:sz w:val="24"/>
        </w:rPr>
      </w:pPr>
      <w:r>
        <w:rPr>
          <w:rFonts w:ascii="宋体" w:hint="eastAsia"/>
          <w:color w:val="000000"/>
          <w:sz w:val="24"/>
        </w:rPr>
        <w:t>经海关总署授权，海关总署物资装备采购中心作为甲方代表,受海关总署（XX司局）委托签订该项目合同。根据</w:t>
      </w:r>
      <w:r>
        <w:rPr>
          <w:rFonts w:ascii="宋体" w:hint="eastAsia"/>
          <w:snapToGrid w:val="0"/>
          <w:color w:val="000000"/>
          <w:kern w:val="0"/>
          <w:sz w:val="24"/>
          <w:shd w:val="clear" w:color="auto" w:fill="auto"/>
        </w:rPr>
        <w:t>《中华人民共和国民法典》、</w:t>
      </w:r>
      <w:r>
        <w:rPr>
          <w:rFonts w:ascii="宋体" w:hint="eastAsia"/>
          <w:color w:val="000000"/>
          <w:sz w:val="24"/>
        </w:rPr>
        <w:t>《中华人民共和国政府采购法》等相关法律规定，甲方对____________采购项目以_____方式进行采购（采购项目编号：________ ），确定乙方为中标人（成交商），现依照招标文件（谈判文件、询价通知书、磋商文件、单一来源采购文件）、投标文件（响应文件）等相关文件的内容，双方达成如下协议：</w:t>
      </w:r>
    </w:p>
    <w:p>
      <w:pPr>
        <w:ind w:firstLine="480" w:firstLineChars="200"/>
        <w:rPr>
          <w:rFonts w:ascii="宋体" w:hint="eastAsia"/>
          <w:b/>
          <w:bCs/>
          <w:color w:val="000000"/>
          <w:sz w:val="24"/>
        </w:rPr>
      </w:pPr>
      <w:r>
        <w:rPr>
          <w:rFonts w:ascii="宋体" w:hint="eastAsia"/>
          <w:b/>
          <w:bCs/>
          <w:color w:val="000000"/>
          <w:sz w:val="24"/>
        </w:rPr>
        <w:t>第一条 采购清单及报价</w:t>
      </w:r>
    </w:p>
    <w:p>
      <w:pPr>
        <w:ind w:firstLine="480" w:firstLineChars="200"/>
        <w:rPr>
          <w:rFonts w:ascii="宋体" w:hint="eastAsia"/>
          <w:b/>
          <w:bCs/>
          <w:color w:val="000000"/>
          <w:sz w:val="24"/>
        </w:rPr>
      </w:pPr>
    </w:p>
    <w:p>
      <w:pPr>
        <w:ind w:firstLine="480" w:firstLineChars="200"/>
        <w:rPr>
          <w:rFonts w:ascii="宋体" w:hint="eastAsia"/>
          <w:b/>
          <w:bCs/>
          <w:color w:val="000000"/>
          <w:sz w:val="24"/>
        </w:rPr>
      </w:pPr>
      <w:r>
        <w:rPr>
          <w:rFonts w:ascii="宋体" w:hint="eastAsia"/>
          <w:b/>
          <w:bCs/>
          <w:color w:val="000000"/>
          <w:sz w:val="24"/>
        </w:rPr>
        <w:t>第二条 合同总价款</w:t>
      </w:r>
    </w:p>
    <w:p>
      <w:pPr>
        <w:pStyle w:val="10311"/>
        <w:ind w:firstLine="480" w:firstLineChars="200"/>
        <w:rPr>
          <w:rFonts w:ascii="宋体" w:eastAsia="宋体" w:hint="eastAsia"/>
          <w:color w:val="000000"/>
          <w:sz w:val="24"/>
          <w:szCs w:val="24"/>
        </w:rPr>
      </w:pPr>
      <w:r>
        <w:rPr>
          <w:rFonts w:ascii="宋体" w:eastAsia="宋体" w:hint="eastAsia"/>
          <w:color w:val="000000"/>
          <w:sz w:val="24"/>
          <w:szCs w:val="24"/>
        </w:rPr>
        <w:t>本合同总价款（人民币大写） __________元（含税）。除上述款项外，乙方不得向甲方（用户）主张其他任何费用，详见附件分项报价表。</w:t>
      </w:r>
    </w:p>
    <w:p>
      <w:pPr>
        <w:ind w:firstLine="480" w:firstLineChars="200"/>
        <w:rPr>
          <w:rFonts w:ascii="宋体" w:hint="eastAsia"/>
          <w:b/>
          <w:bCs/>
          <w:color w:val="000000"/>
          <w:sz w:val="24"/>
        </w:rPr>
      </w:pPr>
      <w:r>
        <w:rPr>
          <w:rFonts w:ascii="宋体" w:hint="eastAsia"/>
          <w:b/>
          <w:bCs/>
          <w:color w:val="000000"/>
          <w:sz w:val="24"/>
        </w:rPr>
        <w:t>第三条 付款条件</w:t>
      </w:r>
    </w:p>
    <w:p>
      <w:pPr>
        <w:ind w:firstLine="480" w:firstLineChars="200"/>
        <w:rPr>
          <w:rFonts w:ascii="宋体" w:hint="eastAsia"/>
          <w:color w:val="000000"/>
          <w:sz w:val="24"/>
        </w:rPr>
      </w:pPr>
      <w:r>
        <w:rPr>
          <w:rFonts w:ascii="宋体" w:hint="eastAsia"/>
          <w:color w:val="000000"/>
          <w:sz w:val="24"/>
        </w:rPr>
        <w:t>（一）本合同以人民币付款。</w:t>
      </w:r>
    </w:p>
    <w:p>
      <w:pPr>
        <w:ind w:firstLine="480" w:firstLineChars="200"/>
        <w:rPr>
          <w:rFonts w:ascii="宋体" w:hint="eastAsia"/>
          <w:color w:val="000000"/>
          <w:sz w:val="24"/>
        </w:rPr>
      </w:pPr>
      <w:r>
        <w:rPr>
          <w:rFonts w:ascii="宋体" w:hint="eastAsia"/>
          <w:color w:val="000000"/>
          <w:sz w:val="24"/>
        </w:rPr>
        <w:t>（二）付款办法：</w:t>
      </w:r>
    </w:p>
    <w:p>
      <w:pPr>
        <w:ind w:firstLine="480" w:firstLineChars="200"/>
        <w:rPr>
          <w:rFonts w:ascii="宋体" w:hint="eastAsia"/>
          <w:color w:val="000000"/>
          <w:sz w:val="24"/>
        </w:rPr>
      </w:pPr>
      <w:r>
        <w:rPr>
          <w:rFonts w:ascii="宋体" w:hint="eastAsia"/>
          <w:color w:val="000000"/>
          <w:sz w:val="24"/>
        </w:rPr>
        <w:t>1.乙方向甲方交付履约保证金，并提交下列单据之日起10个工作日内，甲方向乙方支付合同总价____%合同款（</w:t>
      </w:r>
      <w:r>
        <w:rPr>
          <w:rFonts w:ascii="宋体" w:hint="eastAsia"/>
          <w:color w:val="000000"/>
          <w:sz w:val="24"/>
          <w:u w:val="single"/>
        </w:rPr>
        <w:t>金额</w:t>
      </w:r>
      <w:r>
        <w:rPr>
          <w:rFonts w:ascii="宋体" w:hint="eastAsia"/>
          <w:color w:val="000000"/>
          <w:sz w:val="24"/>
        </w:rPr>
        <w:t>）。</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乙方提交单据：合同（正文部分复印件）、中标通知书（或成交通知书）、发票（原件）、履约保证金单据。</w:t>
      </w:r>
    </w:p>
    <w:p>
      <w:pPr>
        <w:ind w:firstLine="480" w:firstLineChars="200"/>
        <w:rPr>
          <w:rFonts w:ascii="宋体" w:hint="eastAsia"/>
          <w:color w:val="000000"/>
          <w:sz w:val="24"/>
        </w:rPr>
      </w:pPr>
      <w:r>
        <w:rPr>
          <w:rFonts w:ascii="宋体" w:hint="eastAsia"/>
          <w:color w:val="000000"/>
          <w:sz w:val="24"/>
        </w:rPr>
        <w:t>2.乙方完成系统功能开发，具备上线条件，并向甲方提交下列单据之日起10个工作日内，甲方向乙方支付合同总价____%合同款（</w:t>
      </w:r>
      <w:r>
        <w:rPr>
          <w:rFonts w:ascii="宋体" w:hint="eastAsia"/>
          <w:color w:val="000000"/>
          <w:sz w:val="24"/>
          <w:u w:val="single"/>
        </w:rPr>
        <w:t>金额</w:t>
      </w:r>
      <w:r>
        <w:rPr>
          <w:rFonts w:ascii="宋体" w:hint="eastAsia"/>
          <w:color w:val="000000"/>
          <w:sz w:val="24"/>
        </w:rPr>
        <w:t>）。</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乙方提交单据：合同（正文部分复印件）、中标通知书（或成交通知书）、发票（原件）、上线证明（原件）。</w:t>
      </w:r>
    </w:p>
    <w:p>
      <w:pPr>
        <w:ind w:firstLine="480" w:firstLineChars="200"/>
        <w:rPr>
          <w:rFonts w:ascii="宋体" w:hint="eastAsia"/>
          <w:color w:val="000000"/>
          <w:sz w:val="24"/>
        </w:rPr>
      </w:pPr>
      <w:r>
        <w:rPr>
          <w:rFonts w:ascii="宋体" w:hint="eastAsia"/>
          <w:color w:val="000000"/>
          <w:sz w:val="24"/>
        </w:rPr>
        <w:t>3.乙方完成全部服务内容，经甲方组织的合同验收通过，并向甲方提交下列单据之日起10个工作日内，甲方向乙方支付合同总价____%合同款（金额）。</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乙方提交单据：合同（正文部分复印件）、中标通知书（或成交通知书）、发票（原件）、合同验收合格报告（原件）。</w:t>
      </w:r>
    </w:p>
    <w:p>
      <w:pPr>
        <w:ind w:firstLine="480" w:firstLineChars="200"/>
        <w:rPr>
          <w:rFonts w:ascii="宋体" w:hint="eastAsia"/>
          <w:color w:val="000000"/>
          <w:sz w:val="24"/>
        </w:rPr>
      </w:pPr>
      <w:r>
        <w:rPr>
          <w:rFonts w:ascii="宋体" w:hint="eastAsia"/>
          <w:color w:val="000000"/>
          <w:sz w:val="24"/>
        </w:rPr>
        <w:t>4.因财政集中支付延误时间不计算在内，乙方提交付款单据延迟、缺失及账户信息错误的，甲方有权相应顺延付款期限，且甲方不承担延误付款责任。</w:t>
      </w:r>
    </w:p>
    <w:p>
      <w:pPr>
        <w:pStyle w:val="47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收款单位全称</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开户银行</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账号</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bl>
    <w:p>
      <w:pPr>
        <w:ind w:firstLine="480" w:firstLineChars="200"/>
        <w:rPr>
          <w:rFonts w:ascii="宋体" w:hint="eastAsia"/>
          <w:b/>
          <w:bCs/>
          <w:color w:val="000000"/>
          <w:sz w:val="24"/>
        </w:rPr>
      </w:pPr>
      <w:r>
        <w:rPr>
          <w:rFonts w:ascii="宋体" w:hint="eastAsia"/>
          <w:b/>
          <w:bCs/>
          <w:color w:val="000000"/>
          <w:sz w:val="24"/>
        </w:rPr>
        <w:t>第四条 履约保证金</w:t>
      </w:r>
    </w:p>
    <w:p>
      <w:pPr>
        <w:ind w:firstLine="480" w:firstLineChars="200"/>
        <w:rPr>
          <w:rFonts w:ascii="宋体" w:eastAsia="宋体" w:hint="eastAsia"/>
          <w:color w:val="000000"/>
          <w:sz w:val="24"/>
          <w:szCs w:val="24"/>
          <w:highlight w:val="yellow"/>
        </w:rPr>
      </w:pPr>
      <w:r>
        <w:rPr>
          <w:rFonts w:ascii="宋体" w:eastAsia="宋体" w:hint="eastAsia"/>
          <w:color w:val="000000"/>
          <w:sz w:val="24"/>
          <w:szCs w:val="24"/>
        </w:rPr>
        <w:t>（一）合同签订之日起</w:t>
      </w:r>
      <w:r>
        <w:rPr>
          <w:rFonts w:ascii="宋体" w:eastAsia="宋体" w:hint="eastAsia"/>
          <w:color w:val="000000"/>
          <w:sz w:val="24"/>
          <w:szCs w:val="24"/>
          <w:u w:val="single"/>
        </w:rPr>
        <w:t>10</w:t>
      </w:r>
      <w:r>
        <w:rPr>
          <w:rFonts w:ascii="宋体" w:eastAsia="宋体" w:hint="eastAsia"/>
          <w:color w:val="000000"/>
          <w:sz w:val="24"/>
          <w:szCs w:val="24"/>
        </w:rPr>
        <w:t>个工作日内，乙方须按合同金额的____%向甲方交纳履约保证金。如果乙方未按照约定时间交付履约保证金的，甲方有权单方面解除合同。</w:t>
      </w:r>
    </w:p>
    <w:p>
      <w:pPr>
        <w:pStyle w:val="505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收款单位全称</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开户银行</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账号</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bl>
    <w:p>
      <w:pPr>
        <w:ind w:left="0" w:firstLine="480" w:firstLineChars="200"/>
        <w:rPr>
          <w:rFonts w:ascii="宋体" w:eastAsia="宋体" w:hint="eastAsia"/>
          <w:color w:val="000000"/>
          <w:sz w:val="24"/>
          <w:szCs w:val="24"/>
        </w:rPr>
      </w:pPr>
      <w:r>
        <w:rPr>
          <w:rFonts w:ascii="宋体" w:eastAsia="宋体" w:hint="eastAsia"/>
          <w:color w:val="000000"/>
          <w:sz w:val="24"/>
          <w:szCs w:val="24"/>
        </w:rPr>
        <w:t>（二）履约保证金以银行保函、银行电汇向甲方提供。</w:t>
      </w:r>
    </w:p>
    <w:p>
      <w:pPr>
        <w:ind w:left="0" w:firstLine="480" w:firstLineChars="200"/>
        <w:rPr>
          <w:rFonts w:ascii="宋体" w:eastAsia="宋体" w:hint="eastAsia"/>
          <w:color w:val="000000"/>
          <w:sz w:val="24"/>
          <w:szCs w:val="24"/>
        </w:rPr>
      </w:pPr>
      <w:r>
        <w:rPr>
          <w:rFonts w:ascii="宋体" w:eastAsia="宋体" w:hint="eastAsia"/>
          <w:color w:val="000000"/>
          <w:sz w:val="24"/>
          <w:szCs w:val="24"/>
        </w:rPr>
        <w:t>（三）履约保证金有效期：自提交保证金之日起至项目履约完成后30个日历日止（因乙方原因造成延期履约的，履约保证金相应顺延）。</w:t>
      </w:r>
    </w:p>
    <w:p>
      <w:pPr>
        <w:ind w:firstLine="480" w:firstLineChars="200"/>
        <w:rPr>
          <w:rFonts w:ascii="宋体" w:hint="eastAsia"/>
          <w:color w:val="000000"/>
          <w:sz w:val="24"/>
        </w:rPr>
      </w:pPr>
      <w:r>
        <w:rPr>
          <w:rFonts w:ascii="宋体" w:hint="eastAsia"/>
          <w:color w:val="000000"/>
          <w:sz w:val="24"/>
        </w:rPr>
        <w:t>（四）如乙方未能履行合同规定的义务，甲方有权按照本合同的约定从履约保证金中进行相应扣除。乙方应在甲方扣除履约保证金之日起10个工作日内，及时补充扣除部分金额。</w:t>
      </w:r>
    </w:p>
    <w:p>
      <w:pPr>
        <w:ind w:firstLine="480" w:firstLineChars="200"/>
        <w:rPr>
          <w:rFonts w:ascii="宋体" w:hint="eastAsia"/>
          <w:color w:val="000000"/>
          <w:sz w:val="24"/>
        </w:rPr>
      </w:pPr>
      <w:r>
        <w:rPr>
          <w:rFonts w:ascii="宋体" w:hint="eastAsia"/>
          <w:color w:val="000000"/>
          <w:sz w:val="24"/>
        </w:rPr>
        <w:t>（五）如乙方不履行合同，或履行合同义务不符合约定使得合同目的不能实现，履约保证金不予退还。</w:t>
      </w:r>
    </w:p>
    <w:p>
      <w:pPr>
        <w:ind w:firstLine="480" w:firstLineChars="200"/>
        <w:rPr>
          <w:rFonts w:ascii="宋体" w:hint="eastAsia"/>
          <w:color w:val="000000"/>
          <w:sz w:val="24"/>
        </w:rPr>
      </w:pPr>
      <w:r>
        <w:rPr>
          <w:rFonts w:ascii="宋体" w:hint="eastAsia"/>
          <w:color w:val="000000"/>
          <w:sz w:val="24"/>
        </w:rPr>
        <w:t>（六）履约保证金在有效期满后，甲方在收到乙方提交退款申请后10个工作日内无息退还。</w:t>
      </w:r>
    </w:p>
    <w:p>
      <w:pPr>
        <w:ind w:firstLine="480" w:firstLineChars="200"/>
        <w:rPr>
          <w:rFonts w:ascii="宋体" w:hint="eastAsia"/>
          <w:b/>
          <w:bCs/>
          <w:color w:val="000000"/>
          <w:sz w:val="24"/>
        </w:rPr>
      </w:pPr>
      <w:r>
        <w:rPr>
          <w:rFonts w:ascii="宋体" w:hint="eastAsia"/>
          <w:b/>
          <w:bCs/>
          <w:color w:val="000000"/>
          <w:sz w:val="24"/>
        </w:rPr>
        <w:t>第五条  工作进度要求及履行地点</w:t>
      </w:r>
    </w:p>
    <w:p>
      <w:pPr>
        <w:pStyle w:val="50100"/>
        <w:spacing w:line="480" w:lineRule="atLeast"/>
        <w:ind w:firstLine="480"/>
        <w:jc w:val="left"/>
        <w:rPr>
          <w:rFonts w:ascii="宋体" w:hint="eastAsia"/>
          <w:color w:val="000000"/>
          <w:sz w:val="24"/>
        </w:rPr>
      </w:pPr>
      <w:r>
        <w:rPr>
          <w:rFonts w:ascii="宋体" w:cs="宋体" w:hint="eastAsia"/>
          <w:color w:val="000000"/>
          <w:sz w:val="24"/>
          <w:lang w:bidi="ar-SA"/>
        </w:rPr>
        <w:t>（一）本技术服务工期</w:t>
      </w:r>
      <w:r>
        <w:rPr>
          <w:rFonts w:ascii="宋体" w:cs="宋体" w:hint="eastAsia"/>
          <w:color w:val="000000"/>
          <w:sz w:val="24"/>
          <w:u w:val="single"/>
          <w:lang w:bidi="ar-SA"/>
        </w:rPr>
        <w:t xml:space="preserve">   </w:t>
      </w:r>
      <w:r>
        <w:rPr>
          <w:rFonts w:ascii="宋体" w:cs="宋体" w:hint="eastAsia"/>
          <w:color w:val="000000"/>
          <w:sz w:val="24"/>
          <w:lang w:bidi="ar-SA"/>
        </w:rPr>
        <w:t>个月，要求合同签订之日起</w:t>
      </w:r>
      <w:r>
        <w:rPr>
          <w:rFonts w:ascii="宋体" w:cs="宋体" w:hint="eastAsia"/>
          <w:color w:val="000000"/>
          <w:sz w:val="24"/>
          <w:u w:val="single"/>
          <w:lang w:bidi="ar-SA"/>
        </w:rPr>
        <w:t xml:space="preserve">    </w:t>
      </w:r>
      <w:r>
        <w:rPr>
          <w:rFonts w:ascii="宋体" w:cs="宋体" w:hint="eastAsia"/>
          <w:color w:val="000000"/>
          <w:sz w:val="24"/>
          <w:lang w:bidi="ar-SA"/>
        </w:rPr>
        <w:t>个月内完成合同约定的所有服务内容（以乙方满足招标文件/谈判文件/询价通知书/磋商文件/单一来源采购文件要求及投标文件/响应文件应答的基础上的承诺为准）。</w:t>
      </w:r>
    </w:p>
    <w:p>
      <w:pPr>
        <w:pStyle w:val="50100"/>
        <w:spacing w:line="480" w:lineRule="atLeast"/>
        <w:ind w:firstLine="480"/>
        <w:rPr>
          <w:rFonts w:ascii="宋体" w:cs="宋体" w:hint="eastAsia"/>
          <w:color w:val="000000"/>
          <w:sz w:val="24"/>
        </w:rPr>
      </w:pPr>
      <w:r>
        <w:rPr>
          <w:rFonts w:ascii="宋体" w:cs="宋体" w:hint="eastAsia"/>
          <w:color w:val="000000"/>
          <w:sz w:val="24"/>
          <w:lang w:bidi="ar-SA"/>
        </w:rPr>
        <w:t>（二）因甲方（用户）原因造成乙方不能按期完成工作的，经甲方（用户）书面确认后，乙方工期可以顺延，顺延的日期与甲方（用户）造成乙方不能正常工作的日期相等。</w:t>
      </w:r>
    </w:p>
    <w:p>
      <w:pPr>
        <w:pStyle w:val="50100"/>
        <w:spacing w:line="480" w:lineRule="atLeast"/>
        <w:ind w:firstLine="480"/>
        <w:rPr>
          <w:rFonts w:ascii="宋体" w:hint="eastAsia"/>
          <w:color w:val="000000"/>
          <w:sz w:val="24"/>
        </w:rPr>
      </w:pPr>
      <w:r>
        <w:rPr>
          <w:rFonts w:ascii="宋体" w:cs="宋体" w:hint="eastAsia"/>
          <w:color w:val="000000"/>
          <w:sz w:val="24"/>
          <w:lang w:bidi="ar-SA"/>
        </w:rPr>
        <w:t>（三）履行地点：甲方指定地点。</w:t>
      </w:r>
    </w:p>
    <w:p>
      <w:pPr>
        <w:pStyle w:val="32"/>
        <w:ind w:firstLine="480" w:firstLineChars="200"/>
        <w:rPr>
          <w:rFonts w:ascii="宋体" w:cs="宋体" w:hint="eastAsia"/>
          <w:b/>
          <w:bCs/>
          <w:color w:val="000000"/>
          <w:sz w:val="24"/>
          <w:szCs w:val="24"/>
        </w:rPr>
      </w:pPr>
      <w:r>
        <w:rPr>
          <w:rFonts w:ascii="宋体" w:cs="宋体" w:hint="eastAsia"/>
          <w:b/>
          <w:bCs/>
          <w:color w:val="000000"/>
          <w:sz w:val="24"/>
          <w:szCs w:val="24"/>
          <w:lang w:bidi="ar-SA"/>
        </w:rPr>
        <w:t>第六条 验收</w:t>
      </w:r>
    </w:p>
    <w:p>
      <w:pPr>
        <w:pStyle w:val="5210"/>
        <w:spacing w:line="480" w:lineRule="atLeast"/>
        <w:ind w:firstLine="482" w:firstLineChars="201"/>
        <w:rPr>
          <w:rFonts w:ascii="宋体" w:eastAsia="宋体" w:cs="宋体" w:hint="eastAsia"/>
          <w:color w:val="000000"/>
          <w:sz w:val="24"/>
          <w:szCs w:val="24"/>
        </w:rPr>
      </w:pPr>
      <w:r>
        <w:rPr>
          <w:rFonts w:ascii="宋体" w:eastAsia="宋体" w:cs="宋体" w:hint="eastAsia"/>
          <w:color w:val="000000"/>
          <w:sz w:val="24"/>
          <w:szCs w:val="24"/>
          <w:lang w:bidi="ar-SA"/>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2"/>
        <w:ind w:firstLine="480" w:firstLineChars="200"/>
        <w:rPr>
          <w:rFonts w:ascii="宋体" w:hint="eastAsia"/>
          <w:color w:val="000000"/>
          <w:sz w:val="24"/>
          <w:szCs w:val="24"/>
        </w:rPr>
      </w:pPr>
      <w:r>
        <w:rPr>
          <w:rFonts w:ascii="宋体" w:hint="eastAsia"/>
          <w:b/>
          <w:bCs/>
          <w:color w:val="000000"/>
          <w:sz w:val="24"/>
          <w:szCs w:val="24"/>
        </w:rPr>
        <w:t>第七条 质量保证</w:t>
      </w:r>
    </w:p>
    <w:p>
      <w:pPr>
        <w:ind w:firstLine="480" w:firstLineChars="200"/>
        <w:rPr>
          <w:rFonts w:ascii="宋体" w:hint="eastAsia"/>
          <w:color w:val="000000"/>
          <w:sz w:val="24"/>
        </w:rPr>
      </w:pPr>
      <w:r>
        <w:rPr>
          <w:rFonts w:ascii="宋体" w:hint="eastAsia"/>
          <w:color w:val="000000"/>
          <w:sz w:val="24"/>
        </w:rPr>
        <w:t>（一）乙方应保证所开发的产品与投标文件/响应文件承诺一致，并完全符合或高于合同要求的质量、规格和技术性能。</w:t>
      </w:r>
    </w:p>
    <w:p>
      <w:pPr>
        <w:ind w:firstLine="480" w:firstLineChars="200"/>
        <w:rPr>
          <w:rFonts w:ascii="宋体" w:hint="eastAsia"/>
          <w:color w:val="000000"/>
          <w:sz w:val="24"/>
        </w:rPr>
      </w:pPr>
      <w:r>
        <w:rPr>
          <w:rFonts w:ascii="宋体" w:hint="eastAsia"/>
          <w:color w:val="000000"/>
          <w:sz w:val="24"/>
        </w:rPr>
        <w:t>（二）本合同项目质量保证期为：自双方签署合同验收合格报告之日起计算</w:t>
      </w:r>
      <w:r>
        <w:rPr>
          <w:rFonts w:ascii="宋体" w:hint="eastAsia"/>
          <w:color w:val="000000"/>
          <w:sz w:val="24"/>
          <w:u w:val="single"/>
        </w:rPr>
        <w:t xml:space="preserve">    </w:t>
      </w:r>
      <w:r>
        <w:rPr>
          <w:rFonts w:ascii="宋体" w:hint="eastAsia"/>
          <w:color w:val="000000"/>
          <w:sz w:val="24"/>
        </w:rPr>
        <w:t>年。</w:t>
      </w:r>
    </w:p>
    <w:p>
      <w:pPr>
        <w:ind w:firstLine="480" w:firstLineChars="200"/>
        <w:rPr>
          <w:rFonts w:ascii="宋体" w:hint="eastAsia"/>
          <w:b/>
          <w:bCs/>
          <w:color w:val="000000"/>
          <w:sz w:val="24"/>
        </w:rPr>
      </w:pPr>
      <w:r>
        <w:rPr>
          <w:rFonts w:ascii="宋体" w:hint="eastAsia"/>
          <w:b/>
          <w:bCs/>
          <w:color w:val="000000"/>
          <w:sz w:val="24"/>
        </w:rPr>
        <w:t>第八条 培训</w:t>
      </w:r>
    </w:p>
    <w:p>
      <w:pPr>
        <w:ind w:firstLine="480" w:firstLineChars="200"/>
        <w:rPr>
          <w:rFonts w:ascii="宋体" w:hint="eastAsia"/>
          <w:b/>
          <w:bCs/>
          <w:color w:val="000000"/>
          <w:sz w:val="24"/>
        </w:rPr>
      </w:pPr>
      <w:r>
        <w:rPr>
          <w:rFonts w:ascii="宋体" w:hint="eastAsia"/>
          <w:bCs/>
          <w:color w:val="000000"/>
          <w:sz w:val="24"/>
        </w:rPr>
        <w:t>本合同包括培训，具体培训方案详见附件。</w:t>
      </w:r>
    </w:p>
    <w:p>
      <w:pPr>
        <w:ind w:firstLine="480" w:firstLineChars="200"/>
        <w:rPr>
          <w:rFonts w:ascii="宋体" w:hint="eastAsia"/>
          <w:b/>
          <w:bCs/>
          <w:color w:val="000000"/>
          <w:sz w:val="24"/>
        </w:rPr>
      </w:pPr>
      <w:r>
        <w:rPr>
          <w:rFonts w:ascii="宋体" w:hint="eastAsia"/>
          <w:b/>
          <w:bCs/>
          <w:color w:val="000000"/>
          <w:sz w:val="24"/>
        </w:rPr>
        <w:t>第九条 售后服务</w:t>
      </w:r>
    </w:p>
    <w:p>
      <w:pPr>
        <w:ind w:firstLine="480" w:firstLineChars="200"/>
        <w:rPr>
          <w:rFonts w:ascii="宋体" w:hint="eastAsia"/>
          <w:color w:val="000000"/>
          <w:sz w:val="24"/>
        </w:rPr>
      </w:pPr>
      <w:r>
        <w:rPr>
          <w:rFonts w:ascii="宋体" w:hint="eastAsia"/>
          <w:color w:val="000000"/>
          <w:sz w:val="24"/>
        </w:rPr>
        <w:t>（一）乙方在质量保证期内免费提供</w:t>
      </w:r>
      <w:r>
        <w:rPr>
          <w:rFonts w:ascii="宋体" w:hint="eastAsia"/>
          <w:color w:val="000000"/>
          <w:sz w:val="24"/>
          <w:u w:val="single"/>
        </w:rPr>
        <w:t>7（5）天</w:t>
      </w:r>
      <w:r>
        <w:rPr>
          <w:rFonts w:ascii="宋体" w:hint="eastAsia"/>
          <w:color w:val="000000"/>
          <w:sz w:val="24"/>
        </w:rPr>
        <w:t>*</w:t>
      </w:r>
      <w:r>
        <w:rPr>
          <w:rFonts w:ascii="宋体" w:hint="eastAsia"/>
          <w:color w:val="000000"/>
          <w:sz w:val="24"/>
          <w:u w:val="single"/>
        </w:rPr>
        <w:t>24（8）</w:t>
      </w:r>
      <w:r>
        <w:rPr>
          <w:rFonts w:ascii="宋体" w:hint="eastAsia"/>
          <w:color w:val="000000"/>
          <w:sz w:val="24"/>
        </w:rPr>
        <w:t>小时的技术支持与售后服务，提供专线电话支持服务，__小时内响应，保证___小时内到达现场并解决故障。</w:t>
      </w:r>
    </w:p>
    <w:p>
      <w:pPr>
        <w:ind w:firstLine="480" w:firstLineChars="200"/>
        <w:rPr>
          <w:rFonts w:ascii="宋体" w:hint="eastAsia"/>
          <w:color w:val="000000"/>
          <w:sz w:val="24"/>
        </w:rPr>
      </w:pPr>
      <w:r>
        <w:rPr>
          <w:rFonts w:ascii="宋体" w:hint="eastAsia"/>
          <w:color w:val="000000"/>
          <w:sz w:val="24"/>
        </w:rPr>
        <w:t>（二）本合同包含售后服务，具体售后服务方案详见附件。</w:t>
      </w:r>
    </w:p>
    <w:p>
      <w:pPr>
        <w:ind w:firstLine="480" w:firstLineChars="200"/>
        <w:rPr>
          <w:rFonts w:ascii="宋体" w:eastAsia="宋体" w:hint="eastAsia"/>
          <w:b/>
          <w:bCs/>
          <w:color w:val="000000"/>
          <w:sz w:val="24"/>
          <w:szCs w:val="24"/>
        </w:rPr>
      </w:pPr>
      <w:r>
        <w:rPr>
          <w:rFonts w:ascii="宋体" w:eastAsia="宋体" w:hint="eastAsia"/>
          <w:b/>
          <w:bCs/>
          <w:color w:val="000000"/>
          <w:sz w:val="24"/>
          <w:szCs w:val="24"/>
        </w:rPr>
        <w:t>第十条 双方的权利和义务</w:t>
      </w:r>
    </w:p>
    <w:p>
      <w:pPr>
        <w:pStyle w:val="4910"/>
        <w:spacing w:line="480" w:lineRule="atLeast"/>
        <w:ind w:firstLine="480"/>
        <w:rPr>
          <w:rFonts w:ascii="宋体" w:eastAsia="宋体" w:hint="eastAsia"/>
          <w:bCs/>
          <w:color w:val="000000"/>
          <w:sz w:val="24"/>
          <w:szCs w:val="24"/>
        </w:rPr>
      </w:pPr>
      <w:r>
        <w:rPr>
          <w:rFonts w:ascii="宋体" w:eastAsia="宋体" w:cs="宋体" w:hint="eastAsia"/>
          <w:color w:val="000000"/>
          <w:sz w:val="24"/>
          <w:szCs w:val="24"/>
          <w:lang w:bidi="ar-SA"/>
        </w:rPr>
        <w:t>一、甲方（用户）的权利与义务</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（一）甲方（用户）有权了解整个委托技术服务的执行进程，监督服务执行，并对技术服务的进度及质量进行要求和检查。</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（二）甲方（用户）有权要求乙方按照本合同约定及时提供服务，并对乙方的服务成果进行评估和确定，提出修改意见。</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（三）甲方（用户）对服务成果拥有所有权以及全部、完整的知识产权（包括但不限于著作权、专利权、商标权以及知识产权申请权等）。甲方（用户）可安排技术人员参与核心工作，以便后续维护。</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（四）甲方（用户）有权在海关范围内对技术服务涉及的所有成果进行推广应用。</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（六）甲方（用户）应在实施过程中向乙方提供下列工作条件和协作事项：</w:t>
      </w:r>
    </w:p>
    <w:p>
      <w:pPr>
        <w:pStyle w:val="4910"/>
        <w:spacing w:line="480" w:lineRule="atLeast"/>
        <w:ind w:left="638"/>
        <w:rPr>
          <w:rFonts w:ascii="宋体" w:eastAsia="宋体" w:hint="eastAsia"/>
          <w:color w:val="000000"/>
          <w:sz w:val="24"/>
          <w:szCs w:val="24"/>
        </w:rPr>
      </w:pPr>
      <w:r>
        <w:rPr>
          <w:rFonts w:ascii="宋体" w:eastAsia="宋体" w:cs="宋体" w:hint="eastAsia"/>
          <w:color w:val="000000"/>
          <w:sz w:val="24"/>
          <w:szCs w:val="24"/>
          <w:lang w:bidi="ar-SA"/>
        </w:rPr>
        <w:t>1.提供完成技术服务所需的全部文档及相关资料；</w:t>
      </w:r>
    </w:p>
    <w:p>
      <w:pPr>
        <w:pStyle w:val="4910"/>
        <w:spacing w:line="480" w:lineRule="atLeast"/>
        <w:ind w:left="638"/>
        <w:rPr>
          <w:rFonts w:ascii="宋体" w:eastAsia="宋体" w:hint="eastAsia"/>
          <w:color w:val="000000"/>
          <w:sz w:val="24"/>
          <w:szCs w:val="24"/>
        </w:rPr>
      </w:pPr>
      <w:r>
        <w:rPr>
          <w:rFonts w:ascii="宋体" w:eastAsia="宋体" w:cs="宋体" w:hint="eastAsia"/>
          <w:color w:val="000000"/>
          <w:sz w:val="24"/>
          <w:szCs w:val="24"/>
          <w:lang w:bidi="ar-SA"/>
        </w:rPr>
        <w:t>2.解答或协调解答技术服务实施过程中的需求问题。</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（七）在乙方完成相应阶段工作并满足付款条件时，甲方应按照本合同的约定及时支付合同价款。</w:t>
      </w:r>
    </w:p>
    <w:p>
      <w:pPr>
        <w:pStyle w:val="4910"/>
        <w:spacing w:line="480" w:lineRule="atLeast"/>
        <w:ind w:firstLine="480"/>
        <w:rPr>
          <w:rFonts w:ascii="宋体" w:eastAsia="宋体" w:hint="eastAsia"/>
          <w:bCs/>
          <w:color w:val="000000"/>
          <w:sz w:val="24"/>
          <w:szCs w:val="24"/>
        </w:rPr>
      </w:pPr>
      <w:r>
        <w:rPr>
          <w:rFonts w:ascii="宋体" w:eastAsia="宋体" w:cs="宋体" w:hint="eastAsia"/>
          <w:color w:val="000000"/>
          <w:sz w:val="24"/>
          <w:szCs w:val="24"/>
          <w:lang w:bidi="ar-SA"/>
        </w:rPr>
        <w:t>二、乙方的权利与义务</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（一）乙方保证在甲方规定的工期进度内按照合同以及合同附件的要求完成应交付的完整、合格服务，并符合服务质量要求。</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（三）乙方应派专人负责技术服务执行，以保证技术服务顺利进行，加强风险分析与控制，对风险要有详细的分析，有可靠的控制手段和措施，并及时向甲方（用户）汇报。</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（四）乙方应在服务期内及时修复安全漏洞。</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（五）乙方所派人员应熟练掌握所需技术，所派人员对技术服务内容进行严格保密，不得泄露相关信息。</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（六）乙方在履行合同义务的情形下有权要求甲方按本合同的约定及时支付合同价款。</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（七）乙方应按甲方（用户）要求保质保量地完成相关代码实现以及配套文档的编制工作，并及时、完整向甲方（用户）交付相关材料。</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（八）乙方应无条件配合完成技术服务的业务测试工作。</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（十）乙方须遵守甲方（用户）提出的各项安全管理要求。</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（十一）乙方须按照国家关于通过政府采购渠道参与政务信息化建设的有关要求，签订《政务数据安全管理承诺书》，具体详见附件。</w:t>
      </w:r>
    </w:p>
    <w:p>
      <w:pPr>
        <w:ind w:firstLine="480" w:firstLineChars="200"/>
        <w:rPr>
          <w:rFonts w:ascii="宋体" w:hint="eastAsia"/>
          <w:b/>
          <w:bCs/>
          <w:color w:val="000000"/>
          <w:sz w:val="24"/>
        </w:rPr>
      </w:pPr>
      <w:r>
        <w:rPr>
          <w:rFonts w:ascii="宋体" w:hint="eastAsia"/>
          <w:b/>
          <w:bCs/>
          <w:color w:val="000000"/>
          <w:sz w:val="24"/>
        </w:rPr>
        <w:t>第十一条 违约责任</w:t>
      </w:r>
    </w:p>
    <w:p>
      <w:pPr>
        <w:ind w:firstLine="480" w:firstLineChars="200"/>
        <w:rPr>
          <w:rFonts w:ascii="宋体" w:hint="eastAsia"/>
          <w:color w:val="000000"/>
          <w:sz w:val="24"/>
        </w:rPr>
      </w:pPr>
      <w:r>
        <w:rPr>
          <w:rFonts w:ascii="宋体" w:hint="eastAsia"/>
          <w:color w:val="000000"/>
          <w:sz w:val="24"/>
        </w:rPr>
        <w:t>（一）乙方未按照本合同规定的时间提供服务的违约责任。</w:t>
      </w:r>
    </w:p>
    <w:p>
      <w:pPr>
        <w:ind w:firstLine="480" w:firstLineChars="200"/>
        <w:rPr>
          <w:rFonts w:ascii="宋体" w:eastAsia="宋体" w:hint="eastAsia"/>
          <w:color w:val="000000"/>
          <w:sz w:val="24"/>
          <w:szCs w:val="24"/>
        </w:rPr>
      </w:pPr>
      <w:r>
        <w:rPr>
          <w:rFonts w:ascii="宋体" w:eastAsia="宋体" w:hint="eastAsia"/>
          <w:color w:val="000000"/>
          <w:sz w:val="24"/>
          <w:szCs w:val="24"/>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ind w:firstLine="480" w:firstLineChars="200"/>
        <w:rPr>
          <w:rFonts w:ascii="宋体" w:eastAsia="宋体" w:hint="eastAsia"/>
          <w:color w:val="000000"/>
          <w:sz w:val="24"/>
          <w:szCs w:val="24"/>
        </w:rPr>
      </w:pPr>
      <w:r>
        <w:rPr>
          <w:rFonts w:ascii="宋体" w:eastAsia="宋体" w:hint="eastAsia"/>
          <w:color w:val="000000"/>
          <w:sz w:val="24"/>
          <w:szCs w:val="24"/>
        </w:rPr>
        <w:t>2.除甲乙双方另有约定外，如果乙方没有按照合同规定的时间提供服务，甲方有权在不影响合同项下其他补救措施的情况下，要求乙方支付误期赔偿费，或从合同款、履约保证金中扣除误期赔偿费。赔偿费按每周未提供服务费用的百分之零点五（0.5%）计收，直到提供服务为止。但误期赔偿费的最高限额不超过误期服务合同价格的百分之十（10%）。一周按七（7）天计算，不足七（7）天按一周计算。</w:t>
      </w:r>
    </w:p>
    <w:p>
      <w:pPr>
        <w:ind w:firstLine="480" w:firstLineChars="200"/>
        <w:rPr>
          <w:rFonts w:ascii="宋体" w:eastAsia="宋体" w:hint="eastAsia"/>
          <w:color w:val="000000"/>
          <w:sz w:val="24"/>
          <w:szCs w:val="24"/>
        </w:rPr>
      </w:pPr>
      <w:r>
        <w:rPr>
          <w:rFonts w:ascii="宋体" w:eastAsia="宋体" w:hint="eastAsia"/>
          <w:color w:val="000000"/>
          <w:sz w:val="24"/>
          <w:szCs w:val="24"/>
        </w:rPr>
        <w:t>3.出现上述没有按照合同规定的时间提供服务的情形时，甲方也可以选择解除合同，要求乙方退回甲方已支付款项、扣除履约保证金并追究乙方相应违约责任、赔偿甲方（用户）的全部损失。</w:t>
      </w:r>
    </w:p>
    <w:p>
      <w:pPr>
        <w:ind w:firstLine="480" w:firstLineChars="200"/>
        <w:rPr>
          <w:rFonts w:ascii="宋体" w:eastAsia="宋体" w:hint="eastAsia"/>
          <w:color w:val="000000"/>
          <w:sz w:val="24"/>
          <w:szCs w:val="24"/>
        </w:rPr>
      </w:pPr>
      <w:r>
        <w:rPr>
          <w:rFonts w:ascii="宋体" w:eastAsia="宋体" w:hint="eastAsia"/>
          <w:color w:val="000000"/>
          <w:sz w:val="24"/>
          <w:szCs w:val="24"/>
        </w:rPr>
        <w:t>（二）因乙方或乙方工作人员或乙方相关方的作为或不作为行为致使甲方</w:t>
      </w:r>
      <w:r>
        <w:rPr>
          <w:rFonts w:ascii="宋体" w:eastAsia="宋体" w:cs="宋体" w:hint="eastAsia"/>
          <w:color w:val="000000"/>
          <w:sz w:val="24"/>
          <w:szCs w:val="24"/>
          <w:lang w:bidi="ar-SA"/>
        </w:rPr>
        <w:t>（用户）</w:t>
      </w:r>
      <w:r>
        <w:rPr>
          <w:rFonts w:ascii="宋体" w:eastAsia="宋体" w:hint="eastAsia"/>
          <w:color w:val="000000"/>
          <w:sz w:val="24"/>
          <w:szCs w:val="24"/>
        </w:rPr>
        <w:t>或第三方遭受人员人身伤害或财产损失的，乙方应承担全部赔偿责任，赔偿全部损失，且甲方有权以全部履约保证金作为违约金，解除本合同。</w:t>
      </w:r>
    </w:p>
    <w:p>
      <w:pPr>
        <w:ind w:firstLine="480" w:firstLineChars="200"/>
        <w:rPr>
          <w:rFonts w:ascii="宋体" w:hint="eastAsia"/>
          <w:color w:val="000000"/>
          <w:sz w:val="24"/>
        </w:rPr>
      </w:pPr>
      <w:r>
        <w:rPr>
          <w:rFonts w:ascii="宋体" w:hint="eastAsia"/>
          <w:color w:val="000000"/>
          <w:sz w:val="24"/>
        </w:rPr>
        <w:t>（三）在本合同履行过程中，如果有证据证明乙方根本无法履行合同的，甲方可以行使不安抗辩权，有权解除合同，并扣除履约保证金，如因乙方不能履行给甲方</w:t>
      </w:r>
      <w:r>
        <w:rPr>
          <w:rFonts w:ascii="宋体" w:cs="宋体" w:hint="eastAsia"/>
          <w:color w:val="000000"/>
          <w:sz w:val="24"/>
          <w:lang w:bidi="ar-SA"/>
        </w:rPr>
        <w:t>（用户）</w:t>
      </w:r>
      <w:r>
        <w:rPr>
          <w:rFonts w:ascii="宋体" w:hint="eastAsia"/>
          <w:color w:val="000000"/>
          <w:sz w:val="24"/>
        </w:rPr>
        <w:t>造成其他损失的，乙方应继续承担赔偿责任。</w:t>
      </w:r>
    </w:p>
    <w:p>
      <w:pPr>
        <w:ind w:firstLine="480" w:firstLineChars="200"/>
        <w:rPr>
          <w:rFonts w:ascii="宋体" w:hint="eastAsia"/>
          <w:b/>
          <w:bCs/>
          <w:color w:val="000000"/>
          <w:sz w:val="24"/>
        </w:rPr>
      </w:pPr>
      <w:r>
        <w:rPr>
          <w:rFonts w:ascii="宋体" w:hint="eastAsia"/>
          <w:b/>
          <w:bCs/>
          <w:color w:val="000000"/>
          <w:sz w:val="24"/>
        </w:rPr>
        <w:t>第十二条 使用合同文件和资料</w:t>
      </w:r>
    </w:p>
    <w:p>
      <w:pPr>
        <w:ind w:firstLine="480" w:firstLineChars="200"/>
        <w:rPr>
          <w:rFonts w:ascii="宋体" w:hint="eastAsia"/>
          <w:color w:val="000000"/>
          <w:sz w:val="24"/>
        </w:rPr>
      </w:pPr>
      <w:r>
        <w:rPr>
          <w:rFonts w:ascii="宋体" w:hint="eastAsia"/>
          <w:color w:val="000000"/>
          <w:sz w:val="24"/>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80" w:firstLineChars="200"/>
        <w:rPr>
          <w:rFonts w:ascii="宋体" w:hint="eastAsia"/>
          <w:color w:val="000000"/>
          <w:sz w:val="24"/>
        </w:rPr>
      </w:pPr>
      <w:r>
        <w:rPr>
          <w:rFonts w:ascii="宋体" w:hint="eastAsia"/>
          <w:color w:val="000000"/>
          <w:sz w:val="24"/>
        </w:rPr>
        <w:t>（二）没有甲方（用户）事先书面同意，除了履行本合同之外，乙方不应使用、传播与本合同相关的任何文件、资料。</w:t>
      </w:r>
    </w:p>
    <w:p>
      <w:pPr>
        <w:ind w:firstLine="480" w:firstLineChars="200"/>
        <w:rPr>
          <w:rFonts w:ascii="宋体" w:hint="eastAsia"/>
          <w:b/>
          <w:bCs/>
          <w:color w:val="000000"/>
          <w:sz w:val="24"/>
        </w:rPr>
      </w:pPr>
      <w:r>
        <w:rPr>
          <w:rFonts w:ascii="宋体" w:hint="eastAsia"/>
          <w:b/>
          <w:bCs/>
          <w:color w:val="000000"/>
          <w:sz w:val="24"/>
        </w:rPr>
        <w:t>第十三条 知识产权</w:t>
      </w:r>
    </w:p>
    <w:p>
      <w:pPr>
        <w:ind w:firstLine="480" w:firstLineChars="200"/>
        <w:rPr>
          <w:rFonts w:ascii="宋体" w:hint="eastAsia"/>
          <w:color w:val="000000"/>
          <w:sz w:val="24"/>
        </w:rPr>
      </w:pPr>
      <w:r>
        <w:rPr>
          <w:rFonts w:ascii="宋体" w:hint="eastAsia"/>
          <w:color w:val="000000"/>
          <w:sz w:val="24"/>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80" w:firstLineChars="200"/>
        <w:rPr>
          <w:rFonts w:ascii="宋体" w:hint="eastAsia"/>
          <w:color w:val="000000"/>
          <w:sz w:val="24"/>
        </w:rPr>
      </w:pPr>
      <w:r>
        <w:rPr>
          <w:rFonts w:ascii="宋体" w:hint="eastAsia"/>
          <w:color w:val="000000"/>
          <w:sz w:val="24"/>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80" w:firstLineChars="200"/>
        <w:rPr>
          <w:rFonts w:ascii="宋体" w:hint="eastAsia"/>
          <w:color w:val="000000"/>
          <w:sz w:val="24"/>
        </w:rPr>
      </w:pPr>
      <w:r>
        <w:rPr>
          <w:rFonts w:ascii="宋体" w:hint="eastAsia"/>
          <w:color w:val="000000"/>
          <w:sz w:val="24"/>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80" w:firstLineChars="200"/>
        <w:rPr>
          <w:rFonts w:ascii="宋体" w:hint="eastAsia"/>
          <w:b/>
          <w:bCs/>
          <w:color w:val="000000"/>
          <w:sz w:val="24"/>
        </w:rPr>
      </w:pPr>
      <w:r>
        <w:rPr>
          <w:rFonts w:ascii="宋体" w:hint="eastAsia"/>
          <w:b/>
          <w:bCs/>
          <w:color w:val="000000"/>
          <w:sz w:val="24"/>
        </w:rPr>
        <w:t>第十四条 不可抗力及其免责</w:t>
      </w:r>
    </w:p>
    <w:p>
      <w:pPr>
        <w:ind w:firstLine="480" w:firstLineChars="200"/>
        <w:rPr>
          <w:rFonts w:ascii="宋体" w:hint="eastAsia"/>
          <w:color w:val="000000"/>
          <w:sz w:val="24"/>
        </w:rPr>
      </w:pPr>
      <w:r>
        <w:rPr>
          <w:rFonts w:ascii="宋体" w:hint="eastAsia"/>
          <w:color w:val="000000"/>
          <w:sz w:val="24"/>
        </w:rPr>
        <w:t>（一）如果乙方因不可抗力而导致合同实施延误或不能履行合同义务时，在不可抗力影响的范围内不应该被没收履约保证金，也不应该承担误期赔偿或终止合同的责任。</w:t>
      </w:r>
    </w:p>
    <w:p>
      <w:pPr>
        <w:ind w:firstLine="480" w:firstLineChars="200"/>
        <w:rPr>
          <w:rFonts w:ascii="宋体" w:hint="eastAsia"/>
          <w:color w:val="000000"/>
          <w:sz w:val="24"/>
        </w:rPr>
      </w:pPr>
      <w:r>
        <w:rPr>
          <w:rFonts w:ascii="宋体" w:hint="eastAsia"/>
          <w:color w:val="000000"/>
          <w:sz w:val="24"/>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80" w:firstLineChars="200"/>
        <w:rPr>
          <w:rFonts w:ascii="宋体" w:hint="eastAsia"/>
          <w:color w:val="000000"/>
          <w:sz w:val="24"/>
        </w:rPr>
      </w:pPr>
      <w:r>
        <w:rPr>
          <w:rFonts w:ascii="宋体" w:hint="eastAsia"/>
          <w:color w:val="000000"/>
          <w:sz w:val="24"/>
        </w:rPr>
        <w:t>（三）乙方在延迟履行合同期间由于不可抗力而不能履行合同的，不能被免除责任。</w:t>
      </w:r>
    </w:p>
    <w:p>
      <w:pPr>
        <w:ind w:firstLine="480" w:firstLineChars="200"/>
        <w:rPr>
          <w:rFonts w:ascii="宋体" w:hint="eastAsia"/>
          <w:color w:val="000000"/>
          <w:sz w:val="24"/>
        </w:rPr>
      </w:pPr>
      <w:r>
        <w:rPr>
          <w:rFonts w:ascii="宋体" w:hint="eastAsia"/>
          <w:color w:val="000000"/>
          <w:sz w:val="24"/>
        </w:rPr>
        <w:t>（四）甲方（用户）如遇不可抗力，应尽快以书面形式通知乙方，并尽实际可能履行不受不可抗力影响的其他事项。甲方（用户）不承担因不可抗力不能履行合同所造成的损失。</w:t>
      </w:r>
    </w:p>
    <w:p>
      <w:pPr>
        <w:ind w:firstLine="480" w:firstLineChars="200"/>
        <w:rPr>
          <w:rFonts w:ascii="宋体" w:hint="eastAsia"/>
          <w:color w:val="000000"/>
          <w:sz w:val="24"/>
        </w:rPr>
      </w:pPr>
      <w:r>
        <w:rPr>
          <w:rFonts w:ascii="宋体" w:hint="eastAsia"/>
          <w:color w:val="000000"/>
          <w:sz w:val="24"/>
        </w:rPr>
        <w:t>（五）本条所述的“不可抗力”指那些不能预见、不能避免并不能克服的客观情况，包括但不限于战争、动乱、严重火灾、洪水、台风、地震等及其他双方同意的情况，但不包括违约或疏忽。</w:t>
      </w:r>
    </w:p>
    <w:p>
      <w:pPr>
        <w:ind w:firstLine="480" w:firstLineChars="200"/>
        <w:rPr>
          <w:rFonts w:ascii="宋体" w:hint="eastAsia"/>
          <w:b/>
          <w:bCs/>
          <w:color w:val="000000"/>
          <w:sz w:val="24"/>
        </w:rPr>
      </w:pPr>
      <w:r>
        <w:rPr>
          <w:rFonts w:ascii="宋体" w:hint="eastAsia"/>
          <w:b/>
          <w:bCs/>
          <w:color w:val="000000"/>
          <w:sz w:val="24"/>
        </w:rPr>
        <w:t>第十五条 争议的解决</w:t>
      </w:r>
    </w:p>
    <w:p>
      <w:pPr>
        <w:ind w:firstLine="480" w:firstLineChars="200"/>
        <w:rPr>
          <w:rFonts w:ascii="宋体" w:hint="eastAsia"/>
          <w:color w:val="000000"/>
          <w:sz w:val="24"/>
        </w:rPr>
      </w:pPr>
      <w:r>
        <w:rPr>
          <w:rFonts w:ascii="宋体" w:hint="eastAsia"/>
          <w:color w:val="000000"/>
          <w:sz w:val="24"/>
        </w:rPr>
        <w:t>（一）合同实施或与合同有关的一切争议应通过双方友好协商解决。如果友好协商开始</w:t>
      </w:r>
      <w:r>
        <w:rPr>
          <w:rFonts w:ascii="宋体" w:hint="eastAsia"/>
          <w:color w:val="000000"/>
          <w:sz w:val="24"/>
          <w:u w:val="words"/>
        </w:rPr>
        <w:t>六十天</w:t>
      </w:r>
      <w:r>
        <w:rPr>
          <w:rFonts w:ascii="宋体" w:hint="eastAsia"/>
          <w:color w:val="000000"/>
          <w:sz w:val="24"/>
        </w:rPr>
        <w:t>内还不能解决，争议应提交仲裁。</w:t>
      </w:r>
    </w:p>
    <w:p>
      <w:pPr>
        <w:ind w:firstLine="480" w:firstLineChars="200"/>
        <w:rPr>
          <w:rFonts w:ascii="宋体" w:hint="eastAsia"/>
          <w:color w:val="000000"/>
          <w:sz w:val="24"/>
        </w:rPr>
      </w:pPr>
      <w:r>
        <w:rPr>
          <w:rFonts w:ascii="宋体" w:hint="eastAsia"/>
          <w:color w:val="000000"/>
          <w:sz w:val="24"/>
        </w:rPr>
        <w:t>（二）仲裁应提交</w:t>
      </w:r>
      <w:r>
        <w:rPr>
          <w:rFonts w:ascii="宋体" w:hint="eastAsia"/>
          <w:color w:val="000000"/>
          <w:sz w:val="24"/>
          <w:u w:val="words"/>
        </w:rPr>
        <w:t>北京仲裁委员会</w:t>
      </w:r>
      <w:r>
        <w:rPr>
          <w:rFonts w:ascii="宋体" w:hint="eastAsia"/>
          <w:color w:val="000000"/>
          <w:sz w:val="24"/>
        </w:rPr>
        <w:t>进行，其仲裁裁决为最终裁决，对双方均有约束力。</w:t>
      </w:r>
    </w:p>
    <w:p>
      <w:pPr>
        <w:ind w:firstLine="480" w:firstLineChars="200"/>
        <w:rPr>
          <w:rFonts w:ascii="宋体" w:hint="eastAsia"/>
          <w:color w:val="000000"/>
          <w:sz w:val="24"/>
        </w:rPr>
      </w:pPr>
      <w:r>
        <w:rPr>
          <w:rFonts w:ascii="宋体" w:hint="eastAsia"/>
          <w:color w:val="000000"/>
          <w:sz w:val="24"/>
        </w:rPr>
        <w:t>（三）仲裁费除仲裁机关另有裁决外均应由败诉方负担。</w:t>
      </w:r>
    </w:p>
    <w:p>
      <w:pPr>
        <w:ind w:firstLine="480" w:firstLineChars="200"/>
        <w:rPr>
          <w:rFonts w:ascii="宋体" w:hint="eastAsia"/>
          <w:color w:val="000000"/>
          <w:sz w:val="24"/>
        </w:rPr>
      </w:pPr>
      <w:r>
        <w:rPr>
          <w:rFonts w:ascii="宋体" w:hint="eastAsia"/>
          <w:color w:val="000000"/>
          <w:sz w:val="24"/>
        </w:rPr>
        <w:t>（四）在仲裁期间，除正在进行仲裁的部分外，本合同其他部分应继续履行。</w:t>
      </w:r>
    </w:p>
    <w:p>
      <w:pPr>
        <w:ind w:firstLine="480" w:firstLineChars="200"/>
        <w:rPr>
          <w:rFonts w:ascii="宋体" w:hint="eastAsia"/>
          <w:b/>
          <w:bCs/>
          <w:color w:val="000000"/>
          <w:sz w:val="24"/>
        </w:rPr>
      </w:pPr>
      <w:r>
        <w:rPr>
          <w:rFonts w:ascii="宋体" w:hint="eastAsia"/>
          <w:b/>
          <w:bCs/>
          <w:color w:val="000000"/>
          <w:sz w:val="24"/>
        </w:rPr>
        <w:t>第十六条 合同修改或变更</w:t>
      </w:r>
    </w:p>
    <w:p>
      <w:pPr>
        <w:ind w:firstLine="480" w:firstLineChars="200"/>
        <w:rPr>
          <w:rFonts w:ascii="宋体" w:hint="eastAsia"/>
          <w:color w:val="000000"/>
          <w:sz w:val="24"/>
        </w:rPr>
      </w:pPr>
      <w:r>
        <w:rPr>
          <w:rFonts w:ascii="宋体" w:hint="eastAsia"/>
          <w:color w:val="000000"/>
          <w:sz w:val="24"/>
        </w:rPr>
        <w:t>（一）如无重大变故，甲乙双方不得擅自变更合同。</w:t>
      </w:r>
    </w:p>
    <w:p>
      <w:pPr>
        <w:ind w:firstLine="480" w:firstLineChars="200"/>
        <w:rPr>
          <w:rFonts w:ascii="宋体" w:hint="eastAsia"/>
          <w:color w:val="000000"/>
          <w:sz w:val="24"/>
        </w:rPr>
      </w:pPr>
      <w:r>
        <w:rPr>
          <w:rFonts w:ascii="宋体" w:hint="eastAsia"/>
          <w:color w:val="000000"/>
          <w:sz w:val="24"/>
        </w:rPr>
        <w:t>（二）如确需变更合同，甲乙双方应签署书面变更协议。变更协议为本合同不可分割的一部分。</w:t>
      </w:r>
    </w:p>
    <w:p>
      <w:pPr>
        <w:ind w:firstLine="480" w:firstLineChars="200"/>
        <w:rPr>
          <w:rFonts w:ascii="宋体" w:hint="eastAsia"/>
          <w:color w:val="000000"/>
          <w:sz w:val="24"/>
        </w:rPr>
      </w:pPr>
      <w:r>
        <w:rPr>
          <w:rFonts w:ascii="宋体" w:hint="eastAsia"/>
          <w:color w:val="000000"/>
          <w:sz w:val="24"/>
        </w:rPr>
        <w:t>（三）在不改变合同其他条款的前提下，甲方（用户）有权在合同价款10%的范围内追加与合同标的相同的服务，并就此与乙方签订补充合同，乙方不得拒绝。</w:t>
      </w:r>
    </w:p>
    <w:p>
      <w:pPr>
        <w:ind w:firstLine="480" w:firstLineChars="200"/>
        <w:rPr>
          <w:rFonts w:ascii="宋体" w:hint="eastAsia"/>
          <w:b/>
          <w:bCs/>
          <w:color w:val="000000"/>
          <w:sz w:val="24"/>
        </w:rPr>
      </w:pPr>
      <w:r>
        <w:rPr>
          <w:rFonts w:ascii="宋体" w:hint="eastAsia"/>
          <w:b/>
          <w:bCs/>
          <w:color w:val="000000"/>
          <w:sz w:val="24"/>
        </w:rPr>
        <w:t>第十七条 合同中止</w:t>
      </w:r>
    </w:p>
    <w:p>
      <w:pPr>
        <w:ind w:firstLine="480" w:firstLineChars="200"/>
        <w:rPr>
          <w:rFonts w:ascii="宋体" w:hint="eastAsia"/>
          <w:color w:val="000000"/>
          <w:sz w:val="24"/>
        </w:rPr>
      </w:pPr>
      <w:r>
        <w:rPr>
          <w:rFonts w:ascii="宋体" w:hint="eastAsia"/>
          <w:color w:val="000000"/>
          <w:sz w:val="24"/>
        </w:rPr>
        <w:t>（一）合同在履行过程中，因采购计划调整，甲方（用户）可以要求中止履行，待计划确定后继续履行。</w:t>
      </w:r>
    </w:p>
    <w:p>
      <w:pPr>
        <w:ind w:firstLine="480" w:firstLineChars="200"/>
        <w:rPr>
          <w:rFonts w:ascii="宋体" w:hint="eastAsia"/>
          <w:color w:val="000000"/>
          <w:sz w:val="24"/>
        </w:rPr>
      </w:pPr>
      <w:r>
        <w:rPr>
          <w:rFonts w:ascii="宋体" w:hint="eastAsia"/>
          <w:color w:val="000000"/>
          <w:sz w:val="24"/>
        </w:rPr>
        <w:t>（二）合同签订或履行过程中因其他供应商就采购过程或结果提起质疑、投诉、行政复议、行政诉讼的，甲方（用户）认为有必要或财政部责令中止的，应当中止合同的履行。</w:t>
      </w:r>
    </w:p>
    <w:p>
      <w:pPr>
        <w:ind w:firstLine="480" w:firstLineChars="200"/>
        <w:rPr>
          <w:rFonts w:ascii="宋体" w:hint="eastAsia"/>
          <w:b/>
          <w:bCs/>
          <w:color w:val="000000"/>
          <w:sz w:val="24"/>
        </w:rPr>
      </w:pPr>
      <w:r>
        <w:rPr>
          <w:rFonts w:ascii="宋体" w:hint="eastAsia"/>
          <w:b/>
          <w:bCs/>
          <w:color w:val="000000"/>
          <w:sz w:val="24"/>
        </w:rPr>
        <w:t>第十八条 合同解除</w:t>
      </w:r>
    </w:p>
    <w:p>
      <w:pPr>
        <w:ind w:firstLine="480" w:firstLineChars="200"/>
        <w:rPr>
          <w:rFonts w:ascii="宋体" w:hint="eastAsia"/>
          <w:color w:val="000000"/>
          <w:sz w:val="24"/>
        </w:rPr>
      </w:pPr>
      <w:r>
        <w:rPr>
          <w:rFonts w:ascii="宋体" w:hint="eastAsia"/>
          <w:color w:val="000000"/>
          <w:sz w:val="24"/>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80" w:firstLineChars="200"/>
        <w:rPr>
          <w:rFonts w:ascii="宋体" w:hint="eastAsia"/>
          <w:color w:val="000000"/>
          <w:sz w:val="24"/>
        </w:rPr>
      </w:pPr>
      <w:r>
        <w:rPr>
          <w:rFonts w:ascii="宋体" w:hint="eastAsia"/>
          <w:color w:val="000000"/>
          <w:sz w:val="24"/>
        </w:rPr>
        <w:t>（一）因违约解除合同</w:t>
      </w:r>
    </w:p>
    <w:p>
      <w:pPr>
        <w:ind w:firstLine="480" w:firstLineChars="200"/>
        <w:rPr>
          <w:rFonts w:ascii="宋体" w:hint="eastAsia"/>
          <w:color w:val="000000"/>
          <w:sz w:val="24"/>
        </w:rPr>
      </w:pPr>
      <w:r>
        <w:rPr>
          <w:rFonts w:ascii="宋体" w:hint="eastAsia"/>
          <w:color w:val="000000"/>
          <w:sz w:val="24"/>
        </w:rPr>
        <w:t>1.在甲方（用户）因乙方违约而采取的任何补救措施不受影响的情况下，甲方（用户）可向乙方发出书面违约通知书，提出解除部分或全部合同：</w:t>
      </w:r>
    </w:p>
    <w:p>
      <w:pPr>
        <w:ind w:firstLine="480" w:firstLineChars="200"/>
        <w:rPr>
          <w:rFonts w:ascii="宋体" w:hint="eastAsia"/>
          <w:color w:val="000000"/>
          <w:sz w:val="24"/>
        </w:rPr>
      </w:pPr>
      <w:r>
        <w:rPr>
          <w:rFonts w:ascii="宋体" w:hint="eastAsia"/>
          <w:color w:val="000000"/>
          <w:sz w:val="24"/>
        </w:rPr>
        <w:t>（1）如果乙方未能在合同规定的期限或甲方（用户）根据合同条款的规定同意延长的限期内提供部分或全部的服务，达到合同所规定的要求；</w:t>
      </w:r>
    </w:p>
    <w:p>
      <w:pPr>
        <w:ind w:firstLine="480" w:firstLineChars="200"/>
        <w:rPr>
          <w:rFonts w:ascii="宋体" w:hint="eastAsia"/>
          <w:color w:val="000000"/>
          <w:sz w:val="24"/>
        </w:rPr>
      </w:pPr>
      <w:r>
        <w:rPr>
          <w:rFonts w:ascii="宋体" w:hint="eastAsia"/>
          <w:color w:val="000000"/>
          <w:sz w:val="24"/>
        </w:rPr>
        <w:t>（2）如果甲方（用户）发现乙方在本合同的竞争或实施中有欺诈行为。</w:t>
      </w:r>
    </w:p>
    <w:p>
      <w:pPr>
        <w:ind w:firstLine="480" w:firstLineChars="200"/>
        <w:rPr>
          <w:rFonts w:ascii="宋体" w:hint="eastAsia"/>
          <w:color w:val="000000"/>
          <w:sz w:val="24"/>
        </w:rPr>
      </w:pPr>
      <w:r>
        <w:rPr>
          <w:rFonts w:ascii="宋体" w:hint="eastAsia"/>
          <w:color w:val="000000"/>
          <w:sz w:val="24"/>
        </w:rPr>
        <w:t>（3）如果乙方未能履行合同规定的其他任何义务。</w:t>
      </w:r>
    </w:p>
    <w:p>
      <w:pPr>
        <w:ind w:firstLine="480" w:firstLineChars="200"/>
        <w:rPr>
          <w:rFonts w:ascii="宋体" w:hint="eastAsia"/>
          <w:color w:val="000000"/>
          <w:sz w:val="24"/>
        </w:rPr>
      </w:pPr>
      <w:r>
        <w:rPr>
          <w:rFonts w:ascii="宋体" w:hint="eastAsia"/>
          <w:color w:val="000000"/>
          <w:sz w:val="24"/>
        </w:rPr>
        <w:t>2.如果甲方（用户）根据上述规定与乙方全部或部分解除合同，</w:t>
      </w:r>
      <w:r>
        <w:rPr>
          <w:rFonts w:ascii="宋体" w:hint="eastAsia"/>
          <w:bCs/>
          <w:color w:val="000000"/>
          <w:sz w:val="24"/>
        </w:rPr>
        <w:t>甲方（用户）可以依其认为适当的条件和方法购买乙方未能提供的服务，乙方应对甲方购买服务所超出的费用负责</w:t>
      </w:r>
      <w:r>
        <w:rPr>
          <w:rFonts w:ascii="宋体" w:hint="eastAsia"/>
          <w:color w:val="000000"/>
          <w:sz w:val="24"/>
        </w:rPr>
        <w:t>。</w:t>
      </w:r>
      <w:r>
        <w:rPr>
          <w:rFonts w:ascii="宋体" w:hint="eastAsia"/>
          <w:bCs/>
          <w:color w:val="000000"/>
          <w:sz w:val="24"/>
        </w:rPr>
        <w:t>同时，乙方应继续执行合同中未解除的部分。</w:t>
      </w:r>
    </w:p>
    <w:p>
      <w:pPr>
        <w:ind w:firstLine="480" w:firstLineChars="200"/>
        <w:rPr>
          <w:rFonts w:ascii="宋体" w:hint="eastAsia"/>
          <w:color w:val="000000"/>
          <w:sz w:val="24"/>
        </w:rPr>
      </w:pPr>
      <w:r>
        <w:rPr>
          <w:rFonts w:ascii="宋体" w:hint="eastAsia"/>
          <w:color w:val="000000"/>
          <w:sz w:val="24"/>
        </w:rPr>
        <w:t>（二）因破产而解除合同</w:t>
      </w:r>
    </w:p>
    <w:p>
      <w:pPr>
        <w:ind w:firstLine="480" w:firstLineChars="200"/>
        <w:rPr>
          <w:rFonts w:ascii="宋体" w:hint="eastAsia"/>
          <w:color w:val="000000"/>
          <w:sz w:val="24"/>
        </w:rPr>
      </w:pPr>
      <w:r>
        <w:rPr>
          <w:rFonts w:ascii="宋体" w:hint="eastAsia"/>
          <w:color w:val="000000"/>
          <w:sz w:val="24"/>
        </w:rPr>
        <w:t>1.如果乙方破产或无清偿能力，甲方（用户）可在任何时候以书面形式通知乙方，提出解除合同而不给乙方补偿，并有权要求乙方退回甲方（用户）已支付的合同款项。</w:t>
      </w:r>
    </w:p>
    <w:p>
      <w:pPr>
        <w:ind w:firstLine="480" w:firstLineChars="200"/>
        <w:rPr>
          <w:rFonts w:ascii="宋体" w:hint="eastAsia"/>
          <w:color w:val="000000"/>
          <w:sz w:val="24"/>
        </w:rPr>
      </w:pPr>
      <w:r>
        <w:rPr>
          <w:rFonts w:ascii="宋体" w:hint="eastAsia"/>
          <w:color w:val="000000"/>
          <w:sz w:val="24"/>
        </w:rPr>
        <w:t>2.该解除合同将不损害或影响甲方</w:t>
      </w:r>
      <w:r>
        <w:rPr>
          <w:rFonts w:ascii="宋体" w:cs="宋体" w:hint="eastAsia"/>
          <w:color w:val="000000"/>
          <w:sz w:val="24"/>
          <w:lang w:bidi="ar-SA"/>
        </w:rPr>
        <w:t>（用户）</w:t>
      </w:r>
      <w:r>
        <w:rPr>
          <w:rFonts w:ascii="宋体" w:hint="eastAsia"/>
          <w:color w:val="000000"/>
          <w:sz w:val="24"/>
        </w:rPr>
        <w:t>已经采取或将要采取的任何行动或补救措施的权利。</w:t>
      </w:r>
    </w:p>
    <w:p>
      <w:pPr>
        <w:ind w:firstLine="480" w:firstLineChars="200"/>
        <w:rPr>
          <w:rFonts w:ascii="宋体" w:hint="eastAsia"/>
          <w:color w:val="000000"/>
          <w:sz w:val="24"/>
        </w:rPr>
      </w:pPr>
      <w:r>
        <w:rPr>
          <w:rFonts w:ascii="宋体" w:hint="eastAsia"/>
          <w:color w:val="000000"/>
          <w:sz w:val="24"/>
        </w:rPr>
        <w:t>（三）其他解除合同情况</w:t>
      </w:r>
    </w:p>
    <w:p>
      <w:pPr>
        <w:ind w:firstLine="480" w:firstLineChars="200"/>
        <w:rPr>
          <w:rFonts w:ascii="宋体" w:hint="eastAsia"/>
          <w:color w:val="000000"/>
          <w:sz w:val="24"/>
        </w:rPr>
      </w:pPr>
      <w:r>
        <w:rPr>
          <w:rFonts w:ascii="宋体" w:hint="eastAsia"/>
          <w:color w:val="000000"/>
          <w:sz w:val="24"/>
        </w:rPr>
        <w:t>1.若合同继续履行将给甲方造成重大损失的，甲方（用户）可以解除合同而不给予乙方任何补偿。</w:t>
      </w:r>
    </w:p>
    <w:p>
      <w:pPr>
        <w:ind w:firstLine="480" w:firstLineChars="200"/>
        <w:rPr>
          <w:rFonts w:ascii="宋体" w:hint="eastAsia"/>
          <w:color w:val="000000"/>
          <w:sz w:val="24"/>
        </w:rPr>
      </w:pPr>
      <w:r>
        <w:rPr>
          <w:rFonts w:ascii="宋体" w:hint="eastAsia"/>
          <w:color w:val="000000"/>
          <w:sz w:val="24"/>
        </w:rPr>
        <w:t>2.乙方在执行合同的过程中发生重大变故，对履行合同有影响的，甲方（用户）可以解除合同而不给予乙方任何补偿。</w:t>
      </w:r>
    </w:p>
    <w:p>
      <w:pPr>
        <w:ind w:firstLine="480" w:firstLineChars="200"/>
        <w:rPr>
          <w:rFonts w:ascii="宋体" w:hint="eastAsia"/>
          <w:color w:val="000000"/>
          <w:sz w:val="24"/>
        </w:rPr>
      </w:pPr>
      <w:r>
        <w:rPr>
          <w:rFonts w:ascii="宋体" w:hint="eastAsia"/>
          <w:color w:val="000000"/>
          <w:sz w:val="24"/>
        </w:rPr>
        <w:t>3.甲方（用户）因重大变故取消或部分取消原来的采购任务，导致合同全部或部分内容无需继续履行的，可以解除合同而不给予乙方任何补偿。</w:t>
      </w:r>
    </w:p>
    <w:p>
      <w:pPr>
        <w:ind w:firstLine="480" w:firstLineChars="200"/>
        <w:rPr>
          <w:rFonts w:ascii="宋体" w:hint="eastAsia"/>
          <w:b/>
          <w:bCs/>
          <w:color w:val="000000"/>
          <w:sz w:val="24"/>
        </w:rPr>
      </w:pPr>
      <w:r>
        <w:rPr>
          <w:rFonts w:ascii="宋体" w:hint="eastAsia"/>
          <w:b/>
          <w:bCs/>
          <w:color w:val="000000"/>
          <w:sz w:val="24"/>
        </w:rPr>
        <w:t>第十九条 合同终止</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（一）本合同因下列原因而终止：</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1.本合同正常履行完毕；</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2.合同双方协议终止本合同的履行；</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3.不可抗力事件导致本合同无法履行或履行不必要；</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4.任何一方行使解除权，解除本合同。</w:t>
      </w:r>
    </w:p>
    <w:p>
      <w:pPr>
        <w:pStyle w:val="30100"/>
        <w:autoSpaceDN w:val="0"/>
        <w:spacing w:line="560" w:lineRule="exact"/>
        <w:ind w:firstLine="480" w:firstLineChars="200"/>
        <w:jc w:val="left"/>
        <w:rPr>
          <w:rFonts w:ascii="宋体" w:cs="微软雅黑" w:hint="eastAsia"/>
          <w:snapToGrid w:val="0"/>
          <w:kern w:val="0"/>
          <w:sz w:val="24"/>
          <w:szCs w:val="24"/>
        </w:rPr>
      </w:pPr>
      <w:bookmarkStart w:id="64" w:name="孔子"/>
      <w:bookmarkEnd w:id="64"/>
      <w:r>
        <w:rPr>
          <w:rFonts w:ascii="宋体" w:cs="微软雅黑" w:hint="eastAsia"/>
          <w:snapToGrid w:val="0"/>
          <w:kern w:val="0"/>
          <w:sz w:val="24"/>
          <w:szCs w:val="24"/>
          <w:lang w:bidi="ar-SA"/>
        </w:rPr>
        <w:t>（二）对本合同终止有过错的一方应赔偿另一方因合同终止而受到的损失。</w:t>
      </w:r>
    </w:p>
    <w:p>
      <w:pPr>
        <w:ind w:firstLine="480" w:firstLineChars="200"/>
        <w:rPr>
          <w:rFonts w:ascii="宋体" w:hint="eastAsia"/>
          <w:b/>
          <w:bCs/>
          <w:color w:val="000000"/>
          <w:sz w:val="24"/>
        </w:rPr>
      </w:pPr>
      <w:r>
        <w:rPr>
          <w:rFonts w:ascii="宋体" w:hint="eastAsia"/>
          <w:b/>
          <w:bCs/>
          <w:color w:val="000000"/>
          <w:sz w:val="24"/>
        </w:rPr>
        <w:t>第二十条 合同转让和分包</w:t>
      </w:r>
    </w:p>
    <w:p>
      <w:pPr>
        <w:ind w:firstLine="480" w:firstLineChars="200"/>
        <w:rPr>
          <w:rFonts w:ascii="宋体" w:hint="eastAsia"/>
          <w:color w:val="000000"/>
          <w:sz w:val="24"/>
        </w:rPr>
      </w:pPr>
      <w:r>
        <w:rPr>
          <w:rFonts w:ascii="宋体" w:hint="eastAsia"/>
          <w:color w:val="000000"/>
          <w:sz w:val="24"/>
        </w:rPr>
        <w:t>（一）乙方不得以任何形式将合同转包，或部分或全部转让其应履行的合同义务。</w:t>
      </w:r>
    </w:p>
    <w:p>
      <w:pPr>
        <w:ind w:firstLine="480" w:firstLineChars="200"/>
        <w:rPr>
          <w:rFonts w:ascii="宋体" w:hint="eastAsia"/>
          <w:color w:val="000000"/>
          <w:sz w:val="24"/>
        </w:rPr>
      </w:pPr>
      <w:r>
        <w:rPr>
          <w:rFonts w:ascii="宋体" w:hint="eastAsia"/>
          <w:color w:val="000000"/>
          <w:sz w:val="24"/>
        </w:rPr>
        <w:t>（二）除经甲方（用户）事先书面同意外，乙方不得以任何形式将合同分包。</w:t>
      </w:r>
    </w:p>
    <w:p>
      <w:pPr>
        <w:ind w:firstLine="480" w:firstLineChars="200"/>
        <w:rPr>
          <w:rFonts w:ascii="宋体" w:hint="eastAsia"/>
          <w:color w:val="000000"/>
          <w:sz w:val="24"/>
        </w:rPr>
      </w:pPr>
      <w:r>
        <w:rPr>
          <w:rFonts w:ascii="宋体" w:hint="eastAsia"/>
          <w:color w:val="000000"/>
          <w:sz w:val="24"/>
        </w:rPr>
        <w:t>乙方擅自转包或分包的，甲方有权解除本合同，没收履约保证金，并要求乙方退还已支付的全部款项，赔偿甲方（用户）全部损失及支出的合理费用。</w:t>
      </w:r>
    </w:p>
    <w:p>
      <w:pPr>
        <w:ind w:firstLine="480" w:firstLineChars="200"/>
        <w:rPr>
          <w:rFonts w:ascii="宋体" w:hint="eastAsia"/>
          <w:b/>
          <w:bCs/>
          <w:color w:val="000000"/>
          <w:sz w:val="24"/>
        </w:rPr>
      </w:pPr>
      <w:r>
        <w:rPr>
          <w:rFonts w:ascii="宋体" w:hint="eastAsia"/>
          <w:b/>
          <w:bCs/>
          <w:color w:val="000000"/>
          <w:sz w:val="24"/>
        </w:rPr>
        <w:t>第二十一条 其他</w:t>
      </w:r>
    </w:p>
    <w:p>
      <w:pPr>
        <w:ind w:firstLine="480" w:firstLineChars="200"/>
        <w:rPr>
          <w:rFonts w:ascii="宋体" w:hint="eastAsia"/>
          <w:color w:val="000000"/>
          <w:sz w:val="24"/>
        </w:rPr>
      </w:pPr>
      <w:r>
        <w:rPr>
          <w:rFonts w:ascii="宋体" w:hint="eastAsia"/>
          <w:color w:val="000000"/>
          <w:sz w:val="24"/>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80" w:firstLineChars="200"/>
        <w:rPr>
          <w:rFonts w:ascii="宋体" w:hint="eastAsia"/>
          <w:b/>
          <w:bCs/>
          <w:color w:val="000000"/>
          <w:sz w:val="24"/>
        </w:rPr>
      </w:pPr>
      <w:r>
        <w:rPr>
          <w:rFonts w:ascii="宋体" w:hint="eastAsia"/>
          <w:b/>
          <w:bCs/>
          <w:color w:val="000000"/>
          <w:sz w:val="24"/>
        </w:rPr>
        <w:t>第二十二条 合同生效</w:t>
      </w:r>
    </w:p>
    <w:p>
      <w:pPr>
        <w:ind w:firstLine="480" w:firstLineChars="200"/>
        <w:rPr>
          <w:rFonts w:ascii="宋体" w:hint="eastAsia"/>
          <w:color w:val="000000"/>
          <w:sz w:val="24"/>
        </w:rPr>
      </w:pPr>
      <w:r>
        <w:rPr>
          <w:rFonts w:ascii="宋体" w:hint="eastAsia"/>
          <w:color w:val="000000"/>
          <w:sz w:val="24"/>
        </w:rPr>
        <w:t>（一）本合同一式___份，甲方执___份，乙方执___份；自甲乙双方签字并盖章之日起生效。对本合同的任何更改及补充，均需双方共同协商，并以书面形式盖章确认。</w:t>
      </w:r>
    </w:p>
    <w:p>
      <w:pPr>
        <w:pStyle w:val="3110"/>
        <w:widowControl/>
        <w:autoSpaceDN w:val="0"/>
        <w:spacing w:line="560" w:lineRule="exact"/>
        <w:ind w:firstLine="480" w:firstLineChars="200"/>
        <w:jc w:val="left"/>
        <w:rPr>
          <w:rFonts w:ascii="宋体" w:cs="宋体" w:hint="eastAsia"/>
          <w:snapToGrid w:val="0"/>
          <w:kern w:val="0"/>
          <w:sz w:val="24"/>
          <w:szCs w:val="24"/>
        </w:rPr>
      </w:pPr>
      <w:r>
        <w:rPr>
          <w:rFonts w:ascii="宋体" w:hint="eastAsia"/>
          <w:color w:val="000000"/>
          <w:sz w:val="24"/>
          <w:szCs w:val="24"/>
        </w:rPr>
        <w:t>（二）</w:t>
      </w:r>
      <w:r>
        <w:rPr>
          <w:rFonts w:ascii="宋体" w:cs="宋体" w:hint="eastAsia"/>
          <w:snapToGrid w:val="0"/>
          <w:kern w:val="0"/>
          <w:sz w:val="24"/>
          <w:szCs w:val="24"/>
          <w:lang w:bidi="ar-SA"/>
        </w:rPr>
        <w:t>本合同签订后，由海关总署</w:t>
      </w:r>
      <w:r>
        <w:rPr>
          <w:rFonts w:ascii="宋体" w:cs="宋体" w:hint="eastAsia"/>
          <w:snapToGrid w:val="0"/>
          <w:kern w:val="0"/>
          <w:sz w:val="24"/>
          <w:szCs w:val="24"/>
          <w:u w:val="single"/>
          <w:lang w:bidi="ar-SA"/>
        </w:rPr>
        <w:t>（内设部门名称）</w:t>
      </w:r>
      <w:r>
        <w:rPr>
          <w:rFonts w:ascii="宋体" w:cs="宋体" w:hint="eastAsia"/>
          <w:snapToGrid w:val="0"/>
          <w:kern w:val="0"/>
          <w:sz w:val="24"/>
          <w:szCs w:val="24"/>
          <w:lang w:bidi="ar-SA"/>
        </w:rPr>
        <w:t>执行资金支付、履约保证金收退、试运行或合同验收等合同履约一切事宜。（适用于采购中心与乙方签订合同的情形）</w:t>
      </w:r>
    </w:p>
    <w:p>
      <w:pPr>
        <w:ind w:firstLine="480" w:firstLineChars="200"/>
        <w:rPr>
          <w:rFonts w:ascii="宋体" w:hint="eastAsia"/>
          <w:color w:val="000000"/>
          <w:sz w:val="24"/>
        </w:rPr>
      </w:pPr>
    </w:p>
    <w:p>
      <w:pPr>
        <w:pStyle w:val="5610"/>
        <w:spacing w:line="480" w:lineRule="atLeast"/>
        <w:ind w:firstLine="482" w:firstLineChars="201"/>
        <w:rPr>
          <w:rFonts w:ascii="宋体" w:eastAsia="宋体" w:cs="宋体" w:hint="eastAsia"/>
          <w:color w:val="000000"/>
          <w:sz w:val="24"/>
          <w:szCs w:val="24"/>
        </w:rPr>
      </w:pPr>
      <w:r>
        <w:rPr>
          <w:rFonts w:ascii="宋体" w:eastAsia="宋体" w:hint="eastAsia"/>
          <w:color w:val="000000"/>
          <w:sz w:val="24"/>
          <w:szCs w:val="24"/>
        </w:rPr>
        <w:t>附件一：</w:t>
      </w:r>
      <w:r>
        <w:rPr>
          <w:rFonts w:ascii="宋体" w:eastAsia="宋体" w:cs="宋体" w:hint="eastAsia"/>
          <w:color w:val="000000"/>
          <w:sz w:val="24"/>
          <w:szCs w:val="24"/>
          <w:lang w:bidi="ar-SA"/>
        </w:rPr>
        <w:t>项目需求书</w:t>
      </w:r>
    </w:p>
    <w:p>
      <w:pPr>
        <w:ind w:firstLine="480" w:firstLineChars="200"/>
        <w:rPr>
          <w:rFonts w:ascii="宋体" w:hint="eastAsia"/>
          <w:color w:val="000000"/>
          <w:sz w:val="24"/>
        </w:rPr>
      </w:pPr>
      <w:r>
        <w:rPr>
          <w:rFonts w:ascii="宋体" w:hint="eastAsia"/>
          <w:color w:val="000000"/>
          <w:sz w:val="24"/>
        </w:rPr>
        <w:t>附件二：分项报价表</w:t>
      </w:r>
    </w:p>
    <w:p>
      <w:pPr>
        <w:ind w:firstLine="480" w:firstLineChars="200"/>
        <w:rPr>
          <w:rFonts w:ascii="宋体" w:hint="eastAsia"/>
          <w:color w:val="000000"/>
          <w:sz w:val="24"/>
        </w:rPr>
      </w:pPr>
      <w:r>
        <w:rPr>
          <w:rFonts w:ascii="宋体" w:hint="eastAsia"/>
          <w:color w:val="000000"/>
          <w:sz w:val="24"/>
        </w:rPr>
        <w:t>附件三：</w:t>
      </w:r>
      <w:r>
        <w:rPr>
          <w:rFonts w:ascii="宋体" w:cs="宋体" w:hint="eastAsia"/>
          <w:color w:val="000000"/>
          <w:sz w:val="24"/>
          <w:lang w:bidi="ar-SA"/>
        </w:rPr>
        <w:t>政务数据安全管理承诺书</w:t>
      </w:r>
    </w:p>
    <w:p>
      <w:pPr>
        <w:ind w:firstLine="480" w:firstLineChars="200"/>
        <w:rPr>
          <w:rFonts w:ascii="宋体" w:hint="eastAsia"/>
          <w:color w:val="000000"/>
          <w:sz w:val="24"/>
        </w:rPr>
      </w:pPr>
      <w:r>
        <w:rPr>
          <w:rFonts w:ascii="宋体" w:hint="eastAsia"/>
          <w:color w:val="000000"/>
          <w:sz w:val="24"/>
        </w:rPr>
        <w:t>附件四：相关方案</w:t>
      </w:r>
    </w:p>
    <w:p>
      <w:pPr>
        <w:rPr>
          <w:rFonts w:ascii="宋体" w:hint="eastAsia"/>
          <w:color w:val="000000"/>
          <w:sz w:val="24"/>
        </w:rPr>
      </w:pPr>
      <w:r>
        <w:rPr>
          <w:rFonts w:ascii="宋体" w:hint="eastAsia"/>
          <w:color w:val="000000"/>
          <w:sz w:val="24"/>
        </w:rPr>
        <w:t>（附件二、四内容与投标/响应文件一致。）</w:t>
      </w:r>
    </w:p>
    <w:p>
      <w:pPr>
        <w:rPr>
          <w:rFonts w:ascii="宋体" w:hint="eastAsia"/>
          <w:color w:val="000000"/>
          <w:sz w:val="24"/>
        </w:rPr>
      </w:pPr>
    </w:p>
    <w:p>
      <w:pPr>
        <w:rPr>
          <w:rFonts w:ascii="宋体" w:hint="eastAsia"/>
          <w:color w:val="000000"/>
          <w:sz w:val="24"/>
        </w:rPr>
      </w:pPr>
      <w:r>
        <w:rPr>
          <w:rFonts w:ascii="宋体" w:hint="eastAsia"/>
          <w:color w:val="000000"/>
          <w:sz w:val="24"/>
        </w:rPr>
        <w:t>甲方（公章</w:t>
      </w:r>
      <w:r>
        <w:rPr>
          <w:rFonts w:ascii="宋体" w:hint="eastAsia"/>
          <w:snapToGrid w:val="0"/>
          <w:kern w:val="0"/>
          <w:sz w:val="24"/>
        </w:rPr>
        <w:t>或合同章</w:t>
      </w:r>
      <w:r>
        <w:rPr>
          <w:rFonts w:ascii="宋体" w:hint="eastAsia"/>
          <w:color w:val="000000"/>
          <w:sz w:val="24"/>
        </w:rPr>
        <w:t>）：             乙方（公章</w:t>
      </w:r>
      <w:r>
        <w:rPr>
          <w:rFonts w:ascii="宋体" w:hint="eastAsia"/>
          <w:snapToGrid w:val="0"/>
          <w:kern w:val="0"/>
          <w:sz w:val="24"/>
        </w:rPr>
        <w:t>或合同章</w:t>
      </w:r>
      <w:r>
        <w:rPr>
          <w:rFonts w:ascii="宋体" w:hint="eastAsia"/>
          <w:color w:val="000000"/>
          <w:sz w:val="24"/>
        </w:rPr>
        <w:t>）：</w:t>
      </w:r>
    </w:p>
    <w:p>
      <w:pPr>
        <w:rPr>
          <w:rFonts w:ascii="宋体" w:hint="eastAsia"/>
          <w:color w:val="000000"/>
          <w:sz w:val="24"/>
        </w:rPr>
      </w:pPr>
      <w:r>
        <w:rPr>
          <w:rFonts w:ascii="宋体" w:hint="eastAsia"/>
          <w:color w:val="000000"/>
          <w:sz w:val="24"/>
        </w:rPr>
        <w:t>法定代表人                        法定代表人</w:t>
      </w:r>
    </w:p>
    <w:p>
      <w:pPr>
        <w:rPr>
          <w:rFonts w:ascii="宋体" w:hint="eastAsia"/>
          <w:color w:val="000000"/>
          <w:sz w:val="24"/>
        </w:rPr>
      </w:pPr>
      <w:r>
        <w:rPr>
          <w:rFonts w:ascii="宋体" w:hint="eastAsia"/>
          <w:color w:val="000000"/>
          <w:sz w:val="24"/>
        </w:rPr>
        <w:t>或授权签字人（签字）：             或授权签字人（签字）：</w:t>
      </w:r>
    </w:p>
    <w:p>
      <w:pPr>
        <w:rPr>
          <w:rFonts w:ascii="宋体" w:hint="eastAsia"/>
          <w:color w:val="000000"/>
          <w:sz w:val="24"/>
        </w:rPr>
      </w:pPr>
    </w:p>
    <w:p>
      <w:pPr>
        <w:rPr>
          <w:rFonts w:ascii="宋体" w:hint="eastAsia"/>
          <w:color w:val="000000"/>
          <w:sz w:val="24"/>
        </w:rPr>
      </w:pPr>
      <w:r>
        <w:rPr>
          <w:rFonts w:ascii="宋体" w:hint="eastAsia"/>
          <w:color w:val="000000"/>
          <w:sz w:val="24"/>
        </w:rPr>
        <w:t xml:space="preserve">日期： 年  月  日                 日期：   年   月   日    </w:t>
      </w:r>
    </w:p>
    <w:p>
      <w:pPr>
        <w:rPr>
          <w:rFonts w:ascii="宋体" w:hint="eastAsia"/>
          <w:color w:val="000000"/>
          <w:sz w:val="24"/>
        </w:rPr>
      </w:pPr>
      <w:r>
        <w:rPr>
          <w:rFonts w:ascii="宋体" w:hint="eastAsia"/>
          <w:color w:val="000000"/>
          <w:sz w:val="24"/>
        </w:rPr>
        <w:t>联系人:                            联系人：</w:t>
      </w:r>
    </w:p>
    <w:p>
      <w:pPr>
        <w:rPr>
          <w:rFonts w:ascii="宋体" w:hint="eastAsia"/>
          <w:color w:val="000000"/>
          <w:sz w:val="24"/>
        </w:rPr>
      </w:pPr>
      <w:r>
        <w:rPr>
          <w:rFonts w:ascii="宋体" w:hint="eastAsia"/>
          <w:color w:val="000000"/>
          <w:sz w:val="24"/>
        </w:rPr>
        <w:t>电话:                              电话：</w:t>
      </w:r>
    </w:p>
    <w:p>
      <w:pPr>
        <w:rPr>
          <w:rFonts w:ascii="宋体" w:hint="eastAsia"/>
          <w:color w:val="000000"/>
          <w:sz w:val="24"/>
        </w:rPr>
      </w:pPr>
      <w:r>
        <w:rPr>
          <w:rFonts w:ascii="宋体" w:hint="eastAsia"/>
          <w:color w:val="000000"/>
          <w:sz w:val="24"/>
        </w:rPr>
        <w:t>地址：                             地址：</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32"/>
          <w:szCs w:val="32"/>
        </w:rPr>
      </w:pPr>
      <w:r>
        <w:rPr>
          <w:rFonts w:ascii="方正小标宋_GBK" w:eastAsia="方正小标宋_GBK" w:hint="eastAsia"/>
          <w:sz w:val="32"/>
          <w:szCs w:val="32"/>
        </w:rPr>
        <w:t>政务数据安全管理承诺书</w:t>
      </w:r>
    </w:p>
    <w:p>
      <w:pPr>
        <w:pStyle w:val="6710"/>
        <w:spacing w:line="560" w:lineRule="exact"/>
        <w:rPr>
          <w:rFonts w:hint="eastAsia"/>
          <w:sz w:val="24"/>
          <w:szCs w:val="24"/>
        </w:rPr>
      </w:pPr>
      <w:r>
        <w:rPr>
          <w:rFonts w:ascii="宋体" w:hint="eastAsia"/>
          <w:sz w:val="24"/>
          <w:szCs w:val="24"/>
        </w:rPr>
        <w:t xml:space="preserve">  </w:t>
      </w:r>
      <w:r>
        <w:rPr>
          <w:rFonts w:ascii="方正仿宋_GBK" w:eastAsia="方正仿宋_GBK" w:hint="eastAsia"/>
          <w:sz w:val="32"/>
          <w:szCs w:val="32"/>
        </w:rPr>
        <w:t xml:space="preserve">  </w:t>
      </w:r>
      <w:r>
        <w:rPr>
          <w:rFonts w:hint="eastAsia"/>
          <w:sz w:val="24"/>
          <w:szCs w:val="24"/>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hint="eastAsia"/>
          <w:sz w:val="24"/>
          <w:szCs w:val="24"/>
        </w:rPr>
      </w:pPr>
      <w:r>
        <w:rPr>
          <w:rFonts w:hint="eastAsia"/>
          <w:sz w:val="24"/>
          <w:szCs w:val="24"/>
        </w:rPr>
        <w:t xml:space="preserve">    二、乙方承诺不将其承包的项目全部转包，不将中标项目支解后分别向其他企业或者个人转让，不将项目主体和关键部分分包。</w:t>
      </w:r>
    </w:p>
    <w:p>
      <w:pPr>
        <w:pStyle w:val="6710"/>
        <w:spacing w:line="560" w:lineRule="exact"/>
        <w:rPr>
          <w:rFonts w:hint="eastAsia"/>
          <w:sz w:val="24"/>
          <w:szCs w:val="24"/>
        </w:rPr>
      </w:pPr>
      <w:r>
        <w:rPr>
          <w:rFonts w:hint="eastAsia"/>
          <w:sz w:val="24"/>
          <w:szCs w:val="24"/>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hint="eastAsia"/>
          <w:sz w:val="24"/>
          <w:szCs w:val="24"/>
        </w:rPr>
      </w:pPr>
      <w:r>
        <w:rPr>
          <w:rFonts w:hint="eastAsia"/>
          <w:sz w:val="24"/>
          <w:szCs w:val="24"/>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hint="eastAsia"/>
          <w:sz w:val="24"/>
          <w:szCs w:val="24"/>
        </w:rPr>
      </w:pPr>
      <w:r>
        <w:rPr>
          <w:rFonts w:hint="eastAsia"/>
          <w:sz w:val="24"/>
          <w:szCs w:val="24"/>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jc w:val="right"/>
        <w:rPr>
          <w:rFonts w:hint="eastAsia"/>
          <w:sz w:val="24"/>
          <w:szCs w:val="24"/>
        </w:rPr>
      </w:pPr>
      <w:r>
        <w:rPr>
          <w:rFonts w:hint="eastAsia"/>
          <w:sz w:val="24"/>
          <w:szCs w:val="24"/>
        </w:rPr>
        <w:t>乙方：XX公司</w:t>
      </w:r>
    </w:p>
    <w:p>
      <w:pPr>
        <w:pStyle w:val="61100"/>
        <w:tabs>
          <w:tab w:val="left" w:pos="2760"/>
        </w:tabs>
        <w:spacing w:line="560" w:lineRule="exact"/>
        <w:ind w:firstLine="3960" w:firstLineChars="1650"/>
        <w:jc w:val="left"/>
        <w:rPr>
          <w:rFonts w:ascii="宋体" w:hint="eastAsia"/>
          <w:b/>
          <w:snapToGrid w:val="0"/>
          <w:kern w:val="0"/>
          <w:sz w:val="24"/>
          <w:szCs w:val="24"/>
        </w:rPr>
      </w:pPr>
      <w:r>
        <w:rPr>
          <w:rFonts w:ascii="宋体" w:hint="eastAsia"/>
          <w:sz w:val="24"/>
          <w:szCs w:val="24"/>
        </w:rPr>
        <w:t>乙方法定代表人：（签字）</w:t>
      </w:r>
    </w:p>
    <w:p>
      <w:pPr>
        <w:pStyle w:val="64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附件四：相关方案</w:t>
      </w:r>
    </w:p>
    <w:p>
      <w:pPr>
        <w:rPr>
          <w:rFonts w:hint="eastAsia"/>
        </w:rPr>
      </w:pPr>
      <w:r>
        <w:rPr>
          <w:rFonts w:hint="eastAsia"/>
          <w:highlight w:val="white"/>
        </w:rPr>
        <w:br w:type="page"/>
      </w:r>
    </w:p>
    <w:p>
      <w:pPr>
        <w:jc w:val="center"/>
        <w:rPr>
          <w:color w:val="0000FF"/>
          <w:highlight w:val="white"/>
        </w:rPr>
      </w:pPr>
      <w:bookmarkEnd w:id="63"/>
    </w:p>
    <w:p>
      <w:pPr>
        <w:pStyle w:val="Heading1"/>
        <w:rPr>
          <w:rFonts w:hint="eastAsia"/>
          <w:highlight w:val="white"/>
        </w:rPr>
      </w:pPr>
      <w:r>
        <w:rPr>
          <w:rFonts w:hint="eastAsia"/>
          <w:highlight w:val="white"/>
        </w:rPr>
        <w:br w:type="page"/>
      </w:r>
      <w:bookmarkStart w:id="65" w:name="_Toc65406668"/>
      <w:r>
        <w:rPr>
          <w:rFonts w:hint="eastAsia"/>
          <w:highlight w:val="white"/>
        </w:rPr>
        <w:t>第六部分  投标文件格式</w:t>
      </w:r>
      <w:bookmarkEnd w:id="65"/>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66"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67" w:name="_Ref462505451"/>
      <w:bookmarkStart w:id="68"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67"/>
      <w:bookmarkEnd w:id="68"/>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9" w:name="_Toc499068169"/>
      <w:bookmarkStart w:id="70" w:name="_Toc485990833"/>
      <w:bookmarkStart w:id="71" w:name="_Toc46196323"/>
      <w:r>
        <w:rPr>
          <w:rFonts w:ascii="宋体" w:eastAsia="宋体" w:hint="eastAsia"/>
          <w:szCs w:val="32"/>
          <w:lang w:eastAsia="zh-CN"/>
        </w:rPr>
        <w:t>投标函</w:t>
      </w:r>
      <w:bookmarkEnd w:id="69"/>
      <w:bookmarkEnd w:id="70"/>
      <w:bookmarkEnd w:id="71"/>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72" w:name="_Toc499068185"/>
      <w:bookmarkStart w:id="73" w:name="_Toc485990851"/>
      <w:r>
        <w:rPr>
          <w:rFonts w:ascii="宋体" w:eastAsia="宋体" w:hint="eastAsia"/>
          <w:szCs w:val="32"/>
          <w:lang w:eastAsia="zh-CN"/>
        </w:rPr>
        <w:t>技术偏离表</w:t>
      </w:r>
      <w:bookmarkEnd w:id="72"/>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73"/>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74" w:name="_Toc499068185_0"/>
      <w:r>
        <w:rPr>
          <w:rFonts w:ascii="宋体" w:eastAsia="宋体" w:hint="eastAsia"/>
          <w:szCs w:val="32"/>
          <w:lang w:eastAsia="zh-CN"/>
        </w:rPr>
        <w:t>技术偏离表</w:t>
      </w:r>
      <w:bookmarkEnd w:id="74"/>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 xml:space="preserve">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66"/>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180339</wp:posOffset>
              </wp:positionV>
              <wp:extent cx="498475" cy="401288"/>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98475" cy="401288"/>
                      </a:xfrm>
                      <a:prstGeom prst="rect">
                        <a:avLst/>
                      </a:prstGeom>
                      <a:noFill/>
                      <a:ln w="9525">
                        <a:noFill/>
                        <a:prstDash val="solid"/>
                        <a:miter lim="0"/>
                      </a:ln>
                    </wps:spPr>
                    <wps:txbx id="2">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wps:txbx>
                    <wps:bodyPr vert="horz" wrap="none" lIns="0" tIns="0" rIns="0" bIns="0" anchor="t" anchorCtr="0" upright="1">
                      <a:spAutoFit/>
                    </wps:bodyPr>
                  </wps:wsp>
                </a:graphicData>
              </a:graphic>
            </wp:anchor>
          </w:drawing>
        </mc:Choice>
        <mc:Fallback>
          <w:pict>
            <v:rect id="矩形 2 3" o:spid="_x0000_s2049" style="width:39.25pt;height:31.6pt;margin-top:14.2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FD1ADA"/>
    <w:multiLevelType w:val="singleLevel"/>
    <w:tmpl w:val="00000000"/>
    <w:lvl w:ilvl="0">
      <w:start w:val="1"/>
      <w:numFmt w:val="decimal"/>
      <w:lvlText w:val="%1."/>
      <w:lvlJc w:val="left"/>
      <w:pPr>
        <w:tabs>
          <w:tab w:val="num" w:pos="1200"/>
        </w:tabs>
        <w:ind w:left="1200" w:hanging="36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4">
    <w:nsid w:val="00000004"/>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5">
    <w:nsid w:val="00000005"/>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6"/>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8">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9">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1">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5">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7">
    <w:nsid w:val="00000013"/>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8">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9">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0">
    <w:nsid w:val="34CFBE9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2">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3">
    <w:nsid w:val="61B810BA"/>
    <w:multiLevelType w:val="multilevel"/>
    <w:tmpl w:val="61B810BA"/>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num w:numId="1">
    <w:abstractNumId w:val="17"/>
  </w:num>
  <w:num w:numId="2">
    <w:abstractNumId w:val="23"/>
  </w:num>
  <w:num w:numId="3">
    <w:abstractNumId w:val="4"/>
  </w:num>
  <w:num w:numId="4">
    <w:abstractNumId w:val="5"/>
  </w:num>
  <w:num w:numId="5">
    <w:abstractNumId w:val="6"/>
  </w:num>
  <w:num w:numId="6">
    <w:abstractNumId w:val="7"/>
  </w:num>
  <w:num w:numId="7">
    <w:abstractNumId w:val="0"/>
  </w:num>
  <w:num w:numId="8">
    <w:abstractNumId w:val="20"/>
  </w:num>
  <w:num w:numId="9">
    <w:abstractNumId w:val="8"/>
  </w:num>
  <w:num w:numId="10">
    <w:abstractNumId w:val="19"/>
  </w:num>
  <w:num w:numId="11">
    <w:abstractNumId w:val="3"/>
  </w:num>
  <w:num w:numId="12">
    <w:abstractNumId w:val="1"/>
  </w:num>
  <w:num w:numId="13">
    <w:abstractNumId w:val="21"/>
  </w:num>
  <w:num w:numId="14">
    <w:abstractNumId w:val="9"/>
  </w:num>
  <w:num w:numId="15">
    <w:abstractNumId w:val="10"/>
  </w:num>
  <w:num w:numId="16">
    <w:abstractNumId w:val="11"/>
  </w:num>
  <w:num w:numId="17">
    <w:abstractNumId w:val="2"/>
  </w:num>
  <w:num w:numId="18">
    <w:abstractNumId w:val="12"/>
  </w:num>
  <w:num w:numId="19">
    <w:abstractNumId w:val="13"/>
  </w:num>
  <w:num w:numId="20">
    <w:abstractNumId w:val="22"/>
  </w:num>
  <w:num w:numId="21">
    <w:abstractNumId w:val="14"/>
  </w:num>
  <w:num w:numId="22">
    <w:abstractNumId w:val="15"/>
  </w:num>
  <w:num w:numId="23">
    <w:abstractNumId w:val="16"/>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10"/>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9"/>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1"/>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4"/>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5"/>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6"/>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5"/>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18"/>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19"/>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9"/>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2"/>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3"/>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4"/>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5210">
    <w:name w:val="样式 205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912">
    <w:name w:val="样式 109 小四"/>
    <w:pPr>
      <w:widowControl w:val="0"/>
      <w:spacing w:after="160" w:line="360" w:lineRule="auto"/>
      <w:ind w:firstLine="480"/>
      <w:jc w:val="both"/>
    </w:pPr>
    <w:rPr>
      <w:rFonts w:ascii="Calibri" w:eastAsia="Calibri" w:hAnsi="Calibri" w:cs="Calibri"/>
      <w:sz w:val="24"/>
      <w:szCs w:val="24"/>
      <w:lang w:val="en-US" w:eastAsia="zh-CN" w:bidi="ar-SA"/>
    </w:rPr>
  </w:style>
  <w:style w:type="paragraph" w:customStyle="1" w:styleId="2117">
    <w:name w:val="列表段落21"/>
    <w:basedOn w:val="Normal"/>
    <w:pPr>
      <w:spacing w:after="160" w:line="259" w:lineRule="auto"/>
      <w:ind w:firstLine="200" w:firstLineChars="200"/>
    </w:pPr>
    <w:rPr>
      <w:szCs w:val="22"/>
    </w:rPr>
  </w:style>
  <w:style w:type="paragraph" w:customStyle="1" w:styleId="10311">
    <w:name w:val="正文_103"/>
    <w:pPr>
      <w:widowControl w:val="0"/>
      <w:jc w:val="both"/>
    </w:pPr>
    <w:rPr>
      <w:rFonts w:ascii="Times New Roman" w:eastAsia="方正仿宋_GBK" w:hAnsi="Times New Roman" w:cs="Times New Roman"/>
      <w:kern w:val="2"/>
      <w:sz w:val="32"/>
      <w:lang w:val="en-US" w:eastAsia="zh-CN" w:bidi="ar-SA"/>
    </w:rPr>
  </w:style>
  <w:style w:type="paragraph" w:customStyle="1" w:styleId="201710">
    <w:name w:val="样式 2017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TotalTime>14093483</TotalTime>
  <Pages>81</Pages>
  <Words>51822</Words>
  <Characters>53787</Characters>
  <Application>Microsoft Office Word</Application>
  <DocSecurity>0</DocSecurity>
  <Lines>3953</Lines>
  <Paragraphs>1618</Paragraphs>
  <ScaleCrop>false</ScaleCrop>
  <Company>ms</Company>
  <LinksUpToDate>false</LinksUpToDate>
  <CharactersWithSpaces>55294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郝帅</cp:lastModifiedBy>
  <cp:revision>6</cp:revision>
  <cp:lastPrinted>2020-06-24T09:06:00Z</cp:lastPrinted>
  <dcterms:created xsi:type="dcterms:W3CDTF">2021-11-24T16:33:00Z</dcterms:created>
  <dcterms:modified xsi:type="dcterms:W3CDTF">2024-11-08T04:04:19Z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