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bookmarkStart w:id="0" w:name="_GoBack"/>
      <w:bookmarkEnd w:id="0"/>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1" w:name="封面_projectNo_1"/>
      <w:r>
        <w:rPr>
          <w:rFonts w:ascii="宋体" w:hint="eastAsia"/>
          <w:color w:val="0000FF"/>
          <w:sz w:val="32"/>
        </w:rPr>
        <w:t>CG2024-BJ-GK-FW-014</w:t>
      </w:r>
      <w:bookmarkEnd w:id="1"/>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2" w:name="封面_projectName"/>
      <w:r>
        <w:rPr>
          <w:rFonts w:ascii="宋体" w:hint="eastAsia"/>
          <w:color w:val="0000FF"/>
          <w:sz w:val="32"/>
        </w:rPr>
        <w:t>海关总署2024年海关智慧监管平台通关系统升级采购项目</w:t>
      </w:r>
      <w:bookmarkEnd w:id="2"/>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3" w:name="封面_createTime_ym"/>
      <w:r>
        <w:rPr>
          <w:rFonts w:ascii="宋体" w:hint="eastAsia"/>
          <w:b/>
          <w:bCs/>
          <w:color w:val="0000FF"/>
          <w:sz w:val="32"/>
          <w:szCs w:val="32"/>
        </w:rPr>
        <w:t>2024年09月</w:t>
      </w:r>
      <w:bookmarkEnd w:id="3"/>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评审标准</w:t>
        </w:r>
        <w:r>
          <w:tab/>
        </w:r>
        <w:r>
          <w:fldChar w:fldCharType="begin"/>
        </w:r>
        <w:r>
          <w:instrText>PageRef _Toc65406666 \h</w:instrText>
        </w:r>
        <w:r>
          <w:fldChar w:fldCharType="separate"/>
        </w:r>
        <w:r>
          <w:t>122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124</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136</w:t>
        </w:r>
        <w:r>
          <w:fldChar w:fldCharType="end"/>
        </w:r>
      </w:hyperlink>
      <w:r>
        <w:rPr>
          <w:rFonts w:ascii="Calibri"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4" w:name="_Toc65406663"/>
      <w:r>
        <w:rPr>
          <w:rFonts w:hint="eastAsia"/>
          <w:highlight w:val="white"/>
        </w:rPr>
        <w:t>第一部分  招标公告</w:t>
      </w:r>
      <w:bookmarkEnd w:id="4"/>
    </w:p>
    <w:p>
      <w:pPr>
        <w:autoSpaceDN w:val="0"/>
        <w:spacing w:line="360" w:lineRule="auto"/>
        <w:ind w:firstLine="480"/>
        <w:rPr>
          <w:rFonts w:ascii="宋体" w:hint="eastAsia"/>
          <w:sz w:val="24"/>
        </w:rPr>
      </w:pPr>
      <w:bookmarkStart w:id="5" w:name="采购公告_ZBGG"/>
      <w:r>
        <w:rPr>
          <w:rFonts w:ascii="宋体" w:hint="eastAsia"/>
          <w:sz w:val="24"/>
        </w:rPr>
        <w:t>海关总署物资装备采购中心就“</w:t>
      </w:r>
      <w:bookmarkStart w:id="6" w:name="项目_projectName_2"/>
      <w:r>
        <w:rPr>
          <w:rFonts w:ascii="宋体" w:hint="eastAsia"/>
          <w:b/>
          <w:bCs/>
          <w:color w:val="0000FF"/>
          <w:sz w:val="24"/>
        </w:rPr>
        <w:t>海关总署2024年海关智慧监管平台通关系统升级采购项目</w:t>
      </w:r>
      <w:bookmarkEnd w:id="6"/>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7" w:name="项目_projectNo"/>
      <w:r>
        <w:rPr>
          <w:rFonts w:ascii="宋体" w:hint="eastAsia"/>
          <w:b/>
          <w:bCs/>
          <w:color w:val="0000FF"/>
          <w:sz w:val="24"/>
          <w:lang w:val="en-US" w:eastAsia="zh-CN"/>
        </w:rPr>
        <w:t>CG2024-BJ-GK-FW-014</w:t>
      </w:r>
      <w:bookmarkEnd w:id="7"/>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8" w:name="项目_projectName_3"/>
      <w:r>
        <w:rPr>
          <w:rFonts w:ascii="宋体" w:hint="eastAsia"/>
          <w:b/>
          <w:bCs/>
          <w:color w:val="0000FF"/>
          <w:sz w:val="24"/>
        </w:rPr>
        <w:t>海关总署2024年海关智慧监管平台通关系统升级采购项目</w:t>
      </w:r>
      <w:bookmarkEnd w:id="8"/>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9" w:name="项目预算和包件预算_0"/>
      <w:r>
        <w:rPr>
          <w:rFonts w:ascii="宋体" w:hint="eastAsia"/>
          <w:b/>
          <w:bCs/>
          <w:color w:val="0000FF"/>
          <w:sz w:val="24"/>
        </w:rPr>
        <w:t>本项目预算金额合计总金额人民币33,530,000.00元，其中包1人民币33,530,000.00元。</w:t>
      </w:r>
      <w:bookmarkEnd w:id="9"/>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1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2854"/>
        <w:gridCol w:w="804"/>
        <w:gridCol w:w="778"/>
      </w:tblGrid>
      <w:tr>
        <w:tblPrEx>
          <w:tblW w:w="81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2854"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804"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78"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174"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海关智慧监管平台通关系统升级</w:t>
            </w:r>
          </w:p>
        </w:tc>
        <w:tc>
          <w:tcPr>
            <w:tcW w:w="787" w:type="dxa"/>
            <w:vAlign w:val="center"/>
          </w:tcPr>
          <w:p>
            <w:pPr>
              <w:spacing w:after="120" w:line="240" w:lineRule="auto"/>
              <w:jc w:val="center"/>
              <w:rPr>
                <w:rFonts w:ascii="宋体"/>
                <w:b/>
                <w:color w:val="0000FF"/>
                <w:sz w:val="24"/>
                <w:highlight w:val="white"/>
              </w:rPr>
            </w:pPr>
            <w:r>
              <w:t>1</w:t>
            </w:r>
          </w:p>
        </w:tc>
        <w:tc>
          <w:tcPr>
            <w:tcW w:w="2854" w:type="dxa"/>
            <w:vAlign w:val="center"/>
          </w:tcPr>
          <w:p>
            <w:pPr>
              <w:spacing w:after="120" w:line="240" w:lineRule="auto"/>
              <w:jc w:val="center"/>
              <w:rPr>
                <w:rFonts w:ascii="宋体"/>
                <w:b/>
                <w:color w:val="0000FF"/>
                <w:sz w:val="24"/>
                <w:highlight w:val="white"/>
              </w:rPr>
            </w:pPr>
            <w:r>
              <w:t>自合同签订之日起17个月内，基于海关的技术开发框架，完成系统的需求分析、开发、联调测试、部署上线、试运行等工作。 合同验收通过之日起提供3年免费质保服务，工作时间5×8小时（工作日9：00-17：00）为驻场维护服务，非工作时间提供远程运维保障服务，必要时须到达现场提供技术保障。</w:t>
            </w:r>
          </w:p>
        </w:tc>
        <w:tc>
          <w:tcPr>
            <w:tcW w:w="804" w:type="dxa"/>
            <w:vAlign w:val="center"/>
          </w:tcPr>
          <w:p>
            <w:pPr>
              <w:spacing w:after="120" w:line="240" w:lineRule="auto"/>
              <w:jc w:val="center"/>
              <w:rPr>
                <w:rFonts w:ascii="宋体"/>
                <w:b/>
                <w:color w:val="0000FF"/>
                <w:sz w:val="24"/>
                <w:highlight w:val="white"/>
              </w:rPr>
            </w:pPr>
            <w:r>
              <w:t>海关指定地点</w:t>
            </w:r>
          </w:p>
        </w:tc>
        <w:tc>
          <w:tcPr>
            <w:tcW w:w="778"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0" w:name="公告_industryType_0"/>
      <w:r>
        <w:rPr>
          <w:rFonts w:ascii="宋体" w:hint="eastAsia"/>
          <w:b/>
          <w:bCs/>
          <w:color w:val="0000FF"/>
          <w:sz w:val="24"/>
          <w:highlight w:val="none"/>
        </w:rPr>
        <w:t>软件和信息技术服务业</w:t>
      </w:r>
      <w:bookmarkEnd w:id="10"/>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1"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1"/>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2"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2"/>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3" w:name="公告_signUpFirstTime"/>
      <w:r>
        <w:rPr>
          <w:rFonts w:ascii="宋体" w:hint="eastAsia"/>
          <w:sz w:val="24"/>
        </w:rPr>
        <w:t>2024-09-26 00:00:00</w:t>
      </w:r>
      <w:bookmarkEnd w:id="13"/>
      <w:r>
        <w:rPr>
          <w:rFonts w:ascii="宋体" w:hint="eastAsia"/>
          <w:sz w:val="24"/>
        </w:rPr>
        <w:t>至</w:t>
      </w:r>
      <w:bookmarkStart w:id="14" w:name="公告_signUpLastTime"/>
      <w:r>
        <w:rPr>
          <w:rFonts w:ascii="宋体" w:hint="eastAsia"/>
          <w:sz w:val="24"/>
        </w:rPr>
        <w:t>2024-10-09 23:59:59</w:t>
      </w:r>
      <w:bookmarkEnd w:id="14"/>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5" w:name="项目公告_bidLastTime_1"/>
      <w:r>
        <w:rPr>
          <w:rFonts w:ascii="宋体" w:hint="eastAsia"/>
          <w:sz w:val="24"/>
        </w:rPr>
        <w:t>2024-10-18 08:30:00</w:t>
      </w:r>
      <w:bookmarkEnd w:id="15"/>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6" w:name="项目公告_openBidTime"/>
      <w:r>
        <w:rPr>
          <w:rFonts w:ascii="宋体" w:hint="eastAsia"/>
          <w:b/>
          <w:bCs/>
          <w:sz w:val="24"/>
        </w:rPr>
        <w:t>2024-10-18 08:30:00</w:t>
      </w:r>
      <w:bookmarkEnd w:id="16"/>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7"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7"/>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8" w:name="公告_siteSurvey"/>
      <w:r>
        <w:rPr>
          <w:rFonts w:ascii="Wingdings 2" w:hAnsi="Wingdings 2"/>
          <w:b/>
          <w:color w:val="0000FF"/>
          <w:sz w:val="24"/>
          <w:highlight w:val="white"/>
        </w:rPr>
        <w:t>不适用</w:t>
      </w:r>
      <w:bookmarkEnd w:id="18"/>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9" w:name="任务单_publicDate"/>
      <w:r>
        <w:rPr>
          <w:rFonts w:ascii="宋体" w:hint="eastAsia"/>
          <w:b/>
          <w:sz w:val="24"/>
          <w:highlight w:val="white"/>
        </w:rPr>
        <w:t>于2024-01-12</w:t>
      </w:r>
      <w:bookmarkEnd w:id="19"/>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5"/>
    </w:p>
    <w:p>
      <w:pPr>
        <w:pStyle w:val="Heading1"/>
        <w:rPr>
          <w:highlight w:val="white"/>
        </w:rPr>
      </w:pPr>
      <w:r>
        <w:rPr>
          <w:rFonts w:hint="eastAsia"/>
          <w:highlight w:val="white"/>
        </w:rPr>
        <w:br w:type="page"/>
      </w:r>
      <w:bookmarkStart w:id="20" w:name="_Toc65406664"/>
      <w:r>
        <w:rPr>
          <w:rFonts w:hint="eastAsia"/>
          <w:highlight w:val="white"/>
        </w:rPr>
        <w:t>第二部分  投标人须知</w:t>
      </w:r>
      <w:bookmarkEnd w:id="20"/>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tbl>
      <w:tblPr>
        <w:tblW w:w="8995" w:type="dxa"/>
        <w:jc w:val="left"/>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1652"/>
        <w:gridCol w:w="6604"/>
      </w:tblGrid>
      <w:tr>
        <w:tblPrEx>
          <w:tblW w:w="8995" w:type="dxa"/>
          <w:jc w:val="left"/>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left"/>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rPr>
            </w:pPr>
            <w:r>
              <w:rPr>
                <w:rFonts w:ascii="宋体" w:cs="微软雅黑" w:hint="eastAsia"/>
                <w:b/>
                <w:bCs/>
                <w:sz w:val="24"/>
              </w:rPr>
              <w:t>序号</w:t>
            </w:r>
          </w:p>
        </w:tc>
        <w:tc>
          <w:tcPr>
            <w:tcW w:w="1652"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rPr>
            </w:pPr>
            <w:r>
              <w:rPr>
                <w:rFonts w:ascii="宋体" w:cs="微软雅黑" w:hint="eastAsia"/>
                <w:b/>
                <w:bCs/>
                <w:sz w:val="24"/>
              </w:rPr>
              <w:t>内  容</w:t>
            </w:r>
          </w:p>
        </w:tc>
        <w:tc>
          <w:tcPr>
            <w:tcW w:w="6604"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rPr>
            </w:pPr>
            <w:r>
              <w:rPr>
                <w:rFonts w:ascii="宋体" w:cs="微软雅黑" w:hint="eastAsia"/>
                <w:b/>
                <w:bCs/>
                <w:sz w:val="24"/>
              </w:rPr>
              <w:t>说明与要求</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rPr>
            </w:pPr>
            <w:r>
              <w:rPr>
                <w:rFonts w:ascii="宋体" w:cs="微软雅黑" w:hint="eastAsia"/>
                <w:sz w:val="24"/>
              </w:rPr>
              <w:t>采购人名称</w:t>
            </w:r>
          </w:p>
        </w:tc>
        <w:tc>
          <w:tcPr>
            <w:tcW w:w="6604" w:type="dxa"/>
            <w:noWrap/>
            <w:vAlign w:val="center"/>
          </w:tcPr>
          <w:p>
            <w:pPr>
              <w:tabs>
                <w:tab w:val="left" w:pos="588"/>
              </w:tabs>
              <w:autoSpaceDN w:val="0"/>
              <w:spacing w:line="360" w:lineRule="auto"/>
              <w:ind w:left="1"/>
              <w:rPr>
                <w:rFonts w:ascii="宋体" w:cs="微软雅黑" w:hint="eastAsia"/>
                <w:bCs/>
                <w:sz w:val="24"/>
              </w:rPr>
            </w:pPr>
            <w:bookmarkStart w:id="21" w:name="采购任务单_purchaserOrgName"/>
            <w:r>
              <w:rPr>
                <w:rFonts w:ascii="宋体" w:cs="微软雅黑" w:hint="eastAsia"/>
                <w:bCs/>
                <w:color w:val="0000FF"/>
                <w:sz w:val="24"/>
                <w:highlight w:val="white"/>
              </w:rPr>
              <w:t>海关总署</w:t>
            </w:r>
            <w:bookmarkEnd w:id="21"/>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2</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项目预算</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hint="eastAsia"/>
                <w:sz w:val="24"/>
              </w:rPr>
              <w:t>★</w:t>
            </w:r>
            <w:bookmarkStart w:id="22" w:name="项目预算和包件预算"/>
            <w:r>
              <w:rPr>
                <w:rFonts w:ascii="宋体" w:cs="微软雅黑" w:hint="eastAsia"/>
                <w:bCs/>
                <w:color w:val="0000FF"/>
                <w:sz w:val="24"/>
              </w:rPr>
              <w:t>本项目预算金额合计总金额人民币33,530,000.00元，其中包1人民币33,530,000.00元。</w:t>
            </w:r>
            <w:bookmarkEnd w:id="22"/>
          </w:p>
          <w:p>
            <w:pPr>
              <w:tabs>
                <w:tab w:val="left" w:pos="588"/>
              </w:tabs>
              <w:autoSpaceDN w:val="0"/>
              <w:spacing w:line="360" w:lineRule="auto"/>
              <w:ind w:left="1"/>
              <w:rPr>
                <w:rFonts w:ascii="宋体" w:cs="微软雅黑" w:hint="eastAsia"/>
                <w:bCs/>
                <w:sz w:val="24"/>
              </w:rPr>
            </w:pPr>
            <w:r>
              <w:rPr>
                <w:rFonts w:ascii="宋体" w:cs="微软雅黑" w:hint="eastAsia"/>
                <w:bCs/>
                <w:sz w:val="24"/>
              </w:rPr>
              <w:t>投标人应有明确报价，超过预算或者无报价的，投标无效。</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3</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最高限价</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hint="eastAsia"/>
                <w:sz w:val="24"/>
              </w:rPr>
              <w:t>★</w:t>
            </w:r>
            <w:r>
              <w:rPr>
                <w:rFonts w:ascii="宋体" w:cs="微软雅黑" w:hint="eastAsia"/>
                <w:bCs/>
                <w:sz w:val="24"/>
              </w:rPr>
              <w:t xml:space="preserve">本项目最高限价为 </w:t>
            </w:r>
            <w:bookmarkStart w:id="23" w:name="项目公告_maxPrice"/>
            <w:r>
              <w:rPr>
                <w:rFonts w:ascii="宋体" w:cs="微软雅黑" w:hint="eastAsia"/>
                <w:color w:val="0000FF"/>
                <w:sz w:val="24"/>
                <w:highlight w:val="white"/>
              </w:rPr>
              <w:t>33,530,000.00</w:t>
            </w:r>
            <w:bookmarkEnd w:id="23"/>
            <w:r>
              <w:rPr>
                <w:rFonts w:ascii="宋体" w:cs="微软雅黑" w:hint="eastAsia"/>
                <w:sz w:val="24"/>
                <w:highlight w:val="white"/>
              </w:rPr>
              <w:t>元</w:t>
            </w:r>
            <w:r>
              <w:rPr>
                <w:rFonts w:ascii="宋体" w:cs="微软雅黑" w:hint="eastAsia"/>
                <w:bCs/>
                <w:color w:val="0000FF"/>
                <w:sz w:val="24"/>
              </w:rPr>
              <w:t>，其中包1</w:t>
            </w:r>
            <w:r>
              <w:rPr>
                <w:rFonts w:ascii="宋体" w:cs="微软雅黑"/>
                <w:bCs/>
                <w:color w:val="0000FF"/>
                <w:sz w:val="24"/>
              </w:rPr>
              <w:t>最高限价</w:t>
            </w:r>
            <w:r>
              <w:rPr>
                <w:rFonts w:ascii="宋体" w:cs="微软雅黑" w:hint="eastAsia"/>
                <w:bCs/>
                <w:color w:val="0000FF"/>
                <w:sz w:val="24"/>
              </w:rPr>
              <w:t>人民币33,530,000.00元</w:t>
            </w:r>
            <w:r>
              <w:rPr>
                <w:rFonts w:ascii="宋体" w:cs="微软雅黑" w:hint="eastAsia"/>
                <w:bCs/>
                <w:sz w:val="24"/>
              </w:rPr>
              <w:t>。</w:t>
            </w:r>
          </w:p>
          <w:p>
            <w:pPr>
              <w:tabs>
                <w:tab w:val="left" w:pos="588"/>
              </w:tabs>
              <w:autoSpaceDN w:val="0"/>
              <w:spacing w:line="360" w:lineRule="auto"/>
              <w:ind w:left="1"/>
              <w:rPr>
                <w:rFonts w:ascii="宋体" w:cs="微软雅黑" w:hint="eastAsia"/>
                <w:bCs/>
                <w:sz w:val="24"/>
              </w:rPr>
            </w:pPr>
            <w:r>
              <w:rPr>
                <w:rFonts w:ascii="宋体" w:cs="微软雅黑" w:hint="eastAsia"/>
                <w:bCs/>
                <w:sz w:val="24"/>
              </w:rPr>
              <w:t>投标人应有明确报价，超过最高限价或者无报价的，投标无效。</w:t>
            </w:r>
          </w:p>
        </w:tc>
      </w:tr>
      <w:tr>
        <w:tblPrEx>
          <w:tblW w:w="8995" w:type="dxa"/>
          <w:jc w:val="left"/>
          <w:tblInd w:w="-483" w:type="dxa"/>
          <w:tblLayout w:type="fixed"/>
          <w:tblCellMar>
            <w:top w:w="0" w:type="dxa"/>
            <w:left w:w="108" w:type="dxa"/>
            <w:bottom w:w="0" w:type="dxa"/>
            <w:right w:w="108" w:type="dxa"/>
          </w:tblCellMar>
        </w:tblPrEx>
        <w:trPr>
          <w:trHeight w:val="133"/>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4</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rPr>
            </w:pPr>
            <w:r>
              <w:rPr>
                <w:rFonts w:ascii="宋体" w:cs="微软雅黑" w:hint="eastAsia"/>
                <w:sz w:val="24"/>
              </w:rPr>
              <w:t>是否允许代理商投标</w:t>
            </w:r>
          </w:p>
        </w:tc>
        <w:tc>
          <w:tcPr>
            <w:tcW w:w="6604" w:type="dxa"/>
            <w:noWrap/>
            <w:vAlign w:val="center"/>
          </w:tcPr>
          <w:p>
            <w:pPr>
              <w:tabs>
                <w:tab w:val="left" w:pos="588"/>
              </w:tabs>
              <w:autoSpaceDN w:val="0"/>
              <w:spacing w:line="360" w:lineRule="auto"/>
              <w:ind w:left="1"/>
              <w:rPr>
                <w:rFonts w:ascii="宋体" w:cs="微软雅黑" w:hint="eastAsia"/>
                <w:color w:val="0000FF"/>
                <w:sz w:val="24"/>
              </w:rPr>
            </w:pPr>
            <w:bookmarkStart w:id="24" w:name="投标须知_agentBidding"/>
            <w:r>
              <w:rPr>
                <w:rFonts w:ascii="宋体" w:cs="微软雅黑" w:hint="eastAsia"/>
                <w:color w:val="0000FF"/>
                <w:sz w:val="24"/>
              </w:rPr>
              <w:t>否</w:t>
            </w:r>
            <w:bookmarkEnd w:id="24"/>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5</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开标一览表</w:t>
            </w:r>
          </w:p>
        </w:tc>
        <w:tc>
          <w:tcPr>
            <w:tcW w:w="6604" w:type="dxa"/>
            <w:noWrap/>
            <w:vAlign w:val="center"/>
          </w:tcPr>
          <w:p>
            <w:pPr>
              <w:rPr>
                <w:rFonts w:ascii="宋体" w:cs="微软雅黑" w:hint="eastAsia"/>
                <w:bCs/>
                <w:sz w:val="24"/>
              </w:rPr>
            </w:pPr>
            <w:r>
              <w:rPr>
                <w:rFonts w:ascii="宋体" w:hint="eastAsia"/>
                <w:sz w:val="24"/>
              </w:rPr>
              <w:t>★</w:t>
            </w:r>
            <w:r>
              <w:rPr>
                <w:rFonts w:ascii="宋体" w:cs="微软雅黑" w:hint="eastAsia"/>
                <w:bCs/>
                <w:sz w:val="24"/>
              </w:rPr>
              <w:t>投标人在提交投标文件时，应按照投标工具的流程和提示编制并上传开标一览表。</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6</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是否允许联合体投标</w:t>
            </w:r>
          </w:p>
        </w:tc>
        <w:tc>
          <w:tcPr>
            <w:tcW w:w="6604" w:type="dxa"/>
            <w:noWrap/>
            <w:vAlign w:val="center"/>
          </w:tcPr>
          <w:p>
            <w:pPr>
              <w:tabs>
                <w:tab w:val="left" w:pos="588"/>
              </w:tabs>
              <w:autoSpaceDN w:val="0"/>
              <w:spacing w:line="360" w:lineRule="auto"/>
              <w:ind w:left="1"/>
              <w:rPr>
                <w:rFonts w:ascii="宋体" w:cs="微软雅黑" w:hint="eastAsia"/>
                <w:bCs/>
                <w:color w:val="0000FF"/>
                <w:sz w:val="24"/>
              </w:rPr>
            </w:pPr>
            <w:bookmarkStart w:id="25" w:name="投标人须知_canUnion"/>
            <w:r>
              <w:rPr>
                <w:rFonts w:ascii="宋体" w:cs="微软雅黑" w:hint="eastAsia"/>
                <w:bCs/>
                <w:color w:val="0000FF"/>
                <w:sz w:val="24"/>
              </w:rPr>
              <w:t>否</w:t>
            </w:r>
            <w:bookmarkEnd w:id="25"/>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7</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投标人资格审查材料</w:t>
            </w:r>
          </w:p>
        </w:tc>
        <w:tc>
          <w:tcPr>
            <w:tcW w:w="6604" w:type="dxa"/>
            <w:noWrap/>
            <w:vAlign w:val="center"/>
          </w:tcPr>
          <w:p>
            <w:pPr>
              <w:spacing w:line="360" w:lineRule="auto"/>
              <w:rPr>
                <w:rFonts w:ascii="宋体" w:cs="微软雅黑" w:hint="eastAsia"/>
                <w:bCs/>
                <w:sz w:val="24"/>
              </w:rPr>
            </w:pPr>
            <w:r>
              <w:rPr>
                <w:rFonts w:ascii="宋体" w:hint="eastAsia"/>
                <w:sz w:val="24"/>
              </w:rPr>
              <w:t>★</w:t>
            </w:r>
            <w:r>
              <w:rPr>
                <w:rFonts w:ascii="宋体" w:cs="微软雅黑" w:hint="eastAsia"/>
                <w:bCs/>
                <w:sz w:val="24"/>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8</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投标文件提交方式</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hint="eastAsia"/>
                <w:sz w:val="24"/>
              </w:rPr>
              <w:t>★</w:t>
            </w:r>
            <w:r>
              <w:rPr>
                <w:rFonts w:ascii="宋体" w:cs="微软雅黑" w:hint="eastAsia"/>
                <w:bCs/>
                <w:sz w:val="24"/>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9</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供应商CA办理</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CA办理有关事项详见中国海关政府采购网首页“供应商CA证书办理”专栏提交相关材料。</w:t>
            </w:r>
          </w:p>
        </w:tc>
      </w:tr>
      <w:tr>
        <w:tblPrEx>
          <w:tblW w:w="8995" w:type="dxa"/>
          <w:jc w:val="left"/>
          <w:tblInd w:w="-483" w:type="dxa"/>
          <w:tblLayout w:type="fixed"/>
          <w:tblCellMar>
            <w:top w:w="0" w:type="dxa"/>
            <w:left w:w="108" w:type="dxa"/>
            <w:bottom w:w="0" w:type="dxa"/>
            <w:right w:w="108" w:type="dxa"/>
          </w:tblCellMar>
        </w:tblPrEx>
        <w:trPr>
          <w:trHeight w:val="9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10</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投标有效期</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hint="eastAsia"/>
                <w:sz w:val="24"/>
              </w:rPr>
              <w:t>★</w:t>
            </w:r>
            <w:r>
              <w:rPr>
                <w:rFonts w:ascii="宋体" w:cs="微软雅黑" w:hint="eastAsia"/>
                <w:bCs/>
                <w:sz w:val="24"/>
              </w:rPr>
              <w:t>120日历天（投标有效期从提交投标文件的截止之日起算。有效期短于该规定期限的投标无效）。</w:t>
            </w:r>
          </w:p>
        </w:tc>
      </w:tr>
      <w:tr>
        <w:tblPrEx>
          <w:tblW w:w="8995" w:type="dxa"/>
          <w:jc w:val="left"/>
          <w:tblInd w:w="-483" w:type="dxa"/>
          <w:tblLayout w:type="fixed"/>
          <w:tblCellMar>
            <w:top w:w="0" w:type="dxa"/>
            <w:left w:w="108" w:type="dxa"/>
            <w:bottom w:w="0" w:type="dxa"/>
            <w:right w:w="108" w:type="dxa"/>
          </w:tblCellMar>
        </w:tblPrEx>
        <w:trPr>
          <w:trHeight w:val="397"/>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11</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是否提交投标保证金</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否</w:t>
            </w:r>
          </w:p>
        </w:tc>
      </w:tr>
      <w:tr>
        <w:tblPrEx>
          <w:tblW w:w="8995" w:type="dxa"/>
          <w:jc w:val="left"/>
          <w:tblInd w:w="-483" w:type="dxa"/>
          <w:tblLayout w:type="fixed"/>
          <w:tblCellMar>
            <w:top w:w="0" w:type="dxa"/>
            <w:left w:w="108" w:type="dxa"/>
            <w:bottom w:w="0" w:type="dxa"/>
            <w:right w:w="108" w:type="dxa"/>
          </w:tblCellMar>
        </w:tblPrEx>
        <w:trPr>
          <w:trHeight w:val="44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12</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中小微企业有关政策</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rPr>
            </w:pPr>
            <w:r>
              <w:rPr>
                <w:rFonts w:ascii="宋体" w:cs="微软雅黑" w:hint="eastAsia"/>
                <w:bCs/>
                <w:sz w:val="24"/>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b/>
                <w:bCs/>
                <w:sz w:val="24"/>
              </w:rPr>
            </w:pPr>
            <w:r>
              <w:rPr>
                <w:rFonts w:ascii="宋体" w:cs="微软雅黑" w:hint="eastAsia"/>
                <w:bCs/>
                <w:sz w:val="24"/>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rPr>
            </w:pPr>
            <w:r>
              <w:rPr>
                <w:rFonts w:ascii="宋体" w:cs="微软雅黑" w:hint="eastAsia"/>
                <w:bCs/>
                <w:sz w:val="24"/>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rPr>
            </w:pPr>
            <w:r>
              <w:rPr>
                <w:rFonts w:ascii="宋体" w:cs="微软雅黑" w:hint="eastAsia"/>
                <w:bCs/>
                <w:sz w:val="24"/>
              </w:rPr>
              <w:t>符合享受政府采购支持政策的残疾人福利性单位条件且提供《残疾人福利性单位声明函》的，视同为小型和微型企业。</w:t>
            </w:r>
          </w:p>
        </w:tc>
      </w:tr>
      <w:tr>
        <w:tblPrEx>
          <w:tblW w:w="8995" w:type="dxa"/>
          <w:jc w:val="left"/>
          <w:tblInd w:w="-483" w:type="dxa"/>
          <w:tblLayout w:type="fixed"/>
          <w:tblCellMar>
            <w:top w:w="0" w:type="dxa"/>
            <w:left w:w="108" w:type="dxa"/>
            <w:bottom w:w="0" w:type="dxa"/>
            <w:right w:w="108" w:type="dxa"/>
          </w:tblCellMar>
        </w:tblPrEx>
        <w:trPr>
          <w:trHeight w:val="44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13</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节能环保有关政策</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rPr>
            </w:pPr>
            <w:r>
              <w:rPr>
                <w:rFonts w:ascii="宋体" w:cs="微软雅黑" w:hint="eastAsia"/>
                <w:bCs/>
                <w:sz w:val="24"/>
              </w:rPr>
              <w:t>（1）</w:t>
            </w:r>
            <w:r>
              <w:rPr>
                <w:rFonts w:ascii="宋体" w:hint="eastAsia"/>
                <w:sz w:val="24"/>
              </w:rPr>
              <w:t>★</w:t>
            </w:r>
            <w:r>
              <w:rPr>
                <w:rFonts w:ascii="宋体" w:cs="微软雅黑" w:hint="eastAsia"/>
                <w:bCs/>
                <w:sz w:val="24"/>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rPr>
            </w:pPr>
            <w:r>
              <w:rPr>
                <w:rFonts w:ascii="宋体" w:cs="微软雅黑" w:hint="eastAsia"/>
                <w:bCs/>
                <w:sz w:val="24"/>
              </w:rPr>
              <w:t>（2）属于政府优先采购产品类别的，须按照要求提供依据国家确定的认证机构出具的、处于有效期之内的节能产品或环境标志产品认证证书，否则不予认定。</w:t>
            </w:r>
          </w:p>
        </w:tc>
      </w:tr>
      <w:tr>
        <w:tblPrEx>
          <w:tblW w:w="8995" w:type="dxa"/>
          <w:jc w:val="left"/>
          <w:tblInd w:w="-483" w:type="dxa"/>
          <w:tblLayout w:type="fixed"/>
          <w:tblCellMar>
            <w:top w:w="0" w:type="dxa"/>
            <w:left w:w="108" w:type="dxa"/>
            <w:bottom w:w="0" w:type="dxa"/>
            <w:right w:w="108" w:type="dxa"/>
          </w:tblCellMar>
        </w:tblPrEx>
        <w:trPr>
          <w:trHeight w:val="440"/>
          <w:jc w:val="left"/>
        </w:trPr>
        <w:tc>
          <w:tcPr>
            <w:tcW w:w="739"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14</w:t>
            </w:r>
          </w:p>
        </w:tc>
        <w:tc>
          <w:tcPr>
            <w:tcW w:w="1652" w:type="dxa"/>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信用记录查询</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hint="eastAsia"/>
                <w:sz w:val="24"/>
              </w:rPr>
              <w:t>★</w:t>
            </w:r>
            <w:r>
              <w:rPr>
                <w:rFonts w:ascii="宋体" w:cs="微软雅黑" w:hint="eastAsia"/>
                <w:bCs/>
                <w:sz w:val="24"/>
              </w:rPr>
              <w:t>资格审查时，通过“信用中国”网站(www.creditchina.gov.cn)、中国政府采购网(</w:t>
            </w:r>
            <w:hyperlink r:id="rId4" w:history="1">
              <w:r>
                <w:rPr>
                  <w:rFonts w:ascii="宋体" w:cs="微软雅黑" w:hint="eastAsia"/>
                  <w:bCs/>
                  <w:sz w:val="24"/>
                </w:rPr>
                <w:t>www.ccgp.gov.cn</w:t>
              </w:r>
            </w:hyperlink>
            <w:r>
              <w:rPr>
                <w:rFonts w:ascii="宋体" w:cs="微软雅黑" w:hint="eastAsia"/>
                <w:bCs/>
                <w:sz w:val="24"/>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rPr>
              <w:t>〔</w:t>
            </w:r>
            <w:r>
              <w:rPr>
                <w:rFonts w:ascii="宋体" w:cs="微软雅黑" w:hint="eastAsia"/>
                <w:bCs/>
                <w:sz w:val="24"/>
              </w:rPr>
              <w:t>2022</w:t>
            </w:r>
            <w:r>
              <w:rPr>
                <w:rFonts w:ascii="方正仿宋_GBK" w:eastAsia="方正仿宋_GBK" w:cs="微软雅黑" w:hint="eastAsia"/>
                <w:bCs/>
                <w:sz w:val="24"/>
              </w:rPr>
              <w:t>〕</w:t>
            </w:r>
            <w:r>
              <w:rPr>
                <w:rFonts w:ascii="宋体" w:cs="微软雅黑" w:hint="eastAsia"/>
                <w:bCs/>
                <w:sz w:val="24"/>
              </w:rPr>
              <w:t>3号文件，较大数额的罚款，认定为200万元以上的罚款，法律、行政法规以及国务院有关部门明确规定相关领域“较大数额罚款”标准高于200万元的，从其规定。</w:t>
            </w:r>
          </w:p>
        </w:tc>
      </w:tr>
      <w:tr>
        <w:tblPrEx>
          <w:tblW w:w="8995" w:type="dxa"/>
          <w:jc w:val="left"/>
          <w:tblInd w:w="-483" w:type="dxa"/>
          <w:tblLayout w:type="fixed"/>
          <w:tblCellMar>
            <w:top w:w="0" w:type="dxa"/>
            <w:left w:w="108" w:type="dxa"/>
            <w:bottom w:w="0" w:type="dxa"/>
            <w:right w:w="108" w:type="dxa"/>
          </w:tblCellMar>
        </w:tblPrEx>
        <w:trPr>
          <w:trHeight w:val="314"/>
          <w:jc w:val="left"/>
        </w:trPr>
        <w:tc>
          <w:tcPr>
            <w:tcW w:w="739" w:type="dxa"/>
            <w:vMerge w:val="restart"/>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15</w:t>
            </w:r>
          </w:p>
        </w:tc>
        <w:tc>
          <w:tcPr>
            <w:tcW w:w="1652" w:type="dxa"/>
            <w:vMerge w:val="restart"/>
            <w:tcBorders>
              <w:top w:val="single" w:sz="4" w:space="0" w:color="auto"/>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采购资金的支付方式、时间和条件</w:t>
            </w: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详见第五部分</w:t>
            </w:r>
          </w:p>
        </w:tc>
      </w:tr>
      <w:tr>
        <w:tblPrEx>
          <w:tblW w:w="8995" w:type="dxa"/>
          <w:jc w:val="left"/>
          <w:tblInd w:w="-483" w:type="dxa"/>
          <w:tblLayout w:type="fixed"/>
          <w:tblCellMar>
            <w:top w:w="0" w:type="dxa"/>
            <w:left w:w="108" w:type="dxa"/>
            <w:bottom w:w="0" w:type="dxa"/>
            <w:right w:w="108" w:type="dxa"/>
          </w:tblCellMar>
        </w:tblPrEx>
        <w:trPr>
          <w:trHeight w:val="314"/>
          <w:jc w:val="left"/>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Arial" w:hAnsi="Arial"/>
                <w:sz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tblW w:w="8995" w:type="dxa"/>
          <w:jc w:val="left"/>
          <w:tblInd w:w="-483" w:type="dxa"/>
          <w:tblLayout w:type="fixed"/>
          <w:tblCellMar>
            <w:top w:w="0" w:type="dxa"/>
            <w:left w:w="108" w:type="dxa"/>
            <w:bottom w:w="0" w:type="dxa"/>
            <w:right w:w="108" w:type="dxa"/>
          </w:tblCellMar>
        </w:tblPrEx>
        <w:trPr>
          <w:trHeight w:val="314"/>
          <w:jc w:val="left"/>
        </w:trPr>
        <w:tc>
          <w:tcPr>
            <w:tcW w:w="739" w:type="dxa"/>
            <w:vMerge/>
            <w:noWrap/>
            <w:vAlign w:val="center"/>
          </w:tcPr>
          <w:p/>
        </w:tc>
        <w:tc>
          <w:tcPr>
            <w:tcW w:w="2101" w:type="dxa"/>
            <w:vMerge/>
            <w:tcBorders>
              <w:top w:val="single" w:sz="4" w:space="0" w:color="auto"/>
              <w:left w:val="single" w:sz="4" w:space="0" w:color="auto"/>
              <w:right w:val="single" w:sz="4" w:space="0" w:color="auto"/>
            </w:tcBorders>
            <w:noWrap/>
            <w:vAlign w:val="center"/>
          </w:tcPr>
          <w:p/>
        </w:tc>
        <w:tc>
          <w:tcPr>
            <w:tcW w:w="6604" w:type="dxa"/>
            <w:noWrap/>
            <w:vAlign w:val="center"/>
          </w:tcPr>
          <w:p>
            <w:pPr>
              <w:tabs>
                <w:tab w:val="left" w:pos="588"/>
              </w:tabs>
              <w:autoSpaceDN w:val="0"/>
              <w:spacing w:line="360" w:lineRule="auto"/>
              <w:ind w:left="1"/>
              <w:rPr>
                <w:rFonts w:ascii="宋体" w:cs="微软雅黑" w:hint="eastAsia"/>
                <w:bCs/>
                <w:sz w:val="24"/>
              </w:rPr>
            </w:pPr>
            <w:r>
              <w:rPr>
                <w:rFonts w:ascii="宋体" w:cs="微软雅黑" w:hint="eastAsia"/>
                <w:bCs/>
                <w:sz w:val="24"/>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rPr>
      </w:pPr>
    </w:p>
    <w:p>
      <w:pPr>
        <w:tabs>
          <w:tab w:val="left" w:pos="588"/>
        </w:tabs>
        <w:autoSpaceDN w:val="0"/>
        <w:spacing w:line="360" w:lineRule="auto"/>
        <w:ind w:left="1"/>
        <w:rPr>
          <w:rFonts w:ascii="宋体" w:cs="微软雅黑" w:hint="eastAsia"/>
          <w:bCs/>
          <w:sz w:val="24"/>
        </w:rPr>
      </w:pPr>
      <w:r>
        <w:rPr>
          <w:rFonts w:ascii="宋体" w:cs="微软雅黑" w:hint="eastAsia"/>
          <w:bCs/>
          <w:sz w:val="24"/>
        </w:rPr>
        <w:t xml:space="preserve">注： ①上表中加 </w:t>
      </w:r>
      <w:r>
        <w:rPr>
          <w:rFonts w:ascii="宋体" w:hint="eastAsia"/>
          <w:sz w:val="24"/>
        </w:rPr>
        <w:t>★</w:t>
      </w:r>
      <w:r>
        <w:rPr>
          <w:rFonts w:ascii="宋体" w:cs="微软雅黑" w:hint="eastAsia"/>
          <w:bCs/>
          <w:sz w:val="24"/>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rPr>
      </w:pPr>
      <w:r>
        <w:rPr>
          <w:rFonts w:ascii="宋体" w:cs="微软雅黑" w:hint="eastAsia"/>
          <w:bCs/>
          <w:sz w:val="24"/>
        </w:rPr>
        <w:t>②要求提供扫描件的，照片、图片等电子文件与扫描件效力相等；</w:t>
      </w:r>
    </w:p>
    <w:p>
      <w:pPr>
        <w:tabs>
          <w:tab w:val="left" w:pos="588"/>
        </w:tabs>
        <w:autoSpaceDN w:val="0"/>
        <w:spacing w:line="360" w:lineRule="auto"/>
        <w:ind w:left="1"/>
        <w:rPr>
          <w:rFonts w:ascii="宋体" w:cs="微软雅黑" w:hint="eastAsia"/>
          <w:bCs/>
          <w:sz w:val="24"/>
        </w:rPr>
      </w:pPr>
      <w:r>
        <w:rPr>
          <w:rFonts w:ascii="宋体" w:cs="微软雅黑" w:hint="eastAsia"/>
          <w:bCs/>
          <w:sz w:val="24"/>
        </w:rPr>
        <w:t>③上表中未加“</w:t>
      </w:r>
      <w:r>
        <w:rPr>
          <w:rFonts w:ascii="宋体" w:hint="eastAsia"/>
          <w:sz w:val="24"/>
        </w:rPr>
        <w:t>★</w:t>
      </w:r>
      <w:r>
        <w:rPr>
          <w:rFonts w:ascii="宋体" w:cs="微软雅黑" w:hint="eastAsia"/>
          <w:bCs/>
          <w:sz w:val="24"/>
        </w:rPr>
        <w:t>”且无法律法规明确规定的不得作为投标被拒绝或投标无效条款；</w:t>
      </w:r>
    </w:p>
    <w:p>
      <w:pPr>
        <w:tabs>
          <w:tab w:val="left" w:pos="588"/>
        </w:tabs>
        <w:autoSpaceDN w:val="0"/>
        <w:spacing w:line="360" w:lineRule="auto"/>
        <w:ind w:left="1"/>
        <w:rPr>
          <w:rFonts w:ascii="宋体" w:cs="微软雅黑" w:hint="eastAsia"/>
          <w:bCs/>
          <w:sz w:val="24"/>
        </w:rPr>
      </w:pPr>
      <w:r>
        <w:rPr>
          <w:rFonts w:ascii="宋体" w:cs="微软雅黑" w:hint="eastAsia"/>
          <w:bCs/>
          <w:sz w:val="24"/>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6" w:name="采购任务单_purchaserOrgName_1"/>
      <w:r>
        <w:rPr>
          <w:rFonts w:ascii="宋体" w:hint="eastAsia"/>
          <w:color w:val="0000FF"/>
          <w:sz w:val="24"/>
        </w:rPr>
        <w:t>海关总署</w:t>
      </w:r>
      <w:bookmarkEnd w:id="2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cs="微软雅黑" w:hint="eastAsia"/>
          <w:bCs/>
          <w:kern w:val="0"/>
          <w:sz w:val="24"/>
          <w:highlight w:val="white"/>
        </w:rPr>
        <w:t>工业和信息化部、国家统计局、国家发展和改革委员会、财政部</w:t>
      </w:r>
      <w:r>
        <w:rPr>
          <w:rFonts w:ascii="宋体" w:cs="微软雅黑" w:hint="eastAsia"/>
          <w:bCs/>
          <w:kern w:val="0"/>
          <w:sz w:val="24"/>
        </w:rPr>
        <w:t>《关于印发中小企业划型标准规定的通知》（工信部联企业〔2011〕300号）、</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rPr>
      </w:pPr>
      <w:r>
        <w:rPr>
          <w:rFonts w:ascii="宋体" w:hint="eastAsia"/>
          <w:kern w:val="0"/>
          <w:sz w:val="24"/>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rPr>
      </w:pPr>
      <w:r>
        <w:rPr>
          <w:rFonts w:ascii="宋体" w:hint="eastAsia"/>
          <w:kern w:val="0"/>
          <w:sz w:val="24"/>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rPr>
        <w:t>2.9节能产品、环境标志产品系指</w:t>
      </w:r>
      <w:r>
        <w:rPr>
          <w:rFonts w:ascii="宋体" w:cs="微软雅黑" w:hint="eastAsia"/>
          <w:kern w:val="0"/>
          <w:sz w:val="24"/>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评审标准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rPr>
      </w:pPr>
      <w:r>
        <w:rPr>
          <w:rFonts w:ascii="宋体" w:hint="eastAsia"/>
          <w:color w:val="000000"/>
        </w:rPr>
        <w:t>7.1询问</w:t>
      </w:r>
    </w:p>
    <w:p>
      <w:pPr>
        <w:pStyle w:val="1051"/>
        <w:spacing w:line="360" w:lineRule="auto"/>
        <w:ind w:firstLine="0" w:firstLineChars="0"/>
        <w:jc w:val="both"/>
        <w:textAlignment w:val="auto"/>
        <w:rPr>
          <w:rFonts w:ascii="宋体" w:cs="微软雅黑" w:hint="eastAsia"/>
          <w:bCs/>
          <w:color w:val="auto"/>
          <w:kern w:val="2"/>
          <w:szCs w:val="24"/>
          <w:highlight w:val="yellow"/>
        </w:rPr>
      </w:pPr>
      <w:r>
        <w:rPr>
          <w:rFonts w:ascii="宋体" w:hint="eastAsia"/>
          <w:color w:val="000000"/>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rPr>
        <w:t>（</w:t>
      </w:r>
      <w:r>
        <w:rPr>
          <w:rFonts w:ascii="宋体" w:cs="微软雅黑" w:hint="eastAsia"/>
          <w:color w:val="auto"/>
          <w:kern w:val="2"/>
          <w:szCs w:val="24"/>
        </w:rPr>
        <w:t>投标人对政府采购过程、中标公告结果有疑问的，可以向采购人或采购机构提出询问，采购人或者采购机构应当在3个工作日内对供应商依法提出的询问作出答复）。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rPr>
        <w:t>（一）投标人资格</w:t>
      </w:r>
      <w:r>
        <w:rPr>
          <w:rFonts w:ascii="Times New Roman" w:hAnsi="Times New Roman"/>
          <w:kern w:val="0"/>
          <w:sz w:val="24"/>
          <w:szCs w:val="21"/>
        </w:rPr>
        <w:t>审查材料包括：投标人资格审查一览表（格式见第六部分）、联合体投标协议书。（加盖投标人电子签章）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hint="eastAsia"/>
          <w:color w:val="0000FF"/>
          <w:kern w:val="0"/>
          <w:sz w:val="24"/>
          <w:szCs w:val="21"/>
          <w:highlight w:val="white"/>
        </w:rPr>
      </w:pPr>
      <w:bookmarkStart w:id="27" w:name="商务资质证明文件"/>
      <w:r>
        <w:rPr>
          <w:rFonts w:hint="eastAsia"/>
          <w:color w:val="0000FF"/>
          <w:kern w:val="0"/>
          <w:sz w:val="24"/>
          <w:szCs w:val="21"/>
          <w:highlight w:val="white"/>
        </w:rPr>
        <w:t>★（1）《商务偏离表》，格式见第六部分（加盖投标人电子签章）。</w:t>
      </w:r>
    </w:p>
    <w:p>
      <w:pPr>
        <w:tabs>
          <w:tab w:val="left" w:pos="0"/>
        </w:tabs>
        <w:autoSpaceDN w:val="0"/>
        <w:spacing w:line="360" w:lineRule="auto"/>
        <w:rPr>
          <w:rFonts w:hint="eastAsia"/>
          <w:color w:val="0000FF"/>
          <w:kern w:val="0"/>
          <w:sz w:val="24"/>
          <w:szCs w:val="21"/>
          <w:highlight w:val="white"/>
        </w:rPr>
      </w:pPr>
      <w:r>
        <w:rPr>
          <w:rFonts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hint="eastAsia"/>
          <w:color w:val="0000FF"/>
          <w:kern w:val="0"/>
          <w:sz w:val="24"/>
          <w:szCs w:val="21"/>
          <w:highlight w:val="white"/>
        </w:rPr>
      </w:pPr>
      <w:r>
        <w:rPr>
          <w:rFonts w:hint="eastAsia"/>
          <w:color w:val="0000FF"/>
          <w:kern w:val="0"/>
          <w:sz w:val="24"/>
          <w:szCs w:val="21"/>
          <w:highlight w:val="white"/>
        </w:rPr>
        <w:t>（3）</w:t>
      </w:r>
      <w:r>
        <w:rPr>
          <w:color w:val="0000FF"/>
          <w:sz w:val="24"/>
          <w:szCs w:val="21"/>
          <w:highlight w:val="white"/>
        </w:rPr>
        <w:t>投标人提供2021年10月1日起至本项目招标公告发布之日止(以合同签订日期为准)</w:t>
      </w:r>
      <w:r>
        <w:rPr>
          <w:rFonts w:hint="eastAsia"/>
          <w:color w:val="0000FF"/>
          <w:sz w:val="24"/>
          <w:szCs w:val="21"/>
          <w:highlight w:val="white"/>
        </w:rPr>
        <w:t>，</w:t>
      </w:r>
      <w:r>
        <w:rPr>
          <w:color w:val="0000FF"/>
          <w:sz w:val="24"/>
          <w:szCs w:val="21"/>
          <w:highlight w:val="white"/>
        </w:rPr>
        <w:t>与本项目同类开发服务项目的相关业绩材料</w:t>
      </w:r>
      <w:r>
        <w:rPr>
          <w:rFonts w:hint="eastAsia"/>
          <w:color w:val="0000FF"/>
          <w:kern w:val="0"/>
          <w:sz w:val="24"/>
          <w:szCs w:val="21"/>
          <w:highlight w:val="white"/>
        </w:rPr>
        <w:t>，具体要求详见评分标准（加盖投标人电子签章）。</w:t>
      </w:r>
    </w:p>
    <w:p>
      <w:pPr>
        <w:tabs>
          <w:tab w:val="left" w:pos="0"/>
        </w:tabs>
        <w:autoSpaceDN w:val="0"/>
        <w:spacing w:line="360" w:lineRule="auto"/>
        <w:rPr>
          <w:color w:val="0000FF"/>
          <w:kern w:val="0"/>
          <w:sz w:val="24"/>
          <w:szCs w:val="21"/>
        </w:rPr>
      </w:pPr>
      <w:r>
        <w:rPr>
          <w:rFonts w:hint="eastAsia"/>
          <w:color w:val="0000FF"/>
          <w:kern w:val="0"/>
          <w:sz w:val="24"/>
          <w:szCs w:val="21"/>
          <w:highlight w:val="white"/>
        </w:rPr>
        <w:t>（4）投标人满足投标人资格标准的其他必要资格证明文件（如有）（加盖投标人电子签章）。</w:t>
      </w:r>
      <w:bookmarkEnd w:id="27"/>
    </w:p>
    <w:p>
      <w:pPr>
        <w:tabs>
          <w:tab w:val="left" w:pos="0"/>
        </w:tabs>
        <w:autoSpaceDN w:val="0"/>
        <w:spacing w:line="360" w:lineRule="auto"/>
        <w:rPr>
          <w:rFonts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hint="eastAsia"/>
          <w:color w:val="0000FF"/>
          <w:kern w:val="0"/>
          <w:sz w:val="24"/>
          <w:szCs w:val="21"/>
          <w:highlight w:val="white"/>
        </w:rPr>
      </w:pPr>
      <w:bookmarkStart w:id="28" w:name="技术应答文件"/>
      <w:r>
        <w:rPr>
          <w:rFonts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hint="eastAsia"/>
          <w:color w:val="0000FF"/>
          <w:kern w:val="0"/>
          <w:sz w:val="24"/>
          <w:szCs w:val="21"/>
          <w:highlight w:val="white"/>
        </w:rPr>
      </w:pPr>
      <w:r>
        <w:rPr>
          <w:rFonts w:hint="eastAsia"/>
          <w:color w:val="0000FF"/>
          <w:kern w:val="0"/>
          <w:sz w:val="24"/>
          <w:szCs w:val="21"/>
          <w:highlight w:val="white"/>
        </w:rPr>
        <w:t>（2）投标人提供项目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团队人员名单、人员简历、项目履历、相关资质证书、在本项目中职责分工，并提供距开标之日前6个月内任意一个月的社保证明或劳务合同等证明材料（加盖投标人电子签章）。</w:t>
      </w:r>
    </w:p>
    <w:p>
      <w:pPr>
        <w:tabs>
          <w:tab w:val="left" w:pos="0"/>
        </w:tabs>
        <w:autoSpaceDN w:val="0"/>
        <w:spacing w:line="360" w:lineRule="auto"/>
        <w:rPr>
          <w:rFonts w:hint="eastAsia"/>
          <w:color w:val="0000FF"/>
          <w:kern w:val="0"/>
          <w:sz w:val="24"/>
          <w:szCs w:val="21"/>
          <w:highlight w:val="white"/>
        </w:rPr>
      </w:pPr>
      <w:r>
        <w:rPr>
          <w:rFonts w:hint="eastAsia"/>
          <w:color w:val="0000FF"/>
          <w:kern w:val="0"/>
          <w:sz w:val="24"/>
          <w:szCs w:val="21"/>
          <w:highlight w:val="white"/>
        </w:rPr>
        <w:t>（3）投标人按要求进行需求理解分析，提供技术设计方案等，具体要求见第四部分评分标准（加盖投标人电子签章）。</w:t>
      </w:r>
    </w:p>
    <w:p>
      <w:pPr>
        <w:tabs>
          <w:tab w:val="left" w:pos="0"/>
        </w:tabs>
        <w:autoSpaceDN w:val="0"/>
        <w:spacing w:line="360" w:lineRule="auto"/>
        <w:rPr>
          <w:rFonts w:hint="eastAsia"/>
          <w:color w:val="0000FF"/>
          <w:kern w:val="0"/>
          <w:sz w:val="24"/>
          <w:szCs w:val="21"/>
          <w:highlight w:val="white"/>
        </w:rPr>
      </w:pPr>
      <w:r>
        <w:rPr>
          <w:rFonts w:hint="eastAsia"/>
          <w:color w:val="0000FF"/>
          <w:kern w:val="0"/>
          <w:sz w:val="24"/>
          <w:szCs w:val="21"/>
          <w:highlight w:val="white"/>
        </w:rPr>
        <w:t>（4）投标人认为应该提供的其他证明材料。（如有）（加盖投标人电子签章）。</w:t>
      </w:r>
      <w:bookmarkEnd w:id="28"/>
      <w:r>
        <w:rPr>
          <w:rFonts w:ascii="宋体" w:hint="eastAsia"/>
          <w:b/>
          <w:bCs/>
          <w:sz w:val="24"/>
        </w:rPr>
        <w:t>（四）服务应答文件</w:t>
      </w:r>
    </w:p>
    <w:p>
      <w:pPr>
        <w:tabs>
          <w:tab w:val="left" w:pos="0"/>
        </w:tabs>
        <w:autoSpaceDN w:val="0"/>
        <w:spacing w:line="360" w:lineRule="auto"/>
        <w:rPr>
          <w:rFonts w:hint="eastAsia"/>
          <w:color w:val="0000FF"/>
          <w:kern w:val="0"/>
          <w:sz w:val="24"/>
          <w:szCs w:val="21"/>
          <w:highlight w:val="white"/>
        </w:rPr>
      </w:pPr>
      <w:bookmarkStart w:id="29" w:name="服务应答文件服务应答文件"/>
      <w:r>
        <w:rPr>
          <w:rFonts w:hint="eastAsia"/>
          <w:color w:val="0000FF"/>
          <w:kern w:val="0"/>
          <w:sz w:val="24"/>
          <w:szCs w:val="21"/>
          <w:highlight w:val="white"/>
        </w:rPr>
        <w:t>（1）投标人提供项目实施管理方案、运维服务方案等，具体要求见第四部分评分标准（加盖投标人电子签章）。</w:t>
      </w:r>
    </w:p>
    <w:p>
      <w:pPr>
        <w:tabs>
          <w:tab w:val="left" w:pos="0"/>
        </w:tabs>
        <w:autoSpaceDN w:val="0"/>
        <w:spacing w:line="360" w:lineRule="auto"/>
        <w:rPr>
          <w:color w:val="0000FF"/>
          <w:kern w:val="0"/>
          <w:sz w:val="24"/>
          <w:szCs w:val="21"/>
        </w:rPr>
      </w:pPr>
      <w:r>
        <w:rPr>
          <w:rFonts w:hint="eastAsia"/>
          <w:color w:val="0000FF"/>
          <w:kern w:val="0"/>
          <w:sz w:val="24"/>
          <w:szCs w:val="21"/>
          <w:highlight w:val="white"/>
        </w:rPr>
        <w:t>（2）投标人认为应该提供的证明材料（如有）（加盖投标人电子签章）。</w:t>
      </w:r>
      <w:bookmarkEnd w:id="29"/>
    </w:p>
    <w:p>
      <w:pPr>
        <w:tabs>
          <w:tab w:val="left" w:pos="0"/>
        </w:tabs>
        <w:autoSpaceDN w:val="0"/>
        <w:spacing w:line="360" w:lineRule="auto"/>
        <w:rPr>
          <w:rFonts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rPr>
      </w:pPr>
      <w:r>
        <w:rPr>
          <w:rFonts w:ascii="宋体" w:cs="微软雅黑" w:hint="eastAsia"/>
          <w:kern w:val="20"/>
          <w:sz w:val="24"/>
          <w:szCs w:val="21"/>
          <w:lang w:val="zh-CN"/>
        </w:rPr>
        <w:t>16.1投标人应按本款下述规定以及</w:t>
      </w:r>
      <w:r>
        <w:rPr>
          <w:rFonts w:ascii="宋体" w:cs="微软雅黑" w:hint="eastAsia"/>
          <w:b/>
          <w:bCs/>
          <w:kern w:val="20"/>
          <w:sz w:val="24"/>
          <w:szCs w:val="21"/>
          <w:lang w:val="zh-CN"/>
        </w:rPr>
        <w:t>投标人须知前附表第</w:t>
      </w:r>
      <w:r>
        <w:rPr>
          <w:rFonts w:ascii="宋体" w:cs="微软雅黑" w:hint="eastAsia"/>
          <w:b/>
          <w:bCs/>
          <w:kern w:val="20"/>
          <w:sz w:val="24"/>
          <w:szCs w:val="21"/>
        </w:rPr>
        <w:t>11</w:t>
      </w:r>
      <w:r>
        <w:rPr>
          <w:rFonts w:ascii="宋体" w:cs="微软雅黑" w:hint="eastAsia"/>
          <w:b/>
          <w:bCs/>
          <w:kern w:val="20"/>
          <w:sz w:val="24"/>
          <w:szCs w:val="21"/>
          <w:lang w:val="zh-CN"/>
        </w:rPr>
        <w:t>条</w:t>
      </w:r>
      <w:r>
        <w:rPr>
          <w:rFonts w:ascii="宋体" w:cs="微软雅黑" w:hint="eastAsia"/>
          <w:kern w:val="20"/>
          <w:sz w:val="24"/>
          <w:szCs w:val="21"/>
          <w:lang w:val="zh-CN"/>
        </w:rPr>
        <w:t>规定的方式提交投标文件。</w:t>
      </w:r>
    </w:p>
    <w:p>
      <w:pPr>
        <w:adjustRightInd w:val="0"/>
        <w:snapToGrid w:val="0"/>
        <w:spacing w:line="440" w:lineRule="exact"/>
        <w:rPr>
          <w:rFonts w:ascii="宋体" w:hint="eastAsia"/>
          <w:sz w:val="24"/>
        </w:rPr>
      </w:pPr>
      <w:r>
        <w:rPr>
          <w:rFonts w:ascii="宋体" w:cs="微软雅黑" w:hint="eastAsia"/>
          <w:sz w:val="24"/>
          <w:szCs w:val="21"/>
        </w:rPr>
        <w:t>16.2投标人须登陆中国海关政府采购网，下载</w:t>
      </w:r>
      <w:r>
        <w:rPr>
          <w:rFonts w:ascii="宋体" w:cs="微软雅黑" w:hint="eastAsia"/>
          <w:color w:val="C00000"/>
          <w:sz w:val="24"/>
          <w:szCs w:val="21"/>
        </w:rPr>
        <w:t>海关智慧政采综合管理平台</w:t>
      </w:r>
      <w:r>
        <w:rPr>
          <w:rFonts w:ascii="宋体" w:cs="微软雅黑" w:hint="eastAsia"/>
          <w:sz w:val="24"/>
          <w:szCs w:val="21"/>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sz w:val="24"/>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rPr>
      </w:pPr>
      <w:r>
        <w:rPr>
          <w:rFonts w:ascii="宋体" w:cs="微软雅黑" w:hint="eastAsia"/>
          <w:sz w:val="24"/>
          <w:szCs w:val="21"/>
        </w:rPr>
        <w:t>18.1投标人在投标截止时间前，可以对所提交的投标文件进行补充、修改或者撤回。</w:t>
      </w:r>
    </w:p>
    <w:p>
      <w:pPr>
        <w:adjustRightInd w:val="0"/>
        <w:snapToGrid w:val="0"/>
        <w:spacing w:line="440" w:lineRule="exact"/>
        <w:rPr>
          <w:rFonts w:ascii="宋体" w:cs="微软雅黑" w:hint="eastAsia"/>
          <w:sz w:val="24"/>
          <w:szCs w:val="21"/>
        </w:rPr>
      </w:pPr>
      <w:r>
        <w:rPr>
          <w:rFonts w:ascii="宋体" w:cs="微软雅黑" w:hint="eastAsia"/>
          <w:sz w:val="24"/>
          <w:szCs w:val="21"/>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rPr>
      </w:pPr>
      <w:r>
        <w:rPr>
          <w:rFonts w:ascii="宋体" w:cs="微软雅黑" w:hint="eastAsia"/>
          <w:sz w:val="24"/>
          <w:szCs w:val="21"/>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rPr>
      </w:pPr>
      <w:r>
        <w:rPr>
          <w:rFonts w:ascii="宋体" w:hint="eastAsia"/>
          <w:sz w:val="24"/>
        </w:rPr>
        <w:t>19.3</w:t>
      </w:r>
      <w:r>
        <w:rPr>
          <w:rFonts w:ascii="宋体" w:cs="微软雅黑" w:hint="eastAsia"/>
          <w:sz w:val="24"/>
          <w:szCs w:val="21"/>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rPr>
      </w:pPr>
      <w:r>
        <w:rPr>
          <w:rFonts w:ascii="宋体" w:hint="eastAsia"/>
          <w:sz w:val="24"/>
        </w:rPr>
        <w:t>19.4</w:t>
      </w:r>
      <w:r>
        <w:rPr>
          <w:rFonts w:hint="eastAsia"/>
        </w:rPr>
        <w:t xml:space="preserve"> </w:t>
      </w:r>
      <w:r>
        <w:rPr>
          <w:rFonts w:ascii="宋体" w:cs="微软雅黑" w:hint="eastAsia"/>
          <w:sz w:val="24"/>
          <w:szCs w:val="21"/>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rPr>
      </w:pPr>
      <w:r>
        <w:rPr>
          <w:rFonts w:ascii="宋体" w:cs="微软雅黑" w:hint="eastAsia"/>
          <w:sz w:val="24"/>
          <w:szCs w:val="21"/>
        </w:rPr>
        <w:t>。</w:t>
      </w:r>
    </w:p>
    <w:p>
      <w:pPr>
        <w:adjustRightInd w:val="0"/>
        <w:snapToGrid w:val="0"/>
        <w:spacing w:line="360" w:lineRule="auto"/>
        <w:rPr>
          <w:rFonts w:ascii="宋体" w:cs="微软雅黑" w:hint="eastAsia"/>
          <w:sz w:val="24"/>
          <w:szCs w:val="21"/>
        </w:rPr>
      </w:pPr>
      <w:r>
        <w:rPr>
          <w:rFonts w:ascii="宋体" w:cs="微软雅黑" w:hint="eastAsia"/>
          <w:sz w:val="24"/>
          <w:szCs w:val="21"/>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24.1经符合性审查合格的投标文件，评标委员会将根据招标文件规定的评审标准和方法，对其商务、技术、服务和报价等作进一步的比较和评价。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cs="微软雅黑" w:hint="eastAsia"/>
          <w:sz w:val="24"/>
        </w:rPr>
      </w:pPr>
      <w:r>
        <w:rPr>
          <w:rFonts w:ascii="宋体" w:hint="eastAsia"/>
          <w:sz w:val="24"/>
        </w:rPr>
        <w:t>29.1</w:t>
      </w:r>
      <w:r>
        <w:rPr>
          <w:rFonts w:ascii="宋体" w:cs="微软雅黑" w:hint="eastAsia"/>
          <w:sz w:val="24"/>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cs="微软雅黑" w:hint="eastAsia"/>
          <w:color w:val="auto"/>
          <w:kern w:val="2"/>
          <w:szCs w:val="24"/>
        </w:rPr>
      </w:pPr>
      <w:r>
        <w:rPr>
          <w:rFonts w:ascii="宋体" w:cs="微软雅黑" w:hint="eastAsia"/>
          <w:color w:val="auto"/>
          <w:kern w:val="2"/>
          <w:szCs w:val="24"/>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cs="微软雅黑" w:hint="eastAsia"/>
          <w:color w:val="auto"/>
          <w:kern w:val="2"/>
          <w:szCs w:val="24"/>
        </w:rPr>
      </w:pPr>
      <w:r>
        <w:rPr>
          <w:rFonts w:ascii="宋体" w:cs="微软雅黑" w:hint="eastAsia"/>
          <w:color w:val="auto"/>
          <w:kern w:val="2"/>
          <w:szCs w:val="24"/>
        </w:rPr>
        <w:t>29.3中标供应商在海关智慧政采综合管理平台供应商端通知公告功能下载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Cs w:val="24"/>
        </w:rPr>
      </w:pPr>
      <w:r>
        <w:rPr>
          <w:rFonts w:ascii="宋体" w:cs="微软雅黑" w:hint="eastAsia"/>
          <w:color w:val="auto"/>
          <w:kern w:val="2"/>
          <w:szCs w:val="24"/>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spacing w:line="360" w:lineRule="auto"/>
        <w:rPr>
          <w:rFonts w:ascii="宋体" w:cs="微软雅黑" w:hint="eastAsia"/>
          <w:sz w:val="24"/>
        </w:rPr>
      </w:pPr>
      <w:r>
        <w:rPr>
          <w:rFonts w:ascii="宋体" w:hint="eastAsia"/>
          <w:sz w:val="24"/>
        </w:rPr>
        <w:t>35.1投标人</w:t>
      </w:r>
      <w:r>
        <w:rPr>
          <w:rFonts w:ascii="宋体" w:cs="微软雅黑" w:hint="eastAsia"/>
          <w:bCs/>
          <w:sz w:val="24"/>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cs="宋体" w:hint="eastAsia"/>
          <w:kern w:val="0"/>
          <w:sz w:val="24"/>
        </w:rPr>
        <w:t>通过海关智慧政采综合管理平台等书面形式向采购机构提出质疑</w:t>
      </w:r>
      <w:r>
        <w:rPr>
          <w:rFonts w:ascii="宋体" w:hint="eastAsia"/>
          <w:sz w:val="24"/>
        </w:rPr>
        <w:t>。</w:t>
      </w:r>
      <w:r>
        <w:rPr>
          <w:rFonts w:ascii="宋体" w:cs="微软雅黑" w:hint="eastAsia"/>
          <w:bCs/>
          <w:sz w:val="24"/>
        </w:rPr>
        <w:t>投标人或潜在投标人应知其权益受到损害之日</w:t>
      </w:r>
      <w:r>
        <w:rPr>
          <w:rFonts w:ascii="宋体" w:cs="微软雅黑" w:hint="eastAsia"/>
          <w:sz w:val="24"/>
        </w:rPr>
        <w:t>，是指：</w:t>
      </w:r>
    </w:p>
    <w:p>
      <w:pPr>
        <w:autoSpaceDN w:val="0"/>
        <w:spacing w:line="360" w:lineRule="auto"/>
        <w:ind w:left="8" w:hanging="15"/>
        <w:rPr>
          <w:rFonts w:ascii="宋体" w:cs="微软雅黑" w:hint="eastAsia"/>
          <w:bCs/>
          <w:sz w:val="24"/>
        </w:rPr>
      </w:pPr>
      <w:r>
        <w:rPr>
          <w:rFonts w:ascii="宋体" w:cs="微软雅黑" w:hint="eastAsia"/>
          <w:bCs/>
          <w:sz w:val="24"/>
        </w:rPr>
        <w:t>(1) 对招标文件提出质疑的，为获取招标文件之日或者招标文件公告期限届满之日；</w:t>
      </w:r>
    </w:p>
    <w:p>
      <w:pPr>
        <w:autoSpaceDN w:val="0"/>
        <w:spacing w:line="360" w:lineRule="auto"/>
        <w:ind w:left="8" w:hanging="15"/>
        <w:rPr>
          <w:rFonts w:ascii="宋体" w:cs="微软雅黑" w:hint="eastAsia"/>
          <w:bCs/>
          <w:sz w:val="24"/>
        </w:rPr>
      </w:pPr>
      <w:r>
        <w:rPr>
          <w:rFonts w:ascii="宋体" w:cs="微软雅黑" w:hint="eastAsia"/>
          <w:bCs/>
          <w:sz w:val="24"/>
        </w:rPr>
        <w:t>(2) 对招标过程提出质疑的，为各招标程序环节结束之日；</w:t>
      </w:r>
    </w:p>
    <w:p>
      <w:pPr>
        <w:autoSpaceDN w:val="0"/>
        <w:spacing w:line="360" w:lineRule="auto"/>
        <w:ind w:left="8" w:hanging="15"/>
        <w:rPr>
          <w:rFonts w:ascii="宋体" w:cs="微软雅黑" w:hint="eastAsia"/>
          <w:bCs/>
          <w:sz w:val="24"/>
        </w:rPr>
      </w:pPr>
      <w:r>
        <w:rPr>
          <w:rFonts w:ascii="宋体" w:cs="微软雅黑" w:hint="eastAsia"/>
          <w:bCs/>
          <w:sz w:val="24"/>
        </w:rPr>
        <w:t>(3) 对中标结果提出质疑的，为中标结果公告期限届满之日。</w:t>
      </w:r>
    </w:p>
    <w:p>
      <w:pPr>
        <w:autoSpaceDN w:val="0"/>
        <w:spacing w:line="360" w:lineRule="auto"/>
        <w:ind w:left="8" w:hanging="15"/>
        <w:rPr>
          <w:rFonts w:ascii="宋体" w:cs="微软雅黑" w:hint="eastAsia"/>
          <w:bCs/>
          <w:sz w:val="24"/>
        </w:rPr>
      </w:pPr>
      <w:r>
        <w:rPr>
          <w:rFonts w:ascii="宋体" w:cs="微软雅黑" w:hint="eastAsia"/>
          <w:bCs/>
          <w:sz w:val="24"/>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rPr>
        <w:t>35.2提出质疑的投标人或潜在投标人应当是参与所质疑项目采购活动的供应商，潜在投标人已依法获取其可质疑的招标文件的，可以对该文件提出质疑。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cs="微软雅黑" w:hint="eastAsia"/>
          <w:bCs/>
          <w:sz w:val="24"/>
        </w:rPr>
      </w:pPr>
      <w:r>
        <w:rPr>
          <w:rFonts w:ascii="宋体" w:cs="微软雅黑" w:hint="eastAsia"/>
          <w:bCs/>
          <w:sz w:val="24"/>
        </w:rPr>
        <w:t>35.3投标人或潜在投标人提出质疑应当提交质疑函和必要的证明材料。质疑函应当包括下列内容（格式见第六部分）：</w:t>
      </w:r>
    </w:p>
    <w:p>
      <w:pPr>
        <w:autoSpaceDN w:val="0"/>
        <w:spacing w:line="360" w:lineRule="auto"/>
        <w:ind w:left="8" w:hanging="15"/>
        <w:rPr>
          <w:rFonts w:ascii="宋体" w:cs="微软雅黑" w:hint="eastAsia"/>
          <w:bCs/>
          <w:sz w:val="24"/>
        </w:rPr>
      </w:pPr>
      <w:r>
        <w:rPr>
          <w:rFonts w:ascii="宋体" w:cs="微软雅黑" w:hint="eastAsia"/>
          <w:bCs/>
          <w:sz w:val="24"/>
        </w:rPr>
        <w:t>(1)投标人或潜在投标人的姓名或者名称、地址、邮编、联系人及电话；</w:t>
      </w:r>
    </w:p>
    <w:p>
      <w:pPr>
        <w:autoSpaceDN w:val="0"/>
        <w:spacing w:line="360" w:lineRule="auto"/>
        <w:ind w:left="8" w:hanging="15"/>
        <w:rPr>
          <w:rFonts w:ascii="宋体" w:cs="微软雅黑" w:hint="eastAsia"/>
          <w:bCs/>
          <w:sz w:val="24"/>
        </w:rPr>
      </w:pPr>
      <w:r>
        <w:rPr>
          <w:rFonts w:ascii="宋体" w:cs="微软雅黑" w:hint="eastAsia"/>
          <w:bCs/>
          <w:sz w:val="24"/>
        </w:rPr>
        <w:t>(2)质疑项目的名称、编号；</w:t>
      </w:r>
    </w:p>
    <w:p>
      <w:pPr>
        <w:autoSpaceDN w:val="0"/>
        <w:spacing w:line="360" w:lineRule="auto"/>
        <w:ind w:left="8" w:hanging="15"/>
        <w:rPr>
          <w:rFonts w:ascii="宋体" w:cs="微软雅黑" w:hint="eastAsia"/>
          <w:bCs/>
          <w:sz w:val="24"/>
        </w:rPr>
      </w:pPr>
      <w:r>
        <w:rPr>
          <w:rFonts w:ascii="宋体" w:cs="微软雅黑" w:hint="eastAsia"/>
          <w:bCs/>
          <w:sz w:val="24"/>
        </w:rPr>
        <w:t>(3)具体、明确的质疑事项和与质疑事项相关的请求；</w:t>
      </w:r>
    </w:p>
    <w:p>
      <w:pPr>
        <w:autoSpaceDN w:val="0"/>
        <w:spacing w:line="360" w:lineRule="auto"/>
        <w:ind w:left="8" w:hanging="15"/>
        <w:rPr>
          <w:rFonts w:ascii="宋体" w:cs="微软雅黑" w:hint="eastAsia"/>
          <w:bCs/>
          <w:sz w:val="24"/>
        </w:rPr>
      </w:pPr>
      <w:r>
        <w:rPr>
          <w:rFonts w:ascii="宋体" w:cs="微软雅黑" w:hint="eastAsia"/>
          <w:bCs/>
          <w:sz w:val="24"/>
        </w:rPr>
        <w:t>(4)事实依据；</w:t>
      </w:r>
    </w:p>
    <w:p>
      <w:pPr>
        <w:autoSpaceDN w:val="0"/>
        <w:spacing w:line="360" w:lineRule="auto"/>
        <w:ind w:left="8" w:hanging="15"/>
        <w:rPr>
          <w:rFonts w:ascii="宋体" w:cs="微软雅黑" w:hint="eastAsia"/>
          <w:bCs/>
          <w:sz w:val="24"/>
        </w:rPr>
      </w:pPr>
      <w:r>
        <w:rPr>
          <w:rFonts w:ascii="宋体" w:cs="微软雅黑" w:hint="eastAsia"/>
          <w:bCs/>
          <w:sz w:val="24"/>
        </w:rPr>
        <w:t>(5)必要的法律依据；</w:t>
      </w:r>
    </w:p>
    <w:p>
      <w:pPr>
        <w:autoSpaceDN w:val="0"/>
        <w:spacing w:line="360" w:lineRule="auto"/>
        <w:ind w:left="8" w:hanging="15"/>
        <w:rPr>
          <w:rFonts w:ascii="宋体" w:cs="微软雅黑" w:hint="eastAsia"/>
          <w:bCs/>
          <w:sz w:val="24"/>
        </w:rPr>
      </w:pPr>
      <w:r>
        <w:rPr>
          <w:rFonts w:ascii="宋体" w:cs="微软雅黑" w:hint="eastAsia"/>
          <w:bCs/>
          <w:sz w:val="24"/>
        </w:rPr>
        <w:t>(6)提出质疑的日期。</w:t>
      </w:r>
    </w:p>
    <w:p>
      <w:pPr>
        <w:autoSpaceDN w:val="0"/>
        <w:spacing w:line="360" w:lineRule="auto"/>
        <w:ind w:left="8" w:hanging="15"/>
        <w:rPr>
          <w:rFonts w:ascii="宋体" w:cs="微软雅黑" w:hint="eastAsia"/>
          <w:bCs/>
          <w:sz w:val="24"/>
        </w:rPr>
      </w:pPr>
      <w:r>
        <w:rPr>
          <w:rFonts w:ascii="宋体" w:cs="微软雅黑" w:hint="eastAsia"/>
          <w:bCs/>
          <w:sz w:val="24"/>
        </w:rPr>
        <w:t>投标人或潜在投标人为自然人的，应当由本人签字；投标人或潜在投标人为法人或者其他组织的，应当由法定代表人、主要负责人，或者其授权代表签字或者盖章，并加盖公章。提出质疑应当在法定质疑期限内。提出质疑应当提供事实依据和证明材料，证明材料应当内容真实、来源合法。</w:t>
      </w:r>
    </w:p>
    <w:p>
      <w:pPr>
        <w:autoSpaceDN w:val="0"/>
        <w:spacing w:line="360" w:lineRule="auto"/>
        <w:ind w:left="8" w:hanging="15"/>
        <w:rPr>
          <w:rFonts w:ascii="宋体" w:cs="微软雅黑" w:hint="eastAsia"/>
          <w:bCs/>
          <w:sz w:val="24"/>
        </w:rPr>
      </w:pPr>
      <w:r>
        <w:rPr>
          <w:rFonts w:ascii="宋体" w:cs="微软雅黑" w:hint="eastAsia"/>
          <w:bCs/>
          <w:sz w:val="24"/>
        </w:rPr>
        <w:t>投标人或潜在投标人可以委托代理人进行质疑，其授权委托书应当载明代理人的姓名或者名称、代理事项、具体权限、期限和相关事项；以代理人身份提出质疑的，应当提交投标人或潜在投标人签署的授权委托书。</w:t>
      </w:r>
    </w:p>
    <w:p>
      <w:pPr>
        <w:autoSpaceDN w:val="0"/>
        <w:spacing w:line="360" w:lineRule="auto"/>
        <w:ind w:left="8" w:hanging="15"/>
        <w:rPr>
          <w:rFonts w:ascii="宋体" w:cs="微软雅黑" w:hint="eastAsia"/>
          <w:bCs/>
          <w:sz w:val="24"/>
        </w:rPr>
      </w:pPr>
      <w:r>
        <w:rPr>
          <w:rFonts w:ascii="宋体" w:cs="微软雅黑" w:hint="eastAsia"/>
          <w:bCs/>
          <w:sz w:val="24"/>
        </w:rPr>
        <w:t>投标人或潜在投标人提交的质疑函不符合以上要求的，采购机构应当一次性告知供应商需更正或补充的内容。投标人或潜在投标人未在质疑期限内提交更正、补充材料或重新提交的材料仍不符合要求的，采购机构不予受理，并告知理由。</w:t>
      </w:r>
    </w:p>
    <w:p>
      <w:pPr>
        <w:spacing w:line="360" w:lineRule="auto"/>
        <w:ind w:left="8" w:hanging="15"/>
        <w:rPr>
          <w:rFonts w:ascii="宋体" w:cs="微软雅黑" w:hint="eastAsia"/>
          <w:bCs/>
          <w:sz w:val="24"/>
        </w:rPr>
      </w:pPr>
      <w:r>
        <w:rPr>
          <w:rFonts w:ascii="宋体" w:cs="微软雅黑" w:hint="eastAsia"/>
          <w:bCs/>
          <w:sz w:val="24"/>
        </w:rPr>
        <w:t>35.4</w:t>
      </w:r>
      <w:r>
        <w:rPr>
          <w:rFonts w:ascii="宋体" w:cs="微软雅黑" w:hint="eastAsia"/>
          <w:bCs/>
          <w:kern w:val="0"/>
          <w:sz w:val="24"/>
        </w:rPr>
        <w:t>质疑供应商通过海关智慧政采综合管理平台质疑处理模块等书面形式进行质疑提交并接收质疑处理结果</w:t>
      </w:r>
      <w:r>
        <w:rPr>
          <w:rFonts w:ascii="宋体" w:cs="微软雅黑" w:hint="eastAsia"/>
          <w:bCs/>
          <w:sz w:val="24"/>
        </w:rPr>
        <w:t>。质疑受理电话详见第一部分招标公告。</w:t>
      </w:r>
    </w:p>
    <w:p>
      <w:pPr>
        <w:spacing w:line="360" w:lineRule="auto"/>
        <w:rPr>
          <w:rFonts w:ascii="宋体" w:cs="微软雅黑" w:hint="eastAsia"/>
          <w:bCs/>
          <w:sz w:val="24"/>
        </w:rPr>
      </w:pPr>
      <w:r>
        <w:rPr>
          <w:rFonts w:ascii="宋体" w:cs="微软雅黑" w:hint="eastAsia"/>
          <w:bCs/>
          <w:sz w:val="24"/>
        </w:rPr>
        <w:t>3</w:t>
      </w:r>
      <w:r>
        <w:rPr>
          <w:rFonts w:ascii="宋体" w:cs="微软雅黑" w:hint="eastAsia"/>
          <w:bCs/>
        </w:rPr>
        <w:t>5</w:t>
      </w:r>
      <w:r>
        <w:rPr>
          <w:rFonts w:ascii="宋体" w:cs="微软雅黑" w:hint="eastAsia"/>
          <w:bCs/>
          <w:sz w:val="24"/>
        </w:rPr>
        <w:t>.5采购人、采购机构应当在收到质疑函后7个工作日内作出答复，并通过海关智慧政采综合管理平台等书面形式通知质疑供应商和其他相关当事人。</w:t>
      </w:r>
    </w:p>
    <w:p>
      <w:pPr>
        <w:pStyle w:val="834"/>
        <w:spacing w:line="360" w:lineRule="auto"/>
        <w:ind w:left="8" w:hanging="15" w:firstLineChars="0"/>
        <w:jc w:val="both"/>
        <w:textAlignment w:val="auto"/>
        <w:rPr>
          <w:rFonts w:ascii="宋体" w:cs="微软雅黑" w:hint="eastAsia"/>
          <w:bCs/>
          <w:color w:val="auto"/>
          <w:kern w:val="2"/>
          <w:szCs w:val="24"/>
        </w:rPr>
      </w:pPr>
      <w:r>
        <w:rPr>
          <w:rFonts w:ascii="宋体" w:cs="微软雅黑" w:hint="eastAsia"/>
          <w:bCs/>
          <w:color w:val="auto"/>
          <w:kern w:val="2"/>
          <w:szCs w:val="24"/>
        </w:rPr>
        <w:t>35.6投标人或潜在投标人以质疑函形式提交，但无具体、明确质疑事项，实质内容为询问的，</w:t>
      </w:r>
      <w:r>
        <w:rPr>
          <w:rFonts w:ascii="宋体" w:cs="微软雅黑" w:hint="eastAsia"/>
          <w:color w:val="auto"/>
          <w:kern w:val="2"/>
          <w:szCs w:val="24"/>
        </w:rPr>
        <w:t>采购机构</w:t>
      </w:r>
      <w:r>
        <w:rPr>
          <w:rFonts w:ascii="宋体" w:cs="微软雅黑" w:hint="eastAsia"/>
          <w:bCs/>
          <w:color w:val="auto"/>
          <w:kern w:val="2"/>
          <w:szCs w:val="24"/>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rPr>
      </w:pPr>
      <w:r>
        <w:rPr>
          <w:rFonts w:ascii="宋体" w:hint="eastAsia"/>
          <w:b/>
          <w:bCs/>
          <w:kern w:val="0"/>
          <w:sz w:val="24"/>
        </w:rPr>
        <w:t>36.投诉</w:t>
      </w:r>
    </w:p>
    <w:p>
      <w:pPr>
        <w:pStyle w:val="834"/>
        <w:spacing w:line="360" w:lineRule="auto"/>
        <w:ind w:left="8" w:hanging="15" w:firstLineChars="0"/>
        <w:jc w:val="both"/>
        <w:textAlignment w:val="auto"/>
        <w:rPr>
          <w:rFonts w:ascii="宋体" w:cs="微软雅黑" w:hint="eastAsia"/>
          <w:bCs/>
          <w:color w:val="auto"/>
          <w:kern w:val="2"/>
          <w:szCs w:val="24"/>
          <w:highlight w:val="yellow"/>
        </w:rPr>
      </w:pPr>
      <w:r>
        <w:rPr>
          <w:rFonts w:ascii="宋体" w:cs="微软雅黑" w:hint="eastAsia"/>
          <w:bCs/>
          <w:color w:val="auto"/>
          <w:kern w:val="2"/>
          <w:szCs w:val="24"/>
        </w:rPr>
        <w:t>质疑供应商对采购人、采购机构的答复不满意，或者采购人、采购机构未在规定时间内作出答复的，可以在答复期满后15个工作日内依法向相关财政部门提起投诉。</w:t>
      </w:r>
    </w:p>
    <w:p>
      <w:pPr>
        <w:pStyle w:val="Heading1"/>
        <w:rPr>
          <w:rFonts w:hint="eastAsia"/>
        </w:rPr>
      </w:pPr>
      <w:bookmarkStart w:id="30" w:name="_Toc65406665"/>
      <w:r>
        <w:rPr>
          <w:rFonts w:hint="eastAsia"/>
        </w:rPr>
        <w:t>第三部分  项目需求书</w:t>
      </w:r>
      <w:bookmarkEnd w:id="30"/>
    </w:p>
    <w:p>
      <w:pPr>
        <w:rPr>
          <w:highlight w:val="white"/>
        </w:rPr>
      </w:pPr>
    </w:p>
    <w:p>
      <w:pPr>
        <w:rPr>
          <w:highlight w:val="white"/>
        </w:rPr>
      </w:pPr>
    </w:p>
    <w:p>
      <w:pPr>
        <w:spacing w:line="360" w:lineRule="auto"/>
      </w:pPr>
      <w:r>
        <w:rPr>
          <w:rFonts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spacing w:line="360" w:lineRule="auto"/>
        <w:rPr>
          <w:b/>
          <w:bCs/>
        </w:rPr>
      </w:pPr>
      <w:r>
        <w:rPr>
          <w:rFonts w:cs="微软雅黑" w:hint="eastAsia"/>
          <w:b/>
          <w:bCs/>
        </w:rPr>
        <w:t>提交投标文件时，须注明需提供证明材料或承诺函等材料项所在位置（页码）。</w:t>
      </w:r>
    </w:p>
    <w:p>
      <w:pPr>
        <w:pStyle w:val="TOC7"/>
        <w:numPr>
          <w:ilvl w:val="0"/>
          <w:numId w:val="2"/>
        </w:numPr>
        <w:rPr>
          <w:rFonts w:ascii="宋体" w:hAnsi="宋体" w:hint="eastAsia"/>
        </w:rPr>
      </w:pPr>
      <w:bookmarkStart w:id="31" w:name="采购政策落实"/>
      <w:r>
        <w:rPr>
          <w:rFonts w:ascii="宋体" w:hAnsi="宋体"/>
        </w:rPr>
        <w:t>承诺项</w:t>
      </w:r>
    </w:p>
    <w:p>
      <w:pPr>
        <w:spacing w:line="360" w:lineRule="auto"/>
      </w:pPr>
      <w:r>
        <w:rPr>
          <w:rFonts w:cs="宋体"/>
        </w:rPr>
        <w:t>1.</w:t>
      </w:r>
      <w:r>
        <w:rPr>
          <w:rFonts w:cs="宋体" w:hint="eastAsia"/>
        </w:rPr>
        <w:t>行业类型：</w:t>
      </w:r>
      <w:bookmarkStart w:id="32" w:name="公告_industryType"/>
      <w:r>
        <w:rPr>
          <w:rFonts w:cs="宋体" w:hint="eastAsia"/>
          <w:u w:val="single"/>
        </w:rPr>
        <w:t>软件和信息技术服务业</w:t>
      </w:r>
      <w:bookmarkEnd w:id="32"/>
    </w:p>
    <w:p>
      <w:pPr>
        <w:spacing w:line="360" w:lineRule="auto"/>
        <w:rPr>
          <w:rFonts w:cs="方正仿宋_GBK"/>
        </w:rPr>
      </w:pPr>
      <w:r>
        <w:rPr>
          <w:rFonts w:cs="方正仿宋_GBK" w:hint="eastAsia"/>
        </w:rPr>
        <w:t>2.项目立项审核</w:t>
      </w:r>
      <w:r>
        <w:rPr>
          <w:rFonts w:cs="方正仿宋_GBK"/>
        </w:rPr>
        <w:t>情况</w:t>
      </w:r>
    </w:p>
    <w:p>
      <w:pPr>
        <w:spacing w:line="360" w:lineRule="auto"/>
        <w:rPr>
          <w:rFonts w:cs="方正仿宋_GBK"/>
        </w:rPr>
      </w:pPr>
      <w:r>
        <w:rPr>
          <w:rFonts w:cs="方正仿宋_GBK"/>
        </w:rPr>
        <w:t>本项目属于新建、改建或者采用购买服务方式的政务应用程序项目。如果否，请删除以下内容。如果是，请对应勾选以下内容：</w:t>
      </w:r>
    </w:p>
    <w:p>
      <w:pPr>
        <w:spacing w:line="360" w:lineRule="auto"/>
        <w:rPr>
          <w:rFonts w:cs="方正仿宋_GBK"/>
        </w:rPr>
      </w:pPr>
      <w:r>
        <w:rPr>
          <w:rFonts w:cs="方正仿宋_GBK"/>
        </w:rPr>
        <w:t>（1）是否纳入信息化项目审批范围。</w:t>
      </w:r>
      <w:r>
        <w:rPr>
          <w:rFonts w:cs="方正仿宋_GBK" w:hint="eastAsia"/>
        </w:rPr>
        <w:t>☑</w:t>
      </w:r>
      <w:r>
        <w:rPr>
          <w:rFonts w:cs="方正仿宋_GBK"/>
        </w:rPr>
        <w:t xml:space="preserve">是  </w:t>
      </w:r>
      <w:r>
        <w:rPr>
          <w:rFonts w:cs="方正仿宋_GBK" w:hint="eastAsia"/>
        </w:rPr>
        <w:t>□</w:t>
      </w:r>
      <w:r>
        <w:rPr>
          <w:rFonts w:cs="方正仿宋_GBK"/>
        </w:rPr>
        <w:t>否</w:t>
      </w:r>
    </w:p>
    <w:p>
      <w:pPr>
        <w:pStyle w:val="ListNumber2"/>
        <w:tabs>
          <w:tab w:val="left" w:pos="0"/>
          <w:tab w:val="left" w:pos="360"/>
        </w:tabs>
        <w:rPr>
          <w:rFonts w:ascii="宋体" w:cs="方正仿宋_GBK"/>
        </w:rPr>
      </w:pPr>
      <w:r>
        <w:rPr>
          <w:rFonts w:ascii="宋体" w:cs="方正仿宋_GBK" w:hint="eastAsia"/>
        </w:rPr>
        <w:t>（</w:t>
      </w:r>
      <w:r>
        <w:rPr>
          <w:rFonts w:ascii="宋体" w:cs="方正仿宋_GBK"/>
        </w:rPr>
        <w:t>2</w:t>
      </w:r>
      <w:r>
        <w:rPr>
          <w:rFonts w:ascii="宋体" w:cs="方正仿宋_GBK" w:hint="eastAsia"/>
        </w:rPr>
        <w:t>）</w:t>
      </w:r>
      <w:r>
        <w:rPr>
          <w:rFonts w:ascii="宋体" w:cs="方正仿宋_GBK"/>
        </w:rPr>
        <w:t>是否符合信息化数字化规划。</w:t>
      </w:r>
      <w:r>
        <w:rPr>
          <w:rFonts w:ascii="Wingdings 2" w:hAnsi="Wingdings 2" w:cs="方正仿宋_GBK"/>
        </w:rPr>
        <w:sym w:font="Wingdings 2" w:char="F052"/>
      </w:r>
      <w:r>
        <w:rPr>
          <w:rFonts w:ascii="宋体" w:cs="方正仿宋_GBK"/>
        </w:rPr>
        <w:t xml:space="preserve">是  </w:t>
      </w:r>
      <w:r>
        <w:rPr>
          <w:rFonts w:ascii="宋体" w:cs="方正仿宋_GBK" w:hint="eastAsia"/>
        </w:rPr>
        <w:t>□</w:t>
      </w:r>
      <w:r>
        <w:rPr>
          <w:rFonts w:ascii="宋体" w:cs="方正仿宋_GBK"/>
        </w:rPr>
        <w:t>不涉及</w:t>
      </w:r>
    </w:p>
    <w:p>
      <w:pPr>
        <w:pStyle w:val="ListNumber"/>
        <w:rPr>
          <w:rFonts w:ascii="宋体" w:cs="方正仿宋_GBK"/>
        </w:rPr>
      </w:pPr>
      <w:r>
        <w:rPr>
          <w:rFonts w:ascii="宋体" w:cs="方正仿宋_GBK"/>
        </w:rPr>
        <w:t>（3）是否与已有政务应用程序存在功能交叉重复。</w:t>
      </w:r>
      <w:r>
        <w:rPr>
          <w:rFonts w:ascii="Wingdings 2" w:hAnsi="Wingdings 2" w:cs="方正仿宋_GBK"/>
        </w:rPr>
        <w:sym w:font="Wingdings 2" w:char="F0A3"/>
      </w:r>
      <w:r>
        <w:rPr>
          <w:rFonts w:ascii="宋体" w:cs="方正仿宋_GBK"/>
        </w:rPr>
        <w:t xml:space="preserve">是  </w:t>
      </w:r>
      <w:r>
        <w:rPr>
          <w:rFonts w:ascii="宋体" w:cs="方正仿宋_GBK" w:hint="eastAsia"/>
        </w:rPr>
        <w:t>☑</w:t>
      </w:r>
      <w:r>
        <w:rPr>
          <w:rFonts w:ascii="宋体" w:cs="方正仿宋_GBK"/>
        </w:rPr>
        <w:t>否</w:t>
      </w:r>
    </w:p>
    <w:p>
      <w:pPr>
        <w:pStyle w:val="Index8"/>
        <w:rPr>
          <w:rFonts w:ascii="宋体" w:cs="方正仿宋_GBK"/>
        </w:rPr>
      </w:pPr>
      <w:r>
        <w:rPr>
          <w:rFonts w:ascii="宋体" w:cs="方正仿宋_GBK"/>
        </w:rPr>
        <w:t>（4）是否能作为功能模块嵌入到已有政务应用程序。</w:t>
      </w:r>
      <w:r>
        <w:rPr>
          <w:rFonts w:ascii="Wingdings 2" w:hAnsi="Wingdings 2" w:cs="方正仿宋_GBK"/>
        </w:rPr>
        <w:sym w:font="Wingdings 2" w:char="F0A3"/>
      </w:r>
      <w:r>
        <w:rPr>
          <w:rFonts w:ascii="宋体" w:cs="方正仿宋_GBK"/>
        </w:rPr>
        <w:t xml:space="preserve">是  </w:t>
      </w:r>
      <w:r>
        <w:rPr>
          <w:rFonts w:ascii="宋体" w:cs="方正仿宋_GBK" w:hint="eastAsia"/>
        </w:rPr>
        <w:t>☑</w:t>
      </w:r>
      <w:r>
        <w:rPr>
          <w:rFonts w:ascii="宋体" w:cs="方正仿宋_GBK"/>
        </w:rPr>
        <w:t>不涉及</w:t>
      </w:r>
    </w:p>
    <w:p>
      <w:pPr>
        <w:pStyle w:val="E-mailSignature"/>
        <w:rPr>
          <w:rFonts w:ascii="宋体" w:cs="方正仿宋_GBK"/>
        </w:rPr>
      </w:pPr>
      <w:r>
        <w:rPr>
          <w:rFonts w:ascii="宋体" w:cs="方正仿宋_GBK"/>
        </w:rPr>
        <w:t>（5）是否能与相关政务应用程序项目进行协同。</w:t>
      </w:r>
      <w:r>
        <w:rPr>
          <w:rFonts w:ascii="Wingdings 2" w:hAnsi="Wingdings 2" w:cs="方正仿宋_GBK"/>
        </w:rPr>
        <w:sym w:font="Wingdings 2" w:char="F052"/>
      </w:r>
      <w:r>
        <w:rPr>
          <w:rFonts w:ascii="宋体" w:cs="方正仿宋_GBK"/>
        </w:rPr>
        <w:t xml:space="preserve">是  </w:t>
      </w:r>
      <w:r>
        <w:rPr>
          <w:rFonts w:ascii="宋体" w:cs="方正仿宋_GBK" w:hint="eastAsia"/>
        </w:rPr>
        <w:t>□</w:t>
      </w:r>
      <w:r>
        <w:rPr>
          <w:rFonts w:ascii="宋体" w:cs="方正仿宋_GBK"/>
        </w:rPr>
        <w:t>否</w:t>
      </w:r>
    </w:p>
    <w:p>
      <w:pPr>
        <w:pStyle w:val="NormalIndent"/>
        <w:rPr>
          <w:rFonts w:ascii="宋体" w:cs="方正仿宋_GBK"/>
        </w:rPr>
      </w:pPr>
      <w:r>
        <w:rPr>
          <w:rFonts w:ascii="宋体" w:cs="方正仿宋_GBK"/>
        </w:rPr>
        <w:t>（6）是否满足数据管理和共享要求。</w:t>
      </w:r>
      <w:r>
        <w:rPr>
          <w:rFonts w:ascii="Wingdings 2" w:hAnsi="Wingdings 2" w:cs="方正仿宋_GBK"/>
        </w:rPr>
        <w:sym w:font="Wingdings 2" w:char="F0A3"/>
      </w:r>
      <w:r>
        <w:rPr>
          <w:rFonts w:ascii="宋体" w:cs="方正仿宋_GBK"/>
        </w:rPr>
        <w:t xml:space="preserve">是  </w:t>
      </w:r>
      <w:r>
        <w:rPr>
          <w:rFonts w:ascii="宋体" w:cs="方正仿宋_GBK" w:hint="eastAsia"/>
        </w:rPr>
        <w:t>□</w:t>
      </w:r>
      <w:r>
        <w:rPr>
          <w:rFonts w:ascii="宋体" w:cs="方正仿宋_GBK"/>
        </w:rPr>
        <w:t>否</w:t>
      </w:r>
    </w:p>
    <w:p>
      <w:pPr>
        <w:pStyle w:val="TOC7"/>
        <w:numPr>
          <w:ilvl w:val="0"/>
          <w:numId w:val="2"/>
        </w:numPr>
        <w:rPr>
          <w:rFonts w:ascii="宋体" w:hAnsi="宋体" w:hint="eastAsia"/>
        </w:rPr>
      </w:pPr>
      <w:r>
        <w:rPr>
          <w:rFonts w:ascii="宋体" w:hAnsi="宋体" w:hint="eastAsia"/>
        </w:rPr>
        <w:t>采购政策落实</w:t>
      </w:r>
      <w:bookmarkEnd w:id="31"/>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Caption"/>
              <w:jc w:val="center"/>
              <w:rPr>
                <w:rFonts w:ascii="宋体" w:hAnsi="宋体" w:cs="Calibri"/>
                <w:b/>
              </w:rPr>
            </w:pPr>
            <w:bookmarkStart w:id="33" w:name="采购政策落实_index"/>
            <w:bookmarkStart w:id="34" w:name="商务需求"/>
            <w:bookmarkEnd w:id="33"/>
            <w:r>
              <w:rPr>
                <w:rFonts w:ascii="宋体" w:hAns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ListBullet"/>
              <w:tabs>
                <w:tab w:val="left" w:pos="360"/>
              </w:tabs>
              <w:jc w:val="center"/>
              <w:rPr>
                <w:rFonts w:cs="Calibri"/>
                <w:b/>
              </w:rPr>
            </w:pPr>
            <w:r>
              <w:rPr>
                <w:rFonts w:cs="Calibri"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EnvelopeAddress"/>
              <w:jc w:val="center"/>
              <w:rPr>
                <w:rFonts w:ascii="宋体" w:hAnsi="宋体" w:cs="Calibri"/>
                <w:b/>
              </w:rPr>
            </w:pPr>
            <w:r>
              <w:rPr>
                <w:rFonts w:ascii="宋体" w:hAnsi="宋体" w:cs="Calibri" w:hint="eastAsia"/>
                <w:b/>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7"/>
              <w:jc w:val="center"/>
              <w:rPr>
                <w:rFonts w:ascii="宋体" w:hAnsi="宋体" w:cs="Calibri"/>
              </w:rPr>
            </w:pPr>
            <w:r>
              <w:rPr>
                <w:rFonts w:ascii="宋体" w:hAns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DocumentMap"/>
              <w:rPr>
                <w:rFonts w:ascii="宋体" w:hAnsi="宋体"/>
                <w:szCs w:val="21"/>
              </w:rPr>
            </w:pPr>
            <w:r>
              <w:rPr>
                <w:rFonts w:ascii="宋体" w:hAns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xl27"/>
              <w:jc w:val="left"/>
              <w:rPr>
                <w:rFonts w:ascii="宋体" w:hAnsi="宋体"/>
                <w:szCs w:val="21"/>
              </w:rPr>
            </w:pPr>
            <w:r>
              <w:rPr>
                <w:rFonts w:ascii="宋体" w:hAns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CommentText"/>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Index6"/>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BodyText3"/>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Closing"/>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BodyText"/>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BodyTextIndent"/>
              <w:rPr>
                <w:rFonts w:cs="Calibri"/>
                <w:b/>
                <w:i/>
                <w:iCs/>
              </w:rPr>
            </w:pPr>
            <w:r>
              <w:rPr>
                <w:rFonts w:hint="eastAsia"/>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List2"/>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ListContinue"/>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1"/>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BlockText"/>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ListBullet2"/>
              <w:tabs>
                <w:tab w:val="left" w:pos="600"/>
              </w:tabs>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HTMLAddress"/>
              <w:rPr>
                <w:rFonts w:ascii="宋体"/>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TOC5"/>
              <w:jc w:val="center"/>
              <w:rPr>
                <w:rFonts w:ascii="宋体" w:hAnsi="宋体" w:cs="Calibri"/>
              </w:rPr>
            </w:pPr>
            <w:r>
              <w:rPr>
                <w:rFonts w:ascii="宋体" w:hAns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TOC3"/>
              <w:rPr>
                <w:rFonts w:ascii="宋体" w:hAnsi="宋体"/>
                <w:szCs w:val="21"/>
              </w:rPr>
            </w:pPr>
            <w:r>
              <w:rPr>
                <w:rFonts w:ascii="宋体" w:hAns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PlainText"/>
            </w:pPr>
            <w:r>
              <w:rPr>
                <w:rFonts w:hint="eastAsia"/>
              </w:rPr>
              <w:t>是，提供《残疾人福利性单位声明函》并加盖单位公章</w:t>
            </w:r>
          </w:p>
        </w:tc>
      </w:tr>
    </w:tbl>
    <w:p/>
    <w:p>
      <w:pPr>
        <w:rPr>
          <w:color w:val="000000"/>
        </w:rPr>
      </w:pPr>
      <w:r>
        <w:rPr>
          <w:rFonts w:hint="eastAsia"/>
          <w:color w:val="000000"/>
        </w:rPr>
        <w:t>注：本项目专门面向中小微企业、监狱企业、残疾人企业。</w:t>
      </w:r>
    </w:p>
    <w:p>
      <w:pPr>
        <w:pStyle w:val="TOC7"/>
        <w:numPr>
          <w:ilvl w:val="0"/>
          <w:numId w:val="2"/>
        </w:numPr>
        <w:jc w:val="both"/>
        <w:rPr>
          <w:rFonts w:ascii="宋体" w:hAnsi="宋体" w:hint="eastAsia"/>
        </w:rPr>
      </w:pPr>
      <w:r>
        <w:rPr>
          <w:rFonts w:ascii="宋体" w:hAnsi="宋体" w:hint="eastAsia"/>
        </w:rPr>
        <w:t>商务需求</w:t>
      </w:r>
      <w:bookmarkEnd w:id="34"/>
    </w:p>
    <w:tbl>
      <w:tblPr>
        <w:tblW w:w="898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57"/>
        <w:gridCol w:w="1763"/>
        <w:gridCol w:w="6568"/>
      </w:tblGrid>
      <w:tr>
        <w:tblPrEx>
          <w:tblW w:w="898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657" w:type="dxa"/>
            <w:shd w:val="clear" w:color="A6A6A6" w:fill="A6A6A6"/>
            <w:vAlign w:val="center"/>
          </w:tcPr>
          <w:p>
            <w:pPr>
              <w:jc w:val="center"/>
              <w:rPr>
                <w:rFonts w:cs="Calibri"/>
                <w:b/>
              </w:rPr>
            </w:pPr>
            <w:bookmarkStart w:id="35" w:name="项目概述"/>
            <w:r>
              <w:rPr>
                <w:rFonts w:cs="Calibri" w:hint="eastAsia"/>
                <w:b/>
              </w:rPr>
              <w:t>序号</w:t>
            </w:r>
          </w:p>
        </w:tc>
        <w:tc>
          <w:tcPr>
            <w:tcW w:w="1763" w:type="dxa"/>
            <w:shd w:val="clear" w:color="A6A6A6" w:fill="A6A6A6"/>
            <w:vAlign w:val="center"/>
          </w:tcPr>
          <w:p>
            <w:pPr>
              <w:jc w:val="center"/>
              <w:rPr>
                <w:rFonts w:cs="Calibri"/>
                <w:b/>
              </w:rPr>
            </w:pPr>
            <w:r>
              <w:rPr>
                <w:rFonts w:cs="Calibri" w:hint="eastAsia"/>
                <w:b/>
              </w:rPr>
              <w:t>内容</w:t>
            </w:r>
          </w:p>
        </w:tc>
        <w:tc>
          <w:tcPr>
            <w:tcW w:w="6568" w:type="dxa"/>
            <w:shd w:val="clear" w:color="A6A6A6" w:fill="A6A6A6"/>
            <w:vAlign w:val="center"/>
          </w:tcPr>
          <w:p>
            <w:pPr>
              <w:jc w:val="center"/>
              <w:rPr>
                <w:rFonts w:cs="Calibri"/>
                <w:b/>
              </w:rPr>
            </w:pPr>
            <w:r>
              <w:rPr>
                <w:rFonts w:cs="Calibri" w:hint="eastAsia"/>
                <w:b/>
              </w:rPr>
              <w:t>说明</w:t>
            </w:r>
          </w:p>
        </w:tc>
      </w:tr>
      <w:tr>
        <w:tblPrEx>
          <w:tblW w:w="8988" w:type="dxa"/>
          <w:jc w:val="left"/>
          <w:tblInd w:w="0" w:type="dxa"/>
          <w:tblLayout w:type="fixed"/>
          <w:tblCellMar>
            <w:top w:w="0" w:type="dxa"/>
            <w:left w:w="108" w:type="dxa"/>
            <w:bottom w:w="0" w:type="dxa"/>
            <w:right w:w="108" w:type="dxa"/>
          </w:tblCellMar>
        </w:tblPrEx>
        <w:trPr>
          <w:trHeight w:val="470"/>
          <w:jc w:val="left"/>
        </w:trPr>
        <w:tc>
          <w:tcPr>
            <w:tcW w:w="657" w:type="dxa"/>
            <w:vMerge w:val="restart"/>
            <w:vAlign w:val="center"/>
          </w:tcPr>
          <w:p>
            <w:pPr>
              <w:jc w:val="center"/>
              <w:rPr>
                <w:rFonts w:cs="Calibri"/>
                <w:bCs/>
              </w:rPr>
            </w:pPr>
            <w:r>
              <w:rPr>
                <w:rFonts w:cs="Calibri" w:hint="eastAsia"/>
                <w:bCs/>
              </w:rPr>
              <w:t>1</w:t>
            </w:r>
          </w:p>
        </w:tc>
        <w:tc>
          <w:tcPr>
            <w:tcW w:w="1763" w:type="dxa"/>
            <w:vMerge w:val="restart"/>
            <w:tcBorders>
              <w:top w:val="single" w:sz="4" w:space="0" w:color="auto"/>
              <w:left w:val="single" w:sz="4" w:space="0" w:color="auto"/>
              <w:right w:val="single" w:sz="4" w:space="0" w:color="auto"/>
            </w:tcBorders>
            <w:vAlign w:val="center"/>
          </w:tcPr>
          <w:p>
            <w:pPr>
              <w:rPr>
                <w:rFonts w:cs="Calibri"/>
                <w:b/>
              </w:rPr>
            </w:pPr>
            <w:r>
              <w:rPr>
                <w:rFonts w:cs="Calibri" w:hint="eastAsia"/>
                <w:b/>
              </w:rPr>
              <w:t>投标人资质</w:t>
            </w:r>
          </w:p>
        </w:tc>
        <w:tc>
          <w:tcPr>
            <w:tcW w:w="6568" w:type="dxa"/>
            <w:vAlign w:val="center"/>
          </w:tcPr>
          <w:p>
            <w:pPr>
              <w:pStyle w:val="ListBullet5"/>
              <w:numPr>
                <w:ilvl w:val="0"/>
                <w:numId w:val="3"/>
              </w:numPr>
              <w:tabs>
                <w:tab w:val="left" w:pos="2040"/>
              </w:tabs>
              <w:spacing w:line="360" w:lineRule="auto"/>
              <w:rPr>
                <w:rFonts w:cs="宋体"/>
                <w:lang w:bidi="en-US"/>
              </w:rPr>
            </w:pPr>
            <w:r>
              <w:rPr>
                <w:rFonts w:cs="宋体" w:hint="eastAsia"/>
                <w:lang w:bidi="en-US"/>
              </w:rPr>
              <w:t>投标人资格条件</w:t>
            </w:r>
            <w:r>
              <w:rPr>
                <w:rFonts w:cs="宋体" w:hint="eastAsia"/>
              </w:rPr>
              <w:t>详见招标公告</w:t>
            </w:r>
            <w:r>
              <w:rPr>
                <w:rFonts w:cs="宋体" w:hint="eastAsia"/>
                <w:lang w:bidi="en-US"/>
              </w:rPr>
              <w:t>。</w:t>
            </w:r>
          </w:p>
          <w:p>
            <w:pPr>
              <w:pStyle w:val="ListBullet5"/>
              <w:numPr>
                <w:ilvl w:val="0"/>
                <w:numId w:val="3"/>
              </w:numPr>
              <w:tabs>
                <w:tab w:val="left" w:pos="2040"/>
              </w:tabs>
              <w:spacing w:line="360" w:lineRule="auto"/>
              <w:rPr>
                <w:rFonts w:cs="宋体"/>
                <w:lang w:bidi="en-US"/>
              </w:rPr>
            </w:pPr>
            <w:r>
              <w:rPr>
                <w:rFonts w:cs="宋体" w:hint="eastAsia"/>
                <w:lang w:bidi="en-US"/>
              </w:rPr>
              <w:t>本项目不接受联合体投标。</w:t>
            </w:r>
          </w:p>
        </w:tc>
      </w:tr>
      <w:tr>
        <w:tblPrEx>
          <w:tblW w:w="8988" w:type="dxa"/>
          <w:jc w:val="left"/>
          <w:tblInd w:w="0" w:type="dxa"/>
          <w:tblLayout w:type="fixed"/>
          <w:tblCellMar>
            <w:top w:w="0" w:type="dxa"/>
            <w:left w:w="108" w:type="dxa"/>
            <w:bottom w:w="0" w:type="dxa"/>
            <w:right w:w="108" w:type="dxa"/>
          </w:tblCellMar>
        </w:tblPrEx>
        <w:trPr>
          <w:trHeight w:val="470"/>
          <w:jc w:val="left"/>
        </w:trPr>
        <w:tc>
          <w:tcPr>
            <w:tcW w:w="657" w:type="dxa"/>
            <w:vMerge/>
            <w:vAlign w:val="center"/>
          </w:tcPr>
          <w:p/>
        </w:tc>
        <w:tc>
          <w:tcPr>
            <w:tcW w:w="1763" w:type="dxa"/>
            <w:vMerge/>
            <w:tcBorders>
              <w:top w:val="single" w:sz="4" w:space="0" w:color="auto"/>
              <w:left w:val="single" w:sz="4" w:space="0" w:color="auto"/>
              <w:right w:val="single" w:sz="4" w:space="0" w:color="auto"/>
            </w:tcBorders>
            <w:vAlign w:val="center"/>
          </w:tcPr>
          <w:p/>
        </w:tc>
        <w:tc>
          <w:tcPr>
            <w:tcW w:w="6568" w:type="dxa"/>
            <w:vAlign w:val="center"/>
          </w:tcPr>
          <w:p>
            <w:pPr>
              <w:spacing w:line="360" w:lineRule="auto"/>
              <w:rPr>
                <w:rFonts w:cs="宋体"/>
                <w:lang w:bidi="en-US"/>
              </w:rPr>
            </w:pPr>
            <w:r>
              <w:rPr>
                <w:rFonts w:cs="宋体" w:hint="eastAsia"/>
                <w:lang w:bidi="en-US"/>
              </w:rPr>
              <w:t>作为评审因素的资质证书等。</w:t>
            </w:r>
          </w:p>
          <w:p>
            <w:pPr>
              <w:numPr>
                <w:ilvl w:val="0"/>
                <w:numId w:val="4"/>
              </w:numPr>
              <w:spacing w:line="360" w:lineRule="auto"/>
              <w:rPr>
                <w:rFonts w:cs="宋体"/>
                <w:lang w:bidi="en-US"/>
              </w:rPr>
            </w:pPr>
            <w:r>
              <w:rPr>
                <w:rFonts w:cs="宋体" w:hint="eastAsia"/>
                <w:lang w:bidi="en-US"/>
              </w:rPr>
              <w:t>具有ISO27001信息安全管理体系认证证书。</w:t>
            </w:r>
          </w:p>
          <w:p>
            <w:pPr>
              <w:numPr>
                <w:ilvl w:val="0"/>
                <w:numId w:val="4"/>
              </w:numPr>
              <w:spacing w:line="360" w:lineRule="auto"/>
              <w:rPr>
                <w:rFonts w:cs="宋体"/>
                <w:lang w:bidi="en-US"/>
              </w:rPr>
            </w:pPr>
            <w:r>
              <w:rPr>
                <w:rFonts w:cs="宋体" w:hint="eastAsia"/>
                <w:lang w:bidi="en-US"/>
              </w:rPr>
              <w:t>具有ISO9001质量管理体系认证证书。</w:t>
            </w:r>
          </w:p>
          <w:p>
            <w:pPr>
              <w:numPr>
                <w:ilvl w:val="0"/>
                <w:numId w:val="4"/>
              </w:numPr>
              <w:spacing w:line="360" w:lineRule="auto"/>
              <w:rPr>
                <w:rFonts w:cs="宋体"/>
                <w:lang w:bidi="en-US"/>
              </w:rPr>
            </w:pPr>
            <w:r>
              <w:rPr>
                <w:rFonts w:cs="宋体" w:hint="eastAsia"/>
                <w:spacing w:val="-4"/>
              </w:rPr>
              <w:t>具有</w:t>
            </w:r>
            <w:r>
              <w:rPr>
                <w:rFonts w:cs="宋体" w:hint="eastAsia"/>
                <w:lang w:bidi="en-US"/>
              </w:rPr>
              <w:t>ISO</w:t>
            </w:r>
            <w:r>
              <w:rPr>
                <w:rFonts w:cs="宋体" w:hint="eastAsia"/>
                <w:spacing w:val="-4"/>
              </w:rPr>
              <w:t>20000信息技术服务体系认证证书。</w:t>
            </w:r>
          </w:p>
          <w:p>
            <w:pPr>
              <w:spacing w:line="360" w:lineRule="auto"/>
              <w:rPr>
                <w:rFonts w:cs="宋体"/>
                <w:lang w:bidi="en-US"/>
              </w:rPr>
            </w:pPr>
            <w:r>
              <w:rPr>
                <w:rFonts w:cs="宋体" w:hint="eastAsia"/>
              </w:rPr>
              <w:t>提供复印件，并加盖单位公章</w:t>
            </w:r>
          </w:p>
        </w:tc>
      </w:tr>
      <w:tr>
        <w:tblPrEx>
          <w:tblW w:w="8988" w:type="dxa"/>
          <w:jc w:val="left"/>
          <w:tblInd w:w="0" w:type="dxa"/>
          <w:tblLayout w:type="fixed"/>
          <w:tblCellMar>
            <w:top w:w="0" w:type="dxa"/>
            <w:left w:w="108" w:type="dxa"/>
            <w:bottom w:w="0" w:type="dxa"/>
            <w:right w:w="108" w:type="dxa"/>
          </w:tblCellMar>
        </w:tblPrEx>
        <w:trPr>
          <w:trHeight w:val="1020"/>
          <w:jc w:val="left"/>
        </w:trPr>
        <w:tc>
          <w:tcPr>
            <w:tcW w:w="657" w:type="dxa"/>
            <w:vAlign w:val="center"/>
          </w:tcPr>
          <w:p>
            <w:pPr>
              <w:jc w:val="center"/>
              <w:rPr>
                <w:rFonts w:cs="Calibri"/>
                <w:bCs/>
              </w:rPr>
            </w:pPr>
            <w:r>
              <w:rPr>
                <w:rFonts w:cs="Calibri" w:hint="eastAsia"/>
                <w:bCs/>
              </w:rPr>
              <w:t>2</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hint="eastAsia"/>
                <w:b/>
              </w:rPr>
              <w:t>投标产品资质</w:t>
            </w:r>
          </w:p>
        </w:tc>
        <w:tc>
          <w:tcPr>
            <w:tcW w:w="6568" w:type="dxa"/>
            <w:vAlign w:val="center"/>
          </w:tcPr>
          <w:p>
            <w:pPr>
              <w:rPr>
                <w:rFonts w:cs="Calibri"/>
                <w:lang w:bidi="en-US"/>
              </w:rPr>
            </w:pPr>
            <w:r>
              <w:rPr>
                <w:rFonts w:cs="宋体" w:hint="eastAsia"/>
                <w:lang w:bidi="en-US"/>
              </w:rPr>
              <w:t>无</w:t>
            </w:r>
          </w:p>
        </w:tc>
      </w:tr>
      <w:tr>
        <w:tblPrEx>
          <w:tblW w:w="8988" w:type="dxa"/>
          <w:jc w:val="left"/>
          <w:tblInd w:w="0" w:type="dxa"/>
          <w:tblLayout w:type="fixed"/>
          <w:tblCellMar>
            <w:top w:w="0" w:type="dxa"/>
            <w:left w:w="108" w:type="dxa"/>
            <w:bottom w:w="0" w:type="dxa"/>
            <w:right w:w="108" w:type="dxa"/>
          </w:tblCellMar>
        </w:tblPrEx>
        <w:trPr>
          <w:trHeight w:val="1020"/>
          <w:jc w:val="left"/>
        </w:trPr>
        <w:tc>
          <w:tcPr>
            <w:tcW w:w="657" w:type="dxa"/>
            <w:vAlign w:val="center"/>
          </w:tcPr>
          <w:p>
            <w:pPr>
              <w:jc w:val="center"/>
              <w:rPr>
                <w:rFonts w:cs="Calibri"/>
                <w:bCs/>
              </w:rPr>
            </w:pPr>
            <w:r>
              <w:rPr>
                <w:rFonts w:cs="Calibri" w:hint="eastAsia"/>
                <w:bCs/>
              </w:rPr>
              <w:t>3</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hint="eastAsia"/>
                <w:b/>
              </w:rPr>
              <w:t>核心产品</w:t>
            </w:r>
          </w:p>
        </w:tc>
        <w:tc>
          <w:tcPr>
            <w:tcW w:w="6568" w:type="dxa"/>
            <w:vAlign w:val="center"/>
          </w:tcPr>
          <w:p>
            <w:pPr>
              <w:rPr>
                <w:rFonts w:cs="Calibri"/>
                <w:lang w:bidi="en-US"/>
              </w:rPr>
            </w:pPr>
            <w:r>
              <w:rPr>
                <w:rFonts w:cs="宋体" w:hint="eastAsia"/>
                <w:lang w:bidi="en-US"/>
              </w:rPr>
              <w:t>无</w:t>
            </w:r>
          </w:p>
        </w:tc>
      </w:tr>
      <w:tr>
        <w:tblPrEx>
          <w:tblW w:w="8988" w:type="dxa"/>
          <w:jc w:val="left"/>
          <w:tblInd w:w="0" w:type="dxa"/>
          <w:tblLayout w:type="fixed"/>
          <w:tblCellMar>
            <w:top w:w="0" w:type="dxa"/>
            <w:left w:w="108" w:type="dxa"/>
            <w:bottom w:w="0" w:type="dxa"/>
            <w:right w:w="108" w:type="dxa"/>
          </w:tblCellMar>
        </w:tblPrEx>
        <w:trPr>
          <w:trHeight w:val="1020"/>
          <w:jc w:val="left"/>
        </w:trPr>
        <w:tc>
          <w:tcPr>
            <w:tcW w:w="657" w:type="dxa"/>
            <w:vAlign w:val="center"/>
          </w:tcPr>
          <w:p>
            <w:pPr>
              <w:jc w:val="center"/>
              <w:rPr>
                <w:rFonts w:cs="Calibri"/>
                <w:bCs/>
              </w:rPr>
            </w:pPr>
            <w:r>
              <w:rPr>
                <w:rFonts w:cs="Calibri"/>
                <w:bCs/>
              </w:rPr>
              <w:t>4</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hint="eastAsia"/>
                <w:b/>
              </w:rPr>
              <w:t>信息安全要求</w:t>
            </w:r>
          </w:p>
        </w:tc>
        <w:tc>
          <w:tcPr>
            <w:tcW w:w="6568" w:type="dxa"/>
            <w:vAlign w:val="center"/>
          </w:tcPr>
          <w:p>
            <w:pPr>
              <w:spacing w:line="360" w:lineRule="auto"/>
              <w:rPr>
                <w:rFonts w:cs="Calibri"/>
                <w:lang w:bidi="en-US"/>
              </w:rPr>
            </w:pPr>
            <w:r>
              <w:rPr>
                <w:rFonts w:cs="宋体" w:hint="eastAsia"/>
                <w:bCs/>
                <w:kern w:val="0"/>
                <w:lang w:bidi="en-US"/>
              </w:rPr>
              <w:t xml:space="preserve">★ </w:t>
            </w:r>
            <w:r>
              <w:rPr>
                <w:rFonts w:cs="宋体" w:hint="eastAsia"/>
                <w:iCs/>
                <w:snapToGrid w:val="0"/>
                <w:lang w:val="zh-CN"/>
              </w:rPr>
              <w:t>投标人须</w:t>
            </w:r>
            <w:r>
              <w:rPr>
                <w:rFonts w:cs="宋体" w:hint="eastAsia"/>
                <w:iCs/>
                <w:snapToGrid w:val="0"/>
              </w:rPr>
              <w:t>提供安全承诺书</w:t>
            </w:r>
            <w:r>
              <w:rPr>
                <w:rFonts w:cs="宋体" w:hint="eastAsia"/>
                <w:iCs/>
                <w:snapToGrid w:val="0"/>
                <w:lang w:val="zh-CN"/>
              </w:rPr>
              <w:t>。（承诺内容包括</w:t>
            </w:r>
            <w:r>
              <w:rPr>
                <w:rFonts w:cs="宋体" w:hint="eastAsia"/>
                <w:iCs/>
                <w:snapToGrid w:val="0"/>
              </w:rPr>
              <w:t>系统不存在后门，如发现漏洞及时修复，</w:t>
            </w:r>
            <w:r>
              <w:rPr>
                <w:rFonts w:cs="宋体" w:hint="eastAsia"/>
                <w:iCs/>
                <w:snapToGrid w:val="0"/>
                <w:lang w:val="zh-CN"/>
              </w:rPr>
              <w:t>项目人员不得向外泄露海关相关信息等）。</w:t>
            </w:r>
            <w:r>
              <w:rPr>
                <w:rFonts w:cs="宋体" w:hint="eastAsia"/>
              </w:rPr>
              <w:t>提供《承诺函》并加盖单位公章</w:t>
            </w:r>
          </w:p>
        </w:tc>
      </w:tr>
      <w:tr>
        <w:tblPrEx>
          <w:tblW w:w="8988" w:type="dxa"/>
          <w:jc w:val="left"/>
          <w:tblInd w:w="0" w:type="dxa"/>
          <w:tblLayout w:type="fixed"/>
          <w:tblCellMar>
            <w:top w:w="0" w:type="dxa"/>
            <w:left w:w="108" w:type="dxa"/>
            <w:bottom w:w="0" w:type="dxa"/>
            <w:right w:w="108" w:type="dxa"/>
          </w:tblCellMar>
        </w:tblPrEx>
        <w:trPr>
          <w:trHeight w:val="940"/>
          <w:jc w:val="left"/>
        </w:trPr>
        <w:tc>
          <w:tcPr>
            <w:tcW w:w="657" w:type="dxa"/>
            <w:vAlign w:val="center"/>
          </w:tcPr>
          <w:p>
            <w:pPr>
              <w:jc w:val="center"/>
              <w:rPr>
                <w:rFonts w:cs="Calibri"/>
                <w:bCs/>
              </w:rPr>
            </w:pPr>
            <w:r>
              <w:rPr>
                <w:rFonts w:cs="Calibri"/>
                <w:bCs/>
              </w:rPr>
              <w:t>5</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hint="eastAsia"/>
                <w:b/>
              </w:rPr>
              <w:t>是否需要现场考察</w:t>
            </w:r>
          </w:p>
        </w:tc>
        <w:tc>
          <w:tcPr>
            <w:tcW w:w="6568" w:type="dxa"/>
            <w:vAlign w:val="center"/>
          </w:tcPr>
          <w:p>
            <w:pPr>
              <w:spacing w:line="360" w:lineRule="auto"/>
              <w:rPr>
                <w:rFonts w:cs="Calibri"/>
                <w:lang w:bidi="en-US"/>
              </w:rPr>
            </w:pPr>
            <w:r>
              <w:rPr>
                <w:rFonts w:cs="宋体" w:hint="eastAsia"/>
                <w:lang w:bidi="en-US"/>
              </w:rPr>
              <w:t>无</w:t>
            </w:r>
          </w:p>
        </w:tc>
      </w:tr>
      <w:tr>
        <w:tblPrEx>
          <w:tblW w:w="8988" w:type="dxa"/>
          <w:jc w:val="left"/>
          <w:tblInd w:w="0" w:type="dxa"/>
          <w:tblLayout w:type="fixed"/>
          <w:tblCellMar>
            <w:top w:w="0" w:type="dxa"/>
            <w:left w:w="108" w:type="dxa"/>
            <w:bottom w:w="0" w:type="dxa"/>
            <w:right w:w="108" w:type="dxa"/>
          </w:tblCellMar>
        </w:tblPrEx>
        <w:trPr>
          <w:trHeight w:val="1020"/>
          <w:jc w:val="left"/>
        </w:trPr>
        <w:tc>
          <w:tcPr>
            <w:tcW w:w="657" w:type="dxa"/>
            <w:vAlign w:val="center"/>
          </w:tcPr>
          <w:p>
            <w:pPr>
              <w:jc w:val="center"/>
              <w:rPr>
                <w:rFonts w:cs="Calibri"/>
                <w:bCs/>
              </w:rPr>
            </w:pPr>
            <w:r>
              <w:rPr>
                <w:rFonts w:cs="Calibri"/>
                <w:bCs/>
              </w:rPr>
              <w:t>6</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hint="eastAsia"/>
                <w:b/>
              </w:rPr>
              <w:t>是否收取履约保证金</w:t>
            </w:r>
          </w:p>
        </w:tc>
        <w:tc>
          <w:tcPr>
            <w:tcW w:w="6568" w:type="dxa"/>
            <w:vAlign w:val="center"/>
          </w:tcPr>
          <w:p>
            <w:pPr>
              <w:spacing w:line="360" w:lineRule="auto"/>
              <w:rPr>
                <w:rFonts w:cs="Calibri"/>
                <w:lang w:bidi="en-US"/>
              </w:rPr>
            </w:pPr>
            <w:r>
              <w:rPr>
                <w:rFonts w:cs="宋体" w:hint="eastAsia"/>
                <w:bCs/>
                <w:kern w:val="0"/>
                <w:lang w:bidi="en-US"/>
              </w:rPr>
              <w:t>交付合同金额的</w:t>
            </w:r>
            <w:r>
              <w:rPr>
                <w:rFonts w:cs="宋体"/>
                <w:bCs/>
                <w:kern w:val="0"/>
                <w:lang w:bidi="en-US"/>
              </w:rPr>
              <w:t>5</w:t>
            </w:r>
            <w:r>
              <w:rPr>
                <w:rFonts w:cs="宋体" w:hint="eastAsia"/>
                <w:bCs/>
                <w:kern w:val="0"/>
                <w:lang w:bidi="en-US"/>
              </w:rPr>
              <w:t>%的履约保证金</w:t>
            </w:r>
          </w:p>
        </w:tc>
      </w:tr>
      <w:tr>
        <w:tblPrEx>
          <w:tblW w:w="8988" w:type="dxa"/>
          <w:jc w:val="left"/>
          <w:tblInd w:w="0" w:type="dxa"/>
          <w:tblLayout w:type="fixed"/>
          <w:tblCellMar>
            <w:top w:w="0" w:type="dxa"/>
            <w:left w:w="108" w:type="dxa"/>
            <w:bottom w:w="0" w:type="dxa"/>
            <w:right w:w="108" w:type="dxa"/>
          </w:tblCellMar>
        </w:tblPrEx>
        <w:trPr>
          <w:trHeight w:val="1019"/>
          <w:jc w:val="left"/>
        </w:trPr>
        <w:tc>
          <w:tcPr>
            <w:tcW w:w="657" w:type="dxa"/>
            <w:vAlign w:val="center"/>
          </w:tcPr>
          <w:p>
            <w:pPr>
              <w:jc w:val="center"/>
              <w:rPr>
                <w:rFonts w:cs="Calibri"/>
                <w:bCs/>
              </w:rPr>
            </w:pPr>
            <w:r>
              <w:rPr>
                <w:rFonts w:cs="Calibri"/>
                <w:bCs/>
              </w:rPr>
              <w:t>7</w:t>
            </w:r>
          </w:p>
        </w:tc>
        <w:tc>
          <w:tcPr>
            <w:tcW w:w="1763" w:type="dxa"/>
            <w:tcBorders>
              <w:top w:val="single" w:sz="4" w:space="0" w:color="auto"/>
              <w:left w:val="single" w:sz="4" w:space="0" w:color="auto"/>
              <w:right w:val="single" w:sz="4" w:space="0" w:color="auto"/>
            </w:tcBorders>
            <w:vAlign w:val="center"/>
          </w:tcPr>
          <w:p>
            <w:pPr>
              <w:rPr>
                <w:rFonts w:cs="Calibri"/>
                <w:b/>
              </w:rPr>
            </w:pPr>
            <w:r>
              <w:rPr>
                <w:rFonts w:cs="Calibri"/>
                <w:b/>
              </w:rPr>
              <w:t>支付方式</w:t>
            </w:r>
          </w:p>
        </w:tc>
        <w:tc>
          <w:tcPr>
            <w:tcW w:w="6568" w:type="dxa"/>
            <w:vAlign w:val="center"/>
          </w:tcPr>
          <w:p>
            <w:pPr>
              <w:pStyle w:val="TOC8"/>
              <w:rPr>
                <w:rFonts w:ascii="宋体" w:eastAsia="宋体" w:cs="宋体"/>
                <w:sz w:val="21"/>
                <w:szCs w:val="21"/>
                <w:lang w:bidi="en-US"/>
              </w:rPr>
            </w:pPr>
            <w:r>
              <w:rPr>
                <w:rFonts w:ascii="宋体" w:eastAsia="宋体" w:cs="宋体" w:hint="eastAsia"/>
                <w:bCs/>
                <w:szCs w:val="21"/>
                <w:lang w:bidi="en-US"/>
              </w:rPr>
              <w:t>合同签订后，乙方向甲方交付履约保函或履约保证金，支付合同款项的30%；</w:t>
            </w:r>
          </w:p>
          <w:p>
            <w:pPr>
              <w:spacing w:line="360" w:lineRule="auto"/>
              <w:rPr>
                <w:rFonts w:cs="宋体"/>
                <w:bCs/>
                <w:kern w:val="0"/>
                <w:lang w:bidi="en-US"/>
              </w:rPr>
            </w:pPr>
            <w:r>
              <w:rPr>
                <w:rFonts w:cs="宋体" w:hint="eastAsia"/>
                <w:bCs/>
                <w:kern w:val="0"/>
                <w:lang w:bidi="en-US"/>
              </w:rPr>
              <w:t>系统上线后，支付合同款项的</w:t>
            </w:r>
            <w:r>
              <w:rPr>
                <w:rFonts w:cs="宋体"/>
                <w:bCs/>
                <w:kern w:val="0"/>
                <w:lang w:bidi="en-US"/>
              </w:rPr>
              <w:t>60</w:t>
            </w:r>
            <w:r>
              <w:rPr>
                <w:rFonts w:cs="宋体" w:hint="eastAsia"/>
                <w:bCs/>
                <w:kern w:val="0"/>
                <w:lang w:bidi="en-US"/>
              </w:rPr>
              <w:t>%；</w:t>
            </w:r>
          </w:p>
          <w:p>
            <w:pPr>
              <w:spacing w:line="360" w:lineRule="auto"/>
              <w:rPr>
                <w:rFonts w:cs="宋体"/>
                <w:bCs/>
                <w:kern w:val="0"/>
                <w:lang w:bidi="en-US"/>
              </w:rPr>
            </w:pPr>
            <w:r>
              <w:rPr>
                <w:rFonts w:cs="宋体"/>
                <w:bCs/>
                <w:kern w:val="0"/>
                <w:lang w:bidi="en-US"/>
              </w:rPr>
              <w:t>合同</w:t>
            </w:r>
            <w:r>
              <w:rPr>
                <w:rFonts w:cs="宋体" w:hint="eastAsia"/>
                <w:bCs/>
                <w:kern w:val="0"/>
                <w:lang w:bidi="en-US"/>
              </w:rPr>
              <w:t>验收通过后，支付合同款项的</w:t>
            </w:r>
            <w:r>
              <w:rPr>
                <w:rFonts w:cs="宋体"/>
                <w:bCs/>
                <w:kern w:val="0"/>
                <w:lang w:bidi="en-US"/>
              </w:rPr>
              <w:t>10</w:t>
            </w:r>
            <w:r>
              <w:rPr>
                <w:rFonts w:cs="宋体" w:hint="eastAsia"/>
                <w:bCs/>
                <w:kern w:val="0"/>
                <w:lang w:bidi="en-US"/>
              </w:rPr>
              <w:t>%。</w:t>
            </w:r>
          </w:p>
        </w:tc>
      </w:tr>
    </w:tbl>
    <w:p>
      <w:pPr>
        <w:pStyle w:val="TOC7"/>
        <w:numPr>
          <w:ilvl w:val="0"/>
          <w:numId w:val="2"/>
        </w:numPr>
        <w:rPr>
          <w:rFonts w:ascii="宋体" w:hAnsi="宋体" w:hint="eastAsia"/>
        </w:rPr>
      </w:pPr>
      <w:r>
        <w:rPr>
          <w:rFonts w:ascii="宋体" w:hAnsi="宋体" w:hint="eastAsia"/>
        </w:rPr>
        <w:t>项目概述</w:t>
      </w:r>
      <w:bookmarkEnd w:id="35"/>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spacing w:line="360" w:lineRule="auto"/>
              <w:jc w:val="center"/>
              <w:rPr>
                <w:b/>
              </w:rPr>
            </w:pPr>
            <w:r>
              <w:rPr>
                <w:rFonts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spacing w:line="360" w:lineRule="auto"/>
              <w:jc w:val="center"/>
              <w:rPr>
                <w:b/>
              </w:rPr>
            </w:pPr>
            <w:r>
              <w:rPr>
                <w:rFonts w:hint="eastAsia"/>
                <w:b/>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spacing w:line="360" w:lineRule="auto"/>
              <w:jc w:val="center"/>
              <w:rPr>
                <w:b/>
              </w:rPr>
            </w:pPr>
            <w:bookmarkStart w:id="36" w:name="项目概述_Title_说明_Required_Table"/>
            <w:r>
              <w:rPr>
                <w:rFonts w:hint="eastAsia"/>
                <w:b/>
              </w:rPr>
              <w:t>说明</w:t>
            </w:r>
            <w:bookmarkEnd w:id="36"/>
          </w:p>
        </w:tc>
      </w:tr>
      <w:tr>
        <w:tblPrEx>
          <w:tblW w:w="9061" w:type="dxa"/>
          <w:jc w:val="left"/>
          <w:tblInd w:w="0" w:type="dxa"/>
          <w:tblLayout w:type="fixed"/>
          <w:tblCellMar>
            <w:top w:w="0" w:type="dxa"/>
            <w:left w:w="108" w:type="dxa"/>
            <w:bottom w:w="0" w:type="dxa"/>
            <w:right w:w="108" w:type="dxa"/>
          </w:tblCellMar>
        </w:tblPrEx>
        <w:trPr>
          <w:trHeight w:val="582"/>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b/>
              </w:rPr>
              <w:t>1</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rFonts w:cs="宋体"/>
                <w:lang w:bidi="en-US"/>
              </w:rPr>
            </w:pPr>
            <w:r>
              <w:rPr>
                <w:rFonts w:cs="宋体" w:hint="eastAsia"/>
                <w:spacing w:val="-4"/>
                <w:lang w:val="zh-CN"/>
              </w:rPr>
              <w:t>随着全球贸易的繁荣发展，尤其是海南自贸港的设立，我国海关面临着更高的监管要求和效率挑战。当前海关通关系统需升级以适应新业务、新政策。本次项目将重点升级通关系统，构建一套高效、智能、安全的智慧监管平台通关系统，同时满足海南自贸港和全国海关各领域的新业务需求，提升货物监管能力，推动我国对外贸易的便利化和现代化，为全国海关及海南自贸港的长远发展奠定坚实基础。</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b/>
              </w:rPr>
              <w:t>2</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rFonts w:cs="宋体"/>
              </w:rPr>
            </w:pPr>
            <w:r>
              <w:rPr>
                <w:rFonts w:cs="宋体" w:hint="eastAsia"/>
              </w:rPr>
              <w:t>《中华人民共和国海南自由贸易港法》</w:t>
            </w:r>
          </w:p>
          <w:p>
            <w:pPr>
              <w:spacing w:line="360" w:lineRule="auto"/>
              <w:ind w:firstLine="420" w:firstLineChars="200"/>
              <w:rPr>
                <w:rFonts w:cs="宋体"/>
              </w:rPr>
            </w:pPr>
            <w:r>
              <w:rPr>
                <w:rFonts w:cs="宋体" w:hint="eastAsia"/>
              </w:rPr>
              <w:t>《国务院关于印发优化口岸营商环境促进跨境贸易便利化工作方案的通知》（国发〔2018〕37号）</w:t>
            </w:r>
          </w:p>
          <w:p>
            <w:pPr>
              <w:spacing w:line="360" w:lineRule="auto"/>
              <w:ind w:firstLine="420" w:firstLineChars="200"/>
              <w:rPr>
                <w:rFonts w:cs="宋体"/>
              </w:rPr>
            </w:pPr>
            <w:r>
              <w:rPr>
                <w:rFonts w:cs="宋体" w:hint="eastAsia"/>
              </w:rPr>
              <w:t>《国务院关于支持海南全面深化改革开放的指导意见》（中共中央国务院印发）</w:t>
            </w:r>
          </w:p>
          <w:p>
            <w:pPr>
              <w:spacing w:line="360" w:lineRule="auto"/>
              <w:ind w:firstLine="420" w:firstLineChars="200"/>
              <w:rPr>
                <w:rFonts w:cs="宋体"/>
              </w:rPr>
            </w:pPr>
            <w:r>
              <w:rPr>
                <w:rFonts w:cs="宋体" w:hint="eastAsia"/>
              </w:rPr>
              <w:t>《海南自由贸易港建设总体方案》（中共中央国务院印发）</w:t>
            </w:r>
          </w:p>
          <w:p>
            <w:pPr>
              <w:spacing w:line="360" w:lineRule="auto"/>
              <w:ind w:firstLine="420" w:firstLineChars="200"/>
              <w:rPr>
                <w:rFonts w:cs="宋体"/>
              </w:rPr>
            </w:pPr>
            <w:r>
              <w:rPr>
                <w:rFonts w:cs="宋体" w:hint="eastAsia"/>
              </w:rPr>
              <w:t>《“十四五”国家信息化规划》</w:t>
            </w:r>
          </w:p>
          <w:p>
            <w:pPr>
              <w:spacing w:line="360" w:lineRule="auto"/>
              <w:ind w:firstLine="420" w:firstLineChars="200"/>
              <w:rPr>
                <w:rFonts w:cs="宋体"/>
              </w:rPr>
            </w:pPr>
            <w:r>
              <w:rPr>
                <w:rFonts w:cs="宋体" w:hint="eastAsia"/>
              </w:rPr>
              <w:t>《关于促进外贸保稳提质的十条措施》（署综发〔2022〕45号）</w:t>
            </w:r>
          </w:p>
          <w:p>
            <w:pPr>
              <w:spacing w:line="360" w:lineRule="auto"/>
              <w:ind w:firstLine="420" w:firstLineChars="200"/>
              <w:rPr>
                <w:rFonts w:cs="宋体"/>
              </w:rPr>
            </w:pPr>
            <w:r>
              <w:rPr>
                <w:rFonts w:cs="宋体" w:hint="eastAsia"/>
              </w:rPr>
              <w:t>《在庆祝海南建省办经济特区30周年大会上的重要讲话》</w:t>
            </w:r>
          </w:p>
          <w:p>
            <w:pPr>
              <w:pStyle w:val="Date"/>
              <w:tabs>
                <w:tab w:val="left" w:pos="780"/>
              </w:tabs>
              <w:ind w:left="480"/>
            </w:pPr>
            <w:r>
              <w:t>GB/T 38634-2020 《系统与软件工程</w:t>
            </w:r>
            <w:r>
              <w:rPr>
                <w:rFonts w:hint="eastAsia"/>
              </w:rPr>
              <w:t xml:space="preserve"> </w:t>
            </w:r>
            <w:r>
              <w:t>软件测试》</w:t>
            </w:r>
          </w:p>
          <w:p>
            <w:pPr>
              <w:pStyle w:val="Date"/>
              <w:tabs>
                <w:tab w:val="left" w:pos="780"/>
              </w:tabs>
              <w:ind w:left="480"/>
            </w:pPr>
            <w:r>
              <w:t>GB/T 8566-2022 《系统与软件工程</w:t>
            </w:r>
            <w:r>
              <w:rPr>
                <w:rFonts w:hint="eastAsia"/>
              </w:rPr>
              <w:t xml:space="preserve"> </w:t>
            </w:r>
            <w:r>
              <w:t>软件生存周期过程》</w:t>
            </w:r>
          </w:p>
          <w:p>
            <w:pPr>
              <w:pStyle w:val="Date"/>
              <w:tabs>
                <w:tab w:val="left" w:pos="780"/>
              </w:tabs>
              <w:ind w:left="480"/>
            </w:pPr>
            <w:r>
              <w:t>GB/T 22239-2019《信息安全技术</w:t>
            </w:r>
            <w:r>
              <w:rPr>
                <w:rFonts w:hint="eastAsia"/>
              </w:rPr>
              <w:t xml:space="preserve"> </w:t>
            </w:r>
            <w:r>
              <w:t>网络安全等级保护基本要求》等网络安全相关标准</w:t>
            </w:r>
          </w:p>
          <w:p>
            <w:pPr>
              <w:spacing w:line="360" w:lineRule="auto"/>
              <w:rPr>
                <w:lang w:bidi="en-US"/>
              </w:rPr>
            </w:pPr>
            <w:r>
              <w:t>根据国家发展改革委关于海关智慧监管平台（海南自由贸易港和海关缉私信息化部分）初步设计方案和投资概算的批复。</w:t>
            </w:r>
          </w:p>
        </w:tc>
      </w:tr>
      <w:tr>
        <w:tblPrEx>
          <w:tblW w:w="9061" w:type="dxa"/>
          <w:jc w:val="left"/>
          <w:tblInd w:w="0" w:type="dxa"/>
          <w:tblLayout w:type="fixed"/>
          <w:tblCellMar>
            <w:top w:w="0" w:type="dxa"/>
            <w:left w:w="108" w:type="dxa"/>
            <w:bottom w:w="0" w:type="dxa"/>
            <w:right w:w="108" w:type="dxa"/>
          </w:tblCellMar>
        </w:tblPrEx>
        <w:trPr>
          <w:trHeight w:val="981"/>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b/>
              </w:rPr>
              <w:t>3</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rFonts w:cs="宋体"/>
                <w:spacing w:val="-4"/>
                <w:lang w:val="zh-CN"/>
              </w:rPr>
            </w:pPr>
            <w:r>
              <w:rPr>
                <w:rFonts w:cs="宋体" w:hint="eastAsia"/>
                <w:spacing w:val="-4"/>
                <w:lang w:val="zh-CN"/>
              </w:rPr>
              <w:t>本项目是在海关现有应用系统的基础上，按照优化整合、协同创新、大集中的原则，升级货物通关业务系统，同时满足海南自贸港 “一线放开、二线管住、岛内自由”和全国海关各领域的新业务需求，</w:t>
            </w:r>
            <w:r>
              <w:rPr>
                <w:rFonts w:cs="宋体" w:hint="eastAsia"/>
              </w:rPr>
              <w:t>配合支撑海南自贸港封关运作相关建设内容，</w:t>
            </w:r>
            <w:r>
              <w:rPr>
                <w:rFonts w:cs="宋体" w:hint="eastAsia"/>
                <w:spacing w:val="-4"/>
                <w:lang w:val="zh-CN"/>
              </w:rPr>
              <w:t>提升海关货物监管能力，</w:t>
            </w:r>
            <w:r>
              <w:rPr>
                <w:rFonts w:cs="宋体" w:hint="eastAsia"/>
                <w:spacing w:val="-4"/>
              </w:rPr>
              <w:t>升级</w:t>
            </w:r>
            <w:r>
              <w:rPr>
                <w:rFonts w:cs="宋体" w:hint="eastAsia"/>
                <w:spacing w:val="-4"/>
                <w:lang w:val="zh-CN"/>
              </w:rPr>
              <w:t>海南一线进出境管理、</w:t>
            </w:r>
            <w:r>
              <w:rPr>
                <w:rFonts w:cs="宋体" w:hint="eastAsia"/>
                <w:spacing w:val="-4"/>
              </w:rPr>
              <w:t>新建</w:t>
            </w:r>
            <w:r>
              <w:rPr>
                <w:rFonts w:cs="宋体" w:hint="eastAsia"/>
                <w:spacing w:val="-4"/>
                <w:lang w:val="zh-CN"/>
              </w:rPr>
              <w:t>一企一账、一物一链、直提直装等内容，构建智能化、高效化的海关</w:t>
            </w:r>
            <w:r>
              <w:rPr>
                <w:rFonts w:cs="宋体" w:hint="eastAsia"/>
                <w:spacing w:val="-4"/>
              </w:rPr>
              <w:t>通关</w:t>
            </w:r>
            <w:r>
              <w:rPr>
                <w:rFonts w:cs="宋体" w:hint="eastAsia"/>
                <w:spacing w:val="-4"/>
                <w:lang w:val="zh-CN"/>
              </w:rPr>
              <w:t>监管体系，提升货物通关效率，强化风险管理能力，为海关现代化监管提供有力支撑。</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rPr>
              <w:t>4</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lang w:bidi="en-US"/>
              </w:rPr>
            </w:pPr>
            <w:r>
              <w:rPr>
                <w:rFonts w:cs="宋体" w:hint="eastAsia"/>
                <w:lang w:bidi="en-US"/>
              </w:rPr>
              <w:t>海关智慧监管平台通关系统升级项目主要包括</w:t>
            </w:r>
            <w:r>
              <w:rPr>
                <w:rFonts w:cs="宋体" w:hint="eastAsia"/>
                <w:spacing w:val="-4"/>
              </w:rPr>
              <w:t>通关服务升级、</w:t>
            </w:r>
            <w:r>
              <w:rPr>
                <w:rFonts w:cs="宋体" w:hint="eastAsia"/>
                <w:spacing w:val="-4"/>
                <w:lang w:val="zh-CN"/>
              </w:rPr>
              <w:t>海南</w:t>
            </w:r>
            <w:r>
              <w:rPr>
                <w:rFonts w:cs="宋体" w:hint="eastAsia"/>
                <w:spacing w:val="-4"/>
              </w:rPr>
              <w:t>一线进出境管理（零关税设备、交通工具以及游艇管理，“零关税”原辅料智慧监管）升级、新建一企一账中心、新建一物一链中心、新建直提直装等建设内容。</w:t>
            </w:r>
          </w:p>
        </w:tc>
      </w:tr>
      <w:tr>
        <w:tblPrEx>
          <w:tblW w:w="9061" w:type="dxa"/>
          <w:jc w:val="left"/>
          <w:tblInd w:w="0" w:type="dxa"/>
          <w:tblLayout w:type="fixed"/>
          <w:tblCellMar>
            <w:top w:w="0" w:type="dxa"/>
            <w:left w:w="108" w:type="dxa"/>
            <w:bottom w:w="0" w:type="dxa"/>
            <w:right w:w="108" w:type="dxa"/>
          </w:tblCellMar>
        </w:tblPrEx>
        <w:trPr>
          <w:trHeight w:val="1091"/>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rPr>
              <w:t>5</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rFonts w:cs="宋体"/>
                <w:bCs/>
              </w:rPr>
            </w:pPr>
            <w:r>
              <w:rPr>
                <w:rFonts w:cs="宋体" w:hint="eastAsia"/>
                <w:bCs/>
              </w:rPr>
              <w:t>海关智慧监管平台通关系统升级项目需求分析如下：</w:t>
            </w:r>
          </w:p>
          <w:p>
            <w:pPr>
              <w:spacing w:line="360" w:lineRule="auto"/>
              <w:ind w:firstLine="420" w:firstLineChars="200"/>
              <w:rPr>
                <w:rFonts w:cs="宋体"/>
                <w:bCs/>
              </w:rPr>
            </w:pPr>
            <w:r>
              <w:rPr>
                <w:rFonts w:cs="宋体" w:hint="eastAsia"/>
                <w:bCs/>
              </w:rPr>
              <w:t>1、通关服务升级</w:t>
            </w:r>
          </w:p>
          <w:p>
            <w:pPr>
              <w:spacing w:line="360" w:lineRule="auto"/>
              <w:ind w:firstLine="420" w:firstLineChars="200"/>
              <w:rPr>
                <w:rFonts w:cs="宋体"/>
                <w:bCs/>
              </w:rPr>
            </w:pPr>
            <w:r>
              <w:rPr>
                <w:rFonts w:cs="宋体" w:hint="eastAsia"/>
                <w:bCs/>
              </w:rPr>
              <w:t>通关服务升级致力于对海关通关流程进行全面优化，通过沉淀单证审核、核注核销、通关资质服务能力，构建计税支付业务中台，为海南“一线”进出境、“二线”现场业务处置流程，及其他通关场景，提供统一的逻辑审核及参数、原产地电子联网、全要素参数库等服务能力。</w:t>
            </w:r>
          </w:p>
          <w:p>
            <w:pPr>
              <w:spacing w:line="360" w:lineRule="auto"/>
              <w:ind w:firstLine="420" w:firstLineChars="200"/>
              <w:rPr>
                <w:rFonts w:cs="宋体"/>
                <w:bCs/>
              </w:rPr>
            </w:pPr>
            <w:r>
              <w:rPr>
                <w:rFonts w:cs="宋体" w:hint="eastAsia"/>
                <w:bCs/>
              </w:rPr>
              <w:t>通关服务升级优先支持海南业务需求，同时兼顾提升通关效率和服务质量，实现货物快速、便捷、安全通关，以满足不断增长的贸易需求和提升海关监管水平。</w:t>
            </w:r>
          </w:p>
          <w:p>
            <w:pPr>
              <w:spacing w:line="360" w:lineRule="auto"/>
              <w:ind w:firstLine="420" w:firstLineChars="200"/>
              <w:rPr>
                <w:rFonts w:cs="宋体"/>
                <w:bCs/>
              </w:rPr>
            </w:pPr>
            <w:r>
              <w:rPr>
                <w:rFonts w:cs="宋体" w:hint="eastAsia"/>
                <w:bCs/>
              </w:rPr>
              <w:t>2、一企一账中心</w:t>
            </w:r>
          </w:p>
          <w:p>
            <w:pPr>
              <w:spacing w:line="360" w:lineRule="auto"/>
              <w:ind w:firstLine="420" w:firstLineChars="200"/>
              <w:rPr>
                <w:rFonts w:cs="宋体"/>
                <w:bCs/>
              </w:rPr>
            </w:pPr>
            <w:r>
              <w:rPr>
                <w:rFonts w:cs="宋体" w:hint="eastAsia"/>
                <w:bCs/>
              </w:rPr>
              <w:t>一企一账是依据《海南自由贸易港建设总体方案》以贸易自由化便利化为重点，在能够实现海关有效监管的前提下，搭建符合于海南全岛封关运作要求的可灵活调用的通关服务。主要是为上层应用提供敏捷、开放、共享的支撑服务，汇聚了与通关业务相关的各类核心服务资源，能够灵活应对业务改革所带来的发展问题，进而能够更加快速响应海南口岸监管的新变化和新要求。</w:t>
            </w:r>
          </w:p>
          <w:p>
            <w:pPr>
              <w:spacing w:line="360" w:lineRule="auto"/>
              <w:ind w:firstLine="420" w:firstLineChars="200"/>
              <w:rPr>
                <w:rFonts w:cs="宋体"/>
                <w:bCs/>
              </w:rPr>
            </w:pPr>
            <w:r>
              <w:rPr>
                <w:rFonts w:cs="宋体" w:hint="eastAsia"/>
                <w:bCs/>
              </w:rPr>
              <w:t>3、一物一链中心</w:t>
            </w:r>
          </w:p>
          <w:p>
            <w:pPr>
              <w:spacing w:line="360" w:lineRule="auto"/>
              <w:ind w:firstLine="420" w:firstLineChars="200"/>
              <w:rPr>
                <w:rFonts w:cs="宋体"/>
                <w:bCs/>
              </w:rPr>
            </w:pPr>
            <w:r>
              <w:rPr>
                <w:rFonts w:cs="宋体" w:hint="eastAsia"/>
                <w:bCs/>
              </w:rPr>
              <w:t>一物一链中心基于海南自贸码，连接人、物、运输工具，利用物联网技术对运输工具、货物、人员等各监管环节的物流信息进行采集和分析。一方面实现物流信息的全程可视化监控，协助监管单位建立运输工具、舱单、海关作业现场、查验作业“四位一体”的物流监控模式，严密监管环境；另一方面整合海南自贸港物流相关信息，打通监管单位与运输企业、货物单位的信息壁垒，持续优化整合贸易链条主要环节，提高贸易各参与方的信息共享和互操作性，全面提升自贸港综合服务能力和水平，加快自贸港智能监管和智能服务体系建设，优化营商环境。</w:t>
            </w:r>
          </w:p>
          <w:p>
            <w:pPr>
              <w:spacing w:line="360" w:lineRule="auto"/>
              <w:ind w:firstLine="420" w:firstLineChars="200"/>
              <w:rPr>
                <w:rFonts w:cs="宋体"/>
                <w:bCs/>
              </w:rPr>
            </w:pPr>
            <w:r>
              <w:rPr>
                <w:rFonts w:cs="宋体" w:hint="eastAsia"/>
                <w:bCs/>
              </w:rPr>
              <w:t>4、</w:t>
            </w:r>
            <w:r>
              <w:rPr>
                <w:rFonts w:cs="宋体" w:hint="eastAsia"/>
                <w:bCs/>
                <w:lang w:val="zh-CN"/>
              </w:rPr>
              <w:t>海南</w:t>
            </w:r>
            <w:r>
              <w:rPr>
                <w:rFonts w:cs="宋体" w:hint="eastAsia"/>
                <w:bCs/>
              </w:rPr>
              <w:t>一线进出境管理</w:t>
            </w:r>
          </w:p>
          <w:p>
            <w:pPr>
              <w:spacing w:line="360" w:lineRule="auto"/>
              <w:ind w:firstLine="420" w:firstLineChars="200"/>
              <w:rPr>
                <w:rFonts w:cs="宋体"/>
                <w:bCs/>
              </w:rPr>
            </w:pPr>
            <w:r>
              <w:rPr>
                <w:rFonts w:cs="宋体" w:hint="eastAsia"/>
                <w:bCs/>
              </w:rPr>
              <w:t>主要包括：海南零关税设备、交通工具以及游艇管理，“零关税”原辅料智慧监管两部分。其中海南零关税设备、交通工具以及游艇管理主要是建立海南岛内企业与海关之间办理相关零关税进口设备和交通工具业务手续平台；“零关税”原辅料智慧监管主要是依托金关二期加工贸易保税及监管系统，结合相关政策要求，进行系统优化升级，从而支撑企业自主备案、自主核报，简化审核流程，放宽“一线”管理，强化“二线”管理的新业务模式。</w:t>
            </w:r>
          </w:p>
          <w:p>
            <w:pPr>
              <w:spacing w:line="360" w:lineRule="auto"/>
              <w:ind w:firstLine="420" w:firstLineChars="200"/>
              <w:rPr>
                <w:rFonts w:cs="宋体"/>
                <w:bCs/>
              </w:rPr>
            </w:pPr>
            <w:r>
              <w:rPr>
                <w:rFonts w:cs="宋体" w:hint="eastAsia"/>
                <w:bCs/>
              </w:rPr>
              <w:t>5、直提直装</w:t>
            </w:r>
          </w:p>
          <w:p>
            <w:pPr>
              <w:spacing w:line="360" w:lineRule="auto"/>
              <w:ind w:firstLine="420" w:firstLineChars="200"/>
              <w:rPr>
                <w:rFonts w:cs="宋体"/>
                <w:bCs/>
              </w:rPr>
            </w:pPr>
            <w:r>
              <w:rPr>
                <w:rFonts w:cs="宋体" w:hint="eastAsia"/>
                <w:bCs/>
              </w:rPr>
              <w:t>新建直提直装，与内网运输工具系统、新舱单系统、H2018系统、查管系统进行数据互通，以“集装箱号/提单号”为主键同步上述系统内参与直装直提的集装箱/货物相关信息（为确定集装箱唯一性，同步关联舱单号、报关单号），舱单、报关单工作流、查验、放行信息等数据。</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spacing w:line="360" w:lineRule="auto"/>
              <w:jc w:val="center"/>
            </w:pPr>
            <w:r>
              <w:rPr>
                <w:rFonts w:hint="eastAsia"/>
              </w:rPr>
              <w:t>6</w:t>
            </w:r>
          </w:p>
        </w:tc>
        <w:tc>
          <w:tcPr>
            <w:tcW w:w="2631" w:type="dxa"/>
            <w:tcBorders>
              <w:top w:val="single" w:sz="4" w:space="0" w:color="auto"/>
              <w:left w:val="single" w:sz="4" w:space="0" w:color="auto"/>
              <w:bottom w:val="single" w:sz="4" w:space="0" w:color="auto"/>
              <w:right w:val="single" w:sz="4" w:space="0" w:color="auto"/>
            </w:tcBorders>
            <w:vAlign w:val="center"/>
          </w:tcPr>
          <w:p>
            <w:pPr>
              <w:spacing w:line="360" w:lineRule="auto"/>
              <w:rPr>
                <w:b/>
              </w:rPr>
            </w:pPr>
            <w:r>
              <w:rPr>
                <w:rFonts w:hint="eastAsia"/>
                <w:b/>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pStyle w:val="BodyTextIndent2"/>
              <w:tabs>
                <w:tab w:val="left" w:pos="780"/>
              </w:tabs>
              <w:spacing w:after="120" w:line="360" w:lineRule="auto"/>
              <w:rPr>
                <w:rFonts w:ascii="方正仿宋_GBK" w:hAnsi="方正仿宋_GBK" w:hint="eastAsia"/>
                <w:szCs w:val="28"/>
              </w:rPr>
            </w:pPr>
            <w:r>
              <w:rPr>
                <w:rFonts w:cs="宋体" w:hint="eastAsia"/>
                <w:spacing w:val="-4"/>
              </w:rPr>
              <w:t>金关二期加工贸易保税及监管系统</w:t>
            </w:r>
            <w:r>
              <w:rPr>
                <w:rFonts w:ascii="方正仿宋_GBK" w:hAnsi="方正仿宋_GBK" w:hint="eastAsia"/>
                <w:szCs w:val="28"/>
              </w:rPr>
              <w:t>包括保税加工、保税物流、服务贸易、新兴业务等海关业务管理，系统以企业为单元、以账册和记帐凭证管理作为基础、区域为整体进行一体化规划和作业流程设计，将区内企业的货物流、单证流和海关的信息流有机结合，实现数据智能化管理，对进出区域的货物的进、出、转、存等环节实施全方位监管。</w:t>
            </w:r>
          </w:p>
          <w:p>
            <w:pPr>
              <w:pStyle w:val="BodyTextIndent2"/>
              <w:tabs>
                <w:tab w:val="left" w:pos="780"/>
              </w:tabs>
              <w:spacing w:after="120" w:line="360" w:lineRule="auto"/>
              <w:rPr>
                <w:rFonts w:ascii="方正仿宋_GBK" w:hAnsi="方正仿宋_GBK" w:hint="eastAsia"/>
                <w:szCs w:val="28"/>
              </w:rPr>
            </w:pPr>
            <w:r>
              <w:rPr>
                <w:rFonts w:hint="eastAsia"/>
              </w:rPr>
              <w:t>H2018通关管理</w:t>
            </w:r>
            <w:r>
              <w:rPr>
                <w:rFonts w:cs="宋体" w:hint="eastAsia"/>
                <w:spacing w:val="-4"/>
              </w:rPr>
              <w:t>系统</w:t>
            </w:r>
            <w:r>
              <w:rPr>
                <w:rFonts w:hint="eastAsia"/>
              </w:rPr>
              <w:t>是海关的一个综合性的系统，主要功能涵盖了报关单处置、税费及保证金保函处置、现场验估作业、证件管理等功能模块。该实现了关检综合业务后台的统一办理，从而进一步提高了通关效率。</w:t>
            </w:r>
          </w:p>
          <w:p>
            <w:pPr>
              <w:pStyle w:val="BodyTextIndent2"/>
              <w:tabs>
                <w:tab w:val="left" w:pos="780"/>
              </w:tabs>
              <w:spacing w:after="120" w:line="360" w:lineRule="auto"/>
              <w:rPr>
                <w:rFonts w:cs="宋体"/>
                <w:spacing w:val="-4"/>
              </w:rPr>
            </w:pPr>
            <w:r>
              <w:rPr>
                <w:rFonts w:cs="宋体" w:hint="eastAsia"/>
                <w:bCs/>
              </w:rPr>
              <w:t>本次项目建设内容中</w:t>
            </w:r>
            <w:r>
              <w:rPr>
                <w:rFonts w:cs="宋体" w:hint="eastAsia"/>
                <w:spacing w:val="-4"/>
                <w:lang w:val="zh-CN"/>
              </w:rPr>
              <w:t>海南</w:t>
            </w:r>
            <w:r>
              <w:rPr>
                <w:rFonts w:cs="宋体" w:hint="eastAsia"/>
                <w:spacing w:val="-4"/>
              </w:rPr>
              <w:t>一线进出境管理</w:t>
            </w:r>
            <w:r>
              <w:rPr>
                <w:rFonts w:cs="宋体"/>
                <w:spacing w:val="-4"/>
              </w:rPr>
              <w:t>的</w:t>
            </w:r>
            <w:r>
              <w:rPr>
                <w:rFonts w:cs="宋体" w:hint="eastAsia"/>
                <w:bCs/>
                <w:spacing w:val="-4"/>
              </w:rPr>
              <w:t>“零关税”原辅料智慧监管</w:t>
            </w:r>
            <w:r>
              <w:rPr>
                <w:rFonts w:cs="宋体" w:hint="eastAsia"/>
                <w:spacing w:val="-4"/>
              </w:rPr>
              <w:t>主要是基于金关二期加工贸易保税及监管系统进行系统升级及功能优化。主要升级内容为：</w:t>
            </w:r>
            <w:r>
              <w:rPr>
                <w:rFonts w:hint="eastAsia"/>
              </w:rPr>
              <w:t>为支撑企业自主备案、自主核报，简化审核流程，放宽“一线”管理，强化“二线”管理的新业务模式，从海关监管、企业服务、信息共享三个方面着手，实现对“零关税”原辅料商品优化管理，实现业务办理集约化、智能化、便利化、协同化和功能化。</w:t>
            </w:r>
          </w:p>
          <w:p>
            <w:pPr>
              <w:pStyle w:val="BodyTextIndent2"/>
              <w:tabs>
                <w:tab w:val="left" w:pos="780"/>
              </w:tabs>
              <w:spacing w:after="120" w:line="360" w:lineRule="auto"/>
              <w:rPr>
                <w:rFonts w:cs="宋体"/>
                <w:lang w:bidi="en-US"/>
              </w:rPr>
            </w:pPr>
            <w:r>
              <w:rPr>
                <w:rFonts w:cs="宋体" w:hint="eastAsia"/>
                <w:spacing w:val="-4"/>
              </w:rPr>
              <w:t>通关服务升级主要是基于现有</w:t>
            </w:r>
            <w:r>
              <w:rPr>
                <w:rFonts w:hint="eastAsia"/>
              </w:rPr>
              <w:t>H2018通关管理</w:t>
            </w:r>
            <w:r>
              <w:rPr>
                <w:rFonts w:cs="宋体" w:hint="eastAsia"/>
                <w:spacing w:val="-4"/>
              </w:rPr>
              <w:t>系统进行</w:t>
            </w:r>
            <w:r>
              <w:rPr>
                <w:rFonts w:cs="宋体" w:hint="eastAsia"/>
                <w:lang w:bidi="en-US"/>
              </w:rPr>
              <w:t>通关流程全面优化升级；主要升级内容包括：</w:t>
            </w:r>
            <w:r>
              <w:rPr>
                <w:rFonts w:cs="宋体" w:hint="eastAsia"/>
                <w:bCs/>
              </w:rPr>
              <w:t>单证审核、核注核销、通关资质、计税支付业务、逻辑审核及参数、原产地电子联网、全要素参数库等服务能力。</w:t>
            </w:r>
          </w:p>
          <w:p>
            <w:pPr>
              <w:pStyle w:val="BodyTextIndent2"/>
              <w:tabs>
                <w:tab w:val="left" w:pos="780"/>
              </w:tabs>
              <w:spacing w:after="120" w:line="360" w:lineRule="auto"/>
              <w:rPr>
                <w:rFonts w:ascii="方正仿宋_GBK" w:hAnsi="方正仿宋_GBK" w:hint="eastAsia"/>
                <w:szCs w:val="28"/>
                <w:lang w:bidi="en-US"/>
              </w:rPr>
            </w:pPr>
            <w:r>
              <w:rPr>
                <w:rFonts w:cs="宋体" w:hint="eastAsia"/>
                <w:spacing w:val="-4"/>
              </w:rPr>
              <w:t>一企一账中心、一物一链中心、直提直装均为新建信息系统</w:t>
            </w:r>
            <w:r>
              <w:rPr>
                <w:rFonts w:cs="宋体" w:hint="eastAsia"/>
                <w:lang w:bidi="en-US"/>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BalloonText"/>
              <w:jc w:val="center"/>
              <w:rPr>
                <w:rFonts w:ascii="宋体"/>
              </w:rPr>
            </w:pPr>
            <w:r>
              <w:rPr>
                <w:rFonts w:ascii="宋体" w:hint="eastAsia"/>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Footer"/>
              <w:tabs>
                <w:tab w:val="center" w:pos="4153"/>
                <w:tab w:val="right" w:pos="8306"/>
              </w:tabs>
              <w:rPr>
                <w:rFonts w:ascii="宋体"/>
                <w:b/>
              </w:rPr>
            </w:pPr>
            <w:r>
              <w:rPr>
                <w:rFonts w:ascii="宋体" w:hint="eastAsia"/>
                <w:b/>
              </w:rPr>
              <w:t>项目履约时间</w:t>
            </w:r>
            <w:r>
              <w:rPr>
                <w:rFonts w:ascii="宋体" w:cs="宋体" w:hint="eastAsia"/>
                <w:bCs/>
                <w:lang w:bidi="en-US"/>
              </w:rPr>
              <w:t>★</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firstLine="420" w:firstLineChars="200"/>
              <w:rPr>
                <w:rFonts w:cs="宋体"/>
              </w:rPr>
            </w:pPr>
            <w:r>
              <w:rPr>
                <w:rFonts w:cs="宋体" w:hint="eastAsia"/>
              </w:rPr>
              <w:t>自合同签订之日起</w:t>
            </w:r>
            <w:r>
              <w:rPr>
                <w:rFonts w:cs="宋体" w:hint="eastAsia"/>
                <w:spacing w:val="-4"/>
              </w:rPr>
              <w:t>17</w:t>
            </w:r>
            <w:r>
              <w:rPr>
                <w:rFonts w:cs="宋体" w:hint="eastAsia"/>
              </w:rPr>
              <w:t>个月内，基于海关的技术开发框架，完成系统的需求分析、开发、联调测试、部署上线、试运行等工作。</w:t>
            </w:r>
          </w:p>
          <w:p>
            <w:pPr>
              <w:spacing w:line="360" w:lineRule="auto"/>
              <w:ind w:firstLine="420" w:firstLineChars="200"/>
              <w:rPr>
                <w:rFonts w:cs="宋体"/>
              </w:rPr>
            </w:pPr>
            <w:r>
              <w:rPr>
                <w:rFonts w:cs="宋体" w:hint="eastAsia"/>
              </w:rPr>
              <w:t>合同验收通过之日起提供3年</w:t>
            </w:r>
            <w:r>
              <w:rPr>
                <w:rFonts w:cs="宋体"/>
              </w:rPr>
              <w:t>免费</w:t>
            </w:r>
            <w:r>
              <w:rPr>
                <w:rFonts w:cs="宋体" w:hint="eastAsia"/>
              </w:rPr>
              <w:t>质保服务，</w:t>
            </w:r>
            <w:r>
              <w:rPr>
                <w:rFonts w:cs="宋体"/>
              </w:rPr>
              <w:t>工作时间</w:t>
            </w:r>
            <w:r>
              <w:rPr>
                <w:rFonts w:cs="宋体" w:hint="eastAsia"/>
              </w:rPr>
              <w:t>5×8小时（工作日9：00-17：00）</w:t>
            </w:r>
            <w:r>
              <w:rPr>
                <w:rFonts w:cs="宋体"/>
              </w:rPr>
              <w:t>为</w:t>
            </w:r>
            <w:r>
              <w:rPr>
                <w:rFonts w:cs="宋体" w:hint="eastAsia"/>
              </w:rPr>
              <w:t>驻场维护服务</w:t>
            </w:r>
            <w:r>
              <w:rPr>
                <w:rFonts w:cs="宋体"/>
              </w:rPr>
              <w:t>，</w:t>
            </w:r>
            <w:r>
              <w:rPr>
                <w:rFonts w:cs="宋体" w:hint="eastAsia"/>
              </w:rPr>
              <w:t>非工作时间提供远程运维保障服务</w:t>
            </w:r>
            <w:r>
              <w:rPr>
                <w:rFonts w:cs="宋体"/>
              </w:rPr>
              <w:t>，必要时须到达现场提供技术保障。</w:t>
            </w:r>
          </w:p>
          <w:p>
            <w:pPr>
              <w:spacing w:line="360" w:lineRule="auto"/>
              <w:ind w:firstLine="420" w:firstLineChars="200"/>
              <w:rPr>
                <w:rFonts w:cs="宋体"/>
              </w:rPr>
            </w:pPr>
            <w:r>
              <w:rPr>
                <w:rFonts w:cs="宋体"/>
              </w:rPr>
              <w:t>提供承诺函并加盖单位公章。</w:t>
            </w:r>
          </w:p>
        </w:tc>
      </w:tr>
    </w:tbl>
    <w:p>
      <w:pPr>
        <w:pStyle w:val="TOC7"/>
        <w:numPr>
          <w:ilvl w:val="0"/>
          <w:numId w:val="2"/>
        </w:numPr>
        <w:rPr>
          <w:rFonts w:hint="eastAsia"/>
        </w:rPr>
      </w:pPr>
      <w:bookmarkStart w:id="37" w:name="集成需求"/>
      <w:r>
        <w:rPr>
          <w:rFonts w:ascii="宋体" w:hAnsi="宋体" w:hint="eastAsia"/>
        </w:rPr>
        <w:t>集成需求</w:t>
      </w:r>
      <w:bookmarkEnd w:id="37"/>
    </w:p>
    <w:tbl>
      <w:tblPr>
        <w:tblW w:w="8994"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1354"/>
        <w:gridCol w:w="5518"/>
        <w:gridCol w:w="1419"/>
      </w:tblGrid>
      <w:tr>
        <w:tblPrEx>
          <w:tblW w:w="8994"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03" w:type="dxa"/>
            <w:shd w:val="clear" w:color="A6A6A6" w:fill="A6A6A6"/>
            <w:vAlign w:val="center"/>
          </w:tcPr>
          <w:p>
            <w:pPr>
              <w:spacing w:line="360" w:lineRule="auto"/>
              <w:jc w:val="center"/>
              <w:rPr>
                <w:b/>
              </w:rPr>
            </w:pPr>
            <w:r>
              <w:rPr>
                <w:rFonts w:hint="eastAsia"/>
                <w:b/>
              </w:rPr>
              <w:t>序号</w:t>
            </w:r>
          </w:p>
        </w:tc>
        <w:tc>
          <w:tcPr>
            <w:tcW w:w="1354" w:type="dxa"/>
            <w:shd w:val="clear" w:color="A6A6A6" w:fill="A6A6A6"/>
            <w:vAlign w:val="center"/>
          </w:tcPr>
          <w:p>
            <w:pPr>
              <w:spacing w:line="360" w:lineRule="auto"/>
              <w:jc w:val="center"/>
              <w:rPr>
                <w:b/>
              </w:rPr>
            </w:pPr>
            <w:r>
              <w:rPr>
                <w:rFonts w:hint="eastAsia"/>
                <w:b/>
              </w:rPr>
              <w:t>内容</w:t>
            </w:r>
          </w:p>
        </w:tc>
        <w:tc>
          <w:tcPr>
            <w:tcW w:w="5518" w:type="dxa"/>
            <w:shd w:val="clear" w:color="A6A6A6" w:fill="A6A6A6"/>
            <w:vAlign w:val="center"/>
          </w:tcPr>
          <w:p>
            <w:pPr>
              <w:spacing w:line="360" w:lineRule="auto"/>
              <w:jc w:val="center"/>
              <w:rPr>
                <w:b/>
              </w:rPr>
            </w:pPr>
            <w:bookmarkStart w:id="38" w:name="集成需求_Title_说明_Required_Table"/>
            <w:r>
              <w:rPr>
                <w:rFonts w:hint="eastAsia"/>
                <w:b/>
              </w:rPr>
              <w:t>说明</w:t>
            </w:r>
            <w:bookmarkEnd w:id="38"/>
          </w:p>
        </w:tc>
        <w:tc>
          <w:tcPr>
            <w:tcW w:w="1419" w:type="dxa"/>
            <w:shd w:val="clear" w:color="A6A6A6" w:fill="A6A6A6"/>
            <w:vAlign w:val="center"/>
          </w:tcPr>
          <w:p>
            <w:pPr>
              <w:spacing w:line="360" w:lineRule="auto"/>
              <w:jc w:val="center"/>
              <w:rPr>
                <w:b/>
              </w:rPr>
            </w:pPr>
            <w:r>
              <w:rPr>
                <w:rFonts w:hint="eastAsia"/>
                <w:b/>
              </w:rPr>
              <w:t>证明材料要求</w:t>
            </w:r>
          </w:p>
        </w:tc>
      </w:tr>
      <w:tr>
        <w:tblPrEx>
          <w:tblW w:w="8994" w:type="dxa"/>
          <w:jc w:val="left"/>
          <w:tblInd w:w="0" w:type="dxa"/>
          <w:tblLayout w:type="fixed"/>
          <w:tblCellMar>
            <w:top w:w="0" w:type="dxa"/>
            <w:left w:w="108" w:type="dxa"/>
            <w:bottom w:w="0" w:type="dxa"/>
            <w:right w:w="108" w:type="dxa"/>
          </w:tblCellMar>
        </w:tblPrEx>
        <w:trPr>
          <w:trHeight w:val="861"/>
          <w:jc w:val="left"/>
        </w:trPr>
        <w:tc>
          <w:tcPr>
            <w:tcW w:w="703" w:type="dxa"/>
            <w:vAlign w:val="center"/>
          </w:tcPr>
          <w:p>
            <w:pPr>
              <w:spacing w:line="360" w:lineRule="auto"/>
              <w:jc w:val="center"/>
            </w:pPr>
            <w:r>
              <w:rPr>
                <w:rFonts w:hint="eastAsia"/>
                <w:b/>
              </w:rPr>
              <w:t>1</w:t>
            </w:r>
          </w:p>
        </w:tc>
        <w:tc>
          <w:tcPr>
            <w:tcW w:w="1354" w:type="dxa"/>
            <w:tcBorders>
              <w:top w:val="single" w:sz="4" w:space="0" w:color="auto"/>
              <w:left w:val="single" w:sz="4" w:space="0" w:color="auto"/>
              <w:right w:val="single" w:sz="4" w:space="0" w:color="auto"/>
            </w:tcBorders>
            <w:vAlign w:val="center"/>
          </w:tcPr>
          <w:p>
            <w:pPr>
              <w:spacing w:line="360" w:lineRule="auto"/>
              <w:rPr>
                <w:b/>
              </w:rPr>
            </w:pPr>
            <w:r>
              <w:rPr>
                <w:rFonts w:hint="eastAsia"/>
                <w:b/>
              </w:rPr>
              <w:t>业务需求</w:t>
            </w:r>
          </w:p>
        </w:tc>
        <w:tc>
          <w:tcPr>
            <w:tcW w:w="5518"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通关系统升级项目，与国际贸易单一窗口对接，接收</w:t>
            </w:r>
            <w:r>
              <w:t>监管证件电子数据信息</w:t>
            </w:r>
            <w:r>
              <w:rPr>
                <w:rFonts w:hint="eastAsia"/>
              </w:rPr>
              <w:t>并</w:t>
            </w:r>
            <w:r>
              <w:t>发送接收成功回执信息</w:t>
            </w:r>
            <w:r>
              <w:rPr>
                <w:rFonts w:cs="宋体" w:hint="eastAsia"/>
              </w:rPr>
              <w:t>；</w:t>
            </w:r>
            <w:r>
              <w:rPr>
                <w:rFonts w:hint="eastAsia"/>
              </w:rPr>
              <w:t>对接海关内部H4A系统（认证、授权、账号、审计）</w:t>
            </w:r>
            <w:r>
              <w:rPr>
                <w:rFonts w:cs="宋体" w:hint="eastAsia"/>
              </w:rPr>
              <w:t>；对接报关单、舱单、卡口管理系统，获取报关单、舱单电子数据信息及卡口采集数据信息；对接查管系统，获取</w:t>
            </w:r>
            <w:r>
              <w:t>查管系统中的查验的相关信息</w:t>
            </w:r>
            <w:r>
              <w:rPr>
                <w:rFonts w:cs="宋体" w:hint="eastAsia"/>
              </w:rPr>
              <w:t>；对接HGIS地理信息系统，</w:t>
            </w:r>
            <w:r>
              <w:t>基于HGIS地图展示海关机构、海关作业现场、开放区域、锚地、电子围网、监管资源等信息</w:t>
            </w:r>
            <w:r>
              <w:rPr>
                <w:rFonts w:hint="eastAsia"/>
              </w:rPr>
              <w:t>；对接</w:t>
            </w:r>
            <w:r>
              <w:rPr>
                <w:rFonts w:cs="宋体" w:hint="eastAsia"/>
              </w:rPr>
              <w:t>运输工具系统，</w:t>
            </w:r>
            <w:r>
              <w:t>获取船舶信息、货物启运港信息</w:t>
            </w:r>
            <w:r>
              <w:rPr>
                <w:rFonts w:hint="eastAsia"/>
              </w:rPr>
              <w:t>等；对接</w:t>
            </w:r>
            <w:r>
              <w:rPr>
                <w:rFonts w:cs="宋体" w:hint="eastAsia"/>
              </w:rPr>
              <w:t>金关二期智能卡口系统，</w:t>
            </w:r>
            <w:r>
              <w:t>通过卡口信息、载货信息、单证信息调用金关二期智能卡口系统，根据货物放行状态执行货物验放</w:t>
            </w:r>
            <w:r>
              <w:rPr>
                <w:rFonts w:hint="eastAsia"/>
              </w:rPr>
              <w:t>；对接</w:t>
            </w:r>
            <w:r>
              <w:rPr>
                <w:rFonts w:cs="宋体" w:hint="eastAsia"/>
              </w:rPr>
              <w:t>海关总署转码平台视频监控系统</w:t>
            </w:r>
            <w:r>
              <w:t>获取视频点位数据</w:t>
            </w:r>
            <w:r>
              <w:rPr>
                <w:rFonts w:hint="eastAsia"/>
              </w:rPr>
              <w:t>；对接</w:t>
            </w:r>
            <w:r>
              <w:rPr>
                <w:rFonts w:cs="宋体" w:hint="eastAsia"/>
              </w:rPr>
              <w:t>外勤监管移动作业系统</w:t>
            </w:r>
            <w:r>
              <w:t>，获取外勤人员位置信息、轨迹信息</w:t>
            </w:r>
            <w:r>
              <w:rPr>
                <w:rFonts w:hint="eastAsia"/>
              </w:rPr>
              <w:t>等</w:t>
            </w:r>
            <w:r>
              <w:rPr>
                <w:rFonts w:cs="宋体" w:hint="eastAsia"/>
              </w:rPr>
              <w:t>；对接企业ERP系统获取企业生产、采购、销售等环节的数据；对接AIS系统</w:t>
            </w:r>
            <w:r>
              <w:t>接收船讯网或者其他系统的AIS数据</w:t>
            </w:r>
            <w:r>
              <w:rPr>
                <w:rFonts w:hint="eastAsia"/>
              </w:rPr>
              <w:t>；对接</w:t>
            </w:r>
            <w:r>
              <w:rPr>
                <w:rFonts w:cs="宋体" w:hint="eastAsia"/>
              </w:rPr>
              <w:t>企业堆存系统</w:t>
            </w:r>
            <w:r>
              <w:t>接收企业堆存系统中的堆存数据</w:t>
            </w:r>
            <w:r>
              <w:rPr>
                <w:rFonts w:cs="宋体" w:hint="eastAsia"/>
              </w:rPr>
              <w:t>、及地方相关部门管理系统等进行数据交互。</w:t>
            </w:r>
          </w:p>
          <w:p>
            <w:pPr>
              <w:spacing w:line="360" w:lineRule="auto"/>
              <w:ind w:firstLine="420" w:firstLineChars="200"/>
              <w:rPr>
                <w:rFonts w:cs="宋体"/>
              </w:rPr>
            </w:pPr>
            <w:r>
              <w:rPr>
                <w:rFonts w:cs="宋体" w:hint="eastAsia"/>
              </w:rPr>
              <w:t>本项目由采购人对投标人的项目建设活动实施监管。投标人集成设计需符合中国海关的相关技术架构要求，各系统之间的数据传输需符合中国海关数据交换的规范，并根据其他系统的技术特点进行接口设计。</w:t>
            </w:r>
          </w:p>
        </w:tc>
        <w:tc>
          <w:tcPr>
            <w:tcW w:w="1419" w:type="dxa"/>
            <w:vAlign w:val="center"/>
          </w:tcPr>
          <w:p>
            <w:pPr>
              <w:spacing w:line="360" w:lineRule="auto"/>
              <w:ind w:firstLine="420" w:firstLineChars="200"/>
              <w:rPr>
                <w:rFonts w:cs="宋体"/>
              </w:rPr>
            </w:pPr>
            <w:r>
              <w:rPr>
                <w:rFonts w:cs="宋体" w:hint="eastAsia"/>
              </w:rPr>
              <w:t>否</w:t>
            </w:r>
          </w:p>
        </w:tc>
      </w:tr>
      <w:tr>
        <w:tblPrEx>
          <w:tblW w:w="8994" w:type="dxa"/>
          <w:jc w:val="left"/>
          <w:tblInd w:w="0" w:type="dxa"/>
          <w:tblLayout w:type="fixed"/>
          <w:tblCellMar>
            <w:top w:w="0" w:type="dxa"/>
            <w:left w:w="108" w:type="dxa"/>
            <w:bottom w:w="0" w:type="dxa"/>
            <w:right w:w="108" w:type="dxa"/>
          </w:tblCellMar>
        </w:tblPrEx>
        <w:trPr>
          <w:trHeight w:val="851"/>
          <w:jc w:val="left"/>
        </w:trPr>
        <w:tc>
          <w:tcPr>
            <w:tcW w:w="703" w:type="dxa"/>
            <w:vAlign w:val="center"/>
          </w:tcPr>
          <w:p>
            <w:pPr>
              <w:spacing w:line="360" w:lineRule="auto"/>
              <w:jc w:val="center"/>
            </w:pPr>
            <w:r>
              <w:rPr>
                <w:rFonts w:hint="eastAsia"/>
                <w:b/>
              </w:rPr>
              <w:t>2</w:t>
            </w:r>
          </w:p>
        </w:tc>
        <w:tc>
          <w:tcPr>
            <w:tcW w:w="1354" w:type="dxa"/>
            <w:tcBorders>
              <w:top w:val="single" w:sz="4" w:space="0" w:color="auto"/>
              <w:left w:val="single" w:sz="4" w:space="0" w:color="auto"/>
              <w:right w:val="single" w:sz="4" w:space="0" w:color="auto"/>
            </w:tcBorders>
            <w:vAlign w:val="center"/>
          </w:tcPr>
          <w:p>
            <w:pPr>
              <w:spacing w:line="360" w:lineRule="auto"/>
              <w:rPr>
                <w:b/>
              </w:rPr>
            </w:pPr>
            <w:r>
              <w:rPr>
                <w:rFonts w:hint="eastAsia"/>
                <w:b/>
              </w:rPr>
              <w:t>技术需求</w:t>
            </w:r>
          </w:p>
        </w:tc>
        <w:tc>
          <w:tcPr>
            <w:tcW w:w="5518" w:type="dxa"/>
            <w:tcBorders>
              <w:top w:val="single" w:sz="4" w:space="0" w:color="auto"/>
              <w:left w:val="single" w:sz="4" w:space="0" w:color="auto"/>
              <w:right w:val="single" w:sz="4" w:space="0" w:color="auto"/>
            </w:tcBorders>
            <w:vAlign w:val="center"/>
          </w:tcPr>
          <w:p>
            <w:pPr>
              <w:spacing w:line="360" w:lineRule="auto"/>
              <w:ind w:firstLine="482"/>
              <w:rPr>
                <w:lang w:bidi="en-US"/>
              </w:rPr>
            </w:pPr>
            <w:r>
              <w:rPr>
                <w:rFonts w:cs="宋体" w:hint="eastAsia"/>
                <w:color w:val="000000"/>
              </w:rPr>
              <w:t>本项目建设需符合中国海关的技术约束要求。</w:t>
            </w:r>
          </w:p>
        </w:tc>
        <w:tc>
          <w:tcPr>
            <w:tcW w:w="1419" w:type="dxa"/>
            <w:vAlign w:val="center"/>
          </w:tcPr>
          <w:p>
            <w:pPr>
              <w:spacing w:line="360" w:lineRule="auto"/>
              <w:ind w:firstLine="482"/>
              <w:rPr>
                <w:rFonts w:cs="宋体"/>
                <w:color w:val="000000"/>
              </w:rPr>
            </w:pPr>
            <w:r>
              <w:rPr>
                <w:rFonts w:cs="宋体" w:hint="eastAsia"/>
                <w:color w:val="000000"/>
              </w:rPr>
              <w:t>否</w:t>
            </w:r>
          </w:p>
        </w:tc>
      </w:tr>
      <w:tr>
        <w:tblPrEx>
          <w:tblW w:w="8994" w:type="dxa"/>
          <w:jc w:val="left"/>
          <w:tblInd w:w="0" w:type="dxa"/>
          <w:tblLayout w:type="fixed"/>
          <w:tblCellMar>
            <w:top w:w="0" w:type="dxa"/>
            <w:left w:w="108" w:type="dxa"/>
            <w:bottom w:w="0" w:type="dxa"/>
            <w:right w:w="108" w:type="dxa"/>
          </w:tblCellMar>
        </w:tblPrEx>
        <w:trPr>
          <w:trHeight w:val="1601"/>
          <w:jc w:val="left"/>
        </w:trPr>
        <w:tc>
          <w:tcPr>
            <w:tcW w:w="703" w:type="dxa"/>
            <w:vAlign w:val="center"/>
          </w:tcPr>
          <w:p>
            <w:pPr>
              <w:spacing w:line="360" w:lineRule="auto"/>
              <w:jc w:val="center"/>
            </w:pPr>
            <w:r>
              <w:rPr>
                <w:rFonts w:hint="eastAsia"/>
                <w:b/>
              </w:rPr>
              <w:t>3</w:t>
            </w:r>
          </w:p>
        </w:tc>
        <w:tc>
          <w:tcPr>
            <w:tcW w:w="1354" w:type="dxa"/>
            <w:tcBorders>
              <w:top w:val="single" w:sz="4" w:space="0" w:color="auto"/>
              <w:left w:val="single" w:sz="4" w:space="0" w:color="auto"/>
              <w:right w:val="single" w:sz="4" w:space="0" w:color="auto"/>
            </w:tcBorders>
            <w:vAlign w:val="center"/>
          </w:tcPr>
          <w:p>
            <w:pPr>
              <w:spacing w:line="360" w:lineRule="auto"/>
              <w:rPr>
                <w:b/>
              </w:rPr>
            </w:pPr>
            <w:r>
              <w:rPr>
                <w:rFonts w:hint="eastAsia"/>
                <w:b/>
              </w:rPr>
              <w:t>系统需求</w:t>
            </w:r>
          </w:p>
        </w:tc>
        <w:tc>
          <w:tcPr>
            <w:tcW w:w="5518" w:type="dxa"/>
            <w:tcBorders>
              <w:top w:val="single" w:sz="4" w:space="0" w:color="auto"/>
              <w:left w:val="single" w:sz="4" w:space="0" w:color="auto"/>
              <w:right w:val="single" w:sz="4" w:space="0" w:color="auto"/>
            </w:tcBorders>
            <w:vAlign w:val="center"/>
          </w:tcPr>
          <w:p>
            <w:pPr>
              <w:spacing w:line="360" w:lineRule="auto"/>
              <w:ind w:firstLine="482"/>
              <w:rPr>
                <w:rFonts w:cs="宋体"/>
                <w:color w:val="000000"/>
              </w:rPr>
            </w:pPr>
            <w:r>
              <w:rPr>
                <w:rFonts w:cs="宋体" w:hint="eastAsia"/>
                <w:color w:val="000000"/>
              </w:rPr>
              <w:t xml:space="preserve"> 本项目的建设与管理要符合同类工程的有关管理规定、技术架构、标准规范等方面要求，符合相关工程集成的设计要求及相关标准规范。</w:t>
            </w:r>
          </w:p>
          <w:p>
            <w:pPr>
              <w:spacing w:line="360" w:lineRule="auto"/>
              <w:ind w:firstLine="482"/>
              <w:rPr>
                <w:rFonts w:cs="宋体"/>
                <w:color w:val="000000"/>
              </w:rPr>
            </w:pPr>
            <w:r>
              <w:rPr>
                <w:rFonts w:cs="宋体" w:hint="eastAsia"/>
                <w:color w:val="000000"/>
              </w:rPr>
              <w:t>系统应按照项目管理要求、技术要求、集成要求和方案编制要求开展实施集工作，并接受和配合集成联调测试工作。</w:t>
            </w:r>
          </w:p>
        </w:tc>
        <w:tc>
          <w:tcPr>
            <w:tcW w:w="1419" w:type="dxa"/>
            <w:vAlign w:val="center"/>
          </w:tcPr>
          <w:p>
            <w:pPr>
              <w:spacing w:line="360" w:lineRule="auto"/>
              <w:ind w:firstLine="482"/>
              <w:rPr>
                <w:rFonts w:cs="宋体"/>
                <w:color w:val="000000"/>
              </w:rPr>
            </w:pPr>
            <w:r>
              <w:rPr>
                <w:rFonts w:cs="宋体" w:hint="eastAsia"/>
                <w:color w:val="000000"/>
              </w:rPr>
              <w:t>否</w:t>
            </w:r>
          </w:p>
        </w:tc>
      </w:tr>
    </w:tbl>
    <w:p>
      <w:pPr>
        <w:pStyle w:val="TOC7"/>
        <w:numPr>
          <w:ilvl w:val="0"/>
          <w:numId w:val="2"/>
        </w:numPr>
        <w:rPr>
          <w:rFonts w:ascii="宋体" w:hAnsi="宋体" w:hint="eastAsia"/>
        </w:rPr>
      </w:pPr>
      <w:bookmarkStart w:id="39" w:name="货物或服务指标要求"/>
      <w:r>
        <w:rPr>
          <w:rFonts w:ascii="宋体" w:hAnsi="宋体" w:hint="eastAsia"/>
        </w:rPr>
        <w:t>货物或服务指标要求</w:t>
      </w:r>
      <w:bookmarkEnd w:id="39"/>
    </w:p>
    <w:p>
      <w:pPr>
        <w:spacing w:line="360" w:lineRule="auto"/>
      </w:pPr>
      <w:r>
        <w:rPr>
          <w:rFonts w:hint="eastAsia"/>
        </w:rPr>
        <w:t>参数指标要求</w:t>
      </w:r>
    </w:p>
    <w:p>
      <w:pPr>
        <w:spacing w:line="360" w:lineRule="auto"/>
      </w:pPr>
      <w:r>
        <w:rPr>
          <w:rFonts w:hint="eastAsia"/>
        </w:rPr>
        <w:t>①★代表实质性指标，不满足该指标项将导致投标被拒绝；加 “▲”标记表示为重要指标项，无标识则表示一般指标项，如不满足将影响评分。</w:t>
      </w:r>
    </w:p>
    <w:p>
      <w:pPr>
        <w:spacing w:line="360" w:lineRule="auto"/>
      </w:pPr>
      <w:r>
        <w:rPr>
          <w:rFonts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3396"/>
        <w:gridCol w:w="1303"/>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vAlign w:val="center"/>
          </w:tcPr>
          <w:p>
            <w:pPr>
              <w:rPr>
                <w:rFonts w:cs="宋体"/>
                <w:b/>
              </w:rPr>
            </w:pPr>
            <w:bookmarkStart w:id="40" w:name="指标明细_index_Required_goodsId"/>
            <w:bookmarkEnd w:id="40"/>
            <w:r>
              <w:rPr>
                <w:rFonts w:cs="宋体" w:hint="eastAsia"/>
                <w:b/>
              </w:rPr>
              <w:t>序号</w:t>
            </w:r>
          </w:p>
        </w:tc>
        <w:tc>
          <w:tcPr>
            <w:tcW w:w="1132" w:type="dxa"/>
            <w:shd w:val="clear" w:color="A6A6A6" w:fill="A6A6A6"/>
            <w:vAlign w:val="center"/>
          </w:tcPr>
          <w:p>
            <w:pPr>
              <w:rPr>
                <w:rFonts w:cs="宋体"/>
                <w:b/>
              </w:rPr>
            </w:pPr>
            <w:r>
              <w:rPr>
                <w:rFonts w:cs="宋体" w:hint="eastAsia"/>
                <w:b/>
              </w:rPr>
              <w:t>重要性</w:t>
            </w:r>
          </w:p>
        </w:tc>
        <w:tc>
          <w:tcPr>
            <w:tcW w:w="1795" w:type="dxa"/>
            <w:shd w:val="clear" w:color="A6A6A6" w:fill="A6A6A6"/>
            <w:vAlign w:val="center"/>
          </w:tcPr>
          <w:p>
            <w:pPr>
              <w:rPr>
                <w:rFonts w:cs="宋体"/>
                <w:b/>
              </w:rPr>
            </w:pPr>
            <w:r>
              <w:rPr>
                <w:rFonts w:cs="宋体" w:hint="eastAsia"/>
                <w:b/>
              </w:rPr>
              <w:t>指标项</w:t>
            </w:r>
          </w:p>
        </w:tc>
        <w:tc>
          <w:tcPr>
            <w:tcW w:w="3396" w:type="dxa"/>
            <w:shd w:val="clear" w:color="A6A6A6" w:fill="A6A6A6"/>
            <w:vAlign w:val="center"/>
          </w:tcPr>
          <w:p>
            <w:pPr>
              <w:rPr>
                <w:rFonts w:cs="宋体"/>
                <w:b/>
              </w:rPr>
            </w:pPr>
            <w:r>
              <w:rPr>
                <w:rFonts w:cs="宋体" w:hint="eastAsia"/>
                <w:b/>
              </w:rPr>
              <w:t>指标要求</w:t>
            </w:r>
          </w:p>
        </w:tc>
        <w:tc>
          <w:tcPr>
            <w:tcW w:w="1303" w:type="dxa"/>
            <w:shd w:val="clear" w:color="A6A6A6" w:fill="A6A6A6"/>
          </w:tcPr>
          <w:p>
            <w:pPr>
              <w:jc w:val="center"/>
              <w:rPr>
                <w:rFonts w:cs="宋体"/>
                <w:b/>
              </w:rPr>
            </w:pPr>
            <w:r>
              <w:rPr>
                <w:rFonts w:cs="宋体" w:hint="eastAsia"/>
                <w:b/>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jc w:val="center"/>
              <w:rPr>
                <w:rFonts w:cs="宋体"/>
              </w:rPr>
            </w:pPr>
          </w:p>
        </w:tc>
        <w:tc>
          <w:tcPr>
            <w:tcW w:w="1132" w:type="dxa"/>
            <w:tcBorders>
              <w:top w:val="single" w:sz="4" w:space="0" w:color="auto"/>
              <w:left w:val="single" w:sz="4" w:space="0" w:color="auto"/>
              <w:right w:val="single" w:sz="4" w:space="0" w:color="auto"/>
            </w:tcBorders>
            <w:vAlign w:val="center"/>
          </w:tcPr>
          <w:p>
            <w:pPr>
              <w:ind w:firstLine="240"/>
              <w:rPr>
                <w:rFonts w:cs="宋体"/>
                <w:b/>
              </w:rPr>
            </w:pPr>
            <w:r>
              <w:rPr>
                <w:rFonts w:cs="宋体" w:hint="eastAsia"/>
              </w:rPr>
              <w:t>▲</w:t>
            </w:r>
          </w:p>
        </w:tc>
        <w:tc>
          <w:tcPr>
            <w:tcW w:w="1795" w:type="dxa"/>
            <w:tcBorders>
              <w:top w:val="single" w:sz="4" w:space="0" w:color="auto"/>
              <w:left w:val="single" w:sz="4" w:space="0" w:color="auto"/>
              <w:right w:val="single" w:sz="4" w:space="0" w:color="auto"/>
            </w:tcBorders>
            <w:vAlign w:val="center"/>
          </w:tcPr>
          <w:p>
            <w:pPr>
              <w:rPr>
                <w:rFonts w:cs="宋体"/>
                <w:lang w:bidi="en-US"/>
              </w:rPr>
            </w:pPr>
            <w:r>
              <w:rPr>
                <w:rFonts w:cs="宋体" w:hint="eastAsia"/>
                <w:lang w:bidi="en-US"/>
              </w:rPr>
              <w:t>技术要求</w:t>
            </w:r>
          </w:p>
        </w:tc>
        <w:tc>
          <w:tcPr>
            <w:tcW w:w="3396" w:type="dxa"/>
            <w:tcBorders>
              <w:top w:val="single" w:sz="4" w:space="0" w:color="auto"/>
              <w:left w:val="single" w:sz="4" w:space="0" w:color="auto"/>
              <w:right w:val="single" w:sz="4" w:space="0" w:color="auto"/>
            </w:tcBorders>
            <w:vAlign w:val="center"/>
          </w:tcPr>
          <w:p>
            <w:pPr>
              <w:tabs>
                <w:tab w:val="left" w:pos="709"/>
              </w:tabs>
              <w:spacing w:line="360" w:lineRule="auto"/>
              <w:ind w:firstLine="464"/>
              <w:rPr>
                <w:rFonts w:cs="宋体"/>
                <w:spacing w:val="-4"/>
              </w:rPr>
            </w:pPr>
            <w:r>
              <w:rPr>
                <w:rFonts w:cs="宋体" w:hint="eastAsia"/>
                <w:spacing w:val="-4"/>
              </w:rPr>
              <w:t>1、本项目所用的开发语言、开发工具、技术架构及数据库需符合中国海关的技术约束要求。</w:t>
            </w:r>
          </w:p>
          <w:p>
            <w:pPr>
              <w:tabs>
                <w:tab w:val="left" w:pos="709"/>
              </w:tabs>
              <w:spacing w:line="360" w:lineRule="auto"/>
              <w:ind w:firstLine="464"/>
              <w:rPr>
                <w:rFonts w:cs="宋体"/>
                <w:spacing w:val="-4"/>
              </w:rPr>
            </w:pPr>
            <w:r>
              <w:rPr>
                <w:rFonts w:cs="宋体" w:hint="eastAsia"/>
                <w:spacing w:val="-4"/>
              </w:rPr>
              <w:t>2、容错处理周全，考虑到用户可能的误操作以及非法参数设置，能够及时提示，避免因用户操作或系统原因导致系统死机或让用户长时间等待。</w:t>
            </w:r>
          </w:p>
          <w:p>
            <w:pPr>
              <w:tabs>
                <w:tab w:val="left" w:pos="709"/>
              </w:tabs>
              <w:spacing w:line="360" w:lineRule="auto"/>
              <w:ind w:firstLine="464"/>
              <w:rPr>
                <w:rFonts w:cs="宋体"/>
                <w:spacing w:val="-4"/>
              </w:rPr>
            </w:pPr>
            <w:r>
              <w:rPr>
                <w:rFonts w:cs="宋体" w:hint="eastAsia"/>
                <w:spacing w:val="-4"/>
              </w:rPr>
              <w:t>3、本项目应用软件的运行环境，</w:t>
            </w:r>
            <w:r>
              <w:rPr>
                <w:rFonts w:cs="宋体" w:hint="eastAsia"/>
                <w:spacing w:val="-4"/>
                <w:kern w:val="0"/>
              </w:rPr>
              <w:t>须兼容符合中国海关技术要求的国产化硬件和操作系统、中间件</w:t>
            </w:r>
            <w:r>
              <w:rPr>
                <w:rFonts w:cs="宋体" w:hint="eastAsia"/>
                <w:spacing w:val="-4"/>
              </w:rPr>
              <w:t>，例如国产服务器、国产操作系统等。对于应用软件的开发环境，须采用符合国产化技术路线的开发工具和开发环境，以确保软件开发过程与国产化方向的一致性。</w:t>
            </w:r>
          </w:p>
          <w:p>
            <w:pPr>
              <w:tabs>
                <w:tab w:val="left" w:pos="709"/>
              </w:tabs>
              <w:spacing w:line="360" w:lineRule="auto"/>
              <w:ind w:firstLine="464"/>
              <w:rPr>
                <w:rFonts w:cs="宋体"/>
                <w:spacing w:val="-4"/>
              </w:rPr>
            </w:pPr>
            <w:r>
              <w:rPr>
                <w:rFonts w:cs="宋体" w:hint="eastAsia"/>
                <w:spacing w:val="-4"/>
              </w:rPr>
              <w:t>4、本项目需通过国产化适配测试，包括但不限于与国产化硬件设备的兼容性测试。投标人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w:t>
            </w:r>
            <w:r>
              <w:rPr>
                <w:rFonts w:cs="宋体" w:hint="eastAsia"/>
                <w:lang w:bidi="en-US"/>
              </w:rPr>
              <w:t>提供必要的技术支持，包括解决在国产化适配过程中可能出现的技术问题。</w:t>
            </w:r>
          </w:p>
          <w:p>
            <w:pPr>
              <w:tabs>
                <w:tab w:val="left" w:pos="709"/>
              </w:tabs>
              <w:spacing w:line="360" w:lineRule="auto"/>
              <w:ind w:firstLine="464"/>
              <w:rPr>
                <w:rFonts w:cs="宋体"/>
                <w:spacing w:val="-4"/>
              </w:rPr>
            </w:pPr>
            <w:r>
              <w:rPr>
                <w:rFonts w:cs="宋体" w:hint="eastAsia"/>
                <w:spacing w:val="-4"/>
              </w:rPr>
              <w:t>5、软件产品工具须满足遵守中国海关的相关内控规定，系统平台具备较强的稳定性、高效性、灵活性、安全性和可靠性。</w:t>
            </w:r>
          </w:p>
        </w:tc>
        <w:tc>
          <w:tcPr>
            <w:tcW w:w="1303" w:type="dxa"/>
            <w:vAlign w:val="center"/>
          </w:tcPr>
          <w:p>
            <w:pPr>
              <w:spacing w:line="360" w:lineRule="auto"/>
              <w:jc w:val="center"/>
              <w:rPr>
                <w:rFonts w:cs="宋体"/>
                <w:lang w:bidi="en-US"/>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68"/>
          <w:jc w:val="left"/>
        </w:trPr>
        <w:tc>
          <w:tcPr>
            <w:tcW w:w="893" w:type="dxa"/>
            <w:vAlign w:val="center"/>
          </w:tcPr>
          <w:p>
            <w:pPr>
              <w:numPr>
                <w:ilvl w:val="0"/>
                <w:numId w:val="5"/>
              </w:numPr>
              <w:jc w:val="center"/>
              <w:rPr>
                <w:rFonts w:cs="宋体"/>
              </w:rPr>
            </w:pPr>
          </w:p>
        </w:tc>
        <w:tc>
          <w:tcPr>
            <w:tcW w:w="1132" w:type="dxa"/>
            <w:tcBorders>
              <w:top w:val="single" w:sz="4" w:space="0" w:color="auto"/>
              <w:left w:val="single" w:sz="4" w:space="0" w:color="auto"/>
              <w:right w:val="single" w:sz="4" w:space="0" w:color="auto"/>
            </w:tcBorders>
            <w:vAlign w:val="center"/>
          </w:tcPr>
          <w:p>
            <w:pPr>
              <w:rPr>
                <w:rFonts w:cs="宋体"/>
              </w:rPr>
            </w:pPr>
            <w:r>
              <w:rPr>
                <w:rFonts w:cs="宋体" w:hint="eastAsia"/>
              </w:rPr>
              <w:t>▲</w:t>
            </w: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jc w:val="center"/>
              <w:rPr>
                <w:rFonts w:cs="宋体"/>
                <w:spacing w:val="-4"/>
                <w:lang w:bidi="en-US"/>
              </w:rPr>
            </w:pPr>
            <w:r>
              <w:rPr>
                <w:rFonts w:cs="宋体" w:hint="eastAsia"/>
              </w:rPr>
              <w:t>环境要求</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spacing w:val="-4"/>
              </w:rPr>
            </w:pPr>
            <w:r>
              <w:rPr>
                <w:rFonts w:cs="宋体" w:hint="eastAsia"/>
              </w:rPr>
              <w:t>本项目所有操作系统和客户端浏览器需遵循</w:t>
            </w:r>
            <w:r>
              <w:rPr>
                <w:rFonts w:cs="宋体" w:hint="eastAsia"/>
                <w:color w:val="000000"/>
              </w:rPr>
              <w:t>中国海关</w:t>
            </w:r>
            <w:r>
              <w:rPr>
                <w:rFonts w:cs="宋体" w:hint="eastAsia"/>
              </w:rPr>
              <w:t>的相关约束。</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jc w:val="center"/>
              <w:rPr>
                <w:rFonts w:cs="宋体"/>
              </w:rPr>
            </w:pPr>
          </w:p>
        </w:tc>
        <w:tc>
          <w:tcPr>
            <w:tcW w:w="1132" w:type="dxa"/>
            <w:tcBorders>
              <w:top w:val="single" w:sz="4" w:space="0" w:color="auto"/>
              <w:left w:val="single" w:sz="4" w:space="0" w:color="auto"/>
              <w:right w:val="single" w:sz="4" w:space="0" w:color="auto"/>
            </w:tcBorders>
            <w:vAlign w:val="center"/>
          </w:tcPr>
          <w:p>
            <w:pP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rPr>
                <w:rFonts w:cs="宋体"/>
                <w:spacing w:val="-4"/>
                <w:lang w:bidi="en-US"/>
              </w:rPr>
            </w:pPr>
            <w:r>
              <w:rPr>
                <w:rFonts w:cs="宋体" w:hint="eastAsia"/>
                <w:spacing w:val="-4"/>
                <w:lang w:bidi="en-US"/>
              </w:rPr>
              <w:t>扩展需求指标</w:t>
            </w:r>
          </w:p>
        </w:tc>
        <w:tc>
          <w:tcPr>
            <w:tcW w:w="3396"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spacing w:val="-4"/>
              </w:rPr>
            </w:pPr>
            <w:r>
              <w:rPr>
                <w:rFonts w:cs="宋体" w:hint="eastAsia"/>
                <w:spacing w:val="-4"/>
              </w:rPr>
              <w:t>系统在设计时应充分考虑技术和业务上的扩展性。在技术设计上，应能够应对至少未来三年内，用户数按照每年1</w:t>
            </w:r>
            <w:r>
              <w:rPr>
                <w:rFonts w:cs="宋体"/>
                <w:spacing w:val="-4"/>
              </w:rPr>
              <w:t>0</w:t>
            </w:r>
            <w:r>
              <w:rPr>
                <w:rFonts w:cs="宋体" w:hint="eastAsia"/>
                <w:spacing w:val="-4"/>
              </w:rPr>
              <w:t>%的增长率增长，以及业务量按照每年1</w:t>
            </w:r>
            <w:r>
              <w:rPr>
                <w:rFonts w:cs="宋体"/>
                <w:spacing w:val="-4"/>
              </w:rPr>
              <w:t>0</w:t>
            </w:r>
            <w:r>
              <w:rPr>
                <w:rFonts w:cs="宋体" w:hint="eastAsia"/>
                <w:spacing w:val="-4"/>
              </w:rPr>
              <w:t>%的增长率增长的情况，同时确保系统性能稳定，满足业务需求。此外，系统设计应预留足够的接口、确保架构灵活性，以适应未来新增功能模块的需求，确保新业务模块能够平滑地集成到现有系统中。</w:t>
            </w:r>
          </w:p>
        </w:tc>
        <w:tc>
          <w:tcPr>
            <w:tcW w:w="1303" w:type="dxa"/>
            <w:vAlign w:val="center"/>
          </w:tcPr>
          <w:p>
            <w:pPr>
              <w:rPr>
                <w:rFonts w:cs="宋体"/>
              </w:rP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jc w:val="center"/>
              <w:rPr>
                <w:rFonts w:cs="宋体"/>
              </w:rPr>
            </w:pPr>
          </w:p>
        </w:tc>
        <w:tc>
          <w:tcPr>
            <w:tcW w:w="1132" w:type="dxa"/>
            <w:tcBorders>
              <w:top w:val="single" w:sz="4" w:space="0" w:color="auto"/>
              <w:left w:val="single" w:sz="4" w:space="0" w:color="auto"/>
              <w:right w:val="single" w:sz="4" w:space="0" w:color="auto"/>
            </w:tcBorders>
            <w:vAlign w:val="center"/>
          </w:tcPr>
          <w:p>
            <w:pPr>
              <w:ind w:firstLine="210" w:firstLineChars="100"/>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rPr>
                <w:rFonts w:cs="宋体"/>
                <w:spacing w:val="-4"/>
                <w:lang w:bidi="en-US"/>
              </w:rPr>
            </w:pPr>
            <w:r>
              <w:rPr>
                <w:rFonts w:cs="宋体" w:hint="eastAsia"/>
                <w:spacing w:val="-4"/>
                <w:lang w:bidi="en-US"/>
              </w:rPr>
              <w:t>业务应急需求</w:t>
            </w:r>
          </w:p>
        </w:tc>
        <w:tc>
          <w:tcPr>
            <w:tcW w:w="3396" w:type="dxa"/>
            <w:tcBorders>
              <w:top w:val="single" w:sz="4" w:space="0" w:color="auto"/>
              <w:left w:val="single" w:sz="4" w:space="0" w:color="auto"/>
              <w:right w:val="single" w:sz="4" w:space="0" w:color="auto"/>
            </w:tcBorders>
            <w:vAlign w:val="center"/>
          </w:tcPr>
          <w:p>
            <w:pPr>
              <w:tabs>
                <w:tab w:val="left" w:pos="709"/>
              </w:tabs>
              <w:spacing w:line="440" w:lineRule="exact"/>
              <w:ind w:firstLine="464"/>
              <w:rPr>
                <w:rFonts w:cs="宋体"/>
                <w:spacing w:val="-4"/>
              </w:rPr>
            </w:pPr>
            <w:r>
              <w:rPr>
                <w:rFonts w:cs="宋体" w:hint="eastAsia"/>
                <w:spacing w:val="-4"/>
              </w:rPr>
              <w:t>系统出现故障，技术人员</w:t>
            </w:r>
            <w:r>
              <w:rPr>
                <w:rFonts w:cs="宋体" w:hint="eastAsia"/>
              </w:rPr>
              <w:t>业务高峰期应在1个小时内修复故障，非业务高峰期应在2个小时内修复故障</w:t>
            </w:r>
            <w:r>
              <w:rPr>
                <w:rFonts w:cs="宋体" w:hint="eastAsia"/>
                <w:spacing w:val="-4"/>
              </w:rPr>
              <w:t>。并对系统数据进行备份，防止数据丢失。</w:t>
            </w:r>
          </w:p>
        </w:tc>
        <w:tc>
          <w:tcPr>
            <w:tcW w:w="1303" w:type="dxa"/>
            <w:vAlign w:val="center"/>
          </w:tcPr>
          <w:p>
            <w:pPr>
              <w:rPr>
                <w:rFonts w:cs="宋体"/>
              </w:rP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jc w:val="center"/>
              <w:rPr>
                <w:rFonts w:cs="宋体"/>
              </w:rPr>
            </w:pPr>
          </w:p>
        </w:tc>
        <w:tc>
          <w:tcPr>
            <w:tcW w:w="1132" w:type="dxa"/>
            <w:tcBorders>
              <w:top w:val="single" w:sz="4" w:space="0" w:color="auto"/>
              <w:left w:val="single" w:sz="4" w:space="0" w:color="auto"/>
              <w:right w:val="single" w:sz="4" w:space="0" w:color="auto"/>
            </w:tcBorders>
            <w:vAlign w:val="center"/>
          </w:tcPr>
          <w:p>
            <w:pPr>
              <w:ind w:firstLine="210" w:firstLineChars="100"/>
              <w:rPr>
                <w:rFonts w:cs="宋体"/>
              </w:rPr>
            </w:pPr>
            <w:r>
              <w:rPr>
                <w:rFonts w:cs="宋体" w:hint="eastAsia"/>
              </w:rPr>
              <w:t>▲</w:t>
            </w: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rPr>
                <w:rFonts w:cs="宋体"/>
                <w:spacing w:val="-4"/>
                <w:lang w:bidi="en-US"/>
              </w:rPr>
            </w:pPr>
            <w:r>
              <w:rPr>
                <w:rFonts w:cs="宋体" w:hint="eastAsia"/>
                <w:spacing w:val="-4"/>
                <w:lang w:bidi="en-US"/>
              </w:rPr>
              <w:t>业务安全需求</w:t>
            </w:r>
          </w:p>
        </w:tc>
        <w:tc>
          <w:tcPr>
            <w:tcW w:w="3396" w:type="dxa"/>
            <w:tcBorders>
              <w:top w:val="single" w:sz="4" w:space="0" w:color="auto"/>
              <w:left w:val="single" w:sz="4" w:space="0" w:color="auto"/>
              <w:right w:val="single" w:sz="4" w:space="0" w:color="auto"/>
            </w:tcBorders>
            <w:vAlign w:val="center"/>
          </w:tcPr>
          <w:p>
            <w:pPr>
              <w:tabs>
                <w:tab w:val="left" w:pos="709"/>
              </w:tabs>
              <w:spacing w:line="360" w:lineRule="auto"/>
              <w:ind w:firstLine="464"/>
              <w:rPr>
                <w:rFonts w:cs="宋体"/>
                <w:spacing w:val="-4"/>
              </w:rPr>
            </w:pPr>
            <w:r>
              <w:rPr>
                <w:rFonts w:cs="宋体" w:hint="eastAsia"/>
                <w:spacing w:val="-4"/>
              </w:rPr>
              <w:t>1、数据保密性</w:t>
            </w:r>
          </w:p>
          <w:p>
            <w:pPr>
              <w:tabs>
                <w:tab w:val="left" w:pos="709"/>
              </w:tabs>
              <w:spacing w:line="360" w:lineRule="auto"/>
              <w:ind w:firstLine="464"/>
              <w:rPr>
                <w:rFonts w:cs="宋体"/>
                <w:spacing w:val="-4"/>
              </w:rPr>
            </w:pPr>
            <w:r>
              <w:rPr>
                <w:rFonts w:cs="宋体" w:hint="eastAsia"/>
                <w:spacing w:val="-4"/>
              </w:rPr>
              <w:t>该系统主要为</w:t>
            </w:r>
            <w:r>
              <w:rPr>
                <w:rFonts w:cs="宋体" w:hint="eastAsia"/>
              </w:rPr>
              <w:t>一般数据</w:t>
            </w:r>
            <w:r>
              <w:rPr>
                <w:rFonts w:cs="宋体" w:hint="eastAsia"/>
                <w:spacing w:val="-4"/>
              </w:rPr>
              <w:t>，不涉及敏感数据。系统配置文件中涉及数据库连接的数据库账号及密码存储，应采取中国海关认可的、统一的、标准的密码技术对其进行加密，确保其存储的保密性。</w:t>
            </w:r>
          </w:p>
          <w:p>
            <w:pPr>
              <w:tabs>
                <w:tab w:val="left" w:pos="709"/>
              </w:tabs>
              <w:spacing w:line="360" w:lineRule="auto"/>
              <w:ind w:firstLine="464"/>
              <w:rPr>
                <w:rFonts w:cs="宋体"/>
                <w:spacing w:val="-4"/>
                <w:highlight w:val="yellow"/>
              </w:rPr>
            </w:pPr>
            <w:r>
              <w:rPr>
                <w:rFonts w:cs="宋体" w:hint="eastAsia"/>
                <w:spacing w:val="-4"/>
              </w:rPr>
              <w:t>2、</w:t>
            </w:r>
            <w:r>
              <w:rPr>
                <w:rFonts w:cs="宋体" w:hint="eastAsia"/>
              </w:rPr>
              <w:t>数据完整性需求</w:t>
            </w:r>
          </w:p>
          <w:p>
            <w:pPr>
              <w:tabs>
                <w:tab w:val="left" w:pos="709"/>
              </w:tabs>
              <w:spacing w:line="360" w:lineRule="auto"/>
              <w:ind w:firstLine="464"/>
              <w:rPr>
                <w:rFonts w:cs="宋体"/>
              </w:rPr>
            </w:pPr>
            <w:r>
              <w:rPr>
                <w:rFonts w:cs="宋体" w:hint="eastAsia"/>
              </w:rPr>
              <w:t>应采取中国海关认可的、统一的、标准的相关技术保障数据在传输、存储和处理过程中不被篡改、丢失或损坏，以确保数据的完整性。</w:t>
            </w:r>
          </w:p>
          <w:p>
            <w:pPr>
              <w:tabs>
                <w:tab w:val="left" w:pos="709"/>
              </w:tabs>
              <w:spacing w:line="360" w:lineRule="auto"/>
              <w:ind w:firstLine="464"/>
              <w:rPr>
                <w:rFonts w:cs="宋体"/>
                <w:spacing w:val="-4"/>
              </w:rPr>
            </w:pPr>
            <w:r>
              <w:rPr>
                <w:rFonts w:cs="宋体" w:hint="eastAsia"/>
                <w:spacing w:val="-4"/>
              </w:rPr>
              <w:t>3、业务安全审计</w:t>
            </w:r>
          </w:p>
          <w:p>
            <w:pPr>
              <w:tabs>
                <w:tab w:val="left" w:pos="709"/>
              </w:tabs>
              <w:spacing w:line="360" w:lineRule="auto"/>
              <w:ind w:firstLine="464"/>
              <w:rPr>
                <w:rFonts w:cs="宋体"/>
                <w:spacing w:val="-4"/>
              </w:rPr>
            </w:pPr>
            <w:r>
              <w:rPr>
                <w:rFonts w:cs="宋体" w:hint="eastAsia"/>
                <w:spacing w:val="-4"/>
              </w:rPr>
              <w:t>为确保业务安全，系统需要记录详尽的用户操作行为日志，包括用户的关键操作行为、操作时间戳、请求与响应的相关信息等。日志内容应详细到每个操作的主键、执行操作的用户ID、操作描述、涉及的服务名称、接收到请求的时间、响应时间、操作耗时、请求参数、响应结果以及日志的创建时间。日志记录应被保存至少六个月，并且在整个保存周期内，其内容不应被删除、修改或覆盖。</w:t>
            </w:r>
          </w:p>
          <w:p>
            <w:pPr>
              <w:tabs>
                <w:tab w:val="left" w:pos="709"/>
              </w:tabs>
              <w:spacing w:line="360" w:lineRule="auto"/>
              <w:ind w:firstLine="464"/>
              <w:rPr>
                <w:rFonts w:cs="宋体"/>
                <w:spacing w:val="-4"/>
              </w:rPr>
            </w:pPr>
            <w:r>
              <w:rPr>
                <w:rFonts w:cs="宋体" w:hint="eastAsia"/>
                <w:spacing w:val="-4"/>
              </w:rPr>
              <w:t>此外，系统还需实现对数据操作（如查询、下载、修改、删除等）的日志记录功能，记录的内容应包含操作时间、执行操作的人员及其账号、用户ID、操作的目标数据对象（如数据表、数据项）、执行的操作指令、操作用设备的相关信息（如设备IP或物理地址）、操作涉及的数据量以及操作的最终结果。操作日志的留存时间应满足不少于三年的要求。</w:t>
            </w:r>
          </w:p>
        </w:tc>
        <w:tc>
          <w:tcPr>
            <w:tcW w:w="1303" w:type="dxa"/>
            <w:vAlign w:val="center"/>
          </w:tcPr>
          <w:p>
            <w:pPr>
              <w:spacing w:line="360" w:lineRule="auto"/>
              <w:rPr>
                <w:rFonts w:cs="宋体"/>
              </w:rPr>
            </w:pPr>
            <w:r>
              <w:rPr>
                <w:rFonts w:cs="宋体" w:hint="eastAsia"/>
              </w:rPr>
              <w:t>是，提供业务安全需求响应方案，并加盖单位公章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spacing w:line="360" w:lineRule="auto"/>
              <w:jc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rPr>
                <w:rFonts w:cs="宋体"/>
                <w:spacing w:val="-4"/>
                <w:lang w:bidi="en-US"/>
              </w:rPr>
            </w:pPr>
            <w:r>
              <w:rPr>
                <w:rFonts w:cs="宋体" w:hint="eastAsia"/>
                <w:spacing w:val="-4"/>
                <w:lang w:bidi="en-US"/>
              </w:rPr>
              <w:t>标准规范要求</w:t>
            </w:r>
          </w:p>
        </w:tc>
        <w:tc>
          <w:tcPr>
            <w:tcW w:w="3396" w:type="dxa"/>
            <w:tcBorders>
              <w:top w:val="single" w:sz="4" w:space="0" w:color="auto"/>
              <w:left w:val="single" w:sz="4" w:space="0" w:color="auto"/>
              <w:right w:val="single" w:sz="4" w:space="0" w:color="auto"/>
            </w:tcBorders>
            <w:vAlign w:val="center"/>
          </w:tcPr>
          <w:p>
            <w:pPr>
              <w:tabs>
                <w:tab w:val="left" w:pos="709"/>
              </w:tabs>
              <w:spacing w:line="360" w:lineRule="auto"/>
              <w:ind w:firstLine="464"/>
              <w:rPr>
                <w:rFonts w:cs="宋体"/>
                <w:spacing w:val="-4"/>
              </w:rPr>
            </w:pPr>
            <w:r>
              <w:rPr>
                <w:rFonts w:cs="宋体" w:hint="eastAsia"/>
                <w:spacing w:val="-4"/>
              </w:rPr>
              <w:t>系统建设应遵从中国海关信息化标准体系，包括总体标准、基础设施标准、信息资源标准、应用标准、信息安全标准和信息化管理标准六个分体系。</w:t>
            </w:r>
          </w:p>
          <w:p>
            <w:pPr>
              <w:tabs>
                <w:tab w:val="left" w:pos="709"/>
              </w:tabs>
              <w:spacing w:line="360" w:lineRule="auto"/>
              <w:ind w:firstLine="464"/>
              <w:rPr>
                <w:rFonts w:cs="宋体"/>
                <w:spacing w:val="-4"/>
              </w:rPr>
            </w:pPr>
            <w:r>
              <w:rPr>
                <w:rFonts w:cs="宋体" w:hint="eastAsia"/>
                <w:spacing w:val="-4"/>
              </w:rPr>
              <w:t>系统需要采用统一数据规范标准，遵从应用建设的各项技术标准及规范，遵从相关的海关标准要求。</w:t>
            </w:r>
          </w:p>
          <w:p>
            <w:pPr>
              <w:tabs>
                <w:tab w:val="left" w:pos="709"/>
              </w:tabs>
              <w:spacing w:line="360" w:lineRule="auto"/>
              <w:ind w:firstLine="464"/>
              <w:rPr>
                <w:rFonts w:cs="宋体"/>
              </w:rPr>
            </w:pPr>
            <w:r>
              <w:rPr>
                <w:rFonts w:cs="宋体" w:hint="eastAsia"/>
                <w:spacing w:val="-4"/>
              </w:rPr>
              <w:t>投标人需向采购人提供服务相关体系文件进行报备，包括但不限于制度、标准、指南、模板、说明等内容。</w:t>
            </w:r>
          </w:p>
        </w:tc>
        <w:tc>
          <w:tcPr>
            <w:tcW w:w="1303" w:type="dxa"/>
            <w:vAlign w:val="center"/>
          </w:tcPr>
          <w:p>
            <w:pPr>
              <w:spacing w:line="360" w:lineRule="auto"/>
              <w:rPr>
                <w:rFonts w:cs="宋体"/>
              </w:rP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spacing w:line="360" w:lineRule="auto"/>
              <w:jc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w:t>
            </w: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安全要求</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1、系统开发应遵循海关信息系统开发建设的有关标准和规范，并在海关信息化项目管理、网络安全管理相关规定的指导下进行设计、开发、实施。</w:t>
            </w:r>
          </w:p>
          <w:p>
            <w:pPr>
              <w:spacing w:line="360" w:lineRule="auto"/>
              <w:ind w:firstLine="420" w:firstLineChars="200"/>
              <w:rPr>
                <w:rFonts w:cs="宋体"/>
              </w:rPr>
            </w:pPr>
            <w:r>
              <w:rPr>
                <w:rFonts w:cs="宋体" w:hint="eastAsia"/>
              </w:rPr>
              <w:t>2、交付物中必须使用正版工具软件。</w:t>
            </w:r>
          </w:p>
          <w:p>
            <w:pPr>
              <w:spacing w:line="360" w:lineRule="auto"/>
              <w:ind w:firstLine="420" w:firstLineChars="200"/>
              <w:rPr>
                <w:rFonts w:cs="宋体"/>
              </w:rPr>
            </w:pPr>
            <w:r>
              <w:rPr>
                <w:rFonts w:cs="宋体" w:hint="eastAsia"/>
              </w:rPr>
              <w:t>3、系统在安全运行方面可采用多种手段以满足《网络安全法》和网络安全等级保护的相关要求：如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spacing w:line="360" w:lineRule="auto"/>
              <w:ind w:firstLine="420" w:firstLineChars="200"/>
              <w:rPr>
                <w:rFonts w:cs="宋体"/>
              </w:rPr>
            </w:pPr>
            <w:r>
              <w:rPr>
                <w:rFonts w:cs="宋体" w:hint="eastAsia"/>
              </w:rPr>
              <w:t>4、</w:t>
            </w:r>
            <w:r>
              <w:rPr>
                <w:rFonts w:cs="宋体" w:hint="eastAsia"/>
                <w:color w:val="000000"/>
              </w:rPr>
              <w:t>网络安全等保级别为三级</w:t>
            </w:r>
            <w:r>
              <w:rPr>
                <w:rFonts w:cs="宋体" w:hint="eastAsia"/>
              </w:rPr>
              <w:t>。</w:t>
            </w:r>
          </w:p>
          <w:p>
            <w:pPr>
              <w:spacing w:line="360" w:lineRule="auto"/>
              <w:ind w:firstLine="420" w:firstLineChars="200"/>
              <w:rPr>
                <w:rFonts w:cs="宋体"/>
              </w:rPr>
            </w:pPr>
            <w:r>
              <w:rPr>
                <w:rFonts w:cs="宋体" w:hint="eastAsia"/>
              </w:rPr>
              <w:t>5、本项目中应用系统数据传输及存储需按海关相关管理规定执行。</w:t>
            </w:r>
          </w:p>
          <w:p>
            <w:pPr>
              <w:spacing w:line="360" w:lineRule="auto"/>
              <w:ind w:firstLine="420" w:firstLineChars="200"/>
              <w:rPr>
                <w:rFonts w:cs="宋体"/>
              </w:rPr>
            </w:pPr>
            <w:r>
              <w:rPr>
                <w:rFonts w:cs="宋体" w:hint="eastAsia"/>
              </w:rPr>
              <w:t>6、满足采购人关于项目团队及工作场地等方面的安全与保密管理的策略或具体措施。</w:t>
            </w:r>
          </w:p>
          <w:p>
            <w:pPr>
              <w:spacing w:line="360" w:lineRule="auto"/>
              <w:ind w:firstLine="420" w:firstLineChars="200"/>
              <w:rPr>
                <w:rFonts w:cs="宋体"/>
              </w:rPr>
            </w:pPr>
            <w:r>
              <w:rPr>
                <w:rFonts w:cs="宋体" w:hint="eastAsia"/>
              </w:rPr>
              <w:t>7、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spacing w:line="360" w:lineRule="auto"/>
              <w:ind w:firstLine="420" w:firstLineChars="200"/>
              <w:rPr>
                <w:rFonts w:cs="宋体"/>
              </w:rPr>
            </w:pPr>
            <w:r>
              <w:rPr>
                <w:rFonts w:cs="宋体" w:hint="eastAsia"/>
              </w:rPr>
              <w:t>8、开发团队和测试团队必须在海关内部研发网进行工作，所有成果物都不能从海关内部研发网传出。</w:t>
            </w:r>
          </w:p>
          <w:p>
            <w:pPr>
              <w:spacing w:line="360" w:lineRule="auto"/>
              <w:ind w:firstLine="420" w:firstLineChars="200"/>
              <w:rPr>
                <w:rFonts w:cs="宋体"/>
              </w:rPr>
            </w:pPr>
            <w:r>
              <w:rPr>
                <w:rFonts w:cs="宋体" w:hint="eastAsia"/>
              </w:rPr>
              <w:t>9、对于海关提供的资料，不得以任何形式向第三方传播。保密期限不受本项目期限的限制，在本项目履行完毕后，需承担保密义务。</w:t>
            </w:r>
          </w:p>
          <w:p>
            <w:pPr>
              <w:spacing w:line="360" w:lineRule="auto"/>
              <w:ind w:firstLine="420" w:firstLineChars="200"/>
              <w:rPr>
                <w:rFonts w:cs="宋体"/>
                <w:spacing w:val="-4"/>
                <w:lang w:bidi="en-US"/>
              </w:rPr>
            </w:pPr>
            <w:r>
              <w:rPr>
                <w:rFonts w:cs="宋体" w:hint="eastAsia"/>
              </w:rPr>
              <w:t>10、必须保障系统的开发安全、应用程序安全、网络安全、设备安全和数据安全。用户身份认证必须符合海关安全管理规定。系统在有效地为管理部门和生产部门提供服务的同时，还必须确保不影响数据网络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spacing w:line="360" w:lineRule="auto"/>
              <w:jc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rPr>
                <w:rFonts w:cs="宋体"/>
                <w:spacing w:val="-4"/>
                <w:lang w:bidi="en-US"/>
              </w:rPr>
            </w:pPr>
            <w:r>
              <w:rPr>
                <w:rFonts w:cs="宋体" w:hint="eastAsia"/>
                <w:spacing w:val="-4"/>
                <w:lang w:bidi="en-US"/>
              </w:rPr>
              <w:t>风险及质量管理要求</w:t>
            </w:r>
          </w:p>
        </w:tc>
        <w:tc>
          <w:tcPr>
            <w:tcW w:w="3396" w:type="dxa"/>
            <w:tcBorders>
              <w:top w:val="single" w:sz="4" w:space="0" w:color="auto"/>
              <w:left w:val="single" w:sz="4" w:space="0" w:color="auto"/>
              <w:right w:val="single" w:sz="4" w:space="0" w:color="auto"/>
            </w:tcBorders>
            <w:vAlign w:val="center"/>
          </w:tcPr>
          <w:p>
            <w:pPr>
              <w:tabs>
                <w:tab w:val="left" w:pos="709"/>
              </w:tabs>
              <w:spacing w:line="360" w:lineRule="auto"/>
              <w:ind w:firstLine="464"/>
              <w:rPr>
                <w:rFonts w:cs="宋体"/>
                <w:spacing w:val="-4"/>
              </w:rPr>
            </w:pPr>
            <w:r>
              <w:rPr>
                <w:rFonts w:cs="宋体" w:hint="eastAsia"/>
                <w:spacing w:val="-4"/>
              </w:rPr>
              <w:t>投标人应提供完整的风险管理方案，分析本应用建设过程中的风险，并提出规避及应对措施。</w:t>
            </w:r>
          </w:p>
          <w:p>
            <w:pPr>
              <w:tabs>
                <w:tab w:val="left" w:pos="709"/>
              </w:tabs>
              <w:spacing w:line="360" w:lineRule="auto"/>
              <w:ind w:firstLine="464"/>
              <w:rPr>
                <w:rFonts w:cs="宋体"/>
                <w:spacing w:val="-4"/>
              </w:rPr>
            </w:pPr>
            <w:r>
              <w:rPr>
                <w:rFonts w:cs="宋体" w:hint="eastAsia"/>
                <w:spacing w:val="-4"/>
              </w:rPr>
              <w:t>投标人应提供质量管理方案，旨在确保项目及其交付结果符合相关质量标准要求，方案需包括制定质量管理总体框架，制定项目质量保证原则等。</w:t>
            </w:r>
          </w:p>
          <w:p>
            <w:pPr>
              <w:tabs>
                <w:tab w:val="left" w:pos="709"/>
              </w:tabs>
              <w:spacing w:line="360" w:lineRule="auto"/>
              <w:ind w:firstLine="464"/>
              <w:rPr>
                <w:rFonts w:cs="宋体"/>
                <w:spacing w:val="-4"/>
              </w:rPr>
            </w:pPr>
            <w:r>
              <w:rPr>
                <w:rFonts w:cs="宋体" w:hint="eastAsia"/>
                <w:spacing w:val="-4"/>
              </w:rPr>
              <w:t>投标人需按采购人要求，解决各类风险、问题。</w:t>
            </w:r>
          </w:p>
          <w:p>
            <w:pPr>
              <w:tabs>
                <w:tab w:val="left" w:pos="709"/>
              </w:tabs>
              <w:spacing w:line="360" w:lineRule="auto"/>
              <w:ind w:firstLine="464"/>
              <w:rPr>
                <w:rFonts w:cs="宋体"/>
                <w:spacing w:val="-4"/>
              </w:rPr>
            </w:pPr>
            <w:r>
              <w:rPr>
                <w:rFonts w:cs="宋体" w:hint="eastAsia"/>
                <w:spacing w:val="-4"/>
              </w:rPr>
              <w:t>项目开展中架构管控要求变更，投标人应配合开展相关工作。</w:t>
            </w:r>
          </w:p>
          <w:p>
            <w:pPr>
              <w:tabs>
                <w:tab w:val="left" w:pos="709"/>
              </w:tabs>
              <w:spacing w:line="360" w:lineRule="auto"/>
              <w:ind w:firstLine="464"/>
              <w:rPr>
                <w:rFonts w:cs="宋体"/>
                <w:spacing w:val="-4"/>
                <w:lang w:bidi="en-US"/>
              </w:rPr>
            </w:pPr>
            <w:r>
              <w:rPr>
                <w:rFonts w:cs="宋体" w:hint="eastAsia"/>
                <w:spacing w:val="-4"/>
              </w:rPr>
              <w:t>投标人需接受采购人驻场监管，为相应工作开展提供便利条件，协助完成相应审核、检查等。</w:t>
            </w:r>
          </w:p>
        </w:tc>
        <w:tc>
          <w:tcPr>
            <w:tcW w:w="1303" w:type="dxa"/>
            <w:vAlign w:val="center"/>
          </w:tcPr>
          <w:p>
            <w:pPr>
              <w:spacing w:line="360" w:lineRule="auto"/>
              <w:rPr>
                <w:rFonts w:cs="宋体"/>
              </w:rPr>
            </w:pPr>
            <w:r>
              <w:rPr>
                <w:rFonts w:cs="宋体" w:hint="eastAsia"/>
              </w:rPr>
              <w:t>是，提供风险及质量管理响应方案，并加盖单位公章</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通关服务升级-单证审核</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单证审核服务，单证审核是指为海南自贸港“一线”进出境、“二线”出岛报关单单证审核作业提供基础服务，为支持海南一线进口报关单、二线出岛报关单、一线径予放行申报单的不同单证审核流程，支持灵活的横向扩展，也同步支持纵向扩展，同时支持其他通关类业务调用。</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通关服务升级-单证审核-审核权限校验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系统校验关员所属关区和角色并与报关单数据进行比对校验，并判断是否具备现场审核权限，现场审核权限区分高级权限与低级权限。</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通关服务升级-单证审核-审核基础数据校验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系统校验报关单数据是否满足单证审核作业条件，对满足条件的进行后续作业处置。对于已完成现场审核、放行、结关的单证则不允许再次现场审核。</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通关服务升级-单证审核-审核派单校验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系统校验报关单数据是否满足单证审核作业条件，对满足条件的进行后续作业处置。</w:t>
            </w:r>
          </w:p>
          <w:p>
            <w:pPr>
              <w:spacing w:line="360" w:lineRule="auto"/>
              <w:ind w:firstLine="420" w:firstLineChars="200"/>
              <w:rPr>
                <w:rFonts w:cs="宋体"/>
              </w:rPr>
            </w:pPr>
            <w:r>
              <w:rPr>
                <w:rFonts w:cs="宋体" w:hint="eastAsia"/>
              </w:rPr>
              <w:t>已经派单的单证只有现场审核人才能进行现场审核处置，如未派单，则不作此限制。</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通关服务升级-单证审核-审核随附单据校验</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系统校验报关单数据是否满足单证审核作业条件，对满足条件的进行后续作业处置。</w:t>
            </w:r>
          </w:p>
          <w:p>
            <w:pPr>
              <w:spacing w:line="360" w:lineRule="auto"/>
              <w:rPr>
                <w:rFonts w:cs="宋体"/>
              </w:rPr>
            </w:pPr>
            <w:r>
              <w:rPr>
                <w:rFonts w:cs="宋体" w:hint="eastAsia"/>
              </w:rPr>
              <w:t>已经派单的单证只有现场审核人才能进行现场审核处置，如未派单，则不作此限制。</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通关服务升级-单证审核-审核监管证件校验及处置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系统校验报关单数据是否满足单证审核作业条件，对满足条件的且存在监管证件校验的进行后续作业处置。</w:t>
            </w:r>
          </w:p>
          <w:p>
            <w:pPr>
              <w:spacing w:line="360" w:lineRule="auto"/>
              <w:ind w:firstLine="420" w:firstLineChars="200"/>
              <w:rPr>
                <w:rFonts w:cs="宋体"/>
              </w:rPr>
            </w:pPr>
            <w:r>
              <w:rPr>
                <w:rFonts w:cs="宋体" w:hint="eastAsia"/>
              </w:rPr>
              <w:t>审核时需对监管证件进行核注检查操作，对于检查通过的单证，需调用监管证件服务接口进行监管证件的核注处置。该功能可根据海南业务需求灵活调整。</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通关服务升级-单证审核-审核环节记录</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系统校验报关单数据是否满足单证审核作业条件，对满足条件的环节信息记录并进行后续作业处置。</w:t>
            </w:r>
          </w:p>
          <w:p>
            <w:pPr>
              <w:spacing w:line="360" w:lineRule="auto"/>
              <w:ind w:firstLine="420" w:firstLineChars="200"/>
              <w:rPr>
                <w:rFonts w:cs="宋体"/>
              </w:rPr>
            </w:pPr>
            <w:r>
              <w:rPr>
                <w:rFonts w:cs="宋体" w:hint="eastAsia"/>
              </w:rPr>
              <w:t>对于执行完审核操作的单证，可记录现场审核环节信息，便于海南现场查询当前单证所处的环节。</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通关服务升级-单证审核-审核消息通知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系统校验报关单数据是否满足单证审核作业完成条件，对满足条件的通知周边系统进行后续作业处置。</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通关服务升级-核注核销</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升级核注核销服务，核注核销主要是对通关过程中涉及的舱单物流单证、禁限管制类监管证件在申报时进行核注、放行时进行核销的处理流程。</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通关服务升级-核注核销-统一证件服务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统一证件服务主要为通关流程提供统一证件公共服务，针对现有联网核查的监管证件进行处置，其中包含监管证件数据接收、监管证件数据检查、监管证件核注检查、监管证件核注、监管证件反核注、监管证件核销检查、监管证件核销、监管证件反核销、监管证件核销通知等功能。</w:t>
            </w:r>
          </w:p>
          <w:p>
            <w:pPr>
              <w:spacing w:line="360" w:lineRule="auto"/>
              <w:ind w:firstLine="420" w:firstLineChars="200"/>
              <w:rPr>
                <w:rFonts w:cs="宋体"/>
              </w:rPr>
            </w:pPr>
            <w:r>
              <w:rPr>
                <w:rFonts w:cs="宋体" w:hint="eastAsia"/>
              </w:rPr>
              <w:t>统一证件服务支持海南不同类型货物的通关单证在通关流程不同环节进行监管证件检验。</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通关服务升级-通关资质</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升级通关资质服务，通关资质支持“一线”进出境、“二线”出岛报关单数据进行企业通关资质校验和产品资质校验等。</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通关服务升级-通关资质-企业资信校验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企业资信校验是提供企业申报单证数据内容中企业信息的校验服务，对企业资信进行申报单位报关资格检查、境内收发货人信息检查、生产销售使用单位信息检查等内容，并向调用方反馈检查结果。</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通关服务升级-通关资质-产品资质校验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产品资质校验提供对企业申报单证数据内容中产品资质信息的校验服务，主要涉及产品资质类型检查、产品资质编号检查等内容，对产品资质进行强制性产品认证资质证书、特种设备制造产品许可资质证书、婴幼儿配方乳粉等产品资质类型的检查，并向调用方反馈检查结果。</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通关服务升级-计税支付-统一税费服务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升级计税支付-统一税费服务，统一税费服务整合了免税、征税、关联规则处理以及多项计算服务能力，主要服务于免税记录、征税数据、关联规则判别等核心环节。</w:t>
            </w:r>
          </w:p>
          <w:p>
            <w:pPr>
              <w:spacing w:line="360" w:lineRule="auto"/>
              <w:ind w:firstLine="420" w:firstLineChars="200"/>
              <w:rPr>
                <w:rFonts w:cs="宋体"/>
              </w:rPr>
            </w:pPr>
            <w:r>
              <w:rPr>
                <w:rFonts w:cs="宋体" w:hint="eastAsia"/>
              </w:rPr>
              <w:t>服务首先依据免税、征税、关联规则进行判别，随后根据判别结果执行相应处理。</w:t>
            </w:r>
          </w:p>
          <w:p>
            <w:pPr>
              <w:spacing w:line="360" w:lineRule="auto"/>
              <w:ind w:firstLine="420" w:firstLineChars="200"/>
              <w:rPr>
                <w:rFonts w:cs="宋体"/>
              </w:rPr>
            </w:pPr>
            <w:r>
              <w:rPr>
                <w:rFonts w:cs="宋体" w:hint="eastAsia"/>
              </w:rPr>
              <w:t>统一税费服务优先为海南自贸港提供相应服务接口，供海南相关业务系统调用，同时满足其他税费业务场景调用服务需求。</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通关服务升级-计税支付-统一税费服务-免税规则处置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在H2018电子审单环节、H2018修撤环节， 税费计算针对支持其免税规则的处理，对于相应政策对申报单证根据设置的免税规则进行免关税处理。</w:t>
            </w:r>
          </w:p>
          <w:p>
            <w:pPr>
              <w:spacing w:line="360" w:lineRule="auto"/>
              <w:ind w:firstLine="420" w:firstLineChars="200"/>
              <w:rPr>
                <w:rFonts w:cs="宋体"/>
              </w:rPr>
            </w:pPr>
            <w:r>
              <w:rPr>
                <w:rFonts w:cs="宋体" w:hint="eastAsia"/>
              </w:rPr>
              <w:t>主要包括：免税规则判断、免税计征等功能。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通关服务升级-计税支付-统一税费服务-免征记录</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在H2018电子审单环节、H2018修撤环节，针对符合免税规则的报关数据进行记录。</w:t>
            </w:r>
          </w:p>
          <w:p>
            <w:pPr>
              <w:spacing w:line="360" w:lineRule="auto"/>
              <w:ind w:firstLine="420" w:firstLineChars="200"/>
              <w:rPr>
                <w:rFonts w:cs="宋体"/>
              </w:rPr>
            </w:pPr>
            <w:r>
              <w:rPr>
                <w:rFonts w:cs="宋体" w:hint="eastAsia"/>
              </w:rPr>
              <w:t>主要包括：免征记录新增、删除等功能。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通关服务升级-计税支付-统一税费服务-征税规则处置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在H2018电子审单环节、H2018修撤环节， 税费计算针对支持其征税规则的处理，对于相应政策对报关单根据设置的征税规则进行征税计征处理。</w:t>
            </w:r>
          </w:p>
          <w:p>
            <w:pPr>
              <w:spacing w:line="360" w:lineRule="auto"/>
              <w:ind w:firstLine="420" w:firstLineChars="200"/>
              <w:rPr>
                <w:rFonts w:cs="宋体"/>
              </w:rPr>
            </w:pPr>
            <w:r>
              <w:rPr>
                <w:rFonts w:cs="宋体" w:hint="eastAsia"/>
              </w:rPr>
              <w:t>主要包括：征税规则判断、征税计征等功能。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通关服务升级-计税支付-统一税费服务-征税数据记录</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在H2018电子审单环节、H2018修撤环节，针对符合征税规则的报关数据进行记录。</w:t>
            </w:r>
          </w:p>
          <w:p>
            <w:pPr>
              <w:spacing w:line="360" w:lineRule="auto"/>
              <w:ind w:firstLine="420" w:firstLineChars="200"/>
              <w:rPr>
                <w:rFonts w:cs="宋体"/>
              </w:rPr>
            </w:pPr>
            <w:r>
              <w:rPr>
                <w:rFonts w:cs="宋体" w:hint="eastAsia"/>
              </w:rPr>
              <w:t>主要包括：征税记录新增、删除等功能。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通关服务升级-计税支付-统一税费服务-关联规则处置</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在H2018电子审单环节、H2018修撤环节，针对若其一线进境后征税，境内加工增值30%，则对应二线出岛报关单免征其关税。</w:t>
            </w:r>
          </w:p>
          <w:p>
            <w:pPr>
              <w:spacing w:line="360" w:lineRule="auto"/>
              <w:rPr>
                <w:rFonts w:cs="宋体"/>
              </w:rPr>
            </w:pPr>
            <w:r>
              <w:rPr>
                <w:rFonts w:cs="宋体" w:hint="eastAsia"/>
              </w:rPr>
              <w:t>针对一线进境后报关征税，则境内加工增值30%计征。对应二线出岛报关单则免征其关税计征。</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通关服务升级-计税支付-统一税费服务-计税数据获取</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税费计算根据计税要素从通关单证表头、表体、随附单证等企业申报数据项中获取计税需要的数据，并进行基本校验，不满足计征条件的进行退单处理。</w:t>
            </w:r>
          </w:p>
          <w:p>
            <w:pPr>
              <w:spacing w:line="360" w:lineRule="auto"/>
              <w:rPr>
                <w:rFonts w:cs="宋体"/>
              </w:rPr>
            </w:pPr>
            <w:r>
              <w:rPr>
                <w:rFonts w:cs="宋体" w:hint="eastAsia"/>
              </w:rPr>
              <w:t>主要包括：计税征税参数获取、计税参数数据查询获取等功能。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通关服务升级-计税支付-统一税费服务-计税规则检查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计税基本参数满足计税要求后，系统根据设置的计税规则进行检查，检查申报的商品满足计征各类税费的条件，不满足的不计征，满足的记录其符合计征的数据项目，满足滞报金计征条件的征收对应的滞报金。</w:t>
            </w:r>
          </w:p>
          <w:p>
            <w:pPr>
              <w:spacing w:line="360" w:lineRule="auto"/>
              <w:ind w:firstLine="420" w:firstLineChars="200"/>
              <w:rPr>
                <w:rFonts w:cs="宋体"/>
              </w:rPr>
            </w:pPr>
            <w:r>
              <w:rPr>
                <w:rFonts w:cs="宋体" w:hint="eastAsia"/>
              </w:rPr>
              <w:t>主要包括：关税计税规则检查、特别关税计税规则检查、消费税计税规则检查、增值税计税规则检查、废旧基金计税规则检查、缓税利息计税规则检查、滞报金计税规则检查等。</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通关服务升级-计税支付-统一税费服务-计税决策表达式</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计税的计征税费时候，系统读取其对应的计税决策表达式，满足其对于特殊税费计征的检查及其对应免征或者特殊征收的条件记录检查。</w:t>
            </w:r>
          </w:p>
          <w:p>
            <w:pPr>
              <w:spacing w:line="360" w:lineRule="auto"/>
              <w:ind w:firstLine="420" w:firstLineChars="200"/>
              <w:rPr>
                <w:rFonts w:cs="宋体"/>
              </w:rPr>
            </w:pPr>
            <w:r>
              <w:rPr>
                <w:rFonts w:cs="宋体" w:hint="eastAsia"/>
              </w:rPr>
              <w:t>主要包括：决策表达式查询获取、决策表达式判断处理等。</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通关服务升级-计税支付-统一税费服务-运保杂费计算</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系统根据税费标志的不同，找到对应的费率、公式等进行运保杂费计算。</w:t>
            </w:r>
          </w:p>
          <w:p>
            <w:pPr>
              <w:spacing w:line="360" w:lineRule="auto"/>
              <w:ind w:firstLine="420" w:firstLineChars="200"/>
              <w:rPr>
                <w:rFonts w:cs="宋体"/>
              </w:rPr>
            </w:pPr>
            <w:r>
              <w:rPr>
                <w:rFonts w:cs="宋体" w:hint="eastAsia"/>
              </w:rPr>
              <w:t>主要包括：运费计算、保费计算、杂费计算、完税价计算。</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通关服务升级-计税支付-统一税费服务-完税价计算</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完税价计算指的是由海关以该货物的成交价格、汇率等通过完税价计算公式进行完税价值进行计算。</w:t>
            </w:r>
          </w:p>
          <w:p>
            <w:pPr>
              <w:spacing w:line="360" w:lineRule="auto"/>
              <w:ind w:firstLine="420" w:firstLineChars="200"/>
              <w:rPr>
                <w:rFonts w:cs="宋体"/>
              </w:rPr>
            </w:pPr>
            <w:r>
              <w:rPr>
                <w:rFonts w:cs="宋体" w:hint="eastAsia"/>
              </w:rPr>
              <w:t>计算完税价时通过不同成交方式按照对应计算公式计算最终完税价额，主要包括：成交方式计算公式、完税价计算公式等。</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通关服务升级-计税支付-统一税费服务-税费计算</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针对报关单数据的征税要素根据不同税种的计算规则进行计征出该报关单商品相应的税费信息。主要包括：</w:t>
            </w:r>
          </w:p>
          <w:p>
            <w:pPr>
              <w:spacing w:line="360" w:lineRule="auto"/>
              <w:rPr>
                <w:rFonts w:cs="宋体"/>
              </w:rPr>
            </w:pPr>
            <w:r>
              <w:rPr>
                <w:rFonts w:cs="宋体" w:hint="eastAsia"/>
              </w:rPr>
              <w:t>关税税费计算：</w:t>
            </w:r>
          </w:p>
          <w:p>
            <w:pPr>
              <w:spacing w:line="360" w:lineRule="auto"/>
              <w:rPr>
                <w:rFonts w:cs="宋体"/>
              </w:rPr>
            </w:pPr>
            <w:r>
              <w:rPr>
                <w:rFonts w:cs="宋体" w:hint="eastAsia"/>
              </w:rPr>
              <w:t>报关单在征税要素满足关税计税规则的情况下，根据关税税率，关税计征方式、关税公式等进行关税税费计算。</w:t>
            </w:r>
          </w:p>
          <w:p>
            <w:pPr>
              <w:spacing w:line="360" w:lineRule="auto"/>
              <w:rPr>
                <w:rFonts w:cs="宋体"/>
              </w:rPr>
            </w:pPr>
            <w:r>
              <w:rPr>
                <w:rFonts w:cs="宋体" w:hint="eastAsia"/>
              </w:rPr>
              <w:t>特别关税计算：</w:t>
            </w:r>
          </w:p>
          <w:p>
            <w:pPr>
              <w:spacing w:line="360" w:lineRule="auto"/>
              <w:rPr>
                <w:rFonts w:cs="宋体"/>
              </w:rPr>
            </w:pPr>
            <w:r>
              <w:rPr>
                <w:rFonts w:cs="宋体" w:hint="eastAsia"/>
              </w:rPr>
              <w:t>特别关税主要指贸易救济措施反倾销、反补贴、临保措施关税。报关单在征税要素满足特别关税计税规则的情况下，进行反倾销税费计算、反补贴税费计算、保障措施关税税费计算等。</w:t>
            </w:r>
          </w:p>
          <w:p>
            <w:pPr>
              <w:spacing w:line="360" w:lineRule="auto"/>
              <w:rPr>
                <w:rFonts w:cs="宋体"/>
              </w:rPr>
            </w:pPr>
            <w:r>
              <w:rPr>
                <w:rFonts w:cs="宋体" w:hint="eastAsia"/>
              </w:rPr>
              <w:t>增值税计算：</w:t>
            </w:r>
          </w:p>
          <w:p>
            <w:pPr>
              <w:spacing w:line="360" w:lineRule="auto"/>
              <w:rPr>
                <w:rFonts w:cs="宋体"/>
              </w:rPr>
            </w:pPr>
            <w:r>
              <w:rPr>
                <w:rFonts w:cs="宋体" w:hint="eastAsia"/>
              </w:rPr>
              <w:t>报关单在征税要素满足增值税计税规则的情况下，增值税计征标准并且值不为“N”并且进出口标志为进口时根据增值税计征方式去获取对应的增值税率，通过对应的增值税公式等进行增值税税费计算。</w:t>
            </w:r>
          </w:p>
          <w:p>
            <w:pPr>
              <w:spacing w:line="360" w:lineRule="auto"/>
              <w:rPr>
                <w:rFonts w:cs="宋体"/>
              </w:rPr>
            </w:pPr>
            <w:r>
              <w:rPr>
                <w:rFonts w:cs="宋体" w:hint="eastAsia"/>
              </w:rPr>
              <w:t>消费税计算：</w:t>
            </w:r>
          </w:p>
          <w:p>
            <w:pPr>
              <w:spacing w:line="360" w:lineRule="auto"/>
              <w:rPr>
                <w:rFonts w:cs="宋体"/>
              </w:rPr>
            </w:pPr>
            <w:r>
              <w:rPr>
                <w:rFonts w:cs="宋体" w:hint="eastAsia"/>
              </w:rPr>
              <w:t>报关单在征税要素满足消费税计税规则的情况下，消费税计征标准并且值不为“N”并且进出口标志为进口时根据消费税计征方式去获取对应的消费税税率，通过对应的消费税公式等进行消费税税费计算。</w:t>
            </w:r>
          </w:p>
          <w:p>
            <w:pPr>
              <w:spacing w:line="360" w:lineRule="auto"/>
              <w:rPr>
                <w:rFonts w:cs="宋体"/>
              </w:rPr>
            </w:pPr>
            <w:r>
              <w:rPr>
                <w:rFonts w:cs="宋体" w:hint="eastAsia"/>
              </w:rPr>
              <w:t>废旧基金计算：</w:t>
            </w:r>
          </w:p>
          <w:p>
            <w:pPr>
              <w:spacing w:line="360" w:lineRule="auto"/>
              <w:rPr>
                <w:rFonts w:cs="宋体"/>
              </w:rPr>
            </w:pPr>
            <w:r>
              <w:rPr>
                <w:rFonts w:cs="宋体" w:hint="eastAsia"/>
              </w:rPr>
              <w:t>报关单在征税要素满足废旧基金计税规则的情况下，根据废旧基金从量计征方式去获取对应的废旧基金税率，数量通过对应的废旧基金公式等进行废旧基金税费计算。</w:t>
            </w:r>
          </w:p>
          <w:p>
            <w:pPr>
              <w:spacing w:line="360" w:lineRule="auto"/>
              <w:rPr>
                <w:rFonts w:cs="宋体"/>
              </w:rPr>
            </w:pPr>
            <w:r>
              <w:rPr>
                <w:rFonts w:cs="宋体" w:hint="eastAsia"/>
              </w:rPr>
              <w:t>缓税利息计算：</w:t>
            </w:r>
          </w:p>
          <w:p>
            <w:pPr>
              <w:spacing w:line="360" w:lineRule="auto"/>
              <w:rPr>
                <w:rFonts w:cs="宋体"/>
              </w:rPr>
            </w:pPr>
            <w:r>
              <w:rPr>
                <w:rFonts w:cs="宋体" w:hint="eastAsia"/>
              </w:rPr>
              <w:t>报关单在征税要素满足缓税利息计税规则的情况下，计算缓息天数，获取缓税利息通过关税税额、特别关税税额、消费税税额、增值税税额等对应相应的关税缓税利息、消费税缓税利息、增值税缓税利息公式计算相应的关税缓税利息额、消费税缓税利息额、增值税缓税利息额。</w:t>
            </w:r>
          </w:p>
          <w:p>
            <w:pPr>
              <w:spacing w:line="360" w:lineRule="auto"/>
              <w:rPr>
                <w:rFonts w:cs="宋体"/>
              </w:rPr>
            </w:pPr>
            <w:r>
              <w:rPr>
                <w:rFonts w:cs="宋体" w:hint="eastAsia"/>
              </w:rPr>
              <w:t>滞报金计算：</w:t>
            </w:r>
          </w:p>
          <w:p>
            <w:pPr>
              <w:spacing w:line="360" w:lineRule="auto"/>
              <w:rPr>
                <w:rFonts w:cs="宋体"/>
              </w:rPr>
            </w:pPr>
            <w:r>
              <w:rPr>
                <w:rFonts w:cs="宋体" w:hint="eastAsia"/>
              </w:rPr>
              <w:t>报关单在征税要素满足废旧基金计税规则的情况下，根据废旧基金从量计征方式去获取对应的废旧基金税率，数量通过对应的废旧基金公式等进行废旧基金税费计算。</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通关服务升级-计税支付-统一税费服务-商品项税费记录</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税费计算针对满足的各类情况，例如关税、反倾销、反补贴、废弃基金、消费税、增值税等情况进行税费汇总计算，同时对于每项报关单商品记录其分别征收的实际税率、实征税款、减免税款、计征标准等信息。</w:t>
            </w:r>
          </w:p>
          <w:p>
            <w:pPr>
              <w:spacing w:line="360" w:lineRule="auto"/>
              <w:ind w:firstLine="420" w:firstLineChars="200"/>
              <w:rPr>
                <w:rFonts w:cs="宋体"/>
              </w:rPr>
            </w:pPr>
            <w:r>
              <w:rPr>
                <w:rFonts w:cs="宋体" w:hint="eastAsia"/>
              </w:rPr>
              <w:t>主要包括：商品项关税税费记录、商品项特别关税税费记录、商品项消费税税费记录、商品项增值税税费记录、商品项废旧基金税费记录、缓税利息税费记录、滞报金税费记录等。</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通关服务升级-计税支付-统一税费服务-汇总征税担保核扣</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税费计算针对其申报了相应的汇总征税担保，则不再进行税款计算，在其审结环节，根据申报的担保进行核扣，额度扣减后，当前单证可进行汇总征税放行，在其次月缴纳税款后，进行单证放行。</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通关服务升级-计税支付-统一税费服务-税单生成</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税费计算支持海南二线出岛各类报关单的汇总生成，关税、消费税、增值税、废弃基金、反倾销、反补贴、滞报金、缓税利息的生成，记录报关单申报单位等，便于后续税单柜台支付或电子支付。</w:t>
            </w:r>
          </w:p>
          <w:p>
            <w:pPr>
              <w:spacing w:line="360" w:lineRule="auto"/>
              <w:rPr>
                <w:rFonts w:cs="宋体"/>
              </w:rPr>
            </w:pPr>
            <w:r>
              <w:rPr>
                <w:rFonts w:cs="宋体" w:hint="eastAsia"/>
              </w:rPr>
              <w:t>主要包括：</w:t>
            </w:r>
          </w:p>
          <w:p>
            <w:pPr>
              <w:spacing w:line="360" w:lineRule="auto"/>
              <w:rPr>
                <w:rFonts w:cs="宋体"/>
              </w:rPr>
            </w:pPr>
            <w:r>
              <w:rPr>
                <w:rFonts w:cs="宋体" w:hint="eastAsia"/>
              </w:rPr>
              <w:t>普通税单生成入库：</w:t>
            </w:r>
          </w:p>
          <w:p>
            <w:pPr>
              <w:spacing w:line="360" w:lineRule="auto"/>
              <w:rPr>
                <w:rFonts w:cs="宋体"/>
              </w:rPr>
            </w:pPr>
            <w:r>
              <w:rPr>
                <w:rFonts w:cs="宋体" w:hint="eastAsia"/>
              </w:rPr>
              <w:t>对生成的关税、消费税、增值税、废弃基金、反倾销、反补贴、滞报金、缓税利息的税费信息进行生成对应的税单，并对该税单信息进行入库。</w:t>
            </w:r>
          </w:p>
          <w:p>
            <w:pPr>
              <w:spacing w:line="360" w:lineRule="auto"/>
              <w:rPr>
                <w:rFonts w:cs="宋体"/>
              </w:rPr>
            </w:pPr>
            <w:r>
              <w:rPr>
                <w:rFonts w:cs="宋体" w:hint="eastAsia"/>
              </w:rPr>
              <w:t>退补税税单生成入库：</w:t>
            </w:r>
          </w:p>
          <w:p>
            <w:pPr>
              <w:spacing w:line="360" w:lineRule="auto"/>
              <w:rPr>
                <w:rFonts w:cs="宋体"/>
              </w:rPr>
            </w:pPr>
            <w:r>
              <w:rPr>
                <w:rFonts w:cs="宋体" w:hint="eastAsia"/>
              </w:rPr>
              <w:t>在报关单修撤环节，对已经缴费核注过后的关税、消费税、增值税、废弃基金、反倾销、反补贴、滞报金、缓税利息的税费信息若因企业操作后又生成对应的退补税税单，则对该退补税税单信息进行入库。</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通关服务升级-计税支付-统一税费服务-税单推送</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在审结、验估结束后，对于相应的税单将其税单信息和相应的企业信息推送给中国国际贸易单一窗口企业端支付平台，由企业对不同的税费单发起查询或者电子支付操作。</w:t>
            </w:r>
          </w:p>
          <w:p>
            <w:pPr>
              <w:spacing w:line="360" w:lineRule="auto"/>
              <w:ind w:firstLine="420" w:firstLineChars="200"/>
              <w:rPr>
                <w:rFonts w:cs="宋体"/>
              </w:rPr>
            </w:pPr>
            <w:r>
              <w:rPr>
                <w:rFonts w:cs="宋体" w:hint="eastAsia"/>
              </w:rPr>
              <w:t>主要包括：正常税单推送、补税税单推送。</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通关服务升级-计税支付-统一税费服务-海南零关税进口设备、交通工具及游艇补税报关单计征</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针对海南零关税进口设备、交通工具及游艇补税报关单进行对应的征税规则进行税费计算。</w:t>
            </w:r>
          </w:p>
          <w:p>
            <w:pPr>
              <w:spacing w:line="360" w:lineRule="auto"/>
              <w:ind w:firstLine="420" w:firstLineChars="200"/>
              <w:rPr>
                <w:rFonts w:cs="宋体"/>
              </w:rPr>
            </w:pPr>
            <w:r>
              <w:rPr>
                <w:rFonts w:cs="宋体" w:hint="eastAsia"/>
              </w:rPr>
              <w:t>主要包括：</w:t>
            </w:r>
          </w:p>
          <w:p>
            <w:pPr>
              <w:numPr>
                <w:ilvl w:val="0"/>
                <w:numId w:val="6"/>
              </w:numPr>
              <w:spacing w:line="360" w:lineRule="auto"/>
              <w:ind w:left="0" w:firstLine="420" w:firstLineChars="200"/>
              <w:rPr>
                <w:rFonts w:cs="宋体"/>
              </w:rPr>
            </w:pPr>
            <w:r>
              <w:rPr>
                <w:rFonts w:cs="宋体" w:hint="eastAsia"/>
              </w:rPr>
              <w:t>补税报关单补税判断：</w:t>
            </w:r>
          </w:p>
          <w:p>
            <w:pPr>
              <w:spacing w:line="360" w:lineRule="auto"/>
              <w:ind w:firstLine="420" w:firstLineChars="200"/>
              <w:rPr>
                <w:rFonts w:cs="宋体"/>
              </w:rPr>
            </w:pPr>
            <w:r>
              <w:rPr>
                <w:rFonts w:cs="宋体" w:hint="eastAsia"/>
              </w:rPr>
              <w:t>通过报关单数据判断报关单随附单证是否申报有《零关税设备、交通工具提前解除监管备案清单》，若有则根据补税规则进行计算，若未申报则不根据补税规则征税。</w:t>
            </w:r>
          </w:p>
          <w:p>
            <w:pPr>
              <w:numPr>
                <w:ilvl w:val="0"/>
                <w:numId w:val="6"/>
              </w:numPr>
              <w:spacing w:line="360" w:lineRule="auto"/>
              <w:ind w:left="0" w:firstLine="420" w:firstLineChars="200"/>
              <w:rPr>
                <w:rFonts w:cs="宋体"/>
              </w:rPr>
            </w:pPr>
            <w:r>
              <w:rPr>
                <w:rFonts w:cs="宋体" w:hint="eastAsia"/>
              </w:rPr>
              <w:t>补税计税公式：</w:t>
            </w:r>
          </w:p>
          <w:p>
            <w:pPr>
              <w:spacing w:line="360" w:lineRule="auto"/>
              <w:rPr>
                <w:rFonts w:cs="宋体"/>
              </w:rPr>
            </w:pPr>
            <w:r>
              <w:rPr>
                <w:rFonts w:cs="宋体" w:hint="eastAsia"/>
              </w:rPr>
              <w:t>补税报关单按照监管年限剩余时间计算补税商品完税价，补税商品完税价格=零关税原进口商品完税价格×（1-（零关税已进口时间/监管年限×12）），再通过各税种的计算公式进行税种计征。</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通关服务升级-计税支付-统一税费服务-海南零关税进原辅料报关单计征</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针对海南零关税进原辅料报关单进行对应的征税规则进行税费计算。</w:t>
            </w:r>
          </w:p>
          <w:p>
            <w:pPr>
              <w:spacing w:line="360" w:lineRule="auto"/>
              <w:ind w:firstLine="420" w:firstLineChars="200"/>
              <w:rPr>
                <w:rFonts w:cs="宋体"/>
              </w:rPr>
            </w:pPr>
            <w:r>
              <w:rPr>
                <w:rFonts w:cs="宋体" w:hint="eastAsia"/>
              </w:rPr>
              <w:t>主要包括：零关税原辅料报关单判断、零关税进原辅料计税。</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通关服务升级-计税支付-电子支付服务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计税支付-电子支付服务，为快速实现需求，达到提高工作效率的目的，针对海南一线进口报关单、二线出岛报关单及其他通关单证在通关过程中的税费单支付需求进行分析提炼，将该服务分模块设计，主要提供服务包括三方协议备案、协议扣税、协议扣费、冲正、银行端查缴、国库交易状态查询、对账等，满足税单支付需求。</w:t>
            </w:r>
          </w:p>
          <w:p>
            <w:pPr>
              <w:spacing w:line="360" w:lineRule="auto"/>
              <w:ind w:firstLine="420" w:firstLineChars="200"/>
              <w:rPr>
                <w:rFonts w:cs="宋体"/>
              </w:rPr>
            </w:pPr>
            <w:r>
              <w:rPr>
                <w:rFonts w:cs="宋体" w:hint="eastAsia"/>
              </w:rPr>
              <w:t>服务优先为海南自贸港提供相应服务接口，供海南相关业务系统调用，同时满足其他海关电子支付场景服务调用需求。</w:t>
            </w:r>
          </w:p>
        </w:tc>
        <w:tc>
          <w:tcPr>
            <w:tcW w:w="1303" w:type="dxa"/>
            <w:vAlign w:val="center"/>
          </w:tcPr>
          <w:p>
            <w:pPr>
              <w:widowControl/>
              <w:spacing w:line="360" w:lineRule="auto"/>
              <w:textAlignment w:val="center"/>
              <w:rPr>
                <w:rFonts w:cs="宋体"/>
                <w:lang w:bidi="en-US"/>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通关服务升级-计税支付-电子支付服务-三方协议管理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实现海关、银行、个人/企业等电子支付业务间三方协议的备案、解约及冻结等操作。</w:t>
            </w:r>
          </w:p>
          <w:p>
            <w:pPr>
              <w:spacing w:line="360" w:lineRule="auto"/>
              <w:ind w:firstLine="420" w:firstLineChars="200"/>
              <w:rPr>
                <w:rFonts w:cs="宋体"/>
              </w:rPr>
            </w:pPr>
            <w:r>
              <w:rPr>
                <w:rFonts w:cs="宋体" w:hint="eastAsia"/>
              </w:rPr>
              <w:t>由企业或个人在单一窗口发起三方协议备案申请，录入相关信息，平台自动审核通过后生成协议号，并将三方协议发往中国国际贸易单一窗口。单一窗口将三方协议转发至国库TIPS系统，国库将该协议转发给对应的商业银行。商业银行接收三方协议后，确定协议的有效性，将签约结果通过国库、单一窗口转发至海关。</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通关服务升级-计税支付-电子支付服务-税单协议扣税</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由通关业务子系统生成相应的税单，企业发起协议扣税申请，经海关进行基本信息审核后，通过单一窗口、国库转发至银行。</w:t>
            </w:r>
          </w:p>
          <w:p>
            <w:pPr>
              <w:spacing w:line="360" w:lineRule="auto"/>
              <w:ind w:firstLine="420" w:firstLineChars="200"/>
              <w:rPr>
                <w:rFonts w:cs="宋体"/>
              </w:rPr>
            </w:pPr>
            <w:r>
              <w:rPr>
                <w:rFonts w:cs="宋体" w:hint="eastAsia"/>
              </w:rPr>
              <w:t>由电子支付平台接收扣税结果后，通知业务系统进行相应税单或滞纳金的核注，后续由财务系统进行税单核销操作。</w:t>
            </w:r>
          </w:p>
          <w:p>
            <w:pPr>
              <w:spacing w:line="360" w:lineRule="auto"/>
              <w:ind w:firstLine="420" w:firstLineChars="200"/>
              <w:rPr>
                <w:rFonts w:cs="宋体"/>
              </w:rPr>
            </w:pPr>
            <w:r>
              <w:rPr>
                <w:rFonts w:cs="宋体" w:hint="eastAsia"/>
              </w:rPr>
              <w:t>主要包括：协议扣税申请、协议扣税结果等功能。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通关服务升级-计税支付-电子支付服务-协议扣费</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由通关业务子系统生成相应的费单，企业发起协议扣费申请，经海关校验通过后，通过单一窗口、国库转发至银行。</w:t>
            </w:r>
          </w:p>
          <w:p>
            <w:pPr>
              <w:spacing w:line="360" w:lineRule="auto"/>
              <w:ind w:firstLine="420" w:firstLineChars="200"/>
              <w:rPr>
                <w:rFonts w:cs="宋体"/>
              </w:rPr>
            </w:pPr>
            <w:r>
              <w:rPr>
                <w:rFonts w:cs="宋体" w:hint="eastAsia"/>
              </w:rPr>
              <w:t>由电子支付平台接收扣费结果后通知业务系统进行相应费单的核注。后续由财务系统进行税单核销操作。</w:t>
            </w:r>
          </w:p>
          <w:p>
            <w:pPr>
              <w:spacing w:line="360" w:lineRule="auto"/>
              <w:ind w:firstLine="420" w:firstLineChars="200"/>
              <w:rPr>
                <w:rFonts w:cs="宋体"/>
              </w:rPr>
            </w:pPr>
            <w:r>
              <w:rPr>
                <w:rFonts w:cs="宋体" w:hint="eastAsia"/>
              </w:rPr>
              <w:t>主要包括：协议扣费申请、协议扣费结果等功能。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通关服务升级-计税支付-电子支付服务-税单冲正</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税单冲正功能针对的是协议扣税的相关税单，例如关税、增值税、消费税等海关税单。</w:t>
            </w:r>
          </w:p>
          <w:p>
            <w:pPr>
              <w:spacing w:line="360" w:lineRule="auto"/>
              <w:ind w:firstLine="420" w:firstLineChars="200"/>
              <w:rPr>
                <w:rFonts w:cs="宋体"/>
              </w:rPr>
            </w:pPr>
            <w:r>
              <w:rPr>
                <w:rFonts w:cs="宋体" w:hint="eastAsia"/>
              </w:rPr>
              <w:t>系统对于已发起协议扣税申请，并将扣税报文发给银行，但在一定时间段内未收到银行扣税结果回执的，则自动发送冲正请求，进行税单冲正业务流程。</w:t>
            </w:r>
          </w:p>
          <w:p>
            <w:pPr>
              <w:spacing w:line="360" w:lineRule="auto"/>
              <w:ind w:firstLine="420" w:firstLineChars="200"/>
              <w:rPr>
                <w:rFonts w:cs="宋体"/>
              </w:rPr>
            </w:pPr>
            <w:r>
              <w:rPr>
                <w:rFonts w:cs="宋体" w:hint="eastAsia"/>
              </w:rPr>
              <w:t>主要包括：轮询发起冲正、冲正结果处理等功能。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通关服务升级-计税支付-电子支付服务-滞纳金冲正</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滞纳金冲正功能针对的是协议扣税的滞纳金等海关税单。</w:t>
            </w:r>
          </w:p>
          <w:p>
            <w:pPr>
              <w:spacing w:line="360" w:lineRule="auto"/>
              <w:ind w:firstLine="420" w:firstLineChars="200"/>
              <w:rPr>
                <w:rFonts w:cs="宋体"/>
              </w:rPr>
            </w:pPr>
            <w:r>
              <w:rPr>
                <w:rFonts w:cs="宋体" w:hint="eastAsia"/>
              </w:rPr>
              <w:t>系统对于已发起协议扣税申请，并将扣税报文发给银行，但在一定时间段内未收到银行扣税结果回执的，则自动发送冲正请求，进行滞纳金冲正业务流程。</w:t>
            </w:r>
          </w:p>
          <w:p>
            <w:pPr>
              <w:spacing w:line="360" w:lineRule="auto"/>
              <w:ind w:firstLine="420" w:firstLineChars="200"/>
              <w:rPr>
                <w:rFonts w:cs="宋体"/>
              </w:rPr>
            </w:pPr>
            <w:r>
              <w:rPr>
                <w:rFonts w:cs="宋体" w:hint="eastAsia"/>
              </w:rPr>
              <w:t>主要包括：轮询发起冲正、冲正结果处理等功能。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通关服务升级-计税支付-电子支付服务-银行端查缴</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银行端查缴主要是指企业通过银行端发起支付的行为。</w:t>
            </w:r>
          </w:p>
          <w:p>
            <w:pPr>
              <w:spacing w:line="360" w:lineRule="auto"/>
              <w:ind w:firstLine="420" w:firstLineChars="200"/>
              <w:rPr>
                <w:rFonts w:cs="宋体"/>
              </w:rPr>
            </w:pPr>
            <w:r>
              <w:rPr>
                <w:rFonts w:cs="宋体" w:hint="eastAsia"/>
              </w:rPr>
              <w:t>主要包括：</w:t>
            </w:r>
          </w:p>
          <w:p>
            <w:pPr>
              <w:spacing w:line="360" w:lineRule="auto"/>
              <w:ind w:firstLine="420" w:firstLineChars="200"/>
              <w:rPr>
                <w:rFonts w:cs="宋体"/>
              </w:rPr>
            </w:pPr>
            <w:r>
              <w:rPr>
                <w:rFonts w:cs="宋体" w:hint="eastAsia"/>
              </w:rPr>
              <w:t>银行端查缴申请：</w:t>
            </w:r>
          </w:p>
          <w:p>
            <w:pPr>
              <w:spacing w:line="360" w:lineRule="auto"/>
              <w:ind w:firstLine="420" w:firstLineChars="200"/>
              <w:rPr>
                <w:rFonts w:cs="宋体"/>
              </w:rPr>
            </w:pPr>
            <w:r>
              <w:rPr>
                <w:rFonts w:cs="宋体" w:hint="eastAsia"/>
              </w:rPr>
              <w:t>企业于银行端发起银行端查缴，查缴报文通过中国国际贸易单一窗口转发给内网电子支付系统，电子支付系统接收查缴申请报文并做后续处理。</w:t>
            </w:r>
          </w:p>
          <w:p>
            <w:pPr>
              <w:spacing w:line="360" w:lineRule="auto"/>
              <w:ind w:firstLine="420" w:firstLineChars="200"/>
              <w:rPr>
                <w:rFonts w:cs="宋体"/>
              </w:rPr>
            </w:pPr>
            <w:r>
              <w:rPr>
                <w:rFonts w:cs="宋体" w:hint="eastAsia"/>
              </w:rPr>
              <w:t>银行端扣税处理：</w:t>
            </w:r>
          </w:p>
          <w:p>
            <w:pPr>
              <w:spacing w:line="360" w:lineRule="auto"/>
              <w:ind w:firstLine="420" w:firstLineChars="200"/>
              <w:rPr>
                <w:rFonts w:cs="宋体"/>
              </w:rPr>
            </w:pPr>
            <w:r>
              <w:rPr>
                <w:rFonts w:cs="宋体" w:hint="eastAsia"/>
              </w:rPr>
              <w:t>统一电子支付接收银行端查缴银行扣款结果并进行后续处理。</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通关服务升级-计税支付-电子支付服务-税单对账</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统一电子支付子系统接收国库与银行发出的当日交易对账报文，并与内网交易流水状态进行匹配。</w:t>
            </w:r>
          </w:p>
          <w:p>
            <w:pPr>
              <w:spacing w:line="360" w:lineRule="auto"/>
              <w:ind w:firstLine="420" w:firstLineChars="200"/>
              <w:rPr>
                <w:rFonts w:cs="宋体"/>
              </w:rPr>
            </w:pPr>
            <w:r>
              <w:rPr>
                <w:rFonts w:cs="宋体" w:hint="eastAsia"/>
              </w:rPr>
              <w:t>其中对账的报文会包含海关各业务类型的税单、滞纳金、滞报金，电子支付平台在接到对账报文后，根据不同的系统类型，通知各海关业务系统进行对账，最终实现两个系统之间的整体对账功能。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通关服务升级-现场业务处置</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升级现场业务处置服务，现场业务支持“一线”进出境、“二线”出岛报关单数据进行现场业务处置通关作业处置。</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通关服务升级-现场业务处置-单证流程服务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单证流程服务对通关流程进行流程调度、设计。主要包括作业环节和执行顺序。涉及流程消息通知传递、流程服务支持串行任务/并行任务。业务数据根据流程在各环节流转、运算直至流程终止。</w:t>
            </w:r>
          </w:p>
          <w:p>
            <w:pPr>
              <w:spacing w:line="360" w:lineRule="auto"/>
              <w:rPr>
                <w:rFonts w:cs="宋体"/>
              </w:rPr>
            </w:pPr>
            <w:r>
              <w:rPr>
                <w:rFonts w:cs="宋体" w:hint="eastAsia"/>
              </w:rPr>
              <w:t>主要提供：流程设计、流程列表、正常开启流程、正常结束流程、串行任务、并行任务、流程参数传递、按流程完成任务、查询任务详情、申领任务、任务流转规则、流程启动操作、流程状态查询等服务。</w:t>
            </w:r>
          </w:p>
          <w:p>
            <w:pPr>
              <w:spacing w:line="360" w:lineRule="auto"/>
              <w:rPr>
                <w:rFonts w:cs="宋体"/>
              </w:rPr>
            </w:pPr>
            <w:r>
              <w:rPr>
                <w:rFonts w:cs="宋体" w:hint="eastAsia"/>
              </w:rPr>
              <w:t>服务优先为海南自贸港提供相应服务接口，供海南相关业务系统调用，同时满足其他流程服务调用需求。</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通关服务升级-现场业务处置-证书管理服务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现场审核证书管理服务主要为通关综合业务流程提供证书管理公共服务。</w:t>
            </w:r>
          </w:p>
          <w:p>
            <w:pPr>
              <w:spacing w:line="360" w:lineRule="auto"/>
              <w:ind w:firstLine="420" w:firstLineChars="200"/>
              <w:rPr>
                <w:rFonts w:cs="宋体"/>
              </w:rPr>
            </w:pPr>
            <w:r>
              <w:rPr>
                <w:rFonts w:cs="宋体" w:hint="eastAsia"/>
              </w:rPr>
              <w:t>主要包括：证书申请、证书自动审核、证书人工审核、证书签发、证书查询、证书展示、证书验核、证书统计等功能。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950"/>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通关服务升级-现场业务处置-统一放行服务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为支持海南一线进口报关单、二线出岛报关单、一线径予放行申报单的不同放行流程，统一放行服务支持横向扩展，根据实际的业务需求增补公共模块。各公共模块也同步支持纵向扩展按需增补功能。服务优先为海南自贸港提供相应服务接口，供海南相关业务系统调用,同时满足其他流程服务调用需求。</w:t>
            </w:r>
          </w:p>
          <w:p>
            <w:pPr>
              <w:spacing w:line="360" w:lineRule="auto"/>
              <w:ind w:firstLine="420" w:firstLineChars="200"/>
              <w:rPr>
                <w:rFonts w:cs="宋体"/>
              </w:rPr>
            </w:pPr>
            <w:r>
              <w:rPr>
                <w:rFonts w:cs="宋体" w:hint="eastAsia"/>
              </w:rPr>
              <w:t>主要包括：放行权限校验、放行基础数据校验、放行前风控状态校验、放行前税收风险状态校验、放行前税费状态校验、放行前单证审核状态校验、放行前物流状态校验及处置、放行前监管证件校验及处置、放行前原产地享惠信息校验及处置、检验检疫证件校验及处置、放行环节记录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通关服务升级-逻辑审核及参数</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升级逻辑审核和参数服务，支持“一线”进出境、“二线”出岛报关单数据进行逻辑审核和通关作业处置。</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通关服务升级-逻辑审核及参数-作业参数管理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作业参数管理为通关各应用提供参数管理公共服务。</w:t>
            </w:r>
          </w:p>
          <w:p>
            <w:pPr>
              <w:spacing w:line="360" w:lineRule="auto"/>
              <w:ind w:firstLine="420" w:firstLineChars="200"/>
              <w:rPr>
                <w:rFonts w:cs="宋体"/>
              </w:rPr>
            </w:pPr>
            <w:r>
              <w:rPr>
                <w:rFonts w:cs="宋体" w:hint="eastAsia"/>
              </w:rPr>
              <w:t>主要包含：基础参数字典的查询、新增、修改、删除、删除恢复、模板下载、数据导入、参数发布、参数同步、参数操作日志记录等功能。</w:t>
            </w:r>
          </w:p>
          <w:p>
            <w:pPr>
              <w:spacing w:line="360" w:lineRule="auto"/>
              <w:ind w:firstLine="420" w:firstLineChars="200"/>
              <w:rPr>
                <w:rFonts w:cs="宋体"/>
              </w:rPr>
            </w:pPr>
            <w:r>
              <w:rPr>
                <w:rFonts w:cs="宋体" w:hint="eastAsia"/>
              </w:rPr>
              <w:t>作业参数管理优先为海南自贸港提供相应服务接口，供海南相关业务系统调用，同时满足其他作业参数服务调用需求。</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通关服务升级-逻辑审核及参数-逻辑检控</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系统提供海南一线径予放行申报单、一线进境报关单、二线出岛报关单等单证进行逻辑检控服务，对检查不通过的进行返回退单指令，对检查通过的进行通关指令，继续进行后续通关作业处置。</w:t>
            </w:r>
          </w:p>
          <w:p>
            <w:pPr>
              <w:spacing w:line="360" w:lineRule="auto"/>
              <w:ind w:firstLine="420" w:firstLineChars="200"/>
              <w:rPr>
                <w:rFonts w:cs="宋体"/>
              </w:rPr>
            </w:pPr>
            <w:r>
              <w:rPr>
                <w:rFonts w:cs="宋体" w:hint="eastAsia"/>
              </w:rPr>
              <w:t>逻辑检控内容包含：填制规范校验、检验检疫校验、随附单据校验、涉禁限管制校验、禁限管制证书校验、国别原产地校验、税费校验、物流校验、专项校验以及通道处置等功能。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通关服务升级-原产地电子联网</w:t>
            </w:r>
          </w:p>
        </w:tc>
        <w:tc>
          <w:tcPr>
            <w:tcW w:w="3396" w:type="dxa"/>
            <w:tcBorders>
              <w:top w:val="single" w:sz="4" w:space="0" w:color="auto"/>
              <w:left w:val="single" w:sz="4" w:space="0" w:color="auto"/>
              <w:right w:val="single" w:sz="4" w:space="0" w:color="auto"/>
            </w:tcBorders>
            <w:vAlign w:val="center"/>
          </w:tcPr>
          <w:p>
            <w:pPr>
              <w:spacing w:line="360" w:lineRule="auto"/>
              <w:ind w:firstLine="480"/>
              <w:rPr>
                <w:rFonts w:cs="宋体"/>
              </w:rPr>
            </w:pPr>
            <w:r>
              <w:rPr>
                <w:rFonts w:cs="宋体" w:hint="eastAsia"/>
              </w:rPr>
              <w:t>升级原产地电子联网服务，针对海南一线径予放行申报单、一线进口报关单、二线出岛报关单通关过程中的优惠贸易协定享惠需求进行分析提炼，将该服务分模块设计，主要涉及原产地证件数据接收功能、原产地证件数据检查功能、原产地证件核注检查功能、原产地证件核注功能、原产地证件反核注功能、原产地证件核销检查功能、原产地证件核销功能、原产地证件反核销功能，覆盖海南优惠贸易协定享惠的需求范围。</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通关服务升级-原产地电子联网-原产地证件数据接收功能</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接收企业或者外方发送的进口原产地证书数据，其中包括各种不同格式的原产地表头、表体数据，以及对证书进行新增、修改、删除操作等。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通关服务升级-原产地电子联网-原产地证件数据检查功能</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通关单证电子审核环节，检查通过可执行原产地证件核注等后续流程，检查不通过退单或转人工处理。</w:t>
            </w:r>
          </w:p>
          <w:p>
            <w:pPr>
              <w:spacing w:line="360" w:lineRule="auto"/>
              <w:ind w:firstLine="420" w:firstLineChars="200"/>
              <w:rPr>
                <w:rFonts w:cs="宋体"/>
              </w:rPr>
            </w:pPr>
            <w:r>
              <w:rPr>
                <w:rFonts w:cs="宋体" w:hint="eastAsia"/>
              </w:rPr>
              <w:t>主要包括：一分或两步报关单电审检查通过、一分或两步报关单电审检查转人工、一分或两步报关单修撤检查等功能。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通关服务升级-原产地电子联网-原产地证件核注检查功能</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在进行原产地证件核注之前原产地证件检查服务，检查通关单证和原产地证件电子数据是否合规，以及两者间数据比对等。</w:t>
            </w:r>
          </w:p>
          <w:p>
            <w:pPr>
              <w:spacing w:line="360" w:lineRule="auto"/>
              <w:ind w:firstLine="420" w:firstLineChars="200"/>
              <w:rPr>
                <w:rFonts w:cs="宋体"/>
              </w:rPr>
            </w:pPr>
            <w:r>
              <w:rPr>
                <w:rFonts w:cs="宋体" w:hint="eastAsia"/>
              </w:rPr>
              <w:t>主要包括：一分或两步报关单电审检查、一分或两步报关单修撤检查等功能。</w:t>
            </w:r>
          </w:p>
        </w:tc>
        <w:tc>
          <w:tcPr>
            <w:tcW w:w="1303" w:type="dxa"/>
            <w:vAlign w:val="center"/>
          </w:tcPr>
          <w:p>
            <w:pPr>
              <w:spacing w:line="360" w:lineRule="auto"/>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通关服务升级-原产地电子联网-原产地证件核注功能</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原产地证件核注服务，证件检查通过后扣除指定数量商品，记录核扣日志。</w:t>
            </w:r>
          </w:p>
          <w:p>
            <w:pPr>
              <w:spacing w:line="360" w:lineRule="auto"/>
              <w:ind w:firstLine="420" w:firstLineChars="200"/>
              <w:rPr>
                <w:rFonts w:cs="宋体"/>
              </w:rPr>
            </w:pPr>
            <w:r>
              <w:rPr>
                <w:rFonts w:cs="宋体" w:hint="eastAsia"/>
              </w:rPr>
              <w:t>主要包括：一分或两步报关单电审核注、一分或两步报关单改单核注等功能。</w:t>
            </w:r>
          </w:p>
        </w:tc>
        <w:tc>
          <w:tcPr>
            <w:tcW w:w="1303" w:type="dxa"/>
            <w:vAlign w:val="center"/>
          </w:tcPr>
          <w:p>
            <w:pPr>
              <w:spacing w:line="360" w:lineRule="auto"/>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通关服务升级-原产地电子联网-原产地证件反核注功能</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原产地证件反核注服务，删改单后还原指定数量商品，记录反核注日志。</w:t>
            </w:r>
          </w:p>
          <w:p>
            <w:pPr>
              <w:spacing w:line="360" w:lineRule="auto"/>
              <w:ind w:firstLine="420" w:firstLineChars="200"/>
              <w:rPr>
                <w:rFonts w:cs="宋体"/>
              </w:rPr>
            </w:pPr>
            <w:r>
              <w:rPr>
                <w:rFonts w:cs="宋体" w:hint="eastAsia"/>
              </w:rPr>
              <w:t>主要包括：一分或两步报关单修撤反核注、一分或两步报关单删单反核注等功能。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通关服务升级-原产地电子联网-原产地证件核销检查功能</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原产地证件核销检查服务，对原产地证件进行核销检查。</w:t>
            </w:r>
          </w:p>
          <w:p>
            <w:pPr>
              <w:spacing w:line="360" w:lineRule="auto"/>
              <w:ind w:firstLine="420" w:firstLineChars="200"/>
              <w:rPr>
                <w:rFonts w:cs="宋体"/>
              </w:rPr>
            </w:pPr>
            <w:r>
              <w:rPr>
                <w:rFonts w:cs="宋体" w:hint="eastAsia"/>
              </w:rPr>
              <w:t>在报关单放行环节，原产地证件提供核销检查服务，对原产地证件进行核销检查，对于已经核注成功的才可进行核销检查，核销检查通过后才可放行。</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通关服务升级-原产地电子联网-原产地证件核销功能</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原产地证件核销，在日志中添加核销记录，并更新核销人及时间。</w:t>
            </w:r>
          </w:p>
          <w:p>
            <w:pPr>
              <w:spacing w:line="360" w:lineRule="auto"/>
              <w:rPr>
                <w:rFonts w:cs="宋体"/>
              </w:rPr>
            </w:pPr>
            <w:r>
              <w:rPr>
                <w:rFonts w:cs="宋体" w:hint="eastAsia"/>
              </w:rPr>
              <w:t>在报关单放行环节，通过原产地证件核销，在日志中添加核销记录，并更新核销人及时间。</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通关服务升级-原产地电子联网-原产地证件反核销功能</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原产地证件反核销服务，清除单证核注日志中核销人及核销时间。</w:t>
            </w:r>
          </w:p>
          <w:p>
            <w:pPr>
              <w:spacing w:line="360" w:lineRule="auto"/>
              <w:ind w:firstLine="420" w:firstLineChars="200"/>
              <w:rPr>
                <w:rFonts w:cs="宋体"/>
              </w:rPr>
            </w:pPr>
            <w:r>
              <w:rPr>
                <w:rFonts w:cs="宋体" w:hint="eastAsia"/>
              </w:rPr>
              <w:t>主要包括：一分或两步报关单删单、一分或两步报关单改单等功能。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通关服务升级-原产地电子联网-原产地证件计税享惠</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海南一线进口报关单和海南二线出岛报关单涉及原产地证件的，检查通过之后报关单计税根据优惠贸易协定项下优惠税率享受关税优惠。</w:t>
            </w:r>
          </w:p>
          <w:p>
            <w:pPr>
              <w:spacing w:line="360" w:lineRule="auto"/>
              <w:ind w:firstLine="420" w:firstLineChars="200"/>
              <w:rPr>
                <w:rFonts w:cs="宋体"/>
              </w:rPr>
            </w:pPr>
            <w:r>
              <w:rPr>
                <w:rFonts w:cs="宋体" w:hint="eastAsia"/>
              </w:rPr>
              <w:t>主要包括：海南一线进口报关单原产地证件电审计税享惠、海南二线出岛报关单原产地证件电审计税享惠、海南一线进口报关单原产地证件改单计税享惠、海南二线出岛报关单原产地证件改单计税享惠、海南一线进口报关单原产地证件验估计税享惠、海南二线出岛报关单原产地证件验估计税享惠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通关服务升级-原产地电子联网-特别优惠关税待遇原产地机构人员管理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展示并维护经商参处机构和签发机构信息以及机构对应的账户信息。</w:t>
            </w:r>
          </w:p>
          <w:p>
            <w:pPr>
              <w:spacing w:line="360" w:lineRule="auto"/>
              <w:ind w:firstLine="420" w:firstLineChars="200"/>
              <w:rPr>
                <w:rFonts w:cs="宋体"/>
              </w:rPr>
            </w:pPr>
            <w:r>
              <w:rPr>
                <w:rFonts w:cs="宋体" w:hint="eastAsia"/>
              </w:rPr>
              <w:t>主要包括：</w:t>
            </w:r>
          </w:p>
          <w:p>
            <w:pPr>
              <w:numPr>
                <w:ilvl w:val="0"/>
                <w:numId w:val="7"/>
              </w:numPr>
              <w:spacing w:line="360" w:lineRule="auto"/>
              <w:ind w:left="0" w:firstLine="420" w:firstLineChars="200"/>
              <w:rPr>
                <w:rFonts w:cs="宋体"/>
              </w:rPr>
            </w:pPr>
            <w:r>
              <w:rPr>
                <w:rFonts w:cs="宋体" w:hint="eastAsia"/>
              </w:rPr>
              <w:t>登录管理：</w:t>
            </w:r>
          </w:p>
          <w:p>
            <w:pPr>
              <w:spacing w:line="360" w:lineRule="auto"/>
              <w:ind w:firstLine="420" w:firstLineChars="200"/>
              <w:rPr>
                <w:rFonts w:cs="宋体"/>
              </w:rPr>
            </w:pPr>
            <w:r>
              <w:rPr>
                <w:rFonts w:cs="宋体" w:hint="eastAsia"/>
              </w:rPr>
              <w:t>包括用户登录、选择语言类型、重置密码等操作。</w:t>
            </w:r>
          </w:p>
          <w:p>
            <w:pPr>
              <w:numPr>
                <w:ilvl w:val="0"/>
                <w:numId w:val="7"/>
              </w:numPr>
              <w:spacing w:line="360" w:lineRule="auto"/>
              <w:ind w:left="0" w:firstLine="420" w:firstLineChars="200"/>
              <w:rPr>
                <w:rFonts w:cs="宋体"/>
              </w:rPr>
            </w:pPr>
            <w:r>
              <w:rPr>
                <w:rFonts w:cs="宋体" w:hint="eastAsia"/>
              </w:rPr>
              <w:t>我的信息：</w:t>
            </w:r>
          </w:p>
          <w:p>
            <w:pPr>
              <w:spacing w:line="360" w:lineRule="auto"/>
              <w:ind w:firstLine="420" w:firstLineChars="200"/>
              <w:rPr>
                <w:rFonts w:cs="宋体"/>
              </w:rPr>
            </w:pPr>
            <w:r>
              <w:rPr>
                <w:rFonts w:cs="宋体" w:hint="eastAsia"/>
              </w:rPr>
              <w:t>包括用户个人信息查看、修改密码等操作。</w:t>
            </w:r>
          </w:p>
          <w:p>
            <w:pPr>
              <w:numPr>
                <w:ilvl w:val="0"/>
                <w:numId w:val="7"/>
              </w:numPr>
              <w:spacing w:line="360" w:lineRule="auto"/>
              <w:ind w:left="0" w:firstLine="420" w:firstLineChars="200"/>
              <w:rPr>
                <w:rFonts w:cs="宋体"/>
              </w:rPr>
            </w:pPr>
            <w:r>
              <w:rPr>
                <w:rFonts w:cs="宋体" w:hint="eastAsia"/>
              </w:rPr>
              <w:t>机构管理：</w:t>
            </w:r>
          </w:p>
          <w:p>
            <w:pPr>
              <w:spacing w:line="360" w:lineRule="auto"/>
              <w:ind w:firstLine="420" w:firstLineChars="200"/>
              <w:rPr>
                <w:rFonts w:cs="宋体"/>
              </w:rPr>
            </w:pPr>
            <w:r>
              <w:rPr>
                <w:rFonts w:cs="宋体" w:hint="eastAsia"/>
              </w:rPr>
              <w:t>包括受惠国机构/签证机构信息的维护、添加、删除、修改等操作。</w:t>
            </w:r>
          </w:p>
          <w:p>
            <w:pPr>
              <w:numPr>
                <w:ilvl w:val="0"/>
                <w:numId w:val="7"/>
              </w:numPr>
              <w:spacing w:line="360" w:lineRule="auto"/>
              <w:ind w:left="0" w:firstLine="420" w:firstLineChars="200"/>
              <w:rPr>
                <w:rFonts w:cs="宋体"/>
              </w:rPr>
            </w:pPr>
            <w:r>
              <w:rPr>
                <w:rFonts w:cs="宋体" w:hint="eastAsia"/>
              </w:rPr>
              <w:t>账号管理：</w:t>
            </w:r>
          </w:p>
          <w:p>
            <w:pPr>
              <w:spacing w:line="360" w:lineRule="auto"/>
              <w:ind w:firstLine="420" w:firstLineChars="200"/>
              <w:rPr>
                <w:rFonts w:cs="宋体"/>
              </w:rPr>
            </w:pPr>
            <w:r>
              <w:rPr>
                <w:rFonts w:cs="宋体" w:hint="eastAsia"/>
              </w:rPr>
              <w:t>包括经商参处管理员/签证机构人员信息的维护、添加、删除、修改等操作。</w:t>
            </w:r>
          </w:p>
          <w:p>
            <w:pPr>
              <w:numPr>
                <w:ilvl w:val="0"/>
                <w:numId w:val="7"/>
              </w:numPr>
              <w:spacing w:line="360" w:lineRule="auto"/>
              <w:ind w:left="0" w:firstLine="420" w:firstLineChars="200"/>
              <w:rPr>
                <w:rFonts w:cs="宋体"/>
              </w:rPr>
            </w:pPr>
            <w:r>
              <w:rPr>
                <w:rFonts w:cs="宋体" w:hint="eastAsia"/>
              </w:rPr>
              <w:t>角色管理：</w:t>
            </w:r>
          </w:p>
          <w:p>
            <w:pPr>
              <w:spacing w:line="360" w:lineRule="auto"/>
              <w:ind w:firstLine="420" w:firstLineChars="200"/>
              <w:rPr>
                <w:rFonts w:cs="宋体"/>
              </w:rPr>
            </w:pPr>
            <w:r>
              <w:rPr>
                <w:rFonts w:cs="宋体" w:hint="eastAsia"/>
              </w:rPr>
              <w:t>包括角色的维护、添加、删除、修改等操作。</w:t>
            </w:r>
          </w:p>
          <w:p>
            <w:pPr>
              <w:numPr>
                <w:ilvl w:val="0"/>
                <w:numId w:val="7"/>
              </w:numPr>
              <w:spacing w:line="360" w:lineRule="auto"/>
              <w:ind w:left="0" w:firstLine="420" w:firstLineChars="200"/>
              <w:rPr>
                <w:rFonts w:cs="宋体"/>
              </w:rPr>
            </w:pPr>
            <w:r>
              <w:rPr>
                <w:rFonts w:cs="宋体" w:hint="eastAsia"/>
              </w:rPr>
              <w:t>权限管理：</w:t>
            </w:r>
          </w:p>
          <w:p>
            <w:pPr>
              <w:spacing w:line="360" w:lineRule="auto"/>
              <w:ind w:firstLine="420" w:firstLineChars="200"/>
              <w:rPr>
                <w:rFonts w:cs="宋体"/>
              </w:rPr>
            </w:pPr>
            <w:r>
              <w:rPr>
                <w:rFonts w:cs="宋体" w:hint="eastAsia"/>
              </w:rPr>
              <w:t>包括权限的维护、添加、删除、修改等操作。</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通关服务升级-原产地电子联网-特别优惠关税待遇原产地证书管理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证书管理主要包括证书列表、新建证书、证书维护、统计查询、证书复制、证书删除、证书作废、证书暂存、证书签发、证书打印、空白证书生成和打印等功能。</w:t>
            </w:r>
          </w:p>
          <w:p>
            <w:pPr>
              <w:spacing w:line="360" w:lineRule="auto"/>
              <w:ind w:firstLine="420" w:firstLineChars="200"/>
              <w:rPr>
                <w:rFonts w:cs="宋体"/>
              </w:rPr>
            </w:pPr>
            <w:r>
              <w:rPr>
                <w:rFonts w:cs="宋体" w:hint="eastAsia"/>
              </w:rPr>
              <w:t>特殊处理要求：所有都要做日志记录，包含用户名，操作时间，登录IP, 操作的原产地证书编号，操作类型（修改、删除、签发、作废），如果是修改，注明修改后签发的内容。</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通关服务升级-原产地电子联网-特别优惠关税待遇原产地空白证书管理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依据系统内置模板生成、打印空白证书。</w:t>
            </w:r>
          </w:p>
          <w:p>
            <w:pPr>
              <w:spacing w:line="360" w:lineRule="auto"/>
              <w:rPr>
                <w:rFonts w:cs="宋体"/>
              </w:rPr>
            </w:pPr>
            <w:r>
              <w:rPr>
                <w:rFonts w:cs="宋体" w:hint="eastAsia"/>
              </w:rPr>
              <w:t>系统依据“特别优惠关税待遇原产地证书”模板，生成空白证书电子数据，并可查询该受惠国该年度已打印的证书情况。</w:t>
            </w:r>
          </w:p>
          <w:p>
            <w:pPr>
              <w:spacing w:line="360" w:lineRule="auto"/>
              <w:ind w:firstLine="420" w:firstLineChars="200"/>
              <w:rPr>
                <w:rFonts w:cs="宋体"/>
              </w:rPr>
            </w:pPr>
            <w:r>
              <w:rPr>
                <w:rFonts w:cs="宋体" w:hint="eastAsia"/>
              </w:rPr>
              <w:t>特殊处理要求：证书打印有日志记录，包含操作人，操作时间，登录IP, 操作内容空白证书打印列表按照以下字段顺序进行排列，受惠国，证书开始编号，证书结束编号，打印份数，创建时间，经办人，状态，操作。</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通关服务升级-原产地电子联网-特别优惠关税待遇原产地统计查询</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主要分为三个子项统计：</w:t>
            </w:r>
          </w:p>
          <w:p>
            <w:pPr>
              <w:numPr>
                <w:ilvl w:val="0"/>
                <w:numId w:val="8"/>
              </w:numPr>
              <w:spacing w:line="360" w:lineRule="auto"/>
              <w:rPr>
                <w:rFonts w:cs="宋体"/>
              </w:rPr>
            </w:pPr>
            <w:r>
              <w:rPr>
                <w:rFonts w:cs="宋体" w:hint="eastAsia"/>
              </w:rPr>
              <w:t>电子证书查询统计：</w:t>
            </w:r>
          </w:p>
          <w:p>
            <w:pPr>
              <w:spacing w:line="360" w:lineRule="auto"/>
              <w:rPr>
                <w:rFonts w:cs="宋体"/>
              </w:rPr>
            </w:pPr>
            <w:r>
              <w:rPr>
                <w:rFonts w:cs="宋体" w:hint="eastAsia"/>
              </w:rPr>
              <w:t>包括电子证书的查询、查看签发机构证书信息、导出电子证书信息、预览电子证书信息等功能。</w:t>
            </w:r>
          </w:p>
          <w:p>
            <w:pPr>
              <w:numPr>
                <w:ilvl w:val="0"/>
                <w:numId w:val="8"/>
              </w:numPr>
              <w:spacing w:line="360" w:lineRule="auto"/>
              <w:rPr>
                <w:rFonts w:cs="宋体"/>
              </w:rPr>
            </w:pPr>
            <w:r>
              <w:rPr>
                <w:rFonts w:cs="宋体" w:hint="eastAsia"/>
              </w:rPr>
              <w:t>空白证书查询统计：</w:t>
            </w:r>
          </w:p>
          <w:p>
            <w:pPr>
              <w:spacing w:line="360" w:lineRule="auto"/>
              <w:rPr>
                <w:rFonts w:cs="宋体"/>
              </w:rPr>
            </w:pPr>
            <w:r>
              <w:rPr>
                <w:rFonts w:cs="宋体" w:hint="eastAsia"/>
              </w:rPr>
              <w:t>包括查询空白证书信息、空白证书明细信息查看等功能。</w:t>
            </w:r>
          </w:p>
          <w:p>
            <w:pPr>
              <w:numPr>
                <w:ilvl w:val="0"/>
                <w:numId w:val="8"/>
              </w:numPr>
              <w:spacing w:line="360" w:lineRule="auto"/>
              <w:rPr>
                <w:rFonts w:cs="宋体"/>
              </w:rPr>
            </w:pPr>
            <w:r>
              <w:rPr>
                <w:rFonts w:cs="宋体" w:hint="eastAsia"/>
              </w:rPr>
              <w:t>核查信息查询统计：</w:t>
            </w:r>
          </w:p>
          <w:p>
            <w:pPr>
              <w:spacing w:line="360" w:lineRule="auto"/>
              <w:rPr>
                <w:rFonts w:cs="宋体"/>
              </w:rPr>
            </w:pPr>
            <w:r>
              <w:rPr>
                <w:rFonts w:cs="宋体" w:hint="eastAsia"/>
              </w:rPr>
              <w:t>包括查询核查信息、核查统计、签证机构核查数量统计、签证机构核查明细查看、导出核查信息、查看核查信息等功能。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通关服务升级-原产地电子联网-特别优惠关税待遇原产地核查管理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对特别优惠关税待遇原产地进行核查管理。</w:t>
            </w:r>
          </w:p>
          <w:p>
            <w:pPr>
              <w:spacing w:line="360" w:lineRule="auto"/>
              <w:ind w:firstLine="420" w:firstLineChars="200"/>
              <w:rPr>
                <w:rFonts w:cs="宋体"/>
              </w:rPr>
            </w:pPr>
            <w:r>
              <w:rPr>
                <w:rFonts w:cs="宋体" w:hint="eastAsia"/>
              </w:rPr>
              <w:t>主要包括：新建核查单、核查信息确认、核查反馈、核查单办结、核查单催办等功能。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通关服务升级-原产地电子联网-特别优惠关税待遇原产地系统管理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管理系统相关信息包括日志、参数等信息。</w:t>
            </w:r>
          </w:p>
          <w:p>
            <w:pPr>
              <w:spacing w:line="360" w:lineRule="auto"/>
              <w:ind w:firstLine="420" w:firstLineChars="200"/>
              <w:rPr>
                <w:rFonts w:cs="宋体"/>
              </w:rPr>
            </w:pPr>
            <w:r>
              <w:rPr>
                <w:rFonts w:cs="宋体" w:hint="eastAsia"/>
              </w:rPr>
              <w:t>主要包括：日志查看/导出、计量单位比对规则添加/修改/删除等功能。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通关服务升级-原产地电子联网-特别优惠关税待遇原产地参数管理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系统参数在互联网端使用，包含证书类型、计量单位、国别代码、货物类型等参数表初始化数据。</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通关服务升级-原产地电子联网-特别优惠关税待遇原产地数据传输</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互联网端向内网传输证书相关审核和证书信息包含跨境、跨网数据传输通道按照数据中心已有通道为参考依据。</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通关服务升级-全要素参数库</w:t>
            </w:r>
          </w:p>
        </w:tc>
        <w:tc>
          <w:tcPr>
            <w:tcW w:w="3396" w:type="dxa"/>
            <w:tcBorders>
              <w:top w:val="single" w:sz="4" w:space="0" w:color="auto"/>
              <w:left w:val="single" w:sz="4" w:space="0" w:color="auto"/>
              <w:right w:val="single" w:sz="4" w:space="0" w:color="auto"/>
            </w:tcBorders>
            <w:vAlign w:val="center"/>
          </w:tcPr>
          <w:p>
            <w:pPr>
              <w:spacing w:line="360" w:lineRule="auto"/>
              <w:ind w:left="420"/>
              <w:rPr>
                <w:rFonts w:cs="宋体"/>
              </w:rPr>
            </w:pPr>
            <w:r>
              <w:rPr>
                <w:rFonts w:cs="宋体" w:hint="eastAsia"/>
              </w:rPr>
              <w:t>升级全要素参数库服务，进一步建立一个集码表、参数、规则、表单模型、作业指引于一体的全要素业务参数库，承载卫生、动植检、食安、商检等业务管理要求的规范化、数字化，同时推动各业务域内的业务规范、流程再造，最终实现海关政策要求全面参数化。</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通关服务升级-全要素参数库-参数库管理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参数管理中不仅包含了通用的码表，即编码和名称、简称之间的简单映射关系；还包含业务参数表，即在同一张表内体现不同编码之间的复杂映射关系，比如HS码和CIQ码和商品分类码之间的映射关系。</w:t>
            </w:r>
          </w:p>
          <w:p>
            <w:pPr>
              <w:spacing w:line="360" w:lineRule="auto"/>
              <w:rPr>
                <w:rFonts w:cs="宋体"/>
              </w:rPr>
            </w:pPr>
            <w:r>
              <w:rPr>
                <w:rFonts w:cs="宋体" w:hint="eastAsia"/>
              </w:rPr>
              <w:t>复用作业参数管理部分，可以提供对于各种参数表的查询、增加、修改、删除、批量导入、发布、同步、日志等常规管理。</w:t>
            </w:r>
          </w:p>
          <w:p>
            <w:pPr>
              <w:spacing w:line="360" w:lineRule="auto"/>
              <w:rPr>
                <w:rFonts w:cs="宋体"/>
              </w:rPr>
            </w:pPr>
            <w:r>
              <w:rPr>
                <w:rFonts w:cs="宋体" w:hint="eastAsia"/>
              </w:rPr>
              <w:t>参数库管理包括以下功能模块：</w:t>
            </w:r>
          </w:p>
          <w:p>
            <w:pPr>
              <w:numPr>
                <w:ilvl w:val="0"/>
                <w:numId w:val="9"/>
              </w:numPr>
              <w:spacing w:line="360" w:lineRule="auto"/>
              <w:rPr>
                <w:rFonts w:cs="宋体"/>
              </w:rPr>
            </w:pPr>
            <w:r>
              <w:rPr>
                <w:rFonts w:cs="宋体" w:hint="eastAsia"/>
              </w:rPr>
              <w:t>参数表授权；</w:t>
            </w:r>
          </w:p>
          <w:p>
            <w:pPr>
              <w:numPr>
                <w:ilvl w:val="0"/>
                <w:numId w:val="9"/>
              </w:numPr>
              <w:spacing w:line="360" w:lineRule="auto"/>
              <w:rPr>
                <w:rFonts w:cs="宋体"/>
              </w:rPr>
            </w:pPr>
            <w:r>
              <w:rPr>
                <w:rFonts w:cs="宋体" w:hint="eastAsia"/>
              </w:rPr>
              <w:t>参数表比对；</w:t>
            </w:r>
          </w:p>
          <w:p>
            <w:pPr>
              <w:numPr>
                <w:ilvl w:val="0"/>
                <w:numId w:val="9"/>
              </w:numPr>
              <w:spacing w:line="360" w:lineRule="auto"/>
              <w:rPr>
                <w:rFonts w:cs="宋体"/>
              </w:rPr>
            </w:pPr>
            <w:r>
              <w:rPr>
                <w:rFonts w:cs="宋体" w:hint="eastAsia"/>
              </w:rPr>
              <w:t>参数表作废；</w:t>
            </w:r>
          </w:p>
          <w:p>
            <w:pPr>
              <w:numPr>
                <w:ilvl w:val="0"/>
                <w:numId w:val="9"/>
              </w:numPr>
              <w:spacing w:line="360" w:lineRule="auto"/>
              <w:rPr>
                <w:rFonts w:cs="宋体"/>
              </w:rPr>
            </w:pPr>
            <w:r>
              <w:rPr>
                <w:rFonts w:cs="宋体" w:hint="eastAsia"/>
              </w:rPr>
              <w:t>参数表合规性校验；</w:t>
            </w:r>
          </w:p>
          <w:p>
            <w:pPr>
              <w:numPr>
                <w:ilvl w:val="0"/>
                <w:numId w:val="9"/>
              </w:numPr>
              <w:spacing w:line="360" w:lineRule="auto"/>
              <w:rPr>
                <w:rFonts w:cs="宋体"/>
              </w:rPr>
            </w:pPr>
            <w:r>
              <w:rPr>
                <w:rFonts w:cs="宋体" w:hint="eastAsia"/>
              </w:rPr>
              <w:t>参数表审批；</w:t>
            </w:r>
          </w:p>
          <w:p>
            <w:pPr>
              <w:numPr>
                <w:ilvl w:val="0"/>
                <w:numId w:val="9"/>
              </w:numPr>
              <w:spacing w:line="360" w:lineRule="auto"/>
              <w:rPr>
                <w:rFonts w:cs="宋体"/>
              </w:rPr>
            </w:pPr>
            <w:r>
              <w:rPr>
                <w:rFonts w:cs="宋体" w:hint="eastAsia"/>
              </w:rPr>
              <w:t>参数表访问统计。</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通关服务升级-全要素参数库-规则库管理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规则是不同参数之间具有一定逻辑关系的组合。规则可以分成报关单审核规则、舱单审核规则、运输工具审核规则等规则。每个规则下又可以细分具体的规则，如：报关单审核规则包括逻辑检控规则、联网核查规则等。</w:t>
            </w:r>
          </w:p>
          <w:p>
            <w:pPr>
              <w:spacing w:line="360" w:lineRule="auto"/>
              <w:rPr>
                <w:rFonts w:cs="宋体"/>
              </w:rPr>
            </w:pPr>
            <w:r>
              <w:rPr>
                <w:rFonts w:cs="宋体" w:hint="eastAsia"/>
              </w:rPr>
              <w:t>布控规则包括现场检验布控规则、综合业务岗布控规则等。</w:t>
            </w:r>
          </w:p>
          <w:p>
            <w:pPr>
              <w:spacing w:line="360" w:lineRule="auto"/>
              <w:ind w:firstLine="420" w:firstLineChars="200"/>
              <w:rPr>
                <w:rFonts w:cs="宋体"/>
              </w:rPr>
            </w:pPr>
            <w:r>
              <w:rPr>
                <w:rFonts w:cs="宋体" w:hint="eastAsia"/>
              </w:rPr>
              <w:t>主要包括：规则的新增、批量导入、修改、删除、作废、恢复作废、发布、审批、查询、查询日志、同步、仿真、命中率统计等功能。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通关服务升级-全要素参数库-表单模型管理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表单模型管理并不是作业表单本身，而是其模板，主要是在IPO中指明应该采用什么类型的表单。</w:t>
            </w:r>
          </w:p>
          <w:p>
            <w:pPr>
              <w:spacing w:line="360" w:lineRule="auto"/>
              <w:ind w:firstLine="420" w:firstLineChars="200"/>
              <w:rPr>
                <w:rFonts w:cs="宋体"/>
              </w:rPr>
            </w:pPr>
            <w:r>
              <w:rPr>
                <w:rFonts w:cs="宋体" w:hint="eastAsia"/>
              </w:rPr>
              <w:t>主要包括：表单模型的新增、批量导入、修改、删除、作废、恢复作废、发布、审批、查询、日志查询、同步等功能。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通关服务升级-全要素参数库-作业指引管理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作业指引包含了卫生检疫、动植物检疫、进出口食品安全、商品检验等不同业务领域的作业指导书内容。在全要素业务参数库维护后，可以提供给知识库等应用使用。</w:t>
            </w:r>
          </w:p>
          <w:p>
            <w:pPr>
              <w:spacing w:line="360" w:lineRule="auto"/>
              <w:ind w:firstLine="420" w:firstLineChars="200"/>
              <w:rPr>
                <w:rFonts w:cs="宋体"/>
              </w:rPr>
            </w:pPr>
            <w:r>
              <w:rPr>
                <w:rFonts w:cs="宋体" w:hint="eastAsia"/>
              </w:rPr>
              <w:t>主要包括：作业指引的新增、批量导入、修改、删除、作废、恢复废除、发布、审批、查询、日志查询、同步等功能。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通关服务升级-全要素参数库-全流程场景IPO管理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全流程场景IPO管理是一张二维表的管理，横向是一系列带有顺序关系的操作环节，纵向是用途、产品代码、原产地等多维度考察视角，在纵横的节点上就是在指定维度上指定环节时应该进行的IPO操作。</w:t>
            </w:r>
          </w:p>
          <w:p>
            <w:pPr>
              <w:spacing w:line="360" w:lineRule="auto"/>
              <w:ind w:firstLine="420" w:firstLineChars="200"/>
              <w:rPr>
                <w:rFonts w:cs="宋体"/>
              </w:rPr>
            </w:pPr>
            <w:r>
              <w:rPr>
                <w:rFonts w:cs="宋体" w:hint="eastAsia"/>
              </w:rPr>
              <w:t>主要包括：</w:t>
            </w:r>
          </w:p>
          <w:p>
            <w:pPr>
              <w:numPr>
                <w:ilvl w:val="0"/>
                <w:numId w:val="10"/>
              </w:numPr>
              <w:spacing w:line="360" w:lineRule="auto"/>
              <w:rPr>
                <w:rFonts w:cs="宋体"/>
              </w:rPr>
            </w:pPr>
            <w:r>
              <w:rPr>
                <w:rFonts w:cs="宋体" w:hint="eastAsia"/>
              </w:rPr>
              <w:t>维度管理</w:t>
            </w:r>
          </w:p>
          <w:p>
            <w:pPr>
              <w:spacing w:line="360" w:lineRule="auto"/>
              <w:ind w:firstLine="420" w:firstLineChars="200"/>
              <w:rPr>
                <w:rFonts w:cs="宋体"/>
              </w:rPr>
            </w:pPr>
            <w:r>
              <w:rPr>
                <w:rFonts w:cs="宋体" w:hint="eastAsia"/>
              </w:rPr>
              <w:t>维度管理、维度</w:t>
            </w:r>
            <w:r>
              <w:rPr>
                <w:rFonts w:cs="宋体" w:hint="eastAsia"/>
                <w:iCs/>
              </w:rPr>
              <w:t>新增、</w:t>
            </w:r>
            <w:r>
              <w:rPr>
                <w:rFonts w:cs="宋体" w:hint="eastAsia"/>
              </w:rPr>
              <w:t>批量导入、修改、删除、作废、发布、审批、查询、日志查询等功能。</w:t>
            </w:r>
          </w:p>
          <w:p>
            <w:pPr>
              <w:numPr>
                <w:ilvl w:val="0"/>
                <w:numId w:val="10"/>
              </w:numPr>
              <w:spacing w:line="360" w:lineRule="auto"/>
              <w:rPr>
                <w:rFonts w:cs="宋体"/>
              </w:rPr>
            </w:pPr>
            <w:r>
              <w:rPr>
                <w:rFonts w:cs="宋体" w:hint="eastAsia"/>
              </w:rPr>
              <w:t>操作环节管理</w:t>
            </w:r>
          </w:p>
          <w:p>
            <w:pPr>
              <w:spacing w:line="360" w:lineRule="auto"/>
              <w:ind w:firstLine="420" w:firstLineChars="200"/>
              <w:rPr>
                <w:rFonts w:cs="宋体"/>
              </w:rPr>
            </w:pPr>
            <w:r>
              <w:rPr>
                <w:rFonts w:cs="宋体" w:hint="eastAsia"/>
              </w:rPr>
              <w:t>操作环节的</w:t>
            </w:r>
            <w:r>
              <w:rPr>
                <w:rFonts w:cs="宋体" w:hint="eastAsia"/>
                <w:iCs/>
              </w:rPr>
              <w:t>新增、</w:t>
            </w:r>
            <w:r>
              <w:rPr>
                <w:rFonts w:cs="宋体" w:hint="eastAsia"/>
              </w:rPr>
              <w:t>批量导入、修改、删除、作废、恢复作废、发布、审批、查询、日志查询等功能。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一企一账中心-企业账目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新增一企一账中心-企业账目服务，主要实现对企业底账、ERP数据的有效管理。</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一企一账中心-企业账目-底账管理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底账管理主要是对底账数据进行接收，并对底账数据进行核算、盘点，为业务部门开展保税业务提供数据支撑。同时按预警规则对底账数据进行校验，记录底账存在的问题，为通关和保税等业务提供相应的数据展示以及必要提醒。</w:t>
            </w:r>
          </w:p>
          <w:p>
            <w:pPr>
              <w:spacing w:line="360" w:lineRule="auto"/>
              <w:ind w:firstLine="420" w:firstLineChars="200"/>
              <w:rPr>
                <w:rFonts w:cs="宋体"/>
              </w:rPr>
            </w:pPr>
            <w:r>
              <w:rPr>
                <w:rFonts w:cs="宋体" w:hint="eastAsia"/>
              </w:rPr>
              <w:t>主要包括：底账数据接收、核算、盘点、在线盘点、数据同步服务调度、预警、异常调整、分类统计等功能。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一企一账中心-企业账目-企业ERP数据管理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基于数据海关监管需要，提供企业ERP系统与保税业务管理中心系统对接的标准，同时将企业ERP数据与保税业务管理中心系统进行联网对接，定时接收企业ERP系统共享的相关数据到海关监管系统，用于事中及事后分析，实现精准监管等。</w:t>
            </w:r>
          </w:p>
          <w:p>
            <w:pPr>
              <w:spacing w:line="360" w:lineRule="auto"/>
              <w:ind w:firstLine="420" w:firstLineChars="200"/>
              <w:rPr>
                <w:rFonts w:cs="宋体"/>
              </w:rPr>
            </w:pPr>
            <w:r>
              <w:rPr>
                <w:rFonts w:cs="宋体" w:hint="eastAsia"/>
              </w:rPr>
              <w:t>主要包括：数据源配置、参数配置、数据抽取、数据同步、定时服务等功能。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一企一账中心-自贸港账册服务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新增一企一账中心-自贸港账册服务，主要包括与其他系统的数据交互管理、以及业务规则、业务审核、业务预警、统计分析等管理功能。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一企一账中心-自贸港账册服务-外部对接管理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根据业务特性需要与H4A系统、报关单系统、舱单系统、卡口管理系统、查管系统、地方相关部门数据实现信息交换和共享，支撑保税业务的开展。根据海关总署发布的接口标准进行对接。</w:t>
            </w:r>
          </w:p>
          <w:p>
            <w:pPr>
              <w:spacing w:line="360" w:lineRule="auto"/>
              <w:ind w:firstLine="420" w:firstLineChars="200"/>
              <w:rPr>
                <w:rFonts w:cs="宋体"/>
              </w:rPr>
            </w:pPr>
            <w:r>
              <w:rPr>
                <w:rFonts w:cs="宋体" w:hint="eastAsia"/>
              </w:rPr>
              <w:t>主要包括：</w:t>
            </w:r>
          </w:p>
          <w:p>
            <w:pPr>
              <w:numPr>
                <w:ilvl w:val="0"/>
                <w:numId w:val="11"/>
              </w:numPr>
              <w:spacing w:line="360" w:lineRule="auto"/>
              <w:ind w:left="0" w:firstLine="420" w:firstLineChars="200"/>
              <w:rPr>
                <w:rFonts w:cs="宋体"/>
              </w:rPr>
            </w:pPr>
            <w:r>
              <w:rPr>
                <w:rFonts w:cs="宋体" w:hint="eastAsia"/>
              </w:rPr>
              <w:t>H4A系统对接：</w:t>
            </w:r>
          </w:p>
          <w:p>
            <w:pPr>
              <w:spacing w:line="360" w:lineRule="auto"/>
              <w:rPr>
                <w:rFonts w:cs="宋体"/>
              </w:rPr>
            </w:pPr>
            <w:r>
              <w:rPr>
                <w:rFonts w:cs="宋体" w:hint="eastAsia"/>
              </w:rPr>
              <w:t>对接H4A平台，实现身份管理、授权管理、认证管理和安全审计、权限认证等。</w:t>
            </w:r>
          </w:p>
          <w:p>
            <w:pPr>
              <w:numPr>
                <w:ilvl w:val="0"/>
                <w:numId w:val="11"/>
              </w:numPr>
              <w:spacing w:line="360" w:lineRule="auto"/>
              <w:ind w:left="0" w:firstLine="420" w:firstLineChars="200"/>
              <w:rPr>
                <w:rFonts w:cs="宋体"/>
              </w:rPr>
            </w:pPr>
            <w:r>
              <w:rPr>
                <w:rFonts w:cs="宋体" w:hint="eastAsia"/>
              </w:rPr>
              <w:t>报关单系统对接：</w:t>
            </w:r>
          </w:p>
          <w:p>
            <w:pPr>
              <w:spacing w:line="360" w:lineRule="auto"/>
              <w:rPr>
                <w:rFonts w:cs="宋体"/>
              </w:rPr>
            </w:pPr>
            <w:r>
              <w:rPr>
                <w:rFonts w:cs="宋体" w:hint="eastAsia"/>
              </w:rPr>
              <w:t>与报关单系统对接，查询报关单数据，并与各业务单证的报关单数据进行匹配校验，检验通过反馈校验通过信息，用户可直观查看报关单的企业相关信息。</w:t>
            </w:r>
          </w:p>
          <w:p>
            <w:pPr>
              <w:numPr>
                <w:ilvl w:val="0"/>
                <w:numId w:val="11"/>
              </w:numPr>
              <w:spacing w:line="360" w:lineRule="auto"/>
              <w:ind w:left="0" w:firstLine="420" w:firstLineChars="200"/>
              <w:rPr>
                <w:rFonts w:cs="宋体"/>
              </w:rPr>
            </w:pPr>
            <w:r>
              <w:rPr>
                <w:rFonts w:cs="宋体" w:hint="eastAsia"/>
              </w:rPr>
              <w:t>舱单系统对接：</w:t>
            </w:r>
          </w:p>
          <w:p>
            <w:pPr>
              <w:spacing w:line="360" w:lineRule="auto"/>
              <w:rPr>
                <w:rFonts w:cs="宋体"/>
              </w:rPr>
            </w:pPr>
            <w:r>
              <w:rPr>
                <w:rFonts w:cs="宋体" w:hint="eastAsia"/>
              </w:rPr>
              <w:t>对接海关舱单系统预定舱单信息，包括舱单基础数据（原属工具名称、航班/航次/车次号、提运单号）、舱单核注核销数据、舱单布控数据、舱单理货报关等信息。</w:t>
            </w:r>
          </w:p>
          <w:p>
            <w:pPr>
              <w:numPr>
                <w:ilvl w:val="0"/>
                <w:numId w:val="11"/>
              </w:numPr>
              <w:spacing w:line="360" w:lineRule="auto"/>
              <w:ind w:left="0" w:firstLine="420" w:firstLineChars="200"/>
              <w:rPr>
                <w:rFonts w:cs="宋体"/>
              </w:rPr>
            </w:pPr>
            <w:r>
              <w:rPr>
                <w:rFonts w:cs="宋体" w:hint="eastAsia"/>
              </w:rPr>
              <w:t>卡口管理系统对接：</w:t>
            </w:r>
          </w:p>
          <w:p>
            <w:pPr>
              <w:spacing w:line="360" w:lineRule="auto"/>
              <w:rPr>
                <w:rFonts w:cs="宋体"/>
              </w:rPr>
            </w:pPr>
            <w:r>
              <w:rPr>
                <w:rFonts w:cs="宋体" w:hint="eastAsia"/>
              </w:rPr>
              <w:t>对接卡口管理系统，实现对接电子车牌识别装置、IC卡识别装置、电子栏杆、扫描设备、地磅设备、摄像头设备、LED屏等卡口硬件设备采集数据和车辆过卡信息。</w:t>
            </w:r>
          </w:p>
          <w:p>
            <w:pPr>
              <w:numPr>
                <w:ilvl w:val="0"/>
                <w:numId w:val="11"/>
              </w:numPr>
              <w:spacing w:line="360" w:lineRule="auto"/>
              <w:ind w:left="0" w:firstLine="420" w:firstLineChars="200"/>
              <w:rPr>
                <w:rFonts w:cs="宋体"/>
              </w:rPr>
            </w:pPr>
            <w:r>
              <w:rPr>
                <w:rFonts w:cs="宋体" w:hint="eastAsia"/>
              </w:rPr>
              <w:t>查管系统对接：</w:t>
            </w:r>
          </w:p>
          <w:p>
            <w:pPr>
              <w:spacing w:line="360" w:lineRule="auto"/>
              <w:rPr>
                <w:rFonts w:cs="宋体"/>
              </w:rPr>
            </w:pPr>
            <w:r>
              <w:rPr>
                <w:rFonts w:cs="宋体" w:hint="eastAsia"/>
              </w:rPr>
              <w:t>对接海关查管系统，实现相互信息数据传输，主要包括查管系统中的查验相关信息，如查验情况、总署查验要求、所选集装箱查验情况、申报货物查验情况、报关单号、查验记录单号、布控信息、人工查验记录、查验指令、查验结果、查验开始时间、查验结束时间、查验关区等。</w:t>
            </w:r>
          </w:p>
          <w:p>
            <w:pPr>
              <w:numPr>
                <w:ilvl w:val="0"/>
                <w:numId w:val="11"/>
              </w:numPr>
              <w:spacing w:line="360" w:lineRule="auto"/>
              <w:ind w:left="0" w:firstLine="420" w:firstLineChars="200"/>
              <w:rPr>
                <w:rFonts w:cs="宋体"/>
              </w:rPr>
            </w:pPr>
            <w:r>
              <w:rPr>
                <w:rFonts w:cs="宋体" w:hint="eastAsia"/>
              </w:rPr>
              <w:t>地方相关部门数据对接：</w:t>
            </w:r>
          </w:p>
          <w:p>
            <w:pPr>
              <w:spacing w:line="360" w:lineRule="auto"/>
              <w:rPr>
                <w:rFonts w:cs="宋体"/>
              </w:rPr>
            </w:pPr>
            <w:r>
              <w:rPr>
                <w:rFonts w:cs="宋体" w:hint="eastAsia"/>
              </w:rPr>
              <w:t>对接地方相关部门系统（包括但不限于税务、公安、交通等部门的系统），实现与地方相关部门数据交换与共享。</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一企一账中心-自贸港账册服务-业务规则管理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业务规则管理对保税相关业务基础业务规则进行抽象处理，采用参数化配置的方式实现业务规则的在线配置管理、在线发布、在线执行的功能。</w:t>
            </w:r>
          </w:p>
          <w:p>
            <w:pPr>
              <w:spacing w:line="360" w:lineRule="auto"/>
              <w:ind w:firstLine="420" w:firstLineChars="200"/>
              <w:rPr>
                <w:rFonts w:cs="宋体"/>
              </w:rPr>
            </w:pPr>
            <w:r>
              <w:rPr>
                <w:rFonts w:cs="宋体" w:hint="eastAsia"/>
              </w:rPr>
              <w:t>主要包括：规则参数管理、业务规则配置、规则函数配置、规则应用发布、规则执行展示等功能。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一企一账中心-自贸港账册服务-业务审核管理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业务审核管理为保税相关业务提供标准化的业务单证审核、业务协同办理等相关业务的通用能力实现，将不同业务从信息接收到业务审核，最终反馈回执的通用能力进行封装，满足业务审核、协同办理等相关应用的调用。</w:t>
            </w:r>
          </w:p>
          <w:p>
            <w:pPr>
              <w:spacing w:line="360" w:lineRule="auto"/>
              <w:rPr>
                <w:rFonts w:cs="宋体"/>
              </w:rPr>
            </w:pPr>
            <w:r>
              <w:rPr>
                <w:rFonts w:cs="宋体" w:hint="eastAsia"/>
              </w:rPr>
              <w:t>主要包括：业务流转流程的配置、标准报文接收、标准回执反馈、基础数据校验、业务电子审核、业务人工审核等业务流程执行过程中的标准功能，在流程展示方面通过全程留痕功能实现业务审核过程细节的查询。</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一企一账中心-自贸港账册服务-分析管理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分析管理功能面向保税业务场景提供多样的数据建模分析工具，可根据业务特点预定专项报告样例，在线配置和发布多维分析报告。</w:t>
            </w:r>
          </w:p>
          <w:p>
            <w:pPr>
              <w:spacing w:line="360" w:lineRule="auto"/>
              <w:ind w:firstLine="420" w:firstLineChars="200"/>
              <w:rPr>
                <w:rFonts w:cs="宋体"/>
              </w:rPr>
            </w:pPr>
            <w:r>
              <w:rPr>
                <w:rFonts w:cs="宋体" w:hint="eastAsia"/>
              </w:rPr>
              <w:t>主要包括：统一展示、报表统计、即时查询、指标配置等功能。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一企一账中心-自贸港账册服务-业务预警管理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业务预警管理功能，可根据不同的保税业务场景提供预警功能，将公共通用的功能进行下沉、抽象，形成一个通用的服务，为保税业务应用提供敏捷、开放、共享的业务预警管理功能。</w:t>
            </w:r>
          </w:p>
          <w:p>
            <w:pPr>
              <w:spacing w:line="360" w:lineRule="auto"/>
              <w:ind w:firstLine="420" w:firstLineChars="200"/>
              <w:rPr>
                <w:rFonts w:cs="宋体"/>
              </w:rPr>
            </w:pPr>
            <w:r>
              <w:rPr>
                <w:rFonts w:cs="宋体" w:hint="eastAsia"/>
              </w:rPr>
              <w:t>主要包括：预警参数配置、预警动作管理、预警处置执行、预警信息展示等功能。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一企一账中心-保税综合管理分析预警</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新增一企一账中心-保税综合管理分析预警服务，分析预警应用的业务数据均由信息资源共享服务平台提供，主要包括业务的查询、预警、监控等功能。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一企一账中心-保税综合管理分析预警-业务查询</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业务查询模块包括两个方面：一是手（账）册相关的企业、商品、单证等数据；二是其他部门对加贸企业实施监管的相关数据，包括稽核查外勤作业情况、缉私部门的案件查处情况等。</w:t>
            </w:r>
          </w:p>
          <w:p>
            <w:pPr>
              <w:spacing w:line="360" w:lineRule="auto"/>
              <w:ind w:firstLine="420" w:firstLineChars="200"/>
              <w:rPr>
                <w:rFonts w:cs="宋体"/>
              </w:rPr>
            </w:pPr>
            <w:r>
              <w:rPr>
                <w:rFonts w:cs="宋体" w:hint="eastAsia"/>
              </w:rPr>
              <w:t>主要包括：</w:t>
            </w:r>
          </w:p>
          <w:p>
            <w:pPr>
              <w:numPr>
                <w:ilvl w:val="0"/>
                <w:numId w:val="12"/>
              </w:numPr>
              <w:spacing w:line="360" w:lineRule="auto"/>
              <w:ind w:left="0" w:firstLine="420" w:firstLineChars="200"/>
              <w:rPr>
                <w:rFonts w:cs="宋体"/>
              </w:rPr>
            </w:pPr>
            <w:r>
              <w:rPr>
                <w:rFonts w:cs="宋体" w:hint="eastAsia"/>
              </w:rPr>
              <w:t>业务总体查询：</w:t>
            </w:r>
          </w:p>
          <w:p>
            <w:pPr>
              <w:spacing w:line="360" w:lineRule="auto"/>
              <w:ind w:firstLine="420" w:firstLineChars="200"/>
              <w:rPr>
                <w:rFonts w:cs="宋体"/>
              </w:rPr>
            </w:pPr>
            <w:r>
              <w:rPr>
                <w:rFonts w:cs="宋体" w:hint="eastAsia"/>
              </w:rPr>
              <w:t>实现对加工贸易业务、海关特殊监管区域、保税监管场所、保税担保等各类加工贸易及保税监管业务整体情况的查询分析。</w:t>
            </w:r>
          </w:p>
          <w:p>
            <w:pPr>
              <w:numPr>
                <w:ilvl w:val="0"/>
                <w:numId w:val="12"/>
              </w:numPr>
              <w:spacing w:line="360" w:lineRule="auto"/>
              <w:ind w:left="0" w:firstLine="420" w:firstLineChars="200"/>
              <w:rPr>
                <w:rFonts w:cs="宋体"/>
              </w:rPr>
            </w:pPr>
            <w:r>
              <w:rPr>
                <w:rFonts w:cs="宋体" w:hint="eastAsia"/>
              </w:rPr>
              <w:t>单证查询：</w:t>
            </w:r>
          </w:p>
          <w:p>
            <w:pPr>
              <w:spacing w:line="360" w:lineRule="auto"/>
              <w:rPr>
                <w:rFonts w:cs="宋体"/>
              </w:rPr>
            </w:pPr>
            <w:r>
              <w:rPr>
                <w:rFonts w:cs="宋体" w:hint="eastAsia"/>
              </w:rPr>
              <w:t>实现对保税管理系统内部分业务单证的全面查询分析，包括手（账）册、核注清单、业务申报表、出入库单、核放单、外发加工、保税担保单证等。</w:t>
            </w:r>
          </w:p>
          <w:p>
            <w:pPr>
              <w:numPr>
                <w:ilvl w:val="0"/>
                <w:numId w:val="12"/>
              </w:numPr>
              <w:spacing w:line="360" w:lineRule="auto"/>
              <w:ind w:left="0" w:firstLine="420" w:firstLineChars="200"/>
              <w:rPr>
                <w:rFonts w:cs="宋体"/>
              </w:rPr>
            </w:pPr>
            <w:r>
              <w:rPr>
                <w:rFonts w:cs="宋体" w:hint="eastAsia"/>
              </w:rPr>
              <w:t>案件信息查询：</w:t>
            </w:r>
          </w:p>
          <w:p>
            <w:pPr>
              <w:spacing w:line="360" w:lineRule="auto"/>
              <w:rPr>
                <w:rFonts w:cs="宋体"/>
              </w:rPr>
            </w:pPr>
            <w:r>
              <w:rPr>
                <w:rFonts w:cs="宋体" w:hint="eastAsia"/>
              </w:rPr>
              <w:t>主要用于查询开展加工贸易、保税物流以及其他保税业务的企业在稽（核）查部门外勤作业情况和缉私部门的案件查处情况。</w:t>
            </w:r>
          </w:p>
          <w:p>
            <w:pPr>
              <w:numPr>
                <w:ilvl w:val="0"/>
                <w:numId w:val="12"/>
              </w:numPr>
              <w:spacing w:line="360" w:lineRule="auto"/>
              <w:ind w:left="0" w:firstLine="420" w:firstLineChars="200"/>
              <w:rPr>
                <w:rFonts w:cs="宋体"/>
              </w:rPr>
            </w:pPr>
            <w:r>
              <w:rPr>
                <w:rFonts w:cs="宋体" w:hint="eastAsia"/>
              </w:rPr>
              <w:t>作业查询：</w:t>
            </w:r>
          </w:p>
          <w:p>
            <w:pPr>
              <w:spacing w:line="360" w:lineRule="auto"/>
              <w:rPr>
                <w:rFonts w:cs="宋体"/>
              </w:rPr>
            </w:pPr>
            <w:r>
              <w:rPr>
                <w:rFonts w:cs="宋体" w:hint="eastAsia"/>
              </w:rPr>
              <w:t>实现对保税管理系统各类作业的审核状态查询分析，主要包括系统电子审核作业情况查询等。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一企一账中心-保税综合管理分析预警-业务预警</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主要实现对关区保税监管业务高风险节点、手（账）册执行情况、企业风险情况的预警管理，以及对海关特殊监管区域、保税监管场所等保税物流业务运行情况的预警管理。</w:t>
            </w:r>
          </w:p>
          <w:p>
            <w:pPr>
              <w:spacing w:line="360" w:lineRule="auto"/>
              <w:ind w:firstLine="420" w:firstLineChars="200"/>
              <w:rPr>
                <w:rFonts w:cs="宋体"/>
              </w:rPr>
            </w:pPr>
            <w:r>
              <w:rPr>
                <w:rFonts w:cs="宋体" w:hint="eastAsia"/>
              </w:rPr>
              <w:t>主要包括：</w:t>
            </w:r>
          </w:p>
          <w:p>
            <w:pPr>
              <w:numPr>
                <w:ilvl w:val="0"/>
                <w:numId w:val="13"/>
              </w:numPr>
              <w:spacing w:line="360" w:lineRule="auto"/>
              <w:ind w:left="0" w:firstLine="420" w:firstLineChars="200"/>
              <w:rPr>
                <w:rFonts w:cs="宋体"/>
              </w:rPr>
            </w:pPr>
            <w:r>
              <w:rPr>
                <w:rFonts w:cs="宋体" w:hint="eastAsia"/>
              </w:rPr>
              <w:t>区外加工贸易预警：</w:t>
            </w:r>
          </w:p>
          <w:p>
            <w:pPr>
              <w:spacing w:line="360" w:lineRule="auto"/>
              <w:ind w:firstLine="420" w:firstLineChars="200"/>
              <w:rPr>
                <w:rFonts w:cs="宋体"/>
              </w:rPr>
            </w:pPr>
            <w:r>
              <w:rPr>
                <w:rFonts w:cs="宋体" w:hint="eastAsia"/>
              </w:rPr>
              <w:t>主要包括单耗预警、手（账）册执行情况预警等。</w:t>
            </w:r>
          </w:p>
          <w:p>
            <w:pPr>
              <w:numPr>
                <w:ilvl w:val="0"/>
                <w:numId w:val="13"/>
              </w:numPr>
              <w:spacing w:line="360" w:lineRule="auto"/>
              <w:ind w:left="0" w:firstLine="420" w:firstLineChars="200"/>
              <w:rPr>
                <w:rFonts w:cs="宋体"/>
              </w:rPr>
            </w:pPr>
            <w:r>
              <w:rPr>
                <w:rFonts w:cs="宋体" w:hint="eastAsia"/>
              </w:rPr>
              <w:t>海关特殊监管区域预警：</w:t>
            </w:r>
          </w:p>
          <w:p>
            <w:pPr>
              <w:spacing w:line="360" w:lineRule="auto"/>
              <w:ind w:firstLine="420" w:firstLineChars="200"/>
              <w:rPr>
                <w:rFonts w:cs="宋体"/>
              </w:rPr>
            </w:pPr>
            <w:r>
              <w:rPr>
                <w:rFonts w:cs="宋体" w:hint="eastAsia"/>
              </w:rPr>
              <w:t>主要包括未核销电子账册预警、长期无进出账册预警、出库单未回库情况预警等。</w:t>
            </w:r>
          </w:p>
          <w:p>
            <w:pPr>
              <w:numPr>
                <w:ilvl w:val="0"/>
                <w:numId w:val="13"/>
              </w:numPr>
              <w:spacing w:line="360" w:lineRule="auto"/>
              <w:ind w:left="0" w:firstLine="420" w:firstLineChars="200"/>
              <w:rPr>
                <w:rFonts w:cs="宋体"/>
              </w:rPr>
            </w:pPr>
            <w:r>
              <w:rPr>
                <w:rFonts w:cs="宋体" w:hint="eastAsia"/>
              </w:rPr>
              <w:t>保税监管场所预警：</w:t>
            </w:r>
          </w:p>
          <w:p>
            <w:pPr>
              <w:spacing w:line="360" w:lineRule="auto"/>
              <w:ind w:firstLine="420" w:firstLineChars="200"/>
              <w:rPr>
                <w:rFonts w:cs="宋体"/>
              </w:rPr>
            </w:pPr>
            <w:r>
              <w:rPr>
                <w:rFonts w:cs="宋体" w:hint="eastAsia"/>
              </w:rPr>
              <w:t>主要包括物流账册负库存预警、商品存储期限预警等。</w:t>
            </w:r>
          </w:p>
          <w:p>
            <w:pPr>
              <w:numPr>
                <w:ilvl w:val="0"/>
                <w:numId w:val="13"/>
              </w:numPr>
              <w:spacing w:line="360" w:lineRule="auto"/>
              <w:ind w:left="0" w:firstLine="420" w:firstLineChars="200"/>
              <w:rPr>
                <w:rFonts w:cs="宋体"/>
              </w:rPr>
            </w:pPr>
            <w:r>
              <w:rPr>
                <w:rFonts w:cs="宋体" w:hint="eastAsia"/>
              </w:rPr>
              <w:t>保税担保预警：</w:t>
            </w:r>
          </w:p>
          <w:p>
            <w:pPr>
              <w:spacing w:line="360" w:lineRule="auto"/>
              <w:ind w:firstLine="420" w:firstLineChars="200"/>
              <w:rPr>
                <w:rFonts w:cs="宋体"/>
              </w:rPr>
            </w:pPr>
            <w:r>
              <w:rPr>
                <w:rFonts w:cs="宋体" w:hint="eastAsia"/>
              </w:rPr>
              <w:t>主要包括保税担保未及时退还预警等。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一企一账中心-保税综合管理分析预警-业务监控</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业务监控模块主要实现对关区保税监管业务高风险节点、手（账）册执行情况、企业风险情况以及对海关特殊监管区域、保税监管场所等保税物流业务运行情况的业务分析监控。</w:t>
            </w:r>
          </w:p>
          <w:p>
            <w:pPr>
              <w:spacing w:line="360" w:lineRule="auto"/>
              <w:ind w:firstLine="420" w:firstLineChars="200"/>
              <w:rPr>
                <w:rFonts w:cs="宋体"/>
              </w:rPr>
            </w:pPr>
            <w:r>
              <w:rPr>
                <w:rFonts w:cs="宋体" w:hint="eastAsia"/>
              </w:rPr>
              <w:t>主要包括：</w:t>
            </w:r>
          </w:p>
          <w:p>
            <w:pPr>
              <w:numPr>
                <w:ilvl w:val="0"/>
                <w:numId w:val="14"/>
              </w:numPr>
              <w:spacing w:line="360" w:lineRule="auto"/>
              <w:ind w:left="0" w:firstLine="420" w:firstLineChars="200"/>
              <w:rPr>
                <w:rFonts w:cs="宋体"/>
              </w:rPr>
            </w:pPr>
            <w:r>
              <w:rPr>
                <w:rFonts w:cs="宋体" w:hint="eastAsia"/>
              </w:rPr>
              <w:t>重点敏感商品监控：</w:t>
            </w:r>
          </w:p>
          <w:p>
            <w:pPr>
              <w:spacing w:line="360" w:lineRule="auto"/>
              <w:ind w:firstLine="420" w:firstLineChars="200"/>
              <w:rPr>
                <w:rFonts w:cs="宋体"/>
              </w:rPr>
            </w:pPr>
            <w:r>
              <w:rPr>
                <w:rFonts w:cs="宋体" w:hint="eastAsia"/>
              </w:rPr>
              <w:t>主要包括手(账)册商品备案商品监控等。</w:t>
            </w:r>
          </w:p>
          <w:p>
            <w:pPr>
              <w:numPr>
                <w:ilvl w:val="0"/>
                <w:numId w:val="14"/>
              </w:numPr>
              <w:spacing w:line="360" w:lineRule="auto"/>
              <w:ind w:left="0" w:firstLine="420" w:firstLineChars="200"/>
              <w:rPr>
                <w:rFonts w:cs="宋体"/>
              </w:rPr>
            </w:pPr>
            <w:r>
              <w:rPr>
                <w:rFonts w:cs="宋体" w:hint="eastAsia"/>
              </w:rPr>
              <w:t>作业审核监控：</w:t>
            </w:r>
          </w:p>
          <w:p>
            <w:pPr>
              <w:spacing w:line="360" w:lineRule="auto"/>
              <w:ind w:firstLine="420" w:firstLineChars="200"/>
              <w:rPr>
                <w:rFonts w:cs="宋体"/>
              </w:rPr>
            </w:pPr>
            <w:r>
              <w:rPr>
                <w:rFonts w:cs="宋体" w:hint="eastAsia"/>
              </w:rPr>
              <w:t>主要包括超24小时未审核业务监控等。</w:t>
            </w:r>
          </w:p>
          <w:p>
            <w:pPr>
              <w:numPr>
                <w:ilvl w:val="0"/>
                <w:numId w:val="14"/>
              </w:numPr>
              <w:spacing w:line="360" w:lineRule="auto"/>
              <w:ind w:left="0" w:firstLine="420" w:firstLineChars="200"/>
              <w:rPr>
                <w:rFonts w:cs="宋体"/>
              </w:rPr>
            </w:pPr>
            <w:r>
              <w:rPr>
                <w:rFonts w:cs="宋体" w:hint="eastAsia"/>
              </w:rPr>
              <w:t>单证异常监控：</w:t>
            </w:r>
          </w:p>
          <w:p>
            <w:pPr>
              <w:spacing w:line="360" w:lineRule="auto"/>
              <w:ind w:firstLine="420" w:firstLineChars="200"/>
              <w:rPr>
                <w:rFonts w:cs="宋体"/>
              </w:rPr>
            </w:pPr>
            <w:r>
              <w:rPr>
                <w:rFonts w:cs="宋体" w:hint="eastAsia"/>
              </w:rPr>
              <w:t>主要包括报关单与核注清单不一致监控等。</w:t>
            </w:r>
          </w:p>
          <w:p>
            <w:pPr>
              <w:numPr>
                <w:ilvl w:val="0"/>
                <w:numId w:val="14"/>
              </w:numPr>
              <w:spacing w:line="360" w:lineRule="auto"/>
              <w:ind w:left="0" w:firstLine="420" w:firstLineChars="200"/>
              <w:rPr>
                <w:rFonts w:cs="宋体"/>
              </w:rPr>
            </w:pPr>
            <w:r>
              <w:rPr>
                <w:rFonts w:cs="宋体" w:hint="eastAsia"/>
              </w:rPr>
              <w:t>区外加工贸易监控：</w:t>
            </w:r>
          </w:p>
          <w:p>
            <w:pPr>
              <w:spacing w:line="360" w:lineRule="auto"/>
              <w:ind w:firstLine="420" w:firstLineChars="200"/>
              <w:rPr>
                <w:rFonts w:cs="宋体"/>
              </w:rPr>
            </w:pPr>
            <w:r>
              <w:rPr>
                <w:rFonts w:cs="宋体" w:hint="eastAsia"/>
              </w:rPr>
              <w:t>主要包括监管方式监控、手册执行情况监控、账册执行情况监控等。</w:t>
            </w:r>
          </w:p>
          <w:p>
            <w:pPr>
              <w:numPr>
                <w:ilvl w:val="0"/>
                <w:numId w:val="14"/>
              </w:numPr>
              <w:spacing w:line="360" w:lineRule="auto"/>
              <w:ind w:left="0" w:firstLine="420" w:firstLineChars="200"/>
              <w:rPr>
                <w:rFonts w:cs="宋体"/>
              </w:rPr>
            </w:pPr>
            <w:r>
              <w:rPr>
                <w:rFonts w:cs="宋体" w:hint="eastAsia"/>
              </w:rPr>
              <w:t>海关特殊监管区域监控：</w:t>
            </w:r>
          </w:p>
          <w:p>
            <w:pPr>
              <w:spacing w:line="360" w:lineRule="auto"/>
              <w:ind w:firstLine="420" w:firstLineChars="200"/>
              <w:rPr>
                <w:rFonts w:cs="宋体"/>
              </w:rPr>
            </w:pPr>
            <w:r>
              <w:rPr>
                <w:rFonts w:cs="宋体" w:hint="eastAsia"/>
              </w:rPr>
              <w:t>主要包括区域账册执行监控、区域保税物流监控等。</w:t>
            </w:r>
          </w:p>
          <w:p>
            <w:pPr>
              <w:numPr>
                <w:ilvl w:val="0"/>
                <w:numId w:val="14"/>
              </w:numPr>
              <w:spacing w:line="360" w:lineRule="auto"/>
              <w:ind w:left="0" w:firstLine="420" w:firstLineChars="200"/>
              <w:rPr>
                <w:rFonts w:cs="宋体"/>
              </w:rPr>
            </w:pPr>
            <w:r>
              <w:rPr>
                <w:rFonts w:cs="宋体" w:hint="eastAsia"/>
              </w:rPr>
              <w:t>保税监管场所监控：</w:t>
            </w:r>
          </w:p>
          <w:p>
            <w:pPr>
              <w:spacing w:line="360" w:lineRule="auto"/>
              <w:ind w:firstLine="420" w:firstLineChars="200"/>
              <w:rPr>
                <w:rFonts w:cs="宋体"/>
              </w:rPr>
            </w:pPr>
            <w:r>
              <w:rPr>
                <w:rFonts w:cs="宋体" w:hint="eastAsia"/>
              </w:rPr>
              <w:t>主要包括物流账册长期无进出情况监控等。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一企一账中心-企业信息全景展示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新增一企一账中心-企业信息全景展示服务，主要包括企业信息的查询、统计及权限设置等功能。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一企一账中心-企业信息全景展示-企业信息查询</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企业信息可通过以下方式进行查询：</w:t>
            </w:r>
          </w:p>
          <w:p>
            <w:pPr>
              <w:spacing w:line="360" w:lineRule="auto"/>
              <w:ind w:firstLine="420" w:firstLineChars="200"/>
              <w:rPr>
                <w:rFonts w:cs="宋体"/>
              </w:rPr>
            </w:pPr>
            <w:r>
              <w:rPr>
                <w:rFonts w:cs="宋体" w:hint="eastAsia"/>
              </w:rPr>
              <w:t>1．企业综合信息查询；</w:t>
            </w:r>
          </w:p>
          <w:p>
            <w:pPr>
              <w:spacing w:line="360" w:lineRule="auto"/>
              <w:rPr>
                <w:rFonts w:cs="宋体"/>
              </w:rPr>
            </w:pPr>
            <w:r>
              <w:rPr>
                <w:rFonts w:cs="宋体" w:hint="eastAsia"/>
              </w:rPr>
              <w:t>2．企业外部登记备案信息查询；</w:t>
            </w:r>
          </w:p>
          <w:p>
            <w:pPr>
              <w:spacing w:line="360" w:lineRule="auto"/>
              <w:rPr>
                <w:rFonts w:cs="宋体"/>
              </w:rPr>
            </w:pPr>
            <w:r>
              <w:rPr>
                <w:rFonts w:cs="宋体" w:hint="eastAsia"/>
              </w:rPr>
              <w:t>3．企业等级/类型情况查询；</w:t>
            </w:r>
          </w:p>
          <w:p>
            <w:pPr>
              <w:spacing w:line="360" w:lineRule="auto"/>
              <w:rPr>
                <w:rFonts w:cs="宋体"/>
              </w:rPr>
            </w:pPr>
            <w:r>
              <w:rPr>
                <w:rFonts w:cs="宋体" w:hint="eastAsia"/>
              </w:rPr>
              <w:t>4．企业报关情况查询；</w:t>
            </w:r>
          </w:p>
          <w:p>
            <w:pPr>
              <w:spacing w:line="360" w:lineRule="auto"/>
              <w:rPr>
                <w:rFonts w:cs="宋体"/>
              </w:rPr>
            </w:pPr>
            <w:r>
              <w:rPr>
                <w:rFonts w:cs="宋体" w:hint="eastAsia"/>
              </w:rPr>
              <w:t>5．企业申报口岸情况查询；</w:t>
            </w:r>
          </w:p>
          <w:p>
            <w:pPr>
              <w:spacing w:line="360" w:lineRule="auto"/>
              <w:rPr>
                <w:rFonts w:cs="宋体"/>
              </w:rPr>
            </w:pPr>
            <w:r>
              <w:rPr>
                <w:rFonts w:cs="宋体" w:hint="eastAsia"/>
              </w:rPr>
              <w:t>6．企业本地、异地情况查询；</w:t>
            </w:r>
          </w:p>
          <w:p>
            <w:pPr>
              <w:spacing w:line="360" w:lineRule="auto"/>
              <w:rPr>
                <w:rFonts w:cs="宋体"/>
              </w:rPr>
            </w:pPr>
            <w:r>
              <w:rPr>
                <w:rFonts w:cs="宋体" w:hint="eastAsia"/>
              </w:rPr>
              <w:t>7．进出口货物报关情况查询；</w:t>
            </w:r>
          </w:p>
          <w:p>
            <w:pPr>
              <w:spacing w:line="360" w:lineRule="auto"/>
              <w:rPr>
                <w:rFonts w:cs="宋体"/>
              </w:rPr>
            </w:pPr>
            <w:r>
              <w:rPr>
                <w:rFonts w:cs="宋体" w:hint="eastAsia"/>
              </w:rPr>
              <w:t>8．企业稽查情况查询；</w:t>
            </w:r>
          </w:p>
          <w:p>
            <w:pPr>
              <w:spacing w:line="360" w:lineRule="auto"/>
              <w:rPr>
                <w:rFonts w:cs="宋体"/>
              </w:rPr>
            </w:pPr>
            <w:r>
              <w:rPr>
                <w:rFonts w:cs="宋体" w:hint="eastAsia"/>
              </w:rPr>
              <w:t>9．核查作业开展情况查询；</w:t>
            </w:r>
          </w:p>
          <w:p>
            <w:pPr>
              <w:spacing w:line="360" w:lineRule="auto"/>
              <w:rPr>
                <w:rFonts w:cs="宋体"/>
              </w:rPr>
            </w:pPr>
            <w:r>
              <w:rPr>
                <w:rFonts w:cs="宋体" w:hint="eastAsia"/>
              </w:rPr>
              <w:t>10．加工贸易内销补税情况查询；</w:t>
            </w:r>
          </w:p>
          <w:p>
            <w:pPr>
              <w:spacing w:line="360" w:lineRule="auto"/>
              <w:rPr>
                <w:rFonts w:cs="宋体"/>
              </w:rPr>
            </w:pPr>
            <w:r>
              <w:rPr>
                <w:rFonts w:cs="宋体" w:hint="eastAsia"/>
              </w:rPr>
              <w:t>11．缉私二期案件明细查询。</w:t>
            </w:r>
          </w:p>
          <w:p>
            <w:pPr>
              <w:spacing w:line="360" w:lineRule="auto"/>
              <w:rPr>
                <w:rFonts w:cs="宋体"/>
              </w:rPr>
            </w:pPr>
            <w:r>
              <w:rPr>
                <w:rFonts w:cs="宋体" w:hint="eastAsia"/>
              </w:rPr>
              <w:t>查询结果以列表显示，点击企业海关编码显示企业全部信息，包含以下内容：</w:t>
            </w:r>
          </w:p>
          <w:p>
            <w:pPr>
              <w:spacing w:line="360" w:lineRule="auto"/>
              <w:rPr>
                <w:rFonts w:cs="宋体"/>
              </w:rPr>
            </w:pPr>
            <w:r>
              <w:rPr>
                <w:rFonts w:cs="宋体" w:hint="eastAsia"/>
              </w:rPr>
              <w:t>基本信息、管理人员信息、投资关系信息、企业历史编码信息、下级企业信息、通关锁定情况、报关人员信息、企业信用等级调整情况、监管通关情况、关税征管情况、加工贸易情况、企业稽查情况、企业违法及复议诉讼情况。</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一企一账中心-企业信息全景展示-企业信息统计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可通过以下方式进行企业统计：</w:t>
            </w:r>
          </w:p>
          <w:p>
            <w:pPr>
              <w:spacing w:line="360" w:lineRule="auto"/>
              <w:rPr>
                <w:rFonts w:cs="宋体"/>
              </w:rPr>
            </w:pPr>
            <w:r>
              <w:rPr>
                <w:rFonts w:cs="宋体" w:hint="eastAsia"/>
              </w:rPr>
              <w:t>1．企业注册登记总体情况统计表；</w:t>
            </w:r>
          </w:p>
          <w:p>
            <w:pPr>
              <w:spacing w:line="360" w:lineRule="auto"/>
              <w:rPr>
                <w:rFonts w:cs="宋体"/>
              </w:rPr>
            </w:pPr>
            <w:r>
              <w:rPr>
                <w:rFonts w:cs="宋体" w:hint="eastAsia"/>
              </w:rPr>
              <w:t>2．企业注册登记工作情况统计表；</w:t>
            </w:r>
          </w:p>
          <w:p>
            <w:pPr>
              <w:spacing w:line="360" w:lineRule="auto"/>
              <w:rPr>
                <w:rFonts w:cs="宋体"/>
              </w:rPr>
            </w:pPr>
            <w:r>
              <w:rPr>
                <w:rFonts w:cs="宋体" w:hint="eastAsia"/>
              </w:rPr>
              <w:t>3．企业管理工作情况统计表；</w:t>
            </w:r>
          </w:p>
          <w:p>
            <w:pPr>
              <w:spacing w:line="360" w:lineRule="auto"/>
              <w:rPr>
                <w:rFonts w:cs="宋体"/>
              </w:rPr>
            </w:pPr>
            <w:r>
              <w:rPr>
                <w:rFonts w:cs="宋体" w:hint="eastAsia"/>
              </w:rPr>
              <w:t>4．企业经济类型情况统计表；</w:t>
            </w:r>
          </w:p>
          <w:p>
            <w:pPr>
              <w:spacing w:line="360" w:lineRule="auto"/>
              <w:rPr>
                <w:rFonts w:cs="宋体"/>
              </w:rPr>
            </w:pPr>
            <w:r>
              <w:rPr>
                <w:rFonts w:cs="宋体" w:hint="eastAsia"/>
              </w:rPr>
              <w:t>5．企业信用等级情况统计表；</w:t>
            </w:r>
          </w:p>
          <w:p>
            <w:pPr>
              <w:spacing w:line="360" w:lineRule="auto"/>
              <w:rPr>
                <w:rFonts w:cs="宋体"/>
              </w:rPr>
            </w:pPr>
            <w:r>
              <w:rPr>
                <w:rFonts w:cs="宋体" w:hint="eastAsia"/>
              </w:rPr>
              <w:t>6．企业信用等级调整情况统计表；</w:t>
            </w:r>
          </w:p>
          <w:p>
            <w:pPr>
              <w:spacing w:line="360" w:lineRule="auto"/>
              <w:rPr>
                <w:rFonts w:cs="宋体"/>
              </w:rPr>
            </w:pPr>
            <w:r>
              <w:rPr>
                <w:rFonts w:cs="宋体" w:hint="eastAsia"/>
              </w:rPr>
              <w:t>7．备案报关人员管理总体情况统计表；</w:t>
            </w:r>
          </w:p>
          <w:p>
            <w:pPr>
              <w:spacing w:line="360" w:lineRule="auto"/>
              <w:rPr>
                <w:rFonts w:cs="宋体"/>
              </w:rPr>
            </w:pPr>
            <w:r>
              <w:rPr>
                <w:rFonts w:cs="宋体" w:hint="eastAsia"/>
              </w:rPr>
              <w:t>8．企业进出口情况统计表；</w:t>
            </w:r>
          </w:p>
          <w:p>
            <w:pPr>
              <w:spacing w:line="360" w:lineRule="auto"/>
              <w:rPr>
                <w:rFonts w:cs="宋体"/>
              </w:rPr>
            </w:pPr>
            <w:r>
              <w:rPr>
                <w:rFonts w:cs="宋体" w:hint="eastAsia"/>
              </w:rPr>
              <w:t>9．企业进出口监管情况统计表；</w:t>
            </w:r>
          </w:p>
          <w:p>
            <w:pPr>
              <w:spacing w:line="360" w:lineRule="auto"/>
              <w:rPr>
                <w:rFonts w:cs="宋体"/>
              </w:rPr>
            </w:pPr>
            <w:r>
              <w:rPr>
                <w:rFonts w:cs="宋体" w:hint="eastAsia"/>
              </w:rPr>
              <w:t>10．企业查获情况统计表。</w:t>
            </w:r>
          </w:p>
          <w:p>
            <w:pPr>
              <w:spacing w:line="360" w:lineRule="auto"/>
              <w:ind w:firstLine="420" w:firstLineChars="200"/>
              <w:rPr>
                <w:rFonts w:cs="宋体"/>
              </w:rPr>
            </w:pPr>
            <w:r>
              <w:rPr>
                <w:rFonts w:cs="宋体" w:hint="eastAsia"/>
              </w:rPr>
              <w:t>统计结果以列表显示，点击数值以列表显示企业海关编码等全部企业相关信息，继续点击企业海关编码显示全部企业信息。</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一企一账中心-企业信息全景展示-权限设置</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企业信息在本系统进行查询统计及全景展示，设置不同查询权限及导出权限，全部数据可按权限分级进行导出。</w:t>
            </w:r>
          </w:p>
          <w:p>
            <w:pPr>
              <w:spacing w:line="360" w:lineRule="auto"/>
              <w:ind w:firstLine="420" w:firstLineChars="200"/>
              <w:rPr>
                <w:rFonts w:cs="宋体"/>
              </w:rPr>
            </w:pPr>
            <w:r>
              <w:rPr>
                <w:rFonts w:cs="宋体" w:hint="eastAsia"/>
              </w:rPr>
              <w:t>主要包括：查询统计及全景展示权限、导出权限、系统管理员权限等功能。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一企一账中心-企业信息全景展示-操作记录查询</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对授权、查询、导出等操作进行记录，系统管理员可以查询及导出相关操作记录。</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一企一账中心-一企一账数据池-《海南自由贸易港企业海关业务“一企一账”实施办法》中的数据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新增一企一账中心-一企一账数据池服务，一企一账数据存储于海南自贸港实时数据服务平台，可提供数据的实时接入、处理、查询、分析、调用等服务。</w:t>
            </w:r>
          </w:p>
          <w:p>
            <w:pPr>
              <w:spacing w:line="360" w:lineRule="auto"/>
              <w:ind w:firstLine="420" w:firstLineChars="200"/>
              <w:rPr>
                <w:rFonts w:cs="宋体"/>
              </w:rPr>
            </w:pPr>
            <w:r>
              <w:rPr>
                <w:rFonts w:cs="宋体" w:hint="eastAsia"/>
              </w:rPr>
              <w:t>主要包括：</w:t>
            </w:r>
          </w:p>
          <w:p>
            <w:pPr>
              <w:numPr>
                <w:ilvl w:val="0"/>
                <w:numId w:val="15"/>
              </w:numPr>
              <w:spacing w:line="360" w:lineRule="auto"/>
              <w:ind w:left="0" w:firstLine="420" w:firstLineChars="200"/>
              <w:rPr>
                <w:rFonts w:cs="宋体"/>
              </w:rPr>
            </w:pPr>
            <w:r>
              <w:rPr>
                <w:rFonts w:cs="宋体" w:hint="eastAsia"/>
              </w:rPr>
              <w:t>市场监管、公安、税务、外汇、交通运输、民航等部门涉及企业信用、联合惩戒等相关信息。</w:t>
            </w:r>
          </w:p>
          <w:p>
            <w:pPr>
              <w:numPr>
                <w:ilvl w:val="0"/>
                <w:numId w:val="15"/>
              </w:numPr>
              <w:spacing w:line="360" w:lineRule="auto"/>
              <w:ind w:left="0" w:firstLine="420" w:firstLineChars="200"/>
              <w:rPr>
                <w:rFonts w:cs="宋体"/>
              </w:rPr>
            </w:pPr>
            <w:r>
              <w:rPr>
                <w:rFonts w:cs="宋体" w:hint="eastAsia"/>
              </w:rPr>
              <w:t>企业向海关申报的货物进、出、转、存、销明细；海关加工增值业务管理相关的企业信息。</w:t>
            </w:r>
          </w:p>
          <w:p>
            <w:pPr>
              <w:numPr>
                <w:ilvl w:val="0"/>
                <w:numId w:val="15"/>
              </w:numPr>
              <w:spacing w:line="360" w:lineRule="auto"/>
              <w:ind w:left="0" w:firstLine="420" w:firstLineChars="200"/>
              <w:rPr>
                <w:rFonts w:cs="宋体"/>
              </w:rPr>
            </w:pPr>
            <w:r>
              <w:rPr>
                <w:rFonts w:cs="宋体" w:hint="eastAsia"/>
              </w:rPr>
              <w:t>企业的备案信息、信用信息（海关行政相对人管理系统）。</w:t>
            </w:r>
          </w:p>
          <w:p>
            <w:pPr>
              <w:numPr>
                <w:ilvl w:val="0"/>
                <w:numId w:val="15"/>
              </w:numPr>
              <w:spacing w:line="360" w:lineRule="auto"/>
              <w:ind w:left="0" w:firstLine="420" w:firstLineChars="200"/>
              <w:rPr>
                <w:rFonts w:cs="宋体"/>
              </w:rPr>
            </w:pPr>
            <w:r>
              <w:rPr>
                <w:rFonts w:cs="宋体" w:hint="eastAsia"/>
              </w:rPr>
              <w:t>一线进出境、二线进出岛等业务环节报关、属地查检、监管、检查、征税、统计、风控等业务数据。</w:t>
            </w:r>
          </w:p>
          <w:p>
            <w:pPr>
              <w:numPr>
                <w:ilvl w:val="0"/>
                <w:numId w:val="15"/>
              </w:numPr>
              <w:spacing w:line="360" w:lineRule="auto"/>
              <w:ind w:left="0" w:firstLine="420" w:firstLineChars="200"/>
              <w:rPr>
                <w:rFonts w:cs="宋体"/>
              </w:rPr>
            </w:pPr>
            <w:r>
              <w:rPr>
                <w:rFonts w:cs="宋体" w:hint="eastAsia"/>
              </w:rPr>
              <w:t>离岛免税经营企业进、销、存等信息。</w:t>
            </w:r>
          </w:p>
          <w:p>
            <w:pPr>
              <w:numPr>
                <w:ilvl w:val="0"/>
                <w:numId w:val="15"/>
              </w:numPr>
              <w:spacing w:line="360" w:lineRule="auto"/>
              <w:ind w:left="0" w:firstLine="420" w:firstLineChars="200"/>
              <w:rPr>
                <w:rFonts w:cs="宋体"/>
              </w:rPr>
            </w:pPr>
            <w:r>
              <w:rPr>
                <w:rFonts w:cs="宋体" w:hint="eastAsia"/>
              </w:rPr>
              <w:t>“零关税”原辅料、交通工具及游艇、自用生产设备的企业基本信息、进口商品信息、减免税货物使用情况以及转让、退运。贷款抵押、解除监管等信息；“零关税”商品的使用与运营情况、违反政策预警等信息。</w:t>
            </w:r>
          </w:p>
          <w:p>
            <w:pPr>
              <w:numPr>
                <w:ilvl w:val="0"/>
                <w:numId w:val="15"/>
              </w:numPr>
              <w:spacing w:line="360" w:lineRule="auto"/>
              <w:ind w:left="0" w:firstLine="420" w:firstLineChars="200"/>
              <w:rPr>
                <w:rFonts w:cs="宋体"/>
              </w:rPr>
            </w:pPr>
            <w:r>
              <w:rPr>
                <w:rFonts w:cs="宋体" w:hint="eastAsia"/>
              </w:rPr>
              <w:t>企业岛内货物流转信息、贸易合同等相关资料。</w:t>
            </w:r>
          </w:p>
          <w:p>
            <w:pPr>
              <w:numPr>
                <w:ilvl w:val="0"/>
                <w:numId w:val="15"/>
              </w:numPr>
              <w:spacing w:line="360" w:lineRule="auto"/>
              <w:ind w:left="0" w:firstLine="420" w:firstLineChars="200"/>
              <w:rPr>
                <w:rFonts w:cs="宋体"/>
              </w:rPr>
            </w:pPr>
            <w:r>
              <w:rPr>
                <w:rFonts w:cs="宋体" w:hint="eastAsia"/>
              </w:rPr>
              <w:t>企业的生产经营管理数据（企业ERP、WMS系统数据）。</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一企一账中心-一企一账数据池-各业务条线的数据需求及反馈</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highlight w:val="yellow"/>
              </w:rPr>
            </w:pPr>
          </w:p>
          <w:p>
            <w:pPr>
              <w:spacing w:line="360" w:lineRule="auto"/>
              <w:ind w:firstLine="420" w:firstLineChars="200"/>
              <w:rPr>
                <w:rFonts w:cs="宋体"/>
              </w:rPr>
            </w:pPr>
            <w:r>
              <w:rPr>
                <w:rFonts w:cs="宋体" w:hint="eastAsia"/>
              </w:rPr>
              <w:t>针对各业务条线反馈的数据需求，提供相应数据服务接口，主要包括：</w:t>
            </w:r>
          </w:p>
          <w:p>
            <w:pPr>
              <w:numPr>
                <w:ilvl w:val="0"/>
                <w:numId w:val="16"/>
              </w:numPr>
              <w:spacing w:line="360" w:lineRule="auto"/>
              <w:ind w:left="0" w:firstLine="420" w:firstLineChars="200"/>
              <w:rPr>
                <w:rFonts w:cs="宋体"/>
              </w:rPr>
            </w:pPr>
            <w:r>
              <w:rPr>
                <w:rFonts w:cs="宋体" w:hint="eastAsia"/>
              </w:rPr>
              <w:t>原辅料智慧监管子系统升级改造项目（稽查）。</w:t>
            </w:r>
          </w:p>
          <w:p>
            <w:pPr>
              <w:numPr>
                <w:ilvl w:val="0"/>
                <w:numId w:val="16"/>
              </w:numPr>
              <w:spacing w:line="360" w:lineRule="auto"/>
              <w:ind w:left="0" w:firstLine="420" w:firstLineChars="200"/>
              <w:rPr>
                <w:rFonts w:cs="宋体"/>
              </w:rPr>
            </w:pPr>
            <w:r>
              <w:rPr>
                <w:rFonts w:cs="宋体" w:hint="eastAsia"/>
              </w:rPr>
              <w:t>“零关税”进口设备、交通工具及游艇管理子系统（关税）。</w:t>
            </w:r>
          </w:p>
          <w:p>
            <w:pPr>
              <w:numPr>
                <w:ilvl w:val="0"/>
                <w:numId w:val="16"/>
              </w:numPr>
              <w:spacing w:line="360" w:lineRule="auto"/>
              <w:ind w:left="0" w:firstLine="420" w:firstLineChars="200"/>
              <w:rPr>
                <w:rFonts w:cs="宋体"/>
              </w:rPr>
            </w:pPr>
            <w:r>
              <w:rPr>
                <w:rFonts w:cs="宋体" w:hint="eastAsia"/>
              </w:rPr>
              <w:t>海关缉私局。</w:t>
            </w:r>
          </w:p>
          <w:p>
            <w:pPr>
              <w:numPr>
                <w:ilvl w:val="0"/>
                <w:numId w:val="16"/>
              </w:numPr>
              <w:spacing w:line="360" w:lineRule="auto"/>
              <w:ind w:left="0" w:firstLine="420" w:firstLineChars="200"/>
              <w:rPr>
                <w:rFonts w:cs="宋体"/>
              </w:rPr>
            </w:pPr>
            <w:r>
              <w:rPr>
                <w:rFonts w:cs="宋体" w:hint="eastAsia"/>
              </w:rPr>
              <w:t>进出口食品商品检验子系统（食商）。</w:t>
            </w:r>
          </w:p>
          <w:p>
            <w:pPr>
              <w:numPr>
                <w:ilvl w:val="0"/>
                <w:numId w:val="16"/>
              </w:numPr>
              <w:spacing w:line="360" w:lineRule="auto"/>
              <w:ind w:left="0" w:firstLine="420" w:firstLineChars="200"/>
              <w:rPr>
                <w:rFonts w:cs="宋体"/>
              </w:rPr>
            </w:pPr>
            <w:r>
              <w:rPr>
                <w:rFonts w:cs="宋体" w:hint="eastAsia"/>
              </w:rPr>
              <w:t>动植检。</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一物一链中心-物流信息展示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80"/>
              <w:rPr>
                <w:rFonts w:cs="宋体"/>
              </w:rPr>
            </w:pPr>
            <w:r>
              <w:rPr>
                <w:rFonts w:cs="宋体" w:hint="eastAsia"/>
              </w:rPr>
              <w:t>新增一物一链中心-物流信息展示服务，主要对物流的基本信息进行展示，便于用户实时对物流信息全面了解。</w:t>
            </w:r>
          </w:p>
          <w:p>
            <w:pPr>
              <w:spacing w:line="360" w:lineRule="auto"/>
              <w:ind w:firstLine="420" w:firstLineChars="200"/>
              <w:rPr>
                <w:rFonts w:cs="宋体"/>
              </w:rPr>
            </w:pPr>
            <w:r>
              <w:rPr>
                <w:rFonts w:cs="宋体" w:hint="eastAsia"/>
              </w:rPr>
              <w:t>主要包括基础信息展示、实时堆存展示、VR展示、外勤信息展示、运输工具信息展示、统一单证展示、预警信息展示和统计信息展示等。</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一物一链中心-物流信息展示-基础信息展示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物流环节中的基础信息进行展示，主要包括：海关机构展示、海关作业现场展示（泊位或船坞展示、堆存展示、仓库展示、储藏展示、卡口展示、海关查验场地展示、海关作业现场分类展示及统计）、开放区域展示、锚地展示、电子卡口/围网展示、海关作业现场视频监控展示、作业设备视频监控展示、海关作业现场货物展示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一物一链中心-物流信息展示-实时堆存展示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通过系统实时追踪并展示物品在物流链中的当前堆存状态，确保物品流转的透明性与准确性。</w:t>
            </w:r>
          </w:p>
          <w:p>
            <w:pPr>
              <w:spacing w:line="360" w:lineRule="auto"/>
              <w:ind w:firstLine="420" w:firstLineChars="200"/>
              <w:rPr>
                <w:rFonts w:cs="宋体"/>
              </w:rPr>
            </w:pPr>
            <w:r>
              <w:rPr>
                <w:rFonts w:cs="宋体" w:hint="eastAsia"/>
              </w:rPr>
              <w:t>主要包括：集装箱堆存、集装箱堆存内外贸混堆预警、散杂货堆存、散杂货堆存内外贸混堆预警、货位场内追溯、库存展示等。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一物一链中心-物流信息展示-VR展示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利用虚拟现实技术，为用户提供沉浸式的物流场景体验，直观展示物品的流转过程和细节。</w:t>
            </w:r>
          </w:p>
          <w:p>
            <w:pPr>
              <w:spacing w:line="360" w:lineRule="auto"/>
              <w:ind w:firstLine="420" w:firstLineChars="200"/>
              <w:rPr>
                <w:rFonts w:cs="宋体"/>
              </w:rPr>
            </w:pPr>
            <w:r>
              <w:rPr>
                <w:rFonts w:cs="宋体" w:hint="eastAsia"/>
              </w:rPr>
              <w:t>主要包括：集装箱堆存展示、散杂货堆存展示、仓储堆存展示等。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一物一链中心-物流信息展示-外勤信息展示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实现实时追踪并展示外勤人员的动态位置和任务状态，确保物流作业的顺利进行和高效协同。</w:t>
            </w:r>
          </w:p>
          <w:p>
            <w:pPr>
              <w:spacing w:line="360" w:lineRule="auto"/>
              <w:ind w:firstLine="420" w:firstLineChars="200"/>
              <w:rPr>
                <w:rFonts w:cs="宋体"/>
              </w:rPr>
            </w:pPr>
            <w:r>
              <w:rPr>
                <w:rFonts w:cs="宋体" w:hint="eastAsia"/>
              </w:rPr>
              <w:t>主要包括：外勤人员位置信息采集、外勤人员实时位置展示、外勤人员轨迹信息查询、外勤人员轨迹回放等功能。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一物一链中心-物流信息展示-运输工具信息展示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实时提供运输工具的详细信息和状态，确保物流过程的透明和高效管理。</w:t>
            </w:r>
          </w:p>
          <w:p>
            <w:pPr>
              <w:spacing w:line="360" w:lineRule="auto"/>
              <w:ind w:firstLine="420" w:firstLineChars="200"/>
              <w:rPr>
                <w:rFonts w:cs="宋体"/>
              </w:rPr>
            </w:pPr>
            <w:r>
              <w:rPr>
                <w:rFonts w:cs="宋体" w:hint="eastAsia"/>
              </w:rPr>
              <w:t>主要包括：运输工具位置信息采集、运输工具实时位置展示、运输工具轨迹信息查询、运输工具轨迹回放。</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一物一链中心-物流信息展示-统一单证信息展示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用于集中呈现物流过程中的各类单证信息，便于用户一站式查询和管理，提升物流作业的规范性与效率。</w:t>
            </w:r>
          </w:p>
          <w:p>
            <w:pPr>
              <w:spacing w:line="360" w:lineRule="auto"/>
              <w:ind w:firstLine="420" w:firstLineChars="200"/>
              <w:rPr>
                <w:rFonts w:cs="宋体"/>
              </w:rPr>
            </w:pPr>
            <w:r>
              <w:rPr>
                <w:rFonts w:cs="宋体" w:hint="eastAsia"/>
              </w:rPr>
              <w:t>主要包括：舱单信息、通关单证申报信息、海关作业现场堆存信息、海关查验信息、位移信息、快件信息、跨境电商信息、离岛免税信息展示、邮件信息展示等。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一物一链中心-物流信息展示-预警信息展示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实现物流过程中的潜在风险的实时监控，并及时展示预警信息，以确保物流安全并促进快速响应。</w:t>
            </w:r>
          </w:p>
          <w:p>
            <w:pPr>
              <w:spacing w:line="360" w:lineRule="auto"/>
              <w:ind w:firstLine="420" w:firstLineChars="200"/>
              <w:rPr>
                <w:rFonts w:cs="宋体"/>
              </w:rPr>
            </w:pPr>
            <w:r>
              <w:rPr>
                <w:rFonts w:cs="宋体" w:hint="eastAsia"/>
              </w:rPr>
              <w:t>主要包括：预警信息查询、预警处置情况统计、预警信息跟踪等功能。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一物一链中心-物流信息展示-统计信息展示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提供全面的物流数据统计与可视化分析，帮助用户洞察物流运作情况并优化决策。</w:t>
            </w:r>
          </w:p>
          <w:p>
            <w:pPr>
              <w:spacing w:line="360" w:lineRule="auto"/>
              <w:ind w:firstLine="420" w:firstLineChars="200"/>
              <w:rPr>
                <w:rFonts w:cs="宋体"/>
              </w:rPr>
            </w:pPr>
            <w:r>
              <w:rPr>
                <w:rFonts w:cs="宋体" w:hint="eastAsia"/>
              </w:rPr>
              <w:t>主要包括：可视化配置、可视化展示等功能。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一物一链中心-预警分析</w:t>
            </w:r>
          </w:p>
        </w:tc>
        <w:tc>
          <w:tcPr>
            <w:tcW w:w="3396" w:type="dxa"/>
            <w:tcBorders>
              <w:top w:val="single" w:sz="4" w:space="0" w:color="auto"/>
              <w:left w:val="single" w:sz="4" w:space="0" w:color="auto"/>
              <w:right w:val="single" w:sz="4" w:space="0" w:color="auto"/>
            </w:tcBorders>
            <w:vAlign w:val="center"/>
          </w:tcPr>
          <w:p>
            <w:pPr>
              <w:spacing w:line="360" w:lineRule="auto"/>
              <w:ind w:firstLine="480"/>
              <w:rPr>
                <w:rFonts w:cs="宋体"/>
              </w:rPr>
            </w:pPr>
            <w:r>
              <w:rPr>
                <w:rFonts w:cs="宋体" w:hint="eastAsia"/>
              </w:rPr>
              <w:t>新增一物一链中心-预警分析服务，支持对设置的业务规则自动进行校验并对异常情况预警，用户可以及时通过系统预警发现异常情况。</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一物一链中心-预警分析-数据分析</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对业务数据进行数据分析，将物流底账数据在关键节点通过预先设定的分析参数进行逻辑分析和比对，从而形成预警信息。</w:t>
            </w:r>
          </w:p>
          <w:p>
            <w:pPr>
              <w:spacing w:line="360" w:lineRule="auto"/>
              <w:ind w:firstLine="420" w:firstLineChars="200"/>
              <w:rPr>
                <w:rFonts w:cs="宋体"/>
              </w:rPr>
            </w:pPr>
            <w:r>
              <w:rPr>
                <w:rFonts w:cs="宋体" w:hint="eastAsia"/>
              </w:rPr>
              <w:t>主要包括：规则引擎、数据建模、风险规则设置等功能。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一物一链中心-预警分析-预警管理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通过预警规则实时监控系统业务数据运行情况，对命中风险规则的业务数据进行预警，确保预警信息的准确、及时、客观、全面，辅助业务用户第一时间掌握风险信息，从而对风险情况进行处置。</w:t>
            </w:r>
          </w:p>
          <w:p>
            <w:pPr>
              <w:spacing w:line="360" w:lineRule="auto"/>
              <w:ind w:firstLine="420" w:firstLineChars="200"/>
              <w:rPr>
                <w:rFonts w:cs="宋体"/>
              </w:rPr>
            </w:pPr>
            <w:r>
              <w:rPr>
                <w:rFonts w:cs="宋体" w:hint="eastAsia"/>
              </w:rPr>
              <w:t>主要包括：预警发布、预警列表等功能。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一物一链中心-预警分析-布控管理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风险预警分析子系统通过对风险信息的分析、提取，辅助业务现场进行风险布控，达到货物通关放的快、查的准的目的。</w:t>
            </w:r>
          </w:p>
          <w:p>
            <w:pPr>
              <w:spacing w:line="360" w:lineRule="auto"/>
              <w:ind w:firstLine="420" w:firstLineChars="200"/>
              <w:rPr>
                <w:rFonts w:cs="宋体"/>
              </w:rPr>
            </w:pPr>
            <w:r>
              <w:rPr>
                <w:rFonts w:cs="宋体" w:hint="eastAsia"/>
              </w:rPr>
              <w:t>主要包括：风险布控、人工布控、预警布控处置等功能。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一物一链中心-数据集成</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新增一物一链中心-数据集成，基于海南自贸港智慧监管平台进行开发建设，与内部应用系统及外部数据进行对接，实现数据共享集成。</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一物一链中心-数据集成-内部应用系统对接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基于统一数据接口，实现与海关内部各个应用系统之间的数据互通与共享，提升数据利用效率和业务流程的协同性。</w:t>
            </w:r>
          </w:p>
          <w:p>
            <w:pPr>
              <w:spacing w:line="360" w:lineRule="auto"/>
              <w:ind w:firstLine="420" w:firstLineChars="200"/>
              <w:rPr>
                <w:rFonts w:cs="宋体"/>
              </w:rPr>
            </w:pPr>
            <w:r>
              <w:rPr>
                <w:rFonts w:cs="宋体" w:hint="eastAsia"/>
              </w:rPr>
              <w:t>主要包括：</w:t>
            </w:r>
          </w:p>
          <w:p>
            <w:pPr>
              <w:numPr>
                <w:ilvl w:val="0"/>
                <w:numId w:val="17"/>
              </w:numPr>
              <w:spacing w:line="360" w:lineRule="auto"/>
              <w:ind w:left="0" w:firstLine="420" w:firstLineChars="200"/>
              <w:rPr>
                <w:rFonts w:cs="宋体"/>
              </w:rPr>
            </w:pPr>
            <w:r>
              <w:rPr>
                <w:rFonts w:cs="宋体" w:hint="eastAsia"/>
              </w:rPr>
              <w:t>H4A系统</w:t>
            </w:r>
          </w:p>
          <w:p>
            <w:pPr>
              <w:spacing w:line="360" w:lineRule="auto"/>
              <w:rPr>
                <w:rFonts w:cs="宋体"/>
              </w:rPr>
            </w:pPr>
            <w:r>
              <w:rPr>
                <w:rFonts w:cs="宋体" w:hint="eastAsia"/>
              </w:rPr>
              <w:t>对接H4A系统，集成单点登录功能，获取H4A系统中配置的身份信息、授权信息，并与一物一链中心菜单功能集成，实现人员登录、身份授权，数据权限控制等。</w:t>
            </w:r>
          </w:p>
          <w:p>
            <w:pPr>
              <w:numPr>
                <w:ilvl w:val="0"/>
                <w:numId w:val="17"/>
              </w:numPr>
              <w:spacing w:line="360" w:lineRule="auto"/>
              <w:ind w:left="0" w:firstLine="420" w:firstLineChars="200"/>
              <w:rPr>
                <w:rFonts w:cs="宋体"/>
              </w:rPr>
            </w:pPr>
            <w:r>
              <w:rPr>
                <w:rFonts w:cs="宋体" w:hint="eastAsia"/>
              </w:rPr>
              <w:t>舱单系统</w:t>
            </w:r>
          </w:p>
          <w:p>
            <w:pPr>
              <w:spacing w:line="360" w:lineRule="auto"/>
              <w:rPr>
                <w:rFonts w:cs="宋体"/>
              </w:rPr>
            </w:pPr>
            <w:r>
              <w:rPr>
                <w:rFonts w:cs="宋体" w:hint="eastAsia"/>
              </w:rPr>
              <w:t>对接舱单系统，获取新舱单系统有关数据，自动核对申报重量与实际重量关系，并给出提示信息。提供口岸物流实际数据与舱单系统信息的比对分析的可视化展示端口。</w:t>
            </w:r>
          </w:p>
          <w:p>
            <w:pPr>
              <w:numPr>
                <w:ilvl w:val="0"/>
                <w:numId w:val="17"/>
              </w:numPr>
              <w:spacing w:line="360" w:lineRule="auto"/>
              <w:ind w:left="0" w:firstLine="420" w:firstLineChars="200"/>
              <w:rPr>
                <w:rFonts w:cs="宋体"/>
              </w:rPr>
            </w:pPr>
            <w:r>
              <w:rPr>
                <w:rFonts w:cs="宋体" w:hint="eastAsia"/>
              </w:rPr>
              <w:t>海关通关管理系统</w:t>
            </w:r>
          </w:p>
          <w:p>
            <w:pPr>
              <w:spacing w:line="360" w:lineRule="auto"/>
              <w:rPr>
                <w:rFonts w:cs="宋体"/>
              </w:rPr>
            </w:pPr>
            <w:r>
              <w:rPr>
                <w:rFonts w:cs="宋体" w:hint="eastAsia"/>
              </w:rPr>
              <w:t>获取通关系统中申报的报关单表头、报关单表体及报关单工作流等相关数据，结合物流业务统计子系统展示报关的货物信息及货物状态，同时提供统计信息的可视化展示。</w:t>
            </w:r>
          </w:p>
          <w:p>
            <w:pPr>
              <w:numPr>
                <w:ilvl w:val="0"/>
                <w:numId w:val="17"/>
              </w:numPr>
              <w:spacing w:line="360" w:lineRule="auto"/>
              <w:ind w:left="0" w:firstLine="420" w:firstLineChars="200"/>
              <w:rPr>
                <w:rFonts w:cs="宋体"/>
              </w:rPr>
            </w:pPr>
            <w:r>
              <w:rPr>
                <w:rFonts w:cs="宋体" w:hint="eastAsia"/>
              </w:rPr>
              <w:t>HGIS地理信息系统</w:t>
            </w:r>
          </w:p>
          <w:p>
            <w:pPr>
              <w:spacing w:line="360" w:lineRule="auto"/>
              <w:rPr>
                <w:rFonts w:cs="宋体"/>
              </w:rPr>
            </w:pPr>
            <w:r>
              <w:rPr>
                <w:rFonts w:cs="宋体" w:hint="eastAsia"/>
              </w:rPr>
              <w:t>使用HGIS地图展示海关机构、海关作业现场、开放区域、锚地、电子围网、监管资源等；依托电子关锁定位数据，展示进出境运输工具的实时位置、移动轨迹；通过调阅相关业务数据及系统分析结果，展示实时监管动态情况。</w:t>
            </w:r>
          </w:p>
          <w:p>
            <w:pPr>
              <w:numPr>
                <w:ilvl w:val="0"/>
                <w:numId w:val="17"/>
              </w:numPr>
              <w:spacing w:line="360" w:lineRule="auto"/>
              <w:ind w:left="0" w:firstLine="420" w:firstLineChars="200"/>
              <w:rPr>
                <w:rFonts w:cs="宋体"/>
              </w:rPr>
            </w:pPr>
            <w:r>
              <w:rPr>
                <w:rFonts w:cs="宋体" w:hint="eastAsia"/>
              </w:rPr>
              <w:t>运输工具系统</w:t>
            </w:r>
          </w:p>
          <w:p>
            <w:pPr>
              <w:spacing w:line="360" w:lineRule="auto"/>
              <w:rPr>
                <w:rFonts w:cs="宋体"/>
              </w:rPr>
            </w:pPr>
            <w:r>
              <w:rPr>
                <w:rFonts w:cs="宋体" w:hint="eastAsia"/>
              </w:rPr>
              <w:t>对接运输工具系统，获取船舶信息、货物启运港信息，建立重点地区或港口动态库，基于物流实际数据与运输工具系统信息的比对分析，并提供可视化展示。</w:t>
            </w:r>
          </w:p>
          <w:p>
            <w:pPr>
              <w:numPr>
                <w:ilvl w:val="0"/>
                <w:numId w:val="17"/>
              </w:numPr>
              <w:spacing w:line="360" w:lineRule="auto"/>
              <w:ind w:left="0" w:firstLine="420" w:firstLineChars="200"/>
              <w:rPr>
                <w:rFonts w:cs="宋体"/>
              </w:rPr>
            </w:pPr>
            <w:r>
              <w:rPr>
                <w:rFonts w:cs="宋体" w:hint="eastAsia"/>
              </w:rPr>
              <w:t>金关二期智能卡口系统</w:t>
            </w:r>
          </w:p>
          <w:p>
            <w:pPr>
              <w:spacing w:line="360" w:lineRule="auto"/>
              <w:rPr>
                <w:rFonts w:cs="宋体"/>
              </w:rPr>
            </w:pPr>
            <w:r>
              <w:rPr>
                <w:rFonts w:cs="宋体" w:hint="eastAsia"/>
              </w:rPr>
              <w:t>对接金关二期智能卡口系统，根据卡口配置调用不同的验放接口。</w:t>
            </w:r>
          </w:p>
          <w:p>
            <w:pPr>
              <w:numPr>
                <w:ilvl w:val="0"/>
                <w:numId w:val="17"/>
              </w:numPr>
              <w:spacing w:line="360" w:lineRule="auto"/>
              <w:ind w:left="0" w:firstLine="420" w:firstLineChars="200"/>
              <w:rPr>
                <w:rFonts w:cs="宋体"/>
              </w:rPr>
            </w:pPr>
            <w:r>
              <w:rPr>
                <w:rFonts w:cs="宋体" w:hint="eastAsia"/>
              </w:rPr>
              <w:t>海关总署转码平台视频监控系统</w:t>
            </w:r>
          </w:p>
          <w:p>
            <w:pPr>
              <w:spacing w:line="360" w:lineRule="auto"/>
              <w:rPr>
                <w:rFonts w:cs="宋体"/>
              </w:rPr>
            </w:pPr>
            <w:r>
              <w:rPr>
                <w:rFonts w:cs="宋体" w:hint="eastAsia"/>
              </w:rPr>
              <w:t>对接海关总署转码平台视频监控系统，获取视频点位数据，HGIS地图展示，可查看实时视频画面。</w:t>
            </w:r>
          </w:p>
          <w:p>
            <w:pPr>
              <w:numPr>
                <w:ilvl w:val="0"/>
                <w:numId w:val="17"/>
              </w:numPr>
              <w:spacing w:line="360" w:lineRule="auto"/>
              <w:ind w:left="0" w:firstLine="420" w:firstLineChars="200"/>
              <w:rPr>
                <w:rFonts w:cs="宋体"/>
              </w:rPr>
            </w:pPr>
            <w:r>
              <w:rPr>
                <w:rFonts w:cs="宋体" w:hint="eastAsia"/>
              </w:rPr>
              <w:t>查管系统</w:t>
            </w:r>
          </w:p>
          <w:p>
            <w:pPr>
              <w:spacing w:line="360" w:lineRule="auto"/>
              <w:rPr>
                <w:rFonts w:cs="宋体"/>
              </w:rPr>
            </w:pPr>
            <w:r>
              <w:rPr>
                <w:rFonts w:cs="宋体" w:hint="eastAsia"/>
              </w:rPr>
              <w:t>对接查管系统，实时获取查验数据，并在统一单证信息展示模块进行展示，从而实时、有效的展示物流货物查验相关数据。</w:t>
            </w:r>
          </w:p>
          <w:p>
            <w:pPr>
              <w:numPr>
                <w:ilvl w:val="0"/>
                <w:numId w:val="17"/>
              </w:numPr>
              <w:spacing w:line="360" w:lineRule="auto"/>
              <w:ind w:left="0" w:firstLine="420" w:firstLineChars="200"/>
              <w:rPr>
                <w:rFonts w:cs="宋体"/>
              </w:rPr>
            </w:pPr>
            <w:r>
              <w:rPr>
                <w:rFonts w:cs="宋体" w:hint="eastAsia"/>
              </w:rPr>
              <w:t>外勤监管移动作业系统</w:t>
            </w:r>
          </w:p>
          <w:p>
            <w:pPr>
              <w:spacing w:line="360" w:lineRule="auto"/>
              <w:rPr>
                <w:rFonts w:cs="宋体"/>
              </w:rPr>
            </w:pPr>
            <w:r>
              <w:rPr>
                <w:rFonts w:cs="宋体" w:hint="eastAsia"/>
              </w:rPr>
              <w:t>对接外勤监管移动作业系统，获取外勤人员位置信息、轨迹信息，支持外勤人员实时位置及历史轨迹查看。</w:t>
            </w:r>
          </w:p>
          <w:p>
            <w:pPr>
              <w:numPr>
                <w:ilvl w:val="0"/>
                <w:numId w:val="17"/>
              </w:numPr>
              <w:spacing w:line="360" w:lineRule="auto"/>
              <w:ind w:left="0" w:firstLine="420" w:firstLineChars="200"/>
              <w:rPr>
                <w:rFonts w:cs="宋体"/>
              </w:rPr>
            </w:pPr>
            <w:r>
              <w:rPr>
                <w:rFonts w:cs="宋体" w:hint="eastAsia"/>
              </w:rPr>
              <w:t>数据对接方式</w:t>
            </w:r>
          </w:p>
          <w:p>
            <w:pPr>
              <w:spacing w:line="360" w:lineRule="auto"/>
              <w:rPr>
                <w:rFonts w:cs="宋体"/>
              </w:rPr>
            </w:pPr>
            <w:r>
              <w:rPr>
                <w:rFonts w:cs="宋体" w:hint="eastAsia"/>
              </w:rPr>
              <w:t>根据各个系统的实际情况支持不同的数据对接方式，主要包括：接口对接、数据库对接、报文对接等。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一物一链中心-数据集成-外部数据对接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实现与外部数据源的数据互通共享，整合多方数据资源，提升信息的全面性和准确性。</w:t>
            </w:r>
          </w:p>
          <w:p>
            <w:pPr>
              <w:spacing w:line="360" w:lineRule="auto"/>
              <w:ind w:firstLine="420" w:firstLineChars="200"/>
              <w:rPr>
                <w:rFonts w:cs="宋体"/>
              </w:rPr>
            </w:pPr>
            <w:r>
              <w:rPr>
                <w:rFonts w:cs="宋体" w:hint="eastAsia"/>
              </w:rPr>
              <w:t>主要包括：</w:t>
            </w:r>
          </w:p>
          <w:p>
            <w:pPr>
              <w:numPr>
                <w:ilvl w:val="0"/>
                <w:numId w:val="18"/>
              </w:numPr>
              <w:spacing w:line="360" w:lineRule="auto"/>
              <w:ind w:left="0" w:firstLine="420" w:firstLineChars="200"/>
              <w:rPr>
                <w:rFonts w:cs="宋体"/>
              </w:rPr>
            </w:pPr>
            <w:r>
              <w:rPr>
                <w:rFonts w:cs="宋体" w:hint="eastAsia"/>
              </w:rPr>
              <w:t>运输工具数据</w:t>
            </w:r>
          </w:p>
          <w:p>
            <w:pPr>
              <w:spacing w:line="360" w:lineRule="auto"/>
              <w:ind w:firstLine="420" w:firstLineChars="200"/>
              <w:rPr>
                <w:rFonts w:cs="宋体"/>
              </w:rPr>
            </w:pPr>
            <w:r>
              <w:rPr>
                <w:rFonts w:cs="宋体" w:hint="eastAsia"/>
              </w:rPr>
              <w:t>与运输工具数据对接，通过接收运输工具数据，实时展示运输工具相关信息，以及当前运输工具装载的货物信息，结合轨迹信息展示运输工具历史轨迹。</w:t>
            </w:r>
          </w:p>
          <w:p>
            <w:pPr>
              <w:numPr>
                <w:ilvl w:val="0"/>
                <w:numId w:val="18"/>
              </w:numPr>
              <w:spacing w:line="360" w:lineRule="auto"/>
              <w:ind w:left="0" w:firstLine="420" w:firstLineChars="200"/>
              <w:rPr>
                <w:rFonts w:cs="宋体"/>
              </w:rPr>
            </w:pPr>
            <w:r>
              <w:rPr>
                <w:rFonts w:cs="宋体" w:hint="eastAsia"/>
              </w:rPr>
              <w:t>轨迹信息对接</w:t>
            </w:r>
          </w:p>
          <w:p>
            <w:pPr>
              <w:spacing w:line="360" w:lineRule="auto"/>
              <w:rPr>
                <w:rFonts w:cs="宋体"/>
              </w:rPr>
            </w:pPr>
            <w:r>
              <w:rPr>
                <w:rFonts w:cs="宋体" w:hint="eastAsia"/>
              </w:rPr>
              <w:t>与轨迹信息对接，实时接收运输工具的轨迹数据，支持地图展示、轨迹播放、回放等功能。</w:t>
            </w:r>
          </w:p>
          <w:p>
            <w:pPr>
              <w:numPr>
                <w:ilvl w:val="0"/>
                <w:numId w:val="18"/>
              </w:numPr>
              <w:spacing w:line="360" w:lineRule="auto"/>
              <w:ind w:left="0" w:firstLine="420" w:firstLineChars="200"/>
              <w:rPr>
                <w:rFonts w:cs="宋体"/>
              </w:rPr>
            </w:pPr>
            <w:r>
              <w:rPr>
                <w:rFonts w:cs="宋体" w:hint="eastAsia"/>
              </w:rPr>
              <w:t>自建系统对接</w:t>
            </w:r>
          </w:p>
          <w:p>
            <w:pPr>
              <w:spacing w:line="360" w:lineRule="auto"/>
              <w:rPr>
                <w:rFonts w:cs="宋体"/>
              </w:rPr>
            </w:pPr>
            <w:r>
              <w:rPr>
                <w:rFonts w:cs="宋体" w:hint="eastAsia"/>
              </w:rPr>
              <w:t>与自建系统对接，实时/定时接收码头、企业自建系统数据，如集装箱物流信息、泊位信息、货物进/离场信息、货物的位置变化、提货信息、货物在港信息、堆场信息、散货仓储信息等。</w:t>
            </w:r>
          </w:p>
          <w:p>
            <w:pPr>
              <w:numPr>
                <w:ilvl w:val="0"/>
                <w:numId w:val="18"/>
              </w:numPr>
              <w:spacing w:line="360" w:lineRule="auto"/>
              <w:ind w:left="0" w:firstLine="420" w:firstLineChars="200"/>
              <w:rPr>
                <w:rFonts w:cs="宋体"/>
              </w:rPr>
            </w:pPr>
            <w:r>
              <w:rPr>
                <w:rFonts w:cs="宋体" w:hint="eastAsia"/>
              </w:rPr>
              <w:t>AIS数据对接</w:t>
            </w:r>
          </w:p>
          <w:p>
            <w:pPr>
              <w:spacing w:line="360" w:lineRule="auto"/>
              <w:rPr>
                <w:rFonts w:cs="宋体"/>
              </w:rPr>
            </w:pPr>
            <w:r>
              <w:rPr>
                <w:rFonts w:cs="宋体" w:hint="eastAsia"/>
              </w:rPr>
              <w:t>与AIS数据对接，实时接收船讯网或者其他系统的AIS数据，并在地图上展示位置、轨迹等。</w:t>
            </w:r>
          </w:p>
          <w:p>
            <w:pPr>
              <w:numPr>
                <w:ilvl w:val="0"/>
                <w:numId w:val="18"/>
              </w:numPr>
              <w:spacing w:line="360" w:lineRule="auto"/>
              <w:ind w:left="0" w:firstLine="420" w:firstLineChars="200"/>
              <w:rPr>
                <w:rFonts w:cs="宋体"/>
              </w:rPr>
            </w:pPr>
            <w:r>
              <w:rPr>
                <w:rFonts w:cs="宋体" w:hint="eastAsia"/>
              </w:rPr>
              <w:t>企业堆存系统对接</w:t>
            </w:r>
          </w:p>
          <w:p>
            <w:pPr>
              <w:spacing w:line="360" w:lineRule="auto"/>
              <w:rPr>
                <w:rFonts w:cs="宋体"/>
              </w:rPr>
            </w:pPr>
            <w:r>
              <w:rPr>
                <w:rFonts w:cs="宋体" w:hint="eastAsia"/>
              </w:rPr>
              <w:t>与企业堆存系统对接，实时接收堆存数据，如集装箱入场、出场堆存、散杂货入场、出场堆存、集装箱移位信息、散杂货移位信息、仓储堆存等，支持地图实时展示。</w:t>
            </w:r>
          </w:p>
          <w:p>
            <w:pPr>
              <w:numPr>
                <w:ilvl w:val="0"/>
                <w:numId w:val="18"/>
              </w:numPr>
              <w:spacing w:line="360" w:lineRule="auto"/>
              <w:ind w:left="0" w:firstLine="420" w:firstLineChars="200"/>
              <w:rPr>
                <w:rFonts w:cs="宋体"/>
              </w:rPr>
            </w:pPr>
            <w:r>
              <w:rPr>
                <w:rFonts w:cs="宋体" w:hint="eastAsia"/>
              </w:rPr>
              <w:t>地方相关管理平台</w:t>
            </w:r>
          </w:p>
          <w:p>
            <w:pPr>
              <w:spacing w:line="360" w:lineRule="auto"/>
              <w:rPr>
                <w:rFonts w:cs="宋体"/>
              </w:rPr>
            </w:pPr>
            <w:r>
              <w:rPr>
                <w:rFonts w:cs="宋体" w:hint="eastAsia"/>
              </w:rPr>
              <w:t>与地方相关管理平台对接，接收企业运输及个人自驾信息，对接收的信息进行风险分析。</w:t>
            </w:r>
          </w:p>
          <w:p>
            <w:pPr>
              <w:numPr>
                <w:ilvl w:val="0"/>
                <w:numId w:val="18"/>
              </w:numPr>
              <w:spacing w:line="360" w:lineRule="auto"/>
              <w:ind w:left="0" w:firstLine="420" w:firstLineChars="200"/>
              <w:rPr>
                <w:rFonts w:cs="宋体"/>
              </w:rPr>
            </w:pPr>
            <w:r>
              <w:rPr>
                <w:rFonts w:cs="宋体" w:hint="eastAsia"/>
              </w:rPr>
              <w:t>数据对接方式</w:t>
            </w:r>
          </w:p>
          <w:p>
            <w:pPr>
              <w:spacing w:line="360" w:lineRule="auto"/>
              <w:rPr>
                <w:rFonts w:cs="宋体"/>
              </w:rPr>
            </w:pPr>
            <w:r>
              <w:rPr>
                <w:rFonts w:cs="宋体" w:hint="eastAsia"/>
              </w:rPr>
              <w:t>根据不同系统的实际情况，支持不同的对接方式，主要包括：接口对接、数据库对接、报文对接等。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一物一链中心-统一服务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新增一物一链中心-统一服务，提供统一接口服务标准，各系统可以通过统一的接口服务上传业务数据。</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一物一链中心-统一服务-统一施解封数据接收服务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系统提供统一的施解封数据接收服务，且会在地图中，实时展示车辆的装载的单证信息及车辆施解封时间等。</w:t>
            </w:r>
          </w:p>
          <w:p>
            <w:pPr>
              <w:spacing w:line="360" w:lineRule="auto"/>
              <w:ind w:firstLine="420" w:firstLineChars="200"/>
              <w:rPr>
                <w:rFonts w:cs="宋体"/>
              </w:rPr>
            </w:pPr>
            <w:r>
              <w:rPr>
                <w:rFonts w:cs="宋体" w:hint="eastAsia"/>
              </w:rPr>
              <w:t>主要包括：施封服务、解封服务、施解封记录查询等功能。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一物一链中心-统一服务-统一定位信息接收服务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系统提供统一的定位信息接收服务，车辆挂载电子关锁后，可以通过此服务实时上传定位信息。并根据定位信息在地图中展示、查询等。</w:t>
            </w:r>
          </w:p>
          <w:p>
            <w:pPr>
              <w:spacing w:line="360" w:lineRule="auto"/>
              <w:ind w:firstLine="420" w:firstLineChars="200"/>
              <w:rPr>
                <w:rFonts w:cs="宋体"/>
              </w:rPr>
            </w:pPr>
            <w:r>
              <w:rPr>
                <w:rFonts w:cs="宋体" w:hint="eastAsia"/>
              </w:rPr>
              <w:t>主要包括：上传定位数据、接收解析定位数据、实时展示车辆位置、车辆历史轨迹查询等。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一物一链中心-统一服务-统一施解封验放服务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系统提供统一施解封验放接口，通过验放模板配置各类业务，根据施解封验放服务获取业务系统施解封信息。可扩展多个业务系统，多个应用。</w:t>
            </w:r>
          </w:p>
          <w:p>
            <w:pPr>
              <w:spacing w:line="360" w:lineRule="auto"/>
              <w:ind w:firstLine="420" w:firstLineChars="200"/>
              <w:rPr>
                <w:rFonts w:cs="宋体"/>
              </w:rPr>
            </w:pPr>
            <w:r>
              <w:rPr>
                <w:rFonts w:cs="宋体" w:hint="eastAsia"/>
              </w:rPr>
              <w:t>主要包括：验放模板配置、施解封验放服务等功能。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一物一链中心-统一服务-统一人工布控</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系统提供统一人工布控功能，可对存在风险预警的行驶中的车辆进行人工布控。提供人工布控信息展示及查询功能。人工布控的规则可通过系统布控管理功能对其设置。</w:t>
            </w:r>
          </w:p>
          <w:p>
            <w:pPr>
              <w:spacing w:line="360" w:lineRule="auto"/>
              <w:ind w:firstLine="420" w:firstLineChars="200"/>
              <w:rPr>
                <w:rFonts w:cs="宋体"/>
              </w:rPr>
            </w:pPr>
            <w:r>
              <w:rPr>
                <w:rFonts w:cs="宋体" w:hint="eastAsia"/>
              </w:rPr>
              <w:t>主要包括：人工布控查询、人工布控、布控处置等功能。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一物一链中心-统一服务-统一运抵服务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运抵服务主要为通关环节提供运抵状态查询公共服务。其主要由单证运抵状态查询和各种单证模式下的运抵校验功能模块组成，单证模式又包括快速通关模式、形式报关单、两仓二线报关单、TIR报关单、进出口转关报关单、非转关报关单等。</w:t>
            </w:r>
          </w:p>
          <w:p>
            <w:pPr>
              <w:spacing w:line="360" w:lineRule="auto"/>
              <w:ind w:firstLine="420" w:firstLineChars="200"/>
              <w:rPr>
                <w:rFonts w:cs="宋体"/>
              </w:rPr>
            </w:pPr>
            <w:r>
              <w:rPr>
                <w:rFonts w:cs="宋体" w:hint="eastAsia"/>
              </w:rPr>
              <w:t>主要包括：运抵数据接收解析、运抵状态查询、快速通关运抵校验、形式报关运抵校验、两仓二线报关单运抵校验、TIR报关单运抵校验、非转关报关单运抵校验、进口转关报关单运抵校验、出口转关报关单运抵校验、运抵补充校验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一物一链中心-基础数据维护</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新增一物一链中心-基础数据维护服务，支持对海关基础信息进行维护。</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一物一链中心-基础数据维护-基础信息备案</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系统提供统一的基础信息备案接口，企业通过调用接口实现备案申请，海关进行电子审核/人工审核等操作，审核完成后发送回执。</w:t>
            </w:r>
          </w:p>
          <w:p>
            <w:pPr>
              <w:spacing w:line="360" w:lineRule="auto"/>
              <w:ind w:firstLine="420" w:firstLineChars="200"/>
              <w:rPr>
                <w:rFonts w:cs="宋体"/>
              </w:rPr>
            </w:pPr>
            <w:r>
              <w:rPr>
                <w:rFonts w:cs="宋体" w:hint="eastAsia"/>
              </w:rPr>
              <w:t>主要包括：企业信息备案、作业区备案、作业点备案、场区图备案、库位备案、储罐区位备案、施解封设备备案、关锁设备备案、移动终端备案、运输工具信息备案、泊位/船坞备案等。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一物一链中心-基础数据维护-基础信息维护</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提供基础信息维护功能，包括海关机构、海关作业现场、卡口通道、查验场地、查验设备、开放区域、锚地信息、围网信息的维护、变更、作废等功能。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一物一链中心-物流业务统计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新增一物一链中心-物流业务统计服务，主要是为一物一链中心提供统计分析及监测预警能力。</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一物一链中心-物流业务统计-配置开发管理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物流业务统计为一物一链中心提供统计分析及监测预警能力。通过数据配置组件，将日常统计工作中的指标通过可视化方式进行配置、调整。</w:t>
            </w:r>
          </w:p>
          <w:p>
            <w:pPr>
              <w:spacing w:line="360" w:lineRule="auto"/>
              <w:rPr>
                <w:rFonts w:cs="宋体"/>
              </w:rPr>
            </w:pPr>
            <w:r>
              <w:rPr>
                <w:rFonts w:cs="宋体" w:hint="eastAsia"/>
              </w:rPr>
              <w:t>主要包括：数据源维护、数据表维护、指标维护、组件管理、布局管理、页面管理等功能。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一物一链中心-物流业务统计-数据分析预警引擎</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系统采用规则引擎进行风险预警，实现业务规则动态管理及实时预警。统计分析、规则预警命中后的预警数据及时发送给关员，展示多维信息以助快速处置。支持用户进行规则维护、变更、审批、发布。</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一物一链中心-二线运输工具监管</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新增一物一链中心-二线运输工具监管服务，主要提供二线运输工具进出岛管理功能。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一物一链中心-二线运输工具监管-运输工具进出岛预约管理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提供二线运输工具进出岛预约管理功能，运输工具承运人向口岸运营单位提交出岛申请，口岸运营单位将申请同步给海关二线运输工具监管子系统，系统记录运输工具出岛申请，并结合通关系统、风控系统对运输工具及货物进行布控、放行。</w:t>
            </w:r>
          </w:p>
          <w:p>
            <w:pPr>
              <w:spacing w:line="360" w:lineRule="auto"/>
              <w:ind w:firstLine="420" w:firstLineChars="200"/>
              <w:rPr>
                <w:rFonts w:cs="宋体"/>
              </w:rPr>
            </w:pPr>
            <w:r>
              <w:rPr>
                <w:rFonts w:cs="宋体" w:hint="eastAsia"/>
              </w:rPr>
              <w:t>主要包括：口岸运营单位同步平台配置管理、出岛预约、出岛预约同步、预约查询管理、预约历史信息查询、预约信息人工布控管理等功能。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一物一链中心-二线运输工具监管-出岛交通运输工具信息展示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系统提供出岛交通运输工具展示功能，可对运输工具注册信息、进出岛信息、历史检查信息、历史布控信息等进行查询展示。</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一物一链中心-二线运输工具监管-与其他管理部门数据同步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与其他管理部门信息系统对接，进行数据同步，主要包括：车辆注册信息同步、车辆进出岛信息同步、异常信息同步等。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一物一链中心-二线运输工具监管-检查结果反馈</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提供检查结果反馈服务，主要包括：检查结果查询、打印、移交、风控检查指令结果反馈等功能。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一物一链中心-二线运输工具监管-进出境运输工具风险分析</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对于进出岛的进出境运输工具，系统提供风险分析功能。根据出岛预约申请进行风险分析。若命中风险规则，经海关检查后方可放行。</w:t>
            </w:r>
          </w:p>
          <w:p>
            <w:pPr>
              <w:spacing w:line="360" w:lineRule="auto"/>
              <w:rPr>
                <w:rFonts w:cs="宋体"/>
              </w:rPr>
            </w:pPr>
            <w:r>
              <w:rPr>
                <w:rFonts w:cs="宋体" w:hint="eastAsia"/>
              </w:rPr>
              <w:t>主要包括：运输工具进出平衡分析、货物、物品申报信息关联、与二线报关货物信息匹配等功能。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一物一链中心-二线运输工具监管-放行指令获取</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对于进出岛的进出境运输工具，系统提供放行指令功能。根据出岛预约申请，对运输工具、司机、车人员获取风控指令、放行指令。</w:t>
            </w:r>
          </w:p>
          <w:p>
            <w:pPr>
              <w:spacing w:line="360" w:lineRule="auto"/>
              <w:rPr>
                <w:rFonts w:cs="宋体"/>
              </w:rPr>
            </w:pPr>
            <w:r>
              <w:rPr>
                <w:rFonts w:cs="宋体" w:hint="eastAsia"/>
              </w:rPr>
              <w:t>主要包括：获取运输工具风控指令、获取司机及车上人员风控指令、历史布控信息查询、获取放行指令等功能。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一物一链中心-二线运输工具监管-智能卡口控制</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通过智能卡口控制，并与卡口采集系统、通关系统及风控系统进行业务数据对碰，实现二线运输工具的自动验放。</w:t>
            </w:r>
          </w:p>
          <w:p>
            <w:pPr>
              <w:spacing w:line="360" w:lineRule="auto"/>
              <w:ind w:firstLine="420" w:firstLineChars="200"/>
              <w:rPr>
                <w:rFonts w:cs="宋体"/>
              </w:rPr>
            </w:pPr>
            <w:r>
              <w:rPr>
                <w:rFonts w:cs="宋体" w:hint="eastAsia"/>
              </w:rPr>
              <w:t>主要包括：卡口采集信息接收、通道配置、卡口验放、卡口验放信息查询、验放规则配置等功能。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一物一链中心-二线运输工具监管-统计分析</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主要实现二线运输工具管理子系统核心业务的统计分析功能，包括提供对关区整体运输工具进出岛情况的统计分析和提供对指定口岸运输工具进出岛情况的统计分析。</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海南一线进出境管理-海南零关税设备、交通工具以及游艇管理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升级海南零关税设备、交通工具以及游艇管理，建立海南岛内企业与海关之间办理相关零关税进口设备和交通工具业务手续平台。</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w:t>
            </w:r>
            <w:bookmarkStart w:id="41" w:name="_Toc142696369"/>
            <w:r>
              <w:rPr>
                <w:rFonts w:cs="宋体" w:hint="eastAsia"/>
              </w:rPr>
              <w:t>海南零关税设备、交通工具以及游艇管理</w:t>
            </w:r>
            <w:bookmarkEnd w:id="41"/>
            <w:r>
              <w:rPr>
                <w:rFonts w:cs="宋体" w:hint="eastAsia"/>
              </w:rPr>
              <w:t>-企业端-账户管理备案</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提供对新录入的企业进行逻辑检验后再保存相关信息，并提供相应的信息维护功能，对于抓取自企业管理系统的数据，以及需要变更的数据进行完善修改。</w:t>
            </w:r>
          </w:p>
          <w:p>
            <w:pPr>
              <w:spacing w:line="360" w:lineRule="auto"/>
              <w:ind w:firstLine="420" w:firstLineChars="200"/>
              <w:rPr>
                <w:rFonts w:cs="宋体"/>
              </w:rPr>
            </w:pPr>
            <w:r>
              <w:rPr>
                <w:rFonts w:cs="宋体" w:hint="eastAsia"/>
              </w:rPr>
              <w:t>主要包括：账户管理备案信息的新增、暂存、删除、申报、打印、修改、查询、变更、随附单据上传等功能。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海南一线进出境管理-海南零关税设备、交通工具以及游艇管理-企业端-进口申报</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系统接收海关端返回的首次进口商品信息，并记录到企业账户备案商品信息中，企业可通过本系统查看相应商品信息。</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海南一线进出境管理-海南零关税设备、交通工具以及游艇管理-企业端-转让登记</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岛内企业将</w:t>
            </w:r>
            <w:r>
              <w:rPr>
                <w:rFonts w:cs="宋体" w:hint="eastAsia"/>
                <w:spacing w:val="-4"/>
              </w:rPr>
              <w:t>零关税设备、交通工具以及游艇</w:t>
            </w:r>
            <w:r>
              <w:rPr>
                <w:rFonts w:cs="宋体" w:hint="eastAsia"/>
              </w:rPr>
              <w:t>转让给其他岛内企业的，需要办理</w:t>
            </w:r>
            <w:r>
              <w:rPr>
                <w:rFonts w:cs="宋体" w:hint="eastAsia"/>
                <w:spacing w:val="-4"/>
              </w:rPr>
              <w:t>零关税设备、交通工具以及游艇</w:t>
            </w:r>
            <w:r>
              <w:rPr>
                <w:rFonts w:cs="宋体" w:hint="eastAsia"/>
              </w:rPr>
              <w:t>的转让登记手续，填报“转让登记清单（转入/转出）”，并提供相应维护功能。</w:t>
            </w:r>
          </w:p>
          <w:p>
            <w:pPr>
              <w:spacing w:line="360" w:lineRule="auto"/>
              <w:ind w:firstLine="420" w:firstLineChars="200"/>
              <w:rPr>
                <w:rFonts w:cs="宋体"/>
              </w:rPr>
            </w:pPr>
            <w:r>
              <w:rPr>
                <w:rFonts w:cs="宋体" w:hint="eastAsia"/>
              </w:rPr>
              <w:t>主要包括：转让登记信息（转入/转出）新增、暂存、修改、删除、打印、查询、申报、随附单据上传，转出登记撤销，转出登记到期未确认等功能。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海南一线进出境管理-海南零关税设备、交通工具以及游艇管理-企业端-转移登记</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在海关监管年限内，岛内企业将</w:t>
            </w:r>
            <w:r>
              <w:rPr>
                <w:rFonts w:cs="宋体" w:hint="eastAsia"/>
                <w:spacing w:val="-4"/>
              </w:rPr>
              <w:t>零关税设备、交通工具以及游艇</w:t>
            </w:r>
            <w:r>
              <w:rPr>
                <w:rFonts w:cs="宋体" w:hint="eastAsia"/>
              </w:rPr>
              <w:t>转移给其他岛内企业使用，需要办理</w:t>
            </w:r>
            <w:r>
              <w:rPr>
                <w:rFonts w:cs="宋体" w:hint="eastAsia"/>
                <w:spacing w:val="-4"/>
              </w:rPr>
              <w:t>零关税设备、交通工具以及游艇</w:t>
            </w:r>
            <w:r>
              <w:rPr>
                <w:rFonts w:cs="宋体" w:hint="eastAsia"/>
              </w:rPr>
              <w:t>的转移登记手续。主要包含转移登记申请、转移期限届满结束转移作业。</w:t>
            </w:r>
          </w:p>
          <w:p>
            <w:pPr>
              <w:spacing w:line="360" w:lineRule="auto"/>
              <w:ind w:firstLine="420" w:firstLineChars="200"/>
              <w:rPr>
                <w:rFonts w:cs="宋体"/>
              </w:rPr>
            </w:pPr>
            <w:r>
              <w:rPr>
                <w:rFonts w:cs="宋体" w:hint="eastAsia"/>
              </w:rPr>
              <w:t>主要包括：转移登记信息新增、暂存、修改、删除、查询、申报、打印、随附单据上传、转移期限届满结束转移等功能。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海南一线进出境管理-海南零关税设备、交通工具以及游艇管理-企业端-结束转移</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岛内企业之间转移进口设备、交通工具到期后，系统自动结束转移。</w:t>
            </w:r>
          </w:p>
          <w:p>
            <w:pPr>
              <w:spacing w:line="360" w:lineRule="auto"/>
              <w:ind w:firstLine="420" w:firstLineChars="200"/>
              <w:rPr>
                <w:rFonts w:cs="宋体"/>
              </w:rPr>
            </w:pPr>
            <w:r>
              <w:rPr>
                <w:rFonts w:cs="宋体" w:hint="eastAsia"/>
              </w:rPr>
              <w:t>主要包括：结束转移信息新增、暂存、删除、打印、随附单据上传、申请等功能。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海南一线进出境管理-海南零关税设备、交通工具以及游艇管理-企业端-贷款抵押</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针对岛内企业以零关税进口设备、交通工具向境内或境外金融机构办理贷款抵押的，提供贷款抵押申请、贷款抵押变更申请和终止贷款抵押作业等功能。</w:t>
            </w:r>
          </w:p>
          <w:p>
            <w:pPr>
              <w:spacing w:line="360" w:lineRule="auto"/>
              <w:ind w:firstLine="420" w:firstLineChars="200"/>
              <w:rPr>
                <w:rFonts w:cs="宋体"/>
              </w:rPr>
            </w:pPr>
            <w:r>
              <w:rPr>
                <w:rFonts w:cs="宋体" w:hint="eastAsia"/>
              </w:rPr>
              <w:t>主要包括：贷款抵押信息新增、暂存、修改、删除、查询、申报、变更、打印、随附单据上传、贷款抵押申请终止等功能。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海南一线进出境管理-海南零关税设备、交通工具以及游艇管理-企业端-提前解除监管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提供提前解除监管功能，针对贷款抵押记录，可进行“终止”操作，系统向海关端发送终止数据。</w:t>
            </w:r>
          </w:p>
          <w:p>
            <w:pPr>
              <w:spacing w:line="360" w:lineRule="auto"/>
              <w:ind w:firstLine="420" w:firstLineChars="200"/>
              <w:rPr>
                <w:rFonts w:cs="宋体"/>
              </w:rPr>
            </w:pPr>
            <w:r>
              <w:rPr>
                <w:rFonts w:cs="宋体" w:hint="eastAsia"/>
              </w:rPr>
              <w:t>主要包括：提前解除监管信息（补税/退运）新增、修改、删除、查询、暂存、申报、打印、随附单据上传、到期自动解除监管等功能。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海南一线进出境管理-海南零关税设备、交通工具以及游艇管理-企业端-特殊情况转让</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海关监管年限内，岛内企业需要将</w:t>
            </w:r>
            <w:r>
              <w:rPr>
                <w:rFonts w:cs="宋体" w:hint="eastAsia"/>
                <w:spacing w:val="-4"/>
              </w:rPr>
              <w:t>零关税设备、交通工具以及游艇</w:t>
            </w:r>
            <w:r>
              <w:rPr>
                <w:rFonts w:cs="宋体" w:hint="eastAsia"/>
              </w:rPr>
              <w:t>转让岛外企业的，需要向海关做特殊情况转让申请，海关审核通过并办理补税手续。</w:t>
            </w:r>
          </w:p>
          <w:p>
            <w:pPr>
              <w:spacing w:line="360" w:lineRule="auto"/>
              <w:ind w:firstLine="420" w:firstLineChars="200"/>
              <w:rPr>
                <w:rFonts w:cs="宋体"/>
              </w:rPr>
            </w:pPr>
            <w:r>
              <w:rPr>
                <w:rFonts w:cs="宋体" w:hint="eastAsia"/>
              </w:rPr>
              <w:t>主要包括：特殊情况转让新增、修改、删除、查询、暂存、申报、打印、随附单据上传等。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海南一线进出境管理-海南零关税设备、交通工具以及游艇管理-海关端-账户管理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接收单一窗口企业账户数据，对企业账户的申请、修改的数据进行电子审核，数据入库后，发送入库回执给单一窗口。</w:t>
            </w:r>
          </w:p>
          <w:p>
            <w:pPr>
              <w:spacing w:line="360" w:lineRule="auto"/>
              <w:ind w:firstLine="420" w:firstLineChars="200"/>
              <w:rPr>
                <w:rFonts w:cs="宋体"/>
              </w:rPr>
            </w:pPr>
            <w:r>
              <w:rPr>
                <w:rFonts w:cs="宋体" w:hint="eastAsia"/>
              </w:rPr>
              <w:t>主要包括：账户申请/变更电子审核、账户暂停、恢复、变更查询、打印、数据同步等功能。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海南一线进出境管理-海南零关税设备、交通工具以及游艇管理-海关端-转让管理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为岛内企业将</w:t>
            </w:r>
            <w:r>
              <w:rPr>
                <w:rFonts w:cs="宋体" w:hint="eastAsia"/>
                <w:spacing w:val="-4"/>
              </w:rPr>
              <w:t>零关税设备、交通工具以及游艇</w:t>
            </w:r>
            <w:r>
              <w:rPr>
                <w:rFonts w:cs="宋体" w:hint="eastAsia"/>
              </w:rPr>
              <w:t>转让给其他岛内企业，提供转让管理功能。</w:t>
            </w:r>
          </w:p>
          <w:p>
            <w:pPr>
              <w:spacing w:line="360" w:lineRule="auto"/>
              <w:ind w:firstLine="420" w:firstLineChars="200"/>
              <w:rPr>
                <w:rFonts w:cs="宋体"/>
              </w:rPr>
            </w:pPr>
            <w:r>
              <w:rPr>
                <w:rFonts w:cs="宋体" w:hint="eastAsia"/>
              </w:rPr>
              <w:t>主要包括：转出登记、转出登记撤销、转入登记、转入登记失效、转出查询打印、转入查询打印等功能。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海南一线进出境管理-海南零关税设备、交通工具以及游艇管理-海关端-转移管理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为岛内企业将零关税设备、交通工具以及游艇转移给其他岛内企业使用，提供转移管理功能。</w:t>
            </w:r>
          </w:p>
          <w:p>
            <w:pPr>
              <w:spacing w:line="360" w:lineRule="auto"/>
              <w:rPr>
                <w:rFonts w:cs="宋体"/>
              </w:rPr>
            </w:pPr>
            <w:r>
              <w:rPr>
                <w:rFonts w:cs="宋体" w:hint="eastAsia"/>
              </w:rPr>
              <w:t>主要包括：转移登记、届满转移结束、提前转移结束、转移查询打印等功能。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海南一线进出境管理-海南零关税设备、交通工具以及游艇管理-海关端-贷款抵押管理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为岛内企业以零关税进口设备、交通工具向境内或境外金融机构办理贷款抵押的提供贷款抵押管理功能。</w:t>
            </w:r>
          </w:p>
          <w:p>
            <w:pPr>
              <w:spacing w:line="360" w:lineRule="auto"/>
              <w:rPr>
                <w:rFonts w:cs="宋体"/>
              </w:rPr>
            </w:pPr>
            <w:r>
              <w:rPr>
                <w:rFonts w:cs="宋体" w:hint="eastAsia"/>
              </w:rPr>
              <w:t>主要包括：贷款抵押申请、申请电审/初审/复审/终审、终止申请电审/初审/复审/终审、变更申请电审/初审/复审/终审、贷款抵押结案、查询及打印功能。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海南一线进出境管理-海南零关税设备、交通工具以及游艇管理-海关端-解除监管管理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为海关监管内的进口零关税设备、交通工具以及游艇，企业申请提前解除监管的提供解除监管管理功能。</w:t>
            </w:r>
          </w:p>
          <w:p>
            <w:pPr>
              <w:spacing w:line="360" w:lineRule="auto"/>
              <w:ind w:firstLine="420" w:firstLineChars="200"/>
              <w:rPr>
                <w:rFonts w:cs="宋体"/>
              </w:rPr>
            </w:pPr>
            <w:r>
              <w:rPr>
                <w:rFonts w:cs="宋体" w:hint="eastAsia"/>
              </w:rPr>
              <w:t>主要包括：到期自动解除监管、补税提前解除监管电审/初审/复审/终审、查询及打印功能，退运提前解除监管电审/初审/复审/终审、查询及打印功能。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海南一线进出境管理-海南零关税设备、交通工具以及游艇管理-海关端-特殊情况转让管理</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为承受人或者其他承担纳税义务的主体为岛外企业的，提供零关税设备、交通工具以及游艇特殊情况转让管理功能。</w:t>
            </w:r>
          </w:p>
          <w:p>
            <w:pPr>
              <w:spacing w:line="360" w:lineRule="auto"/>
              <w:ind w:firstLine="420" w:firstLineChars="200"/>
              <w:rPr>
                <w:rFonts w:cs="宋体"/>
              </w:rPr>
            </w:pPr>
            <w:r>
              <w:rPr>
                <w:rFonts w:cs="宋体" w:hint="eastAsia"/>
              </w:rPr>
              <w:t>主要包括：特殊情况转电审/初审/复审/终审、查询及打印功能。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海南一线进出境管理-海南零关税设备、交通工具以及游艇管理-海关端-参数管理</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主要包括享惠企业参数、负面企业参数、进口设备负面清单、进口交通工具正面清单、监管年限等参数的新增、修改、删除、导入等功能。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海南一线进出境管理-海南零关税设备、交通工具以及游艇管理-海关端-信息提示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“海南零关税进口设备、交通工具平台”海关端增设“提示、展示”功能模块，该功能模式通过下拉菜单，下设“待阅”、“已阅”2个子菜单。关员通过待阅、已阅功能查看系统推送的办理信息。</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海南一线进出境管理-海南零关税设备、交通工具以及游艇管理-海关端-年报管理</w:t>
            </w:r>
          </w:p>
        </w:tc>
        <w:tc>
          <w:tcPr>
            <w:tcW w:w="3396" w:type="dxa"/>
            <w:tcBorders>
              <w:top w:val="single" w:sz="4" w:space="0" w:color="auto"/>
              <w:left w:val="single" w:sz="4" w:space="0" w:color="auto"/>
              <w:right w:val="single" w:sz="4" w:space="0" w:color="auto"/>
            </w:tcBorders>
            <w:vAlign w:val="center"/>
          </w:tcPr>
          <w:p>
            <w:pPr>
              <w:pStyle w:val="EnvelopeReturn"/>
              <w:rPr>
                <w:rFonts w:ascii="宋体" w:cs="宋体"/>
              </w:rPr>
            </w:pPr>
            <w:r>
              <w:rPr>
                <w:rFonts w:ascii="宋体" w:cs="宋体" w:hint="eastAsia"/>
              </w:rPr>
              <w:t>主要包括企业端“零关税”货物使用情况申报、海关端“零关税”货物年报申请审核两部分功能。</w:t>
            </w:r>
          </w:p>
          <w:p>
            <w:pPr>
              <w:pStyle w:val="EnvelopeReturn"/>
              <w:rPr>
                <w:rFonts w:ascii="宋体" w:cs="宋体"/>
              </w:rPr>
            </w:pPr>
            <w:r>
              <w:rPr>
                <w:rFonts w:ascii="宋体" w:cs="宋体" w:hint="eastAsia"/>
              </w:rPr>
              <w:t>1、建立企业端“零关税”货物使用情况申报功能，海关监管年限内，岛内企业需要向主管海关申报“零关税”货物使用情况报告。</w:t>
            </w:r>
          </w:p>
          <w:p>
            <w:pPr>
              <w:spacing w:line="360" w:lineRule="auto"/>
              <w:ind w:firstLine="420" w:firstLineChars="200"/>
              <w:rPr>
                <w:rFonts w:cs="宋体"/>
              </w:rPr>
            </w:pPr>
            <w:r>
              <w:rPr>
                <w:rFonts w:cs="宋体" w:hint="eastAsia"/>
              </w:rPr>
              <w:t>主要包括：“零关税”货物使用情况新增、修改、删除、查询、暂存、申报、打印、随附单据上传等。</w:t>
            </w:r>
          </w:p>
          <w:p>
            <w:pPr>
              <w:spacing w:line="360" w:lineRule="auto"/>
              <w:ind w:firstLine="420" w:firstLineChars="200"/>
              <w:rPr>
                <w:rFonts w:cs="宋体"/>
              </w:rPr>
            </w:pPr>
            <w:r>
              <w:rPr>
                <w:rFonts w:cs="宋体" w:hint="eastAsia"/>
              </w:rPr>
              <w:t>2、建立海关端“零关税”货物年报申请审核功能，在海关监管年限内，海关对企业（单位）申报的“零关税”货物使用情况报告进行审核确认。</w:t>
            </w:r>
          </w:p>
          <w:p>
            <w:pPr>
              <w:spacing w:line="360" w:lineRule="auto"/>
              <w:ind w:firstLine="420" w:firstLineChars="200"/>
              <w:rPr>
                <w:rFonts w:cs="宋体"/>
              </w:rPr>
            </w:pPr>
            <w:r>
              <w:rPr>
                <w:rFonts w:cs="宋体" w:hint="eastAsia"/>
              </w:rPr>
              <w:t>主要包括：年报申请审核、年报申请信息查询等功能。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海南一线进出境管理-海南零关税设备、交通工具以及游艇管理-海关端-风险排查及违规处置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建立海关端“零关税”货物登记运营管理功能，通过接收海南省的“零关税进口交通工具及游艇监管系统”进口“零关税”船舶、游艇、车辆、航空器的登记注册和运营管理信息，有效掌握符合政策条件的企业（单位）进口“零关税”交通工具及游艇注册信息和违反政策规定情形使用和运营的信息。</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海南一线进出境管理-海南零关税设备、交通工具以及游艇管理-海关端-统计查询</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建立“数据结构和分析查询”数据库，实现对“数据结构和分析查询”数据库数据的查询、统计功能。主要包含数据库、查询统计等功能。实现对通关系统中报关单征免性质为“491”“492”“493”“494”的报关单数据和“海南零关税设备、交通工具及游艇管理平台”的数据分类查询、汇总统计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海南一线进出境管理-“零关税”原辅料智慧监管</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升级“零关税”原辅料智慧监管，为支撑企业自主备案、自主核报，简化审核流程，放宽“一线”管理，强化“二线”管理的新业务模式，从海关监管、企业服务、信息共享三个方面着手，实现对“零关税”原辅料商品优化管理，实现业务办理集约化、智能化、便利化、协同化和功能化。</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海南一线进出境管理-“零关税”原辅料智慧监管-海关监管-执法作业</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支撑企业自主备案、自主核报，通过简化审核、放宽“一线”及强化“二线”管理，优化原辅料全保税业务流程监管，实现高效业务办理与海关监管效能提升。</w:t>
            </w:r>
          </w:p>
          <w:p>
            <w:pPr>
              <w:spacing w:line="360" w:lineRule="auto"/>
              <w:ind w:firstLine="420" w:firstLineChars="200"/>
              <w:rPr>
                <w:rFonts w:cs="宋体"/>
              </w:rPr>
            </w:pPr>
            <w:r>
              <w:rPr>
                <w:rFonts w:cs="宋体" w:hint="eastAsia"/>
              </w:rPr>
              <w:t>主要包括：</w:t>
            </w:r>
          </w:p>
          <w:p>
            <w:pPr>
              <w:numPr>
                <w:ilvl w:val="0"/>
                <w:numId w:val="19"/>
              </w:numPr>
              <w:spacing w:line="360" w:lineRule="auto"/>
              <w:ind w:left="0" w:firstLine="420" w:firstLineChars="200"/>
              <w:rPr>
                <w:rFonts w:cs="宋体"/>
              </w:rPr>
            </w:pPr>
            <w:r>
              <w:rPr>
                <w:rFonts w:cs="宋体" w:hint="eastAsia"/>
              </w:rPr>
              <w:t>原辅料账册前期管理：</w:t>
            </w:r>
          </w:p>
          <w:p>
            <w:pPr>
              <w:spacing w:line="360" w:lineRule="auto"/>
              <w:rPr>
                <w:rFonts w:cs="宋体"/>
              </w:rPr>
            </w:pPr>
            <w:r>
              <w:rPr>
                <w:rFonts w:cs="宋体" w:hint="eastAsia"/>
              </w:rPr>
              <w:t>提供原辅料专用账（手）册账册备案管理及变更管理、正面清单管理、参数管理、原辅料担保管理等功能。</w:t>
            </w:r>
          </w:p>
          <w:p>
            <w:pPr>
              <w:numPr>
                <w:ilvl w:val="0"/>
                <w:numId w:val="19"/>
              </w:numPr>
              <w:spacing w:line="360" w:lineRule="auto"/>
              <w:ind w:left="0" w:firstLine="420" w:firstLineChars="200"/>
              <w:rPr>
                <w:rFonts w:cs="宋体"/>
              </w:rPr>
            </w:pPr>
            <w:r>
              <w:rPr>
                <w:rFonts w:cs="宋体" w:hint="eastAsia"/>
              </w:rPr>
              <w:t>中期管理：</w:t>
            </w:r>
          </w:p>
          <w:p>
            <w:pPr>
              <w:spacing w:line="360" w:lineRule="auto"/>
              <w:rPr>
                <w:rFonts w:cs="宋体"/>
              </w:rPr>
            </w:pPr>
            <w:r>
              <w:rPr>
                <w:rFonts w:cs="宋体" w:hint="eastAsia"/>
              </w:rPr>
              <w:t>原辅料账册中期管理、二线进出管理、保区折料内销集报业务、料件折料内销集报业务、一般纳税人资格试点管理等功能。</w:t>
            </w:r>
          </w:p>
          <w:p>
            <w:pPr>
              <w:numPr>
                <w:ilvl w:val="0"/>
                <w:numId w:val="19"/>
              </w:numPr>
              <w:spacing w:line="360" w:lineRule="auto"/>
              <w:ind w:left="0" w:firstLine="420" w:firstLineChars="200"/>
              <w:rPr>
                <w:rFonts w:cs="宋体"/>
              </w:rPr>
            </w:pPr>
            <w:r>
              <w:rPr>
                <w:rFonts w:cs="宋体" w:hint="eastAsia"/>
              </w:rPr>
              <w:t>后期管理：</w:t>
            </w:r>
          </w:p>
          <w:p>
            <w:pPr>
              <w:spacing w:line="360" w:lineRule="auto"/>
              <w:rPr>
                <w:rFonts w:cs="宋体"/>
              </w:rPr>
            </w:pPr>
            <w:r>
              <w:rPr>
                <w:rFonts w:cs="宋体" w:hint="eastAsia"/>
              </w:rPr>
              <w:t>包括原辅料账册核销管理、原辅料账册注销管理等功能。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海南一线进出境管理-“零关税”原辅料智慧监管-海关监管-查询展示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通过直接调取执法作业系统和数据共享系统数据，对零关税原辅料专用账（手）册和特殊区域账册项下相关的监管数据进行查询分析，实现高效、智能监管。</w:t>
            </w:r>
          </w:p>
          <w:p>
            <w:pPr>
              <w:spacing w:line="360" w:lineRule="auto"/>
              <w:ind w:firstLine="420" w:firstLineChars="200"/>
              <w:rPr>
                <w:rFonts w:cs="宋体"/>
              </w:rPr>
            </w:pPr>
            <w:r>
              <w:rPr>
                <w:rFonts w:cs="宋体" w:hint="eastAsia"/>
              </w:rPr>
              <w:t>主要包括：</w:t>
            </w:r>
          </w:p>
          <w:p>
            <w:pPr>
              <w:numPr>
                <w:ilvl w:val="0"/>
                <w:numId w:val="20"/>
              </w:numPr>
              <w:spacing w:line="360" w:lineRule="auto"/>
              <w:ind w:left="0" w:firstLine="420" w:firstLineChars="200"/>
              <w:rPr>
                <w:rFonts w:cs="宋体"/>
              </w:rPr>
            </w:pPr>
            <w:r>
              <w:rPr>
                <w:rFonts w:cs="宋体" w:hint="eastAsia"/>
              </w:rPr>
              <w:t>数据查询：</w:t>
            </w:r>
          </w:p>
          <w:p>
            <w:pPr>
              <w:spacing w:line="360" w:lineRule="auto"/>
              <w:rPr>
                <w:rFonts w:cs="宋体"/>
              </w:rPr>
            </w:pPr>
            <w:r>
              <w:rPr>
                <w:rFonts w:cs="宋体" w:hint="eastAsia"/>
              </w:rPr>
              <w:t>本模块实现对零关税原辅料专用账（手）册和特殊区域账册项下账（手）册、主要进出口企业、报关单、核注清单、业务申报表、出入库单、核放单等不同单证的简单查询与组合查询。</w:t>
            </w:r>
          </w:p>
          <w:p>
            <w:pPr>
              <w:numPr>
                <w:ilvl w:val="0"/>
                <w:numId w:val="20"/>
              </w:numPr>
              <w:spacing w:line="360" w:lineRule="auto"/>
              <w:ind w:left="0" w:firstLine="420" w:firstLineChars="200"/>
              <w:rPr>
                <w:rFonts w:cs="宋体"/>
              </w:rPr>
            </w:pPr>
            <w:r>
              <w:rPr>
                <w:rFonts w:cs="宋体" w:hint="eastAsia"/>
              </w:rPr>
              <w:t>数据可视化展示：</w:t>
            </w:r>
          </w:p>
          <w:p>
            <w:pPr>
              <w:spacing w:line="360" w:lineRule="auto"/>
              <w:rPr>
                <w:rFonts w:cs="宋体"/>
              </w:rPr>
            </w:pPr>
            <w:r>
              <w:rPr>
                <w:rFonts w:cs="宋体" w:hint="eastAsia"/>
              </w:rPr>
              <w:t>通过与执法作业系统和数据共享系统进行数据对接，对零关税原辅料和特殊区域业务开展的地域分布、企业分类、业务类型、进出总值、商品分布、流向及征、补税情况进行自动计算，并通过图形、表单等可视化方式进行全方位展示。</w:t>
            </w:r>
          </w:p>
          <w:p>
            <w:pPr>
              <w:spacing w:line="360" w:lineRule="auto"/>
              <w:rPr>
                <w:rFonts w:cs="宋体"/>
              </w:rPr>
            </w:pPr>
            <w:r>
              <w:rPr>
                <w:rFonts w:cs="宋体" w:hint="eastAsia"/>
              </w:rPr>
              <w:t>主要包括：监管环节展示、主要进出口企业展示、账册类型展示、核注清单业务类型展示、业务申报表展示、出入库单类型展示、核放单类型展示、主要贸易国家/商品/新型贸易业态展示等。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海南一线进出境管理-“零关税”原辅料智慧监管-海关监管-数据分析</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通过与执法系统和数据共享平台进行数据对接，提供自动化、可定制的数据统计分析处理功能，配置简单自动化数据组合查询模型，满足现场业务数据分析要求。</w:t>
            </w:r>
          </w:p>
          <w:p>
            <w:pPr>
              <w:spacing w:line="360" w:lineRule="auto"/>
              <w:ind w:firstLine="420" w:firstLineChars="200"/>
              <w:rPr>
                <w:rFonts w:cs="宋体"/>
              </w:rPr>
            </w:pPr>
            <w:r>
              <w:rPr>
                <w:rFonts w:cs="宋体" w:hint="eastAsia"/>
              </w:rPr>
              <w:t>主要包括：企业情况分析、主要进出口企业分析、主要贸易国家分析、主要贸易商品信息分析、账册数据分析、单耗分析、耗料分析、核销明细查询及分析、报关单数据分析、核注清单数据分析、业务申报表数据分析、出入库单数据分析、区域核放单数据分析、活跃企业数据分析、税收数据分析、企业经营活动异常情况分析、新型贸易业态分析、“零关税”原辅料外部数据分析等。</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海南一线进出境管理-“零关税”原辅料智慧监管-企业服务-数据申报</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在现有特殊监管区域管理子系统申报功能基础上改造升级，实现原辅料专用账册备案数据、原辅料进出口单证（核注清单、报关单），原辅料账册报核数据、日常进出区单证申报，并向企业提供原辅料数据查询、公共数据库服务等功能。</w:t>
            </w:r>
          </w:p>
          <w:p>
            <w:pPr>
              <w:spacing w:line="360" w:lineRule="auto"/>
              <w:rPr>
                <w:rFonts w:cs="宋体"/>
              </w:rPr>
            </w:pPr>
            <w:r>
              <w:rPr>
                <w:rFonts w:cs="宋体" w:hint="eastAsia"/>
              </w:rPr>
              <w:t>主要包括：“零关税”原辅料及其制成品内销申请、“零关税”原辅料副产品、残次品、剩余料件、边角料、受灾货物处理申请的新增、修改、删除、查询、暂存、申报、打印等功能。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海南一线进出境管理-“零关税”原辅料智慧监管-企业服务-数据查询</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实现零关税原辅料企业备案、进出境备案、制成品内销申请、副产品、残次品、剩余料件、边角料、受灾货物处理申请数据查询功能。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海南一线进出境管理-“零关税”原辅料智慧监管-企业服务-信息共享</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与报关单、卡口、辅助管理及担保系统之间的信息共享，实现报关单生成、卡口指令传递、辅助系统转型及保证金申报等功能，支持海关特殊监管区域的高效运作。</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直提直装-直提直装信息公示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新增直提直装-直提直装信息公示，实现维护公示信息及设置开关，具体功能包含新增内网直提直装信息维护功能、直提直装信息公示、系统开关设置。</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直提直装-直提直装信息公示-内网直提直装信息维护</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直属海关定期通过海关内网“直提直装”录入关区内支持“直提”（分为船边直提、车边直提、机坪直提）“抵港直装”（分为水运抵港直装、铁路抵港直装、空运抵港直装）的运输方式、码头/铁路场站/机场名称、联系人信息与电话，相关数据同步至互联网+海关及中国国际贸易单一窗口指定的直提直装模块－信息公布功能中。</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直提直装-直提直装信息公示-直提直装信息公示</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进出口企业通过中国国际贸易单一窗口直提直装模块－信息公布功能，查询支持“直提”“抵港直装”的码头/铁路场站/机场、联系人信息。</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直提直装-直提直装信息公示-系统开关设置</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为直提、抵港直装功能设置开关，包括船边直提开关、车边直提开关、机坪直提开关、水运抵港直装开关、铁路抵港直装开关、空运抵港直装开关。</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新增直提直装-直提校验，实现对直提直装的校验及进度查询等功能。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直提直装-直提校验-预约直提校验</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实现直提直装的直提预约校验功能，包含预约船边直提校验、预约车边直提校验、预约机坪直提校验，以及直提海关进度查询功能。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直提直装-抵港直装校验-预约抵港直装校验</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新增直提直装-抵港直装校验-预约抵港直装校验，实现直提直装的抵港直装预约校验功能，包含预约水运抵港直装校验、预约铁路抵港直装校验、预约空运抵港直装校验，以及抵港直装海关进度查询功能。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直提直装-直提直装数据展示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新增直提直装-直提直装数据展示，关员可在该平台查询直提直装相关统计指标，包括“直提”相关情况展示功能、“直装相关情况展示功能。”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直提直装-直提直装数据展示-辖区企业“直提”相关情况统计展示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提供辖区企业“直提”相关情况统计展示功能，支持通过运输工具抵港时间等查询条件，展示直属海关及各隶属海关辖区企业进口货物“直提”情况。</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直提直装-直提直装数据展示-辖区企业“抵港直装”相关情况统计展示</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提供辖区企业“抵港直装”相关情况统计展示功能，支持通过运输工具抵港时间等查询条件，展示直属海关及各隶属海关辖区企业出口货物“抵港直装”情况，并提供数据导出功能。</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直提直装-直提、抵港直装信息公示（单窗）</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新增直提直装-直提、抵港直装信息公示（单窗），实现信息维护及公布等功能。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直提直装-直提、抵港直装信息公示（单窗）-直提直装信息维护</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码头/铁路场站/机场通过监管作业场所身份登录直提直装模块－信息公布功能，维护码头/铁路场站/机场联系人、姓名。</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直提直装-直提、抵港直装信息公示（单窗）-直装直提信息公布</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进出口企业通过中国国际贸易单一窗口直提直装模块－信息公布功能，查询支持“直提”“抵港直装”的码头/铁路场站/机场、联系人信息。</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直提直装-直提、抵港直装信息公示（单窗）-系统开关</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为直提、抵港直装功能设置开关，包括船边直提开关、车边直提开关、机坪直提开关、水运抵港直装开关、铁路抵港直装开关、空运抵港直装开关。</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直提直装-直提（单窗）</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新增直提直装-直提（单窗），在“单一窗口”中增加提供直提预约及进度查询等功能。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直提直装-直提（单窗）-预约直提</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对于水运进出口企业/铁路进出口企业/空运进出口企业，在单一窗口增加船边直提、车边直提、机坪直提申请功能。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直提直装-直提（单窗）-“直提”海关进度查询</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对于进出口企业申请开展直提的，中国国际贸易单一窗口展示货物在海关的进度与相应节点。</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直提直装-直提（单窗）-推送“直提”信息</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口企业申请开展“直提”的，满足相应条件且经“直提直装”核验申请成功后，单一窗口制定与监管作业场所数据（包括码头、铁路场站、机场等）对接统一技术标准，以支持按照运输方式（水运/铁路/空运）向相应监管作业场所（码头、铁路场站、机场）推送申请开展“直提”的集装箱号/提单号信息。</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直提直装-直提（单窗）-“直提”进度查询</w:t>
            </w:r>
          </w:p>
        </w:tc>
        <w:tc>
          <w:tcPr>
            <w:tcW w:w="3396" w:type="dxa"/>
            <w:tcBorders>
              <w:top w:val="single" w:sz="4" w:space="0" w:color="auto"/>
              <w:left w:val="single" w:sz="4" w:space="0" w:color="auto"/>
              <w:right w:val="single" w:sz="4" w:space="0" w:color="auto"/>
            </w:tcBorders>
            <w:vAlign w:val="center"/>
          </w:tcPr>
          <w:p>
            <w:pPr>
              <w:spacing w:line="360" w:lineRule="auto"/>
              <w:ind w:firstLine="480"/>
              <w:rPr>
                <w:rFonts w:cs="宋体"/>
              </w:rPr>
            </w:pPr>
            <w:r>
              <w:rPr>
                <w:rFonts w:cs="宋体" w:hint="eastAsia"/>
              </w:rPr>
              <w:t>单一窗口提供“船边直提”码头进度查询、“车边直提”铁路场站进度查询、“机坪直提”机场进度查询等功能。</w:t>
            </w:r>
          </w:p>
          <w:p>
            <w:pPr>
              <w:spacing w:line="360" w:lineRule="auto"/>
              <w:ind w:firstLine="480"/>
              <w:rPr>
                <w:rFonts w:cs="宋体"/>
              </w:rPr>
            </w:pPr>
            <w:r>
              <w:rPr>
                <w:rFonts w:cs="宋体" w:hint="eastAsia"/>
              </w:rPr>
              <w:t>其中“船边直提”码头进度查询：码头根据（推送直提信息）中受理的集装箱号，向单一窗口直提直装模块—申请“船边直提”功能按照下列顺序输出码头进度信息：企业预约信息、企业提货车辆进码头时间点、船边直提泊位/岸桥号、货物查验、提货车辆出闸；“车边直提”铁路场站进度查询：铁路场站根据（推送直提信息）中受理的集装箱号，向单一窗口直提直装模块—申请“车边直提”功能按照下列顺序输出铁路场站进度信息：企业预约信息、企业提货车辆进铁路场站时间点、车边直提位置、货物查验、提货车辆出闸；“机坪直提”机场进度查询：机场根据（推送直提信息）中受理的提单号，向单一窗口直提直装模块—直提—申请“机坪直提”功能按照下列顺序输出机场进度信息：企业预约信息、企业提货车辆进机场时间点、机坪直提位置、货物查验、提货车辆出闸。</w:t>
            </w:r>
          </w:p>
        </w:tc>
        <w:tc>
          <w:tcPr>
            <w:tcW w:w="1303" w:type="dxa"/>
            <w:vAlign w:val="center"/>
          </w:tcPr>
          <w:p>
            <w:pPr>
              <w:widowControl/>
              <w:spacing w:line="360" w:lineRule="auto"/>
              <w:textAlignment w:val="center"/>
              <w:rPr>
                <w:rFonts w:cs="宋体"/>
              </w:rPr>
            </w:pPr>
            <w:r>
              <w:rPr>
                <w:rFonts w:cs="宋体" w:hint="eastAsia"/>
                <w:lang w:bidi="en-US"/>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rPr>
            </w:pPr>
            <w:r>
              <w:rPr>
                <w:rFonts w:cs="宋体" w:hint="eastAsia"/>
              </w:rPr>
              <w:t>直提直装-预约抵港直装（单窗）</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新增直提直装-预约抵港直装（单窗），在“单一窗口”中增加预约抵港直装及进度查询等功能。</w:t>
            </w:r>
          </w:p>
        </w:tc>
        <w:tc>
          <w:tcPr>
            <w:tcW w:w="1303" w:type="dxa"/>
            <w:vAlign w:val="center"/>
          </w:tcPr>
          <w:p>
            <w:pPr>
              <w:widowControl/>
              <w:spacing w:line="360" w:lineRule="auto"/>
              <w:textAlignment w:val="center"/>
              <w:rPr>
                <w:rFonts w:cs="宋体"/>
                <w:color w:val="000000"/>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直提直装-预约抵港直装（单窗）-预约“抵港直装”</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对于进出口企业申请开展水运“抵港直装”的，在单一窗口指定的直提直装模块中增加“预约‘抵港直装’”—预约水运/铁路/空运‘抵港直装’功能。</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直提直装-预约抵港直装（单窗）-“抵港直装”海关进度查询</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对于进出口企业申请开展抵港直装的，中国国际贸易单一窗口展示货物在海关的进度与相应节点。</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直提直装-预约抵港直装（单窗）-推送“抵港直装”信息</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口企业申请开展“抵港直装”的，可根据运输方式（水运/铁路/公路），单一窗口根据数据对接统一技术标准，向对应监管作业场所（码头、铁路场站、机场）推送申请开展“抵港直装”的集装箱号/提单号。</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numPr>
                <w:ilvl w:val="0"/>
                <w:numId w:val="5"/>
              </w:numPr>
              <w:spacing w:line="360" w:lineRule="auto"/>
              <w:jc w:val="center"/>
              <w:textAlignment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直提直装-预约抵港直装（单窗）-“抵港直装”进度查询</w:t>
            </w:r>
          </w:p>
        </w:tc>
        <w:tc>
          <w:tcPr>
            <w:tcW w:w="3396" w:type="dxa"/>
            <w:tcBorders>
              <w:top w:val="single" w:sz="4" w:space="0" w:color="auto"/>
              <w:left w:val="single" w:sz="4" w:space="0" w:color="auto"/>
              <w:right w:val="single" w:sz="4" w:space="0" w:color="auto"/>
            </w:tcBorders>
            <w:vAlign w:val="center"/>
          </w:tcPr>
          <w:p>
            <w:pPr>
              <w:spacing w:line="360" w:lineRule="auto"/>
              <w:rPr>
                <w:rFonts w:cs="宋体"/>
              </w:rPr>
            </w:pPr>
            <w:r>
              <w:rPr>
                <w:rFonts w:cs="宋体" w:hint="eastAsia"/>
              </w:rPr>
              <w:t>对于进出口企业申请开展水运抵港直装的，单一窗口展示集装箱货物在码头/铁路场站/机场的进度与相应节点。</w:t>
            </w:r>
          </w:p>
        </w:tc>
        <w:tc>
          <w:tcPr>
            <w:tcW w:w="1303" w:type="dxa"/>
            <w:vAlign w:val="center"/>
          </w:tcPr>
          <w:p>
            <w:pPr>
              <w:widowControl/>
              <w:spacing w:line="360" w:lineRule="auto"/>
              <w:textAlignment w:val="center"/>
              <w:rPr>
                <w:rFonts w:cs="宋体"/>
              </w:rPr>
            </w:pPr>
            <w:r>
              <w:rPr>
                <w:rFonts w:cs="宋体" w:hint="eastAsia"/>
                <w:color w:val="000000"/>
              </w:rPr>
              <w:t>否</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numPr>
                <w:ilvl w:val="0"/>
                <w:numId w:val="5"/>
              </w:numPr>
              <w:spacing w:line="360" w:lineRule="auto"/>
              <w:jc w:val="center"/>
              <w:rPr>
                <w:rFonts w:cs="宋体"/>
              </w:rPr>
            </w:pPr>
          </w:p>
        </w:tc>
        <w:tc>
          <w:tcPr>
            <w:tcW w:w="1132" w:type="dxa"/>
            <w:tcBorders>
              <w:top w:val="single" w:sz="4" w:space="0" w:color="auto"/>
              <w:left w:val="single" w:sz="4" w:space="0" w:color="auto"/>
              <w:right w:val="single" w:sz="4" w:space="0" w:color="auto"/>
            </w:tcBorders>
            <w:vAlign w:val="center"/>
          </w:tcPr>
          <w:p>
            <w:pPr>
              <w:spacing w:line="360" w:lineRule="auto"/>
              <w:rPr>
                <w:rFonts w:cs="宋体"/>
              </w:rPr>
            </w:pPr>
          </w:p>
        </w:tc>
        <w:tc>
          <w:tcPr>
            <w:tcW w:w="1795" w:type="dxa"/>
            <w:tcBorders>
              <w:top w:val="single" w:sz="4" w:space="0" w:color="auto"/>
              <w:left w:val="single" w:sz="4" w:space="0" w:color="auto"/>
              <w:right w:val="single" w:sz="4" w:space="0" w:color="auto"/>
            </w:tcBorders>
            <w:vAlign w:val="center"/>
          </w:tcPr>
          <w:p>
            <w:pPr>
              <w:tabs>
                <w:tab w:val="left" w:pos="480"/>
                <w:tab w:val="left" w:pos="960"/>
                <w:tab w:val="left" w:pos="1440"/>
                <w:tab w:val="left" w:pos="1920"/>
                <w:tab w:val="left" w:pos="2400"/>
                <w:tab w:val="left" w:pos="2880"/>
                <w:tab w:val="left" w:pos="3360"/>
                <w:tab w:val="left" w:pos="3840"/>
                <w:tab w:val="left" w:pos="4320"/>
              </w:tabs>
              <w:spacing w:line="360" w:lineRule="auto"/>
              <w:jc w:val="center"/>
              <w:rPr>
                <w:rFonts w:cs="宋体"/>
                <w:spacing w:val="-4"/>
                <w:lang w:bidi="en-US"/>
              </w:rPr>
            </w:pPr>
            <w:r>
              <w:rPr>
                <w:rFonts w:cs="宋体" w:hint="eastAsia"/>
              </w:rPr>
              <w:t>非功能性要求</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spacing w:val="2"/>
              </w:rPr>
            </w:pPr>
            <w:r>
              <w:rPr>
                <w:rFonts w:cs="宋体" w:hint="eastAsia"/>
                <w:spacing w:val="2"/>
              </w:rPr>
              <w:t>1、运维保障等级：二级</w:t>
            </w:r>
          </w:p>
          <w:p>
            <w:pPr>
              <w:spacing w:line="360" w:lineRule="auto"/>
              <w:ind w:firstLine="420" w:firstLineChars="200"/>
              <w:rPr>
                <w:rFonts w:cs="宋体"/>
                <w:spacing w:val="2"/>
              </w:rPr>
            </w:pPr>
            <w:r>
              <w:rPr>
                <w:rFonts w:cs="宋体" w:hint="eastAsia"/>
                <w:spacing w:val="2"/>
              </w:rPr>
              <w:t>2、业务覆盖区域范围：全国</w:t>
            </w:r>
          </w:p>
          <w:p>
            <w:pPr>
              <w:spacing w:line="360" w:lineRule="auto"/>
              <w:ind w:firstLine="420" w:firstLineChars="200"/>
              <w:rPr>
                <w:rFonts w:cs="宋体"/>
                <w:spacing w:val="2"/>
              </w:rPr>
            </w:pPr>
            <w:r>
              <w:rPr>
                <w:rFonts w:cs="宋体" w:hint="eastAsia"/>
                <w:spacing w:val="2"/>
              </w:rPr>
              <w:t>3、用户类型：海关/进出口企业等</w:t>
            </w:r>
          </w:p>
          <w:p>
            <w:pPr>
              <w:spacing w:line="360" w:lineRule="auto"/>
              <w:ind w:firstLine="420" w:firstLineChars="200"/>
              <w:rPr>
                <w:rFonts w:cs="宋体"/>
                <w:spacing w:val="2"/>
              </w:rPr>
            </w:pPr>
            <w:r>
              <w:rPr>
                <w:rFonts w:cs="宋体" w:hint="eastAsia"/>
                <w:spacing w:val="2"/>
              </w:rPr>
              <w:t>4、业务类别：业务服务类</w:t>
            </w:r>
          </w:p>
          <w:p>
            <w:pPr>
              <w:spacing w:line="360" w:lineRule="auto"/>
              <w:ind w:firstLine="420" w:firstLineChars="200"/>
              <w:rPr>
                <w:rFonts w:cs="宋体"/>
                <w:spacing w:val="2"/>
              </w:rPr>
            </w:pPr>
            <w:r>
              <w:rPr>
                <w:rFonts w:cs="宋体" w:hint="eastAsia"/>
                <w:spacing w:val="2"/>
              </w:rPr>
              <w:t>5、系统功能应急方案制定情况：可以被其他系统或人工替代</w:t>
            </w:r>
          </w:p>
          <w:p>
            <w:pPr>
              <w:spacing w:line="360" w:lineRule="auto"/>
              <w:ind w:firstLine="420" w:firstLineChars="200"/>
              <w:rPr>
                <w:rFonts w:cs="宋体"/>
                <w:spacing w:val="2"/>
              </w:rPr>
            </w:pPr>
            <w:r>
              <w:rPr>
                <w:rFonts w:cs="宋体" w:hint="eastAsia"/>
                <w:spacing w:val="2"/>
              </w:rPr>
              <w:t>6、业务实时性：准实时类（T+0内完成交易处理）</w:t>
            </w:r>
          </w:p>
          <w:p>
            <w:pPr>
              <w:spacing w:line="360" w:lineRule="auto"/>
              <w:ind w:firstLine="420" w:firstLineChars="200"/>
              <w:rPr>
                <w:rFonts w:cs="宋体"/>
                <w:spacing w:val="2"/>
              </w:rPr>
            </w:pPr>
            <w:r>
              <w:rPr>
                <w:rFonts w:cs="宋体" w:hint="eastAsia"/>
                <w:spacing w:val="2"/>
              </w:rPr>
              <w:t>7、系统服务时间：7*24</w:t>
            </w:r>
          </w:p>
          <w:p>
            <w:pPr>
              <w:spacing w:line="360" w:lineRule="auto"/>
              <w:ind w:firstLine="420" w:firstLineChars="200"/>
              <w:rPr>
                <w:rFonts w:cs="宋体"/>
                <w:spacing w:val="2"/>
              </w:rPr>
            </w:pPr>
            <w:r>
              <w:rPr>
                <w:rFonts w:cs="宋体" w:hint="eastAsia"/>
                <w:spacing w:val="2"/>
              </w:rPr>
              <w:t>8、业务高峰时段：上午9点到12点，下午2点到5点</w:t>
            </w:r>
          </w:p>
          <w:p>
            <w:pPr>
              <w:spacing w:line="360" w:lineRule="auto"/>
              <w:ind w:firstLine="420" w:firstLineChars="200"/>
              <w:rPr>
                <w:rFonts w:cs="宋体"/>
                <w:spacing w:val="2"/>
              </w:rPr>
            </w:pPr>
            <w:r>
              <w:rPr>
                <w:rFonts w:cs="宋体" w:hint="eastAsia"/>
                <w:spacing w:val="2"/>
              </w:rPr>
              <w:t>9、灾难情况下核心/非核心服务中断不可容忍时间：容忍时间小于4小时</w:t>
            </w:r>
          </w:p>
          <w:p>
            <w:pPr>
              <w:spacing w:line="360" w:lineRule="auto"/>
              <w:ind w:firstLine="420" w:firstLineChars="200"/>
              <w:rPr>
                <w:rFonts w:cs="宋体"/>
                <w:spacing w:val="2"/>
              </w:rPr>
            </w:pPr>
            <w:r>
              <w:rPr>
                <w:rFonts w:cs="宋体" w:hint="eastAsia"/>
                <w:spacing w:val="2"/>
              </w:rPr>
              <w:t>10、灾难情况下核心/非核心功能故障允许丢失多长时间数据：容忍时间不大于1小时</w:t>
            </w:r>
          </w:p>
          <w:p>
            <w:pPr>
              <w:spacing w:line="360" w:lineRule="auto"/>
              <w:ind w:firstLine="420" w:firstLineChars="200"/>
              <w:rPr>
                <w:rFonts w:cs="宋体"/>
                <w:spacing w:val="2"/>
              </w:rPr>
            </w:pPr>
            <w:r>
              <w:rPr>
                <w:rFonts w:cs="宋体" w:hint="eastAsia"/>
                <w:spacing w:val="2"/>
              </w:rPr>
              <w:t>11、数据不可追溯性：数据丢失，部分数据可以通过技术手段追补</w:t>
            </w:r>
          </w:p>
          <w:p>
            <w:pPr>
              <w:spacing w:line="360" w:lineRule="auto"/>
              <w:ind w:firstLine="420" w:firstLineChars="200"/>
              <w:rPr>
                <w:rFonts w:cs="宋体"/>
                <w:spacing w:val="2"/>
              </w:rPr>
            </w:pPr>
            <w:r>
              <w:rPr>
                <w:rFonts w:cs="宋体" w:hint="eastAsia"/>
                <w:spacing w:val="2"/>
              </w:rPr>
              <w:t>12、基于现有的海关外网基础环境，系统应满足常规的性能处理标准，并确保在一年/三年内的高峰日及高峰时段内，具备优越的联机交易处理能力，不低于50笔/秒，保障海关工作的顺畅进行。</w:t>
            </w:r>
          </w:p>
          <w:p>
            <w:pPr>
              <w:spacing w:line="360" w:lineRule="auto"/>
              <w:ind w:firstLine="420" w:firstLineChars="200"/>
              <w:rPr>
                <w:rFonts w:cs="宋体"/>
                <w:spacing w:val="2"/>
              </w:rPr>
            </w:pPr>
            <w:r>
              <w:rPr>
                <w:rFonts w:cs="宋体" w:hint="eastAsia"/>
                <w:spacing w:val="2"/>
              </w:rPr>
              <w:t>13、数据生命周期：3年</w:t>
            </w:r>
          </w:p>
          <w:p>
            <w:pPr>
              <w:spacing w:line="360" w:lineRule="auto"/>
              <w:ind w:firstLine="420" w:firstLineChars="200"/>
              <w:rPr>
                <w:rFonts w:cs="宋体"/>
                <w:spacing w:val="2"/>
              </w:rPr>
            </w:pPr>
            <w:r>
              <w:rPr>
                <w:rFonts w:cs="宋体" w:hint="eastAsia"/>
                <w:spacing w:val="2"/>
              </w:rPr>
              <w:t>14、典型交易响应时间：响应时效不超过3秒</w:t>
            </w:r>
          </w:p>
          <w:p>
            <w:pPr>
              <w:spacing w:line="360" w:lineRule="auto"/>
              <w:ind w:firstLine="420" w:firstLineChars="200"/>
              <w:rPr>
                <w:rFonts w:cs="宋体"/>
                <w:spacing w:val="2"/>
              </w:rPr>
            </w:pPr>
            <w:r>
              <w:rPr>
                <w:rFonts w:cs="宋体" w:hint="eastAsia"/>
                <w:spacing w:val="2"/>
              </w:rPr>
              <w:t>15、应用架构类型：部委联网类</w:t>
            </w:r>
          </w:p>
          <w:p>
            <w:pPr>
              <w:spacing w:line="360" w:lineRule="auto"/>
              <w:ind w:firstLine="420" w:firstLineChars="200"/>
              <w:rPr>
                <w:rFonts w:cs="宋体"/>
                <w:spacing w:val="2"/>
              </w:rPr>
            </w:pPr>
            <w:r>
              <w:rPr>
                <w:rFonts w:cs="宋体" w:hint="eastAsia"/>
                <w:spacing w:val="2"/>
              </w:rPr>
              <w:t>16、数据类型及敏感度：</w:t>
            </w:r>
            <w:r>
              <w:rPr>
                <w:rFonts w:cs="宋体" w:hint="eastAsia"/>
              </w:rPr>
              <w:t>不涉及敏感数据</w:t>
            </w:r>
          </w:p>
          <w:p>
            <w:pPr>
              <w:spacing w:line="360" w:lineRule="auto"/>
              <w:ind w:firstLine="420" w:firstLineChars="200"/>
              <w:rPr>
                <w:rFonts w:cs="宋体"/>
                <w:spacing w:val="2"/>
              </w:rPr>
            </w:pPr>
            <w:r>
              <w:rPr>
                <w:rFonts w:cs="宋体" w:hint="eastAsia"/>
                <w:spacing w:val="2"/>
              </w:rPr>
              <w:t>17、“节点处理模式类别”：联机交易处理系统</w:t>
            </w:r>
          </w:p>
          <w:p>
            <w:pPr>
              <w:spacing w:line="360" w:lineRule="auto"/>
              <w:ind w:firstLine="420" w:firstLineChars="200"/>
              <w:rPr>
                <w:rFonts w:cs="宋体"/>
              </w:rPr>
            </w:pPr>
            <w:r>
              <w:rPr>
                <w:rFonts w:cs="宋体" w:hint="eastAsia"/>
                <w:spacing w:val="2"/>
              </w:rPr>
              <w:t>18、系统架构模式类别：B/S</w:t>
            </w:r>
          </w:p>
        </w:tc>
        <w:tc>
          <w:tcPr>
            <w:tcW w:w="1303" w:type="dxa"/>
            <w:vAlign w:val="center"/>
          </w:tcPr>
          <w:p>
            <w:pPr>
              <w:pStyle w:val="Header"/>
              <w:tabs>
                <w:tab w:val="center" w:pos="4153"/>
                <w:tab w:val="right" w:pos="8306"/>
              </w:tabs>
              <w:spacing w:line="360" w:lineRule="auto"/>
              <w:rPr>
                <w:rFonts w:cs="宋体"/>
                <w:sz w:val="24"/>
              </w:rPr>
            </w:pPr>
          </w:p>
          <w:p>
            <w:pPr>
              <w:pStyle w:val="Header"/>
              <w:tabs>
                <w:tab w:val="center" w:pos="4153"/>
                <w:tab w:val="right" w:pos="8306"/>
              </w:tabs>
              <w:spacing w:line="360" w:lineRule="auto"/>
              <w:rPr>
                <w:rFonts w:cs="宋体"/>
              </w:rPr>
            </w:pPr>
            <w:r>
              <w:rPr>
                <w:rFonts w:cs="宋体" w:hint="eastAsia"/>
                <w:sz w:val="24"/>
              </w:rPr>
              <w:t>否</w:t>
            </w:r>
          </w:p>
        </w:tc>
      </w:tr>
    </w:tbl>
    <w:p>
      <w:pPr>
        <w:pStyle w:val="Header"/>
        <w:tabs>
          <w:tab w:val="center" w:pos="4153"/>
          <w:tab w:val="right" w:pos="8306"/>
        </w:tabs>
      </w:pPr>
    </w:p>
    <w:p>
      <w:pPr>
        <w:pStyle w:val="TOC7"/>
        <w:numPr>
          <w:ilvl w:val="0"/>
          <w:numId w:val="2"/>
        </w:numPr>
        <w:rPr>
          <w:rFonts w:ascii="宋体" w:hAnsi="宋体" w:hint="eastAsia"/>
        </w:rPr>
      </w:pPr>
      <w:bookmarkStart w:id="42" w:name="服务要求"/>
      <w:r>
        <w:rPr>
          <w:rFonts w:ascii="宋体" w:hAnsi="宋体" w:hint="eastAsia"/>
        </w:rPr>
        <w:t>服务要求</w:t>
      </w:r>
      <w:bookmarkEnd w:id="42"/>
    </w:p>
    <w:p>
      <w:pPr>
        <w:spacing w:line="360" w:lineRule="auto"/>
      </w:pPr>
      <w:r>
        <w:rPr>
          <w:rFonts w:hint="eastAsia"/>
        </w:rPr>
        <w:t>①★代表实质性指标，不满足该指标项将导致投标被拒绝；加 “▲”标记表示为重要指标项，无标识则表示一般指标项，如不满足将影响评分。</w:t>
      </w:r>
    </w:p>
    <w:p>
      <w:pPr>
        <w:spacing w:line="360" w:lineRule="auto"/>
      </w:pPr>
      <w:r>
        <w:rPr>
          <w:rFonts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3396"/>
        <w:gridCol w:w="1303"/>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vAlign w:val="center"/>
          </w:tcPr>
          <w:p>
            <w:pPr>
              <w:jc w:val="center"/>
              <w:rPr>
                <w:rFonts w:cs="宋体"/>
                <w:b/>
              </w:rPr>
            </w:pPr>
            <w:r>
              <w:rPr>
                <w:rFonts w:cs="宋体" w:hint="eastAsia"/>
                <w:b/>
              </w:rPr>
              <w:t>序号</w:t>
            </w:r>
          </w:p>
        </w:tc>
        <w:tc>
          <w:tcPr>
            <w:tcW w:w="1132" w:type="dxa"/>
            <w:shd w:val="clear" w:color="A6A6A6" w:fill="A6A6A6"/>
            <w:vAlign w:val="center"/>
          </w:tcPr>
          <w:p>
            <w:pPr>
              <w:jc w:val="center"/>
              <w:rPr>
                <w:rFonts w:cs="宋体"/>
                <w:b/>
              </w:rPr>
            </w:pPr>
            <w:r>
              <w:rPr>
                <w:rFonts w:cs="宋体" w:hint="eastAsia"/>
                <w:b/>
              </w:rPr>
              <w:t>内容</w:t>
            </w:r>
          </w:p>
        </w:tc>
        <w:tc>
          <w:tcPr>
            <w:tcW w:w="1795" w:type="dxa"/>
            <w:shd w:val="clear" w:color="A6A6A6" w:fill="A6A6A6"/>
            <w:vAlign w:val="center"/>
          </w:tcPr>
          <w:p>
            <w:pPr>
              <w:jc w:val="center"/>
              <w:rPr>
                <w:rFonts w:cs="宋体"/>
                <w:b/>
              </w:rPr>
            </w:pPr>
            <w:r>
              <w:rPr>
                <w:rFonts w:cs="宋体" w:hint="eastAsia"/>
                <w:b/>
              </w:rPr>
              <w:t>重要性</w:t>
            </w:r>
          </w:p>
        </w:tc>
        <w:tc>
          <w:tcPr>
            <w:tcW w:w="3396" w:type="dxa"/>
            <w:shd w:val="clear" w:color="A6A6A6" w:fill="A6A6A6"/>
            <w:vAlign w:val="center"/>
          </w:tcPr>
          <w:p>
            <w:pPr>
              <w:jc w:val="center"/>
              <w:rPr>
                <w:rFonts w:cs="宋体"/>
                <w:b/>
              </w:rPr>
            </w:pPr>
            <w:r>
              <w:rPr>
                <w:rFonts w:cs="宋体" w:hint="eastAsia"/>
                <w:b/>
              </w:rPr>
              <w:t>服务要求标准</w:t>
            </w:r>
          </w:p>
        </w:tc>
        <w:tc>
          <w:tcPr>
            <w:tcW w:w="1303" w:type="dxa"/>
            <w:shd w:val="clear" w:color="A6A6A6" w:fill="A6A6A6"/>
          </w:tcPr>
          <w:p>
            <w:pPr>
              <w:jc w:val="center"/>
              <w:rPr>
                <w:rFonts w:cs="宋体"/>
                <w:b/>
              </w:rPr>
            </w:pPr>
            <w:r>
              <w:rPr>
                <w:rFonts w:cs="宋体" w:hint="eastAsia"/>
                <w:b/>
              </w:rPr>
              <w:t>证明材料要求</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numPr>
                <w:ilvl w:val="0"/>
                <w:numId w:val="21"/>
              </w:numPr>
              <w:spacing w:line="360" w:lineRule="auto"/>
              <w:ind w:left="0" w:firstLine="0"/>
              <w:jc w:val="center"/>
            </w:pP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售后服务承诺函</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售后服务内容包括但不限于已交付内容的缺陷修复、性能调整、故障修复、问题处理、技术支持等。</w:t>
            </w:r>
          </w:p>
        </w:tc>
        <w:tc>
          <w:tcPr>
            <w:tcW w:w="1303" w:type="dxa"/>
            <w:vAlign w:val="center"/>
          </w:tcPr>
          <w:p>
            <w:pPr>
              <w:spacing w:line="360" w:lineRule="auto"/>
              <w:jc w:val="cente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57"/>
          <w:jc w:val="left"/>
        </w:trPr>
        <w:tc>
          <w:tcPr>
            <w:tcW w:w="893" w:type="dxa"/>
            <w:vAlign w:val="center"/>
          </w:tcPr>
          <w:p>
            <w:pPr>
              <w:numPr>
                <w:ilvl w:val="0"/>
                <w:numId w:val="21"/>
              </w:numPr>
              <w:spacing w:line="360" w:lineRule="auto"/>
              <w:ind w:left="0" w:firstLine="0"/>
              <w:jc w:val="center"/>
            </w:pP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驻场人员要求</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1、投标人应根据采购人要求驻场提供服务。</w:t>
            </w:r>
          </w:p>
          <w:p>
            <w:pPr>
              <w:spacing w:line="360" w:lineRule="auto"/>
              <w:ind w:firstLine="420" w:firstLineChars="200"/>
              <w:rPr>
                <w:rFonts w:cs="宋体"/>
                <w:color w:val="FF0000"/>
              </w:rPr>
            </w:pPr>
            <w:r>
              <w:rPr>
                <w:rFonts w:cs="宋体" w:hint="eastAsia"/>
              </w:rPr>
              <w:t>2、驻场期间，投标人应自备计算机等研发和网络设备，根据海关相关安全管理要求，研发设备需通过安全检查后、通过专有网络接入专用开发环境；</w:t>
            </w:r>
            <w:r>
              <w:rPr>
                <w:rFonts w:cs="宋体" w:hint="eastAsia"/>
                <w:color w:val="000000"/>
              </w:rPr>
              <w:t>驻场结束后</w:t>
            </w:r>
            <w:r>
              <w:rPr>
                <w:rFonts w:cs="宋体"/>
                <w:color w:val="000000"/>
              </w:rPr>
              <w:t>项目材料</w:t>
            </w:r>
            <w:r>
              <w:rPr>
                <w:rFonts w:cs="宋体" w:hint="eastAsia"/>
                <w:color w:val="000000"/>
              </w:rPr>
              <w:t>归采购人所有，研发和网络设备需脱敏后方可带离驻场场地。</w:t>
            </w:r>
          </w:p>
          <w:p>
            <w:pPr>
              <w:spacing w:line="360" w:lineRule="auto"/>
              <w:ind w:firstLine="420" w:firstLineChars="200"/>
              <w:rPr>
                <w:rFonts w:cs="宋体"/>
              </w:rPr>
            </w:pPr>
            <w:r>
              <w:rPr>
                <w:rFonts w:cs="宋体" w:hint="eastAsia"/>
              </w:rPr>
              <w:t>3、投标人服务人员驻场期间，应严格遵守采购人各项管理制度，包括工作制度、项目进度、项目管理制度、内部安全管理要求、安全生产管理、数据安全管理的相关要求。</w:t>
            </w:r>
          </w:p>
          <w:p>
            <w:pPr>
              <w:spacing w:line="360" w:lineRule="auto"/>
              <w:ind w:firstLine="420" w:firstLineChars="200"/>
              <w:rPr>
                <w:rFonts w:cs="宋体"/>
              </w:rPr>
            </w:pPr>
            <w:r>
              <w:rPr>
                <w:rFonts w:cs="宋体" w:hint="eastAsia"/>
              </w:rPr>
              <w:t>4、驻场人员</w:t>
            </w:r>
          </w:p>
          <w:p>
            <w:pPr>
              <w:spacing w:line="360" w:lineRule="auto"/>
              <w:rPr>
                <w:rFonts w:cs="宋体"/>
              </w:rPr>
            </w:pPr>
            <w:r>
              <w:rPr>
                <w:rFonts w:cs="宋体" w:hint="eastAsia"/>
              </w:rPr>
              <w:t>投标人应提供本项目实施的</w:t>
            </w:r>
            <w:r>
              <w:rPr>
                <w:rFonts w:cs="宋体" w:hint="eastAsia"/>
                <w:color w:val="000000"/>
              </w:rPr>
              <w:t>人员</w:t>
            </w:r>
            <w:r>
              <w:rPr>
                <w:rFonts w:cs="宋体"/>
                <w:color w:val="000000"/>
              </w:rPr>
              <w:t>团队</w:t>
            </w:r>
            <w:r>
              <w:rPr>
                <w:rFonts w:cs="宋体" w:hint="eastAsia"/>
                <w:color w:val="000000"/>
              </w:rPr>
              <w:t>方案</w:t>
            </w:r>
            <w:r>
              <w:rPr>
                <w:rFonts w:cs="宋体" w:hint="eastAsia"/>
              </w:rPr>
              <w:t>，要求如下：</w:t>
            </w:r>
          </w:p>
          <w:p>
            <w:pPr>
              <w:spacing w:line="360" w:lineRule="auto"/>
              <w:rPr>
                <w:rFonts w:cs="宋体"/>
              </w:rPr>
            </w:pPr>
            <w:r>
              <w:rPr>
                <w:rFonts w:cs="宋体" w:hint="eastAsia"/>
              </w:rPr>
              <w:t>（1）项目实施期间配置具有项目开发优势的人力资源，项目团队核心人员按要求驻场，且人数不少于15人（根据项目阶段提供不同人员的驻场服务，包括不限于：项目经理不少于1人、设计工程师不少于2人、需求工程师不少于4人、开发工程师不少于5人、测试工程师不少于3人。驻场人数按照采购人实际要求调整）。售后服务期间驻场团队不少于8人。</w:t>
            </w:r>
          </w:p>
          <w:p>
            <w:pPr>
              <w:spacing w:line="360" w:lineRule="auto"/>
              <w:ind w:firstLine="420" w:firstLineChars="200"/>
              <w:rPr>
                <w:rFonts w:cs="宋体"/>
              </w:rPr>
            </w:pPr>
            <w:r>
              <w:rPr>
                <w:rFonts w:cs="宋体" w:hint="eastAsia"/>
              </w:rPr>
              <w:t>（2）明确项目人员在本项目中的岗位职责、任职资格及管理权限，重点明确项目经理调动相关资源的权利，以确保项目顺利交付。</w:t>
            </w:r>
          </w:p>
          <w:p>
            <w:pPr>
              <w:spacing w:line="360" w:lineRule="auto"/>
              <w:ind w:firstLine="420" w:firstLineChars="200"/>
              <w:rPr>
                <w:rFonts w:cs="宋体"/>
              </w:rPr>
            </w:pPr>
            <w:r>
              <w:rPr>
                <w:rFonts w:cs="宋体" w:hint="eastAsia"/>
              </w:rPr>
              <w:t>（3）为保证项目正常进行，须保证项目人员相对固定，除采购人批准外，不得更换项目经理、核心技术人员。</w:t>
            </w:r>
          </w:p>
          <w:p>
            <w:pPr>
              <w:spacing w:line="360" w:lineRule="auto"/>
              <w:ind w:firstLine="420" w:firstLineChars="200"/>
              <w:rPr>
                <w:rFonts w:cs="宋体"/>
              </w:rPr>
            </w:pPr>
            <w:r>
              <w:rPr>
                <w:rFonts w:cs="宋体" w:hint="eastAsia"/>
              </w:rPr>
              <w:t>（4）采购人在系统开发过程中，可指派专人监督、审核驻场人员在各个阶段安全要求的执行情况。</w:t>
            </w:r>
          </w:p>
          <w:p>
            <w:pPr>
              <w:spacing w:line="360" w:lineRule="auto"/>
              <w:ind w:firstLine="420" w:firstLineChars="200"/>
            </w:pPr>
            <w:r>
              <w:rPr>
                <w:rFonts w:cs="宋体" w:hint="eastAsia"/>
              </w:rPr>
              <w:t>（5）驻场人员不得将系统采用的关键安全技术措施和核心安全功能设计对外公开。</w:t>
            </w:r>
          </w:p>
        </w:tc>
        <w:tc>
          <w:tcPr>
            <w:tcW w:w="1303" w:type="dxa"/>
            <w:vAlign w:val="center"/>
          </w:tcPr>
          <w:p>
            <w:pPr>
              <w:spacing w:line="360" w:lineRule="auto"/>
              <w:jc w:val="cente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79"/>
          <w:jc w:val="left"/>
        </w:trPr>
        <w:tc>
          <w:tcPr>
            <w:tcW w:w="893" w:type="dxa"/>
            <w:vAlign w:val="center"/>
          </w:tcPr>
          <w:p>
            <w:pPr>
              <w:numPr>
                <w:ilvl w:val="0"/>
                <w:numId w:val="21"/>
              </w:numPr>
              <w:spacing w:line="360" w:lineRule="auto"/>
              <w:ind w:left="0" w:firstLine="0"/>
              <w:jc w:val="center"/>
            </w:pP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投标人服务标准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rPr>
            </w:pPr>
            <w:r>
              <w:rPr>
                <w:rFonts w:cs="宋体" w:hint="eastAsia"/>
              </w:rPr>
              <w:t>1、实施标准</w:t>
            </w:r>
          </w:p>
          <w:p>
            <w:pPr>
              <w:spacing w:line="360" w:lineRule="auto"/>
              <w:ind w:firstLine="420" w:firstLineChars="200"/>
              <w:rPr>
                <w:rFonts w:cs="宋体"/>
              </w:rPr>
            </w:pPr>
            <w:r>
              <w:rPr>
                <w:rFonts w:cs="宋体" w:hint="eastAsia"/>
              </w:rPr>
              <w:t>（1）实施阶段，投标人服务人员根据采购人要求进行驻场服务。投标人应保持项目团队核心成员的稳定性，未经采购人许可不得随便调整项目团队成员。</w:t>
            </w:r>
          </w:p>
          <w:p>
            <w:pPr>
              <w:spacing w:line="360" w:lineRule="auto"/>
              <w:ind w:firstLine="420" w:firstLineChars="200"/>
              <w:rPr>
                <w:rFonts w:cs="宋体"/>
              </w:rPr>
            </w:pPr>
            <w:r>
              <w:rPr>
                <w:rFonts w:cs="宋体" w:hint="eastAsia"/>
              </w:rPr>
              <w:t>（2）本项目执行过程中，项目经理及核心团队成员自始至终专职承担本项目相应工作。</w:t>
            </w:r>
          </w:p>
          <w:p>
            <w:pPr>
              <w:spacing w:line="360" w:lineRule="auto"/>
              <w:ind w:firstLine="420" w:firstLineChars="200"/>
              <w:rPr>
                <w:rFonts w:cs="宋体"/>
              </w:rPr>
            </w:pPr>
            <w:r>
              <w:rPr>
                <w:rFonts w:cs="宋体" w:hint="eastAsia"/>
              </w:rPr>
              <w:t>（3）售后服务标准：</w:t>
            </w:r>
          </w:p>
          <w:p>
            <w:pPr>
              <w:spacing w:line="360" w:lineRule="auto"/>
              <w:ind w:firstLine="420" w:firstLineChars="200"/>
              <w:rPr>
                <w:rFonts w:cs="宋体"/>
              </w:rPr>
            </w:pPr>
            <w:r>
              <w:rPr>
                <w:rFonts w:cs="宋体" w:hint="eastAsia"/>
              </w:rPr>
              <w:t>售后服务阶段，投标人提供5×8小时（工作日9：00-17：00）驻场运维服务；7×24小时电话、邮件、即时通讯工具等远程技术支持服务；7×24小时故障响应服务。</w:t>
            </w:r>
          </w:p>
          <w:p>
            <w:pPr>
              <w:spacing w:line="360" w:lineRule="auto"/>
              <w:ind w:firstLine="420" w:firstLineChars="200"/>
              <w:rPr>
                <w:rFonts w:cs="宋体"/>
              </w:rPr>
            </w:pPr>
            <w:r>
              <w:rPr>
                <w:rFonts w:cs="宋体" w:hint="eastAsia"/>
              </w:rPr>
              <w:t>2、服务效率</w:t>
            </w:r>
          </w:p>
          <w:p>
            <w:pPr>
              <w:spacing w:line="360" w:lineRule="auto"/>
              <w:ind w:firstLine="420" w:firstLineChars="200"/>
              <w:rPr>
                <w:rFonts w:cs="宋体"/>
              </w:rPr>
            </w:pPr>
            <w:r>
              <w:rPr>
                <w:rFonts w:cs="宋体" w:hint="eastAsia"/>
              </w:rPr>
              <w:t>远程技术支持服务：投标人接到采购人提出问题后24小时内给出处理意见（如遇非工作日，则顺延）。</w:t>
            </w:r>
          </w:p>
          <w:p>
            <w:pPr>
              <w:spacing w:line="360" w:lineRule="auto"/>
              <w:ind w:firstLine="420" w:firstLineChars="200"/>
            </w:pPr>
            <w:r>
              <w:rPr>
                <w:rFonts w:cs="宋体" w:hint="eastAsia"/>
              </w:rPr>
              <w:t>故障响应服务：售后服务阶段，投标人应提供7×24小时故障响应服务，投标人通过电话、邮件、即时通讯工具等方式接到采购人报修后，业务高峰期应在1个小时内修复故障，非业务高峰期应在2个小时内修复故障。</w:t>
            </w:r>
          </w:p>
        </w:tc>
        <w:tc>
          <w:tcPr>
            <w:tcW w:w="1303" w:type="dxa"/>
            <w:vAlign w:val="center"/>
          </w:tcPr>
          <w:p>
            <w:pPr>
              <w:spacing w:line="360" w:lineRule="auto"/>
              <w:jc w:val="cente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4</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软件制造商服务标准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vAlign w:val="center"/>
          </w:tcPr>
          <w:p>
            <w:pPr>
              <w:tabs>
                <w:tab w:val="left" w:pos="709"/>
              </w:tabs>
              <w:spacing w:line="360" w:lineRule="auto"/>
              <w:ind w:firstLine="464"/>
              <w:rPr>
                <w:color w:val="FF0000"/>
              </w:rPr>
            </w:pPr>
            <w:r>
              <w:rPr>
                <w:rFonts w:hint="eastAsia"/>
              </w:rPr>
              <w:t>无</w:t>
            </w:r>
          </w:p>
        </w:tc>
        <w:tc>
          <w:tcPr>
            <w:tcW w:w="1303" w:type="dxa"/>
            <w:vAlign w:val="center"/>
          </w:tcPr>
          <w:p>
            <w:pPr>
              <w:spacing w:line="360" w:lineRule="auto"/>
              <w:jc w:val="cente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5</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人员资格标准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vAlign w:val="center"/>
          </w:tcPr>
          <w:p>
            <w:pPr>
              <w:pStyle w:val="TOC1"/>
              <w:spacing w:line="360" w:lineRule="auto"/>
              <w:ind w:firstLine="400" w:firstLineChars="200"/>
              <w:rPr>
                <w:rFonts w:cs="宋体"/>
              </w:rPr>
            </w:pPr>
            <w:r>
              <w:rPr>
                <w:rFonts w:cs="宋体" w:hint="eastAsia"/>
              </w:rPr>
              <w:t>项目团队人员资格标准如下：</w:t>
            </w:r>
          </w:p>
          <w:p>
            <w:pPr>
              <w:pStyle w:val="TOC1"/>
              <w:spacing w:line="360" w:lineRule="auto"/>
              <w:ind w:firstLine="400" w:firstLineChars="200"/>
              <w:rPr>
                <w:rFonts w:cs="宋体"/>
              </w:rPr>
            </w:pPr>
            <w:r>
              <w:rPr>
                <w:rFonts w:cs="宋体" w:hint="eastAsia"/>
              </w:rPr>
              <w:t>（1）项目经理</w:t>
            </w:r>
          </w:p>
          <w:p>
            <w:pPr>
              <w:spacing w:line="360" w:lineRule="auto"/>
              <w:ind w:firstLine="420" w:firstLineChars="200"/>
              <w:rPr>
                <w:rFonts w:cs="宋体"/>
              </w:rPr>
            </w:pPr>
            <w:r>
              <w:rPr>
                <w:rFonts w:cs="宋体" w:hint="eastAsia"/>
              </w:rPr>
              <w:t>不少于1人；</w:t>
            </w:r>
          </w:p>
          <w:p>
            <w:pPr>
              <w:spacing w:line="360" w:lineRule="auto"/>
              <w:ind w:firstLine="420" w:firstLineChars="200"/>
              <w:rPr>
                <w:rFonts w:cs="宋体"/>
                <w:color w:val="FF0000"/>
              </w:rPr>
            </w:pPr>
            <w:r>
              <w:rPr>
                <w:rFonts w:cs="宋体" w:hint="eastAsia"/>
              </w:rPr>
              <w:t>具有</w:t>
            </w:r>
            <w:r>
              <w:rPr>
                <w:rFonts w:cs="宋体"/>
              </w:rPr>
              <w:t>10</w:t>
            </w:r>
            <w:r>
              <w:rPr>
                <w:rFonts w:cs="宋体" w:hint="eastAsia"/>
              </w:rPr>
              <w:t>年（含）以上信息化系统建设项目开发及管理经验，能够与用户进行良好的沟通，担任同等角色；至少具备</w:t>
            </w:r>
            <w:r>
              <w:rPr>
                <w:rFonts w:cs="宋体" w:hint="eastAsia"/>
                <w:color w:val="000000"/>
              </w:rPr>
              <w:t>“信息系统项目管理师（高级）”</w:t>
            </w:r>
            <w:r>
              <w:rPr>
                <w:rFonts w:cs="宋体"/>
                <w:color w:val="000000"/>
              </w:rPr>
              <w:t>证书</w:t>
            </w:r>
          </w:p>
          <w:p>
            <w:pPr>
              <w:spacing w:line="360" w:lineRule="auto"/>
              <w:ind w:firstLine="420" w:firstLineChars="200"/>
              <w:rPr>
                <w:rFonts w:cs="宋体"/>
              </w:rPr>
            </w:pPr>
            <w:r>
              <w:rPr>
                <w:rFonts w:cs="宋体" w:hint="eastAsia"/>
              </w:rPr>
              <w:t>具备良好的团队协作精神，能利用自身技术能力提升团队整体研发效率，提高团队影响力。</w:t>
            </w:r>
          </w:p>
          <w:p>
            <w:pPr>
              <w:pStyle w:val="TOC1"/>
              <w:spacing w:line="360" w:lineRule="auto"/>
              <w:ind w:firstLine="400" w:firstLineChars="200"/>
              <w:rPr>
                <w:rFonts w:cs="宋体"/>
              </w:rPr>
            </w:pPr>
            <w:r>
              <w:rPr>
                <w:rFonts w:cs="宋体" w:hint="eastAsia"/>
              </w:rPr>
              <w:t>（2）设计工程师</w:t>
            </w:r>
          </w:p>
          <w:p>
            <w:pPr>
              <w:spacing w:line="360" w:lineRule="auto"/>
              <w:ind w:firstLine="420" w:firstLineChars="200"/>
              <w:rPr>
                <w:rFonts w:cs="宋体"/>
              </w:rPr>
            </w:pPr>
            <w:r>
              <w:rPr>
                <w:rFonts w:cs="宋体" w:hint="eastAsia"/>
              </w:rPr>
              <w:t>不少于10人；</w:t>
            </w:r>
          </w:p>
          <w:p>
            <w:pPr>
              <w:spacing w:line="360" w:lineRule="auto"/>
              <w:ind w:firstLine="420" w:firstLineChars="200"/>
              <w:rPr>
                <w:rFonts w:cs="宋体"/>
              </w:rPr>
            </w:pPr>
            <w:r>
              <w:rPr>
                <w:rFonts w:cs="宋体" w:hint="eastAsia"/>
              </w:rPr>
              <w:t>精通Java语言，从事Java应用系统软件开发5年（含）以上，有信息化系统建设或维护经验，担任同等角色；</w:t>
            </w:r>
          </w:p>
          <w:p>
            <w:pPr>
              <w:spacing w:line="360" w:lineRule="auto"/>
              <w:ind w:firstLine="420" w:firstLineChars="200"/>
              <w:rPr>
                <w:rFonts w:cs="宋体"/>
              </w:rPr>
            </w:pPr>
            <w:r>
              <w:rPr>
                <w:rFonts w:cs="宋体" w:hint="eastAsia"/>
              </w:rPr>
              <w:t>精通常用开源框架；精通数据库及SQL调优；熟悉前端技术和常用前端框架，对前端工程化与模块化开发有一定了解；</w:t>
            </w:r>
          </w:p>
          <w:p>
            <w:pPr>
              <w:spacing w:line="360" w:lineRule="auto"/>
              <w:ind w:firstLine="420" w:firstLineChars="200"/>
              <w:rPr>
                <w:rFonts w:cs="宋体"/>
              </w:rPr>
            </w:pPr>
            <w:r>
              <w:rPr>
                <w:rFonts w:cs="宋体" w:hint="eastAsia"/>
              </w:rPr>
              <w:t>具备系统架构设计能力、项目实施能力，能够与用户进行良好的沟通；</w:t>
            </w:r>
            <w:r>
              <w:rPr>
                <w:rFonts w:cs="宋体"/>
              </w:rPr>
              <w:t>不少于1人</w:t>
            </w:r>
            <w:r>
              <w:rPr>
                <w:rFonts w:cs="宋体" w:hint="eastAsia"/>
              </w:rPr>
              <w:t>具有“</w:t>
            </w:r>
            <w:r>
              <w:rPr>
                <w:rFonts w:cs="宋体" w:hint="eastAsia"/>
                <w:color w:val="000000"/>
              </w:rPr>
              <w:t>系统架构设计师（高级）”证书</w:t>
            </w:r>
            <w:r>
              <w:rPr>
                <w:rFonts w:cs="宋体" w:hint="eastAsia"/>
              </w:rPr>
              <w:t>。</w:t>
            </w:r>
          </w:p>
          <w:p>
            <w:pPr>
              <w:spacing w:line="360" w:lineRule="auto"/>
              <w:ind w:firstLine="420" w:firstLineChars="200"/>
              <w:rPr>
                <w:rFonts w:cs="宋体"/>
              </w:rPr>
            </w:pPr>
            <w:r>
              <w:rPr>
                <w:rFonts w:cs="宋体" w:hint="eastAsia"/>
              </w:rPr>
              <w:t>具备良好的编程习惯、文档写作及管理能力。</w:t>
            </w:r>
          </w:p>
          <w:p>
            <w:pPr>
              <w:pStyle w:val="TOC1"/>
              <w:spacing w:line="360" w:lineRule="auto"/>
              <w:ind w:firstLine="400" w:firstLineChars="200"/>
              <w:rPr>
                <w:rFonts w:cs="宋体"/>
              </w:rPr>
            </w:pPr>
            <w:r>
              <w:rPr>
                <w:rFonts w:cs="宋体" w:hint="eastAsia"/>
              </w:rPr>
              <w:t>（3）需求工程师</w:t>
            </w:r>
          </w:p>
          <w:p>
            <w:pPr>
              <w:spacing w:line="360" w:lineRule="auto"/>
              <w:ind w:firstLine="420" w:firstLineChars="200"/>
              <w:rPr>
                <w:rFonts w:cs="宋体"/>
              </w:rPr>
            </w:pPr>
            <w:r>
              <w:rPr>
                <w:rFonts w:cs="宋体" w:hint="eastAsia"/>
              </w:rPr>
              <w:t>不少于15人；</w:t>
            </w:r>
          </w:p>
          <w:p>
            <w:pPr>
              <w:spacing w:line="360" w:lineRule="auto"/>
              <w:ind w:firstLine="420" w:firstLineChars="200"/>
              <w:rPr>
                <w:rFonts w:cs="宋体"/>
              </w:rPr>
            </w:pPr>
            <w:r>
              <w:rPr>
                <w:rFonts w:cs="宋体" w:hint="eastAsia"/>
              </w:rPr>
              <w:t>具备软件需求分析能力、流程设计能力，需具有3年（含）以上信息化系统建设项目需求开发经验；</w:t>
            </w:r>
          </w:p>
          <w:p>
            <w:pPr>
              <w:spacing w:line="360" w:lineRule="auto"/>
              <w:ind w:firstLine="420" w:firstLineChars="200"/>
              <w:rPr>
                <w:rFonts w:cs="宋体"/>
              </w:rPr>
            </w:pPr>
            <w:r>
              <w:rPr>
                <w:rFonts w:cs="宋体" w:hint="eastAsia"/>
              </w:rPr>
              <w:t>具备良好的编程习惯、文档写作及管理能力；具备良好的团队协作精神。</w:t>
            </w:r>
          </w:p>
          <w:p>
            <w:pPr>
              <w:pStyle w:val="TOC1"/>
              <w:spacing w:line="360" w:lineRule="auto"/>
              <w:ind w:firstLine="400" w:firstLineChars="200"/>
              <w:rPr>
                <w:rFonts w:cs="宋体"/>
              </w:rPr>
            </w:pPr>
            <w:r>
              <w:rPr>
                <w:rFonts w:cs="宋体" w:hint="eastAsia"/>
              </w:rPr>
              <w:t>（4）研发工程师：</w:t>
            </w:r>
          </w:p>
          <w:p>
            <w:pPr>
              <w:spacing w:line="360" w:lineRule="auto"/>
              <w:ind w:firstLine="420" w:firstLineChars="200"/>
              <w:rPr>
                <w:rFonts w:cs="宋体"/>
              </w:rPr>
            </w:pPr>
            <w:r>
              <w:rPr>
                <w:rFonts w:cs="宋体" w:hint="eastAsia"/>
              </w:rPr>
              <w:t>不少于40人；</w:t>
            </w:r>
          </w:p>
          <w:p>
            <w:pPr>
              <w:spacing w:line="360" w:lineRule="auto"/>
              <w:ind w:firstLine="420" w:firstLineChars="200"/>
              <w:rPr>
                <w:rFonts w:cs="宋体"/>
              </w:rPr>
            </w:pPr>
            <w:r>
              <w:rPr>
                <w:rFonts w:cs="宋体" w:hint="eastAsia"/>
              </w:rPr>
              <w:t>精通Java语言，从事Java应用系统软件开发3年以上，具有3年（含）以上信息化系统建设项目开发经验。</w:t>
            </w:r>
          </w:p>
          <w:p>
            <w:pPr>
              <w:spacing w:line="360" w:lineRule="auto"/>
              <w:ind w:firstLine="420" w:firstLineChars="200"/>
              <w:rPr>
                <w:rFonts w:cs="宋体"/>
              </w:rPr>
            </w:pPr>
            <w:r>
              <w:rPr>
                <w:rFonts w:cs="宋体" w:hint="eastAsia"/>
              </w:rPr>
              <w:t>精通常用开源框架；精通使用SQL语句，精通数据库及SQL调优；</w:t>
            </w:r>
          </w:p>
          <w:p>
            <w:pPr>
              <w:spacing w:line="360" w:lineRule="auto"/>
              <w:ind w:firstLine="420" w:firstLineChars="200"/>
              <w:rPr>
                <w:rFonts w:cs="宋体"/>
              </w:rPr>
            </w:pPr>
            <w:r>
              <w:rPr>
                <w:rFonts w:cs="宋体" w:hint="eastAsia"/>
              </w:rPr>
              <w:t>具备良好的编程习惯、文档写作及管理能力；具备良好的团队协作精神。</w:t>
            </w:r>
          </w:p>
          <w:p>
            <w:pPr>
              <w:pStyle w:val="TOC1"/>
              <w:spacing w:line="360" w:lineRule="auto"/>
              <w:ind w:firstLine="400" w:firstLineChars="200"/>
              <w:rPr>
                <w:rFonts w:cs="宋体"/>
              </w:rPr>
            </w:pPr>
            <w:r>
              <w:rPr>
                <w:rFonts w:cs="宋体" w:hint="eastAsia"/>
              </w:rPr>
              <w:t>（5）测试工程师：</w:t>
            </w:r>
          </w:p>
          <w:p>
            <w:pPr>
              <w:spacing w:line="360" w:lineRule="auto"/>
              <w:ind w:firstLine="420" w:firstLineChars="200"/>
              <w:rPr>
                <w:rFonts w:cs="宋体"/>
              </w:rPr>
            </w:pPr>
            <w:r>
              <w:rPr>
                <w:rFonts w:cs="宋体" w:hint="eastAsia"/>
              </w:rPr>
              <w:t>不少于20人；</w:t>
            </w:r>
          </w:p>
          <w:p>
            <w:pPr>
              <w:spacing w:line="360" w:lineRule="auto"/>
              <w:ind w:firstLine="420" w:firstLineChars="200"/>
              <w:rPr>
                <w:rFonts w:cs="宋体"/>
              </w:rPr>
            </w:pPr>
            <w:r>
              <w:rPr>
                <w:rFonts w:cs="宋体" w:hint="eastAsia"/>
              </w:rPr>
              <w:t>具备测试用例设计、测试执行、功能测试、性能测试的能力，需具有3年（含）以上信息化系统建设项目测试经验；</w:t>
            </w:r>
          </w:p>
          <w:p>
            <w:pPr>
              <w:spacing w:line="360" w:lineRule="auto"/>
              <w:ind w:firstLine="420" w:firstLineChars="200"/>
              <w:rPr>
                <w:rFonts w:cs="宋体"/>
              </w:rPr>
            </w:pPr>
            <w:r>
              <w:rPr>
                <w:rFonts w:cs="宋体" w:hint="eastAsia"/>
              </w:rPr>
              <w:t>熟练掌握缺陷管理工具的使用；熟练掌握数据库操作；熟练掌握linux基本命令；了解selenum自动化测试框架，能编写相关自动化脚本；掌握接口测试和性能测试工具，如postman、jmeter等；</w:t>
            </w:r>
          </w:p>
          <w:p>
            <w:pPr>
              <w:pStyle w:val="TOC1"/>
              <w:spacing w:line="360" w:lineRule="auto"/>
              <w:ind w:firstLine="400" w:firstLineChars="200"/>
              <w:rPr>
                <w:rFonts w:cs="宋体"/>
              </w:rPr>
            </w:pPr>
            <w:r>
              <w:rPr>
                <w:rFonts w:cs="宋体" w:hint="eastAsia"/>
              </w:rPr>
              <w:t>（6）运维工程师</w:t>
            </w:r>
            <w:r>
              <w:rPr>
                <w:rFonts w:cs="宋体"/>
                <w:color w:val="000000"/>
              </w:rPr>
              <w:t>（此处人员要求为项目售后服务阶段）</w:t>
            </w:r>
            <w:r>
              <w:rPr>
                <w:rFonts w:cs="宋体" w:hint="eastAsia"/>
              </w:rPr>
              <w:t>：</w:t>
            </w:r>
          </w:p>
          <w:p>
            <w:pPr>
              <w:spacing w:line="360" w:lineRule="auto"/>
              <w:ind w:firstLine="420" w:firstLineChars="200"/>
              <w:rPr>
                <w:rFonts w:cs="宋体"/>
              </w:rPr>
            </w:pPr>
            <w:r>
              <w:rPr>
                <w:rFonts w:cs="宋体" w:hint="eastAsia"/>
              </w:rPr>
              <w:t>不少于8人；</w:t>
            </w:r>
          </w:p>
          <w:p>
            <w:pPr>
              <w:spacing w:line="360" w:lineRule="auto"/>
              <w:ind w:firstLine="420" w:firstLineChars="200"/>
              <w:rPr>
                <w:rFonts w:cs="宋体"/>
              </w:rPr>
            </w:pPr>
            <w:r>
              <w:rPr>
                <w:rFonts w:cs="宋体" w:hint="eastAsia"/>
              </w:rPr>
              <w:t>要求是参与本项目实施的研发工程师。</w:t>
            </w:r>
          </w:p>
          <w:p>
            <w:pPr>
              <w:spacing w:line="360" w:lineRule="auto"/>
              <w:ind w:firstLine="420" w:firstLineChars="200"/>
              <w:rPr>
                <w:rFonts w:cs="宋体"/>
                <w:highlight w:val="yellow"/>
              </w:rPr>
            </w:pPr>
            <w:r>
              <w:rPr>
                <w:rFonts w:cs="宋体" w:hint="eastAsia"/>
              </w:rPr>
              <w:t>驻场前，</w:t>
            </w:r>
            <w:r>
              <w:rPr>
                <w:rFonts w:cs="宋体"/>
              </w:rPr>
              <w:t>投标人所有驻场人员须通过</w:t>
            </w:r>
            <w:r>
              <w:rPr>
                <w:rFonts w:cs="宋体" w:hint="eastAsia"/>
              </w:rPr>
              <w:t>采购人</w:t>
            </w:r>
            <w:r>
              <w:rPr>
                <w:rFonts w:cs="宋体"/>
              </w:rPr>
              <w:t>组织的面试</w:t>
            </w:r>
            <w:r>
              <w:rPr>
                <w:rFonts w:cs="宋体" w:hint="eastAsia"/>
              </w:rPr>
              <w:t>，不满足</w:t>
            </w:r>
            <w:r>
              <w:rPr>
                <w:rFonts w:cs="宋体"/>
              </w:rPr>
              <w:t>相关</w:t>
            </w:r>
            <w:r>
              <w:rPr>
                <w:rFonts w:cs="宋体" w:hint="eastAsia"/>
              </w:rPr>
              <w:t>要求的，投标人应提供备选人员，直至满足为止</w:t>
            </w:r>
            <w:r>
              <w:rPr>
                <w:rFonts w:cs="宋体"/>
              </w:rPr>
              <w:t>，未经面试的人员不得入场开展工作，由此造成的项目延期由投标人承担全部责任</w:t>
            </w:r>
            <w:r>
              <w:rPr>
                <w:rFonts w:cs="宋体" w:hint="eastAsia"/>
              </w:rPr>
              <w:t>。</w:t>
            </w:r>
          </w:p>
        </w:tc>
        <w:tc>
          <w:tcPr>
            <w:tcW w:w="1303" w:type="dxa"/>
            <w:vAlign w:val="center"/>
          </w:tcPr>
          <w:p>
            <w:pPr>
              <w:spacing w:line="360" w:lineRule="auto"/>
              <w:jc w:val="center"/>
            </w:pPr>
            <w:r>
              <w:rPr>
                <w:rFonts w:cs="宋体" w:hint="eastAsia"/>
              </w:rPr>
              <w:t>是，投标人应提供人员名单、人员简历、项目履历、相关资质证书、在本项目中职责分工，并按人员提供</w:t>
            </w:r>
            <w:r>
              <w:rPr>
                <w:rFonts w:hint="eastAsia"/>
                <w:color w:val="000000"/>
                <w:kern w:val="0"/>
                <w:sz w:val="24"/>
                <w:szCs w:val="21"/>
                <w:highlight w:val="white"/>
              </w:rPr>
              <w:t>距开标之日前6个月内任意一个月的社保证明或劳务合同等证明材料</w:t>
            </w:r>
            <w:r>
              <w:rPr>
                <w:rFonts w:cs="宋体" w:hint="eastAsia"/>
                <w:color w:val="000000"/>
              </w:rPr>
              <w:t>。</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6</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hint="eastAsia"/>
              </w:rPr>
              <w:t>服务网络标准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tabs>
                <w:tab w:val="left" w:pos="709"/>
              </w:tabs>
              <w:spacing w:line="360" w:lineRule="auto"/>
              <w:ind w:firstLine="464"/>
              <w:rPr>
                <w:rFonts w:cs="宋体"/>
                <w:spacing w:val="-4"/>
              </w:rPr>
            </w:pPr>
            <w:r>
              <w:rPr>
                <w:rFonts w:cs="宋体" w:hint="eastAsia"/>
                <w:spacing w:val="-4"/>
              </w:rPr>
              <w:t>中标人需能满足系统质保期内运维及技术支持要求。</w:t>
            </w:r>
          </w:p>
        </w:tc>
        <w:tc>
          <w:tcPr>
            <w:tcW w:w="1303" w:type="dxa"/>
            <w:vAlign w:val="center"/>
          </w:tcPr>
          <w:p>
            <w:pPr>
              <w:spacing w:line="360" w:lineRule="auto"/>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7</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培训标准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投标人必须根据应用软件的功能和特点，充分考虑到海关应用人员实际水平，提出详细的培训方案，以达到应用管理人员能够独立管理投标人所提供的应用软件和日常的维护处理能力。</w:t>
            </w:r>
          </w:p>
          <w:p>
            <w:pPr>
              <w:spacing w:line="360" w:lineRule="auto"/>
              <w:ind w:firstLine="420" w:firstLineChars="200"/>
              <w:rPr>
                <w:rFonts w:cs="宋体"/>
              </w:rPr>
            </w:pPr>
            <w:r>
              <w:rPr>
                <w:rFonts w:cs="宋体" w:hint="eastAsia"/>
              </w:rPr>
              <w:t>投标人根据采购人要求，分别列出全部产品及应用正常运行、管理和使用所需要的培训，包括培训的类别、培训人员与人数、培训课件、方式、时间等安排。投标人需要承担培训方案、培训教材（纸质版和电子版）、师资力量及教师的交通、住宿、三餐的费用。</w:t>
            </w:r>
          </w:p>
        </w:tc>
        <w:tc>
          <w:tcPr>
            <w:tcW w:w="1303" w:type="dxa"/>
            <w:vAlign w:val="center"/>
          </w:tcPr>
          <w:p>
            <w:pPr>
              <w:spacing w:line="360" w:lineRule="auto"/>
              <w:jc w:val="cente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8</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集成标准</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本项目应按照海关项目管理要求、技术要求、集成要求和方案编制要求开展实施集成工作，并接受和配合集成联调测试工作。</w:t>
            </w:r>
          </w:p>
          <w:p>
            <w:pPr>
              <w:spacing w:line="360" w:lineRule="auto"/>
              <w:ind w:firstLine="420" w:firstLineChars="200"/>
            </w:pPr>
            <w:r>
              <w:rPr>
                <w:rFonts w:cs="宋体" w:hint="eastAsia"/>
              </w:rPr>
              <w:t>集成方式包括但不限于Restful、MQ、文件交换、数据库等对接等方式。</w:t>
            </w:r>
          </w:p>
        </w:tc>
        <w:tc>
          <w:tcPr>
            <w:tcW w:w="1303" w:type="dxa"/>
            <w:vAlign w:val="center"/>
          </w:tcPr>
          <w:p>
            <w:pPr>
              <w:spacing w:line="360" w:lineRule="auto"/>
              <w:jc w:val="cente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404"/>
          <w:jc w:val="left"/>
        </w:trPr>
        <w:tc>
          <w:tcPr>
            <w:tcW w:w="893" w:type="dxa"/>
            <w:vAlign w:val="center"/>
          </w:tcPr>
          <w:p>
            <w:pPr>
              <w:spacing w:line="360" w:lineRule="auto"/>
              <w:jc w:val="center"/>
            </w:pPr>
            <w:bookmarkStart w:id="43" w:name="实施方案"/>
            <w:r>
              <w:rPr>
                <w:rFonts w:hint="eastAsia"/>
              </w:rPr>
              <w:t>9</w:t>
            </w: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r>
              <w:rPr>
                <w:rFonts w:cs="宋体" w:hint="eastAsia"/>
              </w:rPr>
              <w:t>评测要求</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投标人须按照采购人的统一安排，配合第三方评测机构完成系统测试及整改工作,直至系统通过验收。</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10</w:t>
            </w: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r>
              <w:rPr>
                <w:rFonts w:cs="宋体" w:hint="eastAsia"/>
              </w:rPr>
              <w:t>安全生产要求</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w:t>
            </w:r>
          </w:p>
        </w:tc>
        <w:tc>
          <w:tcPr>
            <w:tcW w:w="3396" w:type="dxa"/>
            <w:tcBorders>
              <w:top w:val="single" w:sz="4" w:space="0" w:color="auto"/>
              <w:left w:val="single" w:sz="4" w:space="0" w:color="auto"/>
              <w:right w:val="single" w:sz="4" w:space="0" w:color="auto"/>
            </w:tcBorders>
            <w:vAlign w:val="center"/>
          </w:tcPr>
          <w:p>
            <w:pPr>
              <w:pStyle w:val="TOC1"/>
              <w:spacing w:line="360" w:lineRule="auto"/>
              <w:ind w:firstLine="400" w:firstLineChars="200"/>
              <w:rPr>
                <w:rFonts w:cs="宋体"/>
              </w:rPr>
            </w:pPr>
            <w:r>
              <w:rPr>
                <w:rFonts w:cs="宋体" w:hint="eastAsia"/>
              </w:rPr>
              <w:t>1、投标人及人员为采购人提供服务过程中不得设置可以禁用或者绕过安全机制的组件及其他未经明示的功能模块；不得将与本项目相关的设计文档、源代码、配置文件、操作手册等相关信息在互联网上公布或托管。</w:t>
            </w:r>
          </w:p>
          <w:p>
            <w:pPr>
              <w:pStyle w:val="TOC1"/>
              <w:spacing w:line="360" w:lineRule="auto"/>
              <w:ind w:firstLine="400" w:firstLineChars="200"/>
              <w:rPr>
                <w:rFonts w:cs="宋体"/>
              </w:rPr>
            </w:pPr>
            <w:r>
              <w:rPr>
                <w:rFonts w:cs="宋体" w:hint="eastAsia"/>
              </w:rPr>
              <w:t>2、投标人提交的源代码需通过采购人代码审查、安全代码扫描通过，不得存在A类安全代码风险。</w:t>
            </w:r>
          </w:p>
          <w:p>
            <w:pPr>
              <w:spacing w:line="360" w:lineRule="auto"/>
              <w:ind w:firstLine="420" w:firstLineChars="200"/>
              <w:rPr>
                <w:rFonts w:cs="宋体"/>
              </w:rPr>
            </w:pPr>
            <w:r>
              <w:rPr>
                <w:rFonts w:cs="宋体" w:hint="eastAsia"/>
              </w:rPr>
              <w:t>3、投标人人员在项目执行过程中严格遵守法律法规、相关政策，不得发生违反采购人安全生产、数据安全、疫情管控、知识产权、工作制度等各项规章制度的情况。</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11</w:t>
            </w: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r>
              <w:rPr>
                <w:rFonts w:cs="宋体" w:hint="eastAsia"/>
              </w:rPr>
              <w:t>知识产权归属</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w:t>
            </w:r>
          </w:p>
        </w:tc>
        <w:tc>
          <w:tcPr>
            <w:tcW w:w="3396" w:type="dxa"/>
            <w:tcBorders>
              <w:top w:val="single" w:sz="4" w:space="0" w:color="auto"/>
              <w:left w:val="single" w:sz="4" w:space="0" w:color="auto"/>
              <w:right w:val="single" w:sz="4" w:space="0" w:color="auto"/>
            </w:tcBorders>
            <w:vAlign w:val="center"/>
          </w:tcPr>
          <w:p>
            <w:pPr>
              <w:widowControl/>
              <w:spacing w:line="360" w:lineRule="auto"/>
              <w:ind w:firstLine="420" w:firstLineChars="200"/>
              <w:rPr>
                <w:rFonts w:cs="宋体"/>
              </w:rPr>
            </w:pPr>
            <w:r>
              <w:rPr>
                <w:rFonts w:cs="宋体" w:hint="eastAsia"/>
              </w:rPr>
              <w:t>投标人应承诺本项目知识产权归采购人所有。</w:t>
            </w:r>
          </w:p>
          <w:p>
            <w:pPr>
              <w:widowControl/>
              <w:spacing w:line="360" w:lineRule="auto"/>
              <w:ind w:firstLine="420" w:firstLineChars="200"/>
              <w:rPr>
                <w:rFonts w:cs="宋体"/>
              </w:rPr>
            </w:pPr>
            <w:r>
              <w:rPr>
                <w:rFonts w:cs="宋体" w:hint="eastAsia"/>
              </w:rPr>
              <w:t>1、采购人对服务成果拥有所有权及全部、完整的知识产权（包括但不限于著作权、专利权、商标权以及知识产权申请权等）。</w:t>
            </w:r>
          </w:p>
          <w:p>
            <w:pPr>
              <w:widowControl/>
              <w:spacing w:line="360" w:lineRule="auto"/>
              <w:ind w:firstLine="420" w:firstLineChars="200"/>
              <w:rPr>
                <w:rFonts w:cs="宋体"/>
              </w:rPr>
            </w:pPr>
            <w:r>
              <w:rPr>
                <w:rFonts w:cs="宋体" w:hint="eastAsi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spacing w:line="360" w:lineRule="auto"/>
              <w:ind w:firstLine="420" w:firstLineChars="200"/>
              <w:rPr>
                <w:rFonts w:cs="宋体"/>
              </w:rPr>
            </w:pPr>
            <w:r>
              <w:rPr>
                <w:rFonts w:cs="宋体" w:hint="eastAsia"/>
              </w:rPr>
              <w:t>3、投标人就本项目开发的软件，应向采购人提供全部源代码和不限次数的使用权以及二次开发权，本项目所开发软件的知识产权归采购人所有。</w:t>
            </w:r>
          </w:p>
          <w:p>
            <w:pPr>
              <w:widowControl/>
              <w:spacing w:line="360" w:lineRule="auto"/>
              <w:ind w:firstLine="420" w:firstLineChars="200"/>
              <w:rPr>
                <w:rFonts w:cs="宋体"/>
              </w:rPr>
            </w:pPr>
            <w:r>
              <w:rPr>
                <w:rFonts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spacing w:line="360" w:lineRule="auto"/>
              <w:ind w:firstLine="420" w:firstLineChars="200"/>
              <w:rPr>
                <w:rFonts w:cs="宋体"/>
              </w:rPr>
            </w:pPr>
            <w:r>
              <w:rPr>
                <w:rFonts w:cs="宋体" w:hint="eastAsia"/>
              </w:rPr>
              <w:t>5、采购人有权对工程涉及的所有成果在全国海关范围内进行推广应用，且不收取费用。</w:t>
            </w:r>
          </w:p>
          <w:p>
            <w:pPr>
              <w:widowControl/>
              <w:spacing w:line="360" w:lineRule="auto"/>
              <w:ind w:firstLine="420" w:firstLineChars="200"/>
              <w:rPr>
                <w:rFonts w:cs="宋体"/>
              </w:rPr>
            </w:pPr>
            <w:r>
              <w:rPr>
                <w:rFonts w:cs="宋体" w:hint="eastAsia"/>
              </w:rPr>
              <w:t>6、采购人可安排海关骨干人员参与核心工作，工作结束后带回源代码并纳入采购人原版库管理，以便后续修改维护。</w:t>
            </w:r>
          </w:p>
          <w:p>
            <w:pPr>
              <w:widowControl/>
              <w:spacing w:line="360" w:lineRule="auto"/>
              <w:ind w:firstLine="420" w:firstLineChars="200"/>
              <w:rPr>
                <w:rFonts w:cs="宋体"/>
              </w:rPr>
            </w:pPr>
            <w:r>
              <w:rPr>
                <w:rFonts w:cs="宋体" w:hint="eastAsia"/>
              </w:rPr>
              <w:t>7、未经采购人和委托方允许，不能将本项目有关内容向第三方泄露。</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12</w:t>
            </w: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color w:val="000000"/>
              </w:rPr>
            </w:pPr>
            <w:r>
              <w:rPr>
                <w:rFonts w:cs="宋体" w:hint="eastAsia"/>
                <w:color w:val="000000"/>
              </w:rPr>
              <w:t>安全保密要求</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w:t>
            </w:r>
          </w:p>
        </w:tc>
        <w:tc>
          <w:tcPr>
            <w:tcW w:w="3396" w:type="dxa"/>
            <w:tcBorders>
              <w:top w:val="single" w:sz="4" w:space="0" w:color="auto"/>
              <w:left w:val="single" w:sz="4" w:space="0" w:color="auto"/>
              <w:right w:val="single" w:sz="4" w:space="0" w:color="auto"/>
            </w:tcBorders>
            <w:vAlign w:val="center"/>
          </w:tcPr>
          <w:p>
            <w:pPr>
              <w:spacing w:line="360" w:lineRule="auto"/>
              <w:ind w:firstLine="420" w:firstLineChars="200"/>
              <w:rPr>
                <w:rFonts w:cs="宋体"/>
                <w:color w:val="000000"/>
              </w:rPr>
            </w:pPr>
            <w:r>
              <w:rPr>
                <w:rFonts w:cs="宋体" w:hint="eastAsia"/>
                <w:color w:val="000000"/>
              </w:rPr>
              <w:t>1、投标人应对在采购人工作过程中所获知的全部技术资料和技术秘密采取保密措施。除非法律法规要求或取得采购人事先书面同意，投标人不得对外透露。</w:t>
            </w:r>
          </w:p>
          <w:p>
            <w:pPr>
              <w:spacing w:line="360" w:lineRule="auto"/>
              <w:ind w:firstLine="420" w:firstLineChars="200"/>
              <w:rPr>
                <w:rFonts w:cs="宋体"/>
              </w:rPr>
            </w:pPr>
            <w:r>
              <w:rPr>
                <w:rFonts w:cs="宋体" w:hint="eastAsia"/>
                <w:color w:val="000000"/>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13</w:t>
            </w:r>
          </w:p>
        </w:tc>
        <w:tc>
          <w:tcPr>
            <w:tcW w:w="1132" w:type="dxa"/>
            <w:tcBorders>
              <w:top w:val="single" w:sz="4" w:space="0" w:color="auto"/>
              <w:left w:val="single" w:sz="4" w:space="0" w:color="auto"/>
              <w:right w:val="single" w:sz="4" w:space="0" w:color="auto"/>
            </w:tcBorders>
            <w:vAlign w:val="center"/>
          </w:tcPr>
          <w:p>
            <w:pPr>
              <w:spacing w:line="360" w:lineRule="auto"/>
              <w:jc w:val="center"/>
              <w:rPr>
                <w:rFonts w:cs="宋体"/>
              </w:rPr>
            </w:pPr>
            <w:r>
              <w:rPr>
                <w:rFonts w:cs="宋体" w:hint="eastAsia"/>
              </w:rPr>
              <w:t>试点推广要求</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vAlign w:val="center"/>
          </w:tcPr>
          <w:p>
            <w:pPr>
              <w:spacing w:line="360" w:lineRule="auto"/>
              <w:ind w:left="420" w:leftChars="200"/>
              <w:rPr>
                <w:rFonts w:cs="宋体"/>
                <w:color w:val="000000"/>
              </w:rPr>
            </w:pPr>
            <w:r>
              <w:rPr>
                <w:rFonts w:cs="宋体" w:hint="eastAsia"/>
                <w:color w:val="000000"/>
              </w:rPr>
              <w:t>试点推广要求如下：</w:t>
            </w:r>
          </w:p>
          <w:p>
            <w:pPr>
              <w:spacing w:line="360" w:lineRule="auto"/>
              <w:ind w:firstLine="420" w:firstLineChars="200"/>
              <w:rPr>
                <w:rFonts w:cs="宋体"/>
                <w:color w:val="000000"/>
              </w:rPr>
            </w:pPr>
            <w:r>
              <w:rPr>
                <w:rFonts w:cs="宋体" w:hint="eastAsia"/>
                <w:color w:val="000000"/>
              </w:rPr>
              <w:t>（1）按照采购人要求，投标人需配合采购人完成各应用系统部署上线的组织协调工作，并对上线运行过程中出现的异常情况进行分析、定位、解决，确保应用顺利平稳地上线运行。</w:t>
            </w:r>
          </w:p>
          <w:p>
            <w:pPr>
              <w:spacing w:line="360" w:lineRule="auto"/>
              <w:ind w:firstLine="420" w:firstLineChars="200"/>
              <w:rPr>
                <w:rFonts w:cs="宋体"/>
                <w:color w:val="000000"/>
              </w:rPr>
            </w:pPr>
            <w:r>
              <w:rPr>
                <w:rFonts w:cs="宋体" w:hint="eastAsia"/>
                <w:color w:val="000000"/>
              </w:rPr>
              <w:t>（2）投标人应配合制定生产环境的部署及验证方案，为不影响业务的正常开展，方案中至少要明确指出试运行和推广上线单位如何做好相关新旧系统的过渡工作。</w:t>
            </w:r>
          </w:p>
          <w:p>
            <w:pPr>
              <w:spacing w:line="360" w:lineRule="auto"/>
              <w:ind w:firstLine="420" w:firstLineChars="200"/>
              <w:rPr>
                <w:rFonts w:cs="宋体"/>
                <w:color w:val="000000"/>
              </w:rPr>
            </w:pPr>
            <w:r>
              <w:rPr>
                <w:rFonts w:cs="宋体" w:hint="eastAsia"/>
                <w:color w:val="000000"/>
              </w:rPr>
              <w:t>（3）投标人应配合组织和协调各应用系统完成在生产环境中的部署及相关的接口参数配置工作，配合解决过程中的各类问题。</w:t>
            </w:r>
          </w:p>
          <w:p>
            <w:pPr>
              <w:spacing w:line="360" w:lineRule="auto"/>
              <w:ind w:firstLine="420" w:firstLineChars="200"/>
              <w:rPr>
                <w:rFonts w:cs="宋体"/>
              </w:rPr>
            </w:pPr>
            <w:r>
              <w:rPr>
                <w:rFonts w:cs="宋体" w:hint="eastAsia"/>
                <w:color w:val="000000"/>
              </w:rPr>
              <w:t>（4）投标人协助采购人完成项目的试点推广。提交《海关智慧监管平台应用集成-试运行及推广总结报告》。</w:t>
            </w:r>
          </w:p>
        </w:tc>
        <w:tc>
          <w:tcPr>
            <w:tcW w:w="1303" w:type="dxa"/>
            <w:vAlign w:val="center"/>
          </w:tcPr>
          <w:p>
            <w:pPr>
              <w:spacing w:line="360" w:lineRule="auto"/>
              <w:jc w:val="center"/>
              <w:rPr>
                <w:rFonts w:cs="宋体"/>
              </w:rPr>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pStyle w:val="TOC4"/>
              <w:jc w:val="center"/>
              <w:rPr>
                <w:rFonts w:ascii="宋体" w:eastAsia="宋体"/>
              </w:rPr>
            </w:pPr>
            <w:r>
              <w:rPr>
                <w:rFonts w:ascii="宋体" w:eastAsia="宋体" w:hint="eastAsia"/>
              </w:rPr>
              <w:t>14</w:t>
            </w:r>
          </w:p>
        </w:tc>
        <w:tc>
          <w:tcPr>
            <w:tcW w:w="1132" w:type="dxa"/>
            <w:tcBorders>
              <w:top w:val="single" w:sz="4" w:space="0" w:color="auto"/>
              <w:left w:val="single" w:sz="4" w:space="0" w:color="auto"/>
              <w:right w:val="single" w:sz="4" w:space="0" w:color="auto"/>
            </w:tcBorders>
            <w:vAlign w:val="center"/>
          </w:tcPr>
          <w:p>
            <w:pPr>
              <w:pStyle w:val="TOC4"/>
              <w:jc w:val="center"/>
              <w:rPr>
                <w:rFonts w:ascii="宋体" w:eastAsia="宋体" w:cs="宋体"/>
              </w:rPr>
            </w:pPr>
            <w:r>
              <w:rPr>
                <w:rFonts w:ascii="宋体" w:eastAsia="宋体" w:cs="宋体" w:hint="eastAsia"/>
                <w:color w:val="000000"/>
              </w:rPr>
              <w:t>其他要求</w:t>
            </w:r>
          </w:p>
        </w:tc>
        <w:tc>
          <w:tcPr>
            <w:tcW w:w="1795" w:type="dxa"/>
            <w:tcBorders>
              <w:top w:val="single" w:sz="4" w:space="0" w:color="auto"/>
              <w:left w:val="single" w:sz="4" w:space="0" w:color="auto"/>
              <w:right w:val="single" w:sz="4" w:space="0" w:color="auto"/>
            </w:tcBorders>
            <w:vAlign w:val="center"/>
          </w:tcPr>
          <w:p>
            <w:pPr>
              <w:pStyle w:val="TOC4"/>
              <w:jc w:val="center"/>
              <w:rPr>
                <w:rFonts w:ascii="宋体" w:eastAsia="宋体"/>
              </w:rPr>
            </w:pPr>
            <w:r>
              <w:rPr>
                <w:rFonts w:ascii="宋体" w:eastAsia="宋体" w:cs="宋体" w:hint="eastAsia"/>
                <w:color w:val="000000"/>
              </w:rPr>
              <w:t>★</w:t>
            </w:r>
          </w:p>
        </w:tc>
        <w:tc>
          <w:tcPr>
            <w:tcW w:w="3396" w:type="dxa"/>
            <w:tcBorders>
              <w:top w:val="single" w:sz="4" w:space="0" w:color="auto"/>
              <w:left w:val="single" w:sz="4" w:space="0" w:color="auto"/>
              <w:right w:val="single" w:sz="4" w:space="0" w:color="auto"/>
            </w:tcBorders>
          </w:tcPr>
          <w:p>
            <w:pPr>
              <w:numPr>
                <w:ilvl w:val="0"/>
                <w:numId w:val="22"/>
              </w:numPr>
              <w:spacing w:line="360" w:lineRule="auto"/>
              <w:ind w:left="0" w:firstLine="420" w:firstLineChars="200"/>
              <w:rPr>
                <w:rFonts w:cs="宋体"/>
              </w:rPr>
            </w:pPr>
            <w:r>
              <w:rPr>
                <w:rFonts w:cs="宋体" w:hint="eastAsia"/>
              </w:rPr>
              <w:t>投标人应接受采购人聘请的总集成单位、监理单位的集成管理和监理工作。</w:t>
            </w:r>
          </w:p>
          <w:p>
            <w:pPr>
              <w:numPr>
                <w:ilvl w:val="0"/>
                <w:numId w:val="22"/>
              </w:numPr>
              <w:spacing w:line="360" w:lineRule="auto"/>
              <w:ind w:left="0" w:firstLine="420" w:firstLineChars="200"/>
            </w:pPr>
            <w:r>
              <w:rPr>
                <w:rFonts w:cs="宋体" w:hint="eastAsia"/>
              </w:rPr>
              <w:t>投标人提供专职或兼职的档案管理人员，配合完成档案的收集、整理、组卷、归档等工作，直至项目通过竣工验收。并</w:t>
            </w:r>
            <w:r>
              <w:rPr>
                <w:rFonts w:hint="eastAsia"/>
              </w:rPr>
              <w:t>在质保期内配合完成档案移交、资产转固等工作。</w:t>
            </w:r>
          </w:p>
          <w:p>
            <w:pPr>
              <w:numPr>
                <w:ilvl w:val="0"/>
                <w:numId w:val="22"/>
              </w:numPr>
              <w:spacing w:line="360" w:lineRule="auto"/>
              <w:ind w:left="0" w:firstLine="420" w:firstLineChars="200"/>
            </w:pPr>
            <w:r>
              <w:rPr>
                <w:rFonts w:hint="eastAsia"/>
              </w:rPr>
              <w:t>为满足项目安全要求，需要投标人配合完成等级保护的系统定级、评审、备案等系列工作；在各关键节点配合完成审计工作；竣工验收前配合做好第三方验收测试等工作。</w:t>
            </w:r>
          </w:p>
          <w:p>
            <w:pPr>
              <w:numPr>
                <w:ilvl w:val="0"/>
                <w:numId w:val="22"/>
              </w:numPr>
              <w:spacing w:line="360" w:lineRule="auto"/>
              <w:ind w:left="0" w:firstLine="420" w:firstLineChars="200"/>
              <w:rPr>
                <w:rFonts w:cs="宋体"/>
              </w:rPr>
            </w:pPr>
            <w:r>
              <w:rPr>
                <w:rFonts w:hint="eastAsia"/>
              </w:rPr>
              <w:t>为满足项目安全要求，需要投标人配合商用密码应用测评、网络安全等保测评，竣工验收前按照测评要求完成整改工作。在质保期内配合完成档案移交、资产转固等工作。</w:t>
            </w:r>
          </w:p>
          <w:p>
            <w:pPr>
              <w:numPr>
                <w:ilvl w:val="0"/>
                <w:numId w:val="22"/>
              </w:numPr>
              <w:spacing w:line="360" w:lineRule="auto"/>
              <w:ind w:left="0" w:firstLine="420" w:firstLineChars="200"/>
              <w:rPr>
                <w:rFonts w:cs="宋体"/>
              </w:rPr>
            </w:pPr>
            <w:r>
              <w:rPr>
                <w:rFonts w:cs="宋体" w:hint="eastAsia"/>
              </w:rPr>
              <w:t>投标人提交的投标文件，凡是响应描述为支持的内容，等同于提供该内容。</w:t>
            </w:r>
          </w:p>
          <w:p>
            <w:pPr>
              <w:numPr>
                <w:ilvl w:val="0"/>
                <w:numId w:val="22"/>
              </w:numPr>
              <w:spacing w:line="360" w:lineRule="auto"/>
              <w:ind w:left="0" w:firstLine="420" w:firstLineChars="200"/>
              <w:rPr>
                <w:rFonts w:cs="宋体"/>
              </w:rPr>
            </w:pPr>
            <w:r>
              <w:rPr>
                <w:rFonts w:cs="宋体" w:hint="eastAsia"/>
              </w:rPr>
              <w:t>需求未注明的内容，以实际采购人最终需求为准。</w:t>
            </w:r>
          </w:p>
        </w:tc>
        <w:tc>
          <w:tcPr>
            <w:tcW w:w="1303" w:type="dxa"/>
            <w:vAlign w:val="center"/>
          </w:tcPr>
          <w:p>
            <w:pPr>
              <w:spacing w:line="360" w:lineRule="auto"/>
              <w:jc w:val="center"/>
              <w:rPr>
                <w:rFonts w:cs="宋体"/>
              </w:rPr>
            </w:pPr>
            <w:r>
              <w:rPr>
                <w:rFonts w:cs="宋体" w:hint="eastAsia"/>
              </w:rPr>
              <w:t>是，提供《承诺函》并加盖单位公章</w:t>
            </w:r>
          </w:p>
        </w:tc>
      </w:tr>
    </w:tbl>
    <w:p>
      <w:pPr>
        <w:pStyle w:val="TOC7"/>
        <w:numPr>
          <w:ilvl w:val="0"/>
          <w:numId w:val="2"/>
        </w:numPr>
        <w:rPr>
          <w:rFonts w:ascii="宋体" w:hAnsi="宋体" w:hint="eastAsia"/>
        </w:rPr>
      </w:pPr>
      <w:r>
        <w:rPr>
          <w:rFonts w:ascii="宋体" w:hAnsi="宋体" w:hint="eastAsia"/>
        </w:rPr>
        <w:t>实施</w:t>
      </w:r>
      <w:bookmarkEnd w:id="43"/>
      <w:r>
        <w:rPr>
          <w:rFonts w:ascii="宋体" w:hAnsi="宋体"/>
        </w:rPr>
        <w:t>要求</w:t>
      </w:r>
    </w:p>
    <w:p>
      <w:pPr>
        <w:spacing w:line="360" w:lineRule="auto"/>
      </w:pPr>
      <w:r>
        <w:rPr>
          <w:rFonts w:hint="eastAsia"/>
        </w:rPr>
        <w:t>①★代表实质性指标，不满足该指标项将导致投标被拒绝；加 “▲”标记表示为重要指标项，无标识则表示一般指标项，如不满足将影响评分。</w:t>
      </w:r>
    </w:p>
    <w:p>
      <w:pPr>
        <w:spacing w:line="360" w:lineRule="auto"/>
      </w:pPr>
      <w:r>
        <w:rPr>
          <w:rFonts w:hint="eastAsia"/>
        </w:rPr>
        <w:t>②“证明材料要求”项可填“是”和“否”。填“是”的，投标人须按“</w:t>
      </w:r>
      <w:r>
        <w:t>实施</w:t>
      </w:r>
      <w:r>
        <w:rPr>
          <w:rFonts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3396"/>
        <w:gridCol w:w="1303"/>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vAlign w:val="center"/>
          </w:tcPr>
          <w:p>
            <w:pPr>
              <w:jc w:val="center"/>
              <w:rPr>
                <w:rFonts w:cs="宋体"/>
                <w:b/>
              </w:rPr>
            </w:pPr>
            <w:r>
              <w:rPr>
                <w:rFonts w:cs="宋体" w:hint="eastAsia"/>
                <w:b/>
              </w:rPr>
              <w:t>序号</w:t>
            </w:r>
          </w:p>
        </w:tc>
        <w:tc>
          <w:tcPr>
            <w:tcW w:w="1132" w:type="dxa"/>
            <w:shd w:val="clear" w:color="A6A6A6" w:fill="A6A6A6"/>
            <w:vAlign w:val="center"/>
          </w:tcPr>
          <w:p>
            <w:pPr>
              <w:jc w:val="center"/>
              <w:rPr>
                <w:rFonts w:cs="宋体"/>
                <w:b/>
              </w:rPr>
            </w:pPr>
            <w:r>
              <w:rPr>
                <w:rFonts w:cs="宋体" w:hint="eastAsia"/>
                <w:b/>
              </w:rPr>
              <w:t>内容</w:t>
            </w:r>
          </w:p>
        </w:tc>
        <w:tc>
          <w:tcPr>
            <w:tcW w:w="1795" w:type="dxa"/>
            <w:shd w:val="clear" w:color="A6A6A6" w:fill="A6A6A6"/>
            <w:vAlign w:val="center"/>
          </w:tcPr>
          <w:p>
            <w:pPr>
              <w:jc w:val="center"/>
              <w:rPr>
                <w:rFonts w:cs="宋体"/>
                <w:b/>
              </w:rPr>
            </w:pPr>
            <w:r>
              <w:rPr>
                <w:rFonts w:cs="宋体" w:hint="eastAsia"/>
                <w:b/>
              </w:rPr>
              <w:t>重要性</w:t>
            </w:r>
          </w:p>
        </w:tc>
        <w:tc>
          <w:tcPr>
            <w:tcW w:w="3396" w:type="dxa"/>
            <w:shd w:val="clear" w:color="A6A6A6" w:fill="A6A6A6"/>
            <w:vAlign w:val="center"/>
          </w:tcPr>
          <w:p>
            <w:pPr>
              <w:jc w:val="center"/>
              <w:rPr>
                <w:rFonts w:cs="宋体"/>
                <w:b/>
              </w:rPr>
            </w:pPr>
            <w:r>
              <w:rPr>
                <w:rFonts w:cs="宋体" w:hint="eastAsia"/>
                <w:b/>
              </w:rPr>
              <w:t>实施标准</w:t>
            </w:r>
          </w:p>
        </w:tc>
        <w:tc>
          <w:tcPr>
            <w:tcW w:w="1303" w:type="dxa"/>
            <w:shd w:val="clear" w:color="A6A6A6" w:fill="A6A6A6"/>
          </w:tcPr>
          <w:p>
            <w:pPr>
              <w:jc w:val="center"/>
              <w:rPr>
                <w:rFonts w:cs="宋体"/>
                <w:b/>
              </w:rPr>
            </w:pPr>
            <w:r>
              <w:rPr>
                <w:rFonts w:cs="宋体" w:hint="eastAsia"/>
                <w:b/>
              </w:rPr>
              <w:t>证明材料要求</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cs="宋体" w:hint="eastAsia"/>
              </w:rPr>
              <w:t>1</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项目实施过程控制</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spacing w:line="360" w:lineRule="auto"/>
              <w:ind w:firstLine="420" w:firstLineChars="200"/>
              <w:rPr>
                <w:rFonts w:cs="宋体"/>
              </w:rPr>
            </w:pPr>
            <w:r>
              <w:rPr>
                <w:rFonts w:cs="宋体" w:hint="eastAsia"/>
              </w:rPr>
              <w:t>投标人应在项目实施过程中，承诺做到：服从采购人的组织、协调；按海关相应的技术、管理等规范要求开展工作。根据工程进展及时向采购人报审工程文档；每周三提交项目周报。</w:t>
            </w:r>
          </w:p>
          <w:p>
            <w:pPr>
              <w:spacing w:line="360" w:lineRule="auto"/>
              <w:ind w:firstLine="420" w:firstLineChars="200"/>
            </w:pPr>
            <w:r>
              <w:rPr>
                <w:rFonts w:cs="宋体" w:hint="eastAsia"/>
              </w:rPr>
              <w:t>定期将工程实际进度和资源投入（人力、设备材料、工具）情况报送采购人。</w:t>
            </w:r>
          </w:p>
        </w:tc>
        <w:tc>
          <w:tcPr>
            <w:tcW w:w="1303" w:type="dxa"/>
            <w:vAlign w:val="center"/>
          </w:tcPr>
          <w:p>
            <w:pPr>
              <w:spacing w:line="360" w:lineRule="auto"/>
              <w:jc w:val="cente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cs="宋体" w:hint="eastAsia"/>
              </w:rPr>
              <w:t>2</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项目实施过程文档管理</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spacing w:line="360" w:lineRule="auto"/>
              <w:rPr>
                <w:rFonts w:cs="宋体"/>
              </w:rPr>
            </w:pPr>
            <w:r>
              <w:rPr>
                <w:rFonts w:cs="宋体" w:hint="eastAsia"/>
              </w:rPr>
              <w:t>要求投标人的设计方案包含概要设计和详细设计，方案的内容需符合海关相应的管理标准。</w:t>
            </w:r>
          </w:p>
          <w:p>
            <w:pPr>
              <w:spacing w:line="360" w:lineRule="auto"/>
            </w:pPr>
            <w:r>
              <w:rPr>
                <w:rFonts w:cs="宋体" w:hint="eastAsia"/>
              </w:rPr>
              <w:t>投标人必须提供但不限于以下文档：需求文档、设计文档、测试文档、部署文档、操作手册等文档。</w:t>
            </w:r>
          </w:p>
        </w:tc>
        <w:tc>
          <w:tcPr>
            <w:tcW w:w="1303" w:type="dxa"/>
            <w:vAlign w:val="center"/>
          </w:tcPr>
          <w:p>
            <w:pPr>
              <w:spacing w:line="360" w:lineRule="auto"/>
              <w:jc w:val="center"/>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433"/>
          <w:jc w:val="left"/>
        </w:trPr>
        <w:tc>
          <w:tcPr>
            <w:tcW w:w="893" w:type="dxa"/>
            <w:vAlign w:val="center"/>
          </w:tcPr>
          <w:p>
            <w:pPr>
              <w:spacing w:line="360" w:lineRule="auto"/>
              <w:jc w:val="center"/>
            </w:pPr>
            <w:r>
              <w:rPr>
                <w:rFonts w:cs="宋体" w:hint="eastAsia"/>
              </w:rPr>
              <w:t>3</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项目实施组织架构</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spacing w:line="360" w:lineRule="auto"/>
              <w:rPr>
                <w:rFonts w:cs="宋体"/>
              </w:rPr>
            </w:pPr>
            <w:r>
              <w:rPr>
                <w:rFonts w:cs="宋体" w:hint="eastAsia"/>
              </w:rPr>
              <w:t>投标人应负责提出本项目实施的人员配置方案，人员配置要求：项目组成员及角色设置合理，项目团队应由项目经理、设计工程师、需求分析师、开发工程师、测试工程师等组成，团队不少于86人，售后服务期间驻场团队不少于8人。</w:t>
            </w:r>
          </w:p>
          <w:p>
            <w:pPr>
              <w:spacing w:line="360" w:lineRule="auto"/>
              <w:ind w:firstLine="420" w:firstLineChars="200"/>
            </w:pPr>
            <w:r>
              <w:rPr>
                <w:rFonts w:cs="宋体" w:hint="eastAsia"/>
              </w:rPr>
              <w:t>投标人需对所派驻的技术服务人员进行有效的管理并且有相应的管理手段，包括科学合理的管理制度、培训方案、奖惩机制、人员稳定性、人员工作质量保证等。</w:t>
            </w:r>
          </w:p>
        </w:tc>
        <w:tc>
          <w:tcPr>
            <w:tcW w:w="1303" w:type="dxa"/>
            <w:vAlign w:val="center"/>
          </w:tcPr>
          <w:p>
            <w:pPr>
              <w:spacing w:line="360" w:lineRule="auto"/>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cs="宋体" w:hint="eastAsia"/>
              </w:rPr>
              <w:t>4</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项目实施进度安排</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color w:val="000000"/>
              </w:rPr>
              <w:t>★</w:t>
            </w:r>
          </w:p>
        </w:tc>
        <w:tc>
          <w:tcPr>
            <w:tcW w:w="3396" w:type="dxa"/>
            <w:tcBorders>
              <w:top w:val="single" w:sz="4" w:space="0" w:color="auto"/>
              <w:left w:val="single" w:sz="4" w:space="0" w:color="auto"/>
              <w:right w:val="single" w:sz="4" w:space="0" w:color="auto"/>
            </w:tcBorders>
          </w:tcPr>
          <w:p>
            <w:pPr>
              <w:spacing w:line="360" w:lineRule="auto"/>
              <w:rPr>
                <w:rFonts w:cs="宋体"/>
              </w:rPr>
            </w:pPr>
            <w:r>
              <w:rPr>
                <w:rFonts w:cs="宋体" w:hint="eastAsia"/>
              </w:rPr>
              <w:t>本项目的建设工期为 17 个月，各阶段工作安排如下:</w:t>
            </w:r>
          </w:p>
          <w:p>
            <w:pPr>
              <w:spacing w:line="360" w:lineRule="auto"/>
              <w:rPr>
                <w:rFonts w:cs="宋体"/>
              </w:rPr>
            </w:pPr>
            <w:r>
              <w:rPr>
                <w:rFonts w:cs="宋体" w:hint="eastAsia"/>
              </w:rPr>
              <w:t>需求分析:工期2个月，合同签订后2个月完成；</w:t>
            </w:r>
          </w:p>
          <w:p>
            <w:pPr>
              <w:spacing w:line="360" w:lineRule="auto"/>
              <w:rPr>
                <w:rFonts w:cs="宋体"/>
              </w:rPr>
            </w:pPr>
            <w:r>
              <w:rPr>
                <w:rFonts w:cs="宋体" w:hint="eastAsia"/>
              </w:rPr>
              <w:t>开发测试:工期10个月，合同签订后12个月完成；</w:t>
            </w:r>
          </w:p>
          <w:p>
            <w:pPr>
              <w:spacing w:line="360" w:lineRule="auto"/>
              <w:rPr>
                <w:rFonts w:cs="宋体"/>
              </w:rPr>
            </w:pPr>
            <w:r>
              <w:rPr>
                <w:rFonts w:cs="宋体" w:hint="eastAsia"/>
              </w:rPr>
              <w:t>联调测试(含业务测试):工期1个月，合同签订后13个月完成；</w:t>
            </w:r>
          </w:p>
          <w:p>
            <w:pPr>
              <w:spacing w:line="360" w:lineRule="auto"/>
              <w:rPr>
                <w:rFonts w:cs="宋体"/>
              </w:rPr>
            </w:pPr>
            <w:r>
              <w:rPr>
                <w:rFonts w:cs="宋体" w:hint="eastAsia"/>
              </w:rPr>
              <w:t>部署上线:工期1个月，合同签订后14个月完成；</w:t>
            </w:r>
          </w:p>
          <w:p>
            <w:pPr>
              <w:spacing w:line="360" w:lineRule="auto"/>
              <w:rPr>
                <w:rFonts w:cs="宋体"/>
              </w:rPr>
            </w:pPr>
            <w:r>
              <w:rPr>
                <w:rFonts w:cs="宋体" w:hint="eastAsia"/>
              </w:rPr>
              <w:t>试运行：工期3个月，合同签订后17个月内完成。</w:t>
            </w:r>
          </w:p>
        </w:tc>
        <w:tc>
          <w:tcPr>
            <w:tcW w:w="1303" w:type="dxa"/>
            <w:vAlign w:val="center"/>
          </w:tcPr>
          <w:p>
            <w:pPr>
              <w:spacing w:line="360" w:lineRule="auto"/>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cs="宋体" w:hint="eastAsia"/>
              </w:rPr>
              <w:t>5</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项目安装过程安排</w:t>
            </w:r>
          </w:p>
        </w:tc>
        <w:tc>
          <w:tcPr>
            <w:tcW w:w="1795" w:type="dxa"/>
            <w:tcBorders>
              <w:top w:val="single" w:sz="4" w:space="0" w:color="auto"/>
              <w:left w:val="single" w:sz="4" w:space="0" w:color="auto"/>
              <w:right w:val="single" w:sz="4" w:space="0" w:color="auto"/>
            </w:tcBorders>
            <w:vAlign w:val="center"/>
          </w:tcPr>
          <w:p>
            <w:pPr>
              <w:spacing w:line="360" w:lineRule="auto"/>
              <w:jc w:val="center"/>
            </w:pPr>
          </w:p>
        </w:tc>
        <w:tc>
          <w:tcPr>
            <w:tcW w:w="3396" w:type="dxa"/>
            <w:tcBorders>
              <w:top w:val="single" w:sz="4" w:space="0" w:color="auto"/>
              <w:left w:val="single" w:sz="4" w:space="0" w:color="auto"/>
              <w:right w:val="single" w:sz="4" w:space="0" w:color="auto"/>
            </w:tcBorders>
          </w:tcPr>
          <w:p>
            <w:pPr>
              <w:spacing w:line="360" w:lineRule="auto"/>
              <w:ind w:firstLine="420" w:firstLineChars="200"/>
            </w:pPr>
            <w:r>
              <w:rPr>
                <w:rFonts w:cs="宋体" w:hint="eastAsia"/>
              </w:rPr>
              <w:t>开发测试完成后，根据采购人安排，规定时间内完成联调测试和系统部署。</w:t>
            </w:r>
          </w:p>
        </w:tc>
        <w:tc>
          <w:tcPr>
            <w:tcW w:w="1303" w:type="dxa"/>
            <w:vAlign w:val="center"/>
          </w:tcPr>
          <w:p>
            <w:pPr>
              <w:spacing w:line="360" w:lineRule="auto"/>
            </w:pPr>
            <w:r>
              <w:rPr>
                <w:rFonts w:cs="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cs="宋体" w:hint="eastAsia"/>
              </w:rPr>
              <w:t>6</w:t>
            </w:r>
          </w:p>
        </w:tc>
        <w:tc>
          <w:tcPr>
            <w:tcW w:w="1132"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项目验收安排</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hint="eastAsia"/>
              </w:rPr>
              <w:t>▲</w:t>
            </w:r>
          </w:p>
        </w:tc>
        <w:tc>
          <w:tcPr>
            <w:tcW w:w="3396" w:type="dxa"/>
            <w:tcBorders>
              <w:top w:val="single" w:sz="4" w:space="0" w:color="auto"/>
              <w:left w:val="single" w:sz="4" w:space="0" w:color="auto"/>
              <w:right w:val="single" w:sz="4" w:space="0" w:color="auto"/>
            </w:tcBorders>
          </w:tcPr>
          <w:p>
            <w:pPr>
              <w:spacing w:line="360" w:lineRule="auto"/>
              <w:rPr>
                <w:rFonts w:cs="宋体"/>
              </w:rPr>
            </w:pPr>
            <w:r>
              <w:rPr>
                <w:rFonts w:cs="宋体" w:hint="eastAsia"/>
              </w:rPr>
              <w:t>具体验收由采购人组织相关业务、技术专家进行评审。</w:t>
            </w:r>
          </w:p>
          <w:p>
            <w:pPr>
              <w:spacing w:line="360" w:lineRule="auto"/>
              <w:rPr>
                <w:rFonts w:cs="宋体"/>
              </w:rPr>
            </w:pPr>
            <w:r>
              <w:rPr>
                <w:rFonts w:cs="宋体" w:hint="eastAsia"/>
              </w:rPr>
              <w:t>投标人需承诺协助为验收提供相关服务：</w:t>
            </w:r>
          </w:p>
          <w:p>
            <w:pPr>
              <w:spacing w:line="360" w:lineRule="auto"/>
              <w:rPr>
                <w:rFonts w:cs="宋体"/>
              </w:rPr>
            </w:pPr>
            <w:r>
              <w:rPr>
                <w:rFonts w:cs="宋体" w:hint="eastAsia"/>
              </w:rPr>
              <w:t>（1）系统试运行3个月后，由中标人申请合同验收。</w:t>
            </w:r>
          </w:p>
          <w:p>
            <w:pPr>
              <w:spacing w:line="360" w:lineRule="auto"/>
              <w:rPr>
                <w:rFonts w:cs="宋体"/>
              </w:rPr>
            </w:pPr>
            <w:r>
              <w:rPr>
                <w:rFonts w:cs="宋体" w:hint="eastAsia"/>
              </w:rPr>
              <w:t>（2）配合整体项目竣工验收。</w:t>
            </w:r>
          </w:p>
          <w:p>
            <w:pPr>
              <w:spacing w:line="360" w:lineRule="auto"/>
              <w:rPr>
                <w:rFonts w:cs="宋体"/>
              </w:rPr>
            </w:pPr>
            <w:r>
              <w:rPr>
                <w:rFonts w:cs="宋体" w:hint="eastAsia"/>
              </w:rPr>
              <w:t>系统验收合格的条件必须至少满足以下要求：</w:t>
            </w:r>
          </w:p>
          <w:p>
            <w:pPr>
              <w:spacing w:line="360" w:lineRule="auto"/>
              <w:rPr>
                <w:rFonts w:cs="宋体"/>
              </w:rPr>
            </w:pPr>
            <w:r>
              <w:rPr>
                <w:rFonts w:cs="宋体" w:hint="eastAsia"/>
              </w:rPr>
              <w:t>系统上线运行时功能、性能满足国家相关标准、合同和实施方案的要求；</w:t>
            </w:r>
          </w:p>
          <w:p>
            <w:pPr>
              <w:spacing w:line="360" w:lineRule="auto"/>
              <w:rPr>
                <w:rFonts w:cs="宋体"/>
              </w:rPr>
            </w:pPr>
            <w:r>
              <w:rPr>
                <w:rFonts w:cs="宋体" w:hint="eastAsia"/>
              </w:rPr>
              <w:t>系统总体功能、性能测试和试运行验收时出现的问题已被解决；</w:t>
            </w:r>
          </w:p>
          <w:p>
            <w:pPr>
              <w:spacing w:line="360" w:lineRule="auto"/>
              <w:rPr>
                <w:rFonts w:cs="宋体"/>
              </w:rPr>
            </w:pPr>
            <w:r>
              <w:rPr>
                <w:rFonts w:cs="宋体" w:hint="eastAsia"/>
              </w:rPr>
              <w:t>已提供了合同规定的全部资料和软件；</w:t>
            </w:r>
          </w:p>
          <w:p>
            <w:pPr>
              <w:spacing w:line="360" w:lineRule="auto"/>
              <w:ind w:firstLine="420" w:firstLineChars="200"/>
            </w:pPr>
            <w:r>
              <w:rPr>
                <w:rFonts w:cs="宋体" w:hint="eastAsia"/>
              </w:rPr>
              <w:t>移交与本项目有关的相关技术资料。项目成果以及由此形成的知识产权属采购人所有，包括文档资料和程序等。</w:t>
            </w:r>
          </w:p>
        </w:tc>
        <w:tc>
          <w:tcPr>
            <w:tcW w:w="1303" w:type="dxa"/>
            <w:vAlign w:val="center"/>
          </w:tcPr>
          <w:p>
            <w:pPr>
              <w:spacing w:line="360" w:lineRule="auto"/>
            </w:pPr>
            <w:r>
              <w:rPr>
                <w:rFonts w:cs="宋体" w:hint="eastAsia"/>
              </w:rPr>
              <w:t>是，提供《承诺函》并加盖单位公章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93" w:type="dxa"/>
            <w:vAlign w:val="center"/>
          </w:tcPr>
          <w:p>
            <w:pPr>
              <w:spacing w:line="360" w:lineRule="auto"/>
              <w:jc w:val="center"/>
            </w:pPr>
            <w:r>
              <w:rPr>
                <w:rFonts w:hint="eastAsia"/>
              </w:rPr>
              <w:t>7</w:t>
            </w:r>
          </w:p>
        </w:tc>
        <w:tc>
          <w:tcPr>
            <w:tcW w:w="1132" w:type="dxa"/>
            <w:tcBorders>
              <w:top w:val="single" w:sz="4" w:space="0" w:color="auto"/>
              <w:left w:val="single" w:sz="4" w:space="0" w:color="auto"/>
              <w:right w:val="single" w:sz="4" w:space="0" w:color="auto"/>
            </w:tcBorders>
            <w:vAlign w:val="center"/>
          </w:tcPr>
          <w:p>
            <w:pPr>
              <w:spacing w:line="360" w:lineRule="auto"/>
              <w:jc w:val="center"/>
            </w:pPr>
            <w:r>
              <w:t>交付或实施地点</w:t>
            </w:r>
          </w:p>
        </w:tc>
        <w:tc>
          <w:tcPr>
            <w:tcW w:w="1795" w:type="dxa"/>
            <w:tcBorders>
              <w:top w:val="single" w:sz="4" w:space="0" w:color="auto"/>
              <w:left w:val="single" w:sz="4" w:space="0" w:color="auto"/>
              <w:right w:val="single" w:sz="4" w:space="0" w:color="auto"/>
            </w:tcBorders>
            <w:vAlign w:val="center"/>
          </w:tcPr>
          <w:p>
            <w:pPr>
              <w:spacing w:line="360" w:lineRule="auto"/>
              <w:jc w:val="center"/>
            </w:pPr>
            <w:r>
              <w:rPr>
                <w:rFonts w:cs="宋体" w:hint="eastAsia"/>
              </w:rPr>
              <w:t>★</w:t>
            </w:r>
          </w:p>
        </w:tc>
        <w:tc>
          <w:tcPr>
            <w:tcW w:w="3396" w:type="dxa"/>
            <w:tcBorders>
              <w:top w:val="single" w:sz="4" w:space="0" w:color="auto"/>
              <w:left w:val="single" w:sz="4" w:space="0" w:color="auto"/>
              <w:right w:val="single" w:sz="4" w:space="0" w:color="auto"/>
            </w:tcBorders>
          </w:tcPr>
          <w:p>
            <w:pPr>
              <w:spacing w:line="360" w:lineRule="auto"/>
              <w:ind w:firstLine="420" w:firstLineChars="200"/>
            </w:pPr>
            <w:r>
              <w:rPr>
                <w:rFonts w:cs="宋体" w:hint="eastAsia"/>
              </w:rPr>
              <w:t>采购人指定地点。</w:t>
            </w:r>
            <w:r>
              <w:rPr>
                <w:rFonts w:cs="宋体"/>
              </w:rPr>
              <w:t>除按采购人要求提供驻场服务外，为保证项目交付和沟通等工作的质量和时效性，投标人须</w:t>
            </w:r>
            <w:r>
              <w:rPr>
                <w:rFonts w:cs="宋体"/>
                <w:color w:val="000000"/>
              </w:rPr>
              <w:t>根据采购人要求，必要时30分钟内到达指定工作场所</w:t>
            </w:r>
            <w:r>
              <w:rPr>
                <w:rFonts w:cs="宋体"/>
              </w:rPr>
              <w:t>，涉及场地租赁、专线等相关费用由投标人自行承担。</w:t>
            </w:r>
          </w:p>
        </w:tc>
        <w:tc>
          <w:tcPr>
            <w:tcW w:w="1303" w:type="dxa"/>
            <w:vAlign w:val="center"/>
          </w:tcPr>
          <w:p>
            <w:pPr>
              <w:spacing w:line="360" w:lineRule="auto"/>
              <w:jc w:val="center"/>
            </w:pPr>
            <w:r>
              <w:rPr>
                <w:rFonts w:cs="宋体" w:hint="eastAsia"/>
              </w:rPr>
              <w:t>是，提供《承诺函》并加盖单位公章</w:t>
            </w:r>
          </w:p>
        </w:tc>
      </w:tr>
    </w:tbl>
    <w:p>
      <w:pPr>
        <w:pStyle w:val="TOC7"/>
        <w:numPr>
          <w:ilvl w:val="0"/>
          <w:numId w:val="2"/>
        </w:numPr>
        <w:rPr>
          <w:rFonts w:hint="eastAsia"/>
          <w:color w:val="000000"/>
        </w:rPr>
      </w:pPr>
      <w:r>
        <w:rPr>
          <w:rFonts w:ascii="宋体" w:hAnsi="宋体" w:hint="eastAsia"/>
        </w:rPr>
        <w:t>其它内容</w:t>
      </w:r>
    </w:p>
    <w:p>
      <w:pPr>
        <w:spacing w:line="360" w:lineRule="auto"/>
      </w:pPr>
      <w:r>
        <w:rPr>
          <w:rFonts w:hint="eastAsia"/>
        </w:rPr>
        <w:t>1.业绩要求</w:t>
      </w:r>
    </w:p>
    <w:p>
      <w:pPr>
        <w:spacing w:line="360" w:lineRule="auto"/>
        <w:rPr>
          <w:color w:val="000000"/>
        </w:rPr>
      </w:pPr>
      <w:r>
        <w:rPr>
          <w:color w:val="000000"/>
        </w:rPr>
        <w:t>投标人提供2021年10月1日起至本项目招标公告发布之日止(以合同签订日期为准)</w:t>
      </w:r>
      <w:r>
        <w:rPr>
          <w:rFonts w:hint="eastAsia"/>
          <w:color w:val="000000"/>
        </w:rPr>
        <w:t>，</w:t>
      </w:r>
      <w:r>
        <w:rPr>
          <w:color w:val="000000"/>
        </w:rPr>
        <w:t xml:space="preserve">与本项目同类开发服务项目的相关业绩材料，包括合同、付款证明、验收报告等。 </w:t>
      </w:r>
    </w:p>
    <w:p>
      <w:pPr>
        <w:spacing w:line="360" w:lineRule="auto"/>
        <w:rPr>
          <w:color w:val="000000"/>
        </w:rPr>
      </w:pPr>
      <w:r>
        <w:rPr>
          <w:rFonts w:hint="eastAsia"/>
          <w:color w:val="000000"/>
        </w:rPr>
        <w:t>2</w:t>
      </w:r>
      <w:r>
        <w:rPr>
          <w:color w:val="000000"/>
        </w:rPr>
        <w:t>.相关主观评审因素要求。</w:t>
      </w:r>
    </w:p>
    <w:p>
      <w:pPr>
        <w:spacing w:line="360" w:lineRule="auto"/>
        <w:rPr>
          <w:color w:val="000000"/>
        </w:rPr>
      </w:pPr>
      <w:r>
        <w:rPr>
          <w:rFonts w:hint="eastAsia"/>
          <w:color w:val="000000"/>
        </w:rPr>
        <w:t>(一)需求理解分析</w:t>
      </w:r>
    </w:p>
    <w:p>
      <w:pPr>
        <w:spacing w:line="360" w:lineRule="auto"/>
        <w:rPr>
          <w:color w:val="000000"/>
        </w:rPr>
      </w:pPr>
      <w:r>
        <w:rPr>
          <w:rFonts w:hint="eastAsia"/>
          <w:color w:val="000000"/>
        </w:rPr>
        <w:t>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spacing w:line="360" w:lineRule="auto"/>
        <w:rPr>
          <w:color w:val="000000"/>
        </w:rPr>
      </w:pPr>
      <w:r>
        <w:rPr>
          <w:rFonts w:hint="eastAsia"/>
          <w:color w:val="000000"/>
        </w:rPr>
        <w:t>(二)实施管理方案</w:t>
      </w:r>
    </w:p>
    <w:p>
      <w:pPr>
        <w:spacing w:line="360" w:lineRule="auto"/>
        <w:rPr>
          <w:color w:val="000000"/>
        </w:rPr>
      </w:pPr>
      <w:r>
        <w:rPr>
          <w:rFonts w:hint="eastAsia"/>
          <w:color w:val="000000"/>
        </w:rPr>
        <w:t>提供项目实施管理方案，对项目实施过程中包括但不限于项目进度控制、应急措施、风险管理、质量管理、人员控制、配置管理、文档管理等方面进行说明。方案措施完善合理、内容全面详细。</w:t>
      </w:r>
    </w:p>
    <w:p>
      <w:pPr>
        <w:spacing w:line="360" w:lineRule="auto"/>
        <w:rPr>
          <w:color w:val="000000"/>
        </w:rPr>
      </w:pPr>
      <w:r>
        <w:rPr>
          <w:rFonts w:hint="eastAsia"/>
          <w:color w:val="000000"/>
        </w:rPr>
        <w:t>(三)技术设计方案</w:t>
      </w:r>
    </w:p>
    <w:p>
      <w:pPr>
        <w:spacing w:line="360" w:lineRule="auto"/>
        <w:rPr>
          <w:color w:val="000000"/>
        </w:rPr>
      </w:pPr>
      <w:r>
        <w:rPr>
          <w:rFonts w:hint="eastAsia"/>
          <w:color w:val="000000"/>
        </w:rPr>
        <w:t>提供技术设计方案，能够充分理解业务需求，对各项功能进行详细描述，包含但不限于业务功能设计、系统架构、部署设计、安全设计、系统接口设计等内容。技术设计方案考虑全面、完整，针对性，可行性强。</w:t>
      </w:r>
    </w:p>
    <w:p>
      <w:pPr>
        <w:spacing w:line="360" w:lineRule="auto"/>
        <w:rPr>
          <w:color w:val="000000"/>
        </w:rPr>
      </w:pPr>
      <w:r>
        <w:rPr>
          <w:rFonts w:hint="eastAsia"/>
          <w:color w:val="000000"/>
        </w:rPr>
        <w:t>（四）运维服务方案</w:t>
      </w:r>
    </w:p>
    <w:p>
      <w:pPr>
        <w:spacing w:line="360" w:lineRule="auto"/>
        <w:rPr>
          <w:color w:val="000000"/>
        </w:rPr>
      </w:pPr>
      <w:r>
        <w:rPr>
          <w:rFonts w:hint="eastAsia"/>
          <w:color w:val="000000"/>
        </w:rPr>
        <w:t>提供运维服务方案</w:t>
      </w:r>
      <w:r>
        <w:rPr>
          <w:color w:val="000000"/>
        </w:rPr>
        <w:t>，</w:t>
      </w:r>
      <w:r>
        <w:rPr>
          <w:rFonts w:hint="eastAsia"/>
          <w:color w:val="000000"/>
        </w:rPr>
        <w:t>包括但不限于运维服务团队配置、服务内容、服务响应时间、故障处理、应急措施等内容等。方案内容全面、处理方式合理、可行性强。</w:t>
      </w:r>
    </w:p>
    <w:p>
      <w:pPr>
        <w:spacing w:line="360" w:lineRule="auto"/>
        <w:rPr>
          <w:color w:val="000000"/>
        </w:rPr>
      </w:pPr>
      <w:r>
        <w:rPr>
          <w:rFonts w:hint="eastAsia"/>
          <w:color w:val="000000"/>
        </w:rPr>
        <w:t>3.</w:t>
      </w:r>
      <w:r>
        <w:rPr>
          <w:color w:val="000000"/>
        </w:rPr>
        <w:t>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523"/>
        <w:gridCol w:w="5037"/>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IndexHeading"/>
              <w:jc w:val="center"/>
              <w:rPr>
                <w:rFonts w:ascii="宋体"/>
                <w:color w:val="000000"/>
              </w:rPr>
            </w:pPr>
            <w:r>
              <w:rPr>
                <w:rFonts w:ascii="宋体" w:hint="eastAsia"/>
                <w:color w:val="000000"/>
              </w:rPr>
              <w:t>序号</w:t>
            </w:r>
          </w:p>
        </w:tc>
        <w:tc>
          <w:tcPr>
            <w:tcW w:w="1140" w:type="dxa"/>
          </w:tcPr>
          <w:p>
            <w:pPr>
              <w:pStyle w:val="Index1"/>
              <w:jc w:val="center"/>
              <w:rPr>
                <w:rFonts w:ascii="宋体"/>
                <w:color w:val="000000"/>
              </w:rPr>
            </w:pPr>
            <w:r>
              <w:rPr>
                <w:rFonts w:ascii="宋体" w:hint="eastAsia"/>
                <w:color w:val="000000"/>
              </w:rPr>
              <w:t>内容</w:t>
            </w:r>
          </w:p>
        </w:tc>
        <w:tc>
          <w:tcPr>
            <w:tcW w:w="1523" w:type="dxa"/>
          </w:tcPr>
          <w:p>
            <w:pPr>
              <w:pStyle w:val="Subtitle"/>
              <w:rPr>
                <w:rFonts w:ascii="宋体"/>
                <w:color w:val="000000"/>
              </w:rPr>
            </w:pPr>
            <w:r>
              <w:rPr>
                <w:rFonts w:ascii="宋体" w:hint="eastAsia"/>
                <w:color w:val="000000"/>
              </w:rPr>
              <w:t>数量</w:t>
            </w:r>
          </w:p>
        </w:tc>
        <w:tc>
          <w:tcPr>
            <w:tcW w:w="5037" w:type="dxa"/>
          </w:tcPr>
          <w:p>
            <w:pPr>
              <w:pStyle w:val="ListNumber5"/>
              <w:tabs>
                <w:tab w:val="left" w:pos="780"/>
                <w:tab w:val="left" w:pos="1200"/>
              </w:tabs>
              <w:ind w:left="780" w:firstLine="0"/>
              <w:jc w:val="center"/>
              <w:rPr>
                <w:rFonts w:ascii="宋体"/>
                <w:color w:val="000000"/>
              </w:rPr>
            </w:pPr>
            <w:r>
              <w:rPr>
                <w:rFonts w:ascii="宋体" w:hint="eastAsia"/>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315"/>
          <w:jc w:val="left"/>
        </w:trPr>
        <w:tc>
          <w:tcPr>
            <w:tcW w:w="808" w:type="dxa"/>
            <w:vAlign w:val="center"/>
          </w:tcPr>
          <w:p>
            <w:pPr>
              <w:pStyle w:val="FootnoteText"/>
              <w:jc w:val="center"/>
              <w:rPr>
                <w:rFonts w:ascii="宋体"/>
                <w:color w:val="000000"/>
              </w:rPr>
            </w:pPr>
            <w:r>
              <w:rPr>
                <w:rFonts w:ascii="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TOC6"/>
              <w:jc w:val="center"/>
              <w:rPr>
                <w:rFonts w:ascii="宋体" w:eastAsia="宋体"/>
                <w:color w:val="000000"/>
              </w:rPr>
            </w:pPr>
            <w:r>
              <w:rPr>
                <w:rFonts w:ascii="宋体" w:eastAsia="宋体" w:cs="宋体" w:hint="eastAsia"/>
                <w:color w:val="000000"/>
              </w:rPr>
              <w:t>重要指标项</w:t>
            </w:r>
          </w:p>
        </w:tc>
        <w:tc>
          <w:tcPr>
            <w:tcW w:w="1523" w:type="dxa"/>
            <w:tcBorders>
              <w:top w:val="single" w:sz="4" w:space="0" w:color="auto"/>
              <w:left w:val="single" w:sz="4" w:space="0" w:color="auto"/>
              <w:right w:val="single" w:sz="4" w:space="0" w:color="auto"/>
            </w:tcBorders>
            <w:vAlign w:val="center"/>
          </w:tcPr>
          <w:p>
            <w:pPr>
              <w:pStyle w:val="BodyTextIndent3"/>
              <w:ind w:firstLine="0"/>
              <w:jc w:val="center"/>
              <w:rPr>
                <w:rFonts w:ascii="宋体"/>
                <w:color w:val="000000"/>
              </w:rPr>
            </w:pPr>
            <w:r>
              <w:rPr>
                <w:rFonts w:ascii="宋体" w:cs="宋体"/>
                <w:color w:val="000000"/>
              </w:rPr>
              <w:t>36</w:t>
            </w:r>
          </w:p>
        </w:tc>
        <w:tc>
          <w:tcPr>
            <w:tcW w:w="5037" w:type="dxa"/>
          </w:tcPr>
          <w:p>
            <w:pPr>
              <w:pStyle w:val="Index9"/>
              <w:spacing w:line="360" w:lineRule="auto"/>
              <w:rPr>
                <w:rFonts w:ascii="宋体" w:cs="宋体"/>
                <w:color w:val="000000"/>
              </w:rPr>
            </w:pPr>
            <w:r>
              <w:rPr>
                <w:rFonts w:ascii="宋体" w:cs="宋体" w:hint="eastAsia"/>
                <w:color w:val="000000"/>
              </w:rPr>
              <w:t>六、货物或服务指标要求9个</w:t>
            </w:r>
            <w:r>
              <w:rPr>
                <w:rFonts w:ascii="宋体" w:cs="宋体"/>
                <w:color w:val="000000"/>
              </w:rPr>
              <w:t>：</w:t>
            </w:r>
            <w:r>
              <w:rPr>
                <w:rFonts w:ascii="宋体" w:cs="宋体" w:hint="eastAsia"/>
                <w:color w:val="000000"/>
              </w:rPr>
              <w:t>第1项5个</w:t>
            </w:r>
            <w:r>
              <w:rPr>
                <w:rFonts w:ascii="宋体" w:cs="宋体"/>
                <w:color w:val="000000"/>
              </w:rPr>
              <w:t>，</w:t>
            </w:r>
            <w:r>
              <w:rPr>
                <w:rFonts w:ascii="宋体" w:cs="宋体" w:hint="eastAsia"/>
                <w:color w:val="000000"/>
              </w:rPr>
              <w:t>第2项1个</w:t>
            </w:r>
            <w:r>
              <w:rPr>
                <w:rFonts w:ascii="宋体" w:cs="宋体"/>
                <w:color w:val="000000"/>
              </w:rPr>
              <w:t>，</w:t>
            </w:r>
            <w:r>
              <w:rPr>
                <w:rFonts w:ascii="宋体" w:cs="宋体" w:hint="eastAsia"/>
                <w:color w:val="000000"/>
              </w:rPr>
              <w:t>第5项3个</w:t>
            </w:r>
            <w:r>
              <w:rPr>
                <w:rFonts w:ascii="宋体" w:cs="宋体"/>
                <w:color w:val="000000"/>
              </w:rPr>
              <w:t>。</w:t>
            </w:r>
          </w:p>
          <w:p>
            <w:pPr>
              <w:pStyle w:val="Index9"/>
              <w:spacing w:line="360" w:lineRule="auto"/>
              <w:rPr>
                <w:rFonts w:ascii="宋体" w:cs="宋体"/>
                <w:color w:val="000000"/>
              </w:rPr>
            </w:pPr>
            <w:r>
              <w:rPr>
                <w:rFonts w:ascii="宋体" w:cs="宋体" w:hint="eastAsia"/>
                <w:color w:val="000000"/>
              </w:rPr>
              <w:t>七、服务要求</w:t>
            </w:r>
            <w:r>
              <w:rPr>
                <w:rFonts w:ascii="宋体" w:cs="宋体"/>
                <w:color w:val="000000"/>
              </w:rPr>
              <w:t>25</w:t>
            </w:r>
            <w:r>
              <w:rPr>
                <w:rFonts w:ascii="宋体" w:cs="宋体" w:hint="eastAsia"/>
                <w:color w:val="000000"/>
              </w:rPr>
              <w:t>个</w:t>
            </w:r>
            <w:r>
              <w:rPr>
                <w:rFonts w:ascii="宋体" w:cs="宋体"/>
                <w:color w:val="000000"/>
              </w:rPr>
              <w:t>：</w:t>
            </w:r>
            <w:r>
              <w:rPr>
                <w:rFonts w:ascii="宋体" w:cs="宋体" w:hint="eastAsia"/>
                <w:color w:val="000000"/>
              </w:rPr>
              <w:t>第1项1个</w:t>
            </w:r>
            <w:r>
              <w:rPr>
                <w:rFonts w:ascii="宋体" w:cs="宋体"/>
                <w:color w:val="000000"/>
              </w:rPr>
              <w:t>，</w:t>
            </w:r>
            <w:r>
              <w:rPr>
                <w:rFonts w:ascii="宋体" w:cs="宋体" w:hint="eastAsia"/>
                <w:color w:val="000000"/>
              </w:rPr>
              <w:t>第2项</w:t>
            </w:r>
            <w:r>
              <w:rPr>
                <w:rFonts w:ascii="宋体" w:cs="宋体"/>
                <w:color w:val="000000"/>
              </w:rPr>
              <w:t>8</w:t>
            </w:r>
            <w:r>
              <w:rPr>
                <w:rFonts w:ascii="宋体" w:cs="宋体" w:hint="eastAsia"/>
                <w:color w:val="000000"/>
              </w:rPr>
              <w:t>个</w:t>
            </w:r>
            <w:r>
              <w:rPr>
                <w:rFonts w:ascii="宋体" w:cs="宋体"/>
                <w:color w:val="000000"/>
              </w:rPr>
              <w:t>，</w:t>
            </w:r>
            <w:r>
              <w:rPr>
                <w:rFonts w:ascii="宋体" w:cs="宋体" w:hint="eastAsia"/>
                <w:color w:val="000000"/>
              </w:rPr>
              <w:t>第3项</w:t>
            </w:r>
            <w:r>
              <w:rPr>
                <w:rFonts w:ascii="宋体" w:cs="宋体"/>
                <w:color w:val="000000"/>
              </w:rPr>
              <w:t>4</w:t>
            </w:r>
            <w:r>
              <w:rPr>
                <w:rFonts w:ascii="宋体" w:cs="宋体" w:hint="eastAsia"/>
                <w:color w:val="000000"/>
              </w:rPr>
              <w:t>个</w:t>
            </w:r>
            <w:r>
              <w:rPr>
                <w:rFonts w:ascii="宋体" w:cs="宋体"/>
                <w:color w:val="000000"/>
              </w:rPr>
              <w:t>，</w:t>
            </w:r>
            <w:r>
              <w:rPr>
                <w:rFonts w:ascii="宋体" w:cs="宋体" w:hint="eastAsia"/>
                <w:color w:val="000000"/>
              </w:rPr>
              <w:t>第5项</w:t>
            </w:r>
            <w:r>
              <w:rPr>
                <w:rFonts w:ascii="宋体" w:cs="宋体"/>
                <w:color w:val="000000"/>
              </w:rPr>
              <w:t>6</w:t>
            </w:r>
            <w:r>
              <w:rPr>
                <w:rFonts w:ascii="宋体" w:cs="宋体" w:hint="eastAsia"/>
                <w:color w:val="000000"/>
              </w:rPr>
              <w:t>个</w:t>
            </w:r>
            <w:r>
              <w:rPr>
                <w:rFonts w:ascii="宋体" w:cs="宋体"/>
                <w:color w:val="000000"/>
              </w:rPr>
              <w:t>，</w:t>
            </w:r>
            <w:r>
              <w:rPr>
                <w:rFonts w:ascii="宋体" w:cs="宋体" w:hint="eastAsia"/>
                <w:color w:val="000000"/>
              </w:rPr>
              <w:t>第8、9项</w:t>
            </w:r>
            <w:r>
              <w:rPr>
                <w:rFonts w:ascii="宋体" w:cs="宋体"/>
                <w:color w:val="000000"/>
              </w:rPr>
              <w:t>各</w:t>
            </w:r>
            <w:r>
              <w:rPr>
                <w:rFonts w:ascii="宋体" w:cs="宋体" w:hint="eastAsia"/>
                <w:color w:val="000000"/>
              </w:rPr>
              <w:t>1个</w:t>
            </w:r>
            <w:r>
              <w:rPr>
                <w:rFonts w:ascii="宋体" w:cs="宋体"/>
                <w:color w:val="000000"/>
              </w:rPr>
              <w:t>，</w:t>
            </w:r>
            <w:r>
              <w:rPr>
                <w:rFonts w:ascii="宋体" w:cs="宋体" w:hint="eastAsia"/>
                <w:color w:val="000000"/>
              </w:rPr>
              <w:t>第13项</w:t>
            </w:r>
            <w:r>
              <w:rPr>
                <w:rFonts w:ascii="宋体" w:cs="宋体"/>
                <w:color w:val="000000"/>
              </w:rPr>
              <w:t>4</w:t>
            </w:r>
            <w:r>
              <w:rPr>
                <w:rFonts w:ascii="宋体" w:cs="宋体" w:hint="eastAsia"/>
                <w:color w:val="000000"/>
              </w:rPr>
              <w:t>个</w:t>
            </w:r>
            <w:r>
              <w:rPr>
                <w:rFonts w:ascii="宋体" w:cs="宋体"/>
                <w:color w:val="000000"/>
              </w:rPr>
              <w:t>。</w:t>
            </w:r>
          </w:p>
          <w:p>
            <w:pPr>
              <w:pStyle w:val="Index9"/>
              <w:rPr>
                <w:rFonts w:ascii="宋体" w:cs="宋体"/>
                <w:color w:val="000000"/>
              </w:rPr>
            </w:pPr>
            <w:r>
              <w:rPr>
                <w:rFonts w:ascii="宋体" w:cs="宋体" w:hint="eastAsia"/>
                <w:color w:val="000000"/>
              </w:rPr>
              <w:t>八、实施要求</w:t>
            </w:r>
            <w:r>
              <w:rPr>
                <w:rFonts w:ascii="宋体" w:cs="宋体"/>
                <w:color w:val="000000"/>
              </w:rPr>
              <w:t>2</w:t>
            </w:r>
            <w:r>
              <w:rPr>
                <w:rFonts w:ascii="宋体" w:cs="宋体" w:hint="eastAsia"/>
                <w:color w:val="000000"/>
              </w:rPr>
              <w:t>个</w:t>
            </w:r>
            <w:r>
              <w:rPr>
                <w:rFonts w:ascii="宋体" w:cs="宋体"/>
                <w:color w:val="000000"/>
              </w:rPr>
              <w:t>：</w:t>
            </w:r>
            <w:r>
              <w:rPr>
                <w:rFonts w:ascii="宋体" w:cs="宋体" w:hint="eastAsia"/>
                <w:color w:val="000000"/>
              </w:rPr>
              <w:t>第6项</w:t>
            </w:r>
            <w:r>
              <w:rPr>
                <w:rFonts w:ascii="宋体" w:cs="宋体"/>
                <w:color w:val="000000"/>
              </w:rPr>
              <w:t>2</w:t>
            </w:r>
            <w:r>
              <w:rPr>
                <w:rFonts w:ascii="宋体" w:cs="宋体" w:hint="eastAsia"/>
                <w:color w:val="000000"/>
              </w:rPr>
              <w:t>个</w:t>
            </w:r>
            <w:r>
              <w:rPr>
                <w:rFonts w:ascii="宋体" w:cs="宋体"/>
                <w:color w:val="000000"/>
              </w:rPr>
              <w:t>。</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FootnoteText"/>
              <w:jc w:val="center"/>
              <w:rPr>
                <w:rFonts w:ascii="宋体"/>
                <w:color w:val="000000"/>
              </w:rPr>
            </w:pPr>
            <w:r>
              <w:rPr>
                <w:rFonts w:ascii="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TOC6"/>
              <w:jc w:val="center"/>
              <w:rPr>
                <w:rFonts w:ascii="宋体" w:eastAsia="宋体"/>
                <w:color w:val="000000"/>
              </w:rPr>
            </w:pPr>
            <w:r>
              <w:rPr>
                <w:rFonts w:ascii="宋体" w:eastAsia="宋体" w:cs="宋体" w:hint="eastAsia"/>
                <w:color w:val="000000"/>
              </w:rPr>
              <w:t>一般指标项</w:t>
            </w:r>
          </w:p>
        </w:tc>
        <w:tc>
          <w:tcPr>
            <w:tcW w:w="1523" w:type="dxa"/>
            <w:tcBorders>
              <w:top w:val="single" w:sz="4" w:space="0" w:color="auto"/>
              <w:left w:val="single" w:sz="4" w:space="0" w:color="auto"/>
              <w:right w:val="single" w:sz="4" w:space="0" w:color="auto"/>
            </w:tcBorders>
            <w:vAlign w:val="center"/>
          </w:tcPr>
          <w:p>
            <w:pPr>
              <w:pStyle w:val="BodyTextIndent3"/>
              <w:ind w:firstLine="0"/>
              <w:jc w:val="center"/>
              <w:rPr>
                <w:rFonts w:ascii="宋体"/>
                <w:color w:val="000000"/>
              </w:rPr>
            </w:pPr>
            <w:r>
              <w:rPr>
                <w:rFonts w:ascii="宋体" w:cs="宋体" w:hint="eastAsia"/>
                <w:color w:val="000000"/>
              </w:rPr>
              <w:t>2</w:t>
            </w:r>
            <w:r>
              <w:rPr>
                <w:rFonts w:ascii="宋体" w:cs="宋体"/>
                <w:color w:val="000000"/>
              </w:rPr>
              <w:t>88</w:t>
            </w:r>
          </w:p>
        </w:tc>
        <w:tc>
          <w:tcPr>
            <w:tcW w:w="5037" w:type="dxa"/>
          </w:tcPr>
          <w:p>
            <w:pPr>
              <w:pStyle w:val="Index9"/>
              <w:spacing w:line="360" w:lineRule="auto"/>
              <w:rPr>
                <w:rFonts w:ascii="宋体" w:cs="宋体"/>
                <w:color w:val="000000"/>
              </w:rPr>
            </w:pPr>
            <w:r>
              <w:rPr>
                <w:rFonts w:ascii="宋体" w:cs="宋体" w:hint="eastAsia"/>
                <w:color w:val="000000"/>
              </w:rPr>
              <w:t>五、集成需求3个</w:t>
            </w:r>
            <w:r>
              <w:rPr>
                <w:rFonts w:ascii="宋体" w:cs="宋体"/>
                <w:color w:val="000000"/>
              </w:rPr>
              <w:t>：</w:t>
            </w:r>
            <w:r>
              <w:rPr>
                <w:rFonts w:ascii="宋体" w:cs="宋体" w:hint="eastAsia"/>
                <w:color w:val="000000"/>
              </w:rPr>
              <w:t>第1</w:t>
            </w:r>
            <w:r>
              <w:rPr>
                <w:rFonts w:ascii="宋体" w:cs="宋体"/>
                <w:color w:val="000000"/>
              </w:rPr>
              <w:t>至</w:t>
            </w:r>
            <w:r>
              <w:rPr>
                <w:rFonts w:ascii="宋体" w:cs="宋体" w:hint="eastAsia"/>
                <w:color w:val="000000"/>
              </w:rPr>
              <w:t>3项</w:t>
            </w:r>
            <w:r>
              <w:rPr>
                <w:rFonts w:ascii="宋体" w:cs="宋体"/>
                <w:color w:val="000000"/>
              </w:rPr>
              <w:t>各1</w:t>
            </w:r>
            <w:r>
              <w:rPr>
                <w:rFonts w:ascii="宋体" w:cs="宋体" w:hint="eastAsia"/>
                <w:color w:val="000000"/>
              </w:rPr>
              <w:t>个</w:t>
            </w:r>
            <w:r>
              <w:rPr>
                <w:rFonts w:ascii="宋体" w:cs="宋体"/>
                <w:color w:val="000000"/>
              </w:rPr>
              <w:t>。</w:t>
            </w:r>
          </w:p>
          <w:p>
            <w:pPr>
              <w:pStyle w:val="Index9"/>
              <w:spacing w:line="360" w:lineRule="auto"/>
              <w:rPr>
                <w:rFonts w:ascii="宋体" w:cs="宋体"/>
                <w:color w:val="000000"/>
              </w:rPr>
            </w:pPr>
            <w:r>
              <w:rPr>
                <w:rFonts w:ascii="宋体" w:cs="宋体" w:hint="eastAsia"/>
                <w:color w:val="000000"/>
              </w:rPr>
              <w:t>六、货物或服务指标要求</w:t>
            </w:r>
            <w:r>
              <w:rPr>
                <w:rFonts w:ascii="宋体" w:cs="宋体"/>
                <w:color w:val="000000"/>
              </w:rPr>
              <w:t>279</w:t>
            </w:r>
            <w:r>
              <w:rPr>
                <w:rFonts w:ascii="宋体" w:cs="宋体" w:hint="eastAsia"/>
                <w:color w:val="000000"/>
              </w:rPr>
              <w:t>个</w:t>
            </w:r>
            <w:r>
              <w:rPr>
                <w:rFonts w:ascii="宋体" w:cs="宋体"/>
                <w:color w:val="000000"/>
              </w:rPr>
              <w:t>：</w:t>
            </w:r>
            <w:r>
              <w:rPr>
                <w:rFonts w:ascii="宋体" w:cs="宋体" w:hint="eastAsia"/>
                <w:color w:val="000000"/>
              </w:rPr>
              <w:t>第3</w:t>
            </w:r>
            <w:r>
              <w:rPr>
                <w:rFonts w:ascii="宋体" w:cs="宋体"/>
                <w:color w:val="000000"/>
              </w:rPr>
              <w:t>至</w:t>
            </w:r>
            <w:r>
              <w:rPr>
                <w:rFonts w:ascii="宋体" w:cs="宋体" w:hint="eastAsia"/>
                <w:color w:val="000000"/>
              </w:rPr>
              <w:t>4项</w:t>
            </w:r>
            <w:r>
              <w:rPr>
                <w:rFonts w:ascii="宋体" w:cs="宋体"/>
                <w:color w:val="000000"/>
              </w:rPr>
              <w:t>、第6项、</w:t>
            </w:r>
            <w:r>
              <w:rPr>
                <w:rFonts w:ascii="宋体" w:cs="宋体" w:hint="eastAsia"/>
                <w:color w:val="000000"/>
              </w:rPr>
              <w:t>第8</w:t>
            </w:r>
            <w:r>
              <w:rPr>
                <w:rFonts w:ascii="宋体" w:cs="宋体"/>
                <w:color w:val="000000"/>
              </w:rPr>
              <w:t>至37</w:t>
            </w:r>
            <w:r>
              <w:rPr>
                <w:rFonts w:ascii="宋体" w:cs="宋体" w:hint="eastAsia"/>
                <w:color w:val="000000"/>
              </w:rPr>
              <w:t>项</w:t>
            </w:r>
            <w:r>
              <w:rPr>
                <w:rFonts w:ascii="宋体" w:cs="宋体"/>
                <w:color w:val="000000"/>
              </w:rPr>
              <w:t>、第39至64项、第66至67项、第69至73项、第75至77项、第79至82项、第84至88项、第92项、第95至96项、第99至112项、第115至152项、第154至156项、第159至186项各</w:t>
            </w:r>
            <w:r>
              <w:rPr>
                <w:rFonts w:ascii="宋体" w:cs="宋体" w:hint="eastAsia"/>
                <w:color w:val="000000"/>
              </w:rPr>
              <w:t>1个</w:t>
            </w:r>
            <w:r>
              <w:rPr>
                <w:rFonts w:ascii="宋体" w:cs="宋体"/>
                <w:color w:val="000000"/>
              </w:rPr>
              <w:t>，</w:t>
            </w:r>
            <w:r>
              <w:rPr>
                <w:rFonts w:ascii="宋体" w:cs="宋体" w:hint="eastAsia"/>
                <w:color w:val="000000"/>
              </w:rPr>
              <w:t>第</w:t>
            </w:r>
            <w:r>
              <w:rPr>
                <w:rFonts w:ascii="宋体" w:cs="宋体"/>
                <w:color w:val="000000"/>
              </w:rPr>
              <w:t>38、78、153、158</w:t>
            </w:r>
            <w:r>
              <w:rPr>
                <w:rFonts w:ascii="宋体" w:cs="宋体" w:hint="eastAsia"/>
                <w:color w:val="000000"/>
              </w:rPr>
              <w:t>项</w:t>
            </w:r>
            <w:r>
              <w:rPr>
                <w:rFonts w:ascii="宋体" w:cs="宋体"/>
                <w:color w:val="000000"/>
              </w:rPr>
              <w:t>各2</w:t>
            </w:r>
            <w:r>
              <w:rPr>
                <w:rFonts w:ascii="宋体" w:cs="宋体" w:hint="eastAsia"/>
                <w:color w:val="000000"/>
              </w:rPr>
              <w:t>个</w:t>
            </w:r>
            <w:r>
              <w:rPr>
                <w:rFonts w:ascii="宋体" w:cs="宋体"/>
                <w:color w:val="000000"/>
              </w:rPr>
              <w:t>，第68、157项各3个，第89、90项各4个，第98项5个，第65、74、83、91项各6个，第114项7个，第97项8个，第94、113项各10个，第93项11个，第187项18个。</w:t>
            </w:r>
          </w:p>
          <w:p>
            <w:pPr>
              <w:pStyle w:val="Index9"/>
              <w:spacing w:line="360" w:lineRule="auto"/>
              <w:rPr>
                <w:rFonts w:ascii="宋体" w:cs="宋体"/>
                <w:color w:val="000000"/>
              </w:rPr>
            </w:pPr>
            <w:r>
              <w:rPr>
                <w:rFonts w:ascii="宋体" w:cs="宋体" w:hint="eastAsia"/>
                <w:color w:val="000000"/>
              </w:rPr>
              <w:t>七、服务要求2个</w:t>
            </w:r>
            <w:r>
              <w:rPr>
                <w:rFonts w:ascii="宋体" w:cs="宋体"/>
                <w:color w:val="000000"/>
              </w:rPr>
              <w:t>：</w:t>
            </w:r>
            <w:r>
              <w:rPr>
                <w:rFonts w:ascii="宋体" w:cs="宋体" w:hint="eastAsia"/>
                <w:color w:val="000000"/>
              </w:rPr>
              <w:t>第6</w:t>
            </w:r>
            <w:r>
              <w:rPr>
                <w:rFonts w:ascii="宋体" w:cs="宋体"/>
                <w:color w:val="000000"/>
              </w:rPr>
              <w:t>、</w:t>
            </w:r>
            <w:r>
              <w:rPr>
                <w:rFonts w:ascii="宋体" w:cs="宋体" w:hint="eastAsia"/>
                <w:color w:val="000000"/>
              </w:rPr>
              <w:t>7项</w:t>
            </w:r>
            <w:r>
              <w:rPr>
                <w:rFonts w:ascii="宋体" w:cs="宋体"/>
                <w:color w:val="000000"/>
              </w:rPr>
              <w:t>各</w:t>
            </w:r>
            <w:r>
              <w:rPr>
                <w:rFonts w:ascii="宋体" w:cs="宋体" w:hint="eastAsia"/>
                <w:color w:val="000000"/>
              </w:rPr>
              <w:t>1个</w:t>
            </w:r>
            <w:r>
              <w:rPr>
                <w:rFonts w:ascii="宋体" w:cs="宋体"/>
                <w:color w:val="000000"/>
              </w:rPr>
              <w:t>。</w:t>
            </w:r>
          </w:p>
          <w:p>
            <w:pPr>
              <w:pStyle w:val="Index9"/>
              <w:jc w:val="left"/>
              <w:rPr>
                <w:rFonts w:ascii="宋体" w:cs="宋体"/>
                <w:color w:val="000000"/>
              </w:rPr>
            </w:pPr>
            <w:r>
              <w:rPr>
                <w:rFonts w:ascii="宋体" w:cs="宋体" w:hint="eastAsia"/>
                <w:color w:val="000000"/>
              </w:rPr>
              <w:t>八、实施要求4个</w:t>
            </w:r>
            <w:r>
              <w:rPr>
                <w:rFonts w:ascii="宋体" w:cs="宋体"/>
                <w:color w:val="000000"/>
              </w:rPr>
              <w:t>：</w:t>
            </w:r>
            <w:r>
              <w:rPr>
                <w:rFonts w:ascii="宋体" w:cs="宋体" w:hint="eastAsia"/>
                <w:color w:val="000000"/>
              </w:rPr>
              <w:t>第1、</w:t>
            </w:r>
            <w:r>
              <w:rPr>
                <w:rFonts w:ascii="宋体" w:cs="宋体"/>
                <w:color w:val="000000"/>
              </w:rPr>
              <w:t>2、3、</w:t>
            </w:r>
            <w:r>
              <w:rPr>
                <w:rFonts w:ascii="宋体" w:cs="宋体" w:hint="eastAsia"/>
                <w:color w:val="000000"/>
              </w:rPr>
              <w:t>5项</w:t>
            </w:r>
            <w:r>
              <w:rPr>
                <w:rFonts w:ascii="宋体" w:cs="宋体"/>
                <w:color w:val="000000"/>
              </w:rPr>
              <w:t>各</w:t>
            </w:r>
            <w:r>
              <w:rPr>
                <w:rFonts w:ascii="宋体" w:cs="宋体" w:hint="eastAsia"/>
                <w:color w:val="000000"/>
              </w:rPr>
              <w:t>1个</w:t>
            </w:r>
            <w:r>
              <w:rPr>
                <w:rFonts w:ascii="宋体" w:cs="宋体"/>
                <w:color w:val="000000"/>
              </w:rPr>
              <w:t>。</w:t>
            </w:r>
          </w:p>
        </w:tc>
      </w:tr>
    </w:tbl>
    <w:p>
      <w:pPr>
        <w:pStyle w:val="TableofFigures"/>
        <w:rPr>
          <w:rFonts w:ascii="宋体"/>
          <w:b/>
          <w:bCs/>
          <w:color w:val="000000"/>
        </w:rPr>
      </w:pPr>
      <w:r>
        <w:rPr>
          <w:rFonts w:ascii="宋体" w:hint="eastAsia"/>
          <w:b/>
          <w:bCs/>
          <w:color w:val="000000"/>
        </w:rPr>
        <w:t>备注：</w:t>
      </w:r>
    </w:p>
    <w:p>
      <w:pPr>
        <w:pStyle w:val="TableofFigures"/>
        <w:rPr>
          <w:rFonts w:ascii="宋体"/>
          <w:color w:val="000000"/>
        </w:rPr>
      </w:pPr>
      <w:r>
        <w:rPr>
          <w:rFonts w:ascii="宋体" w:hint="eastAsia"/>
          <w:color w:val="000000"/>
        </w:rPr>
        <w:t>①表格内容填写完整、规范，确保无缺漏项。</w:t>
      </w:r>
    </w:p>
    <w:p>
      <w:pPr>
        <w:pStyle w:val="TOC2"/>
        <w:rPr>
          <w:rFonts w:ascii="宋体" w:eastAsia="宋体"/>
          <w:color w:val="000000"/>
        </w:rPr>
      </w:pPr>
      <w:r>
        <w:rPr>
          <w:rFonts w:ascii="宋体" w:eastAsia="宋体" w:hint="eastAsia"/>
          <w:color w:val="000000"/>
        </w:rPr>
        <w:t>②第</w:t>
      </w:r>
      <w:r>
        <w:rPr>
          <w:rFonts w:ascii="宋体" w:eastAsia="宋体"/>
          <w:color w:val="000000"/>
        </w:rPr>
        <w:t>五</w:t>
      </w:r>
      <w:r>
        <w:rPr>
          <w:rFonts w:ascii="宋体" w:eastAsia="宋体" w:hint="eastAsia"/>
          <w:color w:val="000000"/>
        </w:rPr>
        <w:t>部分至第</w:t>
      </w:r>
      <w:r>
        <w:rPr>
          <w:rFonts w:ascii="宋体" w:eastAsia="宋体"/>
          <w:color w:val="000000"/>
        </w:rPr>
        <w:t>九</w:t>
      </w:r>
      <w:r>
        <w:rPr>
          <w:rFonts w:ascii="宋体" w:eastAsia="宋体" w:hint="eastAsia"/>
          <w:color w:val="000000"/>
        </w:rPr>
        <w:t>部分（集成需求、货物或服务指标要求、服务要求、实施</w:t>
      </w:r>
      <w:r>
        <w:rPr>
          <w:rFonts w:ascii="宋体" w:eastAsia="宋体"/>
          <w:color w:val="000000"/>
        </w:rPr>
        <w:t>要求、其它内容</w:t>
      </w:r>
      <w:r>
        <w:rPr>
          <w:rFonts w:ascii="宋体" w:eastAsia="宋体" w:hint="eastAsia"/>
          <w:color w:val="000000"/>
        </w:rPr>
        <w:t>）内容需按照法律规定将评审因素细化、量化，制定科学合理评分标准，第</w:t>
      </w:r>
      <w:r>
        <w:rPr>
          <w:rFonts w:ascii="宋体" w:eastAsia="宋体"/>
          <w:color w:val="000000"/>
        </w:rPr>
        <w:t>四</w:t>
      </w:r>
      <w:r>
        <w:rPr>
          <w:rFonts w:ascii="宋体" w:eastAsia="宋体" w:hint="eastAsia"/>
          <w:color w:val="000000"/>
        </w:rPr>
        <w:t>部分（项目概述）根据具体内容研判是否设置评分标准。</w:t>
      </w:r>
    </w:p>
    <w:p>
      <w:pPr>
        <w:pStyle w:val="TOC2"/>
        <w:rPr>
          <w:rFonts w:ascii="宋体" w:eastAsia="宋体"/>
        </w:rPr>
      </w:pPr>
      <w:r>
        <w:rPr>
          <w:rFonts w:ascii="宋体" w:eastAsia="宋体" w:hint="eastAsia"/>
          <w:color w:val="000000"/>
        </w:rPr>
        <w:t>③需统计重要指标项和一般指标项数量，并分别填入</w:t>
      </w:r>
      <w:r>
        <w:rPr>
          <w:rFonts w:ascii="宋体" w:eastAsia="宋体"/>
          <w:color w:val="000000"/>
        </w:rPr>
        <w:t>《技术服务需求响应程度表》</w:t>
      </w:r>
      <w:r>
        <w:rPr>
          <w:rFonts w:ascii="宋体" w:eastAsia="宋体" w:hint="eastAsia"/>
          <w:color w:val="000000"/>
        </w:rPr>
        <w:t>。</w:t>
      </w:r>
    </w:p>
    <w:p>
      <w:pPr>
        <w:rPr>
          <w:color w:val="0000FF"/>
        </w:rPr>
      </w:pPr>
    </w:p>
    <w:p>
      <w:pPr>
        <w:pStyle w:val="Heading1"/>
      </w:pPr>
      <w:r>
        <w:rPr>
          <w:highlight w:val="white"/>
        </w:rPr>
        <w:br w:type="page"/>
      </w:r>
      <w:bookmarkStart w:id="44" w:name="_Toc65406666"/>
      <w:r>
        <w:rPr>
          <w:rFonts w:hint="eastAsia"/>
          <w:highlight w:val="white"/>
        </w:rPr>
        <w:t>第</w:t>
      </w:r>
      <w:r>
        <w:rPr>
          <w:highlight w:val="white"/>
        </w:rPr>
        <w:t>四</w:t>
      </w:r>
      <w:r>
        <w:rPr>
          <w:rFonts w:hint="eastAsia"/>
          <w:highlight w:val="white"/>
        </w:rPr>
        <w:t>部分  评审标准</w:t>
      </w:r>
      <w:bookmarkEnd w:id="44"/>
    </w:p>
    <w:p>
      <w:bookmarkStart w:id="45" w:name="插入_评审标准"/>
      <w:r>
        <w:t>包1</w:t>
      </w:r>
    </w:p>
    <w:p>
      <w:r>
        <w:t>符合性审查指标</w:t>
      </w:r>
    </w:p>
    <w:tbl>
      <w:tblPr>
        <w:tblW w:w="852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36"/>
        <w:gridCol w:w="7093"/>
      </w:tblGrid>
      <w:tr>
        <w:tblPrEx>
          <w:tblW w:w="852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8529" w:type="dxa"/>
          <w:jc w:val="left"/>
          <w:tblInd w:w="0" w:type="dxa"/>
          <w:tblLayout w:type="fixed"/>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882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2"/>
        <w:gridCol w:w="636"/>
        <w:gridCol w:w="6921"/>
        <w:gridCol w:w="746"/>
      </w:tblGrid>
      <w:tr>
        <w:tblPrEx>
          <w:tblW w:w="882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522" w:type="dxa"/>
          </w:tcPr>
          <w:p>
            <w:r>
              <w:t>主客观项</w:t>
            </w:r>
          </w:p>
        </w:tc>
        <w:tc>
          <w:tcPr>
            <w:tcW w:w="636" w:type="dxa"/>
          </w:tcPr>
          <w:p>
            <w:r>
              <w:t>评审因素</w:t>
            </w:r>
          </w:p>
        </w:tc>
        <w:tc>
          <w:tcPr>
            <w:tcW w:w="6921" w:type="dxa"/>
          </w:tcPr>
          <w:p>
            <w:r>
              <w:t>评分标准说明</w:t>
            </w:r>
          </w:p>
        </w:tc>
        <w:tc>
          <w:tcPr>
            <w:tcW w:w="746" w:type="dxa"/>
          </w:tcPr>
          <w:p>
            <w:r>
              <w:t>分值范围</w:t>
            </w:r>
          </w:p>
        </w:tc>
      </w:tr>
      <w:tr>
        <w:tblPrEx>
          <w:tblW w:w="8825" w:type="dxa"/>
          <w:jc w:val="left"/>
          <w:tblInd w:w="0" w:type="dxa"/>
          <w:tblLayout w:type="fixed"/>
          <w:tblCellMar>
            <w:top w:w="0" w:type="dxa"/>
            <w:left w:w="108" w:type="dxa"/>
            <w:bottom w:w="0" w:type="dxa"/>
            <w:right w:w="108" w:type="dxa"/>
          </w:tblCellMar>
        </w:tblPrEx>
        <w:trPr>
          <w:jc w:val="left"/>
        </w:trPr>
        <w:tc>
          <w:tcPr>
            <w:tcW w:w="522" w:type="dxa"/>
          </w:tcPr>
          <w:p>
            <w:r>
              <w:t>价格分</w:t>
            </w:r>
          </w:p>
        </w:tc>
        <w:tc>
          <w:tcPr>
            <w:tcW w:w="636" w:type="dxa"/>
            <w:tcBorders>
              <w:top w:val="single" w:sz="4" w:space="0" w:color="auto"/>
              <w:left w:val="single" w:sz="4" w:space="0" w:color="auto"/>
              <w:right w:val="single" w:sz="4" w:space="0" w:color="auto"/>
            </w:tcBorders>
          </w:tcPr>
          <w:p>
            <w:r>
              <w:t>报价得分</w:t>
            </w:r>
          </w:p>
        </w:tc>
        <w:tc>
          <w:tcPr>
            <w:tcW w:w="6921" w:type="dxa"/>
            <w:tcBorders>
              <w:top w:val="single" w:sz="4" w:space="0" w:color="auto"/>
              <w:left w:val="single" w:sz="4" w:space="0" w:color="auto"/>
              <w:right w:val="single" w:sz="4" w:space="0" w:color="auto"/>
            </w:tcBorders>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746" w:type="dxa"/>
          </w:tcPr>
          <w:p>
            <w:r>
              <w:t>区间打分(0-10)</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val="restart"/>
          </w:tcPr>
          <w:p>
            <w:r>
              <w:t>商务部分</w:t>
            </w:r>
          </w:p>
        </w:tc>
        <w:tc>
          <w:tcPr>
            <w:tcW w:w="636" w:type="dxa"/>
            <w:tcBorders>
              <w:top w:val="single" w:sz="4" w:space="0" w:color="auto"/>
              <w:left w:val="single" w:sz="4" w:space="0" w:color="auto"/>
              <w:right w:val="single" w:sz="4" w:space="0" w:color="auto"/>
            </w:tcBorders>
          </w:tcPr>
          <w:p>
            <w:r>
              <w:t>企业综合实力</w:t>
            </w:r>
          </w:p>
        </w:tc>
        <w:tc>
          <w:tcPr>
            <w:tcW w:w="6921" w:type="dxa"/>
            <w:tcBorders>
              <w:top w:val="single" w:sz="4" w:space="0" w:color="auto"/>
              <w:left w:val="single" w:sz="4" w:space="0" w:color="auto"/>
              <w:right w:val="single" w:sz="4" w:space="0" w:color="auto"/>
            </w:tcBorders>
          </w:tcPr>
          <w:p>
            <w:r>
              <w:t xml:space="preserve">1.投标人具有ISO 9001质量管理体系认证证书得0.5分，否则不得分。         2.投标人具有ISO20000信息技术服务体系认证证书得0.5分，否则不得分。       3.投标人具有ISO27001信息安全管理体系认证证书得0.5分，否则不得分。           </w:t>
            </w:r>
          </w:p>
          <w:p/>
          <w:p>
            <w:r>
              <w:t>注：上述证书均需处于有效期内，否则不得分。需提供证书复印件并加盖投标人公章。</w:t>
            </w:r>
          </w:p>
        </w:tc>
        <w:tc>
          <w:tcPr>
            <w:tcW w:w="746" w:type="dxa"/>
          </w:tcPr>
          <w:p>
            <w:r>
              <w:t>勾选打分(0;0.5;1;1.5)</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tcPr>
          <w:p/>
        </w:tc>
        <w:tc>
          <w:tcPr>
            <w:tcW w:w="636" w:type="dxa"/>
            <w:tcBorders>
              <w:top w:val="single" w:sz="4" w:space="0" w:color="auto"/>
              <w:left w:val="single" w:sz="4" w:space="0" w:color="auto"/>
              <w:right w:val="single" w:sz="4" w:space="0" w:color="auto"/>
            </w:tcBorders>
          </w:tcPr>
          <w:p>
            <w:r>
              <w:t>投标文件编制质量、对招标文件的响应程度</w:t>
            </w:r>
          </w:p>
        </w:tc>
        <w:tc>
          <w:tcPr>
            <w:tcW w:w="6921" w:type="dxa"/>
            <w:tcBorders>
              <w:top w:val="single" w:sz="4" w:space="0" w:color="auto"/>
              <w:left w:val="single" w:sz="4" w:space="0" w:color="auto"/>
              <w:right w:val="single" w:sz="4" w:space="0" w:color="auto"/>
            </w:tcBorders>
          </w:tcPr>
          <w:p>
            <w:r>
              <w:t xml:space="preserve">电子投标文件的逐项响应、定位和绑定清晰准确得1.9分；        </w:t>
            </w:r>
          </w:p>
          <w:p>
            <w:r>
              <w:t xml:space="preserve">有一项未响应或定位和绑定模糊、有偏差的得1.0分；     </w:t>
            </w:r>
          </w:p>
          <w:p>
            <w:r>
              <w:t>有两项或两项以上未响应或定位和绑定模糊、有偏差的得0分。</w:t>
            </w:r>
          </w:p>
        </w:tc>
        <w:tc>
          <w:tcPr>
            <w:tcW w:w="746" w:type="dxa"/>
          </w:tcPr>
          <w:p>
            <w:r>
              <w:t>勾选打分(0;1;1.9)</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tcPr>
          <w:p/>
        </w:tc>
        <w:tc>
          <w:tcPr>
            <w:tcW w:w="636" w:type="dxa"/>
            <w:tcBorders>
              <w:top w:val="single" w:sz="4" w:space="0" w:color="auto"/>
              <w:left w:val="single" w:sz="4" w:space="0" w:color="auto"/>
              <w:right w:val="single" w:sz="4" w:space="0" w:color="auto"/>
            </w:tcBorders>
          </w:tcPr>
          <w:p>
            <w:r>
              <w:t>投标人业绩</w:t>
            </w:r>
          </w:p>
        </w:tc>
        <w:tc>
          <w:tcPr>
            <w:tcW w:w="6921" w:type="dxa"/>
            <w:tcBorders>
              <w:top w:val="single" w:sz="4" w:space="0" w:color="auto"/>
              <w:left w:val="single" w:sz="4" w:space="0" w:color="auto"/>
              <w:right w:val="single" w:sz="4" w:space="0" w:color="auto"/>
            </w:tcBorders>
          </w:tcPr>
          <w:p>
            <w:pPr>
              <w:pStyle w:val="BodyText2"/>
            </w:pPr>
            <w:r>
              <w:t>投标人提供2021年10月1日起至本项目招标公告发布之日止(以合同签订日期为准)</w:t>
            </w:r>
            <w:r>
              <w:rPr>
                <w:rFonts w:hint="eastAsia"/>
                <w:lang w:eastAsia="zh-CN"/>
              </w:rPr>
              <w:t>，</w:t>
            </w:r>
            <w:r>
              <w:t xml:space="preserve">与本项目同类开发服务项目的相关业绩材料等。每提供一个有效业绩得1 分，最多得5分。         </w:t>
            </w:r>
          </w:p>
          <w:p>
            <w:r>
              <w:t xml:space="preserve">   </w:t>
            </w:r>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2.提供的业绩材料复印件须字迹清晰，辨识无误；      </w:t>
            </w:r>
          </w:p>
          <w:p>
            <w:r>
              <w:t>3.不符合上述要求或未按要求提供有效证明文件的业绩在评审时将不予以承认。</w:t>
            </w:r>
          </w:p>
        </w:tc>
        <w:tc>
          <w:tcPr>
            <w:tcW w:w="746" w:type="dxa"/>
          </w:tcPr>
          <w:p>
            <w:r>
              <w:t>勾选打分(0;1;2;3;4;5)</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val="restart"/>
          </w:tcPr>
          <w:p>
            <w:r>
              <w:t>技术部分</w:t>
            </w:r>
          </w:p>
        </w:tc>
        <w:tc>
          <w:tcPr>
            <w:tcW w:w="636" w:type="dxa"/>
            <w:tcBorders>
              <w:top w:val="single" w:sz="4" w:space="0" w:color="auto"/>
              <w:left w:val="single" w:sz="4" w:space="0" w:color="auto"/>
              <w:right w:val="single" w:sz="4" w:space="0" w:color="auto"/>
            </w:tcBorders>
          </w:tcPr>
          <w:p>
            <w:r>
              <w:t>技术需求响应程度</w:t>
            </w:r>
          </w:p>
        </w:tc>
        <w:tc>
          <w:tcPr>
            <w:tcW w:w="6921" w:type="dxa"/>
            <w:tcBorders>
              <w:top w:val="single" w:sz="4" w:space="0" w:color="auto"/>
              <w:left w:val="single" w:sz="4" w:space="0" w:color="auto"/>
              <w:right w:val="single" w:sz="4" w:space="0" w:color="auto"/>
            </w:tcBorders>
          </w:tcPr>
          <w:p>
            <w:r>
              <w:t xml:space="preserve">完全满足招标文件项目需求书相关要求得64.8分，标注▲重要指标项每有一项不满足扣1分，一般指标项每有一项不满足扣0.1分。              </w:t>
            </w:r>
          </w:p>
          <w:p/>
          <w:p>
            <w:r>
              <w:t xml:space="preserve">重要指标共36个：分别为：  </w:t>
            </w:r>
          </w:p>
          <w:p>
            <w:r>
              <w:t xml:space="preserve">六、货物或服务指标要求9个：第1项5个，第2项1个，第5项3个。 七、服务要求25个：第1项1个，第2项8个，第3项4个，第5项6个，第8、9项各1个，第13项4个。 </w:t>
            </w:r>
          </w:p>
          <w:p>
            <w:r>
              <w:t xml:space="preserve">八、实施要求2个：第6项2个。  </w:t>
            </w:r>
          </w:p>
          <w:p/>
          <w:p>
            <w:r>
              <w:t xml:space="preserve">一般指标项共288个： 分别为：               </w:t>
            </w:r>
          </w:p>
          <w:p>
            <w:r>
              <w:t>五、集成需求3个：第1至3项各1个。</w:t>
            </w:r>
          </w:p>
          <w:p>
            <w:r>
              <w:t xml:space="preserve">六、货物或服务指标要求279个：第3至4项、第6项、第8至37项、第39至64项、第66至67项、第69至73项、第75至77项、第79至82项、第84至88项、第92项、第95至96项、第99至112项、第115至152项、第154至156项、第159至186项各1个，第38、78、153、158项各2个，第68、157项各3个，第89、90项各4个，第98项5个，第65、74、83、91项各6个，第114项7个，第97项8个，第94、113项各10个，第93项11个，第187项18个。 </w:t>
            </w:r>
          </w:p>
          <w:p>
            <w:r>
              <w:t xml:space="preserve">七、服务要求2个：第6、7项各1个。 </w:t>
            </w:r>
          </w:p>
          <w:p>
            <w:r>
              <w:t>八、实施要求4个：第1、2、3、5项各1个。</w:t>
            </w:r>
          </w:p>
        </w:tc>
        <w:tc>
          <w:tcPr>
            <w:tcW w:w="746" w:type="dxa"/>
          </w:tcPr>
          <w:p>
            <w:r>
              <w:t>区间打分(0-64.8)</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tcPr>
          <w:p/>
        </w:tc>
        <w:tc>
          <w:tcPr>
            <w:tcW w:w="636" w:type="dxa"/>
            <w:tcBorders>
              <w:top w:val="single" w:sz="4" w:space="0" w:color="auto"/>
              <w:left w:val="single" w:sz="4" w:space="0" w:color="auto"/>
              <w:right w:val="single" w:sz="4" w:space="0" w:color="auto"/>
            </w:tcBorders>
          </w:tcPr>
          <w:p>
            <w:r>
              <w:t>需求理解分析</w:t>
            </w:r>
          </w:p>
        </w:tc>
        <w:tc>
          <w:tcPr>
            <w:tcW w:w="6921" w:type="dxa"/>
            <w:tcBorders>
              <w:top w:val="single" w:sz="4" w:space="0" w:color="auto"/>
              <w:left w:val="single" w:sz="4" w:space="0" w:color="auto"/>
              <w:right w:val="single" w:sz="4" w:space="0" w:color="auto"/>
            </w:tcBorders>
          </w:tcPr>
          <w:p>
            <w:r>
              <w:t xml:space="preserve">投标人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需求理解分析科学周密，内容全面，完全契合项目实际，针对性可行性强，得4.2分。                   </w:t>
            </w:r>
          </w:p>
          <w:p>
            <w:r>
              <w:t xml:space="preserve">需求理解分析内容完整，可以满足项目需要，针对性可行性较强，但需求理解分析内容（两个及以下）中有缺陷（缺陷包括：与事实不符、前后内容不一致、逻辑错误、不符合采购需求、内容有缺失等），得2.8分。                      需求理解分析内容有漏项，未完全包括上述内容要求，或三个及以上内容中存在缺陷，得1.4分。                       </w:t>
            </w:r>
          </w:p>
          <w:p>
            <w:r>
              <w:t>未提供需求理解分析或需求理解分析严重脱离项目实际，得0分。</w:t>
            </w:r>
          </w:p>
        </w:tc>
        <w:tc>
          <w:tcPr>
            <w:tcW w:w="746" w:type="dxa"/>
          </w:tcPr>
          <w:p>
            <w:r>
              <w:t>勾选打分(0;1.4;2.8;4.2)</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tcPr>
          <w:p/>
        </w:tc>
        <w:tc>
          <w:tcPr>
            <w:tcW w:w="636" w:type="dxa"/>
            <w:tcBorders>
              <w:top w:val="single" w:sz="4" w:space="0" w:color="auto"/>
              <w:left w:val="single" w:sz="4" w:space="0" w:color="auto"/>
              <w:right w:val="single" w:sz="4" w:space="0" w:color="auto"/>
            </w:tcBorders>
          </w:tcPr>
          <w:p>
            <w:r>
              <w:t>技术设计方案</w:t>
            </w:r>
          </w:p>
        </w:tc>
        <w:tc>
          <w:tcPr>
            <w:tcW w:w="6921" w:type="dxa"/>
            <w:tcBorders>
              <w:top w:val="single" w:sz="4" w:space="0" w:color="auto"/>
              <w:left w:val="single" w:sz="4" w:space="0" w:color="auto"/>
              <w:right w:val="single" w:sz="4" w:space="0" w:color="auto"/>
            </w:tcBorders>
          </w:tcPr>
          <w:p>
            <w:r>
              <w:t xml:space="preserve">投标人提供技术设计方案，能够充分理解业务需求，对各项功能进行详细描述，包含但不限于业务功能设计、系统架构、部署设计、安全设计、系统接口设计等内容。技术设计方案考虑全面、完整，针对性，可行性强。  </w:t>
            </w:r>
          </w:p>
          <w:p/>
          <w:p>
            <w:r>
              <w:t xml:space="preserve">技术设计方案科学周密，内容全面，完全契合项目实际，针对性可行性强，得4.2分。                  </w:t>
            </w:r>
          </w:p>
          <w:p>
            <w:r>
              <w:t xml:space="preserve">技术设计方案内容完整，可以满足项目需要，针对性可行性较强，但方案内容（两个及以下）中有缺陷（缺陷包括：与事实不符、前后内容不一致、逻辑错误、不符合采购需求、内容有缺失等），得2.8分。                      技术设计方案内容有漏项，未完全包括上述内容要求，或三个及以上内容中存在缺陷，得1.4分。                       </w:t>
            </w:r>
          </w:p>
          <w:p>
            <w:r>
              <w:t xml:space="preserve">未提供技术设计方案或方案严重脱离项目实际，得0分。 </w:t>
            </w:r>
          </w:p>
        </w:tc>
        <w:tc>
          <w:tcPr>
            <w:tcW w:w="746" w:type="dxa"/>
          </w:tcPr>
          <w:p>
            <w:r>
              <w:t>勾选打分(0;1.4;2.8;4.2)</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val="restart"/>
          </w:tcPr>
          <w:p>
            <w:r>
              <w:t>服务部分</w:t>
            </w:r>
          </w:p>
        </w:tc>
        <w:tc>
          <w:tcPr>
            <w:tcW w:w="636" w:type="dxa"/>
            <w:tcBorders>
              <w:top w:val="single" w:sz="4" w:space="0" w:color="auto"/>
              <w:left w:val="single" w:sz="4" w:space="0" w:color="auto"/>
              <w:right w:val="single" w:sz="4" w:space="0" w:color="auto"/>
            </w:tcBorders>
          </w:tcPr>
          <w:p>
            <w:r>
              <w:t>实施管理方案</w:t>
            </w:r>
          </w:p>
        </w:tc>
        <w:tc>
          <w:tcPr>
            <w:tcW w:w="6921" w:type="dxa"/>
            <w:tcBorders>
              <w:top w:val="single" w:sz="4" w:space="0" w:color="auto"/>
              <w:left w:val="single" w:sz="4" w:space="0" w:color="auto"/>
              <w:right w:val="single" w:sz="4" w:space="0" w:color="auto"/>
            </w:tcBorders>
          </w:tcPr>
          <w:p>
            <w:r>
              <w:t xml:space="preserve">投标人提供项目实施管理方案，对项目实施过程中项目进度控制、应急措施、风险管理、质量管理、人员控制、配置管理、文档管理等方面进行说明。方案措施完善合理、内容全面详细。    </w:t>
            </w:r>
          </w:p>
          <w:p/>
          <w:p>
            <w:r>
              <w:t xml:space="preserve">实施管理方案科学周密，内容全面，完全契合项目实际，针对性可行性强，得4.2分。                   </w:t>
            </w:r>
          </w:p>
          <w:p>
            <w:r>
              <w:t xml:space="preserve">实施管理方案内容完整，可以满足项目需要，针对性可行性较强，但方案内容（两个及以下）中有缺陷（缺陷包括：与事实不符、前后内容不一致、逻辑错误、不符合采购需求、内容有缺失等），得2.8分。                      实施管理方案内容有漏项，未完全包括上述内容要求，或三个及以上内容中存在缺陷，得1.4分。                     </w:t>
            </w:r>
          </w:p>
          <w:p>
            <w:r>
              <w:t>未提供实施管理方案或方案严重脱离项目实际，得0分。</w:t>
            </w:r>
          </w:p>
        </w:tc>
        <w:tc>
          <w:tcPr>
            <w:tcW w:w="746" w:type="dxa"/>
          </w:tcPr>
          <w:p>
            <w:r>
              <w:t>勾选打分(0;1.4;2.8;4.2)</w:t>
            </w:r>
          </w:p>
        </w:tc>
      </w:tr>
      <w:tr>
        <w:tblPrEx>
          <w:tblW w:w="8825" w:type="dxa"/>
          <w:jc w:val="left"/>
          <w:tblInd w:w="0" w:type="dxa"/>
          <w:tblLayout w:type="fixed"/>
          <w:tblCellMar>
            <w:top w:w="0" w:type="dxa"/>
            <w:left w:w="108" w:type="dxa"/>
            <w:bottom w:w="0" w:type="dxa"/>
            <w:right w:w="108" w:type="dxa"/>
          </w:tblCellMar>
        </w:tblPrEx>
        <w:trPr>
          <w:jc w:val="left"/>
        </w:trPr>
        <w:tc>
          <w:tcPr>
            <w:tcW w:w="522" w:type="dxa"/>
            <w:vMerge/>
          </w:tcPr>
          <w:p/>
        </w:tc>
        <w:tc>
          <w:tcPr>
            <w:tcW w:w="636" w:type="dxa"/>
            <w:tcBorders>
              <w:top w:val="single" w:sz="4" w:space="0" w:color="auto"/>
              <w:left w:val="single" w:sz="4" w:space="0" w:color="auto"/>
              <w:right w:val="single" w:sz="4" w:space="0" w:color="auto"/>
            </w:tcBorders>
          </w:tcPr>
          <w:p>
            <w:r>
              <w:t>运维服务方案</w:t>
            </w:r>
          </w:p>
        </w:tc>
        <w:tc>
          <w:tcPr>
            <w:tcW w:w="6921" w:type="dxa"/>
            <w:tcBorders>
              <w:top w:val="single" w:sz="4" w:space="0" w:color="auto"/>
              <w:left w:val="single" w:sz="4" w:space="0" w:color="auto"/>
              <w:right w:val="single" w:sz="4" w:space="0" w:color="auto"/>
            </w:tcBorders>
          </w:tcPr>
          <w:p>
            <w:r>
              <w:t xml:space="preserve">投标人提供运维服务方案，包括但不限于运维服务团队配置、服务内容、服务响应时间、故障处理、应急措施等内容等。方案内容全面、处理方式合理、可行性强。  </w:t>
            </w:r>
          </w:p>
          <w:p/>
          <w:p>
            <w:r>
              <w:t xml:space="preserve">运维服务方案科学周密，内容全面，完全契合项目实际，针对性可行性强，得4.2分。                   </w:t>
            </w:r>
          </w:p>
          <w:p>
            <w:r>
              <w:t xml:space="preserve">运维服务方案内容完整，可以满足项目需要，针对性可行性较强，但方案内容（两个及以下）中有缺陷（缺陷包括：与事实不符、前后内容不一致、逻辑错误、不符合采购需求、内容有缺失等），得2.8分。                      运维服务方案内容有漏项，未完全包括上述内容要求，或三个及以上内容中存在缺陷，得1.4分。                       </w:t>
            </w:r>
          </w:p>
          <w:p>
            <w:r>
              <w:t xml:space="preserve">未提供运维服务方案或方案严重脱离项目实际，得0分。 </w:t>
            </w:r>
          </w:p>
        </w:tc>
        <w:tc>
          <w:tcPr>
            <w:tcW w:w="746" w:type="dxa"/>
          </w:tcPr>
          <w:p>
            <w:r>
              <w:t>勾选打分(0;1.4;2.8;4.2)</w:t>
            </w:r>
          </w:p>
        </w:tc>
      </w:tr>
    </w:tbl>
    <w:p>
      <w:pPr>
        <w:pStyle w:val="1414"/>
      </w:pPr>
      <w:bookmarkEnd w:id="45"/>
      <w:r>
        <w:t>注：1.评分分值精确到小数点后一位，第二位四舍五入。计算结果精确到小数点后二位，第三位四舍五入。</w:t>
      </w:r>
    </w:p>
    <w:p>
      <w:pPr>
        <w:pStyle w:val="Heading1"/>
        <w:ind w:firstLine="3000" w:firstLineChars="1000"/>
        <w:jc w:val="both"/>
        <w:rPr>
          <w:highlight w:val="white"/>
        </w:rPr>
      </w:pPr>
      <w:bookmarkStart w:id="46"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spacing w:line="600" w:lineRule="exact"/>
        <w:ind w:left="-1571" w:firstLine="4840" w:firstLineChars="1100"/>
        <w:rPr>
          <w:rFonts w:eastAsia="方正小标宋_GBK"/>
          <w:color w:val="000000"/>
          <w:sz w:val="44"/>
        </w:rPr>
      </w:pPr>
    </w:p>
    <w:p>
      <w:pPr>
        <w:rPr>
          <w:color w:val="000000"/>
        </w:rPr>
      </w:pPr>
    </w:p>
    <w:p>
      <w:pPr>
        <w:rPr>
          <w:rFonts w:ascii="宋体" w:hint="eastAsia"/>
          <w:color w:val="000000"/>
          <w:sz w:val="24"/>
          <w:szCs w:val="24"/>
        </w:rPr>
      </w:pPr>
      <w:r>
        <w:rPr>
          <w:rFonts w:ascii="宋体" w:hint="eastAsia"/>
          <w:color w:val="000000"/>
          <w:sz w:val="24"/>
          <w:szCs w:val="24"/>
        </w:rPr>
        <w:t>甲方（采购人）:</w:t>
      </w:r>
    </w:p>
    <w:p>
      <w:pPr>
        <w:rPr>
          <w:rFonts w:ascii="宋体" w:hint="eastAsia"/>
          <w:color w:val="000000"/>
          <w:sz w:val="24"/>
          <w:szCs w:val="24"/>
        </w:rPr>
      </w:pPr>
      <w:r>
        <w:rPr>
          <w:rFonts w:ascii="宋体" w:hint="eastAsia"/>
          <w:color w:val="000000"/>
          <w:sz w:val="24"/>
          <w:szCs w:val="24"/>
        </w:rPr>
        <w:t xml:space="preserve">乙方（供应商）:                                  </w:t>
      </w:r>
    </w:p>
    <w:p>
      <w:pPr>
        <w:ind w:firstLine="480" w:firstLineChars="200"/>
        <w:rPr>
          <w:rFonts w:ascii="宋体" w:hint="eastAsia"/>
          <w:color w:val="000000"/>
          <w:sz w:val="24"/>
          <w:szCs w:val="24"/>
        </w:rPr>
      </w:pPr>
      <w:r>
        <w:rPr>
          <w:rFonts w:ascii="宋体" w:hint="eastAsia"/>
          <w:color w:val="000000"/>
          <w:sz w:val="24"/>
          <w:szCs w:val="24"/>
        </w:rPr>
        <w:t>经海关总署授权，海关总署物资装备采购中心作为甲方代表,受海关总署（XX司局）委托签订该项目合同。根据</w:t>
      </w:r>
      <w:r>
        <w:rPr>
          <w:rFonts w:ascii="宋体" w:hint="eastAsia"/>
          <w:snapToGrid w:val="0"/>
          <w:color w:val="000000"/>
          <w:sz w:val="24"/>
          <w:szCs w:val="24"/>
        </w:rPr>
        <w:t>《中华人民共和国民法典》、</w:t>
      </w:r>
      <w:r>
        <w:rPr>
          <w:rFonts w:ascii="宋体" w:hint="eastAsia"/>
          <w:color w:val="000000"/>
          <w:sz w:val="24"/>
          <w:szCs w:val="24"/>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80" w:firstLineChars="200"/>
        <w:rPr>
          <w:rFonts w:ascii="宋体" w:hint="eastAsia"/>
          <w:b/>
          <w:bCs/>
          <w:color w:val="000000"/>
          <w:sz w:val="24"/>
          <w:szCs w:val="24"/>
        </w:rPr>
      </w:pPr>
      <w:r>
        <w:rPr>
          <w:rFonts w:ascii="宋体" w:hint="eastAsia"/>
          <w:b/>
          <w:bCs/>
          <w:color w:val="000000"/>
          <w:sz w:val="24"/>
          <w:szCs w:val="24"/>
        </w:rPr>
        <w:t>第一条 采购清单及报价</w:t>
      </w:r>
    </w:p>
    <w:tbl>
      <w:tblPr>
        <w:tblW w:w="9060"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2"/>
        <w:gridCol w:w="1011"/>
        <w:gridCol w:w="1307"/>
        <w:gridCol w:w="1413"/>
        <w:gridCol w:w="1198"/>
        <w:gridCol w:w="1770"/>
        <w:gridCol w:w="1219"/>
      </w:tblGrid>
      <w:tr>
        <w:tblPrEx>
          <w:tblW w:w="9060"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7310"/>
              <w:autoSpaceDN w:val="0"/>
              <w:adjustRightInd w:val="0"/>
              <w:snapToGrid w:val="0"/>
              <w:spacing w:line="360" w:lineRule="auto"/>
              <w:jc w:val="center"/>
              <w:rPr>
                <w:rFonts w:hint="eastAsia"/>
                <w:b/>
                <w:bCs/>
                <w:color w:val="000000"/>
              </w:rPr>
            </w:pPr>
            <w:r>
              <w:rPr>
                <w:rFonts w:hint="eastAsia"/>
                <w:b/>
                <w:bCs/>
                <w:color w:val="000000"/>
              </w:rPr>
              <w:t>项目名称</w:t>
            </w:r>
          </w:p>
        </w:tc>
        <w:tc>
          <w:tcPr>
            <w:tcW w:w="4929" w:type="dxa"/>
            <w:gridSpan w:val="4"/>
            <w:tcBorders>
              <w:top w:val="single" w:sz="4" w:space="0" w:color="auto"/>
              <w:left w:val="single" w:sz="4" w:space="0" w:color="auto"/>
              <w:bottom w:val="single" w:sz="4" w:space="0" w:color="auto"/>
              <w:right w:val="single" w:sz="4" w:space="0" w:color="auto"/>
              <w:tl2br w:val="nil"/>
              <w:tr2bl w:val="nil"/>
            </w:tcBorders>
            <w:vAlign w:val="center"/>
          </w:tcPr>
          <w:p>
            <w:pPr>
              <w:pStyle w:val="10110"/>
              <w:autoSpaceDN w:val="0"/>
              <w:adjustRightInd w:val="0"/>
              <w:snapToGrid w:val="0"/>
              <w:spacing w:line="360" w:lineRule="auto"/>
              <w:jc w:val="center"/>
              <w:rPr>
                <w:rFonts w:hint="eastAsia"/>
                <w:b/>
                <w:bCs/>
                <w:color w:val="000000"/>
              </w:rPr>
            </w:pPr>
            <w:r>
              <w:rPr>
                <w:rFonts w:hint="eastAsia"/>
                <w:b/>
                <w:bCs/>
                <w:color w:val="000000"/>
              </w:rPr>
              <w:t>数量（人天数）</w:t>
            </w:r>
          </w:p>
        </w:tc>
        <w:tc>
          <w:tcPr>
            <w:tcW w:w="1770"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7410"/>
              <w:autoSpaceDN w:val="0"/>
              <w:adjustRightInd w:val="0"/>
              <w:snapToGrid w:val="0"/>
              <w:spacing w:line="360" w:lineRule="auto"/>
              <w:jc w:val="center"/>
              <w:rPr>
                <w:rFonts w:hint="eastAsia"/>
                <w:b/>
                <w:bCs/>
                <w:color w:val="000000"/>
              </w:rPr>
            </w:pPr>
            <w:r>
              <w:rPr>
                <w:rFonts w:hint="eastAsia"/>
                <w:b/>
                <w:bCs/>
                <w:color w:val="000000"/>
              </w:rPr>
              <w:t>单价（元）</w:t>
            </w:r>
          </w:p>
        </w:tc>
        <w:tc>
          <w:tcPr>
            <w:tcW w:w="1219" w:type="dxa"/>
            <w:vMerge w:val="restart"/>
            <w:tcBorders>
              <w:top w:val="single" w:sz="4" w:space="0" w:color="auto"/>
              <w:left w:val="single" w:sz="4" w:space="0" w:color="auto"/>
              <w:bottom w:val="single" w:sz="4" w:space="0" w:color="auto"/>
              <w:right w:val="single" w:sz="4" w:space="0" w:color="auto"/>
              <w:tl2br w:val="nil"/>
              <w:tr2bl w:val="nil"/>
            </w:tcBorders>
            <w:vAlign w:val="center"/>
          </w:tcPr>
          <w:p>
            <w:pPr>
              <w:pStyle w:val="75100"/>
              <w:autoSpaceDN w:val="0"/>
              <w:adjustRightInd w:val="0"/>
              <w:snapToGrid w:val="0"/>
              <w:spacing w:line="360" w:lineRule="auto"/>
              <w:jc w:val="center"/>
              <w:rPr>
                <w:rFonts w:hint="eastAsia"/>
                <w:b/>
                <w:bCs/>
                <w:color w:val="000000"/>
              </w:rPr>
            </w:pPr>
            <w:r>
              <w:rPr>
                <w:rFonts w:hint="eastAsia"/>
                <w:b/>
                <w:bCs/>
                <w:color w:val="000000"/>
              </w:rPr>
              <w:t>合计（元）</w:t>
            </w:r>
          </w:p>
        </w:tc>
      </w:tr>
      <w:tr>
        <w:tblPrEx>
          <w:tblW w:w="9060"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需求分析及系统设计</w:t>
            </w: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程序开发</w:t>
            </w: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软件测试</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w:t>
            </w:r>
          </w:p>
        </w:tc>
        <w:tc>
          <w:tcPr>
            <w:tcW w:w="1770" w:type="dxa"/>
            <w:vMerge/>
            <w:tcBorders>
              <w:top w:val="single" w:sz="4" w:space="0" w:color="auto"/>
              <w:left w:val="single" w:sz="4" w:space="0" w:color="auto"/>
              <w:bottom w:val="single" w:sz="4" w:space="0" w:color="auto"/>
              <w:right w:val="single" w:sz="4" w:space="0" w:color="auto"/>
              <w:tl2br w:val="nil"/>
              <w:tr2bl w:val="nil"/>
            </w:tcBorders>
            <w:vAlign w:val="center"/>
          </w:tcPr>
          <w:p/>
        </w:tc>
        <w:tc>
          <w:tcPr>
            <w:tcW w:w="1219" w:type="dxa"/>
            <w:vMerge/>
            <w:tcBorders>
              <w:top w:val="single" w:sz="4" w:space="0" w:color="auto"/>
              <w:left w:val="single" w:sz="4" w:space="0" w:color="auto"/>
              <w:bottom w:val="single" w:sz="4" w:space="0" w:color="auto"/>
              <w:right w:val="single" w:sz="4" w:space="0" w:color="auto"/>
              <w:tl2br w:val="nil"/>
              <w:tr2bl w:val="nil"/>
            </w:tcBorders>
            <w:vAlign w:val="center"/>
          </w:tcPr>
          <w:p/>
        </w:tc>
      </w:tr>
      <w:tr>
        <w:tblPrEx>
          <w:tblW w:w="9060"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2"/>
              <w:autoSpaceDN w:val="0"/>
              <w:adjustRightInd w:val="0"/>
              <w:snapToGrid w:val="0"/>
              <w:spacing w:line="360" w:lineRule="auto"/>
              <w:jc w:val="center"/>
              <w:rPr>
                <w:rFonts w:hint="eastAsia"/>
                <w:bCs/>
                <w:color w:val="000000"/>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3"/>
              <w:autoSpaceDN w:val="0"/>
              <w:adjustRightInd w:val="0"/>
              <w:snapToGrid w:val="0"/>
              <w:spacing w:line="360" w:lineRule="auto"/>
              <w:jc w:val="center"/>
              <w:rPr>
                <w:rFonts w:hint="eastAsia"/>
                <w:bCs/>
                <w:color w:val="000000"/>
                <w:highlight w:val="yellow"/>
              </w:rPr>
            </w:pPr>
          </w:p>
        </w:tc>
      </w:tr>
      <w:tr>
        <w:tblPrEx>
          <w:tblW w:w="9060"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307"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413"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1"/>
              <w:autoSpaceDN w:val="0"/>
              <w:adjustRightInd w:val="0"/>
              <w:snapToGrid w:val="0"/>
              <w:rPr>
                <w:rFonts w:hint="eastAsia"/>
                <w:bCs/>
                <w:color w:val="000000"/>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2"/>
              <w:autoSpaceDN w:val="0"/>
              <w:adjustRightInd w:val="0"/>
              <w:snapToGrid w:val="0"/>
              <w:spacing w:line="360" w:lineRule="auto"/>
              <w:jc w:val="center"/>
              <w:rPr>
                <w:rFonts w:hint="eastAsia"/>
                <w:bCs/>
                <w:color w:val="000000"/>
                <w:highlight w:val="yellow"/>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3"/>
              <w:autoSpaceDN w:val="0"/>
              <w:adjustRightInd w:val="0"/>
              <w:snapToGrid w:val="0"/>
              <w:spacing w:line="360" w:lineRule="auto"/>
              <w:jc w:val="center"/>
              <w:rPr>
                <w:rFonts w:hint="eastAsia"/>
                <w:bCs/>
                <w:color w:val="000000"/>
                <w:highlight w:val="yellow"/>
              </w:rPr>
            </w:pPr>
          </w:p>
        </w:tc>
      </w:tr>
      <w:tr>
        <w:tblPrEx>
          <w:tblW w:w="9060"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highlight w:val="yellow"/>
              </w:rPr>
            </w:pPr>
            <w:r>
              <w:rPr>
                <w:rFonts w:hint="eastAsia"/>
                <w:b/>
                <w:bCs/>
                <w:color w:val="000000"/>
              </w:rPr>
              <w:t xml:space="preserve">                                                  实施服务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8010"/>
              <w:autoSpaceDN w:val="0"/>
              <w:adjustRightInd w:val="0"/>
              <w:snapToGrid w:val="0"/>
              <w:spacing w:line="360" w:lineRule="auto"/>
              <w:jc w:val="center"/>
              <w:rPr>
                <w:rFonts w:hint="eastAsia"/>
                <w:b/>
                <w:bCs/>
                <w:color w:val="000000"/>
                <w:u w:val="single"/>
              </w:rPr>
            </w:pPr>
            <w:r>
              <w:rPr>
                <w:rFonts w:hint="eastAsia"/>
                <w:b/>
                <w:bCs/>
                <w:color w:val="000000"/>
              </w:rPr>
              <w:t xml:space="preserve">                                     </w:t>
            </w:r>
          </w:p>
          <w:p>
            <w:pPr>
              <w:pStyle w:val="81100"/>
              <w:autoSpaceDN w:val="0"/>
              <w:adjustRightInd w:val="0"/>
              <w:snapToGrid w:val="0"/>
              <w:spacing w:line="360" w:lineRule="auto"/>
              <w:jc w:val="center"/>
              <w:rPr>
                <w:rFonts w:hint="eastAsia"/>
                <w:b/>
                <w:bCs/>
                <w:color w:val="000000"/>
              </w:rPr>
            </w:pPr>
            <w:r>
              <w:rPr>
                <w:rFonts w:hint="eastAsia"/>
                <w:b/>
                <w:bCs/>
                <w:color w:val="000000"/>
              </w:rPr>
              <w:t xml:space="preserve">                                                                  </w:t>
            </w:r>
          </w:p>
          <w:p>
            <w:pPr>
              <w:pStyle w:val="82100"/>
              <w:autoSpaceDN w:val="0"/>
              <w:adjustRightInd w:val="0"/>
              <w:snapToGrid w:val="0"/>
              <w:spacing w:line="360" w:lineRule="auto"/>
              <w:jc w:val="center"/>
              <w:rPr>
                <w:rFonts w:hint="eastAsia"/>
                <w:b/>
                <w:bCs/>
                <w:color w:val="000000"/>
              </w:rPr>
            </w:pPr>
            <w:r>
              <w:rPr>
                <w:rFonts w:hint="eastAsia"/>
                <w:b/>
                <w:bCs/>
                <w:color w:val="000000"/>
              </w:rPr>
              <w:t xml:space="preserve">                                                                                                        </w:t>
            </w: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80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4"/>
              <w:autoSpaceDN w:val="0"/>
              <w:adjustRightInd w:val="0"/>
              <w:snapToGrid w:val="0"/>
              <w:spacing w:line="360" w:lineRule="auto"/>
              <w:jc w:val="center"/>
              <w:rPr>
                <w:rFonts w:hint="eastAsia"/>
                <w:color w:val="000000"/>
                <w:highlight w:val="yellow"/>
              </w:rPr>
            </w:pPr>
          </w:p>
        </w:tc>
      </w:tr>
      <w:tr>
        <w:tblPrEx>
          <w:tblW w:w="9060"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售后服务</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4"/>
              <w:autoSpaceDN w:val="0"/>
              <w:adjustRightInd w:val="0"/>
              <w:snapToGrid w:val="0"/>
              <w:spacing w:line="360" w:lineRule="auto"/>
              <w:jc w:val="center"/>
              <w:rPr>
                <w:rFonts w:hint="eastAsia"/>
                <w:color w:val="000000"/>
                <w:highlight w:val="yellow"/>
              </w:rPr>
            </w:pPr>
          </w:p>
        </w:tc>
      </w:tr>
      <w:tr>
        <w:tblPrEx>
          <w:tblW w:w="9060"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其他</w:t>
            </w:r>
          </w:p>
        </w:tc>
        <w:tc>
          <w:tcPr>
            <w:tcW w:w="3731" w:type="dxa"/>
            <w:gridSpan w:val="3"/>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4"/>
              <w:autoSpaceDN w:val="0"/>
              <w:adjustRightInd w:val="0"/>
              <w:snapToGrid w:val="0"/>
              <w:spacing w:line="360" w:lineRule="auto"/>
              <w:jc w:val="center"/>
              <w:rPr>
                <w:rFonts w:hint="eastAsia"/>
                <w:color w:val="000000"/>
                <w:highlight w:val="yellow"/>
              </w:rPr>
            </w:pPr>
          </w:p>
        </w:tc>
      </w:tr>
      <w:tr>
        <w:tblPrEx>
          <w:tblW w:w="9060"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l2br w:val="nil"/>
              <w:tr2bl w:val="nil"/>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 xml:space="preserve">                                            合同总价</w:t>
            </w:r>
          </w:p>
        </w:tc>
        <w:tc>
          <w:tcPr>
            <w:tcW w:w="1219" w:type="dxa"/>
            <w:tcBorders>
              <w:top w:val="single" w:sz="4" w:space="0" w:color="auto"/>
              <w:left w:val="single" w:sz="4" w:space="0" w:color="auto"/>
              <w:bottom w:val="single" w:sz="4" w:space="0" w:color="auto"/>
              <w:right w:val="single" w:sz="4" w:space="0" w:color="auto"/>
              <w:tl2br w:val="nil"/>
              <w:tr2bl w:val="nil"/>
            </w:tcBorders>
            <w:vAlign w:val="center"/>
          </w:tcPr>
          <w:p>
            <w:pPr>
              <w:pStyle w:val="Heading4"/>
              <w:autoSpaceDN w:val="0"/>
              <w:adjustRightInd w:val="0"/>
              <w:snapToGrid w:val="0"/>
              <w:spacing w:line="360" w:lineRule="auto"/>
              <w:jc w:val="center"/>
              <w:rPr>
                <w:rFonts w:hint="eastAsia"/>
                <w:color w:val="000000"/>
                <w:highlight w:val="yellow"/>
              </w:rPr>
            </w:pPr>
          </w:p>
        </w:tc>
      </w:tr>
    </w:tbl>
    <w:p>
      <w:pPr>
        <w:ind w:firstLine="480" w:firstLineChars="200"/>
        <w:rPr>
          <w:rFonts w:ascii="宋体" w:hint="eastAsia"/>
          <w:b/>
          <w:bCs/>
          <w:color w:val="000000"/>
          <w:sz w:val="24"/>
        </w:rPr>
      </w:pPr>
      <w:r>
        <w:rPr>
          <w:rFonts w:ascii="宋体" w:hint="eastAsia"/>
          <w:b/>
          <w:bCs/>
          <w:color w:val="000000"/>
          <w:sz w:val="24"/>
        </w:rPr>
        <w:t>第二条 合同总价款</w:t>
      </w:r>
    </w:p>
    <w:p>
      <w:pPr>
        <w:pStyle w:val="Heading5"/>
        <w:ind w:firstLine="480" w:firstLineChars="200"/>
        <w:rPr>
          <w:rFonts w:ascii="宋体" w:hint="eastAsia"/>
          <w:color w:val="000000"/>
          <w:sz w:val="24"/>
          <w:szCs w:val="24"/>
        </w:rPr>
      </w:pPr>
      <w:r>
        <w:rPr>
          <w:rFonts w:ascii="宋体" w:hint="eastAsia"/>
          <w:color w:val="000000"/>
          <w:sz w:val="24"/>
          <w:szCs w:val="24"/>
        </w:rPr>
        <w:t>本合同总价款（人民币大写） __________元（含税）。除上述款项外，乙方不得向甲方（用户）主张其他任何费用，详见附件分项报价表。</w:t>
      </w:r>
    </w:p>
    <w:p>
      <w:pPr>
        <w:ind w:firstLine="480" w:firstLineChars="200"/>
        <w:rPr>
          <w:rFonts w:ascii="宋体" w:hint="eastAsia"/>
          <w:b/>
          <w:bCs/>
          <w:color w:val="000000"/>
          <w:sz w:val="24"/>
          <w:szCs w:val="24"/>
        </w:rPr>
      </w:pPr>
      <w:r>
        <w:rPr>
          <w:rFonts w:ascii="宋体" w:hint="eastAsia"/>
          <w:b/>
          <w:bCs/>
          <w:color w:val="000000"/>
          <w:sz w:val="24"/>
          <w:szCs w:val="24"/>
        </w:rPr>
        <w:t>第三条 付款条件</w:t>
      </w:r>
    </w:p>
    <w:p>
      <w:pPr>
        <w:ind w:firstLine="480" w:firstLineChars="200"/>
        <w:rPr>
          <w:rFonts w:ascii="宋体" w:hint="eastAsia"/>
          <w:color w:val="000000"/>
          <w:sz w:val="24"/>
          <w:szCs w:val="24"/>
        </w:rPr>
      </w:pPr>
      <w:r>
        <w:rPr>
          <w:rFonts w:ascii="宋体" w:hint="eastAsia"/>
          <w:color w:val="000000"/>
          <w:sz w:val="24"/>
          <w:szCs w:val="24"/>
        </w:rPr>
        <w:t>（一）本合同以人民币付款。</w:t>
      </w:r>
    </w:p>
    <w:p>
      <w:pPr>
        <w:ind w:firstLine="480" w:firstLineChars="200"/>
        <w:rPr>
          <w:rFonts w:ascii="宋体" w:hint="eastAsia"/>
          <w:color w:val="000000"/>
          <w:sz w:val="24"/>
          <w:szCs w:val="24"/>
        </w:rPr>
      </w:pPr>
      <w:r>
        <w:rPr>
          <w:rFonts w:ascii="宋体" w:hint="eastAsia"/>
          <w:color w:val="000000"/>
          <w:sz w:val="24"/>
          <w:szCs w:val="24"/>
        </w:rPr>
        <w:t>（二）付款办法：</w:t>
      </w:r>
    </w:p>
    <w:p>
      <w:pPr>
        <w:ind w:firstLine="480" w:firstLineChars="200"/>
        <w:rPr>
          <w:rFonts w:ascii="宋体" w:hint="eastAsia"/>
          <w:color w:val="000000"/>
          <w:sz w:val="24"/>
          <w:szCs w:val="24"/>
        </w:rPr>
      </w:pPr>
      <w:r>
        <w:rPr>
          <w:rFonts w:ascii="宋体" w:hint="eastAsia"/>
          <w:color w:val="000000"/>
          <w:sz w:val="24"/>
          <w:szCs w:val="24"/>
        </w:rPr>
        <w:t>1.乙方向甲方交付履约保证金，并提交下列单据之日起10个工作日内，甲方向乙方支付合同总价____%合同款（</w:t>
      </w:r>
      <w:r>
        <w:rPr>
          <w:rFonts w:ascii="宋体" w:hint="eastAsia"/>
          <w:color w:val="000000"/>
          <w:sz w:val="24"/>
          <w:szCs w:val="24"/>
          <w:u w:val="single"/>
        </w:rPr>
        <w:t>金额</w:t>
      </w:r>
      <w:r>
        <w:rPr>
          <w:rFonts w:ascii="宋体" w:hint="eastAsia"/>
          <w:color w:val="000000"/>
          <w:sz w:val="24"/>
          <w:szCs w:val="24"/>
        </w:rPr>
        <w:t>）。</w:t>
      </w:r>
    </w:p>
    <w:p>
      <w:pPr>
        <w:ind w:firstLine="480" w:firstLineChars="200"/>
        <w:rPr>
          <w:rFonts w:ascii="宋体" w:hint="eastAsia"/>
          <w:color w:val="000000"/>
          <w:sz w:val="24"/>
          <w:szCs w:val="24"/>
        </w:rPr>
      </w:pPr>
      <w:r>
        <w:rPr>
          <w:rFonts w:ascii="宋体" w:hint="eastAsia"/>
          <w:color w:val="000000"/>
          <w:sz w:val="24"/>
          <w:szCs w:val="24"/>
        </w:rPr>
        <w:t>乙方提交单据：合同（正文部分复印件）、中标通知书（或成交通知书）、发票（原件）、履约保证金单据。</w:t>
      </w:r>
    </w:p>
    <w:p>
      <w:pPr>
        <w:ind w:firstLine="480" w:firstLineChars="200"/>
        <w:rPr>
          <w:rFonts w:ascii="宋体" w:hint="eastAsia"/>
          <w:color w:val="000000"/>
          <w:sz w:val="24"/>
          <w:szCs w:val="24"/>
        </w:rPr>
      </w:pPr>
      <w:r>
        <w:rPr>
          <w:rFonts w:ascii="宋体" w:hint="eastAsia"/>
          <w:color w:val="000000"/>
          <w:sz w:val="24"/>
          <w:szCs w:val="24"/>
        </w:rPr>
        <w:t>2.乙方完成系统功能开发，具备上线条件，并向甲方提交下列单据之日起10个工作日内，甲方向乙方支付合同总价____%合同款（</w:t>
      </w:r>
      <w:r>
        <w:rPr>
          <w:rFonts w:ascii="宋体" w:hint="eastAsia"/>
          <w:color w:val="000000"/>
          <w:sz w:val="24"/>
          <w:szCs w:val="24"/>
          <w:u w:val="single"/>
        </w:rPr>
        <w:t>金额</w:t>
      </w:r>
      <w:r>
        <w:rPr>
          <w:rFonts w:ascii="宋体" w:hint="eastAsia"/>
          <w:color w:val="000000"/>
          <w:sz w:val="24"/>
          <w:szCs w:val="24"/>
        </w:rPr>
        <w:t>）。</w:t>
      </w:r>
    </w:p>
    <w:p>
      <w:pPr>
        <w:ind w:firstLine="480" w:firstLineChars="200"/>
        <w:rPr>
          <w:rFonts w:ascii="宋体" w:hint="eastAsia"/>
          <w:color w:val="000000"/>
          <w:sz w:val="24"/>
          <w:szCs w:val="24"/>
        </w:rPr>
      </w:pPr>
      <w:r>
        <w:rPr>
          <w:rFonts w:ascii="宋体" w:hint="eastAsia"/>
          <w:color w:val="000000"/>
          <w:sz w:val="24"/>
          <w:szCs w:val="24"/>
        </w:rPr>
        <w:t>乙方提交单据：合同（正文部分复印件）、中标通知书（或成交通知书）、发票（原件）、上线证明（原件）。</w:t>
      </w:r>
    </w:p>
    <w:p>
      <w:pPr>
        <w:ind w:firstLine="480" w:firstLineChars="200"/>
        <w:rPr>
          <w:rFonts w:ascii="宋体" w:hint="eastAsia"/>
          <w:color w:val="000000"/>
          <w:sz w:val="24"/>
          <w:szCs w:val="24"/>
        </w:rPr>
      </w:pPr>
      <w:r>
        <w:rPr>
          <w:rFonts w:ascii="宋体" w:hint="eastAsia"/>
          <w:color w:val="000000"/>
          <w:sz w:val="24"/>
          <w:szCs w:val="24"/>
        </w:rPr>
        <w:t>3.乙方完成全部服务内容，经甲方组织的合同验收通过，并向甲方提交下列单据之日起10个工作日内，甲方向乙方支付合同总价____%合同款（金额）。</w:t>
      </w:r>
    </w:p>
    <w:p>
      <w:pPr>
        <w:ind w:firstLine="480" w:firstLineChars="200"/>
        <w:rPr>
          <w:rFonts w:ascii="宋体" w:hint="eastAsia"/>
          <w:color w:val="000000"/>
          <w:sz w:val="24"/>
          <w:szCs w:val="24"/>
        </w:rPr>
      </w:pPr>
      <w:r>
        <w:rPr>
          <w:rFonts w:ascii="宋体" w:hint="eastAsia"/>
          <w:color w:val="000000"/>
          <w:sz w:val="24"/>
          <w:szCs w:val="24"/>
        </w:rPr>
        <w:t>乙方提交单据：合同（正文部分复印件）、中标通知书（或成交通知书）、发票（原件）、合同验收合格报告（原件）。</w:t>
      </w:r>
    </w:p>
    <w:p>
      <w:pPr>
        <w:ind w:firstLine="480" w:firstLineChars="200"/>
        <w:rPr>
          <w:rFonts w:ascii="宋体" w:hint="eastAsia"/>
          <w:color w:val="000000"/>
          <w:sz w:val="24"/>
          <w:szCs w:val="24"/>
        </w:rPr>
      </w:pPr>
      <w:r>
        <w:rPr>
          <w:rFonts w:ascii="宋体" w:hint="eastAsia"/>
          <w:color w:val="000000"/>
          <w:sz w:val="24"/>
          <w:szCs w:val="24"/>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乙方指定收取款项账户为：</w:t>
      </w:r>
    </w:p>
    <w:tbl>
      <w:tblPr>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tcBorders>
              <w:tl2br w:val="nil"/>
              <w:tr2bl w:val="nil"/>
            </w:tcBorders>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收款单位全称</w:t>
            </w:r>
          </w:p>
        </w:tc>
        <w:tc>
          <w:tcPr>
            <w:tcW w:w="5626" w:type="dxa"/>
            <w:tcBorders>
              <w:tl2br w:val="nil"/>
              <w:tr2bl w:val="nil"/>
            </w:tcBorders>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tblW w:w="7855" w:type="dxa"/>
          <w:jc w:val="center"/>
          <w:tblLayout w:type="fixed"/>
          <w:tblCellMar>
            <w:top w:w="0" w:type="dxa"/>
            <w:left w:w="108" w:type="dxa"/>
            <w:bottom w:w="0" w:type="dxa"/>
            <w:right w:w="108" w:type="dxa"/>
          </w:tblCellMar>
        </w:tblPrEx>
        <w:trPr>
          <w:trHeight w:val="403"/>
          <w:jc w:val="center"/>
        </w:trPr>
        <w:tc>
          <w:tcPr>
            <w:tcW w:w="2229" w:type="dxa"/>
            <w:tcBorders>
              <w:tl2br w:val="nil"/>
              <w:tr2bl w:val="nil"/>
            </w:tcBorders>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开户银行</w:t>
            </w:r>
          </w:p>
        </w:tc>
        <w:tc>
          <w:tcPr>
            <w:tcW w:w="5626" w:type="dxa"/>
            <w:tcBorders>
              <w:tl2br w:val="nil"/>
              <w:tr2bl w:val="nil"/>
            </w:tcBorders>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r>
        <w:tblPrEx>
          <w:tblW w:w="7855" w:type="dxa"/>
          <w:jc w:val="center"/>
          <w:tblLayout w:type="fixed"/>
          <w:tblCellMar>
            <w:top w:w="0" w:type="dxa"/>
            <w:left w:w="108" w:type="dxa"/>
            <w:bottom w:w="0" w:type="dxa"/>
            <w:right w:w="108" w:type="dxa"/>
          </w:tblCellMar>
        </w:tblPrEx>
        <w:trPr>
          <w:trHeight w:val="242"/>
          <w:jc w:val="center"/>
        </w:trPr>
        <w:tc>
          <w:tcPr>
            <w:tcW w:w="2229" w:type="dxa"/>
            <w:tcBorders>
              <w:tl2br w:val="nil"/>
              <w:tr2bl w:val="nil"/>
            </w:tcBorders>
            <w:vAlign w:val="center"/>
          </w:tcPr>
          <w:p>
            <w:pPr>
              <w:pStyle w:val="47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账号</w:t>
            </w:r>
          </w:p>
        </w:tc>
        <w:tc>
          <w:tcPr>
            <w:tcW w:w="5626" w:type="dxa"/>
            <w:tcBorders>
              <w:tl2br w:val="nil"/>
              <w:tr2bl w:val="nil"/>
            </w:tcBorders>
            <w:vAlign w:val="center"/>
          </w:tcPr>
          <w:p>
            <w:pPr>
              <w:pStyle w:val="4710"/>
              <w:autoSpaceDN w:val="0"/>
              <w:spacing w:line="560" w:lineRule="exact"/>
              <w:ind w:firstLine="480" w:firstLineChars="200"/>
              <w:jc w:val="left"/>
              <w:rPr>
                <w:rFonts w:ascii="宋体" w:cs="微软雅黑" w:hint="eastAsia"/>
                <w:snapToGrid w:val="0"/>
                <w:kern w:val="0"/>
                <w:sz w:val="24"/>
                <w:szCs w:val="24"/>
              </w:rPr>
            </w:pPr>
          </w:p>
        </w:tc>
      </w:tr>
    </w:tbl>
    <w:p>
      <w:pPr>
        <w:ind w:firstLine="480" w:firstLineChars="200"/>
        <w:rPr>
          <w:rFonts w:ascii="宋体" w:hint="eastAsia"/>
          <w:b/>
          <w:bCs/>
          <w:color w:val="000000"/>
          <w:sz w:val="24"/>
        </w:rPr>
      </w:pPr>
      <w:r>
        <w:rPr>
          <w:rFonts w:ascii="宋体" w:hint="eastAsia"/>
          <w:b/>
          <w:bCs/>
          <w:color w:val="000000"/>
          <w:sz w:val="24"/>
        </w:rPr>
        <w:t>第四条 履约保证金</w:t>
      </w:r>
    </w:p>
    <w:p>
      <w:pPr>
        <w:pStyle w:val="Heading6"/>
        <w:ind w:firstLine="480" w:firstLineChars="200"/>
        <w:rPr>
          <w:rFonts w:ascii="宋体" w:eastAsia="宋体" w:hint="eastAsia"/>
          <w:color w:val="000000"/>
          <w:sz w:val="24"/>
          <w:highlight w:val="yellow"/>
        </w:rPr>
      </w:pPr>
      <w:r>
        <w:rPr>
          <w:rFonts w:ascii="宋体" w:eastAsia="宋体" w:hint="eastAsia"/>
          <w:color w:val="000000"/>
          <w:sz w:val="24"/>
        </w:rPr>
        <w:t>（一）合同签订之日起</w:t>
      </w:r>
      <w:r>
        <w:rPr>
          <w:rFonts w:ascii="宋体" w:eastAsia="宋体" w:hint="eastAsia"/>
          <w:color w:val="000000"/>
          <w:sz w:val="24"/>
          <w:u w:val="single"/>
        </w:rPr>
        <w:t>10</w:t>
      </w:r>
      <w:r>
        <w:rPr>
          <w:rFonts w:ascii="宋体" w:eastAsia="宋体" w:hint="eastAsia"/>
          <w:color w:val="000000"/>
          <w:sz w:val="24"/>
        </w:rPr>
        <w:t>个工作日内，乙方须按合同金额的____%向甲方交纳履约保证金。如果乙方未按照约定时间交付履约保证金的，甲方有权单方面解除合同。</w:t>
      </w:r>
    </w:p>
    <w:p>
      <w:pPr>
        <w:pStyle w:val="50510"/>
        <w:autoSpaceDN w:val="0"/>
        <w:spacing w:line="560" w:lineRule="exact"/>
        <w:ind w:firstLine="480" w:firstLineChars="200"/>
        <w:jc w:val="left"/>
        <w:rPr>
          <w:rFonts w:ascii="宋体" w:cs="微软雅黑" w:hint="eastAsia"/>
          <w:snapToGrid w:val="0"/>
          <w:kern w:val="0"/>
          <w:sz w:val="24"/>
          <w:szCs w:val="24"/>
        </w:rPr>
      </w:pPr>
      <w:r>
        <w:rPr>
          <w:rFonts w:ascii="宋体" w:cs="微软雅黑" w:hint="eastAsia"/>
          <w:snapToGrid w:val="0"/>
          <w:kern w:val="0"/>
          <w:sz w:val="24"/>
          <w:szCs w:val="24"/>
        </w:rPr>
        <w:t>甲方指定履约保证金收款账户为：</w:t>
      </w:r>
    </w:p>
    <w:tbl>
      <w:tblPr>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l2br w:val="nil"/>
              <w:tr2bl w:val="nil"/>
            </w:tcBorders>
            <w:vAlign w:val="center"/>
          </w:tcPr>
          <w:p>
            <w:pPr>
              <w:pStyle w:val="505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收款单位全称</w:t>
            </w:r>
          </w:p>
        </w:tc>
        <w:tc>
          <w:tcPr>
            <w:tcW w:w="5469" w:type="dxa"/>
            <w:tcBorders>
              <w:tl2br w:val="nil"/>
              <w:tr2bl w:val="nil"/>
            </w:tcBorders>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tblW w:w="7855" w:type="dxa"/>
          <w:jc w:val="center"/>
          <w:tblLayout w:type="fixed"/>
          <w:tblCellMar>
            <w:top w:w="0" w:type="dxa"/>
            <w:left w:w="108" w:type="dxa"/>
            <w:bottom w:w="0" w:type="dxa"/>
            <w:right w:w="108" w:type="dxa"/>
          </w:tblCellMar>
        </w:tblPrEx>
        <w:trPr>
          <w:trHeight w:val="403"/>
          <w:jc w:val="center"/>
        </w:trPr>
        <w:tc>
          <w:tcPr>
            <w:tcW w:w="2386" w:type="dxa"/>
            <w:tcBorders>
              <w:tl2br w:val="nil"/>
              <w:tr2bl w:val="nil"/>
            </w:tcBorders>
            <w:vAlign w:val="center"/>
          </w:tcPr>
          <w:p>
            <w:pPr>
              <w:pStyle w:val="505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开户银行</w:t>
            </w:r>
          </w:p>
        </w:tc>
        <w:tc>
          <w:tcPr>
            <w:tcW w:w="5469" w:type="dxa"/>
            <w:tcBorders>
              <w:tl2br w:val="nil"/>
              <w:tr2bl w:val="nil"/>
            </w:tcBorders>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r>
        <w:tblPrEx>
          <w:tblW w:w="7855" w:type="dxa"/>
          <w:jc w:val="center"/>
          <w:tblLayout w:type="fixed"/>
          <w:tblCellMar>
            <w:top w:w="0" w:type="dxa"/>
            <w:left w:w="108" w:type="dxa"/>
            <w:bottom w:w="0" w:type="dxa"/>
            <w:right w:w="108" w:type="dxa"/>
          </w:tblCellMar>
        </w:tblPrEx>
        <w:trPr>
          <w:trHeight w:val="242"/>
          <w:jc w:val="center"/>
        </w:trPr>
        <w:tc>
          <w:tcPr>
            <w:tcW w:w="2386" w:type="dxa"/>
            <w:tcBorders>
              <w:tl2br w:val="nil"/>
              <w:tr2bl w:val="nil"/>
            </w:tcBorders>
            <w:vAlign w:val="center"/>
          </w:tcPr>
          <w:p>
            <w:pPr>
              <w:pStyle w:val="50510"/>
              <w:autoSpaceDN w:val="0"/>
              <w:spacing w:line="560" w:lineRule="exact"/>
              <w:jc w:val="left"/>
              <w:rPr>
                <w:rFonts w:ascii="宋体" w:cs="微软雅黑" w:hint="eastAsia"/>
                <w:snapToGrid w:val="0"/>
                <w:kern w:val="0"/>
                <w:sz w:val="24"/>
                <w:szCs w:val="24"/>
              </w:rPr>
            </w:pPr>
            <w:r>
              <w:rPr>
                <w:rFonts w:ascii="宋体" w:cs="微软雅黑" w:hint="eastAsia"/>
                <w:snapToGrid w:val="0"/>
                <w:kern w:val="0"/>
                <w:sz w:val="24"/>
                <w:szCs w:val="24"/>
              </w:rPr>
              <w:t>账号</w:t>
            </w:r>
          </w:p>
        </w:tc>
        <w:tc>
          <w:tcPr>
            <w:tcW w:w="5469" w:type="dxa"/>
            <w:tcBorders>
              <w:tl2br w:val="nil"/>
              <w:tr2bl w:val="nil"/>
            </w:tcBorders>
            <w:vAlign w:val="center"/>
          </w:tcPr>
          <w:p>
            <w:pPr>
              <w:pStyle w:val="50510"/>
              <w:autoSpaceDN w:val="0"/>
              <w:spacing w:line="560" w:lineRule="exact"/>
              <w:ind w:firstLine="480" w:firstLineChars="200"/>
              <w:jc w:val="left"/>
              <w:rPr>
                <w:rFonts w:ascii="宋体" w:cs="微软雅黑" w:hint="eastAsia"/>
                <w:snapToGrid w:val="0"/>
                <w:kern w:val="0"/>
                <w:sz w:val="24"/>
                <w:szCs w:val="24"/>
              </w:rPr>
            </w:pPr>
          </w:p>
        </w:tc>
      </w:tr>
    </w:tbl>
    <w:p>
      <w:pPr>
        <w:pStyle w:val="Heading6"/>
        <w:ind w:firstLine="480" w:firstLineChars="200"/>
        <w:rPr>
          <w:rFonts w:ascii="宋体" w:eastAsia="宋体" w:hint="eastAsia"/>
          <w:color w:val="000000"/>
          <w:sz w:val="24"/>
        </w:rPr>
      </w:pPr>
      <w:r>
        <w:rPr>
          <w:rFonts w:ascii="宋体" w:eastAsia="宋体" w:hint="eastAsia"/>
          <w:color w:val="000000"/>
          <w:sz w:val="24"/>
        </w:rPr>
        <w:t>（二）履约保证金以银行保函、银行电汇向甲方提供。</w:t>
      </w:r>
    </w:p>
    <w:p>
      <w:pPr>
        <w:pStyle w:val="Heading6"/>
        <w:ind w:firstLine="480" w:firstLineChars="200"/>
        <w:rPr>
          <w:rFonts w:ascii="宋体" w:eastAsia="宋体" w:hint="eastAsia"/>
          <w:color w:val="000000"/>
          <w:sz w:val="24"/>
        </w:rPr>
      </w:pPr>
      <w:r>
        <w:rPr>
          <w:rFonts w:ascii="宋体" w:eastAsia="宋体" w:hint="eastAsia"/>
          <w:color w:val="000000"/>
          <w:sz w:val="24"/>
        </w:rPr>
        <w:t>（三）履约保证金有效期：自提交保证金之日起至项目</w:t>
      </w:r>
      <w:r>
        <w:rPr>
          <w:rFonts w:ascii="宋体" w:eastAsia="宋体"/>
          <w:color w:val="000000"/>
          <w:sz w:val="24"/>
        </w:rPr>
        <w:t>服务</w:t>
      </w:r>
      <w:r>
        <w:rPr>
          <w:rFonts w:ascii="宋体" w:eastAsia="宋体" w:hint="eastAsia"/>
          <w:color w:val="000000"/>
          <w:sz w:val="24"/>
        </w:rPr>
        <w:t>期满后30个日历日止（因乙方原因造成延期履约的，履约保证金相应顺延）。</w:t>
      </w:r>
    </w:p>
    <w:p>
      <w:pPr>
        <w:ind w:firstLine="480" w:firstLineChars="200"/>
        <w:rPr>
          <w:rFonts w:ascii="宋体" w:hint="eastAsia"/>
          <w:color w:val="000000"/>
          <w:sz w:val="24"/>
          <w:szCs w:val="24"/>
        </w:rPr>
      </w:pPr>
      <w:r>
        <w:rPr>
          <w:rFonts w:ascii="宋体" w:hint="eastAsia"/>
          <w:color w:val="000000"/>
          <w:sz w:val="24"/>
          <w:szCs w:val="24"/>
        </w:rPr>
        <w:t>（四）如乙方未能履行合同规定的义务，甲方有权按照本合同的约定从履约保证金中进行相应扣除。乙方应在甲方扣除履约保证金之日起10个工作日内，及时补充扣除部分金额。</w:t>
      </w:r>
    </w:p>
    <w:p>
      <w:pPr>
        <w:ind w:firstLine="480" w:firstLineChars="200"/>
        <w:rPr>
          <w:rFonts w:ascii="宋体" w:hint="eastAsia"/>
          <w:color w:val="000000"/>
          <w:sz w:val="24"/>
          <w:szCs w:val="24"/>
        </w:rPr>
      </w:pPr>
      <w:r>
        <w:rPr>
          <w:rFonts w:ascii="宋体" w:hint="eastAsia"/>
          <w:color w:val="000000"/>
          <w:sz w:val="24"/>
          <w:szCs w:val="24"/>
        </w:rPr>
        <w:t>（五）如乙方不履行合同，或履行合同义务不符合约定使得合同目的不能实现，履约保证金不予退还。</w:t>
      </w:r>
    </w:p>
    <w:p>
      <w:pPr>
        <w:ind w:firstLine="480" w:firstLineChars="200"/>
        <w:rPr>
          <w:rFonts w:ascii="宋体" w:hint="eastAsia"/>
          <w:color w:val="000000"/>
          <w:sz w:val="24"/>
          <w:szCs w:val="24"/>
        </w:rPr>
      </w:pPr>
      <w:r>
        <w:rPr>
          <w:rFonts w:ascii="宋体" w:hint="eastAsia"/>
          <w:color w:val="000000"/>
          <w:sz w:val="24"/>
          <w:szCs w:val="24"/>
        </w:rPr>
        <w:t>（六）履约保证金在有效期满后，甲方在收到乙方提交退款申请后10个工作日内无息退还。</w:t>
      </w:r>
    </w:p>
    <w:p>
      <w:pPr>
        <w:ind w:firstLine="480" w:firstLineChars="200"/>
        <w:rPr>
          <w:rFonts w:ascii="宋体" w:hint="eastAsia"/>
          <w:b/>
          <w:bCs/>
          <w:color w:val="000000"/>
          <w:sz w:val="24"/>
          <w:szCs w:val="24"/>
        </w:rPr>
      </w:pPr>
      <w:r>
        <w:rPr>
          <w:rFonts w:ascii="宋体" w:hint="eastAsia"/>
          <w:b/>
          <w:bCs/>
          <w:color w:val="000000"/>
          <w:sz w:val="24"/>
          <w:szCs w:val="24"/>
        </w:rPr>
        <w:t>第五条  工作进度要求及履行地点</w:t>
      </w:r>
    </w:p>
    <w:p>
      <w:pPr>
        <w:ind w:firstLine="480" w:firstLineChars="200"/>
        <w:rPr>
          <w:rFonts w:ascii="宋体" w:hint="eastAsia"/>
          <w:color w:val="000000"/>
          <w:sz w:val="24"/>
          <w:szCs w:val="24"/>
        </w:rPr>
      </w:pPr>
      <w:r>
        <w:rPr>
          <w:rFonts w:ascii="宋体" w:cs="宋体" w:hint="eastAsia"/>
          <w:color w:val="000000"/>
          <w:sz w:val="24"/>
          <w:szCs w:val="24"/>
        </w:rPr>
        <w:t>（一）本技术服务工期   个月，要求合同签订之日起    个月内完成合同约定的所有服务内容（以乙方满足招标文件/谈判文件/询价通知书/磋商文件/单一来源采购文件要求及投标文件/响应文件应答的基础上的承诺为准）。</w:t>
      </w:r>
    </w:p>
    <w:p>
      <w:pPr>
        <w:ind w:firstLine="480" w:firstLineChars="200"/>
        <w:rPr>
          <w:rFonts w:ascii="宋体" w:cs="宋体" w:hint="eastAsia"/>
          <w:color w:val="000000"/>
          <w:sz w:val="24"/>
          <w:szCs w:val="24"/>
        </w:rPr>
      </w:pPr>
      <w:r>
        <w:rPr>
          <w:rFonts w:ascii="宋体" w:cs="宋体" w:hint="eastAsia"/>
          <w:color w:val="000000"/>
          <w:sz w:val="24"/>
          <w:szCs w:val="24"/>
        </w:rPr>
        <w:t>（二）因甲方（用户）原因造成乙方不能按期完成工作的，经甲方（用户）书面确认后，乙方工期可以顺延，顺延的日期与甲方（用户）造成乙方不能正常工作的日期相等。</w:t>
      </w:r>
    </w:p>
    <w:p>
      <w:pPr>
        <w:ind w:firstLine="480" w:firstLineChars="200"/>
        <w:rPr>
          <w:rFonts w:ascii="宋体" w:hint="eastAsia"/>
          <w:color w:val="000000"/>
          <w:sz w:val="24"/>
          <w:szCs w:val="24"/>
        </w:rPr>
      </w:pPr>
      <w:r>
        <w:rPr>
          <w:rFonts w:ascii="宋体" w:cs="宋体" w:hint="eastAsia"/>
          <w:color w:val="000000"/>
          <w:sz w:val="24"/>
          <w:szCs w:val="24"/>
        </w:rPr>
        <w:t>（三）履行地点：甲方指定地点。</w:t>
      </w:r>
    </w:p>
    <w:p>
      <w:pPr>
        <w:pStyle w:val="Heading8"/>
        <w:ind w:firstLine="480" w:firstLineChars="200"/>
        <w:rPr>
          <w:rFonts w:ascii="宋体" w:eastAsia="宋体" w:cs="宋体" w:hint="eastAsia"/>
          <w:b/>
          <w:bCs/>
          <w:color w:val="000000"/>
          <w:sz w:val="24"/>
        </w:rPr>
      </w:pPr>
      <w:r>
        <w:rPr>
          <w:rFonts w:ascii="宋体" w:eastAsia="宋体" w:cs="宋体" w:hint="eastAsia"/>
          <w:b/>
          <w:bCs/>
          <w:color w:val="000000"/>
          <w:sz w:val="24"/>
        </w:rPr>
        <w:t>第六条 验收</w:t>
      </w:r>
    </w:p>
    <w:p>
      <w:pPr>
        <w:ind w:firstLine="480" w:firstLineChars="200"/>
        <w:rPr>
          <w:rFonts w:ascii="宋体" w:cs="宋体" w:hint="eastAsia"/>
          <w:color w:val="000000"/>
          <w:sz w:val="24"/>
          <w:szCs w:val="24"/>
        </w:rPr>
      </w:pPr>
      <w:r>
        <w:rPr>
          <w:rFonts w:ascii="宋体" w:cs="宋体" w:hint="eastAsia"/>
          <w:color w:val="000000"/>
          <w:sz w:val="24"/>
          <w:szCs w:val="24"/>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Heading8"/>
        <w:ind w:firstLine="480" w:firstLineChars="200"/>
        <w:rPr>
          <w:rFonts w:ascii="宋体" w:eastAsia="宋体" w:hint="eastAsia"/>
          <w:color w:val="000000"/>
          <w:sz w:val="24"/>
        </w:rPr>
      </w:pPr>
      <w:r>
        <w:rPr>
          <w:rFonts w:ascii="宋体" w:eastAsia="宋体" w:hint="eastAsia"/>
          <w:b/>
          <w:bCs/>
          <w:color w:val="000000"/>
          <w:sz w:val="24"/>
        </w:rPr>
        <w:t>第七条 质量保证</w:t>
      </w:r>
    </w:p>
    <w:p>
      <w:pPr>
        <w:ind w:firstLine="480" w:firstLineChars="200"/>
        <w:rPr>
          <w:rFonts w:ascii="宋体" w:hint="eastAsia"/>
          <w:color w:val="000000"/>
          <w:sz w:val="24"/>
          <w:szCs w:val="24"/>
        </w:rPr>
      </w:pPr>
      <w:r>
        <w:rPr>
          <w:rFonts w:ascii="宋体" w:hint="eastAsia"/>
          <w:color w:val="000000"/>
          <w:sz w:val="24"/>
          <w:szCs w:val="24"/>
        </w:rPr>
        <w:t>（一）乙方应保证所开发的产品与投标文件/响应文件承诺一致，并完全符合或高于合同要求的质量、规格和技术性能。</w:t>
      </w:r>
    </w:p>
    <w:p>
      <w:pPr>
        <w:ind w:firstLine="480" w:firstLineChars="200"/>
        <w:rPr>
          <w:rFonts w:ascii="宋体" w:hint="eastAsia"/>
          <w:color w:val="000000"/>
          <w:sz w:val="24"/>
          <w:szCs w:val="24"/>
        </w:rPr>
      </w:pPr>
      <w:r>
        <w:rPr>
          <w:rFonts w:ascii="宋体" w:hint="eastAsia"/>
          <w:color w:val="000000"/>
          <w:sz w:val="24"/>
          <w:szCs w:val="24"/>
        </w:rPr>
        <w:t>（二）本合同项目质量保证期为：自双方签署合同验收合格报告之日起计算</w:t>
      </w:r>
      <w:r>
        <w:rPr>
          <w:rFonts w:ascii="宋体" w:hint="eastAsia"/>
          <w:color w:val="000000"/>
          <w:sz w:val="24"/>
          <w:szCs w:val="24"/>
          <w:u w:val="single"/>
        </w:rPr>
        <w:t xml:space="preserve">    </w:t>
      </w:r>
      <w:r>
        <w:rPr>
          <w:rFonts w:ascii="宋体" w:hint="eastAsia"/>
          <w:color w:val="000000"/>
          <w:sz w:val="24"/>
          <w:szCs w:val="24"/>
        </w:rPr>
        <w:t>年。</w:t>
      </w:r>
    </w:p>
    <w:p>
      <w:pPr>
        <w:ind w:firstLine="480" w:firstLineChars="200"/>
        <w:rPr>
          <w:rFonts w:ascii="宋体" w:hint="eastAsia"/>
          <w:b/>
          <w:bCs/>
          <w:color w:val="000000"/>
          <w:sz w:val="24"/>
          <w:szCs w:val="24"/>
        </w:rPr>
      </w:pPr>
      <w:r>
        <w:rPr>
          <w:rFonts w:ascii="宋体" w:hint="eastAsia"/>
          <w:b/>
          <w:bCs/>
          <w:color w:val="000000"/>
          <w:sz w:val="24"/>
          <w:szCs w:val="24"/>
        </w:rPr>
        <w:t>第八条 培训</w:t>
      </w:r>
    </w:p>
    <w:p>
      <w:pPr>
        <w:ind w:firstLine="480" w:firstLineChars="200"/>
        <w:rPr>
          <w:rFonts w:ascii="宋体" w:hint="eastAsia"/>
          <w:b/>
          <w:bCs/>
          <w:color w:val="000000"/>
          <w:sz w:val="24"/>
          <w:szCs w:val="24"/>
        </w:rPr>
      </w:pPr>
      <w:r>
        <w:rPr>
          <w:rFonts w:ascii="宋体" w:hint="eastAsia"/>
          <w:bCs/>
          <w:color w:val="000000"/>
          <w:sz w:val="24"/>
          <w:szCs w:val="24"/>
        </w:rPr>
        <w:t>本合同包括培训，具体培训方案详见附件。</w:t>
      </w:r>
    </w:p>
    <w:p>
      <w:pPr>
        <w:ind w:firstLine="480" w:firstLineChars="200"/>
        <w:rPr>
          <w:rFonts w:ascii="宋体" w:hint="eastAsia"/>
          <w:b/>
          <w:bCs/>
          <w:color w:val="000000"/>
          <w:sz w:val="24"/>
          <w:szCs w:val="24"/>
        </w:rPr>
      </w:pPr>
      <w:r>
        <w:rPr>
          <w:rFonts w:ascii="宋体" w:hint="eastAsia"/>
          <w:b/>
          <w:bCs/>
          <w:color w:val="000000"/>
          <w:sz w:val="24"/>
          <w:szCs w:val="24"/>
        </w:rPr>
        <w:t>第九条 售后服务</w:t>
      </w:r>
    </w:p>
    <w:p>
      <w:pPr>
        <w:ind w:firstLine="480" w:firstLineChars="200"/>
        <w:rPr>
          <w:rFonts w:ascii="宋体" w:hint="eastAsia"/>
          <w:color w:val="000000"/>
          <w:sz w:val="24"/>
          <w:szCs w:val="24"/>
        </w:rPr>
      </w:pPr>
      <w:r>
        <w:rPr>
          <w:rFonts w:ascii="宋体" w:hint="eastAsia"/>
          <w:color w:val="000000"/>
          <w:sz w:val="24"/>
          <w:szCs w:val="24"/>
        </w:rPr>
        <w:t>（一）乙方在质量保证期内免费提供</w:t>
      </w:r>
      <w:r>
        <w:rPr>
          <w:rFonts w:ascii="宋体" w:hint="eastAsia"/>
          <w:color w:val="000000"/>
          <w:sz w:val="24"/>
          <w:szCs w:val="24"/>
          <w:u w:val="single"/>
        </w:rPr>
        <w:t>7（5）天</w:t>
      </w:r>
      <w:r>
        <w:rPr>
          <w:rFonts w:ascii="宋体" w:hint="eastAsia"/>
          <w:color w:val="000000"/>
          <w:sz w:val="24"/>
          <w:szCs w:val="24"/>
        </w:rPr>
        <w:t>*</w:t>
      </w:r>
      <w:r>
        <w:rPr>
          <w:rFonts w:ascii="宋体" w:hint="eastAsia"/>
          <w:color w:val="000000"/>
          <w:sz w:val="24"/>
          <w:szCs w:val="24"/>
          <w:u w:val="single"/>
        </w:rPr>
        <w:t>24（8）</w:t>
      </w:r>
      <w:r>
        <w:rPr>
          <w:rFonts w:ascii="宋体" w:hint="eastAsia"/>
          <w:color w:val="000000"/>
          <w:sz w:val="24"/>
          <w:szCs w:val="24"/>
        </w:rPr>
        <w:t>小时的技术支持与售后服务，提供专线电话支持服务，__小时内响应，保证___小时内到达现场并解决故障。</w:t>
      </w:r>
    </w:p>
    <w:p>
      <w:pPr>
        <w:ind w:firstLine="480" w:firstLineChars="200"/>
        <w:rPr>
          <w:rFonts w:ascii="宋体" w:hint="eastAsia"/>
          <w:color w:val="000000"/>
          <w:sz w:val="24"/>
          <w:szCs w:val="24"/>
        </w:rPr>
      </w:pPr>
      <w:r>
        <w:rPr>
          <w:rFonts w:ascii="宋体" w:hint="eastAsia"/>
          <w:color w:val="000000"/>
          <w:sz w:val="24"/>
          <w:szCs w:val="24"/>
        </w:rPr>
        <w:t>（二）本合同包含售后服务，具体技术支持及售后服务方案详见附件。</w:t>
      </w:r>
    </w:p>
    <w:p>
      <w:pPr>
        <w:pStyle w:val="24"/>
        <w:ind w:firstLine="480" w:firstLineChars="200"/>
        <w:rPr>
          <w:rFonts w:ascii="宋体" w:eastAsia="宋体" w:hint="eastAsia"/>
          <w:b/>
          <w:bCs/>
          <w:color w:val="000000"/>
          <w:sz w:val="24"/>
          <w:szCs w:val="24"/>
        </w:rPr>
      </w:pPr>
      <w:r>
        <w:rPr>
          <w:rFonts w:ascii="宋体" w:eastAsia="宋体" w:hint="eastAsia"/>
          <w:b/>
          <w:bCs/>
          <w:color w:val="000000"/>
          <w:sz w:val="24"/>
          <w:szCs w:val="24"/>
        </w:rPr>
        <w:t>第十条 双方的权利和义务</w:t>
      </w:r>
    </w:p>
    <w:p>
      <w:pPr>
        <w:ind w:firstLine="480" w:firstLineChars="200"/>
        <w:rPr>
          <w:rFonts w:ascii="宋体" w:hint="eastAsia"/>
          <w:bCs/>
          <w:color w:val="000000"/>
          <w:sz w:val="24"/>
          <w:szCs w:val="24"/>
        </w:rPr>
      </w:pPr>
      <w:r>
        <w:rPr>
          <w:rFonts w:ascii="宋体" w:cs="宋体" w:hint="eastAsia"/>
          <w:color w:val="000000"/>
          <w:sz w:val="24"/>
          <w:szCs w:val="24"/>
        </w:rPr>
        <w:t>一、甲方（用户）的权利与义务</w:t>
      </w:r>
    </w:p>
    <w:p>
      <w:pPr>
        <w:ind w:firstLine="480" w:firstLineChars="200"/>
        <w:rPr>
          <w:rFonts w:ascii="宋体" w:hint="eastAsia"/>
          <w:color w:val="000000"/>
          <w:sz w:val="24"/>
          <w:szCs w:val="24"/>
        </w:rPr>
      </w:pPr>
      <w:r>
        <w:rPr>
          <w:rFonts w:ascii="宋体" w:cs="宋体" w:hint="eastAsia"/>
          <w:color w:val="000000"/>
          <w:sz w:val="24"/>
          <w:szCs w:val="24"/>
        </w:rPr>
        <w:t>（一）甲方（用户）有权了解整个委托技术服务的执行进程，监督服务执行，并对技术服务的进度及质量进行要求和检查。</w:t>
      </w:r>
    </w:p>
    <w:p>
      <w:pPr>
        <w:ind w:firstLine="480" w:firstLineChars="200"/>
        <w:rPr>
          <w:rFonts w:ascii="宋体" w:hint="eastAsia"/>
          <w:color w:val="000000"/>
          <w:sz w:val="24"/>
          <w:szCs w:val="24"/>
        </w:rPr>
      </w:pPr>
      <w:r>
        <w:rPr>
          <w:rFonts w:ascii="宋体" w:cs="宋体" w:hint="eastAsia"/>
          <w:color w:val="000000"/>
          <w:sz w:val="24"/>
          <w:szCs w:val="24"/>
        </w:rPr>
        <w:t>（二）甲方（用户）有权要求乙方按照本合同约定及时提供服务，并对乙方的服务成果进行评估和确定，提出修改意见。</w:t>
      </w:r>
    </w:p>
    <w:p>
      <w:pPr>
        <w:ind w:firstLine="480" w:firstLineChars="200"/>
        <w:rPr>
          <w:rFonts w:ascii="宋体" w:hint="eastAsia"/>
          <w:color w:val="000000"/>
          <w:sz w:val="24"/>
          <w:szCs w:val="24"/>
        </w:rPr>
      </w:pPr>
      <w:r>
        <w:rPr>
          <w:rFonts w:ascii="宋体" w:cs="宋体" w:hint="eastAsia"/>
          <w:color w:val="000000"/>
          <w:sz w:val="24"/>
          <w:szCs w:val="24"/>
        </w:rPr>
        <w:t>（三）甲方（用户）对服务成果拥有所有权以及全部、完整的知识产权（包括但不限于著作权、专利权、商标权以及知识产权申请权等）。甲方（用户）可安排技术人员参与核心工作，以便后续维护。</w:t>
      </w:r>
    </w:p>
    <w:p>
      <w:pPr>
        <w:ind w:firstLine="480" w:firstLineChars="200"/>
        <w:rPr>
          <w:rFonts w:ascii="宋体" w:hint="eastAsia"/>
          <w:color w:val="000000"/>
          <w:sz w:val="24"/>
          <w:szCs w:val="24"/>
        </w:rPr>
      </w:pPr>
      <w:r>
        <w:rPr>
          <w:rFonts w:ascii="宋体" w:cs="宋体" w:hint="eastAsia"/>
          <w:color w:val="000000"/>
          <w:sz w:val="24"/>
          <w:szCs w:val="24"/>
        </w:rPr>
        <w:t>（四）甲方（用户）有权在海关范围内对技术服务涉及的所有成果进行推广应用。</w:t>
      </w:r>
    </w:p>
    <w:p>
      <w:pPr>
        <w:ind w:firstLine="480" w:firstLineChars="200"/>
        <w:rPr>
          <w:rFonts w:ascii="宋体" w:hint="eastAsia"/>
          <w:color w:val="000000"/>
          <w:sz w:val="24"/>
          <w:szCs w:val="24"/>
        </w:rPr>
      </w:pPr>
      <w:r>
        <w:rPr>
          <w:rFonts w:ascii="宋体" w:cs="宋体" w:hint="eastAsia"/>
          <w:color w:val="000000"/>
          <w:sz w:val="24"/>
          <w:szCs w:val="24"/>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ind w:firstLine="480" w:firstLineChars="200"/>
        <w:rPr>
          <w:rFonts w:ascii="宋体" w:hint="eastAsia"/>
          <w:color w:val="000000"/>
          <w:sz w:val="24"/>
          <w:szCs w:val="24"/>
        </w:rPr>
      </w:pPr>
      <w:r>
        <w:rPr>
          <w:rFonts w:ascii="宋体" w:cs="宋体" w:hint="eastAsia"/>
          <w:color w:val="000000"/>
          <w:sz w:val="24"/>
          <w:szCs w:val="24"/>
        </w:rPr>
        <w:t>（六）甲方（用户）应在实施过程中向乙方提供下列工作条件和协作事项：</w:t>
      </w:r>
    </w:p>
    <w:p>
      <w:pPr>
        <w:ind w:firstLine="480" w:firstLineChars="200"/>
        <w:rPr>
          <w:rFonts w:ascii="宋体" w:hint="eastAsia"/>
          <w:color w:val="000000"/>
          <w:sz w:val="24"/>
          <w:szCs w:val="24"/>
        </w:rPr>
      </w:pPr>
      <w:r>
        <w:rPr>
          <w:rFonts w:ascii="宋体" w:cs="宋体" w:hint="eastAsia"/>
          <w:color w:val="000000"/>
          <w:sz w:val="24"/>
          <w:szCs w:val="24"/>
        </w:rPr>
        <w:t>1.提供完成技术服务所需的全部文档及相关资料；</w:t>
      </w:r>
    </w:p>
    <w:p>
      <w:pPr>
        <w:ind w:firstLine="480" w:firstLineChars="200"/>
        <w:rPr>
          <w:rFonts w:ascii="宋体" w:hint="eastAsia"/>
          <w:color w:val="000000"/>
          <w:sz w:val="24"/>
          <w:szCs w:val="24"/>
        </w:rPr>
      </w:pPr>
      <w:r>
        <w:rPr>
          <w:rFonts w:ascii="宋体" w:cs="宋体" w:hint="eastAsia"/>
          <w:color w:val="000000"/>
          <w:sz w:val="24"/>
          <w:szCs w:val="24"/>
        </w:rPr>
        <w:t>2.解答或协调解答技术服务实施过程中的需求问题。</w:t>
      </w:r>
    </w:p>
    <w:p>
      <w:pPr>
        <w:ind w:firstLine="480" w:firstLineChars="200"/>
        <w:rPr>
          <w:rFonts w:ascii="宋体" w:hint="eastAsia"/>
          <w:color w:val="000000"/>
          <w:sz w:val="24"/>
          <w:szCs w:val="24"/>
        </w:rPr>
      </w:pPr>
      <w:r>
        <w:rPr>
          <w:rFonts w:ascii="宋体" w:cs="宋体" w:hint="eastAsia"/>
          <w:color w:val="000000"/>
          <w:sz w:val="24"/>
          <w:szCs w:val="24"/>
        </w:rPr>
        <w:t>（七）在乙方完成相应阶段工作并满足付款条件时，甲方应按照本合同的约定及时支付合同价款。</w:t>
      </w:r>
    </w:p>
    <w:p>
      <w:pPr>
        <w:ind w:firstLine="480" w:firstLineChars="200"/>
        <w:rPr>
          <w:rFonts w:ascii="宋体" w:hint="eastAsia"/>
          <w:bCs/>
          <w:color w:val="000000"/>
          <w:sz w:val="24"/>
          <w:szCs w:val="24"/>
        </w:rPr>
      </w:pPr>
      <w:r>
        <w:rPr>
          <w:rFonts w:ascii="宋体" w:cs="宋体" w:hint="eastAsia"/>
          <w:color w:val="000000"/>
          <w:sz w:val="24"/>
          <w:szCs w:val="24"/>
        </w:rPr>
        <w:t>二、乙方的权利与义务</w:t>
      </w:r>
    </w:p>
    <w:p>
      <w:pPr>
        <w:ind w:firstLine="480" w:firstLineChars="200"/>
        <w:rPr>
          <w:rFonts w:ascii="宋体" w:cs="宋体" w:hint="eastAsia"/>
          <w:color w:val="000000"/>
          <w:sz w:val="24"/>
          <w:szCs w:val="24"/>
        </w:rPr>
      </w:pPr>
      <w:r>
        <w:rPr>
          <w:rFonts w:ascii="宋体" w:cs="宋体" w:hint="eastAsia"/>
          <w:color w:val="000000"/>
          <w:sz w:val="24"/>
          <w:szCs w:val="24"/>
        </w:rPr>
        <w:t>（一）乙方保证在甲方规定的工期进度内按照合同以及合同附件的要求完成应交付的完整、合格服务，并符合服务质量要求。</w:t>
      </w:r>
    </w:p>
    <w:p>
      <w:pPr>
        <w:ind w:firstLine="480" w:firstLineChars="200"/>
        <w:rPr>
          <w:rFonts w:ascii="宋体" w:hint="eastAsia"/>
          <w:color w:val="000000"/>
          <w:sz w:val="24"/>
          <w:szCs w:val="24"/>
        </w:rPr>
      </w:pPr>
      <w:r>
        <w:rPr>
          <w:rFonts w:ascii="宋体" w:cs="宋体" w:hint="eastAsia"/>
          <w:color w:val="000000"/>
          <w:sz w:val="24"/>
          <w:szCs w:val="24"/>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ind w:firstLine="480" w:firstLineChars="200"/>
        <w:rPr>
          <w:rFonts w:ascii="宋体" w:hint="eastAsia"/>
          <w:color w:val="000000"/>
          <w:sz w:val="24"/>
          <w:szCs w:val="24"/>
        </w:rPr>
      </w:pPr>
      <w:r>
        <w:rPr>
          <w:rFonts w:ascii="宋体" w:cs="宋体" w:hint="eastAsia"/>
          <w:color w:val="000000"/>
          <w:sz w:val="24"/>
          <w:szCs w:val="24"/>
        </w:rPr>
        <w:t>（三）乙方应派专人负责技术服务执行，以保证技术服务顺利进行，加强风险分析与控制，对风险要有详细的分析，有可靠的控制手段和措施，并及时向甲方（用户）汇报。</w:t>
      </w:r>
    </w:p>
    <w:p>
      <w:pPr>
        <w:ind w:firstLine="480" w:firstLineChars="200"/>
        <w:rPr>
          <w:rFonts w:ascii="宋体" w:cs="宋体" w:hint="eastAsia"/>
          <w:color w:val="000000"/>
          <w:sz w:val="24"/>
          <w:szCs w:val="24"/>
        </w:rPr>
      </w:pPr>
      <w:r>
        <w:rPr>
          <w:rFonts w:ascii="宋体" w:cs="宋体" w:hint="eastAsia"/>
          <w:color w:val="000000"/>
          <w:sz w:val="24"/>
          <w:szCs w:val="24"/>
        </w:rPr>
        <w:t>（四）乙方应在服务期内及时修复安全漏洞。</w:t>
      </w:r>
    </w:p>
    <w:p>
      <w:pPr>
        <w:ind w:firstLine="480" w:firstLineChars="200"/>
        <w:rPr>
          <w:rFonts w:ascii="宋体" w:hint="eastAsia"/>
          <w:color w:val="000000"/>
          <w:sz w:val="24"/>
          <w:szCs w:val="24"/>
        </w:rPr>
      </w:pPr>
      <w:r>
        <w:rPr>
          <w:rFonts w:ascii="宋体" w:cs="宋体" w:hint="eastAsia"/>
          <w:color w:val="000000"/>
          <w:sz w:val="24"/>
          <w:szCs w:val="24"/>
        </w:rPr>
        <w:t>（五）乙方所派人员应熟练掌握所需技术，所派人员对技术服务内容进行严格保密，不得泄露相关信息。</w:t>
      </w:r>
    </w:p>
    <w:p>
      <w:pPr>
        <w:ind w:firstLine="480" w:firstLineChars="200"/>
        <w:rPr>
          <w:rFonts w:ascii="宋体" w:hint="eastAsia"/>
          <w:color w:val="000000"/>
          <w:sz w:val="24"/>
          <w:szCs w:val="24"/>
        </w:rPr>
      </w:pPr>
      <w:r>
        <w:rPr>
          <w:rFonts w:ascii="宋体" w:cs="宋体" w:hint="eastAsia"/>
          <w:color w:val="000000"/>
          <w:sz w:val="24"/>
          <w:szCs w:val="24"/>
        </w:rPr>
        <w:t>（六）乙方在履行合同义务的情形下有权要求甲方按本合同的约定及时支付合同价款。</w:t>
      </w:r>
    </w:p>
    <w:p>
      <w:pPr>
        <w:ind w:firstLine="480" w:firstLineChars="200"/>
        <w:rPr>
          <w:rFonts w:ascii="宋体" w:hint="eastAsia"/>
          <w:color w:val="000000"/>
          <w:sz w:val="24"/>
          <w:szCs w:val="24"/>
        </w:rPr>
      </w:pPr>
      <w:r>
        <w:rPr>
          <w:rFonts w:ascii="宋体" w:cs="宋体" w:hint="eastAsia"/>
          <w:color w:val="000000"/>
          <w:sz w:val="24"/>
          <w:szCs w:val="24"/>
        </w:rPr>
        <w:t>（七）乙方应按甲方（用户）要求保质保量地完成相关代码实现以及配套文档的编制工作，并及时、完整向甲方（用户）交付相关材料。</w:t>
      </w:r>
    </w:p>
    <w:p>
      <w:pPr>
        <w:ind w:firstLine="480" w:firstLineChars="200"/>
        <w:rPr>
          <w:rFonts w:ascii="宋体" w:cs="宋体" w:hint="eastAsia"/>
          <w:color w:val="000000"/>
          <w:sz w:val="24"/>
          <w:szCs w:val="24"/>
        </w:rPr>
      </w:pPr>
      <w:r>
        <w:rPr>
          <w:rFonts w:ascii="宋体" w:cs="宋体" w:hint="eastAsia"/>
          <w:color w:val="000000"/>
          <w:sz w:val="24"/>
          <w:szCs w:val="24"/>
        </w:rPr>
        <w:t>（八）乙方应无条件配合完成技术服务的业务测试工作。</w:t>
      </w:r>
    </w:p>
    <w:p>
      <w:pPr>
        <w:ind w:firstLine="480" w:firstLineChars="200"/>
        <w:rPr>
          <w:rFonts w:ascii="宋体" w:cs="宋体" w:hint="eastAsia"/>
          <w:color w:val="000000"/>
          <w:sz w:val="24"/>
          <w:szCs w:val="24"/>
        </w:rPr>
      </w:pPr>
      <w:r>
        <w:rPr>
          <w:rFonts w:ascii="宋体" w:cs="宋体" w:hint="eastAsia"/>
          <w:color w:val="000000"/>
          <w:sz w:val="24"/>
          <w:szCs w:val="24"/>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ind w:firstLine="480" w:firstLineChars="200"/>
        <w:rPr>
          <w:rFonts w:ascii="宋体" w:cs="宋体" w:hint="eastAsia"/>
          <w:color w:val="000000"/>
          <w:sz w:val="24"/>
          <w:szCs w:val="24"/>
        </w:rPr>
      </w:pPr>
      <w:r>
        <w:rPr>
          <w:rFonts w:ascii="宋体" w:cs="宋体" w:hint="eastAsia"/>
          <w:color w:val="000000"/>
          <w:sz w:val="24"/>
          <w:szCs w:val="24"/>
        </w:rPr>
        <w:t>（十）乙方须遵守甲方（用户）提出的各项安全管理要求。</w:t>
      </w:r>
    </w:p>
    <w:p>
      <w:pPr>
        <w:ind w:firstLine="480" w:firstLineChars="200"/>
        <w:rPr>
          <w:rFonts w:ascii="宋体" w:cs="宋体" w:hint="eastAsia"/>
          <w:color w:val="000000"/>
          <w:sz w:val="24"/>
          <w:szCs w:val="24"/>
        </w:rPr>
      </w:pPr>
      <w:r>
        <w:rPr>
          <w:rFonts w:ascii="宋体" w:cs="宋体" w:hint="eastAsia"/>
          <w:color w:val="000000"/>
          <w:sz w:val="24"/>
          <w:szCs w:val="24"/>
        </w:rPr>
        <w:t>（十一）乙方须按照国家关于通过政府采购渠道参与政务信息化建设的有关要求，签订《政务数据安全管理承诺书》，具体详见附件。</w:t>
      </w:r>
    </w:p>
    <w:p>
      <w:pPr>
        <w:ind w:firstLine="480" w:firstLineChars="200"/>
        <w:rPr>
          <w:rFonts w:ascii="宋体" w:hint="eastAsia"/>
          <w:b/>
          <w:bCs/>
          <w:color w:val="000000"/>
          <w:sz w:val="24"/>
          <w:szCs w:val="24"/>
        </w:rPr>
      </w:pPr>
      <w:r>
        <w:rPr>
          <w:rFonts w:ascii="宋体" w:hint="eastAsia"/>
          <w:b/>
          <w:bCs/>
          <w:color w:val="000000"/>
          <w:sz w:val="24"/>
          <w:szCs w:val="24"/>
        </w:rPr>
        <w:t>第十一条 违约责任</w:t>
      </w:r>
    </w:p>
    <w:p>
      <w:pPr>
        <w:ind w:firstLine="480" w:firstLineChars="200"/>
        <w:rPr>
          <w:rFonts w:ascii="宋体" w:hint="eastAsia"/>
          <w:color w:val="000000"/>
          <w:sz w:val="24"/>
          <w:szCs w:val="24"/>
        </w:rPr>
      </w:pPr>
      <w:r>
        <w:rPr>
          <w:rFonts w:ascii="宋体" w:hint="eastAsia"/>
          <w:color w:val="000000"/>
          <w:sz w:val="24"/>
          <w:szCs w:val="24"/>
        </w:rPr>
        <w:t>（一）乙方未按照本合同规定的时间提供服务的违约责任。</w:t>
      </w:r>
    </w:p>
    <w:p>
      <w:pPr>
        <w:ind w:firstLine="480" w:firstLineChars="200"/>
        <w:rPr>
          <w:rFonts w:ascii="宋体" w:hint="eastAsia"/>
          <w:color w:val="000000"/>
          <w:sz w:val="24"/>
        </w:rPr>
      </w:pPr>
      <w:r>
        <w:rPr>
          <w:rFonts w:ascii="宋体" w:hint="eastAsia"/>
          <w:color w:val="000000"/>
          <w:sz w:val="24"/>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80" w:firstLineChars="200"/>
        <w:rPr>
          <w:rFonts w:ascii="宋体" w:hint="eastAsia"/>
          <w:color w:val="000000"/>
          <w:sz w:val="24"/>
        </w:rPr>
      </w:pPr>
      <w:r>
        <w:rPr>
          <w:rFonts w:ascii="宋体" w:hint="eastAsia"/>
          <w:color w:val="000000"/>
          <w:sz w:val="24"/>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80" w:firstLineChars="200"/>
        <w:rPr>
          <w:rFonts w:ascii="宋体" w:hint="eastAsia"/>
          <w:color w:val="000000"/>
          <w:sz w:val="24"/>
        </w:rPr>
      </w:pPr>
      <w:r>
        <w:rPr>
          <w:rFonts w:ascii="宋体" w:hint="eastAsia"/>
          <w:color w:val="000000"/>
          <w:sz w:val="24"/>
        </w:rPr>
        <w:t>3.出现上述没有按照合同规定的时间提供服务的情形时，甲方也可以选择解除合同，要求乙方退回甲方已支付款项、扣除履约保证金并追究乙方相应违约责任、赔偿甲方（用户）的全部损失。</w:t>
      </w:r>
    </w:p>
    <w:p>
      <w:pPr>
        <w:ind w:firstLine="480" w:firstLineChars="200"/>
        <w:rPr>
          <w:rFonts w:ascii="宋体" w:hint="eastAsia"/>
          <w:color w:val="000000"/>
          <w:sz w:val="24"/>
        </w:rPr>
      </w:pPr>
      <w:r>
        <w:rPr>
          <w:rFonts w:ascii="宋体" w:hint="eastAsia"/>
          <w:color w:val="000000"/>
          <w:sz w:val="24"/>
        </w:rPr>
        <w:t>（二）因乙方或乙方工作人员或乙方相关方的作为或不作为行为致使甲方</w:t>
      </w:r>
      <w:r>
        <w:rPr>
          <w:rFonts w:ascii="宋体" w:cs="宋体" w:hint="eastAsia"/>
          <w:color w:val="000000"/>
          <w:sz w:val="24"/>
        </w:rPr>
        <w:t>（用户）</w:t>
      </w:r>
      <w:r>
        <w:rPr>
          <w:rFonts w:ascii="宋体" w:hint="eastAsia"/>
          <w:color w:val="000000"/>
          <w:sz w:val="24"/>
        </w:rPr>
        <w:t>或第三方遭受人员人身伤害或财产损失的，乙方应承担全部赔偿责任，赔偿全部损失，且甲方有权以全部履约保证金作为违约金，解除本合同。</w:t>
      </w:r>
    </w:p>
    <w:p>
      <w:pPr>
        <w:ind w:firstLine="480" w:firstLineChars="200"/>
        <w:rPr>
          <w:rFonts w:ascii="宋体" w:hint="eastAsia"/>
          <w:color w:val="000000"/>
          <w:sz w:val="24"/>
          <w:szCs w:val="24"/>
        </w:rPr>
      </w:pPr>
      <w:r>
        <w:rPr>
          <w:rFonts w:ascii="宋体" w:hint="eastAsia"/>
          <w:color w:val="000000"/>
          <w:sz w:val="24"/>
          <w:szCs w:val="24"/>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 w:val="24"/>
          <w:szCs w:val="24"/>
        </w:rPr>
        <w:t>（用户）</w:t>
      </w:r>
      <w:r>
        <w:rPr>
          <w:rFonts w:ascii="宋体" w:hint="eastAsia"/>
          <w:color w:val="000000"/>
          <w:sz w:val="24"/>
          <w:szCs w:val="24"/>
        </w:rPr>
        <w:t>造成其他损失的，乙方应继续承担赔偿责任。</w:t>
      </w:r>
    </w:p>
    <w:p>
      <w:pPr>
        <w:ind w:firstLine="480" w:firstLineChars="200"/>
        <w:rPr>
          <w:rFonts w:ascii="宋体" w:hint="eastAsia"/>
          <w:b/>
          <w:bCs/>
          <w:color w:val="000000"/>
          <w:sz w:val="24"/>
        </w:rPr>
      </w:pPr>
      <w:r>
        <w:rPr>
          <w:rFonts w:ascii="宋体" w:hint="eastAsia"/>
          <w:b/>
          <w:bCs/>
          <w:color w:val="000000"/>
          <w:sz w:val="24"/>
        </w:rPr>
        <w:t>第十二条 使用合同文件和资料</w:t>
      </w:r>
    </w:p>
    <w:p>
      <w:pPr>
        <w:ind w:firstLine="480" w:firstLineChars="200"/>
        <w:rPr>
          <w:rFonts w:ascii="宋体" w:hint="eastAsia"/>
          <w:color w:val="000000"/>
          <w:sz w:val="24"/>
        </w:rPr>
      </w:pPr>
      <w:r>
        <w:rPr>
          <w:rFonts w:ascii="宋体" w:hint="eastAsia"/>
          <w:color w:val="000000"/>
          <w:sz w:val="24"/>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80" w:firstLineChars="200"/>
        <w:rPr>
          <w:rFonts w:ascii="宋体" w:hint="eastAsia"/>
          <w:color w:val="000000"/>
          <w:sz w:val="24"/>
        </w:rPr>
      </w:pPr>
      <w:r>
        <w:rPr>
          <w:rFonts w:ascii="宋体" w:hint="eastAsia"/>
          <w:color w:val="000000"/>
          <w:sz w:val="24"/>
        </w:rPr>
        <w:t>（二）没有甲方（用户）事先书面同意，除了履行本合同之外，乙方不应使用、传播与本合同相关的任何文件、资料。</w:t>
      </w:r>
    </w:p>
    <w:p>
      <w:pPr>
        <w:ind w:firstLine="480" w:firstLineChars="200"/>
        <w:rPr>
          <w:rFonts w:ascii="宋体" w:hint="eastAsia"/>
          <w:b/>
          <w:bCs/>
          <w:color w:val="000000"/>
          <w:sz w:val="24"/>
          <w:szCs w:val="24"/>
        </w:rPr>
      </w:pPr>
      <w:r>
        <w:rPr>
          <w:rFonts w:ascii="宋体" w:hint="eastAsia"/>
          <w:b/>
          <w:bCs/>
          <w:color w:val="000000"/>
          <w:sz w:val="24"/>
          <w:szCs w:val="24"/>
        </w:rPr>
        <w:t>第十三条 知识产权</w:t>
      </w:r>
    </w:p>
    <w:p>
      <w:pPr>
        <w:ind w:firstLine="480" w:firstLineChars="200"/>
        <w:rPr>
          <w:rFonts w:ascii="宋体" w:hint="eastAsia"/>
          <w:color w:val="000000"/>
          <w:sz w:val="24"/>
          <w:szCs w:val="24"/>
        </w:rPr>
      </w:pPr>
      <w:r>
        <w:rPr>
          <w:rFonts w:ascii="宋体" w:hint="eastAsia"/>
          <w:color w:val="000000"/>
          <w:sz w:val="24"/>
          <w:szCs w:val="24"/>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80" w:firstLineChars="200"/>
        <w:rPr>
          <w:rFonts w:ascii="宋体" w:hint="eastAsia"/>
          <w:color w:val="000000"/>
          <w:sz w:val="24"/>
          <w:szCs w:val="24"/>
        </w:rPr>
      </w:pPr>
      <w:r>
        <w:rPr>
          <w:rFonts w:ascii="宋体" w:hint="eastAsia"/>
          <w:color w:val="000000"/>
          <w:sz w:val="24"/>
          <w:szCs w:val="24"/>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80" w:firstLineChars="200"/>
        <w:rPr>
          <w:rFonts w:ascii="宋体" w:hint="eastAsia"/>
          <w:color w:val="000000"/>
          <w:sz w:val="24"/>
          <w:szCs w:val="24"/>
        </w:rPr>
      </w:pPr>
      <w:r>
        <w:rPr>
          <w:rFonts w:ascii="宋体" w:hint="eastAsia"/>
          <w:color w:val="000000"/>
          <w:sz w:val="24"/>
          <w:szCs w:val="24"/>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80" w:firstLineChars="200"/>
        <w:rPr>
          <w:rFonts w:ascii="宋体" w:hint="eastAsia"/>
          <w:b/>
          <w:bCs/>
          <w:color w:val="000000"/>
          <w:sz w:val="24"/>
          <w:szCs w:val="24"/>
        </w:rPr>
      </w:pPr>
      <w:r>
        <w:rPr>
          <w:rFonts w:ascii="宋体" w:hint="eastAsia"/>
          <w:b/>
          <w:bCs/>
          <w:color w:val="000000"/>
          <w:sz w:val="24"/>
          <w:szCs w:val="24"/>
        </w:rPr>
        <w:t>第十四条 不可抗力及其免责</w:t>
      </w:r>
    </w:p>
    <w:p>
      <w:pPr>
        <w:ind w:firstLine="480" w:firstLineChars="200"/>
        <w:rPr>
          <w:rFonts w:ascii="宋体" w:hint="eastAsia"/>
          <w:color w:val="000000"/>
          <w:sz w:val="24"/>
          <w:szCs w:val="24"/>
        </w:rPr>
      </w:pPr>
      <w:r>
        <w:rPr>
          <w:rFonts w:ascii="宋体" w:hint="eastAsia"/>
          <w:color w:val="000000"/>
          <w:sz w:val="24"/>
          <w:szCs w:val="24"/>
        </w:rPr>
        <w:t>（一）如果乙方因不可抗力而导致合同实施延误或不能履行合同义务时，在不可抗力影响的范围内不应该被没收履约保证金，也不应该承担误期赔偿或终止合同的责任。</w:t>
      </w:r>
    </w:p>
    <w:p>
      <w:pPr>
        <w:ind w:firstLine="480" w:firstLineChars="200"/>
        <w:rPr>
          <w:rFonts w:ascii="宋体" w:hint="eastAsia"/>
          <w:color w:val="000000"/>
          <w:sz w:val="24"/>
          <w:szCs w:val="24"/>
        </w:rPr>
      </w:pPr>
      <w:r>
        <w:rPr>
          <w:rFonts w:ascii="宋体" w:hint="eastAsia"/>
          <w:color w:val="000000"/>
          <w:sz w:val="24"/>
          <w:szCs w:val="24"/>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80" w:firstLineChars="200"/>
        <w:rPr>
          <w:rFonts w:ascii="宋体" w:hint="eastAsia"/>
          <w:color w:val="000000"/>
          <w:sz w:val="24"/>
          <w:szCs w:val="24"/>
        </w:rPr>
      </w:pPr>
      <w:r>
        <w:rPr>
          <w:rFonts w:ascii="宋体" w:hint="eastAsia"/>
          <w:color w:val="000000"/>
          <w:sz w:val="24"/>
          <w:szCs w:val="24"/>
        </w:rPr>
        <w:t>（三）乙方在延迟履行合同期间由于不可抗力而不能履行合同的，不能被免除责任。</w:t>
      </w:r>
    </w:p>
    <w:p>
      <w:pPr>
        <w:ind w:firstLine="480" w:firstLineChars="200"/>
        <w:rPr>
          <w:rFonts w:ascii="宋体" w:hint="eastAsia"/>
          <w:color w:val="000000"/>
          <w:sz w:val="24"/>
          <w:szCs w:val="24"/>
        </w:rPr>
      </w:pPr>
      <w:r>
        <w:rPr>
          <w:rFonts w:ascii="宋体" w:hint="eastAsia"/>
          <w:color w:val="000000"/>
          <w:sz w:val="24"/>
          <w:szCs w:val="24"/>
        </w:rPr>
        <w:t>（四）甲方（用户）如遇不可抗力，应尽快以书面形式通知乙方，并尽实际可能履行不受不可抗力影响的其他事项。甲方（用户）不承担因不可抗力不能履行合同所造成的损失。</w:t>
      </w:r>
    </w:p>
    <w:p>
      <w:pPr>
        <w:ind w:firstLine="480" w:firstLineChars="200"/>
        <w:rPr>
          <w:rFonts w:ascii="宋体" w:hint="eastAsia"/>
          <w:color w:val="000000"/>
          <w:sz w:val="24"/>
          <w:szCs w:val="24"/>
        </w:rPr>
      </w:pPr>
      <w:r>
        <w:rPr>
          <w:rFonts w:ascii="宋体" w:hint="eastAsia"/>
          <w:color w:val="000000"/>
          <w:sz w:val="24"/>
          <w:szCs w:val="24"/>
        </w:rPr>
        <w:t>（五）本条所述的“不可抗力”指那些不能预见、不能避免并不能克服的客观情况，包括但不限于战争、动乱、严重火灾、洪水、台风、地震等及其他双方同意的情况，但不包括违约或疏忽。</w:t>
      </w:r>
    </w:p>
    <w:p>
      <w:pPr>
        <w:ind w:firstLine="480" w:firstLineChars="200"/>
        <w:rPr>
          <w:rFonts w:ascii="宋体" w:hint="eastAsia"/>
          <w:b/>
          <w:bCs/>
          <w:color w:val="000000"/>
          <w:sz w:val="24"/>
          <w:szCs w:val="24"/>
        </w:rPr>
      </w:pPr>
      <w:r>
        <w:rPr>
          <w:rFonts w:ascii="宋体" w:hint="eastAsia"/>
          <w:b/>
          <w:bCs/>
          <w:color w:val="000000"/>
          <w:sz w:val="24"/>
          <w:szCs w:val="24"/>
        </w:rPr>
        <w:t>第十五条 争议的解决</w:t>
      </w:r>
    </w:p>
    <w:p>
      <w:pPr>
        <w:ind w:firstLine="480" w:firstLineChars="200"/>
        <w:rPr>
          <w:rFonts w:ascii="宋体" w:hint="eastAsia"/>
          <w:color w:val="000000"/>
          <w:sz w:val="24"/>
          <w:szCs w:val="24"/>
        </w:rPr>
      </w:pPr>
      <w:r>
        <w:rPr>
          <w:rFonts w:ascii="宋体" w:hint="eastAsia"/>
          <w:color w:val="000000"/>
          <w:sz w:val="24"/>
          <w:szCs w:val="24"/>
        </w:rPr>
        <w:t>（一）合同实施或与合同有关的一切争议应通过双方友好协商解决。如果友好协商开始</w:t>
      </w:r>
      <w:r>
        <w:rPr>
          <w:rFonts w:ascii="宋体" w:hint="eastAsia"/>
          <w:color w:val="000000"/>
          <w:sz w:val="24"/>
          <w:szCs w:val="24"/>
          <w:u w:val="words"/>
        </w:rPr>
        <w:t>六十天</w:t>
      </w:r>
      <w:r>
        <w:rPr>
          <w:rFonts w:ascii="宋体" w:hint="eastAsia"/>
          <w:color w:val="000000"/>
          <w:sz w:val="24"/>
          <w:szCs w:val="24"/>
        </w:rPr>
        <w:t>内还不能解决，争议应提交仲裁。</w:t>
      </w:r>
    </w:p>
    <w:p>
      <w:pPr>
        <w:ind w:firstLine="480" w:firstLineChars="200"/>
        <w:rPr>
          <w:rFonts w:ascii="宋体" w:hint="eastAsia"/>
          <w:color w:val="000000"/>
          <w:sz w:val="24"/>
          <w:szCs w:val="24"/>
        </w:rPr>
      </w:pPr>
      <w:r>
        <w:rPr>
          <w:rFonts w:ascii="宋体" w:hint="eastAsia"/>
          <w:color w:val="000000"/>
          <w:sz w:val="24"/>
          <w:szCs w:val="24"/>
        </w:rPr>
        <w:t>（二）仲裁应提交</w:t>
      </w:r>
      <w:r>
        <w:rPr>
          <w:rFonts w:ascii="宋体" w:hint="eastAsia"/>
          <w:color w:val="000000"/>
          <w:sz w:val="24"/>
          <w:szCs w:val="24"/>
          <w:u w:val="words"/>
        </w:rPr>
        <w:t>北京仲裁委员会</w:t>
      </w:r>
      <w:r>
        <w:rPr>
          <w:rFonts w:ascii="宋体" w:hint="eastAsia"/>
          <w:color w:val="000000"/>
          <w:sz w:val="24"/>
          <w:szCs w:val="24"/>
        </w:rPr>
        <w:t>进行，其仲裁裁决为最终裁决，对双方均有约束力。</w:t>
      </w:r>
    </w:p>
    <w:p>
      <w:pPr>
        <w:ind w:firstLine="480" w:firstLineChars="200"/>
        <w:rPr>
          <w:rFonts w:ascii="宋体" w:hint="eastAsia"/>
          <w:color w:val="000000"/>
          <w:sz w:val="24"/>
          <w:szCs w:val="24"/>
        </w:rPr>
      </w:pPr>
      <w:r>
        <w:rPr>
          <w:rFonts w:ascii="宋体" w:hint="eastAsia"/>
          <w:color w:val="000000"/>
          <w:sz w:val="24"/>
          <w:szCs w:val="24"/>
        </w:rPr>
        <w:t>（三）仲裁费除仲裁机关另有裁决外均应由败诉方负担。</w:t>
      </w:r>
    </w:p>
    <w:p>
      <w:pPr>
        <w:ind w:firstLine="480" w:firstLineChars="200"/>
        <w:rPr>
          <w:rFonts w:ascii="宋体" w:hint="eastAsia"/>
          <w:color w:val="000000"/>
          <w:sz w:val="24"/>
          <w:szCs w:val="24"/>
        </w:rPr>
      </w:pPr>
      <w:r>
        <w:rPr>
          <w:rFonts w:ascii="宋体" w:hint="eastAsia"/>
          <w:color w:val="000000"/>
          <w:sz w:val="24"/>
          <w:szCs w:val="24"/>
        </w:rPr>
        <w:t>（四）在仲裁期间，除正在进行仲裁的部分外，本合同其他部分应继续履行。</w:t>
      </w:r>
    </w:p>
    <w:p>
      <w:pPr>
        <w:ind w:firstLine="480" w:firstLineChars="200"/>
        <w:rPr>
          <w:rFonts w:ascii="宋体" w:hint="eastAsia"/>
          <w:b/>
          <w:bCs/>
          <w:color w:val="000000"/>
          <w:sz w:val="24"/>
          <w:szCs w:val="24"/>
        </w:rPr>
      </w:pPr>
      <w:r>
        <w:rPr>
          <w:rFonts w:ascii="宋体" w:hint="eastAsia"/>
          <w:b/>
          <w:bCs/>
          <w:color w:val="000000"/>
          <w:sz w:val="24"/>
          <w:szCs w:val="24"/>
        </w:rPr>
        <w:t>第十六条 合同修改或变更</w:t>
      </w:r>
    </w:p>
    <w:p>
      <w:pPr>
        <w:ind w:firstLine="480" w:firstLineChars="200"/>
        <w:rPr>
          <w:rFonts w:ascii="宋体" w:hint="eastAsia"/>
          <w:color w:val="000000"/>
          <w:sz w:val="24"/>
          <w:szCs w:val="24"/>
        </w:rPr>
      </w:pPr>
      <w:r>
        <w:rPr>
          <w:rFonts w:ascii="宋体" w:hint="eastAsia"/>
          <w:color w:val="000000"/>
          <w:sz w:val="24"/>
          <w:szCs w:val="24"/>
        </w:rPr>
        <w:t>（一）如无重大变故，甲乙双方不得擅自变更合同。</w:t>
      </w:r>
    </w:p>
    <w:p>
      <w:pPr>
        <w:ind w:firstLine="480" w:firstLineChars="200"/>
        <w:rPr>
          <w:rFonts w:ascii="宋体" w:hint="eastAsia"/>
          <w:color w:val="000000"/>
          <w:sz w:val="24"/>
          <w:szCs w:val="24"/>
        </w:rPr>
      </w:pPr>
      <w:r>
        <w:rPr>
          <w:rFonts w:ascii="宋体" w:hint="eastAsia"/>
          <w:color w:val="000000"/>
          <w:sz w:val="24"/>
          <w:szCs w:val="24"/>
        </w:rPr>
        <w:t>（二）如确需变更合同，甲乙双方应签署书面变更协议。变更协议为本合同不可分割的一部分。</w:t>
      </w:r>
    </w:p>
    <w:p>
      <w:pPr>
        <w:ind w:firstLine="480" w:firstLineChars="200"/>
        <w:rPr>
          <w:rFonts w:ascii="宋体" w:hint="eastAsia"/>
          <w:color w:val="000000"/>
          <w:sz w:val="24"/>
          <w:szCs w:val="24"/>
        </w:rPr>
      </w:pPr>
      <w:r>
        <w:rPr>
          <w:rFonts w:ascii="宋体" w:hint="eastAsia"/>
          <w:color w:val="000000"/>
          <w:sz w:val="24"/>
          <w:szCs w:val="24"/>
        </w:rPr>
        <w:t>（三）在不改变合同其他条款的前提下，甲方（用户）有权在合同价款10%的范围内追加与合同标的相同的服务，并就此与乙方签订补充合同，乙方不得拒绝。</w:t>
      </w:r>
    </w:p>
    <w:p>
      <w:pPr>
        <w:ind w:firstLine="480" w:firstLineChars="200"/>
        <w:rPr>
          <w:rFonts w:ascii="宋体" w:hint="eastAsia"/>
          <w:b/>
          <w:bCs/>
          <w:color w:val="000000"/>
          <w:sz w:val="24"/>
          <w:szCs w:val="24"/>
        </w:rPr>
      </w:pPr>
      <w:r>
        <w:rPr>
          <w:rFonts w:ascii="宋体" w:hint="eastAsia"/>
          <w:b/>
          <w:bCs/>
          <w:color w:val="000000"/>
          <w:sz w:val="24"/>
          <w:szCs w:val="24"/>
        </w:rPr>
        <w:t>第十七条 合同中止</w:t>
      </w:r>
    </w:p>
    <w:p>
      <w:pPr>
        <w:ind w:firstLine="480" w:firstLineChars="200"/>
        <w:rPr>
          <w:rFonts w:ascii="宋体" w:hint="eastAsia"/>
          <w:color w:val="000000"/>
          <w:sz w:val="24"/>
          <w:szCs w:val="24"/>
        </w:rPr>
      </w:pPr>
      <w:r>
        <w:rPr>
          <w:rFonts w:ascii="宋体" w:hint="eastAsia"/>
          <w:color w:val="000000"/>
          <w:sz w:val="24"/>
          <w:szCs w:val="24"/>
        </w:rPr>
        <w:t>（一）合同在履行过程中，因采购计划调整，甲方（用户）可以要求中止履行，待计划确定后继续履行。</w:t>
      </w:r>
    </w:p>
    <w:p>
      <w:pPr>
        <w:ind w:firstLine="480" w:firstLineChars="200"/>
        <w:rPr>
          <w:rFonts w:ascii="宋体" w:hint="eastAsia"/>
          <w:color w:val="000000"/>
          <w:sz w:val="24"/>
          <w:szCs w:val="24"/>
        </w:rPr>
      </w:pPr>
      <w:r>
        <w:rPr>
          <w:rFonts w:ascii="宋体" w:hint="eastAsia"/>
          <w:color w:val="000000"/>
          <w:sz w:val="24"/>
          <w:szCs w:val="24"/>
        </w:rPr>
        <w:t>（二）合同签订或履行过程中因其他供应商就采购过程或结果提起质疑、投诉、行政复议、行政诉讼的，甲方（用户）认为有必要或财政部责令中止的，应当中止合同的履行。</w:t>
      </w:r>
    </w:p>
    <w:p>
      <w:pPr>
        <w:ind w:firstLine="480" w:firstLineChars="200"/>
        <w:rPr>
          <w:rFonts w:ascii="宋体" w:hint="eastAsia"/>
          <w:b/>
          <w:bCs/>
          <w:color w:val="000000"/>
          <w:sz w:val="24"/>
          <w:szCs w:val="24"/>
        </w:rPr>
      </w:pPr>
      <w:r>
        <w:rPr>
          <w:rFonts w:ascii="宋体" w:hint="eastAsia"/>
          <w:b/>
          <w:bCs/>
          <w:color w:val="000000"/>
          <w:sz w:val="24"/>
          <w:szCs w:val="24"/>
        </w:rPr>
        <w:t>第十八条 合同解除</w:t>
      </w:r>
    </w:p>
    <w:p>
      <w:pPr>
        <w:ind w:firstLine="480" w:firstLineChars="200"/>
        <w:rPr>
          <w:rFonts w:ascii="宋体" w:hint="eastAsia"/>
          <w:color w:val="000000"/>
          <w:sz w:val="24"/>
          <w:szCs w:val="24"/>
        </w:rPr>
      </w:pPr>
      <w:r>
        <w:rPr>
          <w:rFonts w:ascii="宋体" w:hint="eastAsia"/>
          <w:color w:val="000000"/>
          <w:sz w:val="24"/>
          <w:szCs w:val="24"/>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80" w:firstLineChars="200"/>
        <w:rPr>
          <w:rFonts w:ascii="宋体" w:hint="eastAsia"/>
          <w:color w:val="000000"/>
          <w:sz w:val="24"/>
          <w:szCs w:val="24"/>
        </w:rPr>
      </w:pPr>
      <w:r>
        <w:rPr>
          <w:rFonts w:ascii="宋体" w:hint="eastAsia"/>
          <w:color w:val="000000"/>
          <w:sz w:val="24"/>
          <w:szCs w:val="24"/>
        </w:rPr>
        <w:t>（一）因违约解除合同</w:t>
      </w:r>
    </w:p>
    <w:p>
      <w:pPr>
        <w:ind w:firstLine="480" w:firstLineChars="200"/>
        <w:rPr>
          <w:rFonts w:ascii="宋体" w:hint="eastAsia"/>
          <w:color w:val="000000"/>
          <w:sz w:val="24"/>
          <w:szCs w:val="24"/>
        </w:rPr>
      </w:pPr>
      <w:r>
        <w:rPr>
          <w:rFonts w:ascii="宋体" w:hint="eastAsia"/>
          <w:color w:val="000000"/>
          <w:sz w:val="24"/>
          <w:szCs w:val="24"/>
        </w:rPr>
        <w:t>1.在甲方（用户）因乙方违约而采取的任何补救措施不受影响的情况下，甲方（用户）可向乙方发出书面违约通知书，提出解除部分或全部合同：</w:t>
      </w:r>
    </w:p>
    <w:p>
      <w:pPr>
        <w:ind w:firstLine="480" w:firstLineChars="200"/>
        <w:rPr>
          <w:rFonts w:ascii="宋体" w:hint="eastAsia"/>
          <w:color w:val="000000"/>
          <w:sz w:val="24"/>
          <w:szCs w:val="24"/>
        </w:rPr>
      </w:pPr>
      <w:r>
        <w:rPr>
          <w:rFonts w:ascii="宋体" w:hint="eastAsia"/>
          <w:color w:val="000000"/>
          <w:sz w:val="24"/>
          <w:szCs w:val="24"/>
        </w:rPr>
        <w:t>（1）如果乙方未能在合同规定的期限或甲方（用户）根据合同条款的规定同意延长的限期内提供部分或全部的服务，达到合同所规定的要求；</w:t>
      </w:r>
    </w:p>
    <w:p>
      <w:pPr>
        <w:ind w:firstLine="480" w:firstLineChars="200"/>
        <w:rPr>
          <w:rFonts w:ascii="宋体" w:hint="eastAsia"/>
          <w:color w:val="000000"/>
          <w:sz w:val="24"/>
        </w:rPr>
      </w:pPr>
      <w:r>
        <w:rPr>
          <w:rFonts w:ascii="宋体" w:hint="eastAsia"/>
          <w:color w:val="000000"/>
          <w:sz w:val="24"/>
        </w:rPr>
        <w:t>（2）如果甲方（用户）发现乙方在本合同的竞争或实施中有欺诈行为。</w:t>
      </w:r>
    </w:p>
    <w:p>
      <w:pPr>
        <w:ind w:firstLine="480" w:firstLineChars="200"/>
        <w:rPr>
          <w:rFonts w:ascii="宋体" w:hint="eastAsia"/>
          <w:color w:val="000000"/>
          <w:sz w:val="24"/>
        </w:rPr>
      </w:pPr>
      <w:r>
        <w:rPr>
          <w:rFonts w:ascii="宋体" w:hint="eastAsia"/>
          <w:color w:val="000000"/>
          <w:sz w:val="24"/>
        </w:rPr>
        <w:t>（3）如果乙方未能履行合同规定的其他任何义务。</w:t>
      </w:r>
    </w:p>
    <w:p>
      <w:pPr>
        <w:ind w:firstLine="480" w:firstLineChars="200"/>
        <w:rPr>
          <w:rFonts w:ascii="宋体" w:hint="eastAsia"/>
          <w:color w:val="000000"/>
          <w:sz w:val="24"/>
        </w:rPr>
      </w:pPr>
      <w:r>
        <w:rPr>
          <w:rFonts w:ascii="宋体" w:hint="eastAsia"/>
          <w:color w:val="000000"/>
          <w:sz w:val="24"/>
        </w:rPr>
        <w:t>2.如果甲方（用户）根据上述规定与乙方全部或部分解除合同，</w:t>
      </w:r>
      <w:r>
        <w:rPr>
          <w:rFonts w:ascii="宋体" w:hint="eastAsia"/>
          <w:bCs/>
          <w:color w:val="000000"/>
          <w:sz w:val="24"/>
        </w:rPr>
        <w:t>甲方（用户）可以依其认为适当的条件和方法购买乙方未能提供的服务，乙方应对甲方购买服务所超出的费用负责</w:t>
      </w:r>
      <w:r>
        <w:rPr>
          <w:rFonts w:ascii="宋体" w:hint="eastAsia"/>
          <w:color w:val="000000"/>
          <w:sz w:val="24"/>
        </w:rPr>
        <w:t>。</w:t>
      </w:r>
      <w:r>
        <w:rPr>
          <w:rFonts w:ascii="宋体" w:hint="eastAsia"/>
          <w:bCs/>
          <w:color w:val="000000"/>
          <w:sz w:val="24"/>
        </w:rPr>
        <w:t>同时，乙方应继续执行合同中未解除的部分。</w:t>
      </w:r>
    </w:p>
    <w:p>
      <w:pPr>
        <w:ind w:firstLine="480" w:firstLineChars="200"/>
        <w:rPr>
          <w:rFonts w:ascii="宋体" w:hint="eastAsia"/>
          <w:color w:val="000000"/>
          <w:sz w:val="24"/>
        </w:rPr>
      </w:pPr>
      <w:r>
        <w:rPr>
          <w:rFonts w:ascii="宋体" w:hint="eastAsia"/>
          <w:color w:val="000000"/>
          <w:sz w:val="24"/>
        </w:rPr>
        <w:t>（二）因破产而解除合同</w:t>
      </w:r>
    </w:p>
    <w:p>
      <w:pPr>
        <w:ind w:firstLine="480" w:firstLineChars="200"/>
        <w:rPr>
          <w:rFonts w:ascii="宋体" w:hint="eastAsia"/>
          <w:color w:val="000000"/>
          <w:sz w:val="24"/>
        </w:rPr>
      </w:pPr>
      <w:r>
        <w:rPr>
          <w:rFonts w:ascii="宋体" w:hint="eastAsia"/>
          <w:color w:val="000000"/>
          <w:sz w:val="24"/>
        </w:rPr>
        <w:t>1.如果乙方破产或无清偿能力，甲方（用户）可在任何时候以书面形式通知乙方，提出解除合同而不给乙方补偿，并有权要求乙方退回甲方（用户）已支付的合同款项。</w:t>
      </w:r>
    </w:p>
    <w:p>
      <w:pPr>
        <w:ind w:firstLine="480" w:firstLineChars="200"/>
        <w:rPr>
          <w:rFonts w:ascii="宋体" w:hint="eastAsia"/>
          <w:color w:val="000000"/>
          <w:sz w:val="24"/>
        </w:rPr>
      </w:pPr>
      <w:r>
        <w:rPr>
          <w:rFonts w:ascii="宋体" w:hint="eastAsia"/>
          <w:color w:val="000000"/>
          <w:sz w:val="24"/>
        </w:rPr>
        <w:t>2.该解除合同将不损害或影响甲方</w:t>
      </w:r>
      <w:r>
        <w:rPr>
          <w:rFonts w:ascii="宋体" w:cs="宋体" w:hint="eastAsia"/>
          <w:color w:val="000000"/>
          <w:sz w:val="24"/>
        </w:rPr>
        <w:t>（用户）</w:t>
      </w:r>
      <w:r>
        <w:rPr>
          <w:rFonts w:ascii="宋体" w:hint="eastAsia"/>
          <w:color w:val="000000"/>
          <w:sz w:val="24"/>
        </w:rPr>
        <w:t>已经采取或将要采取的任何行动或补救措施的权利。</w:t>
      </w:r>
    </w:p>
    <w:p>
      <w:pPr>
        <w:ind w:firstLine="480" w:firstLineChars="200"/>
        <w:rPr>
          <w:rFonts w:ascii="宋体" w:hint="eastAsia"/>
          <w:color w:val="000000"/>
          <w:sz w:val="24"/>
        </w:rPr>
      </w:pPr>
      <w:r>
        <w:rPr>
          <w:rFonts w:ascii="宋体" w:hint="eastAsia"/>
          <w:color w:val="000000"/>
          <w:sz w:val="24"/>
        </w:rPr>
        <w:t>（三）其他解除合同情况</w:t>
      </w:r>
    </w:p>
    <w:p>
      <w:pPr>
        <w:ind w:firstLine="480" w:firstLineChars="200"/>
        <w:rPr>
          <w:rFonts w:ascii="宋体" w:hint="eastAsia"/>
          <w:color w:val="000000"/>
          <w:sz w:val="24"/>
        </w:rPr>
      </w:pPr>
      <w:r>
        <w:rPr>
          <w:rFonts w:ascii="宋体" w:hint="eastAsia"/>
          <w:color w:val="000000"/>
          <w:sz w:val="24"/>
        </w:rPr>
        <w:t>1.若合同继续履行将给甲方造成重大损失的，甲方（用户）可以解除合同而不给予乙方任何补偿。</w:t>
      </w:r>
    </w:p>
    <w:p>
      <w:pPr>
        <w:ind w:firstLine="480" w:firstLineChars="200"/>
        <w:rPr>
          <w:rFonts w:ascii="宋体" w:hint="eastAsia"/>
          <w:color w:val="000000"/>
          <w:sz w:val="24"/>
        </w:rPr>
      </w:pPr>
      <w:r>
        <w:rPr>
          <w:rFonts w:ascii="宋体" w:hint="eastAsia"/>
          <w:color w:val="000000"/>
          <w:sz w:val="24"/>
        </w:rPr>
        <w:t>2.乙方在执行合同的过程中发生重大变故，对履行合同有影响的，甲方（用户）可以解除合同而不给予乙方任何补偿。</w:t>
      </w:r>
    </w:p>
    <w:p>
      <w:pPr>
        <w:ind w:firstLine="480" w:firstLineChars="200"/>
        <w:rPr>
          <w:rFonts w:ascii="宋体" w:hint="eastAsia"/>
          <w:color w:val="000000"/>
          <w:sz w:val="24"/>
        </w:rPr>
      </w:pPr>
      <w:r>
        <w:rPr>
          <w:rFonts w:ascii="宋体" w:hint="eastAsia"/>
          <w:color w:val="000000"/>
          <w:sz w:val="24"/>
        </w:rPr>
        <w:t>3.甲方（用户）因重大变故取消或部分取消原来的采购任务，导致合同全部或部分内容无需继续履行的，可以解除合同而不给予乙方任何补偿。</w:t>
      </w:r>
    </w:p>
    <w:p>
      <w:pPr>
        <w:ind w:firstLine="480" w:firstLineChars="200"/>
        <w:rPr>
          <w:rFonts w:ascii="宋体" w:hint="eastAsia"/>
          <w:b/>
          <w:bCs/>
          <w:color w:val="000000"/>
          <w:sz w:val="24"/>
        </w:rPr>
      </w:pPr>
      <w:r>
        <w:rPr>
          <w:rFonts w:ascii="宋体" w:hint="eastAsia"/>
          <w:b/>
          <w:bCs/>
          <w:color w:val="000000"/>
          <w:sz w:val="24"/>
        </w:rPr>
        <w:t>第十九条 合同终止</w:t>
      </w:r>
    </w:p>
    <w:p>
      <w:pPr>
        <w:ind w:firstLine="480" w:firstLineChars="200"/>
        <w:rPr>
          <w:rFonts w:ascii="宋体" w:cs="微软雅黑" w:hint="eastAsia"/>
          <w:snapToGrid w:val="0"/>
          <w:color w:val="000000"/>
          <w:sz w:val="24"/>
        </w:rPr>
      </w:pPr>
      <w:r>
        <w:rPr>
          <w:rFonts w:ascii="宋体" w:cs="微软雅黑" w:hint="eastAsia"/>
          <w:snapToGrid w:val="0"/>
          <w:color w:val="000000"/>
          <w:sz w:val="24"/>
        </w:rPr>
        <w:t>（一）本合同因下列原因而终止：</w:t>
      </w:r>
    </w:p>
    <w:p>
      <w:pPr>
        <w:ind w:firstLine="480" w:firstLineChars="200"/>
        <w:rPr>
          <w:rFonts w:ascii="宋体" w:cs="微软雅黑" w:hint="eastAsia"/>
          <w:snapToGrid w:val="0"/>
          <w:color w:val="000000"/>
          <w:sz w:val="24"/>
        </w:rPr>
      </w:pPr>
      <w:r>
        <w:rPr>
          <w:rFonts w:ascii="宋体" w:cs="微软雅黑" w:hint="eastAsia"/>
          <w:snapToGrid w:val="0"/>
          <w:color w:val="000000"/>
          <w:sz w:val="24"/>
        </w:rPr>
        <w:t>1.本合同正常履行完毕；</w:t>
      </w:r>
    </w:p>
    <w:p>
      <w:pPr>
        <w:ind w:firstLine="480" w:firstLineChars="200"/>
        <w:rPr>
          <w:rFonts w:ascii="宋体" w:cs="微软雅黑" w:hint="eastAsia"/>
          <w:snapToGrid w:val="0"/>
          <w:color w:val="000000"/>
          <w:sz w:val="24"/>
        </w:rPr>
      </w:pPr>
      <w:r>
        <w:rPr>
          <w:rFonts w:ascii="宋体" w:cs="微软雅黑" w:hint="eastAsia"/>
          <w:snapToGrid w:val="0"/>
          <w:color w:val="000000"/>
          <w:sz w:val="24"/>
        </w:rPr>
        <w:t>2.合同双方协议终止本合同的履行；</w:t>
      </w:r>
    </w:p>
    <w:p>
      <w:pPr>
        <w:ind w:firstLine="480" w:firstLineChars="200"/>
        <w:rPr>
          <w:rFonts w:ascii="宋体" w:cs="微软雅黑" w:hint="eastAsia"/>
          <w:snapToGrid w:val="0"/>
          <w:color w:val="000000"/>
          <w:sz w:val="24"/>
        </w:rPr>
      </w:pPr>
      <w:r>
        <w:rPr>
          <w:rFonts w:ascii="宋体" w:cs="微软雅黑" w:hint="eastAsia"/>
          <w:snapToGrid w:val="0"/>
          <w:color w:val="000000"/>
          <w:sz w:val="24"/>
        </w:rPr>
        <w:t>3.不可抗力事件导致本合同无法履行或履行不必要；</w:t>
      </w:r>
    </w:p>
    <w:p>
      <w:pPr>
        <w:ind w:firstLine="480" w:firstLineChars="200"/>
        <w:rPr>
          <w:rFonts w:ascii="宋体" w:cs="微软雅黑" w:hint="eastAsia"/>
          <w:snapToGrid w:val="0"/>
          <w:color w:val="000000"/>
          <w:sz w:val="24"/>
        </w:rPr>
      </w:pPr>
      <w:r>
        <w:rPr>
          <w:rFonts w:ascii="宋体" w:cs="微软雅黑" w:hint="eastAsia"/>
          <w:snapToGrid w:val="0"/>
          <w:color w:val="000000"/>
          <w:sz w:val="24"/>
        </w:rPr>
        <w:t>4.任何一方行使解除权，解除本合同。</w:t>
      </w:r>
    </w:p>
    <w:p>
      <w:pPr>
        <w:ind w:firstLine="480" w:firstLineChars="200"/>
        <w:rPr>
          <w:rFonts w:ascii="宋体" w:cs="微软雅黑" w:hint="eastAsia"/>
          <w:snapToGrid w:val="0"/>
          <w:color w:val="000000"/>
          <w:sz w:val="24"/>
        </w:rPr>
      </w:pPr>
      <w:bookmarkStart w:id="47" w:name="孔子"/>
      <w:bookmarkEnd w:id="47"/>
      <w:r>
        <w:rPr>
          <w:rFonts w:ascii="宋体" w:cs="微软雅黑" w:hint="eastAsia"/>
          <w:snapToGrid w:val="0"/>
          <w:color w:val="000000"/>
          <w:sz w:val="24"/>
        </w:rPr>
        <w:t>（二）对本合同终止有过错的一方应赔偿另一方因合同终止而受到的损失。</w:t>
      </w:r>
    </w:p>
    <w:p>
      <w:pPr>
        <w:ind w:firstLine="480" w:firstLineChars="200"/>
        <w:rPr>
          <w:rFonts w:ascii="宋体" w:hint="eastAsia"/>
          <w:b/>
          <w:bCs/>
          <w:color w:val="000000"/>
          <w:sz w:val="24"/>
        </w:rPr>
      </w:pPr>
      <w:r>
        <w:rPr>
          <w:rFonts w:ascii="宋体" w:hint="eastAsia"/>
          <w:b/>
          <w:bCs/>
          <w:color w:val="000000"/>
          <w:sz w:val="24"/>
        </w:rPr>
        <w:t>第二十条 合同转让和分包</w:t>
      </w:r>
    </w:p>
    <w:p>
      <w:pPr>
        <w:ind w:firstLine="480" w:firstLineChars="200"/>
        <w:rPr>
          <w:rFonts w:ascii="宋体" w:hint="eastAsia"/>
          <w:color w:val="000000"/>
          <w:sz w:val="24"/>
        </w:rPr>
      </w:pPr>
      <w:r>
        <w:rPr>
          <w:rFonts w:ascii="宋体" w:hint="eastAsia"/>
          <w:color w:val="000000"/>
          <w:sz w:val="24"/>
        </w:rPr>
        <w:t>（一）乙方不得以任何形式将合同转包，或部分或全部转让其应履行的合同义务。</w:t>
      </w:r>
    </w:p>
    <w:p>
      <w:pPr>
        <w:ind w:firstLine="480" w:firstLineChars="200"/>
        <w:rPr>
          <w:rFonts w:ascii="宋体" w:hint="eastAsia"/>
          <w:color w:val="000000"/>
          <w:sz w:val="24"/>
        </w:rPr>
      </w:pPr>
      <w:r>
        <w:rPr>
          <w:rFonts w:ascii="宋体" w:hint="eastAsia"/>
          <w:color w:val="000000"/>
          <w:sz w:val="24"/>
        </w:rPr>
        <w:t>（二）除经甲方（用户）事先书面同意外，乙方不得以任何形式将合同分包。</w:t>
      </w:r>
    </w:p>
    <w:p>
      <w:pPr>
        <w:ind w:firstLine="480" w:firstLineChars="200"/>
        <w:rPr>
          <w:rFonts w:ascii="宋体" w:hint="eastAsia"/>
          <w:color w:val="000000"/>
          <w:sz w:val="24"/>
        </w:rPr>
      </w:pPr>
      <w:r>
        <w:rPr>
          <w:rFonts w:ascii="宋体" w:hint="eastAsia"/>
          <w:color w:val="000000"/>
          <w:sz w:val="24"/>
        </w:rPr>
        <w:t>乙方擅自转包或分包的，甲方有权解除本合同，没收履约保证金，并要求乙方退还已支付的全部款项，赔偿甲方（用户）全部损失及支出的合理费用。</w:t>
      </w:r>
    </w:p>
    <w:p>
      <w:pPr>
        <w:ind w:firstLine="480" w:firstLineChars="200"/>
        <w:rPr>
          <w:rFonts w:ascii="宋体" w:hint="eastAsia"/>
          <w:b/>
          <w:bCs/>
          <w:color w:val="000000"/>
          <w:sz w:val="24"/>
        </w:rPr>
      </w:pPr>
      <w:r>
        <w:rPr>
          <w:rFonts w:ascii="宋体" w:hint="eastAsia"/>
          <w:b/>
          <w:bCs/>
          <w:color w:val="000000"/>
          <w:sz w:val="24"/>
        </w:rPr>
        <w:t>第二十一条 其他</w:t>
      </w:r>
    </w:p>
    <w:p>
      <w:pPr>
        <w:ind w:firstLine="480" w:firstLineChars="200"/>
        <w:rPr>
          <w:rFonts w:ascii="宋体" w:hint="eastAsia"/>
          <w:color w:val="000000"/>
          <w:sz w:val="24"/>
        </w:rPr>
      </w:pPr>
      <w:r>
        <w:rPr>
          <w:rFonts w:ascii="宋体" w:hint="eastAsia"/>
          <w:color w:val="000000"/>
          <w:sz w:val="24"/>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80" w:firstLineChars="200"/>
        <w:rPr>
          <w:rFonts w:ascii="宋体" w:hint="eastAsia"/>
          <w:b/>
          <w:bCs/>
          <w:color w:val="000000"/>
          <w:sz w:val="24"/>
        </w:rPr>
      </w:pPr>
      <w:r>
        <w:rPr>
          <w:rFonts w:ascii="宋体" w:hint="eastAsia"/>
          <w:b/>
          <w:bCs/>
          <w:color w:val="000000"/>
          <w:sz w:val="24"/>
        </w:rPr>
        <w:t>第二十二条 合同生效</w:t>
      </w:r>
    </w:p>
    <w:p>
      <w:pPr>
        <w:ind w:firstLine="480" w:firstLineChars="200"/>
        <w:rPr>
          <w:rFonts w:ascii="宋体" w:hint="eastAsia"/>
          <w:color w:val="000000"/>
          <w:sz w:val="24"/>
        </w:rPr>
      </w:pPr>
      <w:r>
        <w:rPr>
          <w:rFonts w:ascii="宋体" w:hint="eastAsia"/>
          <w:color w:val="000000"/>
          <w:sz w:val="24"/>
        </w:rPr>
        <w:t>（一）本合同一式___份，甲方执___份，乙方执___份；自甲乙双方签字并盖章之日起生效。对本合同的任何更改及补充，均需双方共同协商，并以书面形式盖章确认。</w:t>
      </w:r>
    </w:p>
    <w:p>
      <w:pPr>
        <w:ind w:firstLine="480" w:firstLineChars="200"/>
        <w:rPr>
          <w:rFonts w:ascii="宋体" w:cs="宋体" w:hint="eastAsia"/>
          <w:snapToGrid w:val="0"/>
          <w:color w:val="000000"/>
          <w:sz w:val="24"/>
        </w:rPr>
      </w:pPr>
      <w:r>
        <w:rPr>
          <w:rFonts w:ascii="宋体" w:hint="eastAsia"/>
          <w:color w:val="000000"/>
          <w:sz w:val="24"/>
        </w:rPr>
        <w:t>（二）</w:t>
      </w:r>
      <w:r>
        <w:rPr>
          <w:rFonts w:ascii="宋体" w:cs="宋体" w:hint="eastAsia"/>
          <w:snapToGrid w:val="0"/>
          <w:color w:val="000000"/>
          <w:sz w:val="24"/>
        </w:rPr>
        <w:t>本合同签订后，由海关总署（内设部门名称）执行资金支付、履约保证金收退、试运行或合同验收等合同履约一切事宜。（适用于采购中心与乙方签订合同的情形）</w:t>
      </w:r>
    </w:p>
    <w:p>
      <w:pPr>
        <w:ind w:firstLine="480" w:firstLineChars="200"/>
        <w:rPr>
          <w:rFonts w:ascii="宋体" w:hint="eastAsia"/>
          <w:color w:val="000000"/>
          <w:sz w:val="24"/>
        </w:rPr>
      </w:pPr>
    </w:p>
    <w:p>
      <w:pPr>
        <w:pStyle w:val="5610"/>
        <w:spacing w:line="480" w:lineRule="atLeast"/>
        <w:ind w:firstLine="482" w:firstLineChars="201"/>
        <w:rPr>
          <w:rFonts w:ascii="宋体" w:eastAsia="宋体" w:cs="宋体" w:hint="eastAsia"/>
          <w:color w:val="000000"/>
          <w:sz w:val="24"/>
          <w:szCs w:val="24"/>
        </w:rPr>
      </w:pPr>
      <w:r>
        <w:rPr>
          <w:rFonts w:ascii="宋体" w:eastAsia="宋体" w:hint="eastAsia"/>
          <w:color w:val="000000"/>
          <w:sz w:val="24"/>
          <w:szCs w:val="24"/>
        </w:rPr>
        <w:t>附件一：</w:t>
      </w:r>
      <w:r>
        <w:rPr>
          <w:rFonts w:ascii="宋体" w:eastAsia="宋体" w:cs="宋体" w:hint="eastAsia"/>
          <w:color w:val="000000"/>
          <w:sz w:val="24"/>
          <w:szCs w:val="24"/>
        </w:rPr>
        <w:t>项目需求书</w:t>
      </w:r>
    </w:p>
    <w:p>
      <w:pPr>
        <w:ind w:firstLine="480" w:firstLineChars="200"/>
        <w:rPr>
          <w:rFonts w:ascii="宋体" w:hint="eastAsia"/>
          <w:color w:val="000000"/>
          <w:sz w:val="24"/>
          <w:szCs w:val="24"/>
        </w:rPr>
      </w:pPr>
      <w:r>
        <w:rPr>
          <w:rFonts w:ascii="宋体" w:hint="eastAsia"/>
          <w:color w:val="000000"/>
          <w:sz w:val="24"/>
          <w:szCs w:val="24"/>
        </w:rPr>
        <w:t>附件二：分项报价表</w:t>
      </w:r>
    </w:p>
    <w:p>
      <w:pPr>
        <w:ind w:firstLine="480" w:firstLineChars="200"/>
        <w:rPr>
          <w:rFonts w:ascii="宋体" w:hint="eastAsia"/>
          <w:color w:val="000000"/>
          <w:sz w:val="24"/>
          <w:szCs w:val="24"/>
        </w:rPr>
      </w:pPr>
      <w:r>
        <w:rPr>
          <w:rFonts w:ascii="宋体" w:hint="eastAsia"/>
          <w:color w:val="000000"/>
          <w:sz w:val="24"/>
          <w:szCs w:val="24"/>
        </w:rPr>
        <w:t>附件三：</w:t>
      </w:r>
      <w:r>
        <w:rPr>
          <w:rFonts w:ascii="宋体" w:cs="宋体" w:hint="eastAsia"/>
          <w:color w:val="000000"/>
          <w:sz w:val="24"/>
          <w:szCs w:val="24"/>
        </w:rPr>
        <w:t>政务数据安全管理承诺书</w:t>
      </w:r>
    </w:p>
    <w:p>
      <w:pPr>
        <w:ind w:firstLine="480" w:firstLineChars="200"/>
        <w:rPr>
          <w:rFonts w:ascii="宋体" w:hint="eastAsia"/>
          <w:color w:val="000000"/>
          <w:sz w:val="24"/>
          <w:szCs w:val="24"/>
        </w:rPr>
      </w:pPr>
      <w:r>
        <w:rPr>
          <w:rFonts w:ascii="宋体" w:hint="eastAsia"/>
          <w:color w:val="000000"/>
          <w:sz w:val="24"/>
          <w:szCs w:val="24"/>
        </w:rPr>
        <w:t>附件四：项目相关方案</w:t>
      </w:r>
    </w:p>
    <w:p>
      <w:pPr>
        <w:rPr>
          <w:rFonts w:ascii="宋体" w:hint="eastAsia"/>
          <w:color w:val="000000"/>
          <w:sz w:val="24"/>
          <w:szCs w:val="24"/>
        </w:rPr>
      </w:pPr>
      <w:r>
        <w:rPr>
          <w:rFonts w:ascii="宋体" w:hint="eastAsia"/>
          <w:color w:val="000000"/>
          <w:sz w:val="24"/>
          <w:szCs w:val="24"/>
        </w:rPr>
        <w:t>（附件二、四内容与投标/响应文件一致。）</w:t>
      </w:r>
    </w:p>
    <w:p>
      <w:pPr>
        <w:rPr>
          <w:rFonts w:ascii="宋体" w:hint="eastAsia"/>
          <w:color w:val="000000"/>
          <w:sz w:val="24"/>
          <w:szCs w:val="24"/>
        </w:rPr>
      </w:pPr>
    </w:p>
    <w:p>
      <w:pPr>
        <w:rPr>
          <w:rFonts w:ascii="宋体" w:hint="eastAsia"/>
          <w:color w:val="000000"/>
          <w:sz w:val="24"/>
          <w:szCs w:val="24"/>
        </w:rPr>
      </w:pPr>
      <w:r>
        <w:rPr>
          <w:rFonts w:ascii="宋体" w:hint="eastAsia"/>
          <w:color w:val="000000"/>
          <w:sz w:val="24"/>
          <w:szCs w:val="24"/>
        </w:rPr>
        <w:t>甲方（公章</w:t>
      </w:r>
      <w:r>
        <w:rPr>
          <w:rFonts w:ascii="宋体" w:hint="eastAsia"/>
          <w:snapToGrid w:val="0"/>
          <w:sz w:val="24"/>
          <w:szCs w:val="24"/>
        </w:rPr>
        <w:t>或合同章</w:t>
      </w:r>
      <w:r>
        <w:rPr>
          <w:rFonts w:ascii="宋体" w:hint="eastAsia"/>
          <w:color w:val="000000"/>
          <w:sz w:val="24"/>
          <w:szCs w:val="24"/>
        </w:rPr>
        <w:t>）：             乙方（公章</w:t>
      </w:r>
      <w:r>
        <w:rPr>
          <w:rFonts w:ascii="宋体" w:hint="eastAsia"/>
          <w:snapToGrid w:val="0"/>
          <w:sz w:val="24"/>
          <w:szCs w:val="24"/>
        </w:rPr>
        <w:t>或合同章</w:t>
      </w:r>
      <w:r>
        <w:rPr>
          <w:rFonts w:ascii="宋体" w:hint="eastAsia"/>
          <w:color w:val="000000"/>
          <w:sz w:val="24"/>
          <w:szCs w:val="24"/>
        </w:rPr>
        <w:t>）：</w:t>
      </w:r>
    </w:p>
    <w:p>
      <w:pPr>
        <w:rPr>
          <w:rFonts w:ascii="宋体" w:hint="eastAsia"/>
          <w:color w:val="000000"/>
          <w:sz w:val="24"/>
          <w:szCs w:val="24"/>
        </w:rPr>
      </w:pPr>
      <w:r>
        <w:rPr>
          <w:rFonts w:ascii="宋体" w:hint="eastAsia"/>
          <w:color w:val="000000"/>
          <w:sz w:val="24"/>
          <w:szCs w:val="24"/>
        </w:rPr>
        <w:t>法定代表人                        法定代表人</w:t>
      </w:r>
    </w:p>
    <w:p>
      <w:pPr>
        <w:rPr>
          <w:rFonts w:ascii="宋体" w:hint="eastAsia"/>
          <w:color w:val="000000"/>
          <w:sz w:val="24"/>
          <w:szCs w:val="24"/>
        </w:rPr>
      </w:pPr>
      <w:r>
        <w:rPr>
          <w:rFonts w:ascii="宋体" w:hint="eastAsia"/>
          <w:color w:val="000000"/>
          <w:sz w:val="24"/>
          <w:szCs w:val="24"/>
        </w:rPr>
        <w:t>或授权签字人（签字）：             或授权签字人（签字）：</w:t>
      </w:r>
    </w:p>
    <w:p>
      <w:pPr>
        <w:rPr>
          <w:rFonts w:ascii="宋体" w:hint="eastAsia"/>
          <w:color w:val="000000"/>
          <w:sz w:val="24"/>
          <w:szCs w:val="24"/>
        </w:rPr>
      </w:pPr>
    </w:p>
    <w:p>
      <w:pPr>
        <w:rPr>
          <w:rFonts w:ascii="宋体" w:hint="eastAsia"/>
          <w:color w:val="000000"/>
          <w:sz w:val="24"/>
          <w:szCs w:val="24"/>
        </w:rPr>
      </w:pPr>
      <w:r>
        <w:rPr>
          <w:rFonts w:ascii="宋体" w:hint="eastAsia"/>
          <w:color w:val="000000"/>
          <w:sz w:val="24"/>
          <w:szCs w:val="24"/>
        </w:rPr>
        <w:t xml:space="preserve">日期： 年  月  日                 日期：   年   月   日    </w:t>
      </w:r>
    </w:p>
    <w:p>
      <w:pPr>
        <w:rPr>
          <w:rFonts w:ascii="宋体" w:hint="eastAsia"/>
          <w:color w:val="000000"/>
          <w:sz w:val="24"/>
          <w:szCs w:val="24"/>
        </w:rPr>
      </w:pPr>
      <w:r>
        <w:rPr>
          <w:rFonts w:ascii="宋体" w:hint="eastAsia"/>
          <w:color w:val="000000"/>
          <w:sz w:val="24"/>
          <w:szCs w:val="24"/>
        </w:rPr>
        <w:t>联系人:                            联系人：</w:t>
      </w:r>
    </w:p>
    <w:p>
      <w:pPr>
        <w:rPr>
          <w:rFonts w:ascii="宋体" w:hint="eastAsia"/>
          <w:color w:val="000000"/>
          <w:sz w:val="24"/>
          <w:szCs w:val="24"/>
        </w:rPr>
      </w:pPr>
      <w:r>
        <w:rPr>
          <w:rFonts w:ascii="宋体" w:hint="eastAsia"/>
          <w:color w:val="000000"/>
          <w:sz w:val="24"/>
          <w:szCs w:val="24"/>
        </w:rPr>
        <w:t>电话:                              电话：</w:t>
      </w:r>
    </w:p>
    <w:p>
      <w:pPr>
        <w:rPr>
          <w:rFonts w:ascii="宋体" w:hint="eastAsia"/>
          <w:color w:val="000000"/>
          <w:sz w:val="24"/>
          <w:szCs w:val="24"/>
        </w:rPr>
      </w:pPr>
      <w:r>
        <w:rPr>
          <w:rFonts w:ascii="宋体" w:hint="eastAsia"/>
          <w:color w:val="000000"/>
          <w:sz w:val="24"/>
          <w:szCs w:val="24"/>
        </w:rPr>
        <w:t>地址：                             地址：</w:t>
      </w: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6010"/>
        <w:tabs>
          <w:tab w:val="left" w:pos="2760"/>
        </w:tabs>
        <w:spacing w:line="560" w:lineRule="exact"/>
        <w:jc w:val="left"/>
        <w:rPr>
          <w:rFonts w:eastAsia="方正仿宋_GBK"/>
          <w:b/>
          <w:snapToGrid w:val="0"/>
          <w:kern w:val="0"/>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42210"/>
        <w:rPr>
          <w:sz w:val="24"/>
          <w:szCs w:val="24"/>
        </w:rPr>
      </w:pPr>
    </w:p>
    <w:p>
      <w:pPr>
        <w:pStyle w:val="6010"/>
        <w:tabs>
          <w:tab w:val="left" w:pos="2760"/>
        </w:tabs>
        <w:spacing w:line="560" w:lineRule="exact"/>
        <w:jc w:val="left"/>
        <w:rPr>
          <w:rFonts w:eastAsia="方正仿宋_GBK"/>
          <w:b/>
          <w:sz w:val="24"/>
          <w:szCs w:val="24"/>
        </w:rPr>
      </w:pPr>
      <w:r>
        <w:rPr>
          <w:rFonts w:eastAsia="方正仿宋_GBK"/>
          <w:b/>
          <w:snapToGrid w:val="0"/>
          <w:kern w:val="0"/>
          <w:sz w:val="24"/>
          <w:szCs w:val="24"/>
        </w:rPr>
        <w:t>附件一：项目需求书</w:t>
      </w:r>
    </w:p>
    <w:p>
      <w:pPr>
        <w:pStyle w:val="6010"/>
        <w:tabs>
          <w:tab w:val="left" w:pos="2760"/>
        </w:tabs>
        <w:spacing w:line="560" w:lineRule="exact"/>
        <w:jc w:val="left"/>
        <w:rPr>
          <w:rFonts w:eastAsia="方正仿宋_GBK"/>
          <w:b/>
          <w:snapToGrid w:val="0"/>
          <w:kern w:val="0"/>
          <w:sz w:val="24"/>
          <w:szCs w:val="24"/>
        </w:rPr>
      </w:pPr>
      <w:r>
        <w:rPr>
          <w:rFonts w:eastAsia="方正仿宋_GBK"/>
          <w:b/>
          <w:sz w:val="24"/>
          <w:szCs w:val="24"/>
        </w:rPr>
        <w:br w:type="page"/>
      </w:r>
      <w:r>
        <w:rPr>
          <w:rFonts w:eastAsia="方正仿宋_GBK"/>
          <w:b/>
          <w:snapToGrid w:val="0"/>
          <w:kern w:val="0"/>
          <w:sz w:val="24"/>
          <w:szCs w:val="24"/>
        </w:rPr>
        <w:t>附件二：分项报价表</w:t>
      </w:r>
    </w:p>
    <w:p>
      <w:pPr>
        <w:pStyle w:val="61100"/>
        <w:tabs>
          <w:tab w:val="left" w:pos="2760"/>
        </w:tabs>
        <w:spacing w:line="560" w:lineRule="exact"/>
        <w:jc w:val="left"/>
        <w:rPr>
          <w:rFonts w:eastAsia="方正仿宋_GBK"/>
          <w:b/>
          <w:snapToGrid w:val="0"/>
          <w:kern w:val="0"/>
          <w:sz w:val="24"/>
          <w:szCs w:val="24"/>
        </w:rPr>
      </w:pPr>
      <w:r>
        <w:rPr>
          <w:rFonts w:eastAsia="方正仿宋_GBK"/>
          <w:b/>
          <w:sz w:val="24"/>
          <w:szCs w:val="24"/>
        </w:rPr>
        <w:br w:type="page"/>
      </w:r>
      <w:r>
        <w:rPr>
          <w:rFonts w:eastAsia="方正仿宋_GBK"/>
          <w:b/>
          <w:snapToGrid w:val="0"/>
          <w:kern w:val="0"/>
          <w:sz w:val="24"/>
          <w:szCs w:val="24"/>
        </w:rPr>
        <w:t>附件三：政务数据安全管理承诺书</w:t>
      </w:r>
    </w:p>
    <w:p>
      <w:pPr>
        <w:pStyle w:val="6710"/>
        <w:spacing w:line="600" w:lineRule="exact"/>
        <w:jc w:val="center"/>
        <w:rPr>
          <w:rFonts w:ascii="方正小标宋_GBK" w:eastAsia="方正小标宋_GBK" w:hint="eastAsia"/>
          <w:sz w:val="24"/>
          <w:szCs w:val="24"/>
        </w:rPr>
      </w:pPr>
      <w:r>
        <w:rPr>
          <w:rFonts w:ascii="方正小标宋_GBK" w:eastAsia="方正小标宋_GBK" w:hint="eastAsia"/>
          <w:sz w:val="24"/>
          <w:szCs w:val="24"/>
        </w:rPr>
        <w:t>政务数据安全管理承诺书</w:t>
      </w:r>
    </w:p>
    <w:p>
      <w:pPr>
        <w:pStyle w:val="6710"/>
        <w:spacing w:line="560" w:lineRule="exact"/>
        <w:rPr>
          <w:rFonts w:hint="eastAsia"/>
          <w:sz w:val="24"/>
          <w:szCs w:val="24"/>
        </w:rPr>
      </w:pPr>
      <w:r>
        <w:rPr>
          <w:rFonts w:hint="eastAsia"/>
          <w:sz w:val="24"/>
          <w:szCs w:val="24"/>
        </w:rPr>
        <w:t xml:space="preserve">  </w:t>
      </w:r>
      <w:r>
        <w:rPr>
          <w:rFonts w:ascii="方正仿宋_GBK" w:eastAsia="方正仿宋_GBK" w:hint="eastAsia"/>
          <w:sz w:val="24"/>
          <w:szCs w:val="24"/>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4410"/>
        <w:tabs>
          <w:tab w:val="left" w:pos="2760"/>
        </w:tabs>
        <w:spacing w:line="560" w:lineRule="exact"/>
        <w:jc w:val="left"/>
        <w:rPr>
          <w:rFonts w:eastAsia="方正仿宋_GBK"/>
          <w:b/>
          <w:sz w:val="24"/>
          <w:szCs w:val="24"/>
        </w:rPr>
      </w:pPr>
      <w:r>
        <w:rPr>
          <w:rFonts w:eastAsia="方正仿宋_GBK"/>
          <w:b/>
          <w:sz w:val="24"/>
          <w:szCs w:val="24"/>
        </w:rPr>
        <w:br w:type="page"/>
      </w:r>
      <w:r>
        <w:rPr>
          <w:rFonts w:eastAsia="方正仿宋_GBK"/>
          <w:b/>
          <w:snapToGrid w:val="0"/>
          <w:kern w:val="0"/>
          <w:sz w:val="24"/>
          <w:szCs w:val="24"/>
        </w:rPr>
        <w:t>附件四：项目相关方案</w:t>
      </w:r>
    </w:p>
    <w:p>
      <w:pPr>
        <w:pStyle w:val="50710"/>
        <w:tabs>
          <w:tab w:val="left" w:pos="2760"/>
        </w:tabs>
        <w:spacing w:line="560" w:lineRule="exact"/>
        <w:jc w:val="left"/>
        <w:rPr>
          <w:color w:val="000000"/>
          <w:sz w:val="24"/>
          <w:szCs w:val="24"/>
        </w:rPr>
      </w:pPr>
    </w:p>
    <w:p>
      <w:pPr>
        <w:pStyle w:val="Heading1"/>
        <w:rPr>
          <w:rFonts w:hint="eastAsia"/>
          <w:highlight w:val="white"/>
        </w:rPr>
      </w:pPr>
      <w:r>
        <w:rPr>
          <w:rFonts w:hint="eastAsia"/>
          <w:highlight w:val="white"/>
        </w:rPr>
        <w:br w:type="page"/>
      </w:r>
      <w:bookmarkStart w:id="48" w:name="_Toc65406668"/>
      <w:r>
        <w:rPr>
          <w:rFonts w:hint="eastAsia"/>
          <w:highlight w:val="white"/>
        </w:rPr>
        <w:t>第六部分  投标文件格式</w:t>
      </w:r>
      <w:bookmarkEnd w:id="48"/>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cs="微软雅黑" w:hint="eastAsia"/>
          <w:sz w:val="24"/>
        </w:rPr>
      </w:pPr>
      <w:r>
        <w:rPr>
          <w:rFonts w:ascii="宋体" w:hint="eastAsia"/>
          <w:sz w:val="24"/>
        </w:rPr>
        <w:t>2.</w:t>
      </w:r>
      <w:r>
        <w:rPr>
          <w:rFonts w:ascii="宋体" w:cs="微软雅黑" w:hint="eastAsia"/>
          <w:sz w:val="24"/>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rPr>
      </w:pPr>
      <w:r>
        <w:rPr>
          <w:rFonts w:ascii="宋体" w:cs="微软雅黑" w:hint="eastAsia"/>
          <w:bCs/>
          <w:sz w:val="24"/>
        </w:rPr>
        <w:t>3.提及的全部投标材料都须加盖供应商的电子签章。</w:t>
      </w:r>
    </w:p>
    <w:p>
      <w:pPr>
        <w:tabs>
          <w:tab w:val="left" w:pos="588"/>
        </w:tabs>
        <w:autoSpaceDN w:val="0"/>
        <w:spacing w:line="360" w:lineRule="auto"/>
        <w:ind w:left="1"/>
        <w:rPr>
          <w:rFonts w:ascii="宋体" w:cs="微软雅黑" w:hint="eastAsia"/>
          <w:bCs/>
          <w:sz w:val="24"/>
        </w:rPr>
      </w:pPr>
      <w:r>
        <w:rPr>
          <w:rFonts w:ascii="宋体" w:cs="微软雅黑" w:hint="eastAsia"/>
          <w:bCs/>
          <w:sz w:val="24"/>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49"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0" w:name="_Ref462505451"/>
      <w:bookmarkStart w:id="51" w:name="gxebdItem_unprotect_1"/>
      <w:r>
        <w:rPr>
          <w:rFonts w:ascii="微软雅黑" w:eastAsia="微软雅黑" w:cs="微软雅黑" w:hint="eastAsia"/>
          <w:sz w:val="21"/>
          <w:szCs w:val="21"/>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0"/>
      <w:bookmarkEnd w:id="51"/>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W w:w="9388"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tblW w:w="9388" w:type="dxa"/>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highlight w:val="white"/>
              </w:rPr>
            </w:pPr>
            <w:r>
              <w:rPr>
                <w:rFonts w:ascii="Times New Roman" w:hAnsi="Times New Roman"/>
                <w:color w:val="000000"/>
                <w:kern w:val="0"/>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tblW w:w="9388" w:type="dxa"/>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tblW w:w="9388" w:type="dxa"/>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rPr>
      </w:pPr>
      <w:r>
        <w:rPr>
          <w:rFonts w:ascii="Times New Roman" w:hAnsi="Times New Roman"/>
          <w:b/>
          <w:kern w:val="0"/>
          <w:sz w:val="24"/>
          <w:szCs w:val="21"/>
        </w:rPr>
        <w:t>一、投标人资格审查一览表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hint="eastAsia"/>
          <w:b/>
          <w:kern w:val="0"/>
          <w:sz w:val="24"/>
          <w:szCs w:val="21"/>
        </w:rPr>
        <w:t>投标人承诺：本投标人具备《政府采购法》第二十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6"/>
            </w:pPr>
            <w:r>
              <w:rPr>
                <w:szCs w:val="21"/>
              </w:rPr>
              <w:t>具有健全的财务会计制度</w:t>
            </w:r>
          </w:p>
        </w:tc>
        <w:tc>
          <w:tcPr>
            <w:tcW w:w="1260" w:type="dxa"/>
            <w:tcBorders>
              <w:right w:val="single" w:sz="4" w:space="0" w:color="auto"/>
            </w:tcBorders>
            <w:vAlign w:val="center"/>
          </w:tcPr>
          <w:p>
            <w:pPr>
              <w:pStyle w:val="2340"/>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5</w:t>
            </w:r>
          </w:p>
        </w:tc>
        <w:tc>
          <w:tcPr>
            <w:tcW w:w="7354" w:type="dxa"/>
            <w:tcBorders>
              <w:top w:val="single" w:sz="4" w:space="0" w:color="auto"/>
              <w:left w:val="single" w:sz="4" w:space="0" w:color="auto"/>
              <w:right w:val="single" w:sz="4" w:space="0" w:color="auto"/>
            </w:tcBorders>
            <w:vAlign w:val="center"/>
          </w:tcPr>
          <w:p>
            <w:pPr>
              <w:pStyle w:val="2340"/>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t>6</w:t>
            </w:r>
          </w:p>
        </w:tc>
        <w:tc>
          <w:tcPr>
            <w:tcW w:w="7354" w:type="dxa"/>
            <w:tcBorders>
              <w:top w:val="single" w:sz="4" w:space="0" w:color="auto"/>
              <w:left w:val="single" w:sz="4" w:space="0" w:color="auto"/>
              <w:right w:val="single" w:sz="4" w:space="0" w:color="auto"/>
            </w:tcBorders>
            <w:vAlign w:val="center"/>
          </w:tcPr>
          <w:p>
            <w:pPr>
              <w:pStyle w:val="2340"/>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leftChars="498" w:rightChars="444"/>
        <w:rPr>
          <w:rFonts w:ascii="微软雅黑" w:eastAsia="微软雅黑" w:cs="微软雅黑" w:hint="eastAsia"/>
          <w:sz w:val="21"/>
          <w:szCs w:val="21"/>
        </w:rPr>
      </w:pPr>
    </w:p>
    <w:p>
      <w:pPr>
        <w:pStyle w:val="870"/>
        <w:spacing w:line="400" w:lineRule="exact"/>
        <w:ind w:left="1046" w:right="932" w:leftChars="498" w:rightChars="444"/>
        <w:rPr>
          <w:rFonts w:ascii="Times New Roman" w:hAnsi="Times New Roman" w:cs="微软雅黑"/>
          <w:szCs w:val="24"/>
        </w:rPr>
      </w:pPr>
      <w:r>
        <w:rPr>
          <w:rFonts w:ascii="微软雅黑" w:eastAsia="微软雅黑" w:cs="微软雅黑" w:hint="eastAsia"/>
          <w:sz w:val="21"/>
          <w:szCs w:val="21"/>
        </w:rPr>
        <w:t xml:space="preserve">                                   </w:t>
      </w:r>
      <w:r>
        <w:rPr>
          <w:rFonts w:ascii="Times New Roman" w:hAnsi="Times New Roman" w:cs="微软雅黑" w:hint="eastAsia"/>
          <w:szCs w:val="24"/>
        </w:rPr>
        <w:t>投标人名称（</w:t>
      </w:r>
      <w:r>
        <w:rPr>
          <w:rFonts w:ascii="Times New Roman" w:hAnsi="Times New Roman" w:cs="微软雅黑"/>
          <w:szCs w:val="24"/>
        </w:rPr>
        <w:t>电子签章</w:t>
      </w:r>
      <w:r>
        <w:rPr>
          <w:rFonts w:ascii="Times New Roman" w:hAnsi="Times New Roman" w:cs="微软雅黑" w:hint="eastAsia"/>
          <w:szCs w:val="24"/>
        </w:rPr>
        <w:t>）：</w:t>
      </w:r>
    </w:p>
    <w:p>
      <w:pPr>
        <w:pStyle w:val="870"/>
        <w:spacing w:line="400" w:lineRule="exact"/>
        <w:ind w:left="1046" w:right="932" w:leftChars="498" w:rightChars="444"/>
        <w:rPr>
          <w:rFonts w:ascii="Times New Roman" w:hAnsi="Times New Roman" w:cs="微软雅黑" w:hint="eastAsia"/>
          <w:szCs w:val="24"/>
        </w:rPr>
      </w:pPr>
      <w:r>
        <w:rPr>
          <w:rFonts w:ascii="Times New Roman" w:hAnsi="Times New Roman" w:cs="微软雅黑" w:hint="eastAsia"/>
          <w:szCs w:val="24"/>
        </w:rPr>
        <w:t xml:space="preserve">                                日期： 年  月  日</w:t>
      </w:r>
    </w:p>
    <w:p>
      <w:pPr>
        <w:pStyle w:val="870"/>
        <w:spacing w:line="400" w:lineRule="exact"/>
        <w:ind w:left="1046" w:right="932" w:leftChars="498" w:rightChars="444"/>
        <w:rPr>
          <w:rFonts w:ascii="微软雅黑" w:eastAsia="微软雅黑" w:cs="微软雅黑" w:hint="eastAsia"/>
          <w:sz w:val="21"/>
          <w:szCs w:val="21"/>
        </w:rPr>
      </w:pPr>
      <w:r>
        <w:rPr>
          <w:rFonts w:ascii="微软雅黑" w:eastAsia="微软雅黑" w:cs="微软雅黑" w:hint="eastAsia"/>
          <w:sz w:val="21"/>
          <w:szCs w:val="21"/>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hAnsi="Times New Roman" w:cs="微软雅黑" w:hint="eastAsia"/>
          <w:b/>
          <w:szCs w:val="21"/>
        </w:rPr>
        <w:t>二、联合体投标协议书扫描件</w:t>
      </w:r>
      <w:r>
        <w:rPr>
          <w:rFonts w:ascii="微软雅黑" w:eastAsia="微软雅黑" w:cs="微软雅黑" w:hint="eastAsia"/>
          <w:b/>
          <w:sz w:val="21"/>
          <w:szCs w:val="21"/>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2" w:name="_Toc485990833"/>
      <w:bookmarkStart w:id="53" w:name="_Toc46196323"/>
      <w:bookmarkStart w:id="54" w:name="_Toc499068169"/>
      <w:r>
        <w:rPr>
          <w:rFonts w:ascii="宋体" w:eastAsia="宋体" w:hint="eastAsia"/>
          <w:szCs w:val="32"/>
          <w:lang w:eastAsia="zh-CN"/>
        </w:rPr>
        <w:t>投标函</w:t>
      </w:r>
      <w:bookmarkEnd w:id="52"/>
      <w:bookmarkEnd w:id="53"/>
      <w:bookmarkEnd w:id="54"/>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hint="eastAsia"/>
          <w:sz w:val="24"/>
          <w:highlight w:val="white"/>
        </w:rPr>
        <w:t>投标人全称并加盖投标人</w:t>
      </w:r>
      <w:r>
        <w:rPr>
          <w:rFonts w:ascii="宋体" w:cs="微软雅黑" w:hint="eastAsia"/>
          <w:sz w:val="24"/>
          <w:highlight w:val="white"/>
        </w:rPr>
        <w:t>电子签章</w:t>
      </w:r>
      <w:r>
        <w:rPr>
          <w:rFonts w:ascii="宋体" w:hint="eastAsia"/>
          <w:sz w:val="24"/>
          <w:highlight w:val="white"/>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hint="eastAsia"/>
          <w:sz w:val="24"/>
          <w:highlight w:val="white"/>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tblW w:w="911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tblW w:w="9116"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9116" w:type="dxa"/>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szCs w:val="24"/>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5" w:name="_Toc499068185"/>
      <w:bookmarkStart w:id="56" w:name="_Toc485990851"/>
      <w:r>
        <w:rPr>
          <w:rFonts w:ascii="宋体" w:eastAsia="宋体" w:hint="eastAsia"/>
          <w:szCs w:val="32"/>
          <w:lang w:eastAsia="zh-CN"/>
        </w:rPr>
        <w:t>技术偏离表</w:t>
      </w:r>
      <w:bookmarkEnd w:id="55"/>
      <w:r>
        <w:rPr>
          <w:rFonts w:ascii="宋体" w:eastAsia="宋体" w:hint="eastAsia"/>
          <w:szCs w:val="32"/>
          <w:lang w:eastAsia="zh-CN"/>
        </w:rPr>
        <w:t>格式</w:t>
      </w:r>
    </w:p>
    <w:p>
      <w:pPr>
        <w:rPr>
          <w:rFonts w:hint="eastAsia"/>
        </w:rPr>
      </w:pPr>
    </w:p>
    <w:tbl>
      <w:tblPr>
        <w:tblW w:w="8485"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8485"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8485" w:type="dxa"/>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tblW w:w="8485" w:type="dxa"/>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tblW w:w="8485" w:type="dxa"/>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tblW w:w="8485" w:type="dxa"/>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tblW w:w="8485" w:type="dxa"/>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56"/>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_0"/>
      <w:r>
        <w:rPr>
          <w:rFonts w:ascii="宋体" w:eastAsia="宋体" w:hint="eastAsia"/>
          <w:szCs w:val="32"/>
          <w:lang w:eastAsia="zh-CN"/>
        </w:rPr>
        <w:t>技术偏离表</w:t>
      </w:r>
      <w:bookmarkEnd w:id="57"/>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7676"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843"/>
        <w:gridCol w:w="843"/>
        <w:gridCol w:w="843"/>
        <w:gridCol w:w="843"/>
        <w:gridCol w:w="843"/>
        <w:gridCol w:w="3461"/>
      </w:tblGrid>
      <w:tr>
        <w:tblPrEx>
          <w:tblW w:w="7676"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7676" w:type="dxa"/>
          <w:jc w:val="center"/>
          <w:tblLayout w:type="fixed"/>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项目团队人员的从业人员资格证书以及上述员工距开标之日前6个月内任意一个月的社保证明或劳务合同等证明材料（未提供的不予认定）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9"/>
    </w:p>
    <w:sectPr>
      <w:headerReference w:type="even" r:id="rId8"/>
      <w:headerReference w:type="default" r:id="rId9"/>
      <w:footerReference w:type="even" r:id="rId10"/>
      <w:headerReference w:type="first" r:id="rId11"/>
      <w:footerReference w:type="first" r:id="rId12"/>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altName w:val="方正小标宋简体"/>
    <w:panose1 w:val="02030600000101010101"/>
    <w:charset w:val="81"/>
    <w:family w:val="roman"/>
    <w:pitch w:val="variable"/>
    <w:sig w:usb0="B00002AF" w:usb1="69D77CFB" w:usb2="00000030" w:usb3="00000000" w:csb0="0008009F" w:csb1="00000000"/>
  </w:font>
  <w:font w:name="宋体">
    <w:altName w:val="SimSun"/>
    <w:panose1 w:val="02010600030101010101"/>
    <w:charset w:val="86"/>
    <w:family w:val="auto"/>
    <w:pitch w:val="variable"/>
    <w:sig w:usb0="00000203" w:usb1="288F0000" w:usb2="00000016" w:usb3="00000000" w:csb0="00040001" w:csb1="00000000"/>
  </w:font>
  <w:font w:name="Calibri">
    <w:altName w:val="Times New Roman"/>
    <w:panose1 w:val="020F0502020204030204"/>
    <w:charset w:val="00"/>
    <w:family w:val="swiss"/>
    <w:pitch w:val="variable"/>
    <w:sig w:usb0="E4002EFF" w:usb1="C000247B" w:usb2="00000009" w:usb3="00000000" w:csb0="000001FF" w:csb1="00000000"/>
  </w:font>
  <w:font w:name="Wingdings 2">
    <w:altName w:val="DejaVu Sans"/>
    <w:panose1 w:val="05020102010507070707"/>
    <w:charset w:val="02"/>
    <w:family w:val="roman"/>
    <w:pitch w:val="variable"/>
    <w:sig w:usb0="00000000"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微软雅黑">
    <w:altName w:val="华文细黑"/>
    <w:panose1 w:val="020B0503020204020204"/>
    <w:charset w:val="86"/>
    <w:family w:val="swiss"/>
    <w:pitch w:val="variable"/>
    <w:sig w:usb0="80000287" w:usb1="2ACF3C50" w:usb2="00000016" w:usb3="00000000" w:csb0="0004001F" w:csb1="00000000"/>
  </w:font>
  <w:font w:name="方正仿宋_GBK">
    <w:altName w:val="微软雅黑"/>
    <w:panose1 w:val="00000000000000000000"/>
    <w:charset w:val="86"/>
    <w:family w:val="script"/>
    <w:pitch w:val="variable"/>
    <w:sig w:usb0="00000001" w:usb1="080E0000" w:usb2="00000000" w:usb3="00000000" w:csb0="00040000" w:csb1="00000000"/>
  </w:font>
  <w:font w:name="Arial">
    <w:altName w:val="DejaVu Sans"/>
    <w:panose1 w:val="020B0604020202020204"/>
    <w:charset w:val="00"/>
    <w:family w:val="swiss"/>
    <w:pitch w:val="variable"/>
    <w:sig w:usb0="E0002EFF" w:usb1="C000785B" w:usb2="00000009" w:usb3="00000000" w:csb0="000001FF" w:csb1="00000000"/>
  </w:font>
  <w:font w:name="仿宋">
    <w:altName w:val="方正仿宋_GBK"/>
    <w:panose1 w:val="02010609060101010101"/>
    <w:charset w:val="86"/>
    <w:family w:val="modern"/>
    <w:pitch w:val="variable"/>
    <w:sig w:usb0="800002BF" w:usb1="38CF7CFA" w:usb2="00000016" w:usb3="00000000" w:csb0="00040001" w:csb1="00000000"/>
  </w:font>
  <w:font w:name="方正小标宋_GBK">
    <w:altName w:val="微软雅黑"/>
    <w:panose1 w:val="00000000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方正楷体_GBK">
    <w:altName w:val="微软雅黑"/>
    <w:panose1 w:val="00000000000000000000"/>
    <w:charset w:val="86"/>
    <w:family w:val="script"/>
    <w:pitch w:val="variable"/>
    <w:sig w:usb0="00000001" w:usb1="080E0000" w:usb2="00000000" w:usb3="00000000" w:csb0="00040000" w:csb1="00000000"/>
  </w:font>
  <w:font w:name="等线">
    <w:altName w:val="Arial Unicode MS"/>
    <w:panose1 w:val="02010600030101010101"/>
    <w:charset w:val="86"/>
    <w:family w:val="auto"/>
    <w:pitch w:val="variable"/>
    <w:sig w:usb0="A00002BF" w:usb1="38CF7CFA" w:usb2="00000016" w:usb3="00000000" w:csb0="0004000F" w:csb1="00000000"/>
  </w:font>
  <w:font w:name="Garamond">
    <w:altName w:val="DejaVu Sans"/>
    <w:panose1 w:val="02020404030301010803"/>
    <w:charset w:val="00"/>
    <w:family w:val="roman"/>
    <w:pitch w:val="variable"/>
    <w:sig w:usb0="00000287" w:usb1="00000000" w:usb2="00000000" w:usb3="00000000" w:csb0="0000009F" w:csb1="00000000"/>
  </w:font>
  <w:font w:name="华文中宋">
    <w:altName w:val="华文仿宋"/>
    <w:panose1 w:val="02010600040101010101"/>
    <w:charset w:val="86"/>
    <w:family w:val="auto"/>
    <w:pitch w:val="variable"/>
    <w:sig w:usb0="00000287" w:usb1="080F0000" w:usb2="00000010" w:usb3="00000000" w:csb0="0004009F" w:csb1="00000000"/>
  </w:font>
  <w:font w:name="方正黑体_GBK">
    <w:altName w:val="微软雅黑"/>
    <w:panose1 w:val="00000000000000000000"/>
    <w:charset w:val="86"/>
    <w:family w:val="script"/>
    <w:pitch w:val="variable"/>
    <w:sig w:usb0="00000001" w:usb1="080E0000" w:usb2="00000000" w:usb3="00000000" w:csb0="00040000" w:csb1="00000000"/>
  </w:font>
  <w:font w:name="Arial Unicode MS">
    <w:altName w:val="方正黑体_GBK"/>
    <w:panose1 w:val="020B0604020202020204"/>
    <w:charset w:val="86"/>
    <w:family w:val="swiss"/>
    <w:pitch w:val="variable"/>
    <w:sig w:usb0="F7FFAFFF" w:usb1="E9DFFFFF" w:usb2="0000003F" w:usb3="00000000" w:csb0="003F01FF" w:csb1="00000000"/>
  </w:font>
  <w:font w:name="Courier New">
    <w:altName w:val="DejaVu Sans"/>
    <w:panose1 w:val="02070309020205020404"/>
    <w:charset w:val="00"/>
    <w:family w:val="modern"/>
    <w:pitch w:val="variable"/>
    <w:sig w:usb0="E0002EFF" w:usb1="C0007843" w:usb2="00000009" w:usb3="00000000" w:csb0="000001FF" w:csb1="00000000"/>
  </w:font>
  <w:font w:name="Cambria">
    <w:altName w:val="DejaVu Sans"/>
    <w:panose1 w:val="02040503050406030204"/>
    <w:charset w:val="00"/>
    <w:family w:val="roman"/>
    <w:pitch w:val="variable"/>
    <w:sig w:usb0="E00006FF" w:usb1="420024FF" w:usb2="02000000" w:usb3="00000000" w:csb0="0000019F" w:csb1="00000000"/>
  </w:font>
  <w:font w:name="??">
    <w:altName w:val="Times New Roman"/>
    <w:panose1 w:val="00000000000000000000"/>
    <w:charset w:val="00"/>
    <w:family w:val="auto"/>
    <w:pitch w:val="variable"/>
    <w:sig w:usb0="00000000" w:usb1="00000000" w:usb2="00000000" w:usb3="00000000" w:csb0="00000001" w:csb1="00000000"/>
  </w:font>
  <w:font w:name="Verdana">
    <w:altName w:val="DejaVu Sans"/>
    <w:panose1 w:val="020B0604030504040204"/>
    <w:charset w:val="00"/>
    <w:family w:val="swiss"/>
    <w:pitch w:val="variable"/>
    <w:sig w:usb0="A00006FF" w:usb1="4000205B" w:usb2="00000010" w:usb3="00000000" w:csb0="0000019F" w:csb1="00000000"/>
  </w:font>
  <w:font w:name="Tahoma">
    <w:altName w:val="DejaVu Sans"/>
    <w:panose1 w:val="020B0604030504040204"/>
    <w:charset w:val="00"/>
    <w:family w:val="swiss"/>
    <w:pitch w:val="variable"/>
    <w:sig w:usb0="E1002EFF" w:usb1="C000605B" w:usb2="00000029" w:usb3="00000000" w:csb0="000101FF" w:csb1="00000000"/>
  </w:font>
  <w:font w:name="仿宋_GB2312">
    <w:altName w:val="仿宋"/>
    <w:panose1 w:val="00000000000000000000"/>
    <w:charset w:val="86"/>
    <w:family w:val="auto"/>
    <w:pitch w:val="variable"/>
    <w:sig w:usb0="00000000" w:usb1="00000000" w:usb2="0000000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10" w:usb3="00000000" w:csb0="0004009F" w:csb1="00000000"/>
  </w:font>
  <w:font w:name="Century Gothic">
    <w:altName w:val="DejaVu Sans"/>
    <w:panose1 w:val="020B0502020202020204"/>
    <w:charset w:val="00"/>
    <w:family w:val="swiss"/>
    <w:pitch w:val="variable"/>
    <w:sig w:usb0="00000287" w:usb1="00000000" w:usb2="00000000" w:usb3="00000000" w:csb0="0000009F" w:csb1="00000000"/>
  </w:font>
  <w:font w:name="等线 Light">
    <w:altName w:val="方正黑体_GBK"/>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1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237"/>
      <w:tabs>
        <w:tab w:val="center" w:pos="4153"/>
        <w:tab w:val="right" w:pos="8306"/>
      </w:tabs>
      <w:ind w:right="360"/>
      <w:jc w:val="center"/>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5D47F79"/>
    <w:multiLevelType w:val="multilevel"/>
    <w:tmpl w:val="85D47F79"/>
    <w:lvl w:ilvl="0">
      <w:start w:val="1"/>
      <w:numFmt w:val="decimal"/>
      <w:lvlText w:val="表%1."/>
      <w:lvlJc w:val="left"/>
      <w:pPr>
        <w:ind w:left="0" w:firstLine="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91C9EB7F"/>
    <w:multiLevelType w:val="singleLevel"/>
    <w:tmpl w:val="91C9EB7F"/>
    <w:lvl w:ilvl="0">
      <w:start w:val="1"/>
      <w:numFmt w:val="bullet"/>
      <w:lvlText w:val="l"/>
      <w:lvlJc w:val="left"/>
      <w:pPr>
        <w:ind w:left="1200" w:hanging="360"/>
      </w:pPr>
      <w:rPr>
        <w:rFonts w:ascii="Wingdings" w:hAnsi="Wingdings" w:hint="default"/>
      </w:rPr>
    </w:lvl>
  </w:abstractNum>
  <w:abstractNum w:abstractNumId="2">
    <w:nsid w:val="955C1138"/>
    <w:multiLevelType w:val="singleLevel"/>
    <w:tmpl w:val="955C1138"/>
    <w:lvl w:ilvl="0">
      <w:start w:val="1"/>
      <w:numFmt w:val="decimal"/>
      <w:suff w:val="nothing"/>
      <w:lvlText w:val="%1、"/>
      <w:lvlJc w:val="left"/>
      <w:pPr>
        <w:ind w:left="0" w:firstLine="0"/>
      </w:pPr>
    </w:lvl>
  </w:abstractNum>
  <w:abstractNum w:abstractNumId="3">
    <w:nsid w:val="97D108CF"/>
    <w:multiLevelType w:val="singleLevel"/>
    <w:tmpl w:val="97D108CF"/>
    <w:lvl w:ilvl="0">
      <w:start w:val="1"/>
      <w:numFmt w:val="decimal"/>
      <w:lvlText w:val="%1."/>
      <w:lvlJc w:val="left"/>
      <w:pPr>
        <w:ind w:left="845" w:hanging="425"/>
      </w:pPr>
      <w:rPr>
        <w:rFonts w:hint="default"/>
      </w:rPr>
    </w:lvl>
  </w:abstractNum>
  <w:abstractNum w:abstractNumId="4">
    <w:nsid w:val="A8D3E798"/>
    <w:multiLevelType w:val="singleLevel"/>
    <w:tmpl w:val="A8D3E798"/>
    <w:lvl w:ilvl="0">
      <w:start w:val="1"/>
      <w:numFmt w:val="decimal"/>
      <w:suff w:val="nothing"/>
      <w:lvlText w:val="（%1）"/>
      <w:lvlJc w:val="left"/>
      <w:pPr>
        <w:ind w:left="0" w:firstLine="0"/>
      </w:pPr>
    </w:lvl>
  </w:abstractNum>
  <w:abstractNum w:abstractNumId="5">
    <w:nsid w:val="B58826AE"/>
    <w:multiLevelType w:val="singleLevel"/>
    <w:tmpl w:val="B58826AE"/>
    <w:lvl w:ilvl="0">
      <w:start w:val="1"/>
      <w:numFmt w:val="decimal"/>
      <w:suff w:val="nothing"/>
      <w:lvlText w:val="%1、"/>
      <w:lvlJc w:val="left"/>
      <w:pPr>
        <w:ind w:left="0" w:firstLine="0"/>
      </w:pPr>
    </w:lvl>
  </w:abstractNum>
  <w:abstractNum w:abstractNumId="6">
    <w:nsid w:val="B801594B"/>
    <w:multiLevelType w:val="multilevel"/>
    <w:tmpl w:val="B801594B"/>
    <w:lvl w:ilvl="0">
      <w:start w:val="1"/>
      <w:numFmt w:val="decimal"/>
      <w:lvlText w:val="%1."/>
      <w:lvlJc w:val="left"/>
      <w:pPr>
        <w:ind w:left="709" w:hanging="709"/>
      </w:pPr>
      <w:rPr>
        <w:rFonts w:cs="Times New Roman" w:hint="eastAsia"/>
      </w:rPr>
    </w:lvl>
    <w:lvl w:ilvl="1">
      <w:start w:val="1"/>
      <w:numFmt w:val="decimal"/>
      <w:lvlText w:val="%1.%2"/>
      <w:lvlJc w:val="left"/>
      <w:pPr>
        <w:ind w:left="709" w:hanging="709"/>
      </w:pPr>
      <w:rPr>
        <w:rFonts w:cs="Times New Roman" w:hint="eastAsia"/>
      </w:rPr>
    </w:lvl>
    <w:lvl w:ilvl="2">
      <w:start w:val="1"/>
      <w:numFmt w:val="decimal"/>
      <w:lvlText w:val="%1.%2.%3."/>
      <w:lvlJc w:val="left"/>
      <w:pPr>
        <w:ind w:left="425" w:hanging="425"/>
      </w:pPr>
      <w:rPr>
        <w:rFonts w:cs="Times New Roman" w:hint="eastAsia"/>
      </w:rPr>
    </w:lvl>
    <w:lvl w:ilvl="3">
      <w:start w:val="1"/>
      <w:numFmt w:val="decimal"/>
      <w:lvlText w:val="%1.%2.%3.%4."/>
      <w:lvlJc w:val="left"/>
      <w:pPr>
        <w:ind w:left="851" w:hanging="851"/>
      </w:pPr>
      <w:rPr>
        <w:rFonts w:cs="Times New Roman" w:hint="eastAsia"/>
      </w:rPr>
    </w:lvl>
    <w:lvl w:ilvl="4">
      <w:start w:val="1"/>
      <w:numFmt w:val="decimal"/>
      <w:lvlText w:val="%1.%2.%3.%4.%5."/>
      <w:lvlJc w:val="left"/>
      <w:pPr>
        <w:ind w:left="992" w:hanging="992"/>
      </w:pPr>
      <w:rPr>
        <w:rFonts w:cs="Times New Roman" w:hint="eastAsia"/>
      </w:rPr>
    </w:lvl>
    <w:lvl w:ilvl="5">
      <w:start w:val="1"/>
      <w:numFmt w:val="decimal"/>
      <w:lvlText w:val="%1.%2.%3.%4.%5.%6."/>
      <w:lvlJc w:val="left"/>
      <w:pPr>
        <w:ind w:left="1134" w:hanging="1134"/>
      </w:pPr>
      <w:rPr>
        <w:rFonts w:cs="Times New Roman" w:hint="eastAsia"/>
      </w:rPr>
    </w:lvl>
    <w:lvl w:ilvl="6">
      <w:start w:val="1"/>
      <w:numFmt w:val="decimal"/>
      <w:lvlText w:val="%1.%2.%3.%4.%5.%6.%7."/>
      <w:lvlJc w:val="left"/>
      <w:pPr>
        <w:ind w:left="1276" w:hanging="1276"/>
      </w:pPr>
      <w:rPr>
        <w:rFonts w:cs="Times New Roman" w:hint="eastAsia"/>
      </w:rPr>
    </w:lvl>
    <w:lvl w:ilvl="7">
      <w:start w:val="1"/>
      <w:numFmt w:val="decimal"/>
      <w:lvlText w:val="%1.%2.%3.%4.%5.%6.%7.%8."/>
      <w:lvlJc w:val="left"/>
      <w:pPr>
        <w:ind w:left="1418" w:hanging="1418"/>
      </w:pPr>
      <w:rPr>
        <w:rFonts w:cs="Times New Roman" w:hint="eastAsia"/>
      </w:rPr>
    </w:lvl>
    <w:lvl w:ilvl="8">
      <w:start w:val="1"/>
      <w:numFmt w:val="decimal"/>
      <w:lvlText w:val="%1.%2.%3.%4.%5.%6.%7.%8.%9."/>
      <w:lvlJc w:val="left"/>
      <w:pPr>
        <w:ind w:left="1559" w:hanging="1559"/>
      </w:pPr>
      <w:rPr>
        <w:rFonts w:cs="Times New Roman" w:hint="eastAsia"/>
      </w:rPr>
    </w:lvl>
  </w:abstractNum>
  <w:abstractNum w:abstractNumId="7">
    <w:nsid w:val="C471978F"/>
    <w:multiLevelType w:val="singleLevel"/>
    <w:tmpl w:val="C471978F"/>
    <w:lvl w:ilvl="0">
      <w:start w:val="1"/>
      <w:numFmt w:val="decimal"/>
      <w:suff w:val="space"/>
      <w:lvlText w:val="%1、"/>
      <w:lvlJc w:val="left"/>
      <w:pPr>
        <w:ind w:left="0" w:firstLine="0"/>
      </w:pPr>
    </w:lvl>
  </w:abstractNum>
  <w:abstractNum w:abstractNumId="8">
    <w:nsid w:val="D34FFA8E"/>
    <w:multiLevelType w:val="singleLevel"/>
    <w:tmpl w:val="D34FFA8E"/>
    <w:lvl w:ilvl="0">
      <w:start w:val="1"/>
      <w:numFmt w:val="decimal"/>
      <w:suff w:val="space"/>
      <w:lvlText w:val="%1、"/>
      <w:lvlJc w:val="left"/>
      <w:pPr>
        <w:ind w:left="0" w:firstLine="0"/>
      </w:pPr>
    </w:lvl>
  </w:abstractNum>
  <w:abstractNum w:abstractNumId="9">
    <w:nsid w:val="D3D4F7B7"/>
    <w:multiLevelType w:val="singleLevel"/>
    <w:tmpl w:val="D3D4F7B7"/>
    <w:lvl w:ilvl="0">
      <w:start w:val="1"/>
      <w:numFmt w:val="decimal"/>
      <w:suff w:val="nothing"/>
      <w:lvlText w:val="%1、"/>
      <w:lvlJc w:val="left"/>
      <w:pPr>
        <w:ind w:left="0" w:firstLine="0"/>
      </w:pPr>
    </w:lvl>
  </w:abstractNum>
  <w:abstractNum w:abstractNumId="10">
    <w:nsid w:val="DAF6D134"/>
    <w:multiLevelType w:val="multilevel"/>
    <w:tmpl w:val="DAF6D134"/>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11">
    <w:nsid w:val="EEEBDB89"/>
    <w:multiLevelType w:val="multilevel"/>
    <w:tmpl w:val="EEEBDB89"/>
    <w:lvl w:ilvl="0">
      <w:start w:val="1"/>
      <w:numFmt w:val="chineseCountingThousand"/>
      <w:suff w:val="nothing"/>
      <w:lvlText w:val="第%1部分"/>
      <w:lvlJc w:val="center"/>
      <w:pPr>
        <w:ind w:left="-288" w:firstLine="288"/>
      </w:pPr>
      <w:rPr>
        <w:rFonts w:hint="eastAsia"/>
        <w:sz w:val="28"/>
        <w:szCs w:val="28"/>
      </w:rPr>
    </w:lvl>
    <w:lvl w:ilvl="1">
      <w:start w:val="1"/>
      <w:numFmt w:val="chineseCountingThousand"/>
      <w:suff w:val="nothing"/>
      <w:lvlText w:val="%2、"/>
      <w:lvlJc w:val="left"/>
      <w:pPr>
        <w:ind w:left="254" w:firstLine="0"/>
      </w:pPr>
      <w:rPr>
        <w:rFonts w:ascii="宋体" w:eastAsia="宋体" w:hAnsi="宋体" w:hint="eastAsia"/>
        <w:sz w:val="24"/>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2">
    <w:nsid w:val="FC1233AE"/>
    <w:multiLevelType w:val="singleLevel"/>
    <w:tmpl w:val="FC1233AE"/>
    <w:lvl w:ilvl="0">
      <w:start w:val="1"/>
      <w:numFmt w:val="decimal"/>
      <w:suff w:val="nothing"/>
      <w:lvlText w:val="%1、"/>
      <w:lvlJc w:val="left"/>
      <w:pPr>
        <w:ind w:left="0" w:firstLine="0"/>
      </w:pPr>
    </w:lvl>
  </w:abstractNum>
  <w:abstractNum w:abstractNumId="13">
    <w:nsid w:val="FDD4EFD1"/>
    <w:multiLevelType w:val="singleLevel"/>
    <w:tmpl w:val="FDD4EFD1"/>
    <w:lvl w:ilvl="0">
      <w:start w:val="1"/>
      <w:numFmt w:val="decimal"/>
      <w:suff w:val="nothing"/>
      <w:lvlText w:val="%1、"/>
      <w:lvlJc w:val="left"/>
      <w:pPr>
        <w:ind w:left="0" w:firstLine="0"/>
      </w:pPr>
    </w:lvl>
  </w:abstractNum>
  <w:abstractNum w:abstractNumId="14">
    <w:nsid w:val="FF8CAA37"/>
    <w:multiLevelType w:val="singleLevel"/>
    <w:tmpl w:val="FF8CAA37"/>
    <w:lvl w:ilvl="0">
      <w:start w:val="1"/>
      <w:numFmt w:val="decimal"/>
      <w:suff w:val="nothing"/>
      <w:lvlText w:val="%1、"/>
      <w:lvlJc w:val="left"/>
      <w:pPr>
        <w:ind w:left="0" w:firstLine="0"/>
      </w:pPr>
    </w:lvl>
  </w:abstractNum>
  <w:abstractNum w:abstractNumId="15">
    <w:nsid w:val="00000005"/>
    <w:multiLevelType w:val="multilevel"/>
    <w:tmpl w:val="0000000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0000006"/>
    <w:multiLevelType w:val="multilevel"/>
    <w:tmpl w:val="00000006"/>
    <w:lvl w:ilvl="0">
      <w:start w:val="1"/>
      <w:numFmt w:val="decimal"/>
      <w:lvlText w:val="（%1）"/>
      <w:lvlJc w:val="left"/>
      <w:pPr>
        <w:ind w:left="1200" w:hanging="720"/>
      </w:pPr>
    </w:lvl>
    <w:lvl w:ilvl="1">
      <w:start w:val="10"/>
      <w:numFmt w:val="japaneseCounting"/>
      <w:lvlText w:val="%2、"/>
      <w:lvlJc w:val="left"/>
      <w:pPr>
        <w:ind w:left="855" w:hanging="435"/>
      </w:pPr>
    </w:lvl>
    <w:lvl w:ilvl="2">
      <w:start w:val="3"/>
      <w:numFmt w:val="japaneseCounting"/>
      <w:lvlText w:val="（%3）"/>
      <w:lvlJc w:val="left"/>
      <w:pPr>
        <w:ind w:left="1560" w:hanging="720"/>
      </w:pPr>
    </w:lvl>
    <w:lvl w:ilvl="3">
      <w:start w:val="1"/>
      <w:numFmt w:val="decimal"/>
      <w:lvlText w:val="%4）"/>
      <w:lvlJc w:val="left"/>
      <w:pPr>
        <w:ind w:left="1620" w:hanging="360"/>
      </w:pPr>
    </w:lvl>
    <w:lvl w:ilvl="4">
      <w:start w:val="1"/>
      <w:numFmt w:val="decimal"/>
      <w:lvlText w:val="%5、"/>
      <w:lvlJc w:val="left"/>
      <w:pPr>
        <w:ind w:left="2040" w:hanging="36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00000008"/>
    <w:multiLevelType w:val="singleLevel"/>
    <w:tmpl w:val="00000008"/>
    <w:lvl w:ilvl="0">
      <w:start w:val="1"/>
      <w:numFmt w:val="decimal"/>
      <w:lvlText w:val="%1."/>
      <w:lvlJc w:val="left"/>
      <w:pPr>
        <w:ind w:left="1200" w:hanging="360"/>
      </w:pPr>
    </w:lvl>
  </w:abstractNum>
  <w:abstractNum w:abstractNumId="18">
    <w:nsid w:val="00000009"/>
    <w:multiLevelType w:val="multilevel"/>
    <w:tmpl w:val="00000009"/>
    <w:lvl w:ilvl="0">
      <w:start w:val="1"/>
      <w:numFmt w:val="bullet"/>
      <w:lvlText w:val="l"/>
      <w:lvlJc w:val="left"/>
      <w:pPr>
        <w:ind w:left="204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nsid w:val="0000000A"/>
    <w:multiLevelType w:val="singleLevel"/>
    <w:tmpl w:val="0000000A"/>
    <w:lvl w:ilvl="0">
      <w:start w:val="1"/>
      <w:numFmt w:val="bullet"/>
      <w:lvlText w:val="l"/>
      <w:lvlJc w:val="left"/>
      <w:pPr>
        <w:ind w:left="1620" w:hanging="360"/>
      </w:pPr>
      <w:rPr>
        <w:rFonts w:ascii="Wingdings" w:hAnsi="Wingdings" w:hint="default"/>
      </w:rPr>
    </w:lvl>
  </w:abstractNum>
  <w:abstractNum w:abstractNumId="20">
    <w:nsid w:val="0000000B"/>
    <w:multiLevelType w:val="multilevel"/>
    <w:tmpl w:val="0000000B"/>
    <w:lvl w:ilvl="0">
      <w:start w:val="1"/>
      <w:numFmt w:val="decimal"/>
      <w:lvlText w:val="图%1."/>
      <w:lvlJc w:val="left"/>
      <w:pPr>
        <w:ind w:left="420" w:hanging="420"/>
      </w:pPr>
    </w:lvl>
    <w:lvl w:ilvl="1">
      <w:start w:val="1"/>
      <w:numFmt w:val="bullet"/>
      <w:lvlText w:val="l"/>
      <w:lvlJc w:val="left"/>
      <w:pPr>
        <w:ind w:left="840" w:hanging="420"/>
      </w:pPr>
      <w:rPr>
        <w:rFonts w:ascii="Wingdings" w:hAnsi="Wingding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0000000C"/>
    <w:multiLevelType w:val="multilevel"/>
    <w:tmpl w:val="0000000C"/>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2">
    <w:nsid w:val="0000000E"/>
    <w:multiLevelType w:val="multilevel"/>
    <w:tmpl w:val="0000000E"/>
    <w:lvl w:ilvl="0">
      <w:start w:val="1"/>
      <w:numFmt w:val="bullet"/>
      <w:lvlText w:val="l"/>
      <w:lvlJc w:val="left"/>
      <w:pPr>
        <w:ind w:left="360" w:hanging="360"/>
      </w:pPr>
      <w:rPr>
        <w:rFonts w:ascii="Wingdings" w:hAnsi="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nsid w:val="0000000F"/>
    <w:multiLevelType w:val="multilevel"/>
    <w:tmpl w:val="0000000F"/>
    <w:lvl w:ilvl="0">
      <w:start w:val="1"/>
      <w:numFmt w:val="decimal"/>
      <w:lvlText w:val="%1)"/>
      <w:lvlJc w:val="left"/>
      <w:pPr>
        <w:ind w:left="420" w:hanging="42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4">
    <w:nsid w:val="00000010"/>
    <w:multiLevelType w:val="multilevel"/>
    <w:tmpl w:val="00000010"/>
    <w:lvl w:ilvl="0">
      <w:start w:val="1"/>
      <w:numFmt w:val="none"/>
      <w:isLgl/>
      <w:lvlJc w:val="left"/>
      <w:pPr>
        <w:ind w:left="425" w:hanging="425"/>
      </w:pPr>
    </w:lvl>
    <w:lvl w:ilvl="1">
      <w:start w:val="1"/>
      <w:numFmt w:val="decimal"/>
      <w:lvlText w:val="%2、"/>
      <w:lvlJc w:val="left"/>
      <w:pPr>
        <w:ind w:left="567" w:hanging="567"/>
      </w:pPr>
    </w:lvl>
    <w:lvl w:ilvl="2">
      <w:start w:val="1"/>
      <w:numFmt w:val="decimal"/>
      <w:isLgl/>
      <w:lvlText w:val="%1.%2.%3."/>
      <w:lvlJc w:val="left"/>
      <w:pPr>
        <w:ind w:left="709" w:hanging="709"/>
      </w:pPr>
    </w:lvl>
    <w:lvl w:ilvl="3">
      <w:start w:val="1"/>
      <w:numFmt w:val="decimal"/>
      <w:isLgl/>
      <w:lvlText w:val="%1.%2.%3.%4."/>
      <w:lvlJc w:val="left"/>
      <w:pPr>
        <w:ind w:left="851" w:hanging="851"/>
      </w:pPr>
    </w:lvl>
    <w:lvl w:ilvl="4">
      <w:start w:val="1"/>
      <w:numFmt w:val="decimal"/>
      <w:isLgl/>
      <w:lvlText w:val="%1.%2.%3.%4.%5."/>
      <w:lvlJc w:val="left"/>
      <w:pPr>
        <w:ind w:left="992" w:hanging="992"/>
      </w:pPr>
      <w:rPr>
        <w:color w:val="auto"/>
      </w:rPr>
    </w:lvl>
    <w:lvl w:ilvl="5">
      <w:start w:val="1"/>
      <w:numFmt w:val="decimal"/>
      <w:isLgl/>
      <w:lvlText w:val="%1%2.%3.%4.%5.%6."/>
      <w:lvlJc w:val="left"/>
      <w:pPr>
        <w:ind w:left="2754" w:hanging="1134"/>
      </w:pPr>
      <w:rPr>
        <w:color w:val="auto"/>
      </w:r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nsid w:val="00000011"/>
    <w:multiLevelType w:val="multilevel"/>
    <w:tmpl w:val="00000011"/>
    <w:lvl w:ilvl="0">
      <w:start w:val="1"/>
      <w:numFmt w:val="decimal"/>
      <w:lvlText w:val="%1."/>
      <w:lvlJc w:val="left"/>
      <w:pPr>
        <w:ind w:left="204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nsid w:val="00000012"/>
    <w:multiLevelType w:val="multilevel"/>
    <w:tmpl w:val="00000012"/>
    <w:lvl w:ilvl="0">
      <w:start w:val="1"/>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27">
    <w:nsid w:val="00000014"/>
    <w:multiLevelType w:val="multilevel"/>
    <w:tmpl w:val="00000014"/>
    <w:lvl w:ilvl="0">
      <w:start w:val="1"/>
      <w:numFmt w:val="bullet"/>
      <w:lvlText w:val="ü"/>
      <w:lvlJc w:val="left"/>
      <w:pPr>
        <w:ind w:left="980" w:hanging="420"/>
      </w:pPr>
      <w:rPr>
        <w:rFonts w:ascii="Wingdings" w:hAnsi="Wingdings" w:hint="default"/>
      </w:rPr>
    </w:lvl>
    <w:lvl w:ilvl="1">
      <w:start w:val="1"/>
      <w:numFmt w:val="bullet"/>
      <w:lvlText w:val="n"/>
      <w:lvlJc w:val="left"/>
      <w:pPr>
        <w:ind w:left="1400" w:hanging="420"/>
      </w:pPr>
      <w:rPr>
        <w:rFonts w:ascii="Wingdings" w:hAnsi="Wingdings" w:hint="default"/>
      </w:rPr>
    </w:lvl>
    <w:lvl w:ilvl="2">
      <w:start w:val="1"/>
      <w:numFmt w:val="bullet"/>
      <w:lvlText w:val="u"/>
      <w:lvlJc w:val="left"/>
      <w:pPr>
        <w:ind w:left="1820" w:hanging="420"/>
      </w:pPr>
      <w:rPr>
        <w:rFonts w:ascii="Wingdings" w:hAnsi="Wingdings" w:hint="default"/>
      </w:rPr>
    </w:lvl>
    <w:lvl w:ilvl="3">
      <w:start w:val="1"/>
      <w:numFmt w:val="bullet"/>
      <w:lvlText w:val="l"/>
      <w:lvlJc w:val="left"/>
      <w:pPr>
        <w:ind w:left="2240" w:hanging="420"/>
      </w:pPr>
      <w:rPr>
        <w:rFonts w:ascii="Wingdings" w:hAnsi="Wingdings" w:hint="default"/>
      </w:rPr>
    </w:lvl>
    <w:lvl w:ilvl="4">
      <w:start w:val="1"/>
      <w:numFmt w:val="bullet"/>
      <w:lvlText w:val="n"/>
      <w:lvlJc w:val="left"/>
      <w:pPr>
        <w:ind w:left="2660" w:hanging="420"/>
      </w:pPr>
      <w:rPr>
        <w:rFonts w:ascii="Wingdings" w:hAnsi="Wingdings" w:hint="default"/>
      </w:rPr>
    </w:lvl>
    <w:lvl w:ilvl="5">
      <w:start w:val="1"/>
      <w:numFmt w:val="bullet"/>
      <w:lvlText w:val="u"/>
      <w:lvlJc w:val="left"/>
      <w:pPr>
        <w:ind w:left="3080" w:hanging="420"/>
      </w:pPr>
      <w:rPr>
        <w:rFonts w:ascii="Wingdings" w:hAnsi="Wingdings" w:hint="default"/>
      </w:rPr>
    </w:lvl>
    <w:lvl w:ilvl="6">
      <w:start w:val="1"/>
      <w:numFmt w:val="bullet"/>
      <w:lvlText w:val="l"/>
      <w:lvlJc w:val="left"/>
      <w:pPr>
        <w:ind w:left="3500" w:hanging="420"/>
      </w:pPr>
      <w:rPr>
        <w:rFonts w:ascii="Wingdings" w:hAnsi="Wingdings" w:hint="default"/>
      </w:rPr>
    </w:lvl>
    <w:lvl w:ilvl="7">
      <w:start w:val="1"/>
      <w:numFmt w:val="bullet"/>
      <w:lvlText w:val="n"/>
      <w:lvlJc w:val="left"/>
      <w:pPr>
        <w:ind w:left="3920" w:hanging="420"/>
      </w:pPr>
      <w:rPr>
        <w:rFonts w:ascii="Wingdings" w:hAnsi="Wingdings" w:hint="default"/>
      </w:rPr>
    </w:lvl>
    <w:lvl w:ilvl="8">
      <w:start w:val="1"/>
      <w:numFmt w:val="bullet"/>
      <w:lvlText w:val="u"/>
      <w:lvlJc w:val="left"/>
      <w:pPr>
        <w:ind w:left="4340" w:hanging="420"/>
      </w:pPr>
      <w:rPr>
        <w:rFonts w:ascii="Wingdings" w:hAnsi="Wingdings" w:hint="default"/>
      </w:rPr>
    </w:lvl>
  </w:abstractNum>
  <w:abstractNum w:abstractNumId="28">
    <w:nsid w:val="0164A93D"/>
    <w:multiLevelType w:val="singleLevel"/>
    <w:tmpl w:val="0164A93D"/>
    <w:lvl w:ilvl="0">
      <w:start w:val="1"/>
      <w:numFmt w:val="decimal"/>
      <w:suff w:val="nothing"/>
      <w:lvlText w:val="（%1）"/>
      <w:lvlJc w:val="left"/>
      <w:pPr>
        <w:ind w:left="0" w:firstLine="0"/>
      </w:pPr>
    </w:lvl>
  </w:abstractNum>
  <w:abstractNum w:abstractNumId="29">
    <w:nsid w:val="02F3EE80"/>
    <w:multiLevelType w:val="singleLevel"/>
    <w:tmpl w:val="02F3EE80"/>
    <w:lvl w:ilvl="0">
      <w:start w:val="1"/>
      <w:numFmt w:val="decimal"/>
      <w:suff w:val="nothing"/>
      <w:lvlText w:val="%1、"/>
      <w:lvlJc w:val="left"/>
      <w:pPr>
        <w:ind w:left="0" w:firstLine="0"/>
      </w:pPr>
    </w:lvl>
  </w:abstractNum>
  <w:abstractNum w:abstractNumId="30">
    <w:nsid w:val="0CFEAE4E"/>
    <w:multiLevelType w:val="singleLevel"/>
    <w:tmpl w:val="0CFEAE4E"/>
    <w:lvl w:ilvl="0">
      <w:start w:val="1"/>
      <w:numFmt w:val="decimal"/>
      <w:lvlText w:val="%1."/>
      <w:lvlJc w:val="left"/>
      <w:pPr>
        <w:ind w:left="845" w:hanging="425"/>
      </w:pPr>
      <w:rPr>
        <w:rFonts w:hint="default"/>
      </w:rPr>
    </w:lvl>
  </w:abstractNum>
  <w:abstractNum w:abstractNumId="31">
    <w:nsid w:val="150C2F09"/>
    <w:multiLevelType w:val="multilevel"/>
    <w:tmpl w:val="150C2F09"/>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0"/>
      <w:numFmt w:val="none"/>
      <w:lvlJc w:val="left"/>
      <w:pPr>
        <w:ind w:left="0" w:firstLine="0"/>
      </w:pPr>
    </w:lvl>
    <w:lvl w:ilvl="4">
      <w:start w:val="1"/>
      <w:numFmt w:val="decimal"/>
      <w:lvlText w:val="%1.%2.%3.%4.%5."/>
      <w:lvlJc w:val="right"/>
      <w:pPr>
        <w:ind w:left="992" w:hanging="992"/>
      </w:pPr>
    </w:lvl>
    <w:lvl w:ilvl="5">
      <w:start w:val="1"/>
      <w:numFmt w:val="decimal"/>
      <w:lvlText w:val="%1.%2.%3.%4.%5.%6.ȁ"/>
      <w:lvlJc w:val="left"/>
      <w:pPr>
        <w:ind w:left="0" w:hanging="1134"/>
      </w:pPr>
    </w:lvl>
    <w:lvl w:ilvl="6">
      <w:start w:val="0"/>
      <w:numFmt w:val="none"/>
      <w:lvlJc w:val="left"/>
      <w:pPr>
        <w:ind w:left="0" w:firstLine="0"/>
      </w:pPr>
    </w:lvl>
    <w:lvl w:ilvl="7">
      <w:start w:val="0"/>
      <w:numFmt w:val="none"/>
      <w:lvlJc w:val="left"/>
      <w:pPr>
        <w:ind w:left="0" w:firstLine="0"/>
      </w:pPr>
    </w:lvl>
    <w:lvl w:ilvl="8">
      <w:start w:val="0"/>
      <w:numFmt w:val="none"/>
      <w:lvlJc w:val="left"/>
      <w:pPr>
        <w:ind w:left="0" w:firstLine="0"/>
      </w:pPr>
    </w:lvl>
  </w:abstractNum>
  <w:abstractNum w:abstractNumId="32">
    <w:nsid w:val="2DEAB9BB"/>
    <w:multiLevelType w:val="singleLevel"/>
    <w:tmpl w:val="2DEAB9BB"/>
    <w:lvl w:ilvl="0">
      <w:start w:val="1"/>
      <w:numFmt w:val="decimal"/>
      <w:lvlText w:val="%1"/>
      <w:lvlJc w:val="left"/>
      <w:pPr>
        <w:ind w:left="425" w:hanging="425"/>
      </w:pPr>
      <w:rPr>
        <w:rFonts w:hint="default"/>
      </w:rPr>
    </w:lvl>
  </w:abstractNum>
  <w:abstractNum w:abstractNumId="33">
    <w:nsid w:val="33A849A2"/>
    <w:multiLevelType w:val="singleLevel"/>
    <w:tmpl w:val="33A849A2"/>
    <w:lvl w:ilvl="0">
      <w:start w:val="1"/>
      <w:numFmt w:val="decimal"/>
      <w:suff w:val="nothing"/>
      <w:lvlText w:val="%1、"/>
      <w:lvlJc w:val="left"/>
      <w:pPr>
        <w:ind w:left="0" w:firstLine="0"/>
      </w:pPr>
    </w:lvl>
  </w:abstractNum>
  <w:abstractNum w:abstractNumId="34">
    <w:nsid w:val="3EBF10E3"/>
    <w:multiLevelType w:val="multilevel"/>
    <w:tmpl w:val="3EBF10E3"/>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35">
    <w:nsid w:val="41CE06FC"/>
    <w:multiLevelType w:val="singleLevel"/>
    <w:tmpl w:val="41CE06FC"/>
    <w:lvl w:ilvl="0">
      <w:start w:val="1"/>
      <w:numFmt w:val="decimal"/>
      <w:suff w:val="nothing"/>
      <w:lvlText w:val="%1、"/>
      <w:lvlJc w:val="left"/>
      <w:pPr>
        <w:ind w:left="0" w:firstLine="0"/>
      </w:pPr>
    </w:lvl>
  </w:abstractNum>
  <w:abstractNum w:abstractNumId="36">
    <w:nsid w:val="4BEFB961"/>
    <w:multiLevelType w:val="singleLevel"/>
    <w:tmpl w:val="4BEFB961"/>
    <w:lvl w:ilvl="0">
      <w:start w:val="1"/>
      <w:numFmt w:val="decimal"/>
      <w:suff w:val="nothing"/>
      <w:lvlText w:val="%1、"/>
      <w:lvlJc w:val="left"/>
      <w:pPr>
        <w:ind w:left="0" w:firstLine="0"/>
      </w:pPr>
    </w:lvl>
  </w:abstractNum>
  <w:abstractNum w:abstractNumId="37">
    <w:nsid w:val="4D63CED7"/>
    <w:multiLevelType w:val="multilevel"/>
    <w:tmpl w:val="4D63CED7"/>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abstractNum w:abstractNumId="38">
    <w:nsid w:val="5A82517B"/>
    <w:multiLevelType w:val="singleLevel"/>
    <w:tmpl w:val="5A82517B"/>
    <w:lvl w:ilvl="0">
      <w:start w:val="1"/>
      <w:numFmt w:val="decimal"/>
      <w:suff w:val="nothing"/>
      <w:lvlText w:val="%1"/>
      <w:lvlJc w:val="left"/>
      <w:pPr>
        <w:ind w:left="425" w:hanging="425"/>
      </w:pPr>
      <w:rPr>
        <w:rFonts w:hint="default"/>
      </w:rPr>
    </w:lvl>
  </w:abstractNum>
  <w:abstractNum w:abstractNumId="39">
    <w:nsid w:val="5F26E7D7"/>
    <w:multiLevelType w:val="multilevel"/>
    <w:tmpl w:val="5F26E7D7"/>
    <w:lvl w:ilvl="0">
      <w:start w:val="0"/>
      <w:numFmt w:val="decimal"/>
      <w:lvlText w:val="（"/>
      <w:lvlJc w:val="left"/>
      <w:pPr>
        <w:ind w:left="0" w:firstLine="0"/>
      </w:pPr>
    </w:lvl>
    <w:lvl w:ilvl="1">
      <w:start w:val="0"/>
      <w:numFmt w:val="decimal"/>
      <w:lvlText w:val=")"/>
      <w:lvlJc w:val="left"/>
      <w:pPr>
        <w:ind w:left="0" w:firstLine="0"/>
      </w:pPr>
    </w:lvl>
    <w:lvl w:ilvl="2">
      <w:start w:val="0"/>
      <w:numFmt w:val="decimal"/>
      <w:lvlText w:val="."/>
      <w:lvlJc w:val="left"/>
      <w:pPr>
        <w:ind w:left="0" w:firstLine="0"/>
      </w:pPr>
    </w:lvl>
    <w:lvl w:ilvl="3">
      <w:start w:val="0"/>
      <w:numFmt w:val="decimal"/>
      <w:lvlText w:val="."/>
      <w:lvlJc w:val="left"/>
      <w:pPr>
        <w:ind w:left="0" w:firstLine="0"/>
      </w:pPr>
    </w:lvl>
    <w:lvl w:ilvl="4">
      <w:start w:val="0"/>
      <w:numFmt w:val="decimal"/>
      <w:lvlText w:val=")"/>
      <w:lvlJc w:val="left"/>
      <w:pPr>
        <w:ind w:left="0" w:firstLine="0"/>
      </w:pPr>
    </w:lvl>
    <w:lvl w:ilvl="5">
      <w:start w:val="0"/>
      <w:numFmt w:val="decimal"/>
      <w:lvlText w:val="."/>
      <w:lvlJc w:val="left"/>
      <w:pPr>
        <w:ind w:left="0" w:firstLine="0"/>
      </w:pPr>
    </w:lvl>
    <w:lvl w:ilvl="6">
      <w:start w:val="0"/>
      <w:numFmt w:val="decimal"/>
      <w:lvlText w:val="."/>
      <w:lvlJc w:val="left"/>
      <w:pPr>
        <w:ind w:left="0" w:firstLine="0"/>
      </w:pPr>
    </w:lvl>
    <w:lvl w:ilvl="7">
      <w:start w:val="0"/>
      <w:numFmt w:val="decimal"/>
      <w:lvlText w:val=")"/>
      <w:lvlJc w:val="left"/>
      <w:pPr>
        <w:ind w:left="0" w:firstLine="0"/>
      </w:pPr>
    </w:lvl>
    <w:lvl w:ilvl="8">
      <w:start w:val="0"/>
      <w:numFmt w:val="decimal"/>
      <w:lvlText w:val="."/>
      <w:lvlJc w:val="left"/>
      <w:pPr>
        <w:ind w:left="0" w:firstLine="0"/>
      </w:pPr>
    </w:lvl>
  </w:abstractNum>
  <w:abstractNum w:abstractNumId="40">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41">
    <w:nsid w:val="70DEA628"/>
    <w:multiLevelType w:val="singleLevel"/>
    <w:tmpl w:val="70DEA628"/>
    <w:lvl w:ilvl="0">
      <w:start w:val="1"/>
      <w:numFmt w:val="decimal"/>
      <w:suff w:val="nothing"/>
      <w:lvlText w:val="%1、"/>
      <w:lvlJc w:val="left"/>
      <w:pPr>
        <w:ind w:left="0" w:firstLine="0"/>
      </w:pPr>
    </w:lvl>
  </w:abstractNum>
  <w:abstractNum w:abstractNumId="42">
    <w:nsid w:val="7603501F"/>
    <w:multiLevelType w:val="singleLevel"/>
    <w:tmpl w:val="7603501F"/>
    <w:lvl w:ilvl="0">
      <w:start w:val="1"/>
      <w:numFmt w:val="decimal"/>
      <w:suff w:val="nothing"/>
      <w:lvlText w:val="%1、"/>
      <w:lvlJc w:val="left"/>
      <w:pPr>
        <w:ind w:left="0" w:firstLine="0"/>
      </w:pPr>
    </w:lvl>
  </w:abstractNum>
  <w:abstractNum w:abstractNumId="43">
    <w:nsid w:val="7BBCD1E6"/>
    <w:multiLevelType w:val="multilevel"/>
    <w:tmpl w:val="7BBCD1E6"/>
    <w:lvl w:ilvl="0">
      <w:start w:val="0"/>
      <w:numFmt w:val="decimal"/>
      <w:lvlJc w:val="left"/>
      <w:pPr>
        <w:ind w:left="0" w:firstLine="0"/>
      </w:pPr>
    </w:lvl>
    <w:lvl w:ilvl="1">
      <w:start w:val="0"/>
      <w:numFmt w:val="decimal"/>
      <w:lvlJc w:val="left"/>
      <w:pPr>
        <w:ind w:left="0" w:firstLine="0"/>
      </w:pPr>
    </w:lvl>
    <w:lvl w:ilvl="2">
      <w:start w:val="0"/>
      <w:numFmt w:val="decimal"/>
      <w:lvlJc w:val="left"/>
      <w:pPr>
        <w:ind w:left="0" w:firstLine="0"/>
      </w:pPr>
    </w:lvl>
    <w:lvl w:ilvl="3">
      <w:start w:val="0"/>
      <w:numFmt w:val="decimal"/>
      <w:lvlJc w:val="left"/>
      <w:pPr>
        <w:ind w:left="0" w:firstLine="0"/>
      </w:pPr>
    </w:lvl>
    <w:lvl w:ilvl="4">
      <w:start w:val="0"/>
      <w:numFmt w:val="decimal"/>
      <w:lvlJc w:val="left"/>
      <w:pPr>
        <w:ind w:left="0" w:firstLine="0"/>
      </w:pPr>
    </w:lvl>
    <w:lvl w:ilvl="5">
      <w:start w:val="0"/>
      <w:numFmt w:val="decimal"/>
      <w:lvlJc w:val="left"/>
      <w:pPr>
        <w:ind w:left="0" w:firstLine="0"/>
      </w:pPr>
    </w:lvl>
    <w:lvl w:ilvl="6">
      <w:start w:val="0"/>
      <w:numFmt w:val="decimal"/>
      <w:lvlJc w:val="left"/>
      <w:pPr>
        <w:ind w:left="0" w:firstLine="0"/>
      </w:pPr>
    </w:lvl>
    <w:lvl w:ilvl="7">
      <w:start w:val="0"/>
      <w:numFmt w:val="decimal"/>
      <w:lvlJc w:val="left"/>
      <w:pPr>
        <w:ind w:left="0" w:firstLine="0"/>
      </w:pPr>
    </w:lvl>
    <w:lvl w:ilvl="8">
      <w:start w:val="0"/>
      <w:numFmt w:val="decimal"/>
      <w:lvlJc w:val="left"/>
      <w:pPr>
        <w:ind w:left="0" w:firstLine="0"/>
      </w:pPr>
    </w:lvl>
  </w:abstractNum>
  <w:num w:numId="1">
    <w:abstractNumId w:val="31"/>
  </w:num>
  <w:num w:numId="2">
    <w:abstractNumId w:val="40"/>
  </w:num>
  <w:num w:numId="3">
    <w:abstractNumId w:val="4"/>
  </w:num>
  <w:num w:numId="4">
    <w:abstractNumId w:val="28"/>
  </w:num>
  <w:num w:numId="5">
    <w:abstractNumId w:val="38"/>
  </w:num>
  <w:num w:numId="6">
    <w:abstractNumId w:val="2"/>
  </w:num>
  <w:num w:numId="7">
    <w:abstractNumId w:val="8"/>
  </w:num>
  <w:num w:numId="8">
    <w:abstractNumId w:val="36"/>
  </w:num>
  <w:num w:numId="9">
    <w:abstractNumId w:val="3"/>
  </w:num>
  <w:num w:numId="10">
    <w:abstractNumId w:val="30"/>
  </w:num>
  <w:num w:numId="11">
    <w:abstractNumId w:val="7"/>
  </w:num>
  <w:num w:numId="12">
    <w:abstractNumId w:val="35"/>
  </w:num>
  <w:num w:numId="13">
    <w:abstractNumId w:val="12"/>
  </w:num>
  <w:num w:numId="14">
    <w:abstractNumId w:val="33"/>
  </w:num>
  <w:num w:numId="15">
    <w:abstractNumId w:val="9"/>
  </w:num>
  <w:num w:numId="16">
    <w:abstractNumId w:val="41"/>
  </w:num>
  <w:num w:numId="17">
    <w:abstractNumId w:val="29"/>
  </w:num>
  <w:num w:numId="18">
    <w:abstractNumId w:val="5"/>
  </w:num>
  <w:num w:numId="19">
    <w:abstractNumId w:val="42"/>
  </w:num>
  <w:num w:numId="20">
    <w:abstractNumId w:val="14"/>
  </w:num>
  <w:num w:numId="21">
    <w:abstractNumId w:val="32"/>
  </w:num>
  <w:num w:numId="22">
    <w:abstractNumId w:val="13"/>
  </w:num>
  <w:num w:numId="23">
    <w:abstractNumId w:val="39"/>
  </w:num>
  <w:num w:numId="24">
    <w:abstractNumId w:val="15"/>
  </w:num>
  <w:num w:numId="25">
    <w:abstractNumId w:val="16"/>
  </w:num>
  <w:num w:numId="26">
    <w:abstractNumId w:val="1"/>
  </w:num>
  <w:num w:numId="27">
    <w:abstractNumId w:val="17"/>
  </w:num>
  <w:num w:numId="28">
    <w:abstractNumId w:val="18"/>
  </w:num>
  <w:num w:numId="29">
    <w:abstractNumId w:val="19"/>
  </w:num>
  <w:num w:numId="30">
    <w:abstractNumId w:val="43"/>
  </w:num>
  <w:num w:numId="31">
    <w:abstractNumId w:val="11"/>
  </w:num>
  <w:num w:numId="32">
    <w:abstractNumId w:val="6"/>
  </w:num>
  <w:num w:numId="33">
    <w:abstractNumId w:val="34"/>
  </w:num>
  <w:num w:numId="34">
    <w:abstractNumId w:val="20"/>
  </w:num>
  <w:num w:numId="35">
    <w:abstractNumId w:val="21"/>
  </w:num>
  <w:num w:numId="36">
    <w:abstractNumId w:val="0"/>
  </w:num>
  <w:num w:numId="37">
    <w:abstractNumId w:val="10"/>
  </w:num>
  <w:num w:numId="38">
    <w:abstractNumId w:val="22"/>
  </w:num>
  <w:num w:numId="39">
    <w:abstractNumId w:val="23"/>
  </w:num>
  <w:num w:numId="40">
    <w:abstractNumId w:val="37"/>
  </w:num>
  <w:num w:numId="41">
    <w:abstractNumId w:val="24"/>
  </w:num>
  <w:num w:numId="42">
    <w:abstractNumId w:val="25"/>
  </w:num>
  <w:num w:numId="43">
    <w:abstractNumId w:val="26"/>
  </w:num>
  <w:num w:numId="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doNotDisplayPageBoundaries/>
  <w:bordersDoNotSurroundHeader/>
  <w:bordersDoNotSurroundFooter/>
  <w:trackRevisions/>
  <w:defaultTabStop w:val="420"/>
  <w:drawingGridHorizontalSpacing w:val="120"/>
  <w:drawingGridVerticalSpacing w:val="156"/>
  <w:displayHorizontalDrawingGridEvery w:val="0"/>
  <w:noPunctuationKerning/>
  <w:characterSpacingControl w:val="compressPunctuation"/>
  <w:compat>
    <w:spaceForUL/>
    <w:balanceSingleByteDoubleByteWidth/>
    <w:doNotExpandShiftReturn/>
    <w:adjustLineHeightInTabl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zY4MGU3Y2YwM2QwNjA1ZGVhYjgyNDAxNDc2ZTljOGQ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b/>
      <w:sz w:val="32"/>
    </w:rPr>
  </w:style>
  <w:style w:type="paragraph" w:styleId="Heading4">
    <w:name w:val="heading 4"/>
    <w:basedOn w:val="Normal"/>
    <w:next w:val="Normal"/>
    <w:pPr>
      <w:keepNext/>
      <w:keepLines/>
      <w:widowControl w:val="0"/>
      <w:numPr>
        <w:ilvl w:val="3"/>
        <w:numId w:val="23"/>
      </w:numPr>
      <w:spacing w:before="280" w:after="290" w:line="376" w:lineRule="atLeast"/>
      <w:outlineLvl w:val="3"/>
    </w:pPr>
    <w:rPr>
      <w:rFonts w:ascii="Arial" w:eastAsia="黑体" w:hAnsi="Arial"/>
      <w:b/>
      <w:bCs/>
      <w:sz w:val="28"/>
      <w:szCs w:val="28"/>
    </w:rPr>
  </w:style>
  <w:style w:type="paragraph" w:styleId="Heading5">
    <w:name w:val="heading 5"/>
    <w:basedOn w:val="Normal"/>
    <w:next w:val="Normal"/>
    <w:pPr>
      <w:keepNext/>
      <w:keepLines/>
      <w:widowControl w:val="0"/>
      <w:numPr>
        <w:ilvl w:val="4"/>
        <w:numId w:val="23"/>
      </w:numPr>
      <w:spacing w:before="280" w:after="290" w:line="376" w:lineRule="atLeast"/>
      <w:outlineLvl w:val="4"/>
    </w:pPr>
    <w:rPr>
      <w:b/>
      <w:bCs/>
      <w:sz w:val="28"/>
      <w:szCs w:val="28"/>
    </w:rPr>
  </w:style>
  <w:style w:type="paragraph" w:styleId="Heading6">
    <w:name w:val="heading 6"/>
    <w:basedOn w:val="Normal"/>
    <w:next w:val="Normal"/>
    <w:pPr>
      <w:keepNext/>
      <w:keepLines/>
      <w:widowControl w:val="0"/>
      <w:numPr>
        <w:ilvl w:val="5"/>
        <w:numId w:val="23"/>
      </w:numPr>
      <w:spacing w:before="240" w:after="64" w:line="320" w:lineRule="atLeast"/>
      <w:outlineLvl w:val="5"/>
    </w:pPr>
    <w:rPr>
      <w:rFonts w:ascii="Arial" w:eastAsia="黑体" w:hAnsi="Arial"/>
      <w:b/>
      <w:bCs/>
    </w:rPr>
  </w:style>
  <w:style w:type="paragraph" w:styleId="Heading7">
    <w:name w:val="heading 7"/>
    <w:basedOn w:val="Normal"/>
    <w:next w:val="Normal"/>
    <w:pPr>
      <w:keepNext/>
      <w:keepLines/>
      <w:widowControl w:val="0"/>
      <w:numPr>
        <w:ilvl w:val="6"/>
        <w:numId w:val="23"/>
      </w:numPr>
      <w:spacing w:before="240" w:after="64" w:line="320" w:lineRule="atLeast"/>
      <w:outlineLvl w:val="6"/>
    </w:pPr>
    <w:rPr>
      <w:b/>
      <w:bCs/>
    </w:rPr>
  </w:style>
  <w:style w:type="paragraph" w:styleId="Heading8">
    <w:name w:val="heading 8"/>
    <w:basedOn w:val="Normal"/>
    <w:next w:val="Normal"/>
    <w:pPr>
      <w:keepNext/>
      <w:keepLines/>
      <w:widowControl w:val="0"/>
      <w:numPr>
        <w:ilvl w:val="7"/>
        <w:numId w:val="23"/>
      </w:numPr>
      <w:spacing w:before="240" w:after="64" w:line="320" w:lineRule="atLeast"/>
      <w:outlineLvl w:val="7"/>
    </w:pPr>
    <w:rPr>
      <w:rFonts w:ascii="Arial" w:eastAsia="黑体" w:hAnsi="Arial"/>
    </w:rPr>
  </w:style>
  <w:style w:type="paragraph" w:styleId="Heading9">
    <w:name w:val="heading 9"/>
    <w:basedOn w:val="Normal"/>
    <w:next w:val="Normal"/>
    <w:pPr>
      <w:keepNext/>
      <w:keepLines/>
      <w:widowControl w:val="0"/>
      <w:numPr>
        <w:ilvl w:val="8"/>
        <w:numId w:val="23"/>
      </w:numPr>
      <w:spacing w:before="240" w:after="64" w:line="320" w:lineRule="atLeast"/>
      <w:outlineLvl w:val="8"/>
    </w:pPr>
    <w:rPr>
      <w:rFonts w:ascii="Arial" w:eastAsia="黑体" w:hAnsi="Arial"/>
      <w:szCs w:val="21"/>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hAnsi="Calibri"/>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style>
  <w:style w:type="paragraph" w:styleId="E-mailSignature">
    <w:name w:val="E-mail Signature"/>
    <w:basedOn w:val="Normal"/>
    <w:rPr>
      <w:rFonts w:ascii="Calibri" w:hAnsi="Calibri"/>
    </w:rPr>
  </w:style>
  <w:style w:type="paragraph" w:styleId="NormalIndent">
    <w:name w:val="Normal Indent"/>
    <w:basedOn w:val="Normal"/>
    <w:pPr>
      <w:ind w:firstLine="420"/>
    </w:pPr>
  </w:style>
  <w:style w:type="paragraph" w:styleId="Caption">
    <w:name w:val="caption"/>
    <w:basedOn w:val="Normal"/>
    <w:next w:val="Normal"/>
    <w:pPr>
      <w:spacing w:line="480" w:lineRule="auto"/>
    </w:pPr>
    <w:rPr>
      <w:rFonts w:ascii="华文中宋" w:eastAsia="华文中宋"/>
      <w:sz w:val="36"/>
    </w:rPr>
  </w:style>
  <w:style w:type="paragraph" w:styleId="ListBullet">
    <w:name w:val="List Bullet"/>
    <w:basedOn w:val="Normal"/>
    <w:pPr>
      <w:numPr>
        <w:ilvl w:val="0"/>
        <w:numId w:val="24"/>
      </w:numPr>
      <w:tabs>
        <w:tab w:val="left" w:pos="360"/>
      </w:tabs>
      <w:spacing w:line="360" w:lineRule="auto"/>
      <w:ind w:left="0" w:firstLine="360"/>
      <w:jc w:val="left"/>
    </w:pPr>
    <w:rPr>
      <w:rFonts w:ascii="宋体"/>
      <w:kern w:val="24"/>
      <w:sz w:val="24"/>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style>
  <w:style w:type="paragraph" w:styleId="BodyText3">
    <w:name w:val="Body Text 3"/>
    <w:basedOn w:val="Normal"/>
    <w:pPr>
      <w:spacing w:after="120"/>
    </w:pPr>
    <w:rPr>
      <w:sz w:val="16"/>
      <w:szCs w:val="16"/>
    </w:rPr>
  </w:style>
  <w:style w:type="paragraph" w:styleId="Closing">
    <w:name w:val="Closing"/>
    <w:basedOn w:val="Normal"/>
    <w:pPr>
      <w:ind w:left="4320"/>
    </w:pPr>
    <w:rPr>
      <w:rFonts w:ascii="Calibri" w:hAnsi="Calibri"/>
    </w:rPr>
  </w:style>
  <w:style w:type="paragraph" w:styleId="BodyText">
    <w:name w:val="Body Text"/>
    <w:basedOn w:val="Normal"/>
    <w:rPr>
      <w:sz w:val="28"/>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hAnsi="Calibri"/>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style>
  <w:style w:type="paragraph" w:styleId="ListBullet2">
    <w:name w:val="List Bullet 2"/>
    <w:basedOn w:val="Normal"/>
    <w:pPr>
      <w:numPr>
        <w:ilvl w:val="0"/>
        <w:numId w:val="25"/>
      </w:numPr>
      <w:tabs>
        <w:tab w:val="left" w:pos="600"/>
      </w:tabs>
    </w:pPr>
    <w:rPr>
      <w:rFonts w:ascii="Calibri" w:hAnsi="Calibri"/>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hAnsi="Calibri"/>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26"/>
      </w:numPr>
      <w:tabs>
        <w:tab w:val="left" w:pos="780"/>
      </w:tabs>
      <w:ind w:left="100" w:firstLine="0"/>
    </w:pPr>
  </w:style>
  <w:style w:type="paragraph" w:styleId="BodyTextIndent2">
    <w:name w:val="Body Text Indent 2"/>
    <w:basedOn w:val="Normal"/>
    <w:pPr>
      <w:numPr>
        <w:ilvl w:val="0"/>
        <w:numId w:val="27"/>
      </w:numPr>
      <w:tabs>
        <w:tab w:val="left" w:pos="780"/>
      </w:tabs>
      <w:ind w:left="0" w:firstLine="586"/>
    </w:pPr>
    <w:rPr>
      <w:rFonts w:ascii="宋体"/>
      <w:szCs w:val="21"/>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EnvelopeReturn">
    <w:name w:val="envelope return"/>
    <w:basedOn w:val="Normal"/>
    <w:pPr>
      <w:snapToGrid w:val="0"/>
    </w:pPr>
    <w:rPr>
      <w:rFonts w:ascii="Arial" w:hAnsi="Arial"/>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hAnsi="Calibri"/>
      <w:szCs w:val="20"/>
    </w:rPr>
  </w:style>
  <w:style w:type="paragraph" w:styleId="Index1">
    <w:name w:val="index 1"/>
    <w:basedOn w:val="Normal"/>
    <w:next w:val="Normal"/>
  </w:style>
  <w:style w:type="paragraph" w:styleId="Subtitle">
    <w:name w:val="Subtitle"/>
    <w:basedOn w:val="Normal"/>
    <w:pPr>
      <w:spacing w:before="240" w:after="60" w:line="312" w:lineRule="auto"/>
      <w:jc w:val="center"/>
      <w:outlineLvl w:val="1"/>
    </w:pPr>
    <w:rPr>
      <w:rFonts w:ascii="Arial" w:hAnsi="Arial"/>
      <w:b/>
      <w:bCs/>
      <w:kern w:val="28"/>
      <w:sz w:val="32"/>
      <w:szCs w:val="32"/>
    </w:rPr>
  </w:style>
  <w:style w:type="paragraph" w:styleId="ListNumber5">
    <w:name w:val="List Number 5"/>
    <w:basedOn w:val="Normal"/>
    <w:pPr>
      <w:tabs>
        <w:tab w:val="left" w:pos="780"/>
        <w:tab w:val="left" w:pos="1200"/>
      </w:tabs>
      <w:ind w:left="780" w:hanging="360"/>
    </w:pPr>
    <w:rPr>
      <w:rFonts w:ascii="Calibri" w:hAnsi="Calibri"/>
    </w:rPr>
  </w:style>
  <w:style w:type="paragraph" w:styleId="FootnoteText">
    <w:name w:val="footnote text"/>
    <w:basedOn w:val="Normal"/>
    <w:pPr>
      <w:snapToGrid w:val="0"/>
      <w:jc w:val="left"/>
    </w:pPr>
    <w:rPr>
      <w:rFonts w:ascii="Calibri" w:hAnsi="Calibri"/>
      <w:sz w:val="18"/>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28"/>
      </w:numPr>
      <w:ind w:left="0" w:firstLine="570"/>
    </w:pPr>
    <w:rPr>
      <w:sz w:val="28"/>
    </w:rPr>
  </w:style>
  <w:style w:type="paragraph" w:styleId="Index9">
    <w:name w:val="index 9"/>
    <w:basedOn w:val="Normal"/>
    <w:next w:val="Normal"/>
    <w:pPr>
      <w:ind w:left="1600" w:leftChars="1600"/>
    </w:pPr>
    <w:rPr>
      <w:rFonts w:ascii="Calibri" w:hAnsi="Calibri"/>
      <w:szCs w:val="20"/>
    </w:rPr>
  </w:style>
  <w:style w:type="paragraph" w:styleId="TableofFigures">
    <w:name w:val="table of figures"/>
    <w:basedOn w:val="Normal"/>
    <w:next w:val="Normal"/>
    <w:pPr>
      <w:ind w:left="400" w:hanging="200" w:leftChars="200" w:hangingChars="200"/>
    </w:p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style>
  <w:style w:type="paragraph" w:styleId="ListContinue2">
    <w:name w:val="List Continue 2"/>
    <w:basedOn w:val="Normal"/>
    <w:pPr>
      <w:spacing w:after="120"/>
      <w:ind w:left="840"/>
    </w:pPr>
    <w:rPr>
      <w:rFonts w:ascii="Calibri" w:hAnsi="Calibri"/>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rPr>
  </w:style>
  <w:style w:type="paragraph" w:styleId="NormalWeb">
    <w:name w:val="Normal (Web)"/>
    <w:next w:val="10"/>
    <w:pPr>
      <w:widowControl w:val="0"/>
      <w:spacing w:before="100" w:beforeAutospacing="1" w:after="100" w:afterAutospacing="1"/>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hAnsi="Calibri"/>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rPr>
  </w:style>
  <w:style w:type="paragraph" w:styleId="BodyTextFirstIndent">
    <w:name w:val="Body Text First Indent"/>
    <w:basedOn w:val="BodyText"/>
    <w:pPr>
      <w:spacing w:after="120"/>
      <w:ind w:firstLine="100" w:firstLineChars="100"/>
    </w:pPr>
    <w:rPr>
      <w:rFonts w:cs="Arial"/>
      <w:sz w:val="21"/>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
    <w:name w:val="h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
    <w:name w:val="标题 4 Char1 Char"/>
    <w:rPr>
      <w:rFonts w:ascii="Arial" w:eastAsia="黑体" w:hAnsi="Arial"/>
      <w:b/>
      <w:bCs/>
      <w:kern w:val="2"/>
      <w:sz w:val="28"/>
      <w:lang w:val="en-US" w:eastAsia="zh-CN"/>
    </w:rPr>
  </w:style>
  <w:style w:type="character" w:customStyle="1" w:styleId="Char">
    <w:name w:val="正文文本缩进 Char"/>
    <w:rPr>
      <w:rFonts w:eastAsia="宋体"/>
      <w:kern w:val="2"/>
      <w:sz w:val="32"/>
      <w:lang w:val="en-US" w:eastAsia="zh-CN"/>
    </w:rPr>
  </w:style>
  <w:style w:type="character" w:customStyle="1" w:styleId="Char1">
    <w:name w:val="纯文本 Char1"/>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zh-CN" w:bidi="ar-SA"/>
    </w:rPr>
  </w:style>
  <w:style w:type="paragraph" w:customStyle="1" w:styleId="3">
    <w:name w:val="样式 3 "/>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sz w:val="20"/>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sz w:val="24"/>
      <w:szCs w:val="20"/>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hAnsi="Calibri" w:cs="宋体"/>
      <w:sz w:val="24"/>
      <w:szCs w:val="20"/>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29"/>
      </w:numPr>
      <w:spacing w:after="160" w:line="240" w:lineRule="exact"/>
      <w:ind w:left="0" w:firstLine="0"/>
      <w:jc w:val="left"/>
    </w:pPr>
    <w:rPr>
      <w:rFonts w:ascii="Verdana" w:hAnsi="Verdana"/>
      <w:sz w:val="20"/>
      <w:szCs w:val="20"/>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hAnsi="Calibri"/>
      <w:sz w:val="28"/>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0">
    <w:name w:val="Char1"/>
    <w:basedOn w:val="Normal"/>
    <w:pPr>
      <w:tabs>
        <w:tab w:val="left" w:pos="360"/>
      </w:tabs>
    </w:pPr>
    <w:rPr>
      <w:rFonts w:ascii="Calibri" w:hAnsi="Calibri"/>
      <w:sz w:val="24"/>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zh-CN" w:bidi="ar-SA"/>
    </w:rPr>
  </w:style>
  <w:style w:type="paragraph" w:customStyle="1" w:styleId="a5">
    <w:name w:val="一级条标题"/>
    <w:basedOn w:val="a4"/>
    <w:next w:val="Normal"/>
    <w:pPr>
      <w:tabs>
        <w:tab w:val="left" w:pos="360"/>
        <w:tab w:val="left" w:pos="840"/>
      </w:tabs>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285"/>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next w:val="124210"/>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30"/>
      </w:numPr>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left"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cs="Courier New"/>
      <w:kern w:val="2"/>
      <w:sz w:val="21"/>
      <w:szCs w:val="21"/>
      <w:lang w:val="en-US" w:eastAsia="zh-CN" w:bidi="ar-SA"/>
    </w:rPr>
  </w:style>
  <w:style w:type="paragraph" w:customStyle="1" w:styleId="61">
    <w:name w:val="纯文本61"/>
    <w:pPr>
      <w:widowControl w:val="0"/>
      <w:jc w:val="both"/>
    </w:pPr>
    <w:rPr>
      <w:rFonts w:ascii="宋体" w:eastAsia="宋体"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numPr>
        <w:ilvl w:val="3"/>
        <w:numId w:val="31"/>
      </w:numPr>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numPr>
        <w:ilvl w:val="0"/>
        <w:numId w:val="32"/>
      </w:numPr>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sz w:val="20"/>
      <w:szCs w:val="20"/>
    </w:rPr>
  </w:style>
  <w:style w:type="paragraph" w:customStyle="1" w:styleId="130">
    <w:name w:val="样式 13 "/>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szCs w:val="21"/>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33"/>
      </w:numPr>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ind w:left="1104"/>
      <w:jc w:val="both"/>
    </w:pPr>
    <w:rPr>
      <w:rFonts w:ascii="宋体" w:eastAsia="宋体" w:cs="Times New Roman"/>
      <w:sz w:val="21"/>
      <w:szCs w:val="21"/>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hAnsi="Calibri"/>
      <w:sz w:val="24"/>
      <w:szCs w:val="20"/>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next w:val="Index8"/>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numPr>
        <w:ilvl w:val="0"/>
        <w:numId w:val="30"/>
      </w:numPr>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hAnsi="Calibri"/>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next w:val="ListNumber"/>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210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82110"/>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hAnsi="Tahoma"/>
      <w:sz w:val="24"/>
      <w:szCs w:val="20"/>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34"/>
      </w:numPr>
      <w:jc w:val="center"/>
    </w:pPr>
    <w:rPr>
      <w:rFonts w:ascii="Arial" w:hAnsi="Arial" w:cs="Arial"/>
      <w:szCs w:val="24"/>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35"/>
      </w:numPr>
      <w:tabs>
        <w:tab w:val="left" w:pos="1440"/>
      </w:tabs>
      <w:spacing w:before="240" w:after="64" w:line="319" w:lineRule="auto"/>
      <w:ind w:left="1440" w:hanging="1440"/>
      <w:jc w:val="left"/>
      <w:outlineLvl w:val="7"/>
    </w:pPr>
    <w:rPr>
      <w:rFonts w:ascii="Arial" w:eastAsia="黑体" w:hAnsi="Arial" w:cs="Arial"/>
      <w:sz w:val="24"/>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551">
    <w:name w:val="纯文本55"/>
    <w:pPr>
      <w:widowControl w:val="0"/>
      <w:jc w:val="both"/>
    </w:pPr>
    <w:rPr>
      <w:rFonts w:ascii="宋体" w:eastAsia="宋体"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36"/>
      </w:numPr>
      <w:tabs>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1453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hAnsi="Calibri"/>
      <w:spacing w:val="20"/>
      <w:sz w:val="24"/>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olor w:val="000000"/>
      <w:sz w:val="20"/>
      <w:szCs w:val="20"/>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zh-CN" w:bidi="ar-SA"/>
    </w:rPr>
  </w:style>
  <w:style w:type="paragraph" w:customStyle="1" w:styleId="11110">
    <w:name w:val="样式 111 10 磅"/>
    <w:next w:val="29110"/>
    <w:pPr>
      <w:widowControl w:val="0"/>
      <w:numPr>
        <w:ilvl w:val="0"/>
        <w:numId w:val="37"/>
      </w:numPr>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left"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hAnsi="Cambria"/>
      <w:b/>
      <w:bCs/>
      <w:sz w:val="28"/>
      <w:szCs w:val="28"/>
    </w:rPr>
  </w:style>
  <w:style w:type="paragraph" w:customStyle="1" w:styleId="503">
    <w:name w:val="标题 5_0"/>
    <w:basedOn w:val="412"/>
    <w:pPr>
      <w:numPr>
        <w:ilvl w:val="4"/>
        <w:numId w:val="35"/>
      </w:numPr>
      <w:tabs>
        <w:tab w:val="left" w:pos="2660"/>
      </w:tabs>
      <w:spacing w:before="156" w:after="156" w:line="240" w:lineRule="exact"/>
      <w:outlineLvl w:val="4"/>
    </w:pPr>
    <w:rPr>
      <w:rFonts w:ascii="Arial" w:eastAsia="方正黑体_GBK" w:hAnsi="Arial" w:cs="Arial"/>
      <w:b w:val="0"/>
      <w:bCs w:val="0"/>
      <w:sz w:val="24"/>
      <w:szCs w:val="20"/>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sz w:val="20"/>
      <w:szCs w:val="20"/>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numPr>
        <w:ilvl w:val="0"/>
        <w:numId w:val="38"/>
      </w:numPr>
      <w:spacing w:before="240" w:line="400" w:lineRule="exact"/>
      <w:ind w:left="0" w:firstLine="357"/>
    </w:pPr>
    <w:rPr>
      <w:sz w:val="28"/>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ind w:left="578" w:hanging="578"/>
      <w:jc w:val="left"/>
    </w:pPr>
    <w:rPr>
      <w:bCs/>
      <w:sz w:val="28"/>
      <w:szCs w:val="32"/>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685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zh-CN" w:bidi="ar-SA"/>
    </w:rPr>
  </w:style>
  <w:style w:type="paragraph" w:customStyle="1" w:styleId="35">
    <w:name w:val="纯文本35"/>
    <w:pPr>
      <w:widowControl w:val="0"/>
      <w:jc w:val="both"/>
    </w:pPr>
    <w:rPr>
      <w:rFonts w:ascii="宋体" w:eastAsia="宋体"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rPr>
  </w:style>
  <w:style w:type="paragraph" w:customStyle="1" w:styleId="119">
    <w:name w:val="正文缩进_1"/>
    <w:basedOn w:val="51"/>
    <w:pPr>
      <w:ind w:firstLine="420"/>
    </w:p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spacing w:val="20"/>
      <w:szCs w:val="20"/>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numPr>
        <w:ilvl w:val="0"/>
        <w:numId w:val="39"/>
      </w:numPr>
      <w:tabs>
        <w:tab w:val="left" w:pos="4080"/>
      </w:tabs>
      <w:jc w:val="both"/>
    </w:pPr>
    <w:rPr>
      <w:rFonts w:ascii="宋体" w:eastAsia="宋体"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sz w:val="36"/>
      <w:szCs w:val="36"/>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ind w:right="680"/>
    </w:pPr>
    <w:rPr>
      <w:rFonts w:cs="宋体"/>
      <w:bCs/>
      <w:szCs w:val="32"/>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hAnsi="Arial"/>
      <w:sz w:val="28"/>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sz w:val="24"/>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29"/>
      </w:numPr>
      <w:ind w:left="0" w:firstLine="0"/>
    </w:pPr>
    <w:rPr>
      <w:rFonts w:ascii="Tahoma" w:hAnsi="Tahom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b/>
      <w:sz w:val="28"/>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42210"/>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300"/>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color w:val="000000"/>
      <w:sz w:val="28"/>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sz w:val="24"/>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tabs>
        <w:tab w:val="center" w:pos="4153"/>
        <w:tab w:val="right" w:pos="8306"/>
      </w:tabs>
      <w:snapToGrid w:val="0"/>
    </w:pPr>
    <w:rPr>
      <w:rFonts w:ascii="Times New Roman" w:eastAsia="宋体" w:hAnsi="Times New Roman" w:cs="Times New Roman"/>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40"/>
      </w:numPr>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59110"/>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cs="宋体"/>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cs="Times New Roman"/>
      <w:kern w:val="2"/>
      <w:sz w:val="21"/>
      <w:szCs w:val="21"/>
      <w:lang w:val="en-US" w:eastAsia="zh-CN" w:bidi="ar-SA"/>
    </w:rPr>
  </w:style>
  <w:style w:type="paragraph" w:customStyle="1" w:styleId="970">
    <w:name w:val="纯文本97"/>
    <w:pPr>
      <w:widowControl w:val="0"/>
      <w:jc w:val="both"/>
    </w:pPr>
    <w:rPr>
      <w:rFonts w:ascii="宋体" w:eastAsia="宋体"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numPr>
        <w:ilvl w:val="0"/>
        <w:numId w:val="30"/>
      </w:numPr>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109"/>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hAnsi="Calibri"/>
      <w:sz w:val="24"/>
      <w:szCs w:val="20"/>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b w:val="0"/>
      <w:sz w:val="28"/>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30"/>
      </w:numPr>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41"/>
      </w:numPr>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hAnsi="Calibri"/>
      <w:sz w:val="36"/>
      <w:szCs w:val="36"/>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numPr>
        <w:ilvl w:val="0"/>
        <w:numId w:val="30"/>
      </w:numPr>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numPr>
        <w:ilvl w:val="0"/>
        <w:numId w:val="30"/>
      </w:numPr>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356"/>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30"/>
      </w:numPr>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20"/>
      <w:szCs w:val="20"/>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b/>
      <w:bCs/>
      <w:color w:val="000000"/>
      <w:sz w:val="20"/>
      <w:szCs w:val="20"/>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rPr>
  </w:style>
  <w:style w:type="paragraph" w:customStyle="1" w:styleId="5550">
    <w:name w:val="样式 样式 标题 5 + 段前: 5 磅 段后: 5 磅 行距: 单倍行距 + 五号"/>
    <w:basedOn w:val="555"/>
    <w:pPr>
      <w:tabs>
        <w:tab w:val="left" w:pos="210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cs="宋体"/>
      <w:b/>
      <w:bCs/>
      <w:color w:val="000000"/>
      <w:sz w:val="18"/>
      <w:szCs w:val="18"/>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tabs>
        <w:tab w:val="center" w:pos="4153"/>
        <w:tab w:val="right" w:pos="8306"/>
      </w:tabs>
      <w:snapToGrid w:val="0"/>
    </w:pPr>
    <w:rPr>
      <w:rFonts w:ascii="Times New Roman" w:eastAsia="宋体" w:hAnsi="Times New Roman" w:cs="Times New Roman"/>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41"/>
      </w:numPr>
      <w:tabs>
        <w:tab w:val="left" w:pos="113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hAnsi="Calibri"/>
      <w:sz w:val="24"/>
      <w:szCs w:val="20"/>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hAnsi="Tahoma"/>
      <w:sz w:val="24"/>
      <w:szCs w:val="20"/>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hAnsi="Calibri"/>
      <w:sz w:val="16"/>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30"/>
      </w:numPr>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sz w:val="20"/>
      <w:szCs w:val="20"/>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30"/>
      </w:numPr>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numPr>
        <w:ilvl w:val="0"/>
        <w:numId w:val="30"/>
      </w:numPr>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zh-CN" w:bidi="ar-SA"/>
    </w:rPr>
  </w:style>
  <w:style w:type="paragraph" w:customStyle="1" w:styleId="45410">
    <w:name w:val="样式 454 10 磅"/>
    <w:next w:val="169"/>
    <w:pPr>
      <w:widowControl w:val="0"/>
      <w:numPr>
        <w:ilvl w:val="0"/>
        <w:numId w:val="30"/>
      </w:numPr>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22"/>
    <w:pPr>
      <w:widowControl w:val="0"/>
      <w:jc w:val="both"/>
    </w:pPr>
    <w:rPr>
      <w:rFonts w:ascii="Times New Roman" w:eastAsia="宋体" w:hAnsi="Times New Roman" w:cs="Times New Roman"/>
      <w:kern w:val="2"/>
      <w:sz w:val="21"/>
      <w:szCs w:val="20"/>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hAnsi="Tahoma"/>
      <w:sz w:val="24"/>
      <w:szCs w:val="20"/>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rPr>
  </w:style>
  <w:style w:type="paragraph" w:customStyle="1" w:styleId="45310">
    <w:name w:val="样式 453 10 磅"/>
    <w:next w:val="1116"/>
    <w:pPr>
      <w:widowControl w:val="0"/>
      <w:numPr>
        <w:ilvl w:val="0"/>
        <w:numId w:val="30"/>
      </w:numPr>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vanish/>
      <w:sz w:val="16"/>
      <w:szCs w:val="16"/>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numPr>
        <w:ilvl w:val="0"/>
        <w:numId w:val="42"/>
      </w:numPr>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ind w:left="1140" w:hanging="720"/>
    </w:pPr>
    <w:rPr>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40"/>
      </w:numPr>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olor w:val="000000"/>
      <w:sz w:val="22"/>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cs="Courier New"/>
      <w:kern w:val="2"/>
      <w:sz w:val="21"/>
      <w:szCs w:val="21"/>
      <w:lang w:val="en-US" w:eastAsia="zh-CN" w:bidi="ar-SA"/>
    </w:rPr>
  </w:style>
  <w:style w:type="paragraph" w:customStyle="1" w:styleId="75100">
    <w:name w:val="样式 75 10 磅"/>
    <w:next w:val="407"/>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sz w:val="28"/>
      <w:szCs w:val="20"/>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numPr>
        <w:ilvl w:val="0"/>
        <w:numId w:val="30"/>
      </w:numPr>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hAnsi="Calibri" w:cs="宋体"/>
      <w:sz w:val="24"/>
      <w:szCs w:val="20"/>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hAnsi="Calibri"/>
      <w:sz w:val="24"/>
      <w:szCs w:val="20"/>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7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vanish/>
      <w:sz w:val="16"/>
      <w:szCs w:val="16"/>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olor w:val="000000"/>
      <w:sz w:val="20"/>
      <w:szCs w:val="20"/>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numPr>
        <w:ilvl w:val="0"/>
        <w:numId w:val="43"/>
      </w:numPr>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hAnsi="Calibri" w:cs="宋体"/>
      <w:color w:val="000000"/>
      <w:sz w:val="24"/>
      <w:szCs w:val="20"/>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0">
    <w:name w:val="Char"/>
    <w:basedOn w:val="Normal"/>
    <w:pPr>
      <w:widowControl/>
      <w:spacing w:after="160" w:line="240" w:lineRule="exact"/>
    </w:pPr>
    <w:rPr>
      <w:rFonts w:ascii="Verdana" w:hAnsi="Verdana"/>
      <w:sz w:val="20"/>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hAnsi="Calibri"/>
      <w:sz w:val="28"/>
      <w:szCs w:val="20"/>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30"/>
      </w:numPr>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1988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TOC9"/>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0"/>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30"/>
      </w:numPr>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numPr>
        <w:ilvl w:val="0"/>
        <w:numId w:val="30"/>
      </w:numPr>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numPr>
        <w:ilvl w:val="0"/>
        <w:numId w:val="30"/>
      </w:numPr>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hAnsi="Calibri"/>
      <w:sz w:val="20"/>
      <w:szCs w:val="20"/>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23"/>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hAnsi="Calibri"/>
      <w:sz w:val="24"/>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cs="宋体"/>
      <w:sz w:val="20"/>
      <w:szCs w:val="20"/>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b/>
      <w:bCs/>
      <w:color w:val="000000"/>
      <w:sz w:val="20"/>
      <w:szCs w:val="20"/>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numPr>
        <w:ilvl w:val="0"/>
        <w:numId w:val="30"/>
      </w:numPr>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30"/>
      </w:numPr>
      <w:jc w:val="both"/>
    </w:pPr>
    <w:rPr>
      <w:rFonts w:ascii="宋体" w:eastAsia="宋体" w:cs="Times New Roman"/>
      <w:kern w:val="2"/>
      <w:sz w:val="21"/>
      <w:szCs w:val="21"/>
      <w:lang w:val="en-US" w:eastAsia="zh-CN" w:bidi="ar-SA"/>
    </w:rPr>
  </w:style>
  <w:style w:type="paragraph" w:customStyle="1" w:styleId="7410">
    <w:name w:val="样式 74 10 磅"/>
    <w:next w:val="383"/>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numPr>
        <w:ilvl w:val="0"/>
        <w:numId w:val="44"/>
      </w:numPr>
      <w:spacing w:line="180" w:lineRule="atLeast"/>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sz w:val="28"/>
      <w:szCs w:val="20"/>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30"/>
      </w:numPr>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zh-CN" w:bidi="ar-SA"/>
    </w:rPr>
  </w:style>
  <w:style w:type="paragraph" w:customStyle="1" w:styleId="10611">
    <w:name w:val="纯文本106"/>
    <w:pPr>
      <w:widowControl w:val="0"/>
      <w:jc w:val="both"/>
    </w:pPr>
    <w:rPr>
      <w:rFonts w:ascii="宋体" w:eastAsia="宋体"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63"/>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hAnsi="Calibri"/>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40"/>
      </w:numPr>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30"/>
      </w:numPr>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sz w:val="18"/>
      <w:szCs w:val="18"/>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28</TotalTime>
  <Pages>124</Pages>
  <Words>65964</Words>
  <Characters>67839</Characters>
  <Application>Microsoft Office Word</Application>
  <DocSecurity>0</DocSecurity>
  <Lines>5618</Lines>
  <Paragraphs>2042</Paragraphs>
  <ScaleCrop>false</ScaleCrop>
  <Company>ms</Company>
  <LinksUpToDate>false</LinksUpToDate>
  <CharactersWithSpaces>69846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2</cp:revision>
  <cp:lastPrinted>2020-06-24T09:06:00Z</cp:lastPrinted>
  <dcterms:created xsi:type="dcterms:W3CDTF">2024-09-24T07:56:00Z</dcterms:created>
  <dcterms:modified xsi:type="dcterms:W3CDTF">2024-09-26T00:42:52Z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59225FF585F14E77BFC7FD6C0820C670_13</vt:lpwstr>
  </property>
  <property fmtid="{D5CDD505-2E9C-101B-9397-08002B2CF9AE}" pid="3" name="KSOProductBuildVer">
    <vt:lpwstr>2052-12.1.0.18240</vt:lpwstr>
  </property>
  <property fmtid="{D5CDD505-2E9C-101B-9397-08002B2CF9AE}" pid="4"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5"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