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CG2025-WT-GK-FW-055</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海口海关2025年海关智慧监管平台海南自贸港应用软件项目（二期）采购项目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2025年08月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24</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海口海关2025年海关智慧监管平台海南自贸港应用软件项目（二期）采购项目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CG2025-WT-GK-FW-055</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海口海关2025年海关智慧监管平台海南自贸港应用软件项目（二期）采购项目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本项目预算金额合计总金额人民币4,114,000.00元，其中包1人民币4,114,000.00元。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Grid"/>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hRule="auto" w:val="0"/>
          <w:jc w:val="center"/>
        </w:trPr>
        <w:tc>
          <w:tcPr>
            <w:tcW w:w="985" w:type="dxa"/>
            <w:vAlign w:val="top"/>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vAlign w:val="top"/>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vAlign w:val="top"/>
          </w:tcPr>
          <w:p>
            <w:pPr>
              <w:spacing w:after="120" w:line="240" w:lineRule="auto"/>
              <w:rPr>
                <w:rFonts w:ascii="宋体" w:hint="default"/>
                <w:b/>
                <w:color w:val="0000FF"/>
                <w:sz w:val="24"/>
                <w:highlight w:val="white"/>
              </w:rPr>
            </w:pPr>
            <w:bookmarkStart w:id="11" w:name="货物一览表_goodsName"/>
            <w:r>
              <w:rPr>
                <w:rFonts w:ascii="宋体" w:hint="eastAsia"/>
                <w:b/>
                <w:color w:val="0000FF"/>
                <w:sz w:val="24"/>
                <w:szCs w:val="24"/>
                <w:highlight w:val="white"/>
                <w:lang w:val="en-US" w:eastAsia="zh-CN"/>
              </w:rPr>
              <w:t>服务内容</w:t>
            </w:r>
            <w:bookmarkEnd w:id="11"/>
          </w:p>
        </w:tc>
        <w:tc>
          <w:tcPr>
            <w:tcW w:w="787" w:type="dxa"/>
            <w:vAlign w:val="top"/>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vAlign w:val="top"/>
          </w:tcPr>
          <w:p>
            <w:pPr>
              <w:spacing w:after="120" w:line="240" w:lineRule="auto"/>
              <w:rPr>
                <w:rFonts w:ascii="宋体" w:hint="default"/>
                <w:b/>
                <w:color w:val="0000FF"/>
                <w:sz w:val="24"/>
                <w:highlight w:val="white"/>
              </w:rPr>
            </w:pPr>
            <w:bookmarkStart w:id="13" w:name="货物一览表_deliveryDate"/>
            <w:r>
              <w:rPr>
                <w:rFonts w:ascii="宋体" w:hint="eastAsia"/>
                <w:b/>
                <w:color w:val="0000FF"/>
                <w:sz w:val="24"/>
                <w:highlight w:val="white"/>
                <w:lang w:val="en-US" w:eastAsia="zh-CN"/>
              </w:rPr>
              <w:t>服务完成时间及节点要求</w:t>
            </w:r>
            <w:bookmarkEnd w:id="13"/>
          </w:p>
        </w:tc>
        <w:tc>
          <w:tcPr>
            <w:tcW w:w="1296" w:type="dxa"/>
            <w:vAlign w:val="top"/>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252" w:type="dxa"/>
            <w:vAlign w:val="top"/>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hint="default"/>
                <w:b/>
                <w:color w:val="0000FF"/>
                <w:sz w:val="24"/>
                <w:highlight w:val="white"/>
              </w:rPr>
            </w:pPr>
            <w:r>
              <w:t>海关智慧监管平台海南自贸港应用软件项目（二期）</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hint="default"/>
                <w:b/>
                <w:color w:val="0000FF"/>
                <w:sz w:val="24"/>
                <w:highlight w:val="white"/>
              </w:rPr>
            </w:pPr>
            <w:r>
              <w:t>签订合同后3个月内</w:t>
            </w:r>
          </w:p>
        </w:tc>
        <w:tc>
          <w:tcPr>
            <w:tcW w:w="1296" w:type="dxa"/>
            <w:vAlign w:val="center"/>
          </w:tcPr>
          <w:p>
            <w:pPr>
              <w:spacing w:after="120" w:line="240" w:lineRule="auto"/>
              <w:rPr>
                <w:rFonts w:ascii="宋体"/>
                <w:b/>
                <w:color w:val="0000FF"/>
                <w:sz w:val="24"/>
                <w:highlight w:val="white"/>
              </w:rPr>
            </w:pPr>
            <w:r>
              <w:t>海关指定地点</w:t>
            </w:r>
          </w:p>
        </w:tc>
        <w:tc>
          <w:tcPr>
            <w:tcW w:w="1252" w:type="dxa"/>
            <w:vAlign w:val="center"/>
          </w:tcPr>
          <w:p>
            <w:pPr>
              <w:spacing w:after="120" w:line="240" w:lineRule="auto"/>
              <w:rPr>
                <w:rFonts w:ascii="宋体" w:hint="eastAsia"/>
                <w:b/>
                <w:color w:val="0000FF"/>
                <w:sz w:val="24"/>
                <w:highlight w:val="white"/>
              </w:rPr>
            </w:pPr>
            <w:r>
              <w:t>详见招标文件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_0"/>
      <w:r>
        <w:rPr>
          <w:rFonts w:ascii="宋体" w:hint="eastAsia"/>
          <w:b/>
          <w:bCs/>
          <w:color w:val="0000FF"/>
          <w:sz w:val="24"/>
          <w:highlight w:val="none"/>
        </w:rPr>
        <w:t>软件和信息技术服务业</w:t>
      </w:r>
      <w:bookmarkEnd w:id="1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2025-08-20 00:00:00</w:t>
      </w:r>
      <w:bookmarkEnd w:id="19"/>
      <w:r>
        <w:rPr>
          <w:rFonts w:ascii="宋体" w:hint="eastAsia"/>
          <w:sz w:val="24"/>
        </w:rPr>
        <w:t>至</w:t>
      </w:r>
      <w:bookmarkStart w:id="20" w:name="公告_signUpLastTime"/>
      <w:r>
        <w:rPr>
          <w:rFonts w:ascii="宋体" w:hint="eastAsia"/>
          <w:sz w:val="24"/>
        </w:rPr>
        <w:t>2025-08-27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2025-09-10 08:45:00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22" w:name="项目公告_openBidTime"/>
      <w:r>
        <w:rPr>
          <w:rFonts w:ascii="宋体" w:hint="eastAsia"/>
          <w:b/>
          <w:bCs/>
          <w:sz w:val="24"/>
        </w:rPr>
        <w:t>2025-09-10 08:45:00</w:t>
      </w:r>
      <w:bookmarkEnd w:id="2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2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010-65194937（业务咨询）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2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25" w:name="任务单_publicDate"/>
      <w:r>
        <w:rPr>
          <w:rFonts w:ascii="宋体" w:hint="eastAsia"/>
          <w:b/>
          <w:sz w:val="24"/>
          <w:highlight w:val="white"/>
        </w:rPr>
        <w:t>于2025-01-27</w:t>
      </w:r>
      <w:bookmarkEnd w:id="2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海口海关</w:t>
            </w:r>
            <w:bookmarkEnd w:id="27"/>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color w:val="0000FF"/>
                <w:sz w:val="24"/>
                <w:lang w:bidi="ar-SA"/>
              </w:rPr>
              <w:t>本项目预算金额合计总金额人民币4,114,000.00元，其中包1人民币4,114,000.00元。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4,114,000.00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30" w:name="投标须知_agentBidding"/>
            <w:r>
              <w:rPr>
                <w:rFonts w:ascii="宋体" w:cs="微软雅黑" w:hint="eastAsia"/>
                <w:color w:val="0000FF"/>
                <w:sz w:val="24"/>
                <w:lang w:bidi="ar-SA"/>
              </w:rPr>
              <w:t>否</w:t>
            </w:r>
            <w:bookmarkEnd w:id="3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31" w:name="投标人须知_canUnion"/>
            <w:r>
              <w:rPr>
                <w:rFonts w:ascii="宋体" w:cs="微软雅黑" w:hint="eastAsia"/>
                <w:bCs/>
                <w:color w:val="0000FF"/>
                <w:sz w:val="24"/>
                <w:lang w:bidi="ar-SA"/>
              </w:rPr>
              <w:t>否</w:t>
            </w:r>
            <w:bookmarkEnd w:id="3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2" w:name="采购任务单_purchaserOrgName_1"/>
      <w:r>
        <w:rPr>
          <w:rFonts w:ascii="宋体" w:hint="eastAsia"/>
          <w:color w:val="0000FF"/>
          <w:sz w:val="24"/>
          <w:lang w:val="en-US" w:eastAsia="zh-CN"/>
        </w:rPr>
        <w:t>海口海关</w:t>
      </w:r>
      <w:bookmarkEnd w:id="32"/>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3"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（3）投标人提供2022年9月1日至本项目招标公告发布之日止（以合同签订日期为准）同类开发服务项目业绩相关材料。（具体要求详见评审标准，加盖投标人电子签章）。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（4）证明投标人满足投标人资格标准的其他必要资格证明文件（如有）（加盖投标人电子签章）。</w:t>
      </w:r>
      <w:bookmarkEnd w:id="33"/>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4" w:name="技术应答文件"/>
      <w:r>
        <w:rPr>
          <w:rFonts w:ascii="Times New Roman" w:hAnsi="Times New Roman" w:hint="eastAsia"/>
          <w:color w:val="0000FF"/>
          <w:kern w:val="0"/>
          <w:sz w:val="24"/>
          <w:szCs w:val="21"/>
          <w:highlight w:val="white"/>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（2）投标人需提供需求理解分析、总体技术方案、集成方案、培训方案、实施方案，具体要求见第四部分评审标准要求（加盖投标人电子签章）。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（3）投标人认为应该提供的其他证明材料（如有）（加盖投标人电子签章）。</w:t>
      </w:r>
      <w:bookmarkEnd w:id="34"/>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35" w:name="服务应答文件服务应答文件"/>
      <w:r>
        <w:rPr>
          <w:rFonts w:ascii="Times New Roman" w:hAnsi="Times New Roman" w:hint="eastAsia"/>
          <w:color w:val="0000FF"/>
          <w:kern w:val="0"/>
          <w:sz w:val="24"/>
          <w:szCs w:val="21"/>
          <w:highlight w:val="white"/>
        </w:rPr>
        <w:t>（1）投标人需提供售后服务方案，具体要求见第四部分评审标准要求（加盖投标人电子签章）。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提供团队服务人员名单（包括项目履历、在本项目担任的角色等）、提供投标截止前6个月内任意一个月的社保证明材料或劳动合同等证明材料（未提供的不予认定），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35"/>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6" w:name="_Toc65406665"/>
      <w:r>
        <w:rPr>
          <w:rFonts w:hint="eastAsia"/>
          <w:lang w:val="en-US" w:eastAsia="zh-CN"/>
        </w:rPr>
        <w:t>第三部分  项目需求书</w:t>
      </w:r>
      <w:bookmarkEnd w:id="36"/>
    </w:p>
    <w:p>
      <w:pPr>
        <w:rPr>
          <w:highlight w:val="white"/>
        </w:rPr>
      </w:pPr>
    </w:p>
    <w:p>
      <w:pPr>
        <w:rPr>
          <w:highlight w:val="white"/>
        </w:rPr>
      </w:pPr>
    </w:p>
    <w:p>
      <w:pPr>
        <w:tabs>
          <w:tab w:val="left" w:pos="709"/>
        </w:tabs>
      </w:pPr>
      <w:bookmarkStart w:id="37" w:name="插入_采购需求书"/>
    </w:p>
    <w:p>
      <w:pPr>
        <w:pStyle w:val="Heading2"/>
        <w:numPr>
          <w:ilvl w:val="0"/>
          <w:numId w:val="2"/>
        </w:numPr>
      </w:pPr>
      <w:r>
        <w:t>项目有关说明</w:t>
      </w:r>
    </w:p>
    <w:p>
      <w:r>
        <w:rPr>
          <w:rFonts w:cs="宋体"/>
        </w:rPr>
        <w:t>1.</w:t>
      </w:r>
      <w:r>
        <w:rPr>
          <w:rFonts w:cs="宋体" w:hint="eastAsia"/>
        </w:rPr>
        <w:t>行业类型（必填项）：</w:t>
      </w:r>
      <w:bookmarkStart w:id="38" w:name="公告_industryType"/>
      <w:r>
        <w:rPr>
          <w:rFonts w:cs="宋体" w:hint="eastAsia"/>
          <w:u w:val="single"/>
        </w:rPr>
        <w:t>软件和信息技术服务业</w:t>
      </w:r>
      <w:bookmarkEnd w:id="38"/>
      <w:r>
        <w:rPr>
          <w:rFonts w:hint="eastAsia"/>
        </w:rPr>
        <w:t xml:space="preserve">                                           </w:t>
      </w:r>
    </w:p>
    <w:p>
      <w:r>
        <w:rPr>
          <w:rFonts w:cs="方正仿宋_GBK" w:hint="eastAsia"/>
        </w:rPr>
        <w:t>注：行业类型依据工业和信息化部等主管部门印发的《中小企业划型标准规定》（工信部联企业〔2011〕300号），参考《国民经济行业分类注释》（国家统计局2017年），如工业、建筑业、其他未列明行业等。</w:t>
      </w:r>
    </w:p>
    <w:p>
      <w:pPr>
        <w:rPr>
          <w:rFonts w:cs="方正仿宋_GBK"/>
        </w:rPr>
      </w:pPr>
      <w:r>
        <w:rPr>
          <w:rFonts w:cs="方正仿宋_GBK" w:hint="eastAsia"/>
        </w:rPr>
        <w:t>2.项目立项审核</w:t>
      </w:r>
      <w:r>
        <w:rPr>
          <w:rFonts w:cs="方正仿宋_GBK"/>
        </w:rPr>
        <w:t>情况</w:t>
      </w:r>
    </w:p>
    <w:p>
      <w:pPr>
        <w:rPr>
          <w:rFonts w:cs="方正仿宋_GBK"/>
        </w:rPr>
      </w:pPr>
      <w:r>
        <w:rPr>
          <w:rFonts w:cs="方正仿宋_GBK"/>
        </w:rPr>
        <w:t>本项目  是 属于新建、改建或者采用购买服务方式的政务应用程序项目。如果否，请删除以下内容。如果是，请对应勾选以下内容：</w:t>
      </w:r>
    </w:p>
    <w:p>
      <w:pPr>
        <w:numPr>
          <w:ilvl w:val="0"/>
          <w:numId w:val="3"/>
        </w:numPr>
        <w:spacing w:line="360" w:lineRule="auto"/>
      </w:pPr>
      <w:r>
        <w:rPr>
          <w:rFonts w:cs="方正仿宋_GBK"/>
        </w:rPr>
        <w:t>是否纳入信息化项目审批范围。</w:t>
      </w:r>
      <w:r>
        <w:rPr>
          <w:rFonts w:cs="方正仿宋_GBK" w:hint="eastAsia"/>
        </w:rPr>
        <w:t>☑</w:t>
      </w:r>
      <w:r>
        <w:rPr>
          <w:rFonts w:ascii="宋体" w:eastAsia="宋体" w:cs="方正仿宋_GBK" w:hint="eastAsia"/>
          <w:kern w:val="2"/>
        </w:rPr>
        <w:t>☑</w:t>
      </w:r>
      <w:r>
        <w:rPr>
          <w:rFonts w:cs="方正仿宋_GBK"/>
        </w:rPr>
        <w:t xml:space="preserve">是  </w:t>
      </w:r>
      <w:r>
        <w:rPr>
          <w:rFonts w:cs="方正仿宋_GBK" w:hint="eastAsia"/>
        </w:rPr>
        <w:t>□</w:t>
      </w:r>
      <w:r>
        <w:rPr>
          <w:rFonts w:cs="方正仿宋_GBK"/>
        </w:rPr>
        <w:t>否</w:t>
      </w:r>
    </w:p>
    <w:p>
      <w:pPr>
        <w:pStyle w:val="544"/>
        <w:ind w:firstLine="0"/>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pStyle w:val="56"/>
        <w:ind w:firstLine="0"/>
        <w:rPr>
          <w:rFonts w:ascii="宋体" w:eastAsia="宋体" w:cs="方正仿宋_GBK"/>
          <w:kern w:val="2"/>
        </w:rPr>
      </w:pPr>
      <w:r>
        <w:rPr>
          <w:rFonts w:ascii="宋体" w:eastAsia="宋体" w:cs="方正仿宋_GBK"/>
          <w:kern w:val="2"/>
        </w:rPr>
        <w:t>（3）是否与已有政务应用程序存在功能交叉重复。</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57"/>
        <w:ind w:firstLine="0"/>
        <w:rPr>
          <w:rFonts w:ascii="宋体" w:eastAsia="宋体" w:cs="方正仿宋_GBK"/>
          <w:kern w:val="2"/>
        </w:rPr>
      </w:pPr>
      <w:r>
        <w:rPr>
          <w:rFonts w:ascii="宋体" w:eastAsia="宋体" w:cs="方正仿宋_GBK"/>
          <w:kern w:val="2"/>
        </w:rPr>
        <w:t>（4）是否能作为功能模块嵌入到已有政务应用程序。</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pStyle w:val="5812"/>
        <w:ind w:firstLine="0"/>
        <w:rPr>
          <w:rFonts w:ascii="宋体" w:eastAsia="宋体" w:cs="方正仿宋_GBK"/>
          <w:kern w:val="2"/>
        </w:rPr>
      </w:pPr>
      <w:r>
        <w:rPr>
          <w:rFonts w:ascii="宋体" w:eastAsia="宋体" w:cs="方正仿宋_GBK"/>
          <w:kern w:val="2"/>
        </w:rPr>
        <w:t>（5）是否能与相关政务应用程序项目进行协同。</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5912"/>
        <w:ind w:firstLine="0"/>
        <w:rPr>
          <w:rFonts w:ascii="宋体" w:eastAsia="宋体" w:cs="方正仿宋_GBK"/>
          <w:kern w:val="2"/>
        </w:rPr>
      </w:pPr>
      <w:r>
        <w:rPr>
          <w:rFonts w:ascii="宋体" w:eastAsia="宋体" w:cs="方正仿宋_GBK"/>
          <w:kern w:val="2"/>
        </w:rPr>
        <w:t>（6）是否满足数据管理和共享要求。</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pStyle w:val="Heading2"/>
        <w:numPr>
          <w:ilvl w:val="0"/>
          <w:numId w:val="2"/>
        </w:numPr>
      </w:pPr>
      <w:r>
        <w:rPr>
          <w:rFonts w:hint="eastAsia"/>
        </w:rPr>
        <w:t>采购政策落实</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ascii="宋体" w:cs="Calibri"/>
                <w:b/>
              </w:rPr>
            </w:pPr>
            <w:r>
              <w:rPr>
                <w:rFonts w:ascii="宋体" w:cs="Calibri" w:hint="eastAsia"/>
                <w:b/>
                <w:sz w:val="24"/>
              </w:rPr>
              <w:t>序</w:t>
            </w:r>
            <w:bookmarkStart w:id="39" w:name="采购政策落实_index"/>
            <w:bookmarkStart w:id="40" w:name="商务需求"/>
            <w:bookmarkEnd w:id="39"/>
            <w:r>
              <w:rPr>
                <w:rFonts w:ascii="宋体" w:cs="Calibri" w:hint="eastAsia"/>
                <w:b/>
                <w:sz w:val="24"/>
              </w:rPr>
              <w:t>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ascii="宋体" w:cs="Calibri"/>
                <w:b/>
              </w:rPr>
            </w:pPr>
            <w:r>
              <w:rPr>
                <w:rFonts w:ascii="宋体" w:cs="Calibri" w:hint="eastAsia"/>
                <w:b/>
                <w:sz w:val="24"/>
              </w:rPr>
              <w:t>说明</w:t>
            </w:r>
          </w:p>
        </w:tc>
      </w:tr>
      <w:tr>
        <w:tblPrEx>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rFonts w:ascii="宋体"/>
                <w:sz w:val="24"/>
              </w:rPr>
            </w:pPr>
            <w:r>
              <w:rPr>
                <w:rFonts w:ascii="宋体" w:hint="eastAsia"/>
                <w:sz w:val="24"/>
              </w:rPr>
              <w:t>是否面向中小企业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rFonts w:ascii="宋体"/>
                <w:sz w:val="24"/>
              </w:rPr>
            </w:pPr>
            <w:r>
              <w:rPr>
                <w:rFonts w:ascii="宋体" w:hint="eastAsia"/>
                <w:sz w:val="24"/>
              </w:rPr>
              <w:t>是，提供《中小企业声明函》并加盖单位公章</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 w:val="24"/>
              </w:rPr>
            </w:pPr>
            <w:r>
              <w:rPr>
                <w:rFonts w:ascii="宋体" w:hint="eastAsia"/>
                <w:sz w:val="24"/>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 w:val="24"/>
              </w:rPr>
            </w:pPr>
            <w:r>
              <w:rPr>
                <w:rFonts w:ascii="宋体" w:hint="eastAsia"/>
                <w:sz w:val="24"/>
              </w:rPr>
              <w:t>否</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 w:val="24"/>
              </w:rPr>
            </w:pPr>
            <w:r>
              <w:rPr>
                <w:rFonts w:ascii="宋体" w:hint="eastAsia"/>
                <w:sz w:val="24"/>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 w:val="24"/>
              </w:rPr>
            </w:pPr>
            <w:r>
              <w:rPr>
                <w:rFonts w:ascii="宋体" w:hAnsi="宋体" w:hint="eastAsia"/>
                <w:sz w:val="24"/>
              </w:rPr>
              <w:t>否</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 w:val="24"/>
              </w:rPr>
            </w:pPr>
            <w:r>
              <w:rPr>
                <w:rFonts w:ascii="宋体" w:hint="eastAsia"/>
                <w:sz w:val="24"/>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 w:val="24"/>
              </w:rPr>
            </w:pPr>
            <w:r>
              <w:rPr>
                <w:rFonts w:ascii="宋体" w:hint="eastAsia"/>
                <w:sz w:val="24"/>
              </w:rPr>
              <w:t>否</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 w:val="24"/>
              </w:rPr>
            </w:pPr>
            <w:r>
              <w:rPr>
                <w:rFonts w:ascii="宋体" w:hint="eastAsia"/>
                <w:sz w:val="24"/>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 w:val="24"/>
              </w:rPr>
            </w:pPr>
            <w:r>
              <w:rPr>
                <w:rFonts w:ascii="宋体" w:hint="eastAsia"/>
                <w:sz w:val="24"/>
              </w:rPr>
              <w:t>是，提供证明资料，并加盖单位公章</w:t>
            </w:r>
          </w:p>
        </w:tc>
      </w:tr>
      <w:tr>
        <w:tblPrEx>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 w:val="24"/>
              </w:rPr>
            </w:pPr>
            <w:r>
              <w:rPr>
                <w:rFonts w:ascii="宋体" w:hint="eastAsia"/>
                <w:sz w:val="24"/>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 w:val="24"/>
              </w:rPr>
            </w:pPr>
            <w:r>
              <w:rPr>
                <w:rFonts w:ascii="宋体" w:hint="eastAsia"/>
                <w:sz w:val="24"/>
              </w:rPr>
              <w:t>是，提供《残疾人福利性单位声明函》并加盖单位公章</w:t>
            </w:r>
          </w:p>
        </w:tc>
      </w:tr>
    </w:tbl>
    <w:p/>
    <w:p>
      <w:pPr>
        <w:rPr>
          <w:b/>
          <w:bCs/>
          <w:color w:val="000000"/>
        </w:rPr>
      </w:pPr>
      <w:r>
        <w:rPr>
          <w:rFonts w:hint="eastAsia"/>
          <w:color w:val="000000"/>
        </w:rPr>
        <w:t>注：本项目不专门面向中小企业、监狱企业、残疾人企业。</w:t>
      </w:r>
    </w:p>
    <w:p>
      <w:pPr>
        <w:pStyle w:val="BodyText3"/>
      </w:pPr>
    </w:p>
    <w:p>
      <w:pPr>
        <w:pStyle w:val="Heading2"/>
        <w:numPr>
          <w:ilvl w:val="0"/>
          <w:numId w:val="2"/>
        </w:numPr>
      </w:pPr>
      <w:r>
        <w:rPr>
          <w:rFonts w:hint="eastAsia"/>
        </w:rPr>
        <w:t>商务需求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624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jc w:val="center"/>
              <w:rPr>
                <w:rFonts w:cs="Calibri"/>
                <w:b/>
              </w:rPr>
            </w:pPr>
            <w:bookmarkEnd w:id="40"/>
            <w:r>
              <w:rPr>
                <w:rFonts w:cs="Calibri" w:hint="eastAsia"/>
                <w:b/>
                <w:szCs w:val="24"/>
              </w:rPr>
              <w:t>序号</w:t>
            </w:r>
          </w:p>
        </w:tc>
        <w:tc>
          <w:tcPr>
            <w:tcW w:w="1830" w:type="dxa"/>
            <w:shd w:val="clear" w:color="A6A6A6" w:fill="A6A6A6"/>
            <w:vAlign w:val="center"/>
          </w:tcPr>
          <w:p>
            <w:pPr>
              <w:jc w:val="center"/>
              <w:rPr>
                <w:rFonts w:cs="Calibri"/>
                <w:b/>
              </w:rPr>
            </w:pPr>
            <w:r>
              <w:rPr>
                <w:rFonts w:cs="Calibri" w:hint="eastAsia"/>
                <w:b/>
                <w:szCs w:val="24"/>
              </w:rPr>
              <w:t>内容</w:t>
            </w:r>
          </w:p>
        </w:tc>
        <w:tc>
          <w:tcPr>
            <w:tcW w:w="6240" w:type="dxa"/>
            <w:shd w:val="clear" w:color="A6A6A6" w:fill="A6A6A6"/>
            <w:vAlign w:val="center"/>
          </w:tcPr>
          <w:p>
            <w:pPr>
              <w:jc w:val="center"/>
              <w:rPr>
                <w:rFonts w:cs="Calibri"/>
                <w:b/>
              </w:rPr>
            </w:pPr>
            <w:r>
              <w:rPr>
                <w:rFonts w:cs="Calibri" w:hint="eastAsia"/>
                <w:b/>
                <w:szCs w:val="24"/>
              </w:rPr>
              <w:t>说明</w:t>
            </w:r>
          </w:p>
        </w:tc>
      </w:tr>
      <w:tr>
        <w:tblPrEx>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pStyle w:val="2920"/>
              <w:jc w:val="both"/>
              <w:rPr>
                <w:rFonts w:cs="Calibri"/>
                <w:b/>
                <w:szCs w:val="24"/>
              </w:rPr>
            </w:pPr>
            <w:r>
              <w:rPr>
                <w:rFonts w:cs="Calibri" w:hint="eastAsia"/>
                <w:b/>
                <w:szCs w:val="24"/>
              </w:rPr>
              <w:t>1</w:t>
            </w:r>
          </w:p>
        </w:tc>
        <w:tc>
          <w:tcPr>
            <w:tcW w:w="1830" w:type="dxa"/>
            <w:tcBorders>
              <w:top w:val="single" w:sz="4" w:space="0" w:color="auto"/>
              <w:left w:val="single" w:sz="4" w:space="0" w:color="auto"/>
              <w:right w:val="single" w:sz="4" w:space="0" w:color="auto"/>
            </w:tcBorders>
            <w:vAlign w:val="center"/>
          </w:tcPr>
          <w:p>
            <w:pPr>
              <w:pStyle w:val="2920"/>
              <w:jc w:val="both"/>
              <w:rPr>
                <w:rFonts w:cs="Calibri"/>
                <w:b/>
                <w:szCs w:val="24"/>
              </w:rPr>
            </w:pPr>
            <w:r>
              <w:rPr>
                <w:rFonts w:cs="Calibri" w:hint="eastAsia"/>
                <w:b/>
                <w:szCs w:val="24"/>
              </w:rPr>
              <w:t>投标</w:t>
            </w:r>
            <w:r>
              <w:rPr>
                <w:rFonts w:cs="Calibri"/>
                <w:b/>
                <w:szCs w:val="24"/>
              </w:rPr>
              <w:t>人</w:t>
            </w:r>
            <w:r>
              <w:rPr>
                <w:rFonts w:cs="Calibri" w:hint="eastAsia"/>
                <w:b/>
                <w:szCs w:val="24"/>
              </w:rPr>
              <w:t>资质</w:t>
            </w:r>
          </w:p>
        </w:tc>
        <w:tc>
          <w:tcPr>
            <w:tcW w:w="6240" w:type="dxa"/>
            <w:vAlign w:val="center"/>
          </w:tcPr>
          <w:p>
            <w:pPr>
              <w:pStyle w:val="2951"/>
              <w:ind w:firstLine="0"/>
            </w:pPr>
            <w:r>
              <w:rPr>
                <w:rFonts w:cs="宋体" w:hint="eastAsia"/>
                <w:lang w:bidi="en-US"/>
              </w:rPr>
              <w:t>1、投标人资格条件详见招标公告。</w:t>
            </w:r>
          </w:p>
          <w:p>
            <w:pPr>
              <w:pStyle w:val="2951"/>
              <w:ind w:firstLine="0"/>
              <w:rPr>
                <w:rFonts w:cs="宋体"/>
                <w:lang w:bidi="en-US"/>
              </w:rPr>
            </w:pPr>
            <w:r>
              <w:rPr>
                <w:rFonts w:cs="宋体" w:hint="eastAsia"/>
              </w:rPr>
              <w:t>★2、</w:t>
            </w:r>
            <w:r>
              <w:rPr>
                <w:rFonts w:cs="宋体" w:hint="eastAsia"/>
                <w:lang w:bidi="en-US"/>
              </w:rPr>
              <w:t>其他条件：</w:t>
            </w:r>
          </w:p>
          <w:p>
            <w:pPr>
              <w:pStyle w:val="2951"/>
              <w:numPr>
                <w:ilvl w:val="0"/>
                <w:numId w:val="4"/>
              </w:numPr>
              <w:rPr>
                <w:rFonts w:cs="宋体"/>
                <w:lang w:bidi="en-US"/>
              </w:rPr>
            </w:pPr>
            <w:r>
              <w:rPr>
                <w:rFonts w:cs="宋体" w:hint="eastAsia"/>
                <w:lang w:bidi="en-US"/>
              </w:rPr>
              <w:t>本项目不接受联合体投标。</w:t>
            </w:r>
          </w:p>
          <w:p>
            <w:pPr>
              <w:pStyle w:val="2951"/>
              <w:numPr>
                <w:ilvl w:val="0"/>
                <w:numId w:val="4"/>
              </w:numPr>
              <w:rPr>
                <w:rFonts w:cs="宋体"/>
                <w:lang w:bidi="en-US"/>
              </w:rPr>
            </w:pPr>
            <w:r>
              <w:rPr>
                <w:rFonts w:cs="宋体" w:hint="eastAsia"/>
                <w:lang w:bidi="en-US"/>
              </w:rPr>
              <w:t>本项目不接受分包。</w:t>
            </w:r>
          </w:p>
          <w:p>
            <w:pPr>
              <w:pStyle w:val="2951"/>
              <w:numPr>
                <w:ilvl w:val="0"/>
                <w:numId w:val="4"/>
              </w:numPr>
              <w:rPr>
                <w:rFonts w:cs="宋体"/>
                <w:lang w:bidi="en-US"/>
              </w:rPr>
            </w:pPr>
            <w:r>
              <w:rPr>
                <w:rFonts w:cs="宋体"/>
                <w:lang w:bidi="en-US"/>
              </w:rPr>
              <w:t>本项目不接受转包。</w:t>
            </w:r>
          </w:p>
          <w:p>
            <w:pPr>
              <w:pStyle w:val="2951"/>
              <w:numPr>
                <w:ilvl w:val="0"/>
                <w:numId w:val="4"/>
              </w:numPr>
              <w:rPr>
                <w:rFonts w:cs="宋体"/>
                <w:lang w:bidi="en-US"/>
              </w:rPr>
            </w:pPr>
            <w:r>
              <w:rPr>
                <w:rFonts w:cs="宋体"/>
                <w:lang w:bidi="en-US"/>
              </w:rPr>
              <w:t>本项目不接受进口产品。</w:t>
            </w:r>
          </w:p>
        </w:tc>
      </w:tr>
      <w:tr>
        <w:tblPrEx>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pStyle w:val="2911"/>
              <w:jc w:val="center"/>
              <w:rPr>
                <w:rFonts w:cs="Calibri"/>
                <w:szCs w:val="24"/>
              </w:rPr>
            </w:pPr>
            <w:r>
              <w:rPr>
                <w:rFonts w:cs="Calibri" w:hint="eastAsia"/>
                <w:b/>
                <w:szCs w:val="24"/>
              </w:rPr>
              <w:t>2</w:t>
            </w:r>
          </w:p>
        </w:tc>
        <w:tc>
          <w:tcPr>
            <w:tcW w:w="1830" w:type="dxa"/>
            <w:tcBorders>
              <w:top w:val="single" w:sz="4" w:space="0" w:color="auto"/>
              <w:left w:val="single" w:sz="4" w:space="0" w:color="auto"/>
              <w:right w:val="single" w:sz="4" w:space="0" w:color="auto"/>
            </w:tcBorders>
            <w:vAlign w:val="center"/>
          </w:tcPr>
          <w:p>
            <w:pPr>
              <w:pStyle w:val="2920"/>
              <w:jc w:val="both"/>
              <w:rPr>
                <w:rFonts w:cs="Calibri"/>
                <w:b/>
                <w:szCs w:val="24"/>
              </w:rPr>
            </w:pPr>
            <w:r>
              <w:rPr>
                <w:rFonts w:cs="Calibri" w:hint="eastAsia"/>
                <w:b/>
                <w:szCs w:val="24"/>
              </w:rPr>
              <w:t>投标产品资质</w:t>
            </w:r>
          </w:p>
        </w:tc>
        <w:tc>
          <w:tcPr>
            <w:tcW w:w="6240" w:type="dxa"/>
            <w:vAlign w:val="center"/>
          </w:tcPr>
          <w:p>
            <w:pPr>
              <w:pStyle w:val="2930"/>
              <w:spacing w:line="240" w:lineRule="auto"/>
              <w:ind w:firstLine="0"/>
              <w:rPr>
                <w:rFonts w:cs="宋体"/>
                <w:lang w:bidi="en-US"/>
              </w:rPr>
            </w:pPr>
            <w:r>
              <w:rPr>
                <w:rFonts w:cs="宋体" w:hint="eastAsia"/>
                <w:lang w:bidi="en-US"/>
              </w:rPr>
              <w:t>无</w:t>
            </w:r>
          </w:p>
        </w:tc>
      </w:tr>
      <w:tr>
        <w:tblPrEx>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jc w:val="center"/>
              <w:rPr>
                <w:rFonts w:cs="Calibri"/>
                <w:b/>
              </w:rPr>
            </w:pPr>
            <w:r>
              <w:rPr>
                <w:rFonts w:cs="Calibri" w:hint="eastAsia"/>
                <w:b/>
                <w:szCs w:val="24"/>
              </w:rPr>
              <w:t>3</w:t>
            </w:r>
          </w:p>
        </w:tc>
        <w:tc>
          <w:tcPr>
            <w:tcW w:w="1830"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核心产品</w:t>
            </w:r>
          </w:p>
        </w:tc>
        <w:tc>
          <w:tcPr>
            <w:tcW w:w="6240" w:type="dxa"/>
            <w:vAlign w:val="center"/>
          </w:tcPr>
          <w:p>
            <w:pPr>
              <w:pStyle w:val="675"/>
              <w:spacing w:line="240" w:lineRule="auto"/>
              <w:ind w:firstLine="0"/>
              <w:rPr>
                <w:rFonts w:cs="宋体"/>
                <w:lang w:bidi="en-US"/>
              </w:rPr>
            </w:pPr>
            <w:r>
              <w:rPr>
                <w:rFonts w:cs="宋体" w:hint="eastAsia"/>
                <w:lang w:bidi="en-US"/>
              </w:rPr>
              <w:t>无</w:t>
            </w:r>
          </w:p>
        </w:tc>
      </w:tr>
      <w:tr>
        <w:tblPrEx>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jc w:val="center"/>
              <w:rPr>
                <w:rFonts w:cs="Calibri"/>
              </w:rPr>
            </w:pPr>
            <w:r>
              <w:rPr>
                <w:rFonts w:cs="Calibri"/>
                <w:b/>
                <w:szCs w:val="24"/>
              </w:rPr>
              <w:t>4</w:t>
            </w:r>
          </w:p>
        </w:tc>
        <w:tc>
          <w:tcPr>
            <w:tcW w:w="1830"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信息安全要求</w:t>
            </w:r>
          </w:p>
        </w:tc>
        <w:tc>
          <w:tcPr>
            <w:tcW w:w="6240" w:type="dxa"/>
            <w:vAlign w:val="center"/>
          </w:tcPr>
          <w:p>
            <w:pPr>
              <w:pStyle w:val="695"/>
              <w:ind w:firstLine="0"/>
              <w:rPr>
                <w:rFonts w:cs="宋体"/>
                <w:lang w:bidi="en-US"/>
              </w:rPr>
            </w:pPr>
            <w:r>
              <w:rPr>
                <w:rFonts w:cs="宋体" w:hint="eastAsia"/>
                <w:bCs/>
                <w:lang w:bidi="en-US"/>
              </w:rPr>
              <w:t xml:space="preserve">★ </w:t>
            </w:r>
            <w:r>
              <w:rPr>
                <w:rFonts w:cs="宋体" w:hint="eastAsia"/>
                <w:iCs/>
                <w:snapToGrid w:val="0"/>
                <w:lang w:val="zh-CN"/>
              </w:rPr>
              <w:t>投标人须</w:t>
            </w:r>
            <w:r>
              <w:rPr>
                <w:rFonts w:cs="宋体" w:hint="eastAsia"/>
                <w:iCs/>
                <w:snapToGrid w:val="0"/>
              </w:rPr>
              <w:t>提供安全承诺书</w:t>
            </w:r>
            <w:r>
              <w:rPr>
                <w:rFonts w:cs="宋体" w:hint="eastAsia"/>
                <w:iCs/>
                <w:snapToGrid w:val="0"/>
                <w:lang w:val="zh-CN"/>
              </w:rPr>
              <w:t>。承诺内容包括</w:t>
            </w:r>
            <w:r>
              <w:rPr>
                <w:rFonts w:cs="宋体" w:hint="eastAsia"/>
                <w:iCs/>
                <w:snapToGrid w:val="0"/>
              </w:rPr>
              <w:t>系统不存在后门，如发现漏洞及时修复，</w:t>
            </w:r>
            <w:r>
              <w:rPr>
                <w:rFonts w:cs="宋体" w:hint="eastAsia"/>
                <w:iCs/>
                <w:snapToGrid w:val="0"/>
                <w:lang w:val="zh-CN"/>
              </w:rPr>
              <w:t>项目人员不得向外泄露海关相关信息等。</w:t>
            </w:r>
            <w:r>
              <w:rPr>
                <w:rFonts w:cs="宋体" w:hint="eastAsia"/>
              </w:rPr>
              <w:t>提供《承诺函》并加盖单位公章</w:t>
            </w:r>
          </w:p>
        </w:tc>
      </w:tr>
      <w:tr>
        <w:tblPrEx>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jc w:val="center"/>
              <w:rPr>
                <w:rFonts w:cs="Calibri"/>
              </w:rPr>
            </w:pPr>
            <w:r>
              <w:rPr>
                <w:rFonts w:cs="Calibri"/>
                <w:szCs w:val="24"/>
              </w:rPr>
              <w:t>5</w:t>
            </w:r>
          </w:p>
        </w:tc>
        <w:tc>
          <w:tcPr>
            <w:tcW w:w="1830"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是否需要现场考察</w:t>
            </w:r>
          </w:p>
        </w:tc>
        <w:tc>
          <w:tcPr>
            <w:tcW w:w="6240" w:type="dxa"/>
            <w:vAlign w:val="center"/>
          </w:tcPr>
          <w:p>
            <w:pPr>
              <w:pStyle w:val="7111"/>
              <w:ind w:firstLine="0"/>
              <w:rPr>
                <w:rFonts w:ascii="宋体" w:eastAsia="宋体" w:cs="宋体"/>
                <w:lang w:bidi="en-US"/>
              </w:rPr>
            </w:pPr>
            <w:r>
              <w:rPr>
                <w:rFonts w:ascii="宋体" w:eastAsia="宋体" w:cs="宋体" w:hint="eastAsia"/>
                <w:lang w:bidi="en-US"/>
              </w:rPr>
              <w:t>无</w:t>
            </w:r>
          </w:p>
        </w:tc>
      </w:tr>
      <w:tr>
        <w:tblPrEx>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jc w:val="center"/>
              <w:rPr>
                <w:rFonts w:cs="Calibri"/>
              </w:rPr>
            </w:pPr>
            <w:r>
              <w:rPr>
                <w:rFonts w:cs="Calibri"/>
                <w:szCs w:val="24"/>
              </w:rPr>
              <w:t>6</w:t>
            </w:r>
          </w:p>
        </w:tc>
        <w:tc>
          <w:tcPr>
            <w:tcW w:w="1830"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是否收取履约保证金</w:t>
            </w:r>
          </w:p>
        </w:tc>
        <w:tc>
          <w:tcPr>
            <w:tcW w:w="6240" w:type="dxa"/>
            <w:vAlign w:val="center"/>
          </w:tcPr>
          <w:p>
            <w:pPr>
              <w:pStyle w:val="736"/>
              <w:ind w:firstLine="0"/>
              <w:rPr>
                <w:rFonts w:cs="宋体"/>
                <w:bCs/>
                <w:lang w:bidi="en-US"/>
              </w:rPr>
            </w:pPr>
            <w:r>
              <w:rPr>
                <w:rFonts w:cs="宋体" w:hint="eastAsia"/>
                <w:bCs/>
                <w:lang w:bidi="en-US"/>
              </w:rPr>
              <w:t>交付合同金额的5%的履约保函或履约保证金。</w:t>
            </w:r>
          </w:p>
        </w:tc>
      </w:tr>
      <w:tr>
        <w:tblPrEx>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jc w:val="center"/>
              <w:rPr>
                <w:rFonts w:cs="Calibri"/>
              </w:rPr>
            </w:pPr>
            <w:r>
              <w:rPr>
                <w:rFonts w:cs="Calibri"/>
                <w:szCs w:val="24"/>
              </w:rPr>
              <w:t>7</w:t>
            </w:r>
          </w:p>
        </w:tc>
        <w:tc>
          <w:tcPr>
            <w:tcW w:w="1830" w:type="dxa"/>
            <w:tcBorders>
              <w:top w:val="single" w:sz="4" w:space="0" w:color="auto"/>
              <w:left w:val="single" w:sz="4" w:space="0" w:color="auto"/>
              <w:right w:val="single" w:sz="4" w:space="0" w:color="auto"/>
            </w:tcBorders>
            <w:vAlign w:val="center"/>
          </w:tcPr>
          <w:p>
            <w:pPr>
              <w:rPr>
                <w:rFonts w:cs="Calibri"/>
                <w:b/>
              </w:rPr>
            </w:pPr>
            <w:r>
              <w:rPr>
                <w:rFonts w:cs="Calibri"/>
                <w:b/>
                <w:szCs w:val="24"/>
              </w:rPr>
              <w:t>支付方式</w:t>
            </w:r>
          </w:p>
        </w:tc>
        <w:tc>
          <w:tcPr>
            <w:tcW w:w="6240" w:type="dxa"/>
            <w:vAlign w:val="center"/>
          </w:tcPr>
          <w:p>
            <w:pPr>
              <w:pStyle w:val="750"/>
              <w:ind w:firstLine="0"/>
              <w:rPr>
                <w:rFonts w:cs="宋体"/>
                <w:lang w:bidi="en-US"/>
              </w:rPr>
            </w:pPr>
            <w:r>
              <w:rPr>
                <w:rFonts w:cs="宋体" w:hint="eastAsia"/>
                <w:lang w:bidi="en-US"/>
              </w:rPr>
              <w:t>合同签订后，</w:t>
            </w:r>
            <w:r>
              <w:rPr>
                <w:rFonts w:cs="宋体"/>
                <w:lang w:bidi="en-US"/>
              </w:rPr>
              <w:t>乙方向甲方交付履约保证金且完成需求分析阶段工作通过甲方认可</w:t>
            </w:r>
            <w:r>
              <w:rPr>
                <w:rFonts w:cs="宋体" w:hint="eastAsia"/>
                <w:lang w:bidi="en-US"/>
              </w:rPr>
              <w:t>之日起</w:t>
            </w:r>
            <w:r>
              <w:rPr>
                <w:rFonts w:cs="宋体"/>
                <w:lang w:bidi="en-US"/>
              </w:rPr>
              <w:t>10</w:t>
            </w:r>
            <w:r>
              <w:rPr>
                <w:rFonts w:cs="宋体" w:hint="eastAsia"/>
                <w:lang w:bidi="en-US"/>
              </w:rPr>
              <w:t>个工作日内，甲方向乙方支付合同款项的</w:t>
            </w:r>
            <w:r>
              <w:rPr>
                <w:lang w:bidi="en-US"/>
              </w:rPr>
              <w:t>35%</w:t>
            </w:r>
            <w:r>
              <w:rPr>
                <w:rFonts w:cs="宋体" w:hint="eastAsia"/>
                <w:lang w:bidi="en-US"/>
              </w:rPr>
              <w:t>；</w:t>
            </w:r>
          </w:p>
          <w:p>
            <w:pPr>
              <w:pStyle w:val="750"/>
              <w:ind w:firstLine="0"/>
              <w:rPr>
                <w:rFonts w:cs="宋体"/>
                <w:bCs/>
                <w:i/>
                <w:iCs/>
                <w:lang w:bidi="en-US"/>
              </w:rPr>
            </w:pPr>
            <w:r>
              <w:rPr>
                <w:rFonts w:cs="宋体" w:hint="eastAsia"/>
                <w:lang w:bidi="en-US"/>
              </w:rPr>
              <w:t>乙方完成全部服务内容，经甲方组织的合同验收通过</w:t>
            </w:r>
            <w:r>
              <w:rPr>
                <w:rFonts w:cs="宋体"/>
                <w:lang w:bidi="en-US"/>
              </w:rPr>
              <w:t>之日起10个工作日内</w:t>
            </w:r>
            <w:r>
              <w:rPr>
                <w:rFonts w:cs="宋体" w:hint="eastAsia"/>
                <w:lang w:bidi="en-US"/>
              </w:rPr>
              <w:t>，甲方向乙方支付合同款项的</w:t>
            </w:r>
            <w:r>
              <w:rPr>
                <w:rFonts w:hint="eastAsia"/>
                <w:lang w:bidi="en-US"/>
              </w:rPr>
              <w:t>65</w:t>
            </w:r>
            <w:r>
              <w:rPr>
                <w:lang w:bidi="en-US"/>
              </w:rPr>
              <w:t>%</w:t>
            </w:r>
            <w:r>
              <w:rPr>
                <w:rFonts w:cs="宋体" w:hint="eastAsia"/>
                <w:lang w:bidi="en-US"/>
              </w:rPr>
              <w:t>。</w:t>
            </w:r>
          </w:p>
        </w:tc>
      </w:tr>
    </w:tbl>
    <w:p>
      <w:pPr>
        <w:pStyle w:val="Heading2"/>
        <w:numPr>
          <w:ilvl w:val="0"/>
          <w:numId w:val="2"/>
        </w:numPr>
      </w:pPr>
      <w:r>
        <w:rPr>
          <w:rFonts w:hint="eastAsia"/>
        </w:rPr>
        <w:t>项</w:t>
      </w:r>
      <w:bookmarkStart w:id="41" w:name="项目概述"/>
      <w:r>
        <w:rPr>
          <w:rFonts w:hint="eastAsia"/>
        </w:rPr>
        <w:t>目概述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1"/>
        <w:gridCol w:w="2473"/>
        <w:gridCol w:w="533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11" w:type="dxa"/>
            <w:tcBorders>
              <w:top w:val="single" w:sz="4" w:space="0" w:color="auto"/>
              <w:left w:val="single" w:sz="4" w:space="0" w:color="auto"/>
              <w:bottom w:val="single" w:sz="4" w:space="0" w:color="auto"/>
              <w:right w:val="single" w:sz="4" w:space="0" w:color="auto"/>
            </w:tcBorders>
            <w:shd w:val="clear" w:color="A6A6A6" w:fill="A6A6A6"/>
          </w:tcPr>
          <w:p>
            <w:pPr>
              <w:jc w:val="center"/>
              <w:rPr>
                <w:rFonts w:cs="Calibri"/>
                <w:b/>
              </w:rPr>
            </w:pPr>
            <w:bookmarkEnd w:id="41"/>
            <w:r>
              <w:rPr>
                <w:rFonts w:cs="Calibri" w:hint="eastAsia"/>
                <w:b/>
                <w:szCs w:val="24"/>
              </w:rPr>
              <w:t>序号</w:t>
            </w:r>
          </w:p>
        </w:tc>
        <w:tc>
          <w:tcPr>
            <w:tcW w:w="2473" w:type="dxa"/>
            <w:tcBorders>
              <w:top w:val="single" w:sz="4" w:space="0" w:color="auto"/>
              <w:left w:val="single" w:sz="4" w:space="0" w:color="auto"/>
              <w:bottom w:val="single" w:sz="4" w:space="0" w:color="auto"/>
              <w:right w:val="single" w:sz="4" w:space="0" w:color="auto"/>
            </w:tcBorders>
            <w:shd w:val="clear" w:color="A6A6A6" w:fill="A6A6A6"/>
          </w:tcPr>
          <w:p>
            <w:pPr>
              <w:jc w:val="center"/>
              <w:rPr>
                <w:rFonts w:cs="Calibri"/>
                <w:b/>
              </w:rPr>
            </w:pPr>
            <w:r>
              <w:rPr>
                <w:rFonts w:cs="Calibri" w:hint="eastAsia"/>
                <w:b/>
                <w:szCs w:val="24"/>
              </w:rPr>
              <w:t>内容</w:t>
            </w:r>
          </w:p>
        </w:tc>
        <w:tc>
          <w:tcPr>
            <w:tcW w:w="5335" w:type="dxa"/>
            <w:tcBorders>
              <w:top w:val="single" w:sz="4" w:space="0" w:color="auto"/>
              <w:left w:val="single" w:sz="4" w:space="0" w:color="auto"/>
              <w:bottom w:val="single" w:sz="4" w:space="0" w:color="auto"/>
              <w:right w:val="single" w:sz="4" w:space="0" w:color="auto"/>
            </w:tcBorders>
            <w:shd w:val="clear" w:color="A6A6A6" w:fill="A6A6A6"/>
          </w:tcPr>
          <w:p>
            <w:pPr>
              <w:jc w:val="center"/>
              <w:rPr>
                <w:rFonts w:cs="Calibri"/>
                <w:b/>
              </w:rPr>
            </w:pPr>
            <w:r>
              <w:rPr>
                <w:rFonts w:cs="Calibri" w:hint="eastAsia"/>
                <w:b/>
                <w:szCs w:val="24"/>
              </w:rPr>
              <w:t>说明</w:t>
            </w:r>
          </w:p>
        </w:tc>
      </w:tr>
      <w:tr>
        <w:tblPrEx>
          <w:jc w:val="left"/>
          <w:tblInd w:w="0" w:type="dxa"/>
          <w:tblLayout w:type="fixed"/>
          <w:tblCellMar>
            <w:top w:w="0" w:type="dxa"/>
            <w:left w:w="108" w:type="dxa"/>
            <w:bottom w:w="0" w:type="dxa"/>
            <w:right w:w="108" w:type="dxa"/>
          </w:tblCellMar>
        </w:tblPrEx>
        <w:trPr>
          <w:trHeight w:val="1601"/>
          <w:jc w:val="left"/>
        </w:trPr>
        <w:tc>
          <w:tcPr>
            <w:tcW w:w="711" w:type="dxa"/>
            <w:tcBorders>
              <w:top w:val="single" w:sz="4" w:space="0" w:color="auto"/>
              <w:left w:val="single" w:sz="4" w:space="0" w:color="auto"/>
              <w:bottom w:val="single" w:sz="4" w:space="0" w:color="auto"/>
              <w:right w:val="single" w:sz="4" w:space="0" w:color="auto"/>
            </w:tcBorders>
            <w:vAlign w:val="center"/>
          </w:tcPr>
          <w:p>
            <w:pPr>
              <w:jc w:val="center"/>
              <w:rPr>
                <w:rFonts w:cs="Calibri"/>
              </w:rPr>
            </w:pPr>
            <w:r>
              <w:rPr>
                <w:rFonts w:cs="Calibri" w:hint="eastAsia"/>
                <w:b/>
                <w:szCs w:val="24"/>
              </w:rPr>
              <w:t>1</w:t>
            </w:r>
          </w:p>
        </w:tc>
        <w:tc>
          <w:tcPr>
            <w:tcW w:w="2473" w:type="dxa"/>
            <w:tcBorders>
              <w:top w:val="single" w:sz="4" w:space="0" w:color="auto"/>
              <w:left w:val="single" w:sz="4" w:space="0" w:color="auto"/>
              <w:bottom w:val="single" w:sz="4" w:space="0" w:color="auto"/>
              <w:right w:val="single" w:sz="4" w:space="0" w:color="auto"/>
            </w:tcBorders>
            <w:vAlign w:val="center"/>
          </w:tcPr>
          <w:p>
            <w:pPr>
              <w:rPr>
                <w:rFonts w:cs="Calibri"/>
                <w:b/>
              </w:rPr>
            </w:pPr>
            <w:r>
              <w:rPr>
                <w:rFonts w:cs="Calibri" w:hint="eastAsia"/>
                <w:b/>
                <w:szCs w:val="24"/>
              </w:rPr>
              <w:t>项目背景</w:t>
            </w:r>
          </w:p>
        </w:tc>
        <w:tc>
          <w:tcPr>
            <w:tcW w:w="5335" w:type="dxa"/>
            <w:tcBorders>
              <w:top w:val="single" w:sz="4" w:space="0" w:color="auto"/>
              <w:left w:val="single" w:sz="4" w:space="0" w:color="auto"/>
              <w:bottom w:val="single" w:sz="4" w:space="0" w:color="auto"/>
              <w:right w:val="single" w:sz="4" w:space="0" w:color="auto"/>
            </w:tcBorders>
            <w:vAlign w:val="center"/>
          </w:tcPr>
          <w:p>
            <w:pPr>
              <w:pStyle w:val="860"/>
              <w:tabs>
                <w:tab w:val="left" w:pos="709"/>
              </w:tabs>
              <w:spacing w:line="440" w:lineRule="exact"/>
              <w:ind w:firstLine="464"/>
              <w:rPr>
                <w:rFonts w:cs="宋体"/>
                <w:spacing w:val="-4"/>
              </w:rPr>
            </w:pPr>
            <w:r>
              <w:rPr>
                <w:rFonts w:cs="宋体"/>
                <w:spacing w:val="-4"/>
              </w:rPr>
              <w:t>随着全球化推进与旅游业兴盛，出入境旅客增多，海关旅检压力骤升，对违禁品查缉、疫病防控、非贸物品规范等要求更高，传统模式效率低、难满足精细监管需求。同时，随着国际贸易竞争日益激烈，海关亟需精准把握进出口企业全貌，深度洞察经营动态、信用状况及风险特征，以实现差别化监管与高效服务。而信息技术发展提供机遇，本项目顺势启动，对海关智慧监管平台海南自贸港应用软件建设项目进行升级改造，在原基础上增加旅检移动应用、二线非贸监管及企业画像等内容，助力旅检、非贸、企业监管等业务升级。</w:t>
            </w:r>
          </w:p>
        </w:tc>
      </w:tr>
      <w:tr>
        <w:tblPrEx>
          <w:jc w:val="left"/>
          <w:tblInd w:w="0" w:type="dxa"/>
          <w:tblLayout w:type="fixed"/>
          <w:tblCellMar>
            <w:top w:w="0" w:type="dxa"/>
            <w:left w:w="108" w:type="dxa"/>
            <w:bottom w:w="0" w:type="dxa"/>
            <w:right w:w="108" w:type="dxa"/>
          </w:tblCellMar>
        </w:tblPrEx>
        <w:trPr>
          <w:trHeight w:val="1601"/>
          <w:jc w:val="left"/>
        </w:trPr>
        <w:tc>
          <w:tcPr>
            <w:tcW w:w="711" w:type="dxa"/>
            <w:tcBorders>
              <w:top w:val="single" w:sz="4" w:space="0" w:color="auto"/>
              <w:left w:val="single" w:sz="4" w:space="0" w:color="auto"/>
              <w:bottom w:val="single" w:sz="4" w:space="0" w:color="auto"/>
              <w:right w:val="single" w:sz="4" w:space="0" w:color="auto"/>
            </w:tcBorders>
            <w:vAlign w:val="center"/>
          </w:tcPr>
          <w:p>
            <w:pPr>
              <w:jc w:val="center"/>
              <w:rPr>
                <w:rFonts w:cs="Calibri"/>
              </w:rPr>
            </w:pPr>
            <w:r>
              <w:rPr>
                <w:rFonts w:cs="Calibri" w:hint="eastAsia"/>
                <w:b/>
                <w:szCs w:val="24"/>
              </w:rPr>
              <w:t>2</w:t>
            </w:r>
          </w:p>
        </w:tc>
        <w:tc>
          <w:tcPr>
            <w:tcW w:w="2473" w:type="dxa"/>
            <w:tcBorders>
              <w:top w:val="single" w:sz="4" w:space="0" w:color="auto"/>
              <w:left w:val="single" w:sz="4" w:space="0" w:color="auto"/>
              <w:bottom w:val="single" w:sz="4" w:space="0" w:color="auto"/>
              <w:right w:val="single" w:sz="4" w:space="0" w:color="auto"/>
            </w:tcBorders>
            <w:vAlign w:val="center"/>
          </w:tcPr>
          <w:p>
            <w:pPr>
              <w:rPr>
                <w:rFonts w:cs="Calibri"/>
                <w:b/>
              </w:rPr>
            </w:pPr>
            <w:r>
              <w:rPr>
                <w:rFonts w:cs="Calibri" w:hint="eastAsia"/>
                <w:b/>
                <w:szCs w:val="24"/>
              </w:rPr>
              <w:t>执行依据</w:t>
            </w:r>
          </w:p>
        </w:tc>
        <w:tc>
          <w:tcPr>
            <w:tcW w:w="5335" w:type="dxa"/>
            <w:tcBorders>
              <w:top w:val="single" w:sz="4" w:space="0" w:color="auto"/>
              <w:left w:val="single" w:sz="4" w:space="0" w:color="auto"/>
              <w:bottom w:val="single" w:sz="4" w:space="0" w:color="auto"/>
              <w:right w:val="single" w:sz="4" w:space="0" w:color="auto"/>
            </w:tcBorders>
            <w:vAlign w:val="center"/>
          </w:tcPr>
          <w:p>
            <w:pPr>
              <w:pStyle w:val="860"/>
              <w:tabs>
                <w:tab w:val="left" w:pos="709"/>
              </w:tabs>
              <w:spacing w:line="440" w:lineRule="exact"/>
              <w:ind w:firstLine="464"/>
              <w:rPr>
                <w:rFonts w:cs="宋体"/>
                <w:spacing w:val="-4"/>
              </w:rPr>
            </w:pPr>
            <w:r>
              <w:rPr>
                <w:rFonts w:cs="宋体"/>
                <w:spacing w:val="-4"/>
              </w:rPr>
              <w:t>《中华人民共和国海关法》</w:t>
            </w:r>
          </w:p>
          <w:p>
            <w:pPr>
              <w:pStyle w:val="860"/>
              <w:tabs>
                <w:tab w:val="left" w:pos="709"/>
              </w:tabs>
              <w:spacing w:line="440" w:lineRule="exact"/>
              <w:ind w:firstLine="464"/>
              <w:rPr>
                <w:rFonts w:cs="宋体"/>
                <w:spacing w:val="-4"/>
              </w:rPr>
            </w:pPr>
            <w:r>
              <w:rPr>
                <w:rFonts w:cs="宋体"/>
                <w:spacing w:val="-4"/>
              </w:rPr>
              <w:t>《中华人民共和国海关进出境行李物品监管办法》</w:t>
            </w:r>
          </w:p>
          <w:p>
            <w:pPr>
              <w:pStyle w:val="860"/>
              <w:tabs>
                <w:tab w:val="left" w:pos="709"/>
              </w:tabs>
              <w:spacing w:line="440" w:lineRule="exact"/>
              <w:ind w:firstLine="464"/>
              <w:rPr>
                <w:rFonts w:cs="宋体"/>
                <w:spacing w:val="-4"/>
              </w:rPr>
            </w:pPr>
            <w:r>
              <w:rPr>
                <w:rFonts w:cs="宋体"/>
                <w:spacing w:val="-4"/>
              </w:rPr>
              <w:t>《中华人民共和国海关对进出境快件监管办法》</w:t>
            </w:r>
          </w:p>
          <w:p>
            <w:pPr>
              <w:tabs>
                <w:tab w:val="left" w:pos="709"/>
              </w:tabs>
              <w:spacing w:line="440" w:lineRule="exact"/>
              <w:ind w:firstLine="464"/>
            </w:pPr>
            <w:r>
              <w:rPr>
                <w:rFonts w:cs="宋体"/>
                <w:color w:val="000000"/>
              </w:rPr>
              <w:t>《海南自由贸易港建设总体方案》（中共中央国务院印发）</w:t>
            </w:r>
          </w:p>
        </w:tc>
      </w:tr>
      <w:tr>
        <w:tblPrEx>
          <w:jc w:val="left"/>
          <w:tblInd w:w="0" w:type="dxa"/>
          <w:tblLayout w:type="fixed"/>
          <w:tblCellMar>
            <w:top w:w="0" w:type="dxa"/>
            <w:left w:w="108" w:type="dxa"/>
            <w:bottom w:w="0" w:type="dxa"/>
            <w:right w:w="108" w:type="dxa"/>
          </w:tblCellMar>
        </w:tblPrEx>
        <w:trPr>
          <w:trHeight w:val="1601"/>
          <w:jc w:val="left"/>
        </w:trPr>
        <w:tc>
          <w:tcPr>
            <w:tcW w:w="711" w:type="dxa"/>
            <w:tcBorders>
              <w:top w:val="single" w:sz="4" w:space="0" w:color="auto"/>
              <w:left w:val="single" w:sz="4" w:space="0" w:color="auto"/>
              <w:bottom w:val="single" w:sz="4" w:space="0" w:color="auto"/>
              <w:right w:val="single" w:sz="4" w:space="0" w:color="auto"/>
            </w:tcBorders>
            <w:vAlign w:val="center"/>
          </w:tcPr>
          <w:p>
            <w:pPr>
              <w:jc w:val="center"/>
              <w:rPr>
                <w:rFonts w:cs="Calibri"/>
              </w:rPr>
            </w:pPr>
            <w:r>
              <w:rPr>
                <w:rFonts w:cs="Calibri" w:hint="eastAsia"/>
                <w:b/>
                <w:szCs w:val="24"/>
              </w:rPr>
              <w:t>3</w:t>
            </w:r>
          </w:p>
        </w:tc>
        <w:tc>
          <w:tcPr>
            <w:tcW w:w="2473" w:type="dxa"/>
            <w:tcBorders>
              <w:top w:val="single" w:sz="4" w:space="0" w:color="auto"/>
              <w:left w:val="single" w:sz="4" w:space="0" w:color="auto"/>
              <w:bottom w:val="single" w:sz="4" w:space="0" w:color="auto"/>
              <w:right w:val="single" w:sz="4" w:space="0" w:color="auto"/>
            </w:tcBorders>
            <w:vAlign w:val="center"/>
          </w:tcPr>
          <w:p>
            <w:pPr>
              <w:rPr>
                <w:rFonts w:cs="Calibri"/>
                <w:b/>
              </w:rPr>
            </w:pPr>
            <w:r>
              <w:rPr>
                <w:rFonts w:cs="Calibri" w:hint="eastAsia"/>
                <w:b/>
                <w:szCs w:val="24"/>
              </w:rPr>
              <w:t>项目内容</w:t>
            </w:r>
          </w:p>
        </w:tc>
        <w:tc>
          <w:tcPr>
            <w:tcW w:w="5335" w:type="dxa"/>
            <w:tcBorders>
              <w:top w:val="single" w:sz="4" w:space="0" w:color="auto"/>
              <w:left w:val="single" w:sz="4" w:space="0" w:color="auto"/>
              <w:bottom w:val="single" w:sz="4" w:space="0" w:color="auto"/>
              <w:right w:val="single" w:sz="4" w:space="0" w:color="auto"/>
            </w:tcBorders>
            <w:vAlign w:val="center"/>
          </w:tcPr>
          <w:p>
            <w:pPr>
              <w:pStyle w:val="860"/>
              <w:tabs>
                <w:tab w:val="left" w:pos="709"/>
              </w:tabs>
              <w:spacing w:line="440" w:lineRule="exact"/>
              <w:ind w:firstLine="464"/>
              <w:rPr>
                <w:rFonts w:cs="宋体"/>
                <w:spacing w:val="-4"/>
                <w:lang w:val="zh-CN"/>
              </w:rPr>
            </w:pPr>
            <w:r>
              <w:rPr>
                <w:rFonts w:cs="宋体"/>
                <w:spacing w:val="-4"/>
              </w:rPr>
              <w:t>建设旅检移动应用，基于旅检业务操作系统，新建一线二线旅检通关监管单兵应用;建设二线非贸监管系统，以满足二线非贸业务监管需要;建设企业画像系统，作为企业业务全景数据洞察提升的核心体现以及整体“一企一账”数据的动态完善和管理支撑。</w:t>
            </w:r>
          </w:p>
        </w:tc>
      </w:tr>
      <w:tr>
        <w:tblPrEx>
          <w:jc w:val="left"/>
          <w:tblInd w:w="0" w:type="dxa"/>
          <w:tblLayout w:type="fixed"/>
          <w:tblCellMar>
            <w:top w:w="0" w:type="dxa"/>
            <w:left w:w="108" w:type="dxa"/>
            <w:bottom w:w="0" w:type="dxa"/>
            <w:right w:w="108" w:type="dxa"/>
          </w:tblCellMar>
        </w:tblPrEx>
        <w:trPr>
          <w:trHeight w:val="1601"/>
          <w:jc w:val="left"/>
        </w:trPr>
        <w:tc>
          <w:tcPr>
            <w:tcW w:w="711" w:type="dxa"/>
            <w:tcBorders>
              <w:top w:val="single" w:sz="4" w:space="0" w:color="auto"/>
              <w:left w:val="single" w:sz="4" w:space="0" w:color="auto"/>
              <w:bottom w:val="single" w:sz="4" w:space="0" w:color="auto"/>
              <w:right w:val="single" w:sz="4" w:space="0" w:color="auto"/>
            </w:tcBorders>
            <w:vAlign w:val="center"/>
          </w:tcPr>
          <w:p>
            <w:pPr>
              <w:jc w:val="center"/>
              <w:rPr>
                <w:rFonts w:cs="Calibri"/>
              </w:rPr>
            </w:pPr>
            <w:r>
              <w:rPr>
                <w:rFonts w:cs="Calibri" w:hint="eastAsia"/>
                <w:szCs w:val="24"/>
              </w:rPr>
              <w:t>4</w:t>
            </w:r>
          </w:p>
        </w:tc>
        <w:tc>
          <w:tcPr>
            <w:tcW w:w="2473" w:type="dxa"/>
            <w:tcBorders>
              <w:top w:val="single" w:sz="4" w:space="0" w:color="auto"/>
              <w:left w:val="single" w:sz="4" w:space="0" w:color="auto"/>
              <w:bottom w:val="single" w:sz="4" w:space="0" w:color="auto"/>
              <w:right w:val="single" w:sz="4" w:space="0" w:color="auto"/>
            </w:tcBorders>
            <w:vAlign w:val="center"/>
          </w:tcPr>
          <w:p>
            <w:pPr>
              <w:rPr>
                <w:rFonts w:cs="Calibri"/>
                <w:b/>
              </w:rPr>
            </w:pPr>
            <w:r>
              <w:rPr>
                <w:rFonts w:cs="Calibri" w:hint="eastAsia"/>
                <w:b/>
                <w:szCs w:val="24"/>
              </w:rPr>
              <w:t>项目范围</w:t>
            </w:r>
          </w:p>
        </w:tc>
        <w:tc>
          <w:tcPr>
            <w:tcW w:w="5335" w:type="dxa"/>
            <w:tcBorders>
              <w:top w:val="single" w:sz="4" w:space="0" w:color="auto"/>
              <w:left w:val="single" w:sz="4" w:space="0" w:color="auto"/>
              <w:bottom w:val="single" w:sz="4" w:space="0" w:color="auto"/>
              <w:right w:val="single" w:sz="4" w:space="0" w:color="auto"/>
            </w:tcBorders>
            <w:vAlign w:val="center"/>
          </w:tcPr>
          <w:p>
            <w:pPr>
              <w:pStyle w:val="860"/>
              <w:tabs>
                <w:tab w:val="left" w:pos="709"/>
              </w:tabs>
              <w:spacing w:line="440" w:lineRule="exact"/>
              <w:ind w:firstLine="464"/>
              <w:rPr>
                <w:rFonts w:cs="宋体"/>
                <w:spacing w:val="-4"/>
              </w:rPr>
            </w:pPr>
            <w:r>
              <w:rPr>
                <w:rFonts w:cs="宋体"/>
                <w:spacing w:val="-4"/>
              </w:rPr>
              <w:t>本项目建设内容包括旅检移动应用、二线非贸监管及企业画像，使用范围均为海口海关及其隶属海关，部署范围均在海口海关机房，用户范围均为海口海关及其隶属海关关员。</w:t>
            </w:r>
          </w:p>
        </w:tc>
      </w:tr>
      <w:tr>
        <w:tblPrEx>
          <w:jc w:val="left"/>
          <w:tblInd w:w="0" w:type="dxa"/>
          <w:tblLayout w:type="fixed"/>
          <w:tblCellMar>
            <w:top w:w="0" w:type="dxa"/>
            <w:left w:w="108" w:type="dxa"/>
            <w:bottom w:w="0" w:type="dxa"/>
            <w:right w:w="108" w:type="dxa"/>
          </w:tblCellMar>
        </w:tblPrEx>
        <w:trPr>
          <w:trHeight w:val="1601"/>
          <w:jc w:val="left"/>
        </w:trPr>
        <w:tc>
          <w:tcPr>
            <w:tcW w:w="711" w:type="dxa"/>
            <w:tcBorders>
              <w:top w:val="single" w:sz="4" w:space="0" w:color="auto"/>
              <w:left w:val="single" w:sz="4" w:space="0" w:color="auto"/>
              <w:bottom w:val="single" w:sz="4" w:space="0" w:color="auto"/>
              <w:right w:val="single" w:sz="4" w:space="0" w:color="auto"/>
            </w:tcBorders>
            <w:vAlign w:val="center"/>
          </w:tcPr>
          <w:p>
            <w:pPr>
              <w:jc w:val="center"/>
              <w:rPr>
                <w:rFonts w:cs="Calibri"/>
              </w:rPr>
            </w:pPr>
            <w:r>
              <w:rPr>
                <w:rFonts w:cs="Calibri" w:hint="eastAsia"/>
                <w:szCs w:val="24"/>
              </w:rPr>
              <w:t>5</w:t>
            </w:r>
          </w:p>
        </w:tc>
        <w:tc>
          <w:tcPr>
            <w:tcW w:w="2473" w:type="dxa"/>
            <w:tcBorders>
              <w:top w:val="single" w:sz="4" w:space="0" w:color="auto"/>
              <w:left w:val="single" w:sz="4" w:space="0" w:color="auto"/>
              <w:bottom w:val="single" w:sz="4" w:space="0" w:color="auto"/>
              <w:right w:val="single" w:sz="4" w:space="0" w:color="auto"/>
            </w:tcBorders>
            <w:vAlign w:val="center"/>
          </w:tcPr>
          <w:p>
            <w:pPr>
              <w:rPr>
                <w:rFonts w:cs="Calibri"/>
                <w:b/>
              </w:rPr>
            </w:pPr>
            <w:r>
              <w:rPr>
                <w:rFonts w:cs="Calibri" w:hint="eastAsia"/>
                <w:b/>
                <w:szCs w:val="24"/>
              </w:rPr>
              <w:t>需求分析</w:t>
            </w:r>
          </w:p>
        </w:tc>
        <w:tc>
          <w:tcPr>
            <w:tcW w:w="5335" w:type="dxa"/>
            <w:tcBorders>
              <w:top w:val="single" w:sz="4" w:space="0" w:color="auto"/>
              <w:left w:val="single" w:sz="4" w:space="0" w:color="auto"/>
              <w:bottom w:val="single" w:sz="4" w:space="0" w:color="auto"/>
              <w:right w:val="single" w:sz="4" w:space="0" w:color="auto"/>
            </w:tcBorders>
            <w:vAlign w:val="center"/>
          </w:tcPr>
          <w:p>
            <w:pPr>
              <w:pStyle w:val="881"/>
              <w:tabs>
                <w:tab w:val="left" w:pos="709"/>
              </w:tabs>
              <w:spacing w:line="440" w:lineRule="exact"/>
              <w:ind w:firstLine="480" w:firstLineChars="200"/>
              <w:rPr>
                <w:rFonts w:cs="宋体"/>
                <w:spacing w:val="-4"/>
              </w:rPr>
            </w:pPr>
            <w:r>
              <w:rPr>
                <w:rFonts w:cs="宋体" w:hint="eastAsia"/>
                <w:spacing w:val="-4"/>
              </w:rPr>
              <w:t>本项目聚焦海关业务升级需求，着力打造四大核心系统。旅检移动应用，一二线单兵升级，新增实用功能，强化通关监管；二线非贸监管系统为邮快件二线监管业务定制，以数据驱动提升查验精准度；企业画像系统整合内外数据，动态完善 “一企一账”，为海关提供全景洞察，助力精准施策，全方位提升海关旅检、非贸及企业监管相关业务监管与服务水平。</w:t>
            </w:r>
          </w:p>
        </w:tc>
      </w:tr>
      <w:tr>
        <w:tblPrEx>
          <w:jc w:val="left"/>
          <w:tblInd w:w="0" w:type="dxa"/>
          <w:tblLayout w:type="fixed"/>
          <w:tblCellMar>
            <w:top w:w="0" w:type="dxa"/>
            <w:left w:w="108" w:type="dxa"/>
            <w:bottom w:w="0" w:type="dxa"/>
            <w:right w:w="108" w:type="dxa"/>
          </w:tblCellMar>
        </w:tblPrEx>
        <w:trPr>
          <w:trHeight w:val="636"/>
          <w:jc w:val="left"/>
        </w:trPr>
        <w:tc>
          <w:tcPr>
            <w:tcW w:w="711" w:type="dxa"/>
            <w:tcBorders>
              <w:top w:val="single" w:sz="4" w:space="0" w:color="auto"/>
              <w:left w:val="single" w:sz="4" w:space="0" w:color="auto"/>
              <w:bottom w:val="single" w:sz="4" w:space="0" w:color="auto"/>
              <w:right w:val="single" w:sz="4" w:space="0" w:color="auto"/>
            </w:tcBorders>
            <w:vAlign w:val="center"/>
          </w:tcPr>
          <w:p>
            <w:pPr>
              <w:jc w:val="center"/>
              <w:rPr>
                <w:rFonts w:cs="Calibri"/>
              </w:rPr>
            </w:pPr>
            <w:r>
              <w:rPr>
                <w:rFonts w:cs="Calibri" w:hint="eastAsia"/>
                <w:szCs w:val="24"/>
              </w:rPr>
              <w:t>6</w:t>
            </w:r>
          </w:p>
        </w:tc>
        <w:tc>
          <w:tcPr>
            <w:tcW w:w="2473" w:type="dxa"/>
            <w:tcBorders>
              <w:top w:val="single" w:sz="4" w:space="0" w:color="auto"/>
              <w:left w:val="single" w:sz="4" w:space="0" w:color="auto"/>
              <w:bottom w:val="single" w:sz="4" w:space="0" w:color="auto"/>
              <w:right w:val="single" w:sz="4" w:space="0" w:color="auto"/>
            </w:tcBorders>
            <w:vAlign w:val="center"/>
          </w:tcPr>
          <w:p>
            <w:pPr>
              <w:rPr>
                <w:rFonts w:cs="Calibri"/>
                <w:b/>
              </w:rPr>
            </w:pPr>
            <w:r>
              <w:rPr>
                <w:rFonts w:cs="Calibri" w:hint="eastAsia"/>
                <w:b/>
                <w:szCs w:val="24"/>
              </w:rPr>
              <w:t>与前期项目的关系</w:t>
            </w:r>
          </w:p>
        </w:tc>
        <w:tc>
          <w:tcPr>
            <w:tcW w:w="5335" w:type="dxa"/>
            <w:tcBorders>
              <w:top w:val="single" w:sz="4" w:space="0" w:color="auto"/>
              <w:left w:val="single" w:sz="4" w:space="0" w:color="auto"/>
              <w:bottom w:val="single" w:sz="4" w:space="0" w:color="auto"/>
              <w:right w:val="single" w:sz="4" w:space="0" w:color="auto"/>
            </w:tcBorders>
            <w:vAlign w:val="center"/>
          </w:tcPr>
          <w:p>
            <w:pPr>
              <w:pStyle w:val="795"/>
              <w:rPr>
                <w:rFonts w:cs="宋体"/>
                <w:spacing w:val="-4"/>
              </w:rPr>
            </w:pPr>
            <w:r>
              <w:rPr>
                <w:rFonts w:cs="宋体"/>
                <w:spacing w:val="-4"/>
              </w:rPr>
              <w:t>本项目在前期海关智慧监管平台海南自贸港应用软件建设项目的基础上进行升级改造，在功能方面，新增旅检移动、融合应用、二线非贸监管及企业画像等内容，在技术方面需与前期项目保持一致，采用JAVA、JDK8，适配国产化操作系统及数据库，开发语言、开发工具、技术架构及数据库需符合海关技术约束要求。</w:t>
            </w:r>
          </w:p>
        </w:tc>
      </w:tr>
      <w:tr>
        <w:tblPrEx>
          <w:jc w:val="left"/>
          <w:tblInd w:w="0" w:type="dxa"/>
          <w:tblLayout w:type="fixed"/>
          <w:tblCellMar>
            <w:top w:w="0" w:type="dxa"/>
            <w:left w:w="108" w:type="dxa"/>
            <w:bottom w:w="0" w:type="dxa"/>
            <w:right w:w="108" w:type="dxa"/>
          </w:tblCellMar>
        </w:tblPrEx>
        <w:trPr>
          <w:trHeight w:val="1020"/>
          <w:jc w:val="left"/>
        </w:trPr>
        <w:tc>
          <w:tcPr>
            <w:tcW w:w="711"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rPr>
                <w:rFonts w:ascii="宋体" w:eastAsia="宋体"/>
              </w:rPr>
            </w:pPr>
            <w:r>
              <w:rPr>
                <w:rFonts w:ascii="宋体" w:eastAsia="宋体" w:hint="eastAsia"/>
              </w:rPr>
              <w:t>7</w:t>
            </w:r>
          </w:p>
        </w:tc>
        <w:tc>
          <w:tcPr>
            <w:tcW w:w="2473" w:type="dxa"/>
            <w:tcBorders>
              <w:top w:val="single" w:sz="4" w:space="0" w:color="auto"/>
              <w:left w:val="single" w:sz="4" w:space="0" w:color="auto"/>
              <w:bottom w:val="single" w:sz="4" w:space="0" w:color="auto"/>
              <w:right w:val="single" w:sz="4" w:space="0" w:color="auto"/>
            </w:tcBorders>
            <w:vAlign w:val="center"/>
          </w:tcPr>
          <w:p>
            <w:pPr>
              <w:pStyle w:val="343"/>
              <w:ind w:firstLine="0"/>
              <w:rPr>
                <w:rFonts w:ascii="宋体" w:eastAsia="宋体"/>
                <w:b/>
              </w:rPr>
            </w:pPr>
            <w:r>
              <w:rPr>
                <w:rFonts w:ascii="宋体" w:eastAsia="宋体" w:hint="eastAsia"/>
                <w:b/>
              </w:rPr>
              <w:t>项目履约时间</w:t>
            </w:r>
            <w:r>
              <w:rPr>
                <w:rFonts w:ascii="宋体" w:eastAsia="宋体" w:hint="eastAsia"/>
              </w:rPr>
              <w:t>★</w:t>
            </w:r>
            <w:r>
              <w:rPr>
                <w:rFonts w:ascii="宋体" w:eastAsia="宋体"/>
              </w:rPr>
              <w:t xml:space="preserve">                                                                                                                                                                                                                                                     </w:t>
            </w:r>
          </w:p>
        </w:tc>
        <w:tc>
          <w:tcPr>
            <w:tcW w:w="5335" w:type="dxa"/>
            <w:tcBorders>
              <w:top w:val="single" w:sz="4" w:space="0" w:color="auto"/>
              <w:left w:val="single" w:sz="4" w:space="0" w:color="auto"/>
              <w:bottom w:val="single" w:sz="4" w:space="0" w:color="auto"/>
              <w:right w:val="single" w:sz="4" w:space="0" w:color="auto"/>
            </w:tcBorders>
            <w:vAlign w:val="center"/>
          </w:tcPr>
          <w:p>
            <w:pPr>
              <w:pStyle w:val="77"/>
              <w:tabs>
                <w:tab w:val="left" w:pos="709"/>
              </w:tabs>
              <w:spacing w:line="440" w:lineRule="exact"/>
              <w:ind w:firstLine="480" w:firstLineChars="200"/>
              <w:rPr>
                <w:rFonts w:cs="宋体"/>
              </w:rPr>
            </w:pPr>
            <w:r>
              <w:rPr>
                <w:rFonts w:cs="宋体" w:hint="eastAsia"/>
              </w:rPr>
              <w:t>自合同签订之日起3个月内，基于海关的技术开发框架，</w:t>
            </w:r>
            <w:r>
              <w:rPr>
                <w:rFonts w:cs="宋体"/>
              </w:rPr>
              <w:t>遵循海关项目管理规定</w:t>
            </w:r>
            <w:r>
              <w:rPr>
                <w:rFonts w:cs="宋体" w:hint="eastAsia"/>
              </w:rPr>
              <w:t>完成系统的需求分析、方案设计、开发测试、联调测试（含业务测试）、部署上线等工作。</w:t>
            </w:r>
          </w:p>
          <w:p>
            <w:pPr>
              <w:pStyle w:val="77"/>
              <w:tabs>
                <w:tab w:val="left" w:pos="709"/>
              </w:tabs>
              <w:spacing w:line="440" w:lineRule="exact"/>
              <w:ind w:firstLine="480" w:firstLineChars="200"/>
              <w:rPr>
                <w:rFonts w:cs="宋体"/>
              </w:rPr>
            </w:pPr>
            <w:r>
              <w:rPr>
                <w:rFonts w:cs="宋体" w:hint="eastAsia"/>
              </w:rPr>
              <w:t>合同验收通过之日起提供</w:t>
            </w:r>
            <w:r>
              <w:rPr>
                <w:rFonts w:cs="宋体"/>
              </w:rPr>
              <w:t>5</w:t>
            </w:r>
            <w:r>
              <w:rPr>
                <w:rFonts w:cs="宋体" w:hint="eastAsia"/>
              </w:rPr>
              <w:t>年</w:t>
            </w:r>
            <w:r>
              <w:rPr>
                <w:rFonts w:cs="宋体" w:hint="eastAsia"/>
                <w:spacing w:val="-4"/>
              </w:rPr>
              <w:t>维保</w:t>
            </w:r>
            <w:r>
              <w:rPr>
                <w:rFonts w:cs="宋体" w:hint="eastAsia"/>
              </w:rPr>
              <w:t>服务。</w:t>
            </w:r>
          </w:p>
          <w:p>
            <w:pPr>
              <w:pStyle w:val="77"/>
              <w:tabs>
                <w:tab w:val="left" w:pos="709"/>
              </w:tabs>
              <w:spacing w:line="440" w:lineRule="exact"/>
              <w:ind w:firstLine="480" w:firstLineChars="200"/>
              <w:rPr>
                <w:b/>
                <w:bCs/>
                <w:lang w:bidi="en-US"/>
              </w:rPr>
            </w:pPr>
            <w:r>
              <w:rPr>
                <w:rFonts w:cs="宋体" w:hint="eastAsia"/>
                <w:b/>
                <w:bCs/>
              </w:rPr>
              <w:t>提供《承诺函》并加盖单位公章。</w:t>
            </w:r>
          </w:p>
        </w:tc>
      </w:tr>
    </w:tbl>
    <w:p/>
    <w:p>
      <w:pPr>
        <w:pStyle w:val="Heading2"/>
        <w:numPr>
          <w:ilvl w:val="0"/>
          <w:numId w:val="2"/>
        </w:numPr>
      </w:pPr>
      <w:r>
        <w:rPr>
          <w:rFonts w:hint="eastAsia"/>
        </w:rPr>
        <w:t>集</w:t>
      </w:r>
      <w:bookmarkStart w:id="42" w:name="集成需求"/>
      <w:r>
        <w:rPr>
          <w:rFonts w:hint="eastAsia"/>
        </w:rPr>
        <w:t>成需求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79"/>
        <w:gridCol w:w="1979"/>
        <w:gridCol w:w="4261"/>
        <w:gridCol w:w="1704"/>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579" w:type="dxa"/>
            <w:shd w:val="clear" w:color="A6A6A6" w:fill="A6A6A6"/>
          </w:tcPr>
          <w:p>
            <w:pPr>
              <w:jc w:val="center"/>
              <w:rPr>
                <w:rFonts w:cs="Calibri"/>
                <w:b/>
              </w:rPr>
            </w:pPr>
            <w:bookmarkEnd w:id="42"/>
            <w:r>
              <w:rPr>
                <w:rFonts w:cs="Calibri" w:hint="eastAsia"/>
                <w:b/>
                <w:szCs w:val="24"/>
              </w:rPr>
              <w:t>序号</w:t>
            </w:r>
          </w:p>
        </w:tc>
        <w:tc>
          <w:tcPr>
            <w:tcW w:w="1979" w:type="dxa"/>
            <w:shd w:val="clear" w:color="A6A6A6" w:fill="A6A6A6"/>
          </w:tcPr>
          <w:p>
            <w:pPr>
              <w:jc w:val="center"/>
              <w:rPr>
                <w:rFonts w:cs="Calibri"/>
                <w:b/>
              </w:rPr>
            </w:pPr>
            <w:r>
              <w:rPr>
                <w:rFonts w:cs="Calibri" w:hint="eastAsia"/>
                <w:b/>
                <w:szCs w:val="24"/>
              </w:rPr>
              <w:t>内容</w:t>
            </w:r>
          </w:p>
        </w:tc>
        <w:tc>
          <w:tcPr>
            <w:tcW w:w="4261" w:type="dxa"/>
            <w:shd w:val="clear" w:color="A6A6A6" w:fill="A6A6A6"/>
          </w:tcPr>
          <w:p>
            <w:pPr>
              <w:jc w:val="center"/>
              <w:rPr>
                <w:rFonts w:cs="Calibri"/>
                <w:b/>
              </w:rPr>
            </w:pPr>
            <w:r>
              <w:rPr>
                <w:rFonts w:cs="Calibri" w:hint="eastAsia"/>
                <w:b/>
                <w:szCs w:val="24"/>
              </w:rPr>
              <w:t>说</w:t>
            </w:r>
            <w:bookmarkStart w:id="43" w:name="集成需求_Title_说明_Required_Table"/>
            <w:r>
              <w:rPr>
                <w:rFonts w:cs="Calibri" w:hint="eastAsia"/>
                <w:b/>
                <w:szCs w:val="24"/>
              </w:rPr>
              <w:t>明</w:t>
            </w:r>
          </w:p>
        </w:tc>
        <w:tc>
          <w:tcPr>
            <w:tcW w:w="1704" w:type="dxa"/>
            <w:shd w:val="clear" w:color="A6A6A6" w:fill="A6A6A6"/>
          </w:tcPr>
          <w:p>
            <w:pPr>
              <w:jc w:val="center"/>
              <w:rPr>
                <w:rFonts w:cs="Calibri"/>
                <w:b/>
              </w:rPr>
            </w:pPr>
            <w:bookmarkEnd w:id="43"/>
            <w:r>
              <w:rPr>
                <w:rFonts w:cs="Calibri"/>
                <w:b/>
                <w:szCs w:val="24"/>
              </w:rPr>
              <w:t>证明材料要求</w:t>
            </w:r>
          </w:p>
        </w:tc>
      </w:tr>
      <w:tr>
        <w:tblPrEx>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jc w:val="center"/>
              <w:rPr>
                <w:rFonts w:cs="Calibri"/>
              </w:rPr>
            </w:pPr>
            <w:r>
              <w:rPr>
                <w:rFonts w:cs="Calibri" w:hint="eastAsia"/>
                <w:b/>
                <w:szCs w:val="24"/>
              </w:rPr>
              <w:t>1</w:t>
            </w:r>
          </w:p>
        </w:tc>
        <w:tc>
          <w:tcPr>
            <w:tcW w:w="1979"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业务需求</w:t>
            </w:r>
          </w:p>
        </w:tc>
        <w:tc>
          <w:tcPr>
            <w:tcW w:w="4261" w:type="dxa"/>
            <w:tcBorders>
              <w:top w:val="single" w:sz="4" w:space="0" w:color="auto"/>
              <w:left w:val="single" w:sz="4" w:space="0" w:color="auto"/>
              <w:right w:val="single" w:sz="4" w:space="0" w:color="auto"/>
            </w:tcBorders>
            <w:vAlign w:val="center"/>
          </w:tcPr>
          <w:p>
            <w:pPr>
              <w:pStyle w:val="795"/>
              <w:rPr>
                <w:rFonts w:cs="宋体"/>
                <w:spacing w:val="-4"/>
              </w:rPr>
            </w:pPr>
            <w:r>
              <w:rPr>
                <w:rFonts w:cs="宋体"/>
                <w:spacing w:val="-4"/>
              </w:rPr>
              <w:t>本项目建设系统需与“H4A系统”、“新旅通系统”、“新一代风控系统”、“一人一码”、“一企一账”、“海南征信平台”对接。</w:t>
            </w:r>
          </w:p>
        </w:tc>
        <w:tc>
          <w:tcPr>
            <w:tcW w:w="1704" w:type="dxa"/>
            <w:vAlign w:val="center"/>
          </w:tcPr>
          <w:p>
            <w:pPr>
              <w:rPr>
                <w:rFonts w:cs="Calibri"/>
                <w:lang w:bidi="en-US"/>
              </w:rPr>
            </w:pPr>
            <w:r>
              <w:rPr>
                <w:rFonts w:cs="Calibri"/>
                <w:szCs w:val="24"/>
                <w:lang w:bidi="en-US"/>
              </w:rPr>
              <w:t>否</w:t>
            </w:r>
          </w:p>
          <w:p>
            <w:pPr>
              <w:rPr>
                <w:rFonts w:ascii="方正楷体_GBK" w:eastAsia="方正楷体_GBK" w:cs="宋体"/>
                <w:b/>
                <w:bCs/>
                <w:iCs/>
                <w:kern w:val="0"/>
                <w:lang w:bidi="en-US"/>
              </w:rPr>
            </w:pPr>
          </w:p>
        </w:tc>
      </w:tr>
      <w:tr>
        <w:tblPrEx>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jc w:val="center"/>
              <w:rPr>
                <w:rFonts w:cs="Calibri"/>
              </w:rPr>
            </w:pPr>
            <w:r>
              <w:rPr>
                <w:rFonts w:cs="Calibri" w:hint="eastAsia"/>
                <w:b/>
                <w:szCs w:val="24"/>
              </w:rPr>
              <w:t>2</w:t>
            </w:r>
          </w:p>
        </w:tc>
        <w:tc>
          <w:tcPr>
            <w:tcW w:w="1979"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技术需求</w:t>
            </w:r>
          </w:p>
        </w:tc>
        <w:tc>
          <w:tcPr>
            <w:tcW w:w="4261" w:type="dxa"/>
            <w:tcBorders>
              <w:top w:val="single" w:sz="4" w:space="0" w:color="auto"/>
              <w:left w:val="single" w:sz="4" w:space="0" w:color="auto"/>
              <w:right w:val="single" w:sz="4" w:space="0" w:color="auto"/>
            </w:tcBorders>
            <w:vAlign w:val="center"/>
          </w:tcPr>
          <w:p>
            <w:pPr>
              <w:pStyle w:val="795"/>
              <w:rPr>
                <w:rFonts w:cs="宋体"/>
                <w:spacing w:val="-4"/>
              </w:rPr>
            </w:pPr>
            <w:r>
              <w:rPr>
                <w:rFonts w:cs="宋体"/>
                <w:spacing w:val="-4"/>
              </w:rPr>
              <w:t>本项目建设需符合海关的技术约束要求。系统采用JAVA，JDK8，基于海关应用云平台进行建设，技术方案基于应用云平台开发、部署特性设计，技术方案能充分体现微服务的独立性、可扩展性、隔离性等特点设计。</w:t>
            </w:r>
          </w:p>
        </w:tc>
        <w:tc>
          <w:tcPr>
            <w:tcW w:w="1704" w:type="dxa"/>
            <w:vAlign w:val="center"/>
          </w:tcPr>
          <w:p>
            <w:pPr>
              <w:rPr>
                <w:rFonts w:cs="Calibri"/>
                <w:lang w:bidi="en-US"/>
              </w:rPr>
            </w:pPr>
            <w:r>
              <w:rPr>
                <w:rFonts w:cs="Calibri"/>
                <w:szCs w:val="24"/>
                <w:lang w:bidi="en-US"/>
              </w:rPr>
              <w:t>否</w:t>
            </w:r>
          </w:p>
        </w:tc>
      </w:tr>
      <w:tr>
        <w:tblPrEx>
          <w:jc w:val="left"/>
          <w:tblInd w:w="0" w:type="dxa"/>
          <w:tblLayout w:type="fixed"/>
          <w:tblCellMar>
            <w:top w:w="0" w:type="dxa"/>
            <w:left w:w="108" w:type="dxa"/>
            <w:bottom w:w="0" w:type="dxa"/>
            <w:right w:w="108" w:type="dxa"/>
          </w:tblCellMar>
        </w:tblPrEx>
        <w:trPr>
          <w:trHeight w:val="1601"/>
          <w:jc w:val="left"/>
        </w:trPr>
        <w:tc>
          <w:tcPr>
            <w:tcW w:w="579" w:type="dxa"/>
            <w:vAlign w:val="center"/>
          </w:tcPr>
          <w:p>
            <w:pPr>
              <w:jc w:val="center"/>
              <w:rPr>
                <w:rFonts w:cs="Calibri"/>
              </w:rPr>
            </w:pPr>
            <w:r>
              <w:rPr>
                <w:rFonts w:cs="Calibri" w:hint="eastAsia"/>
                <w:b/>
                <w:szCs w:val="24"/>
              </w:rPr>
              <w:t>3</w:t>
            </w:r>
          </w:p>
        </w:tc>
        <w:tc>
          <w:tcPr>
            <w:tcW w:w="1979" w:type="dxa"/>
            <w:tcBorders>
              <w:top w:val="single" w:sz="4" w:space="0" w:color="auto"/>
              <w:left w:val="single" w:sz="4" w:space="0" w:color="auto"/>
              <w:right w:val="single" w:sz="4" w:space="0" w:color="auto"/>
            </w:tcBorders>
            <w:vAlign w:val="center"/>
          </w:tcPr>
          <w:p>
            <w:pPr>
              <w:rPr>
                <w:rFonts w:cs="Calibri"/>
                <w:b/>
              </w:rPr>
            </w:pPr>
            <w:r>
              <w:rPr>
                <w:rFonts w:cs="Calibri" w:hint="eastAsia"/>
                <w:b/>
                <w:szCs w:val="24"/>
              </w:rPr>
              <w:t>系统需求</w:t>
            </w:r>
          </w:p>
        </w:tc>
        <w:tc>
          <w:tcPr>
            <w:tcW w:w="4261" w:type="dxa"/>
            <w:tcBorders>
              <w:top w:val="single" w:sz="4" w:space="0" w:color="auto"/>
              <w:left w:val="single" w:sz="4" w:space="0" w:color="auto"/>
              <w:right w:val="single" w:sz="4" w:space="0" w:color="auto"/>
            </w:tcBorders>
            <w:vAlign w:val="center"/>
          </w:tcPr>
          <w:p>
            <w:pPr>
              <w:pStyle w:val="795"/>
              <w:rPr>
                <w:rFonts w:cs="宋体"/>
                <w:spacing w:val="-4"/>
              </w:rPr>
            </w:pPr>
            <w:r>
              <w:rPr>
                <w:rFonts w:cs="宋体"/>
                <w:spacing w:val="-4"/>
              </w:rPr>
              <w:t>本项目的建设与管理要符合海关应用项目的有关管理规定、技术架构、标准规范等方面要求，符合海关信息化建设集成的设计要求及相关标准规范。</w:t>
            </w:r>
          </w:p>
          <w:p>
            <w:pPr>
              <w:pStyle w:val="795"/>
              <w:rPr>
                <w:rFonts w:cs="宋体"/>
                <w:spacing w:val="-4"/>
              </w:rPr>
            </w:pPr>
            <w:r>
              <w:rPr>
                <w:rFonts w:cs="宋体"/>
                <w:spacing w:val="-4"/>
              </w:rPr>
              <w:t>本系统能够支持国产化操作系统；支持国产化数据库系统，确保数据的安全存储与高效处理保证系统架构的完整性与稳定性。</w:t>
            </w:r>
          </w:p>
          <w:p>
            <w:pPr>
              <w:pStyle w:val="795"/>
              <w:rPr>
                <w:rFonts w:cs="宋体"/>
                <w:spacing w:val="-4"/>
              </w:rPr>
            </w:pPr>
            <w:r>
              <w:rPr>
                <w:rFonts w:cs="宋体"/>
                <w:spacing w:val="-4"/>
              </w:rPr>
              <w:t>系统应按照项目管理要求、技术要求、集成要求和方案编制要求开展实施集工作，并接受和配合集成联调测试工作。</w:t>
            </w:r>
          </w:p>
        </w:tc>
        <w:tc>
          <w:tcPr>
            <w:tcW w:w="1704" w:type="dxa"/>
            <w:vAlign w:val="center"/>
          </w:tcPr>
          <w:p>
            <w:pPr>
              <w:rPr>
                <w:rFonts w:cs="Calibri"/>
                <w:lang w:bidi="en-US"/>
              </w:rPr>
            </w:pPr>
            <w:r>
              <w:rPr>
                <w:rFonts w:cs="Calibri"/>
                <w:szCs w:val="24"/>
                <w:lang w:bidi="en-US"/>
              </w:rPr>
              <w:t>否</w:t>
            </w:r>
          </w:p>
        </w:tc>
      </w:tr>
    </w:tbl>
    <w:p/>
    <w:p>
      <w:pPr>
        <w:pStyle w:val="Heading2"/>
        <w:numPr>
          <w:ilvl w:val="0"/>
          <w:numId w:val="2"/>
        </w:numPr>
      </w:pPr>
      <w:r>
        <w:rPr>
          <w:rFonts w:hint="eastAsia"/>
        </w:rPr>
        <w:t>货</w:t>
      </w:r>
      <w:bookmarkStart w:id="44" w:name="货物或服务指标要求"/>
      <w:r>
        <w:rPr>
          <w:rFonts w:hint="eastAsia"/>
        </w:rPr>
        <w:t>物或服务指标要求</w:t>
      </w:r>
    </w:p>
    <w:p>
      <w:bookmarkEnd w:id="44"/>
      <w:r>
        <w:rPr>
          <w:rFonts w:hint="eastAsia"/>
        </w:rPr>
        <w:t>①★代表实质性指标，不满足该指标项将导致投标被拒绝；加 “▲”标记表示为重要指标项，无标识则表示一般指标项，如不满足将影响评分。</w:t>
      </w:r>
    </w:p>
    <w:p>
      <w:r>
        <w:rPr>
          <w:rFonts w:hint="eastAsia"/>
        </w:rPr>
        <w:t>②“证明材料要求”项可填“是”和“否”。填“是”的，投标人须</w:t>
      </w:r>
      <w:r>
        <w:t>按</w:t>
      </w:r>
      <w:r>
        <w:rPr>
          <w:rFonts w:hint="eastAsia"/>
        </w:rPr>
        <w:t>指标</w:t>
      </w:r>
      <w:r>
        <w:t>要求提供相关</w:t>
      </w:r>
      <w:r>
        <w:rPr>
          <w:rFonts w:hint="eastAsia"/>
        </w:rPr>
        <w:t>证明材料。未提供有效证明材料或证明材料中内容与指标</w:t>
      </w:r>
      <w:r>
        <w:t>要求</w:t>
      </w:r>
      <w:r>
        <w:rPr>
          <w:rFonts w:hint="eastAsia"/>
        </w:rPr>
        <w:t>不一致的，该</w:t>
      </w:r>
      <w:r>
        <w:t>项</w:t>
      </w:r>
      <w:r>
        <w:rPr>
          <w:rFonts w:hint="eastAsia"/>
        </w:rPr>
        <w:t>按不满足处理。</w:t>
      </w:r>
    </w:p>
    <w:p>
      <w:pPr>
        <w:pStyle w:val="BodyText3"/>
        <w:rPr>
          <w:rFonts w:ascii="宋体" w:eastAsia="宋体"/>
        </w:rPr>
      </w:pPr>
    </w:p>
    <w:tbl>
      <w:tblPr>
        <w:tblW w:w="4998"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646"/>
        <w:gridCol w:w="648"/>
        <w:gridCol w:w="1224"/>
        <w:gridCol w:w="4931"/>
        <w:gridCol w:w="1071"/>
      </w:tblGrid>
      <w:tr>
        <w:tblPrEx>
          <w:tblW w:w="4998"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6A6A6"/>
            <w:vAlign w:val="center"/>
          </w:tcPr>
          <w:p>
            <w:pPr>
              <w:widowControl/>
              <w:jc w:val="center"/>
              <w:textAlignment w:val="center"/>
              <w:rPr>
                <w:rFonts w:ascii="宋体" w:cs="宋体"/>
                <w:b/>
                <w:bCs/>
                <w:color w:val="000000"/>
              </w:rPr>
            </w:pPr>
            <w:bookmarkStart w:id="45" w:name="指标明细_index_Required_goodsId"/>
            <w:bookmarkEnd w:id="45"/>
            <w:r>
              <w:rPr>
                <w:rFonts w:ascii="宋体" w:cs="宋体" w:hint="eastAsia"/>
                <w:b/>
                <w:bCs/>
                <w:color w:val="000000"/>
                <w:kern w:val="0"/>
                <w:sz w:val="24"/>
                <w:szCs w:val="24"/>
              </w:rPr>
              <w:t>序号</w:t>
            </w:r>
          </w:p>
        </w:tc>
        <w:tc>
          <w:tcPr>
            <w:tcW w:w="380" w:type="pct"/>
            <w:tcBorders>
              <w:top w:val="single" w:sz="4" w:space="0" w:color="000000"/>
              <w:left w:val="single" w:sz="4" w:space="0" w:color="000000"/>
              <w:bottom w:val="single" w:sz="4" w:space="0" w:color="000000"/>
              <w:right w:val="single" w:sz="4" w:space="0" w:color="000000"/>
            </w:tcBorders>
            <w:shd w:val="clear" w:color="auto" w:fill="A6A6A6"/>
            <w:vAlign w:val="center"/>
          </w:tcPr>
          <w:p>
            <w:pPr>
              <w:widowControl/>
              <w:jc w:val="center"/>
              <w:textAlignment w:val="center"/>
              <w:rPr>
                <w:rFonts w:ascii="宋体" w:cs="宋体"/>
                <w:b/>
                <w:bCs/>
                <w:color w:val="000000"/>
              </w:rPr>
            </w:pPr>
            <w:r>
              <w:rPr>
                <w:rFonts w:ascii="宋体" w:cs="宋体" w:hint="eastAsia"/>
                <w:b/>
                <w:bCs/>
                <w:color w:val="000000"/>
                <w:kern w:val="0"/>
                <w:sz w:val="24"/>
                <w:szCs w:val="24"/>
              </w:rPr>
              <w:t>重要性</w:t>
            </w:r>
          </w:p>
        </w:tc>
        <w:tc>
          <w:tcPr>
            <w:tcW w:w="718" w:type="pct"/>
            <w:tcBorders>
              <w:top w:val="single" w:sz="4" w:space="0" w:color="000000"/>
              <w:left w:val="single" w:sz="4" w:space="0" w:color="000000"/>
              <w:bottom w:val="single" w:sz="4" w:space="0" w:color="000000"/>
              <w:right w:val="single" w:sz="4" w:space="0" w:color="000000"/>
            </w:tcBorders>
            <w:shd w:val="clear" w:color="auto" w:fill="A6A6A6"/>
            <w:vAlign w:val="center"/>
          </w:tcPr>
          <w:p>
            <w:pPr>
              <w:widowControl/>
              <w:jc w:val="center"/>
              <w:textAlignment w:val="center"/>
              <w:rPr>
                <w:rFonts w:ascii="宋体" w:cs="宋体"/>
                <w:b/>
                <w:bCs/>
                <w:color w:val="000000"/>
              </w:rPr>
            </w:pPr>
            <w:r>
              <w:rPr>
                <w:rFonts w:ascii="宋体" w:cs="宋体" w:hint="eastAsia"/>
                <w:b/>
                <w:bCs/>
                <w:color w:val="000000"/>
                <w:kern w:val="0"/>
                <w:sz w:val="24"/>
                <w:szCs w:val="24"/>
              </w:rPr>
              <w:t>指标项</w:t>
            </w:r>
          </w:p>
        </w:tc>
        <w:tc>
          <w:tcPr>
            <w:tcW w:w="2892" w:type="pct"/>
            <w:tcBorders>
              <w:top w:val="single" w:sz="4" w:space="0" w:color="000000"/>
              <w:left w:val="single" w:sz="4" w:space="0" w:color="000000"/>
              <w:bottom w:val="single" w:sz="4" w:space="0" w:color="000000"/>
              <w:right w:val="single" w:sz="4" w:space="0" w:color="000000"/>
            </w:tcBorders>
            <w:shd w:val="clear" w:color="auto" w:fill="A6A6A6"/>
            <w:vAlign w:val="center"/>
          </w:tcPr>
          <w:p>
            <w:pPr>
              <w:widowControl/>
              <w:jc w:val="center"/>
              <w:textAlignment w:val="center"/>
              <w:rPr>
                <w:rFonts w:ascii="宋体" w:cs="宋体"/>
                <w:b/>
                <w:bCs/>
                <w:color w:val="000000"/>
              </w:rPr>
            </w:pPr>
            <w:r>
              <w:rPr>
                <w:rFonts w:ascii="宋体" w:cs="宋体" w:hint="eastAsia"/>
                <w:b/>
                <w:bCs/>
                <w:color w:val="000000"/>
                <w:kern w:val="0"/>
                <w:sz w:val="24"/>
                <w:szCs w:val="24"/>
              </w:rPr>
              <w:t>指标要求</w:t>
            </w:r>
          </w:p>
        </w:tc>
        <w:tc>
          <w:tcPr>
            <w:tcW w:w="628" w:type="pct"/>
            <w:tcBorders>
              <w:top w:val="single" w:sz="4" w:space="0" w:color="000000"/>
              <w:left w:val="single" w:sz="4" w:space="0" w:color="000000"/>
              <w:bottom w:val="single" w:sz="4" w:space="0" w:color="000000"/>
              <w:right w:val="single" w:sz="4" w:space="0" w:color="000000"/>
            </w:tcBorders>
            <w:shd w:val="clear" w:color="auto" w:fill="A6A6A6"/>
            <w:vAlign w:val="center"/>
          </w:tcPr>
          <w:p>
            <w:pPr>
              <w:widowControl/>
              <w:jc w:val="center"/>
              <w:textAlignment w:val="center"/>
              <w:rPr>
                <w:rFonts w:ascii="宋体" w:cs="宋体"/>
                <w:b/>
                <w:bCs/>
                <w:color w:val="000000"/>
              </w:rPr>
            </w:pPr>
            <w:r>
              <w:rPr>
                <w:rFonts w:ascii="宋体" w:cs="宋体" w:hint="eastAsia"/>
                <w:b/>
                <w:bCs/>
                <w:color w:val="000000"/>
                <w:kern w:val="0"/>
                <w:sz w:val="24"/>
                <w:szCs w:val="24"/>
              </w:rPr>
              <w:t>证明材料要求</w:t>
            </w:r>
          </w:p>
        </w:tc>
      </w:tr>
      <w:tr>
        <w:tblPrEx>
          <w:tblW w:w="4998" w:type="pct"/>
          <w:jc w:val="left"/>
          <w:tblInd w:w="0" w:type="dxa"/>
          <w:tblCellMar>
            <w:top w:w="0" w:type="dxa"/>
            <w:left w:w="108" w:type="dxa"/>
            <w:bottom w:w="0" w:type="dxa"/>
            <w:right w:w="108" w:type="dxa"/>
          </w:tblCellMar>
        </w:tblPrEx>
        <w:trPr>
          <w:trHeight w:val="1117"/>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w:t>
            </w: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技术要求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1、本项目所用的开发语言、开发工具及数据库需符合海关总署技术约束要求。</w:t>
            </w:r>
            <w:r>
              <w:rPr>
                <w:rFonts w:cs="宋体" w:hint="eastAsia"/>
                <w:color w:val="000000"/>
                <w:kern w:val="0"/>
                <w:sz w:val="24"/>
                <w:szCs w:val="24"/>
              </w:rPr>
              <w:t>必须严格遵循海关信息化应用开发架构建设要求，基于统一开发架构（HDA）实施。</w:t>
            </w:r>
            <w:r>
              <w:rPr>
                <w:rFonts w:ascii="宋体" w:cs="宋体" w:hint="eastAsia"/>
                <w:color w:val="000000"/>
                <w:kern w:val="0"/>
                <w:sz w:val="24"/>
                <w:szCs w:val="24"/>
              </w:rPr>
              <w:br/>
              <w:t>2、容错处理周全，考虑到用户可能的误操作以及非法参数设置，能够及时提示，避免因用户操作或系统原因导致系统死机或让用户长时间等待。</w:t>
              <w:br/>
              <w:t>3、本项目应用软件的运行环境，须兼容国产化硬件和操作系统，例如国产服务器、国产操作系统等。对于应用软件的开发环境，须采用符合国产化技术路线的开发工具和开发环境，以确保软件开发过程与国产化方向的一致性。</w:t>
              <w:br/>
              <w:t>4、本项目需通过国产化适配测试，包括但不限于与国产化硬件设备的兼容性测试。需满足国产化适配的具体要求，包括但不限于软件架构、编程语言、数据库、中间件等方面的适配要求。对于国产化软硬件产品的兼容性测试，须确保软件与国产化环境的无缝集成和互操作性。提供必要的技术支持，包括解决在国产化适配过程中可能出现的技术问题。</w:t>
              <w:br/>
              <w:t>5、软件产品工具须满足总署相关内控规定，系统平台具备较强的稳定性、高效性、灵活性、安全性和可靠性。</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是，提供《承诺函》并加盖单位公章</w:t>
            </w:r>
          </w:p>
        </w:tc>
      </w:tr>
      <w:tr>
        <w:tblPrEx>
          <w:tblW w:w="4998" w:type="pct"/>
          <w:jc w:val="left"/>
          <w:tblInd w:w="0" w:type="dxa"/>
          <w:tblCellMar>
            <w:top w:w="0" w:type="dxa"/>
            <w:left w:w="108" w:type="dxa"/>
            <w:bottom w:w="0" w:type="dxa"/>
            <w:right w:w="108" w:type="dxa"/>
          </w:tblCellMar>
        </w:tblPrEx>
        <w:trPr>
          <w:trHeight w:val="399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w:t>
            </w: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应用双活运行要求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本系统需要满足异地双活运行，</w:t>
            </w:r>
            <w:r>
              <w:rPr>
                <w:rFonts w:ascii="宋体" w:cs="宋体"/>
                <w:color w:val="000000"/>
                <w:kern w:val="0"/>
                <w:sz w:val="24"/>
                <w:szCs w:val="24"/>
              </w:rPr>
              <w:t>中标后</w:t>
            </w:r>
            <w:r>
              <w:rPr>
                <w:rFonts w:ascii="宋体" w:cs="宋体" w:hint="eastAsia"/>
                <w:color w:val="000000"/>
                <w:kern w:val="0"/>
                <w:sz w:val="24"/>
                <w:szCs w:val="24"/>
              </w:rPr>
              <w:t>提供设计方案。</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是，提供《承诺函》并加盖单位公章。</w:t>
            </w:r>
          </w:p>
        </w:tc>
      </w:tr>
      <w:tr>
        <w:tblPrEx>
          <w:tblW w:w="4998" w:type="pct"/>
          <w:jc w:val="left"/>
          <w:tblInd w:w="0" w:type="dxa"/>
          <w:tblCellMar>
            <w:top w:w="0" w:type="dxa"/>
            <w:left w:w="108" w:type="dxa"/>
            <w:bottom w:w="0" w:type="dxa"/>
            <w:right w:w="108" w:type="dxa"/>
          </w:tblCellMar>
        </w:tblPrEx>
        <w:trPr>
          <w:trHeight w:val="2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历史数据迁移要求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本系统不涉及历史数据迁移。</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2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新老系统切换要求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本系统不涉及新老系统切换。</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2942"/>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非功能性要求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宋体" w:cs="宋体"/>
                <w:color w:val="000000"/>
              </w:rPr>
            </w:pPr>
            <w:r>
              <w:rPr>
                <w:rFonts w:ascii="宋体" w:cs="宋体" w:hint="eastAsia"/>
                <w:color w:val="000000"/>
                <w:kern w:val="0"/>
                <w:sz w:val="24"/>
                <w:szCs w:val="24"/>
              </w:rPr>
              <w:t>1、运维保障等级：二级。</w:t>
              <w:br/>
              <w:t>2、业务覆盖区域范围：海口海关关区范围内。</w:t>
              <w:br/>
              <w:t>3、用户类型：海口海关关员。</w:t>
              <w:br/>
              <w:t>4、业务类别：业务服务类。</w:t>
              <w:br/>
              <w:t>5、系统功能应急方案制定情况：可以被其他系统或人工替代。</w:t>
              <w:br/>
              <w:t>6、业务实时性：准实时类（T+0内完成交易处理）。</w:t>
              <w:br/>
              <w:t>7、系统服务时间：7*24。</w:t>
              <w:br/>
              <w:t>8、业务高峰时段：上午10点到12点，下午2点30到4点30。</w:t>
              <w:br/>
              <w:t>9、灾难情况下核心/非核心服务中断不可容忍时间：容忍时间小于4小时。</w:t>
              <w:br/>
              <w:t>10、灾难情况下核心/非核心功能故障允许丢失多长时间数据：容忍时间不大于1小时。</w:t>
              <w:br/>
              <w:t>11、数据不可追溯性：数据丢失，部分数据可以通过技术手段追补。</w:t>
              <w:br/>
              <w:t>12、“一年/三年内高峰日高峰时段联机交易处理能力”：0-50笔/秒。</w:t>
              <w:br/>
              <w:t>13、数据生命周期：3年。</w:t>
              <w:br/>
              <w:t>14、典型交易响应时间：响应时效不超过3秒。</w:t>
              <w:br/>
              <w:t>15、数据类型及敏感度：本系统主要为内部数据，不涉及敏感数据。</w:t>
              <w:br/>
              <w:t>16、“节点处理模式类别”：联机交易处理系统。</w:t>
              <w:br/>
              <w:t>17、系统架构模式类别：B/S</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r>
      <w:tr>
        <w:tblPrEx>
          <w:tblW w:w="4998" w:type="pct"/>
          <w:jc w:val="left"/>
          <w:tblInd w:w="0" w:type="dxa"/>
          <w:tblCellMar>
            <w:top w:w="0" w:type="dxa"/>
            <w:left w:w="108" w:type="dxa"/>
            <w:bottom w:w="0" w:type="dxa"/>
            <w:right w:w="108" w:type="dxa"/>
          </w:tblCellMar>
        </w:tblPrEx>
        <w:trPr>
          <w:trHeight w:val="2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系统部署要求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开发测试完成后，根据采购人规定时间内完成系统部署。</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2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权限要求</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本系统通过集成H4A系统实现实时身份认证和权限控制，确保操作安全合规。</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旅检移动应用-一线旅检单兵应用-支持一线通关业务</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基于现有一线旅检业务操作系统新建一线旅检单兵应用，并针对单兵应用操作进行优化，现场关员可以按实际情况选择业务类型（一线进境、一线出境），选择业务类型后，系统自动记录现场关员操作业务单证的业务类型，并可支持现场关员按业务类型进行业务查询统计。</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旅检移动应用-一线旅检单兵应用-健康申报管理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旅检单兵应用接收互联网申报健康申报信息，或现场录入健康申报信息，系统根据健康申报信息生成健康申明凭证，辅助海关人员实时验核旅客健康状态，同时提供健康申报关里、布控查询等功能，支撑精准检疫与风险管控。</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旅检移动应用-一线旅检单兵应用-物品申报-旅客身份信息管理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639"/>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旅检移动应用-一线旅检单兵应用-物品申报-物品申报作业单现场录入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1、物品申报单信息数据包括：物品属性、物品名称、HScode、物品规格、物品型号、物品品牌、物品重量、物品数量、进出境类型、进出境时间、申报人员、申报时间等。系统支持申报物品数据录入、复制、修改、清空、删除等功能，现场关员可通过对应功能对申报物品数据进行对应操作。</w:t>
              <w:br/>
              <w:t>2、系统支持对物品进行拍照，应用常用应税物品识别模型，自动识别物品信息，包括物品属性、物品名称、HScode、物品规格、物品型号、物品品牌等。对物品完成识别后，对该物品所属的物品类别进行自动判断。</w:t>
              <w:br/>
              <w:t>3、系统支持电子签名功能，现场关员可通过该功能在移动单兵应用的查验页面完成电子签名。</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旅检移动应用-一线旅检单兵应用-物品申报-申报作业单审核</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申报作业单数据手工录入和扫码调阅功能。海关现场关员使用单兵设备扫码，扫码后对申报作业单进行审核，审核通过后发送通过回执，审核不通过执行退单，并发送退单回执。对于待确认申报作业单，关员可对其进行申报作业单物品信息修改、撤回、关闭、确认申报等操作。若申报物品触发携带禁限类物品风险提示规则，则在现场关员单兵应用端进行提示。</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旅检移动应用-一线旅检单兵应用-物品申报-申报作业单分类管理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系统支持申报作业单分类管理功能，现场关员可通过该功能进行已录入、待审核、已受理等分类申报作业单的调阅与操作。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旅检移动应用-一线旅检单兵应用-物品申报-业务流转</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用户根据申报情况做出相应的业务处理，并将数据流转交由下一业务环节用户进行处理。包括申报岗用户通过系统将业务处理意见（电子数据）转交查验、转交处置岗、征税、案件管理、仓库管理、暂时进出境等岗位用户进行后续业务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旅检移动应用-一线旅检单兵应用-查验模块-实施查验功能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系统支持实施查验功能，现场关员通过新增实施查验功能模块，在移动单兵应用进行实施查验操作，查验完成后填写查验数据，生成新的查验单。</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旅检移动应用-一线旅检单兵应用-查验模块-查验单分类管理功能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现场关员在移动单兵应用打开查验单分类表单，查看查验单的状态，进行查验待办、已查验等分类查验作业单的调阅与操作。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旅检移动应用-一线旅检单兵应用-查验模块-特殊物品审批核验</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系统支持特殊物品审批功能，现场关员可通过该功能在移动单兵应用的查验页面录入特殊物品审批单号核实特殊物品的审批情况。</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旅检移动应用-一线旅检单兵应用-查验模块-特殊物品审批单详情调阅</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系统支持特殊物品审批单详情调阅功能，现场关员可通过该功能在移动单兵应用的查验页面调阅特殊物品审批单详情。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旅检移动应用-一线旅检单兵应用-查验模块-知识产权查询</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知识产权查询功能，现场关员可通过该功能在移动单兵应用的查验页面查询知识产权情况。包括：知识产权详情表单，包括知识产权编号、知识产权类型、确权编号、关区名称、立案编号、权利人名称、权利人国别、企业名称、企业编码、地址、联系方式、扣留时间、立案时间、扣留价值、扣留数量、启运国、抵运国等字段。</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旅检移动应用-一线旅检单兵应用-查验模块-商品信息快速录入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系统支持舱单信息快速录入功能，现场关员可通过该功能在移动单兵应用的查验页面通过选择热门商品完成商品信息快速录入。</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旅检移动应用-一线旅检单兵应用-查验模块-拍照识图快速录入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系统支持拍照识图快速录入功能，现场关员可通过该功能在移动单兵应用的查验页面进行物品拍照，系统自动调用拍照识图服务识别物品名称、商品类别等数据实现物品信息快速录入。</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旅检移动应用-一线旅检单兵应用-查验模块-舱单信息快速查询</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系统支持舱单信息快速查询功能，现场关员可通过该功能在移动单兵应用的查验页面通过输入运输工具号完成舱单信息快速查询。</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旅检移动应用-一线旅检单兵应用-查验模块-告知书签署</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系统支持告知书签署功能，现场关员可通过该功能在移动单兵应用的查验页面完成告知书签署。</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旅检移动应用-一线旅检单兵应用-查验模块-拍照识图</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对物品进行拍照，应用常用应税物品识别模型，自动识别物品信息。用户使用单兵设备对物品进行拍照，旅通单兵应用系统通过用户所拍照片，应用物品识别模型，对照片中的物品信息进行识别，并对识别到的物品信息进行入库操作，同时展示在前端页面，供用户查看。</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旅检移动应用-一线旅检单兵应用-查验模块-智能归类</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旅通单兵应用系统识别完成后，对该物品所属的物品类别进行自动判断，并将判断信息进行入库及前端页面展示操作。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旅检移动应用-一线旅检单兵应用-查验模块-电子签名</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现场关员使用移动单兵设备，在旅通单兵应用的查验页面进行电子签名，系统接收到电子签名信息，并将其与查验单进行关联，系统返回电子签名结果信息至前端页面。</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731"/>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旅检移动应用-一线旅检单兵应用-查验模块-携带禁限类物品一线入境风险提示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系统提供风险提示功能，系统识别到携带禁限类物品一线入境风险后，将风险信息发送至前端页面，对用户进行风险提示，帮助用户及时发现风险，协助海关监管。</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旅检移动应用-一线旅检单兵应用-查验模块-携带禁限类物品一线出境风险提示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系统提供风险提示功能，系统识别到携带禁限类物品一线出境风险后，将风险信息发送至前端页面，对用户进行风险提示，帮助用户及时发现风险，协助海关监管。</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29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旅检移动应用-一线旅检单兵应用-查验模块-诚信旅客提示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系统识别到旅客信息后，结合旅客以往进出境情况，对旅客诚信等级进行判定，并将旅客诚信情况展示在前端页面，提示海关关员。</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旅检移动应用-一线旅检单兵应用-查验模块-风险对碰</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现场关员使用单兵设备，在旅通单兵应用系统查验页面录入旅客信息，系统自动将旅客信息与风险指令进行对碰，产生风险对碰结果数据。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旅检移动应用-一线旅检单兵应用-查验模块-风险预警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风险预警功能，当旅客基本信息与风险指令对碰成功后，系统自动生成风险预警信息，对该名旅客进行预警，并将风险预警信息发送至前端页面，现场关员使用单兵设备在旅通单兵应用系统查验页面对该旅客命中的风险信息进行查看。</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为便于操作，此功能模块镶嵌在</w:t>
            </w:r>
            <w:r>
              <w:rPr>
                <w:rFonts w:ascii="Times New Roman" w:hAnsi="Times New Roman"/>
                <w:color w:val="000000"/>
                <w:kern w:val="0"/>
                <w:sz w:val="24"/>
                <w:szCs w:val="24"/>
              </w:rPr>
              <w:t>“</w:t>
            </w:r>
            <w:r>
              <w:rPr>
                <w:rFonts w:ascii="宋体" w:cs="宋体" w:hint="eastAsia"/>
                <w:color w:val="000000"/>
                <w:kern w:val="0"/>
                <w:sz w:val="24"/>
                <w:szCs w:val="24"/>
              </w:rPr>
              <w:t>查验管理</w:t>
            </w:r>
            <w:r>
              <w:rPr>
                <w:rFonts w:ascii="Times New Roman" w:hAnsi="Times New Roman"/>
                <w:color w:val="000000"/>
                <w:kern w:val="0"/>
                <w:sz w:val="24"/>
                <w:szCs w:val="24"/>
              </w:rPr>
              <w:t>”</w:t>
            </w:r>
            <w:r>
              <w:rPr>
                <w:rFonts w:ascii="宋体" w:cs="宋体" w:hint="eastAsia"/>
                <w:color w:val="000000"/>
                <w:kern w:val="0"/>
                <w:sz w:val="24"/>
                <w:szCs w:val="24"/>
              </w:rPr>
              <w:t>的各个子模块中。）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20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一人一码”风险信息预警功能，获取到“一人一码”系统的风险信息后，系统将风险信息返回至查验列表前端页面，对风险信息进行预警，现场关员可使用单兵设备在旅通单兵应用系统查验列表中查看相关风险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旅检移动应用-一线旅检单兵应用-查验模块-</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风险信息详情展示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一人一码”进出境旅客风险信息详情展示功能，获取到“一人一码”系统的进出境旅客风险信息后，系统将风险信息返回至查验列表前端页面，对风险信息进行预警，现场关员可使用单兵设备在旅通单兵应用系统查验列表中点击风险预警详情按钮，在查验环节查看相关风险信息详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旅检移动应用-一线旅检单兵应用-现场调研-现场调研分类管理功能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系统支持现场调研分类管理功能，现场关员可通过在移动单兵应用进行待处理、已处理等分类现场调研作业单的调阅与操作。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旅检移动应用-一线旅检单兵应用-现场调研-人脸预警信息对接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人脸预警信息对接功能，接收智慧旅检辅助系统(人脸识别项目)或旅客通关管理（一线业务操作系统）等系统的人脸预警信息。系统与智慧旅检辅助系统(人脸识别项目)、旅客通关管理等系统对接，获取人脸预警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旅检移动应用-一线旅检单兵应用-现场调研-人脸预警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系统支持风险预警功能，现场关员可通过该功能在移动单兵应用的现场调研页面查看该旅客的人脸抓拍预警信息。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旅检移动应用-一线旅检单兵应用-现场调研-旅客信息绑定</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系统支持旅客信息绑定功能，现场关员可通过该功能在移动单兵应用的现场调研页面查看对仅有人脸指令的预警信息进行旅客信息绑定操作。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39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旅检移动应用-一线旅检单兵应用-现场调研-预警信息过期自动处理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系统支持预警信息过期自动处理功能，系统自动将超过24小时人脸预警的信息为未找到旅客的指令进行已过期的标记。</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旅检移动应用-一线旅检单兵应用-现场调研-人脸预警信息合并展示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系统支持人脸预警信息自动合并功能，针对当次通关的多头人员预警信息，系统自动合并展示。</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为便于操作，此功能模块镶嵌在</w:t>
            </w:r>
            <w:r>
              <w:rPr>
                <w:rFonts w:ascii="Times New Roman" w:hAnsi="Times New Roman"/>
                <w:color w:val="000000"/>
                <w:kern w:val="0"/>
                <w:sz w:val="24"/>
                <w:szCs w:val="24"/>
              </w:rPr>
              <w:t>“</w:t>
            </w:r>
            <w:r>
              <w:rPr>
                <w:rFonts w:ascii="宋体" w:cs="宋体" w:hint="eastAsia"/>
                <w:color w:val="000000"/>
                <w:kern w:val="0"/>
                <w:sz w:val="24"/>
                <w:szCs w:val="24"/>
              </w:rPr>
              <w:t>现场调研</w:t>
            </w:r>
            <w:r>
              <w:rPr>
                <w:rFonts w:ascii="Times New Roman" w:hAnsi="Times New Roman"/>
                <w:color w:val="000000"/>
                <w:kern w:val="0"/>
                <w:sz w:val="24"/>
                <w:szCs w:val="24"/>
              </w:rPr>
              <w:t>”</w:t>
            </w:r>
            <w:r>
              <w:rPr>
                <w:rFonts w:ascii="宋体" w:cs="宋体" w:hint="eastAsia"/>
                <w:color w:val="000000"/>
                <w:kern w:val="0"/>
                <w:sz w:val="24"/>
                <w:szCs w:val="24"/>
              </w:rPr>
              <w:t>的各个子模块中。）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20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系统获取</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系统的风险信息，在风险信息预警展示功能中集中展示一线旅检现场调研环节的风险信息。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旅检移动应用-一线旅检单兵应用-现场调研-</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风险信息详情展示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风险信息详情展示功能，用户可在此功能中查看风险详情。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1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旅检移动应用-一线旅检单兵应用-处置流转-查验单调阅</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查验单调阅功能，现场关员可通过该功能打开申报、查验单的详情。海关人员选择要进行调阅的查验单，点击调阅按钮，系统自动调用对应查验单的详情表单，将选中的查验单数据详情展示在详情页面内。查验单信息数据，包括查验单编号、进出口标志、主要商品编号、主要货物名称、运输工具名称、运输工具航次（班）号、运输方式代码、经营单位编号、经营单位名称、货主单位地区代码、货主单位代码、货主单位名称、申报单位代码、申报单位名称等。</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旅检移动应用-一线旅检单兵应用-处置流转-处置流转分类管理功能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系统支持处置流转分类管理功能，现场关员可通过在移动单兵应用进行待处理、已处理等分类处置流转作业单的调阅与操作。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旅检移动应用-一线旅检单兵应用-处置流转-流转到后续</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海关人员选择要进行流转的查验单，点击流转按钮，系统按业务需求自动将选中的查验单进行流转，流转到后续模块，可对其进行后续的业务操作。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旅检移动应用-一线旅检单兵应用-处置流转-退回</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海关人员选择要进行退回的查验单，点击退回按钮，系统自动将选中的查验单进行退回，并反馈退回结果信息。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旅检移动应用-一线旅检单兵应用-处置流转-核放</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海关人员选择要进行核放的查验单，点击核放按钮，系统自动将选中的查验单进行核放，并反馈核放结果信息。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49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旅检移动应用-一线旅检单兵应用-处置流转-二次流转</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海关人员选择要进行二次流转的查验单，点击流转按钮，系统自动将选中的查验单进行二次流转，并反馈二次流转结果信息。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旅检移动应用-一线旅检单兵应用-处置流转-进出境记录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现场海关人员选择需要查看的进出境记录数据，点击查看按钮，系统自动调用对应进出境记录信息的详情表单，将选中的旅客进出境记录数据详情展示在详情页面内。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旅检移动应用-一线旅检单兵应用-处置流转-申报查验记录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现场海关人员选择需要查看的申报查验记录数据，点击查看按钮，系统自动调用对应申报查验记录信息的详情表单，将选中的申报查验记录数据详情展示在详情页面内。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旅检移动应用-一线旅检单兵应用-处置流转-当日现场进出镜记录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现场海关人员选择需要查看的当日现场进出境记录数据，点击查看按钮，系统自动调用对应当日现场进出境记录信息的详情表单，将选中旅客的当日现场进出境记录数据详情展示在详情页面内。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旅检移动应用-一线旅检单兵应用-处置流转-未结束业务</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现场海关人员选择需要查看的未结束业务记录数据，点击查看按钮，系统自动调用对应未结束业务记录信息的详情表单，将选中的旅客未结束的查验记录数据详情展示在详情页面内。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7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旅检移动应用-一线旅检单兵应用-即时通讯功能-一对一通讯</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系统支持使用单兵关员实现一对一视频、语音对话通讯。现场海关人员选择需要通讯对象名称，选择视频或语音通讯实现即时一对一沟通。</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旅检移动应用-一线旅检单兵应用-即时通讯功能-多人通讯</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系统支持多人同时通过语音或视频进行即时通讯，可同时多人在线讨论。现场海关人员选择需要通讯对象名称，可选择群组，选择语音或视频的通讯方式，实现多人同时在线通讯。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旅检移动应用-一线旅检单兵应用-即时通讯功能-通讯录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支持通讯录分群组功能，方便快速查找通讯对象。现场海关人员可自行编辑通讯录内容，增加、删减、编辑通讯人员及群组信息，方便通讯时快速查找。</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旅检移动应用-一线旅检单兵应用-先期机检图像-图像上传</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连接先期机检设施设备相关系统，可即时获取先期机检被布控行李过机及外观图像并上传到任务列表中，支持人工手动添加图像并上传。先期机检设施设备相关系统可即时上传被布控行李过机及外观图像，关员通过单兵设备查看图像并在现场进行拦截。对于需手动添加图像的情况，例如先期机检设备故障无法上传图像，可手动添加。</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旅检移动应用-一线旅检单兵应用-先期机检图像-图像处理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可对已上传图像进行处理反馈，录入反馈结果，或删除等。关员通过单兵设备查看上传图像并在现场进行拦截，拦截成功可在该功能中予以确认反馈拦截结果，转为已办或进行删除。如未拦截成功则信息未处理，仍然在列表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59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旅检移动应用-一线旅检单兵应用-先期机检图像-图像清理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对已上传图像处理结果进行审核，对过期图像进行清理，清楚冗余数据。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旅检移动应用-一线旅检单兵应用-手提行李预检</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系统支持手提行李预检图片上传功能，移动单兵可接收手提行李预检图片，同时支持人工手动添加图像并上传。</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旅检移动应用-一线旅检单兵应用-人脸识别信息-人脸信息上传</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系统将获取到的人脸信息（包括被布控人员或重点人员人脸图像及人员信息）上传到任务列表中。支持手动添加信息。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旅检移动应用-一线旅检单兵应用-人脸识别信息-人脸信息处理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可对已上传图像进行处理反馈，录入反馈结果，或删除等。关员通过单兵设备查看上传人脸图像及信息并在现场进行拦截，拦截成功可在该功能中予以确认反馈拦截结果，转为已办或进行删除。如未拦截成功则信息未处理，仍然在列表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旅检移动应用-一线旅检单兵应用-人脸识别信息-人脸信息清理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对已上传图像和信息处理结果进行审核，对过期图像和信息进行清理，清楚冗余数据。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旅检移动应用-二线旅检单兵应用-支持二线通关业务</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基于现有二线旅检业务操作系统新建二线旅检单兵应用，并针对单兵应用操作进行优化，现场关员针对二线出岛业务进行相关查询统计。</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旅检移动应用-二线旅检单兵应用-物品申报-旅客身份信息管理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为便于操作，此功能模块镶嵌在</w:t>
            </w:r>
            <w:r>
              <w:rPr>
                <w:rFonts w:ascii="Times New Roman" w:hAnsi="Times New Roman"/>
                <w:color w:val="000000"/>
                <w:kern w:val="0"/>
                <w:sz w:val="24"/>
                <w:szCs w:val="24"/>
              </w:rPr>
              <w:t>“</w:t>
            </w:r>
            <w:r>
              <w:rPr>
                <w:rFonts w:ascii="宋体" w:cs="宋体" w:hint="eastAsia"/>
                <w:color w:val="000000"/>
                <w:kern w:val="0"/>
                <w:sz w:val="24"/>
                <w:szCs w:val="24"/>
              </w:rPr>
              <w:t>申报管理</w:t>
            </w:r>
            <w:r>
              <w:rPr>
                <w:rFonts w:ascii="Times New Roman" w:hAnsi="Times New Roman"/>
                <w:color w:val="000000"/>
                <w:kern w:val="0"/>
                <w:sz w:val="24"/>
                <w:szCs w:val="24"/>
              </w:rPr>
              <w:t>”</w:t>
            </w:r>
            <w:r>
              <w:rPr>
                <w:rFonts w:ascii="宋体" w:cs="宋体" w:hint="eastAsia"/>
                <w:color w:val="000000"/>
                <w:kern w:val="0"/>
                <w:sz w:val="24"/>
                <w:szCs w:val="24"/>
              </w:rPr>
              <w:t>的各个子模块中。）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256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旅检移动应用-二线旅检单兵应用-物品申报-物品申报作业单现场录入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1、物品申报单信息数据包括：物品属性、物品名称、HScode、物品规格、物品型号、物品品牌、物品重量、物品数量、进出境类型、进出境时间、申报人员、申报时间等。系统支持申报物品数据录入、复制、修改、清空、删除等功能，现场关员可通过对应功能对申报物品数据进行对应操作。</w:t>
              <w:br/>
              <w:t>2、系统支持对物品进行拍照，应用常用应税物品识别模型，自动识别物品信息，包括物品属性、物品名称、HScode、物品规格、物品型号、物品品牌等。对物品完成识别后，对该物品所属的物品类别进行自动判断。</w:t>
              <w:br/>
              <w:t>3、系统支持电子签名功能，现场关员可通过该功能在移动单兵应用的申报页面完成电子签名。</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旅检移动应用-二线旅检单兵应用-物品申报-申报作业单审核</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申报作业单数据手工录入和扫码调阅功能。海关现场关员使用单兵设备扫码，扫码后对申报作业单进行审核，审核通过后发送通过回执，审核不通过执行退单，并发送退单回执。对于待确认申报作业单，关员可对其进行申报作业单物品信息修改、撤回、关闭、确认申报等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旅检移动应用-二线旅检单兵应用-物品申报-申报作业单分类管理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系统支持申报作业单分类管理功能，现场关员可通过该功能进行已录入、待审核、已受理等分类申报作业单的调阅与操作。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69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旅检移动应用-二线旅检单兵应用-物品申报-业务流转</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用户根据申报情况作出相应的业务处理，并将数据流转交由下一业务环节用户进行处理。包括申报岗用户通过系统将业务处理意见（电子数据）转交查验、转交处置岗、征税、案件管理、仓库管理、暂时进出关等岗位用户进行后续业务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414"/>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旅检移动应用-二线旅检单兵应用-查验模块-实施查验功能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系统支持实施查验功能，现场关员通过新增实施查验功能模块，在移动单兵应用进行实施查验操作，查验完成后填写查验数据，生成新的查验单。</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旅检移动应用-二线旅检单兵应用-查验模块-查验单分类管理功能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现场关员在移动单兵应用打开查验单分类表单，查看查验单的状态，进行查验待办、已查验等分类查验作业单的调阅与操作。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旅检移动应用-二线旅检单兵应用-查验模块-特殊物品审批核验</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系统支持特殊物品审批功能，现场关员可通过该功能在移动单兵应用的查验页面录入特殊物品审批单号核实特殊物品的审批情况。</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旅检移动应用-二线旅检单兵应用-查验模块-特殊物品审批单详情调阅</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系统支持特殊物品审批单详情调阅功能，现场关员可通过该功能在移动单兵应用的查验页面调阅特殊物品审批单详情。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旅检移动应用-二线旅检单兵应用-查验模块-知识产权查询</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知识产权查询功能，现场关员可通过该功能在移动单兵应用的查验页面查询知识产权情况。包括：知识产权详情表单，包括知识产权编号、知识产权类型、确权编号、关区名称、立案编号、权利人名称、权利人国别、企业名称、企业编码、地址、联系方式、扣留时间、立案时间、扣留价值、扣留数量、启运国、抵运国等字段。</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旅检移动应用-二线旅检单兵应用-查验模块-商品信息快速录入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系统支持商品信息快速录入功能，现场关员可通过该功能在移动单兵应用的查验页面通过选择热门商品完成商品信息快速录入。</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旅检移动应用-二线旅检单兵应用-查验模块-拍照识图快速录入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系统支持拍照识图快速录入功能，现场关员可通过该功能在移动单兵应用的查验页面进行物品拍照，系统自动调用拍照识图服务识别物品名称、商品类别等数据实现物品信息快速录入。</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旅检移动应用-二线旅检单兵应用-查验模块-舱单信息快速查询</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系统支持舱单信息快速查询功能，现场关员可通过该功能在移动单兵应用的查验页面通过输入运输工具号完成舱单信息快速查询。</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旅检移动应用-二线旅检单兵应用-查验模块-告知书签署</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系统支持告知书签署功能，现场关员可通过该功能在移动单兵应用的查验页面完成告知书签署。</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79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旅检移动应用-二线旅检单兵应用-查验模块-拍照识图</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对物品进行拍照，应用常用应税物品识别模型，自动识别物品信息。用户使用单兵设备对物品进行拍照，旅通单兵应用系统通过用户所拍照片，应用物品识别模型，对照片中的物品信息进行识别，并对识别到的物品信息进行入库操作，同时展示在前端页面，供用户查看。</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旅检移动应用-二线旅检单兵应用-查验模块-智能归类</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旅通单兵应用系统识别完成后，对该物品所属的物品类别进行自动判断，并将判断信息进行入库及前端展示操作。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旅检移动应用-二线旅检单兵应用-查验模块-电子签名</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现场关员使用移动单兵设备，在旅通单兵应用的查验页面进行电子签名，系统接收到电子签名信息，并将其与查验单进行关联，系统返回电子签名结果信息至前端页面。</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旅检移动应用-二线旅检单兵应用-查验模块-诚信旅客提示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系统识别到旅客信息后，结合旅客以往进出岛情况，对旅客诚信等级进行判定，并将旅客诚信情况展示在前端页面，提示海关关员。</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旅检移动应用-二线旅检单兵应用-查验模块-风险对碰</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现场关员使用单兵设备，在旅通单兵应用系统查验页面录入旅客信息，系统自动将旅客信息与风险指令进行对碰，产生风险对碰结果数据。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旅检移动应用-二线旅检单兵应用-查验模块-风险预警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风险预警功能，当旅客基本信息与风险指令对碰成功后，系统自动生成风险预警信息，对该名旅客进行预警，并将风险预警信息发送至前端页面，现场关员使用单兵设备在旅通单兵应用系统查验页面对该旅客命中的风险信息进行查看。</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为便于操作，此功能模块镶嵌在</w:t>
            </w:r>
            <w:r>
              <w:rPr>
                <w:rFonts w:ascii="Times New Roman" w:hAnsi="Times New Roman"/>
                <w:color w:val="000000"/>
                <w:kern w:val="0"/>
                <w:sz w:val="24"/>
                <w:szCs w:val="24"/>
              </w:rPr>
              <w:t>“</w:t>
            </w:r>
            <w:r>
              <w:rPr>
                <w:rFonts w:ascii="宋体" w:cs="宋体" w:hint="eastAsia"/>
                <w:color w:val="000000"/>
                <w:kern w:val="0"/>
                <w:sz w:val="24"/>
                <w:szCs w:val="24"/>
              </w:rPr>
              <w:t>查验管理</w:t>
            </w:r>
            <w:r>
              <w:rPr>
                <w:rFonts w:ascii="Times New Roman" w:hAnsi="Times New Roman"/>
                <w:color w:val="000000"/>
                <w:kern w:val="0"/>
                <w:sz w:val="24"/>
                <w:szCs w:val="24"/>
              </w:rPr>
              <w:t>”</w:t>
            </w:r>
            <w:r>
              <w:rPr>
                <w:rFonts w:ascii="宋体" w:cs="宋体" w:hint="eastAsia"/>
                <w:color w:val="000000"/>
                <w:kern w:val="0"/>
                <w:sz w:val="24"/>
                <w:szCs w:val="24"/>
              </w:rPr>
              <w:t>的各个子模块中。）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20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一人一码”风险信息预警功能，获取到“一人一码”系统的风险信息后，系统将风险信息返回至查验列表前端页面，对风险信息进行预警，现场关员可使用单兵设备在旅通单兵应用系统查验列表中查看相关风险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949"/>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旅检移动应用-二线旅检单兵应用-查验模块-</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风险信息详情展示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一人一码”风险信息详情展示功能，获取到“一人一码”系统的风险信息后，系统将风险信息返回至查验列表前端页面，对风险信息进行预警，现场关员可使用单兵设备在旅通单兵应用系统查验列表中点击风险预警详情按钮，在查验环节查看相关风险信息详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旅检移动应用-二线旅检单兵应用-现场调研-现场调研分类管理功能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系统支持现场调研分类管理功能，现场关员可通过在移动单兵应用进行待处理、已处理等分类现场调研作业单的调阅与操作。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89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旅检移动应用-二线旅检单兵应用-现场调研-人脸预警信息对接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系统支持人脸预警信息对接功能，接收智慧旅检辅助系统(人脸识别项目)的人脸预警信息。系统与智慧旅检辅助系统(人脸识别项目)对接，获取人脸预警信息。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旅检移动应用-二线旅检单兵应用-现场调研-人脸预警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系统支持风险预警功能，现场关员可通过该功能在移动单兵应用的现场调研页面查看该旅客的人脸抓拍预警信息。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旅检移动应用-二线旅检单兵应用-现场调研-旅客信息绑定</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系统支持旅客信息绑定功能，现场关员可通过该功能在移动单兵应用的现场调研页面查看对仅有人脸指令的预警信息进行旅客信息绑定操作。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旅检移动应用-二线旅检单兵应用-现场调研-预警信息过期自动处理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系统支持预警信息过期自动处理功能，系统自动将超过24小时人脸预警的信息为未找到旅客的指令进行已过期的标记。</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旅检移动应用-二线旅检单兵应用-现场调研-人脸预警信息合并展示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系统支持人脸预警信息自动合并功能，针对当次通关的多头人员预警信息，系统自动合并展示。</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为便于操作，此功能模块镶嵌在</w:t>
            </w:r>
            <w:r>
              <w:rPr>
                <w:rFonts w:ascii="Times New Roman" w:hAnsi="Times New Roman"/>
                <w:color w:val="000000"/>
                <w:kern w:val="0"/>
                <w:sz w:val="24"/>
                <w:szCs w:val="24"/>
              </w:rPr>
              <w:t>“</w:t>
            </w:r>
            <w:r>
              <w:rPr>
                <w:rFonts w:ascii="宋体" w:cs="宋体" w:hint="eastAsia"/>
                <w:color w:val="000000"/>
                <w:kern w:val="0"/>
                <w:sz w:val="24"/>
                <w:szCs w:val="24"/>
              </w:rPr>
              <w:t>现场调研</w:t>
            </w:r>
            <w:r>
              <w:rPr>
                <w:rFonts w:ascii="Times New Roman" w:hAnsi="Times New Roman"/>
                <w:color w:val="000000"/>
                <w:kern w:val="0"/>
                <w:sz w:val="24"/>
                <w:szCs w:val="24"/>
              </w:rPr>
              <w:t>”</w:t>
            </w:r>
            <w:r>
              <w:rPr>
                <w:rFonts w:ascii="宋体" w:cs="宋体" w:hint="eastAsia"/>
                <w:color w:val="000000"/>
                <w:kern w:val="0"/>
                <w:sz w:val="24"/>
                <w:szCs w:val="24"/>
              </w:rPr>
              <w:t>的各个子模块中。）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20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系统获取</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系统的风险信息，在风险信息预警展示功能中集中展示二线旅检现场调研环节的风险信息。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旅检移动应用-二线旅检单兵应用-现场调研-</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风险信息详情展示</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w:t>
            </w:r>
            <w:r>
              <w:rPr>
                <w:rFonts w:ascii="Times New Roman" w:hAnsi="Times New Roman"/>
                <w:color w:val="000000"/>
                <w:kern w:val="0"/>
                <w:sz w:val="24"/>
                <w:szCs w:val="24"/>
              </w:rPr>
              <w:t>“</w:t>
            </w:r>
            <w:r>
              <w:rPr>
                <w:rFonts w:ascii="宋体" w:cs="宋体" w:hint="eastAsia"/>
                <w:color w:val="000000"/>
                <w:kern w:val="0"/>
                <w:sz w:val="24"/>
                <w:szCs w:val="24"/>
              </w:rPr>
              <w:t>一人一码</w:t>
            </w:r>
            <w:r>
              <w:rPr>
                <w:rFonts w:ascii="Times New Roman" w:hAnsi="Times New Roman"/>
                <w:color w:val="000000"/>
                <w:kern w:val="0"/>
                <w:sz w:val="24"/>
                <w:szCs w:val="24"/>
              </w:rPr>
              <w:t>”</w:t>
            </w:r>
            <w:r>
              <w:rPr>
                <w:rFonts w:ascii="宋体" w:cs="宋体" w:hint="eastAsia"/>
                <w:color w:val="000000"/>
                <w:kern w:val="0"/>
                <w:sz w:val="24"/>
                <w:szCs w:val="24"/>
              </w:rPr>
              <w:t>风险信息详情展示功能，用户可在此功能中查看风险详情。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40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旅检移动应用-二线旅检单兵应用-处置流转-查验单调阅</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查验单调阅功能，现场关员可通过该功能打开申报查验单的详情关人员选择要进行调阅的查验单，点击调阅按钮，系统自动调用对应查验单的详情表单，将选中的查验单数据详情展示在详情页面内。查验单信息数据，包括查验单编号、进出口标志、主要商品编号、主要货物名称、运输工具名称、运输工具航次（班）号、运输方式代码、经营单位编号、经营单位名称、货主单位地区代码、货主单位代码、货主单位名称、申报单位代码、申报单位名称等。</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旅检移动应用-二线旅检单兵应用-处置流转-处置流转分类管理功能</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系统支持处置流转分类管理功能，现场关员可通过在移动单兵应用进行待处理、已处理等分类处置流转作业单的调阅与操作。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99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旅检移动应用-二线旅检单兵应用-处置流转-流转到后续</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海关人员选择要进行流转的查验单，点击流转按钮，系统按业务需求自动将选中的查验单进行流转，流转到后续模块，可对其进行后续的业务操作。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旅检移动应用-二线旅检单兵应用-处置流转-退回</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海关人员选择要进行退回的查验单，点击退回按钮，系统自动将选中的查验单进行退回，并反馈退回结果信息。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旅检移动应用-二线旅检单兵应用-处置流转-核放</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海关人员选择要进行核放的查验单，点击核放按钮，系统自动将选中的查验单进行核放，并反馈核放结果信息。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旅检移动应用-二线旅检单兵应用-处置流转-二次流转</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海关人员选择要进行二次流转的查验单，点击流转按钮，系统自动将选中的查验单进行二次流转，并反馈二次流转结果信息。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旅检移动应用-二线旅检单兵应用-处置流转-出岛记录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现场海关人员选择需要查看的出岛记录数据，点击查看按钮，系统自动调用对应出岛记录信息的详情表单，将选中的旅客出岛记录数据详情展示在详情页面内。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旅检移动应用-二线旅检单兵应用-处置流转-申报查验记录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现场海关人员选择需要查看的申报查验记录数据，点击查看按钮，系统自动调用对应申报查验记录信息的详情表单，将选中的申报查验记录数据详情展示在详情页面内。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旅检移动应用-二线旅检单兵应用-处置流转-当日现场进出关记录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现场海关人员选择需要查看的当日现场进出岛记录数据，点击查看按钮，系统自动调用对应当日现场进出岛记录信息的详情表单，将选中旅客的当日现场进出岛记录数据详情展示在详情页面内。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旅检移动应用-二线旅检单兵应用-处置流转-未结束业务</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现场海关人员选择需要查看的未结束业务记录数据，点击查看按钮，系统自动调用对应未结束业务记录信息的详情表单，将选中的旅客未结束的查验记录数据详情展示在详情页面内。</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旅检移动应用-二线旅检单兵应用-处置流转-旅客身份信息管理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提供旅客信息管理功能，通过拍照或NFC功能读取旅客身份信息（系统自动获取旅客仓单相对应的数据，包括：姓名、性别、出生日期、国籍、证件类型、证件号码等）或手工录入旅客身份信息，并具有查询、修改、删除、上报以及风险指令对碰命中警示和重点旅客自动识别等功能。（为便于操作，此功能模块镶嵌在</w:t>
            </w:r>
            <w:r>
              <w:rPr>
                <w:rFonts w:ascii="Times New Roman" w:hAnsi="Times New Roman"/>
                <w:color w:val="000000"/>
                <w:kern w:val="0"/>
                <w:sz w:val="24"/>
                <w:szCs w:val="24"/>
              </w:rPr>
              <w:t>“</w:t>
            </w:r>
            <w:r>
              <w:rPr>
                <w:rFonts w:ascii="宋体" w:cs="宋体" w:hint="eastAsia"/>
                <w:color w:val="000000"/>
                <w:kern w:val="0"/>
                <w:sz w:val="24"/>
                <w:szCs w:val="24"/>
              </w:rPr>
              <w:t>处置流转</w:t>
            </w:r>
            <w:r>
              <w:rPr>
                <w:rFonts w:ascii="Times New Roman" w:hAnsi="Times New Roman"/>
                <w:color w:val="000000"/>
                <w:kern w:val="0"/>
                <w:sz w:val="24"/>
                <w:szCs w:val="24"/>
              </w:rPr>
              <w:t>”</w:t>
            </w:r>
            <w:r>
              <w:rPr>
                <w:rFonts w:ascii="宋体" w:cs="宋体" w:hint="eastAsia"/>
                <w:color w:val="000000"/>
                <w:kern w:val="0"/>
                <w:sz w:val="24"/>
                <w:szCs w:val="24"/>
              </w:rPr>
              <w:t>的各个子模块中。）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旅检移动应用-二线旅检单兵应用-即时通讯功能-一对一通讯</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系统支持使用单兵关员实现一对一视频、语音对话通讯。现场海关人员选择需要通讯对象名称，选择视频或语音通讯实现即时一对一沟通。</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361"/>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109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旅检移动应用-二线旅检单兵应用-即时通讯功能-多人通讯</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系统支持多人同时通过语音或视频进行即时通讯，可同时多人在线讨论。现场海关人员选择需要通讯对象名称，可选择群组，选择语音或视频的通讯方式，实现多人同时在线通讯。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旅检移动应用-二线旅检单兵应用-即时通讯功能-通讯录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支持通讯录分群组功能，方便快速查找通讯对象。现场海关人员可自行编辑通讯录内容，增加、删减、编辑通讯人员及群组信息，方便通讯时快速查找。</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旅检移动应用-二线旅检单兵应用-机检图像-图像上传</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连接机检设施设备相关系统，可即时获取机检被布控行李过机及外观图像并上传到任务列表中，支持人工手动添加图像并上传。机检设施设备相关系统可即时上传被布控行李过机及外观图像，关员通过单兵设备查看图像并在现场进行拦截。对于需手动添加图像的情况，例如机检设备故障无法上传图像，可手动添加。</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旅检移动应用-二线旅检单兵应用-机检图像-图像处理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可对已上传图像进行处理反馈，录入反馈结果，或删除等。关员通过单兵设备查看上传图像并在现场进行拦截，拦截成功可在该功能中予以确认反馈拦截结果，转为已办或进行删除。如未拦截成功则信息未处理，仍然在列表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旅检移动应用-二线旅检单兵应用-机检图像-图像清理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对已上传图像处理结果进行审核，对过期图像进行清理，清楚冗余数据。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1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旅检移动应用-二线旅检单兵应用-手提行李机检</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参考机检相关功能，系统支持手提行李机检图像上传、图像处理及清理功能，移动单兵可接收手提行李机检图像，同时支持人工手动添加图像并上传。可对已上传图像进行处理反馈，录入反馈结果，或删除等。关员通过单兵设备查看上传图像并在现场进行拦截，拦截成功可在该功能中予以确认反馈拦截结果，转为已办或进行删除。如未拦截成功则信息未处理，仍然在列表中。对已上传图像处理结果进行审核，对过期图像进行清理，清楚冗余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旅检移动应用-二线旅检单兵应用-人脸识别信息-人脸信息上传</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系统支持连接人脸识别相关系统，可即时获取被布控人员或重点人员人脸图像及人员信息并上传到任务列表中。支持手动添加信息。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旅检移动应用-二线旅检单兵应用-人脸识别信息-人脸信息处理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可对已上传图像进行处理反馈，录入反馈结果，或删除等。关员通过单兵设备查看上传人脸图像及信息并在现场进行拦截，拦截成功可在该功能中予以确认反馈拦截结果，转为已办或进行删除。如未拦截成功则信息未处理，仍然在列表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旅检移动应用-二线旅检单兵应用-人脸识别信息-人脸信息清理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对已上传图像和信息处理结果进行审核，对过期图像和信息进行清理，清楚冗余数据。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“二线”两简案件管理-集成H4A平台</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系统集成H4A登录、认证、授权信息，自动获取H4A系统中的授权角色、人员信息，根据授权信息操作数据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119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“二线”两简案件管理-案件录入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案件当事人扫码填写案件基本信息、当事人基本信息，关员也可代填。系统根据录入信息生成“违法嫌疑人权利与义务告知书”、“送达地址及送达方式确认书”二维码，当事人进行接收确认。</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“二线”两简案件管理-案件审理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案件录入完成后，进行两级人工审批。</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“二线”两简案件管理-立案</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案件确定立案后，关员录入案由，并对案件进行定性，同时，系统生成“行政案件当事人权益保护和法律规定告知书”关发送至当事人。</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“二线”两简案件管理-调查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进入调查阶段后，关员填写案情、证据材料，系统提供计核税款功能，若涉及离岛免税商品，关员可扫描商品条码对接离岛免税系统自动获取商品信息，当事人在接收到调查阶段的案件相关信息后可进行陈述申辩。</w:t>
              <w:br/>
              <w:t>调查期间发现不符合快办案件办理条件可转为一般案件进行处理，相关数据自动进入移交清单。</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99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“二线”两简案件管理-处置</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经三级审批后发起扣留决定，扣留商品入仓后将相关商品标记为“已入仓”，当事人可进行扣留申辩，经案件办理后，可申请解除扣留。在案件办理过程中，海关可根据实际情况进行撤案、下达处罚决定并下发“行政处罚决定书”至当事人进行确认，若涉及离岛免税，系统自动生成“3年内不得享受海南离岛免税购物政策”告知书并下发至当事人进行确认。</w:t>
              <w:br/>
              <w:t>处置期间发现不适用两简案件办理条件可移交缉私进行处理，相关数据自动进入移交清单。</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“二线”两简案件管理-查询统计</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包括但不限于案件来源、商品分类、立案数量、当事人归属地、处罚决定、移交缉私、税款等</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“二线”两简案件管理-案件办结预警</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从立案阶段开始计算，要求9个自然日内办结，系统在办结截止期限前3天进行预警，关于接收到预警信息后，应抓紧办理，案件办理完成后，预警信息自动处置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“二线”两简案件管理-参数管理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系统支持对两简案件涉及的参数进行维护，包括但不限于性别、国别、证件类型、省份、市区等信息。</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“二线”两简案件管理-短信管理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系统自动记录发送给每个案件当事人的短信数据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“二线”两简案件管理-日志管理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cs="宋体"/>
                <w:color w:val="000000"/>
              </w:rPr>
            </w:pPr>
            <w:r>
              <w:rPr>
                <w:rFonts w:ascii="宋体" w:cs="宋体" w:hint="eastAsia"/>
                <w:color w:val="000000"/>
                <w:kern w:val="0"/>
                <w:sz w:val="24"/>
                <w:szCs w:val="24"/>
              </w:rPr>
              <w:t>系统自动记录每个案件的处理日志，可通过日志对系统运行情况进行分析。</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129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cs="宋体"/>
                <w:color w:val="000000"/>
              </w:rPr>
            </w:pPr>
            <w:r>
              <w:rPr>
                <w:rFonts w:ascii="宋体" w:cs="宋体" w:hint="eastAsia"/>
                <w:color w:val="000000"/>
                <w:kern w:val="0"/>
                <w:sz w:val="24"/>
                <w:szCs w:val="24"/>
              </w:rPr>
              <w:t>“二线”两简案件移动单兵-执法人员选择</w:t>
            </w:r>
          </w:p>
        </w:tc>
        <w:tc>
          <w:tcPr>
            <w:tcW w:w="2892" w:type="pct"/>
            <w:tcBorders>
              <w:top w:val="single" w:sz="4" w:space="0" w:color="000000"/>
              <w:left w:val="single" w:sz="4" w:space="0" w:color="000000"/>
              <w:bottom w:val="single" w:sz="4" w:space="0" w:color="000000"/>
              <w:right w:val="single" w:sz="4" w:space="0" w:color="000000"/>
            </w:tcBorders>
            <w:shd w:val="clear" w:color="auto" w:fill="auto"/>
          </w:tcPr>
          <w:p>
            <w:pPr>
              <w:widowControl/>
              <w:jc w:val="left"/>
              <w:textAlignment w:val="top"/>
              <w:rPr>
                <w:rFonts w:ascii="宋体" w:cs="宋体"/>
                <w:color w:val="000000"/>
              </w:rPr>
            </w:pPr>
            <w:r>
              <w:rPr>
                <w:rFonts w:ascii="宋体" w:cs="宋体" w:hint="eastAsia"/>
                <w:color w:val="000000"/>
                <w:kern w:val="0"/>
                <w:sz w:val="24"/>
                <w:szCs w:val="24"/>
              </w:rPr>
              <w:t>关员登录移动端系统，选择陪同执法人员</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“二线”两简案件移动单兵-案件录入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案件当事人扫码填写案件基本信息、当事人基本信息，关员也可代填。系统根据录入信息生成“违法嫌疑人权利与义务告知书”、“送达地址及送达方式确认书”二维码，当事人进行接收确认。</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“二线”两简案件移动单兵-案件审理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案件录入完成后，进行两级人工审批。</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“二线”两简案件移动单兵-立案</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案件确定立案后，关员录入案由，并对案件进行定性，同时，系统生成“行政案件当事人权益保护和法律规定告知书”关发送至当事人。</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“二线”两简案件移动单兵-调查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案件进入调查阶段后，关员填写案情、证据材料，系统提供计核税款功能，若涉及离岛免税商品，关员可扫描商品条码对接离岛免税系统自动获取商品信息，当事人在接收到调查阶段的案件相关信息后可进行陈述申辩。</w:t>
              <w:br/>
              <w:t>调查期间发现不符合快办案件办理条件可转为一般案件进行处理，相关数据自动进入移交清单。</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99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“二线”两简案件移动单兵-处置</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经三级审批后发起扣留决定，扣留商品入仓后将相关商品标记为“已入仓”，当事人可进行扣留申辩，经案件办理后，可申请解除扣留。在案件办理过程中，海关可根据实际情况进行撤案、下达处罚决定并下发“行政处罚决定书”至当事人进行确认，若涉及离岛免税，系统自动生成“3年内不得享受海南离岛免税购物政策”告知书并下发至当事人进行确认。</w:t>
              <w:br/>
              <w:t>处置期间发现不适用两简案件办理条件可移交缉私进行处理，相关数据自动进入移交清单。</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监管-企业备案</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从事“二线”出岛寄递业务的企业、运输车辆需向海关办理注册备案登记，企业相关系统应和海关监管系统进行联网，可实时向海关传输包裹申报信息、收寄件人信息、企业车辆装载信息、车辆运输信息等。符合条件的寄递企业、寄递车辆将维护进监管系统中系统支持企业备案、变更、作废等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监管-经海南中转出岛的进境邮件</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进境通关后寄往国内的邮件，按照现有“一线”转关邮件模式进行监管，税收征管政策参照“一线”进境邮件监管方式，在监管场所办结海关手续至“二线口岸”出岛。</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监管-岛内寄至国内的邮件-总包管理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邮政企业通过系统实现与海口海关邮快件监管中心、收件地海关之间的邮件总包信息传输及其转关管理，实现邮件总包物流监管。</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监管-岛内寄至国内的邮件-申报数据接收</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邮政企业通过海南“单一窗口”实时向海关传输包裹申报信息、物流轨迹信息等数据，海关通过监管系统对“二线”邮件寄递物品进行监管，并将处置结果通过“单一窗口”反馈给邮局。寄件人或其委托的邮政企业可通过“单一窗口”提前向海关缴纳行邮税。</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139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监管-岛内寄至国内的邮件-审单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海关通过监管系统对“二线”出岛邮件进行审核，按照现有进境邮件监管要求进行单证审核。</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监管-岛内寄至国内的邮件-风险管控</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通过监管系统建立“二线”出岛邮件风险布控模型，通过不断优化风险参数和运算工具，对申报数据进行深度分析计算，将模型分析结果对接至海关总署新一代统一风控系统，自动下达风险布控指令，对申报、查验、处置等全部作业环节进行风险干预，对风险布控指令命中的，通关环节必须反馈处置结果，处置结果进入数据库，作为下一步风险分析的数据来源。</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监管-岛内寄至国内的邮件-监管查验</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于下达布控查验要求的业务单证，海关监管系统与场站管理系统对接，待车辆到达卡口时，根据海关风控指令指引布控车辆进入重点查验区域进行查验作业，按照双随机原则进行查验作业，查验作业完成后反馈处置结果。对未布控查验的邮件，现场通过随机抽查等方式进行筛查，对发现异常的邮件进行即决式布控，转为人工查验。</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8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监管-岛内寄至国内的邮件-仓库管理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除放行包裹外，其余包裹进入海关监管仓库，海关监管系统对监管仓库进行管理，包括放行、征税、退运、暂存待处理、线索移交等操作。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42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二线非贸监管-邮快件“二线”监管-邮件“二线”监管-国内转至岛内的进境邮件</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国内转至岛内的进境邮件，按照现有“一线”邮件模式进行监管，税收征管政策参照“一线”进境邮件监管方式。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r>
      <w:tr>
        <w:tblPrEx>
          <w:tblW w:w="4998" w:type="pct"/>
          <w:jc w:val="left"/>
          <w:tblInd w:w="0" w:type="dxa"/>
          <w:tblCellMar>
            <w:top w:w="0" w:type="dxa"/>
            <w:left w:w="108" w:type="dxa"/>
            <w:bottom w:w="0" w:type="dxa"/>
            <w:right w:w="108" w:type="dxa"/>
          </w:tblCellMar>
        </w:tblPrEx>
        <w:trPr>
          <w:trHeight w:val="171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二线非贸监管-邮快件“二线”监管-快件“二线”监管-经海南中转出岛的进境个人物品类快件</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经海南中转出岛的进境个人物品类快件，按照现有“一线”快件模式进行监管，税收征管政策参照“一线”进境快件监管方式，在监管场所办结海关手续至“二线口岸”出岛前海关实施途中监管。</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监管-岛内寄至国内的个人物品类快件-申报数据接收</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快件运营人通过海南“单一窗口”实时向海关传输包裹申报信息、物流轨迹信息等数据，海关通过监管系统对“二线”出岛快件进行监管，并将处置结果通过“单一窗口”反馈给快件运营人。寄件人或其委托的快件运营人可通过“单一窗口”提前向海关缴纳行邮税。</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监管-岛内寄至国内的个人物品类快件-审单</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通过监管系统对“二线”出岛快件进行审核，按照现有进境快件监管规定对快件进行单证审核，对金额限制、征税。通过对接“单一窗口”、寄递企业系统，获取旅客需补充申报的二线出岛快件包裹内物品信息，海关进行审核后对包裹进行处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371"/>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监管-岛内寄至国内的个人物品类快件-风险管控</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通过监管系统建立“二线”出岛快件风险布控模型，通过不断优化风险参数和运算工具，对申报数据进行深度分析计算，将模型分析结果对接至海关总署新一代统一风控系统，自动下达风险布控指令，对申报、查验、处置等全部作业环节进行风险干预，对风险布控指令命中的，通关环节必须反馈处置结果，处置结果进入数据库，作为下一步风险分析的数据来源。</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监管-岛内寄至国内的个人物品类快件-监管查验</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于下达布控查验要求的业务单证，海关监管系统与场站管理系统对接，待车辆到达卡口时，根据海关风控指令指引布控车辆进入重点查验区域进行查验作业，按照双随机原则进行查验作业，查验作业完成后反馈处置结果。对未布控查验的快件，现场通过随机抽查等方式进行筛查，对发现异常的快件进行即决式布控，转为人工查验。</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149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监管-岛内寄至国内的个人物品类快件-仓库管理</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除放行包裹外，其余包裹进入海关监管仓库，海关监管系统对监管仓库进行管理，包括放行、征税、退运、暂存待处理、线索移交等操作。</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监管-岛内寄至国内的个人物品类快件-征税</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对需要征税的个人物品类快件，按照现有行邮征税管理办法对出岛个人物品类快件进行征税，由纳税义务人缴纳税款，行邮税征收需对接行邮税征管应用系统。</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3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监管-岛内寄至国内的个人物品类快件-个人申报</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通过对接“单一窗口”、快件企业系统，获取旅客需补充申报的二线出岛快件物品信息，海关进行审核后对包裹进行处置。</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监管-岛内寄至国内的个人物品类快件-退运</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对不符合海关监管要求或是收寄件人提出申请的包裹进行退运处理，由快件企业退运至寄件人。</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监管-岛内寄至国内的个人物品类快件-线索移交</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海关对查获的案件进行移交。</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7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监管-邮件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监管-岛内寄至国内的个人物品类快件-放行</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对办结通关手续（查验、征税）的出岛个人物品类快件进行放行处理。</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381"/>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二线非贸监管-邮快件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监管-快件</w:t>
            </w:r>
            <w:r>
              <w:rPr>
                <w:rFonts w:ascii="Times New Roman" w:hAnsi="Times New Roman"/>
                <w:color w:val="000000"/>
                <w:kern w:val="0"/>
                <w:sz w:val="24"/>
                <w:szCs w:val="24"/>
              </w:rPr>
              <w:t>“</w:t>
            </w:r>
            <w:r>
              <w:rPr>
                <w:rFonts w:ascii="宋体" w:cs="宋体" w:hint="eastAsia"/>
                <w:color w:val="000000"/>
                <w:kern w:val="0"/>
                <w:sz w:val="24"/>
                <w:szCs w:val="24"/>
              </w:rPr>
              <w:t>二线</w:t>
            </w:r>
            <w:r>
              <w:rPr>
                <w:rFonts w:ascii="Times New Roman" w:hAnsi="Times New Roman"/>
                <w:color w:val="000000"/>
                <w:kern w:val="0"/>
                <w:sz w:val="24"/>
                <w:szCs w:val="24"/>
              </w:rPr>
              <w:t>”</w:t>
            </w:r>
            <w:r>
              <w:rPr>
                <w:rFonts w:ascii="宋体" w:cs="宋体" w:hint="eastAsia"/>
                <w:color w:val="000000"/>
                <w:kern w:val="0"/>
                <w:sz w:val="24"/>
                <w:szCs w:val="24"/>
              </w:rPr>
              <w:t>监管-国内转关至海南的出境个人物品类快件</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对进岛个人物品类快件按照现有“一线”快件模式进行监管，在监管场所办结海关手续。</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企业画像-企业基本信息画像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企业基本信息画像主要包括企业的属性信息，属于企业的静态画像。内容可划分为企业的基本信息、业务情况以及第三方给予的信用等。采集企业的各类基础信息，通过分析和评定，形成企业基本信息画像。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企业画像-企业商品信息画像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企业商品信息画像主要包括料件成品备案、料件出入库、成品出入库等企业商品信息。采集在企业生产经营过程中产生的各类动态信息，通过分析和评定，形成企业商品信息画像。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企业画像-企业经营信息画像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企业经营信息画像主要划分为经营业务类和行政处罚类，包括进出口额、纳税额度、报关情况、行政处罚情况等。采集在企业生产经营过程中产生的各类动态信息，通过分析和评定，形成企业经营信息画像。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159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企业画像-企业通关信息画像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企业通关信息画像按照通关流程可划分为通关业务类和后续监管类，其中通关业务类数据包括申报、查验、征税，后续监管类包括稽查、账册报核等。采集企业的通关业务信息，通过分析和评定，形成企业通关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企业画像-加工企业信息画像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加工企业信息画像包括保税加工、零关税加工业务过程中的信息内容。通过分析和评定，形成加工企业信息画像。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161</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企业画像-企业二线业务画像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海南自由贸易港二线业务画像主要采集分出集报、账册清单、核放单等业务数据，通过分析和评定，形成企业二线业务画像。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162</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企业画像-物流企业信息画像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物流企业信息画像包括仓储、场所、运输工具、行程轨迹等信息。采集物流企业信息，通过分析和评定，形成物流企业信息画像。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163</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企业画像-企业产品信息画像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企业产品信息画像企业产品信息画像包括产品备案、检验报告、合格证书、出厂相关信息等。采集在海关监管过程中企业产品信息，通过分析和评定，形成企业产品信息画像。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57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164</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企业画像-企业税务画像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企业税务画像主要是采集企业的营收数据以及发票数据，通过分析和评定，形成企业税务画像。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jc w:val="center"/>
              <w:rPr>
                <w:rFonts w:ascii="宋体" w:cs="宋体"/>
                <w:color w:val="000000"/>
              </w:rPr>
            </w:pP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165</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企业画像-海南自由贸易港加工增值信息画像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海南自由贸易港加工增值信息画像主要是采集海南自由贸易港加工增值信息内容，通过分析和评定，形成采集海南自由贸易港加工增值信息画像。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166</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企业画像-海南自由贸易港岛内自由流转信息画像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海南自由贸易港岛内自由流转信息画像主要对进出境货物在岛内自由流动数据进行分析和评定，形成海南自由贸易港进出境货物在岛内自由流动信息画像。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91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167</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企业画像-海南自由贸易港一线</w:t>
            </w:r>
            <w:r>
              <w:rPr>
                <w:rFonts w:ascii="Times New Roman" w:hAnsi="Times New Roman"/>
                <w:color w:val="000000"/>
                <w:kern w:val="0"/>
                <w:sz w:val="24"/>
                <w:szCs w:val="24"/>
              </w:rPr>
              <w:t>“</w:t>
            </w:r>
            <w:r>
              <w:rPr>
                <w:rFonts w:ascii="宋体" w:cs="宋体" w:hint="eastAsia"/>
                <w:color w:val="000000"/>
                <w:kern w:val="0"/>
                <w:sz w:val="24"/>
                <w:szCs w:val="24"/>
              </w:rPr>
              <w:t>径予放行</w:t>
            </w:r>
            <w:r>
              <w:rPr>
                <w:rFonts w:ascii="Times New Roman" w:hAnsi="Times New Roman"/>
                <w:color w:val="000000"/>
                <w:kern w:val="0"/>
                <w:sz w:val="24"/>
                <w:szCs w:val="24"/>
              </w:rPr>
              <w:t>”</w:t>
            </w:r>
            <w:r>
              <w:rPr>
                <w:rFonts w:ascii="宋体" w:cs="宋体" w:hint="eastAsia"/>
                <w:color w:val="000000"/>
                <w:kern w:val="0"/>
                <w:sz w:val="24"/>
                <w:szCs w:val="24"/>
              </w:rPr>
              <w:t>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海南自由贸易港一线“径予放行”信息画像主要是采集海南自由贸易港一线“径予放行”信息，通过分析和评定，形成海南自由贸易港一线“径予放行”信息画像。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1140"/>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168</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w:t>
            </w:r>
            <w:r>
              <w:rPr>
                <w:rFonts w:ascii="Times New Roman" w:hAnsi="Times New Roman"/>
                <w:color w:val="000000"/>
                <w:kern w:val="0"/>
                <w:sz w:val="24"/>
                <w:szCs w:val="24"/>
              </w:rPr>
              <w:t>“</w:t>
            </w:r>
            <w:r>
              <w:rPr>
                <w:rFonts w:ascii="宋体" w:cs="宋体" w:hint="eastAsia"/>
                <w:color w:val="000000"/>
                <w:kern w:val="0"/>
                <w:sz w:val="24"/>
                <w:szCs w:val="24"/>
              </w:rPr>
              <w:t>零关税</w:t>
            </w:r>
            <w:r>
              <w:rPr>
                <w:rFonts w:ascii="Times New Roman" w:hAnsi="Times New Roman"/>
                <w:color w:val="000000"/>
                <w:kern w:val="0"/>
                <w:sz w:val="24"/>
                <w:szCs w:val="24"/>
              </w:rPr>
              <w:t>”</w:t>
            </w:r>
            <w:r>
              <w:rPr>
                <w:rFonts w:ascii="宋体" w:cs="宋体" w:hint="eastAsia"/>
                <w:color w:val="000000"/>
                <w:kern w:val="0"/>
                <w:sz w:val="24"/>
                <w:szCs w:val="24"/>
              </w:rPr>
              <w:t>设备、交通工具信息画像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零关税”设备、交通工具信息画像主要是采集“零关税”设备、交通工具信息，形成“一车一船一账”，通过分析和评定，形成“零关税”设备、交通工具信息画像。通过“中国国际贸易单一窗口”与其他监管部门系统联网，共享零关税业务数据信息，实现数据共享与信息互通。</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169</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企业画像-海南征信平台信息画像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海南征信平台信息画像主要通过与海南征信平台互联互通，共享企业信用、行政处罚等相关信息，实现跨系统互联互通，数据共享。通过分析和评定，形成海南征信平台信息画像。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r>
        <w:tblPrEx>
          <w:tblW w:w="4998" w:type="pct"/>
          <w:jc w:val="left"/>
          <w:tblInd w:w="0" w:type="dxa"/>
          <w:tblCellMar>
            <w:top w:w="0" w:type="dxa"/>
            <w:left w:w="108" w:type="dxa"/>
            <w:bottom w:w="0" w:type="dxa"/>
            <w:right w:w="108" w:type="dxa"/>
          </w:tblCellMar>
        </w:tblPrEx>
        <w:trPr>
          <w:trHeight w:val="855"/>
          <w:jc w:val="left"/>
        </w:trPr>
        <w:tc>
          <w:tcPr>
            <w:tcW w:w="379"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170</w:t>
            </w:r>
          </w:p>
        </w:tc>
        <w:tc>
          <w:tcPr>
            <w:tcW w:w="380" w:type="pct"/>
            <w:tcBorders>
              <w:top w:val="single" w:sz="4" w:space="0" w:color="000000"/>
              <w:left w:val="single" w:sz="4" w:space="0" w:color="000000"/>
              <w:bottom w:val="single" w:sz="4" w:space="0" w:color="000000"/>
              <w:right w:val="single" w:sz="4" w:space="0" w:color="000000"/>
            </w:tcBorders>
            <w:shd w:val="clear" w:color="auto" w:fill="auto"/>
            <w:vAlign w:val="center"/>
          </w:tcPr>
          <w:p>
            <w:pPr>
              <w:rPr>
                <w:rFonts w:ascii="宋体" w:cs="宋体"/>
                <w:color w:val="000000"/>
              </w:rPr>
            </w:pPr>
          </w:p>
        </w:tc>
        <w:tc>
          <w:tcPr>
            <w:tcW w:w="71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企业画像-二线信用场景展示画像</w:t>
            </w:r>
          </w:p>
        </w:tc>
        <w:tc>
          <w:tcPr>
            <w:tcW w:w="2892"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宋体" w:cs="宋体"/>
                <w:color w:val="000000"/>
              </w:rPr>
            </w:pPr>
            <w:r>
              <w:rPr>
                <w:rFonts w:ascii="宋体" w:cs="宋体" w:hint="eastAsia"/>
                <w:color w:val="000000"/>
                <w:kern w:val="0"/>
                <w:sz w:val="24"/>
                <w:szCs w:val="24"/>
              </w:rPr>
              <w:t>“‘二线口岸’通关”“零关税交通工具及游艇后续监管”“零关税自用生产设备后续监管”“加工增值企业风险防控”“零关税专用账册核查风险防控”“离岛免税购物个人风险防控”等信用通关场景结果展示画像。</w:t>
            </w:r>
          </w:p>
        </w:tc>
        <w:tc>
          <w:tcPr>
            <w:tcW w:w="628" w:type="pc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rPr>
            </w:pPr>
            <w:r>
              <w:rPr>
                <w:rFonts w:ascii="宋体" w:cs="宋体" w:hint="eastAsia"/>
                <w:color w:val="000000"/>
                <w:kern w:val="0"/>
                <w:sz w:val="24"/>
                <w:szCs w:val="24"/>
              </w:rPr>
              <w:t>否</w:t>
            </w:r>
          </w:p>
        </w:tc>
      </w:tr>
    </w:tbl>
    <w:p>
      <w:pPr>
        <w:pStyle w:val="BodyText3"/>
        <w:ind w:firstLine="0"/>
        <w:rPr>
          <w:rFonts w:ascii="宋体" w:eastAsia="宋体"/>
        </w:rPr>
      </w:pPr>
    </w:p>
    <w:p>
      <w:pPr>
        <w:pStyle w:val="BodyText3"/>
        <w:rPr>
          <w:rFonts w:ascii="宋体" w:eastAsia="宋体"/>
        </w:rPr>
      </w:pPr>
    </w:p>
    <w:p>
      <w:pPr>
        <w:pStyle w:val="Heading2"/>
        <w:numPr>
          <w:ilvl w:val="0"/>
          <w:numId w:val="2"/>
        </w:numPr>
      </w:pPr>
      <w:r>
        <w:rPr>
          <w:rFonts w:hint="eastAsia"/>
        </w:rPr>
        <w:t>服</w:t>
      </w:r>
      <w:bookmarkStart w:id="46" w:name="服务要求"/>
      <w:r>
        <w:rPr>
          <w:rFonts w:hint="eastAsia"/>
        </w:rPr>
        <w:t>务要求</w:t>
      </w:r>
    </w:p>
    <w:p>
      <w:bookmarkEnd w:id="46"/>
      <w:r>
        <w:rPr>
          <w:rFonts w:hint="eastAsia"/>
        </w:rPr>
        <w:t>①★代表实质性指标，不满足该指标项将导致投标被拒绝；加 “▲”标记表示为重要指标项，无标识则表示一般指标项，如不满足将影响评分。</w:t>
      </w:r>
    </w:p>
    <w:p>
      <w:r>
        <w:rPr>
          <w:rFonts w:hint="eastAsia"/>
        </w:rPr>
        <w:t>②“证明材料要求”项可填“是”和“否”。填“是”的，投标人须按“服务要求标准”提供相关证明材料。未提供有效证明材料或证明材料中内容与</w:t>
      </w:r>
      <w:r>
        <w:t>服务要求标准</w:t>
      </w:r>
      <w:r>
        <w:rPr>
          <w:rFonts w:hint="eastAsia"/>
        </w:rPr>
        <w:t>不一致的，该</w:t>
      </w:r>
      <w:r>
        <w:t>项</w:t>
      </w:r>
      <w:r>
        <w:rPr>
          <w:rFonts w:hint="eastAsia"/>
        </w:rPr>
        <w:t>按不满足处理。</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jc w:val="center"/>
            </w:pPr>
            <w:r>
              <w:rPr>
                <w:rFonts w:hint="eastAsia"/>
              </w:rPr>
              <w:t>序号</w:t>
            </w:r>
          </w:p>
        </w:tc>
        <w:tc>
          <w:tcPr>
            <w:tcW w:w="1140" w:type="dxa"/>
          </w:tcPr>
          <w:p>
            <w:pPr>
              <w:jc w:val="center"/>
            </w:pPr>
            <w:r>
              <w:rPr>
                <w:rFonts w:hint="eastAsia"/>
              </w:rPr>
              <w:t>内容</w:t>
            </w:r>
          </w:p>
        </w:tc>
        <w:tc>
          <w:tcPr>
            <w:tcW w:w="1196" w:type="dxa"/>
          </w:tcPr>
          <w:p>
            <w:pPr>
              <w:jc w:val="center"/>
            </w:pPr>
            <w:r>
              <w:rPr>
                <w:rFonts w:hint="eastAsia"/>
              </w:rPr>
              <w:t>重要性</w:t>
            </w:r>
          </w:p>
        </w:tc>
        <w:tc>
          <w:tcPr>
            <w:tcW w:w="3690" w:type="dxa"/>
          </w:tcPr>
          <w:p>
            <w:pPr>
              <w:jc w:val="center"/>
            </w:pPr>
            <w:r>
              <w:rPr>
                <w:rFonts w:hint="eastAsia"/>
              </w:rPr>
              <w:t>服</w:t>
            </w:r>
            <w:bookmarkStart w:id="47" w:name="服务要求_Title_服务要求标准_Required_Table"/>
            <w:r>
              <w:rPr>
                <w:rFonts w:hint="eastAsia"/>
              </w:rPr>
              <w:t>务要求标准</w:t>
            </w:r>
          </w:p>
        </w:tc>
        <w:tc>
          <w:tcPr>
            <w:tcW w:w="1685" w:type="dxa"/>
          </w:tcPr>
          <w:p>
            <w:pPr>
              <w:jc w:val="center"/>
            </w:pPr>
            <w:bookmarkEnd w:id="47"/>
            <w:r>
              <w:rPr>
                <w:rFonts w:hint="eastAsia"/>
              </w:rPr>
              <w:t>证明材料要求</w:t>
            </w:r>
          </w:p>
        </w:tc>
      </w:tr>
      <w:tr>
        <w:tblPrEx>
          <w:jc w:val="left"/>
          <w:tblInd w:w="0" w:type="dxa"/>
          <w:tblLayout w:type="fixed"/>
          <w:tblCellMar>
            <w:top w:w="0" w:type="dxa"/>
            <w:left w:w="108" w:type="dxa"/>
            <w:bottom w:w="0" w:type="dxa"/>
            <w:right w:w="108" w:type="dxa"/>
          </w:tblCellMar>
        </w:tblPrEx>
        <w:trPr>
          <w:trHeight w:val="1346"/>
          <w:jc w:val="left"/>
        </w:trPr>
        <w:tc>
          <w:tcPr>
            <w:tcW w:w="808" w:type="dxa"/>
            <w:vAlign w:val="center"/>
          </w:tcPr>
          <w:p>
            <w:pPr>
              <w:jc w:val="center"/>
            </w:pPr>
            <w:r>
              <w:rPr>
                <w:rFonts w:hint="eastAsia"/>
              </w:rPr>
              <w:t>1</w:t>
            </w:r>
          </w:p>
        </w:tc>
        <w:tc>
          <w:tcPr>
            <w:tcW w:w="1140" w:type="dxa"/>
            <w:tcBorders>
              <w:top w:val="single" w:sz="4" w:space="0" w:color="auto"/>
              <w:left w:val="single" w:sz="4" w:space="0" w:color="auto"/>
              <w:right w:val="single" w:sz="4" w:space="0" w:color="auto"/>
            </w:tcBorders>
            <w:vAlign w:val="center"/>
          </w:tcPr>
          <w:p>
            <w:pPr>
              <w:jc w:val="center"/>
            </w:pPr>
            <w:r>
              <w:rPr>
                <w:rFonts w:hint="eastAsia"/>
              </w:rPr>
              <w:t>售后服务承诺函</w:t>
            </w:r>
          </w:p>
        </w:tc>
        <w:tc>
          <w:tcPr>
            <w:tcW w:w="1196" w:type="dxa"/>
            <w:tcBorders>
              <w:top w:val="single" w:sz="4" w:space="0" w:color="auto"/>
              <w:left w:val="single" w:sz="4" w:space="0" w:color="auto"/>
              <w:right w:val="single" w:sz="4" w:space="0" w:color="auto"/>
            </w:tcBorders>
            <w:vAlign w:val="center"/>
          </w:tcPr>
          <w:p>
            <w:pPr>
              <w:pStyle w:val="139"/>
              <w:spacing w:line="240" w:lineRule="auto"/>
              <w:ind w:firstLine="0"/>
              <w:jc w:val="center"/>
              <w:rPr>
                <w:rFonts w:cs="宋体"/>
              </w:rPr>
            </w:pPr>
            <w:r>
              <w:rPr>
                <w:rFonts w:hint="eastAsia"/>
              </w:rPr>
              <w:t>★</w:t>
            </w:r>
          </w:p>
        </w:tc>
        <w:tc>
          <w:tcPr>
            <w:tcW w:w="3690" w:type="dxa"/>
            <w:tcBorders>
              <w:top w:val="single" w:sz="4" w:space="0" w:color="auto"/>
              <w:left w:val="single" w:sz="4" w:space="0" w:color="auto"/>
              <w:right w:val="single" w:sz="4" w:space="0" w:color="auto"/>
            </w:tcBorders>
          </w:tcPr>
          <w:p>
            <w:pPr>
              <w:pStyle w:val="1401"/>
              <w:widowControl/>
              <w:spacing w:line="240" w:lineRule="auto"/>
              <w:rPr>
                <w:rFonts w:cs="宋体"/>
                <w:spacing w:val="2"/>
              </w:rPr>
            </w:pPr>
            <w:r>
              <w:rPr>
                <w:rFonts w:cs="宋体" w:hint="eastAsia"/>
                <w:spacing w:val="2"/>
              </w:rPr>
              <w:t>合同验收通过之日起提供</w:t>
            </w:r>
            <w:r>
              <w:rPr>
                <w:rFonts w:cs="宋体"/>
                <w:spacing w:val="2"/>
              </w:rPr>
              <w:t>5</w:t>
            </w:r>
            <w:r>
              <w:rPr>
                <w:rFonts w:cs="宋体" w:hint="eastAsia"/>
                <w:spacing w:val="2"/>
              </w:rPr>
              <w:t>年</w:t>
            </w:r>
            <w:r>
              <w:rPr>
                <w:rFonts w:cs="宋体" w:hint="eastAsia"/>
              </w:rPr>
              <w:t>5×8小时</w:t>
            </w:r>
            <w:r>
              <w:rPr>
                <w:rFonts w:cs="宋体" w:hint="eastAsia"/>
                <w:spacing w:val="2"/>
              </w:rPr>
              <w:t>售后服务。</w:t>
            </w:r>
          </w:p>
          <w:p>
            <w:pPr>
              <w:pStyle w:val="1401"/>
              <w:widowControl/>
              <w:spacing w:line="240" w:lineRule="auto"/>
              <w:ind w:firstLine="480" w:firstLineChars="200"/>
              <w:rPr>
                <w:rFonts w:cs="宋体"/>
                <w:spacing w:val="2"/>
              </w:rPr>
            </w:pPr>
            <w:r>
              <w:rPr>
                <w:rFonts w:cs="宋体" w:hint="eastAsia"/>
                <w:spacing w:val="2"/>
              </w:rPr>
              <w:t>投标人应说明其售后服务的内容、形式、地点、标准。</w:t>
            </w:r>
          </w:p>
          <w:p>
            <w:pPr>
              <w:pStyle w:val="1401"/>
              <w:widowControl/>
              <w:spacing w:line="240" w:lineRule="auto"/>
              <w:ind w:firstLine="0"/>
              <w:rPr>
                <w:rFonts w:cs="宋体"/>
                <w:i/>
                <w:iCs/>
                <w:highlight w:val="yellow"/>
              </w:rPr>
            </w:pPr>
          </w:p>
        </w:tc>
        <w:tc>
          <w:tcPr>
            <w:tcW w:w="1685" w:type="dxa"/>
            <w:vAlign w:val="center"/>
          </w:tcPr>
          <w:p>
            <w:pPr>
              <w:pStyle w:val="1410"/>
              <w:spacing w:line="240" w:lineRule="auto"/>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502"/>
          <w:jc w:val="left"/>
        </w:trPr>
        <w:tc>
          <w:tcPr>
            <w:tcW w:w="808" w:type="dxa"/>
            <w:vAlign w:val="center"/>
          </w:tcPr>
          <w:p>
            <w:pPr>
              <w:jc w:val="center"/>
            </w:pPr>
            <w:r>
              <w:rPr>
                <w:rFonts w:hint="eastAsia"/>
              </w:rPr>
              <w:t>2</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驻场人员要求</w:t>
            </w:r>
          </w:p>
        </w:tc>
        <w:tc>
          <w:tcPr>
            <w:tcW w:w="1196" w:type="dxa"/>
            <w:tcBorders>
              <w:top w:val="single" w:sz="4" w:space="0" w:color="auto"/>
              <w:left w:val="single" w:sz="4" w:space="0" w:color="auto"/>
              <w:right w:val="single" w:sz="4" w:space="0" w:color="auto"/>
            </w:tcBorders>
            <w:vAlign w:val="center"/>
          </w:tcPr>
          <w:p>
            <w:pPr>
              <w:pStyle w:val="1420"/>
              <w:spacing w:line="240" w:lineRule="auto"/>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tcPr>
          <w:p>
            <w:pPr>
              <w:ind w:firstLine="480" w:firstLineChars="200"/>
              <w:rPr>
                <w:rFonts w:cs="宋体"/>
                <w:color w:val="auto"/>
                <w:spacing w:val="-4"/>
                <w:sz w:val="24"/>
              </w:rPr>
            </w:pPr>
            <w:r>
              <w:rPr>
                <w:rFonts w:cs="宋体"/>
                <w:color w:val="auto"/>
                <w:spacing w:val="-4"/>
                <w:sz w:val="24"/>
              </w:rPr>
              <w:t>投标人应根据采购人要求在售后服务的第一年提供驻场服务。</w:t>
            </w:r>
          </w:p>
          <w:p>
            <w:pPr>
              <w:rPr>
                <w:rFonts w:cs="宋体"/>
                <w:color w:val="auto"/>
                <w:spacing w:val="-4"/>
                <w:sz w:val="24"/>
              </w:rPr>
            </w:pPr>
            <w:r>
              <w:rPr>
                <w:rFonts w:cs="宋体"/>
                <w:color w:val="auto"/>
                <w:spacing w:val="-4"/>
                <w:sz w:val="24"/>
              </w:rPr>
              <w:t>驻场地点为海口，需离采购人所在场所30分钟内可达。驻场期间的场租、专线、保障等费用包含在本次投标总报价中，采购人不另行支付。</w:t>
            </w:r>
          </w:p>
          <w:p>
            <w:pPr>
              <w:ind w:firstLine="480" w:firstLineChars="200"/>
              <w:rPr>
                <w:rFonts w:cs="宋体"/>
                <w:color w:val="auto"/>
                <w:spacing w:val="-4"/>
                <w:sz w:val="24"/>
              </w:rPr>
            </w:pPr>
            <w:r>
              <w:rPr>
                <w:rFonts w:cs="宋体"/>
                <w:color w:val="auto"/>
                <w:spacing w:val="-4"/>
                <w:sz w:val="24"/>
              </w:rPr>
              <w:t>项目团队在项目售后服务的第一年应保证项目经理全程驻场，其他驻场相关人员不少于2人。</w:t>
            </w:r>
          </w:p>
          <w:p>
            <w:pPr>
              <w:ind w:firstLine="480" w:firstLineChars="200"/>
              <w:rPr>
                <w:rFonts w:cs="宋体"/>
                <w:color w:val="auto"/>
                <w:spacing w:val="-4"/>
                <w:sz w:val="24"/>
              </w:rPr>
            </w:pPr>
            <w:r>
              <w:rPr>
                <w:rFonts w:cs="宋体"/>
                <w:color w:val="auto"/>
                <w:spacing w:val="-4"/>
                <w:sz w:val="24"/>
              </w:rPr>
              <w:t>服务人员驻场期间，应严格遵守采购人各项管理制度，包括工作制度、项目管理制度、内部安全管理要求、安全生产管理、数据安全管理的相关要求。</w:t>
            </w:r>
          </w:p>
        </w:tc>
        <w:tc>
          <w:tcPr>
            <w:tcW w:w="1685" w:type="dxa"/>
            <w:vAlign w:val="center"/>
          </w:tcPr>
          <w:p>
            <w:pPr>
              <w:pStyle w:val="1430"/>
              <w:spacing w:line="240" w:lineRule="auto"/>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3</w:t>
            </w:r>
          </w:p>
        </w:tc>
        <w:tc>
          <w:tcPr>
            <w:tcW w:w="1140" w:type="dxa"/>
            <w:tcBorders>
              <w:top w:val="single" w:sz="4" w:space="0" w:color="auto"/>
              <w:left w:val="single" w:sz="4" w:space="0" w:color="auto"/>
              <w:right w:val="single" w:sz="4" w:space="0" w:color="auto"/>
            </w:tcBorders>
            <w:vAlign w:val="center"/>
          </w:tcPr>
          <w:p>
            <w:pPr>
              <w:jc w:val="center"/>
            </w:pPr>
            <w:r>
              <w:rPr>
                <w:rFonts w:hint="eastAsia"/>
              </w:rPr>
              <w:t>投标人服务标准</w:t>
            </w:r>
          </w:p>
        </w:tc>
        <w:tc>
          <w:tcPr>
            <w:tcW w:w="1196" w:type="dxa"/>
            <w:tcBorders>
              <w:top w:val="single" w:sz="4" w:space="0" w:color="auto"/>
              <w:left w:val="single" w:sz="4" w:space="0" w:color="auto"/>
              <w:right w:val="single" w:sz="4" w:space="0" w:color="auto"/>
            </w:tcBorders>
            <w:vAlign w:val="center"/>
          </w:tcPr>
          <w:p>
            <w:pPr>
              <w:pStyle w:val="1440"/>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vAlign w:val="center"/>
          </w:tcPr>
          <w:p>
            <w:pPr>
              <w:pStyle w:val="145"/>
              <w:ind w:firstLine="480" w:firstLineChars="200"/>
              <w:rPr>
                <w:rFonts w:cs="宋体"/>
              </w:rPr>
            </w:pPr>
            <w:r>
              <w:rPr>
                <w:rFonts w:cs="宋体"/>
              </w:rPr>
              <w:t>投标人应承诺保持项目团队的稳定性，未经采购人许可不得随便调整项目团队核心技术成员（如项目经理、技术负责人、安全负责人）。如有人员提出辞职，投标人应提前 30天通知采购人，并立即补充人员进行工作交接；待交接通过采购人审核后，离职人员方可离开；如因此给采购人造成损失，由投标人承担；服务人员离职时，不得以任何方式复制采购人及项目的一切资料。服务期间，项目经理、技术负责人、安全负责人和主要技术人员须提供7*24小时联系方式，并保证联系渠道畅通。</w:t>
            </w:r>
          </w:p>
          <w:p>
            <w:pPr>
              <w:pStyle w:val="145"/>
              <w:ind w:firstLine="480" w:firstLineChars="200"/>
              <w:rPr>
                <w:rFonts w:cs="宋体"/>
              </w:rPr>
            </w:pPr>
            <w:r>
              <w:rPr>
                <w:rFonts w:cs="宋体"/>
              </w:rPr>
              <w:t>本项目的开发实施所在地需满足采购人要求。</w:t>
            </w:r>
          </w:p>
          <w:p>
            <w:pPr>
              <w:pStyle w:val="145"/>
              <w:ind w:firstLine="480" w:firstLineChars="200"/>
              <w:rPr>
                <w:rFonts w:cs="宋体"/>
              </w:rPr>
            </w:pPr>
            <w:r>
              <w:rPr>
                <w:rFonts w:cs="宋体"/>
              </w:rPr>
              <w:t>投标人应承诺完成上线部署、问题排查等工作。</w:t>
            </w:r>
          </w:p>
        </w:tc>
        <w:tc>
          <w:tcPr>
            <w:tcW w:w="1685" w:type="dxa"/>
            <w:vAlign w:val="center"/>
          </w:tcPr>
          <w:p>
            <w:pPr>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t>4</w:t>
            </w:r>
          </w:p>
        </w:tc>
        <w:tc>
          <w:tcPr>
            <w:tcW w:w="1140" w:type="dxa"/>
            <w:tcBorders>
              <w:top w:val="single" w:sz="4" w:space="0" w:color="auto"/>
              <w:left w:val="single" w:sz="4" w:space="0" w:color="auto"/>
              <w:right w:val="single" w:sz="4" w:space="0" w:color="auto"/>
            </w:tcBorders>
            <w:vAlign w:val="center"/>
          </w:tcPr>
          <w:p>
            <w:pPr>
              <w:jc w:val="center"/>
            </w:pPr>
            <w:r>
              <w:rPr>
                <w:rFonts w:hint="eastAsia"/>
              </w:rPr>
              <w:t>人员资格标准</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vAlign w:val="center"/>
          </w:tcPr>
          <w:p>
            <w:pPr>
              <w:pStyle w:val="145"/>
              <w:ind w:firstLine="480" w:firstLineChars="200"/>
              <w:rPr>
                <w:rFonts w:cs="宋体"/>
              </w:rPr>
            </w:pPr>
            <w:r>
              <w:rPr>
                <w:rFonts w:cs="宋体"/>
              </w:rPr>
              <w:t>项目经理和技术负责人需具有承担过同类系统软件开发经验，能够与用户进行良好的沟通，熟悉系统开发架构。</w:t>
            </w:r>
          </w:p>
          <w:p>
            <w:pPr>
              <w:pStyle w:val="145"/>
              <w:ind w:firstLine="480" w:firstLineChars="200"/>
              <w:rPr>
                <w:rFonts w:cs="宋体"/>
              </w:rPr>
            </w:pPr>
            <w:r>
              <w:rPr>
                <w:rFonts w:cs="宋体"/>
              </w:rPr>
              <w:t>1、项目经理：</w:t>
            </w:r>
          </w:p>
          <w:p>
            <w:pPr>
              <w:pStyle w:val="145"/>
              <w:ind w:firstLine="480" w:firstLineChars="200"/>
              <w:rPr>
                <w:rFonts w:cs="宋体"/>
              </w:rPr>
            </w:pPr>
            <w:r>
              <w:rPr>
                <w:rFonts w:cs="宋体"/>
              </w:rPr>
              <w:t>1人；</w:t>
            </w:r>
            <w:r>
              <w:rPr>
                <w:rFonts w:cs="宋体" w:hint="eastAsia"/>
              </w:rPr>
              <w:t>具有</w:t>
            </w:r>
            <w:r>
              <w:rPr>
                <w:rFonts w:cs="宋体"/>
              </w:rPr>
              <w:t>中华人民共和国人力资源和社会保障部、工业和信息化部批准颁发的计算机技术与软件专业技术高级资格证书，其专业为信息系统项目管理师。</w:t>
            </w:r>
          </w:p>
          <w:p>
            <w:pPr>
              <w:pStyle w:val="145"/>
              <w:ind w:firstLine="480" w:firstLineChars="200"/>
              <w:rPr>
                <w:rFonts w:cs="宋体"/>
              </w:rPr>
            </w:pPr>
            <w:r>
              <w:rPr>
                <w:rFonts w:cs="宋体"/>
              </w:rPr>
              <w:t>具有10年（含）以上信息化系统建设项目开发及管理经验，能够与用户进行良好的沟通，担任同等角色；</w:t>
            </w:r>
          </w:p>
          <w:p>
            <w:pPr>
              <w:pStyle w:val="145"/>
              <w:ind w:firstLine="480" w:firstLineChars="200"/>
              <w:rPr>
                <w:rFonts w:cs="宋体"/>
              </w:rPr>
            </w:pPr>
            <w:r>
              <w:rPr>
                <w:rFonts w:cs="宋体"/>
              </w:rPr>
              <w:t>具备良好的团队协作精神，能利用自身技术能力升团队整体研发效率，提高团队影响力。</w:t>
            </w:r>
          </w:p>
          <w:p>
            <w:pPr>
              <w:pStyle w:val="145"/>
              <w:ind w:firstLine="480" w:firstLineChars="200"/>
              <w:rPr>
                <w:rFonts w:cs="宋体"/>
              </w:rPr>
            </w:pPr>
            <w:r>
              <w:rPr>
                <w:rFonts w:cs="宋体"/>
              </w:rPr>
              <w:t>2、技术负责人</w:t>
            </w:r>
          </w:p>
          <w:p>
            <w:pPr>
              <w:pStyle w:val="145"/>
              <w:ind w:firstLine="480" w:firstLineChars="200"/>
              <w:rPr>
                <w:rFonts w:cs="宋体"/>
              </w:rPr>
            </w:pPr>
            <w:r>
              <w:rPr>
                <w:rFonts w:cs="宋体"/>
              </w:rPr>
              <w:t>1人；</w:t>
            </w:r>
            <w:r>
              <w:rPr>
                <w:rFonts w:cs="宋体" w:hint="eastAsia"/>
                <w:color w:val="FF0000"/>
              </w:rPr>
              <w:t xml:space="preserve"> </w:t>
            </w:r>
            <w:r>
              <w:rPr>
                <w:rFonts w:cs="宋体"/>
              </w:rPr>
              <w:t>具有10年（含）以上信息化系统建设项目开发及管理经验；</w:t>
            </w:r>
          </w:p>
          <w:p>
            <w:pPr>
              <w:pStyle w:val="145"/>
              <w:ind w:firstLine="480" w:firstLineChars="200"/>
              <w:rPr>
                <w:rFonts w:cs="宋体"/>
              </w:rPr>
            </w:pPr>
            <w:r>
              <w:rPr>
                <w:rFonts w:cs="宋体"/>
              </w:rPr>
              <w:t>熟悉互联网开发模式，精通JAVA相关技术、J2EE架构和设计模式，熟练运用WebService相关技术。</w:t>
            </w:r>
          </w:p>
          <w:p>
            <w:pPr>
              <w:pStyle w:val="145"/>
              <w:ind w:firstLine="480" w:firstLineChars="200"/>
              <w:rPr>
                <w:rFonts w:cs="宋体"/>
              </w:rPr>
            </w:pPr>
            <w:r>
              <w:rPr>
                <w:rFonts w:cs="宋体"/>
              </w:rPr>
              <w:t>3、架构师：</w:t>
            </w:r>
          </w:p>
          <w:p>
            <w:pPr>
              <w:pStyle w:val="145"/>
              <w:ind w:firstLine="480" w:firstLineChars="200"/>
              <w:rPr>
                <w:rFonts w:cs="宋体"/>
              </w:rPr>
            </w:pPr>
            <w:r>
              <w:rPr>
                <w:rFonts w:cs="宋体"/>
              </w:rPr>
              <w:t>1人；</w:t>
            </w:r>
            <w:r>
              <w:rPr>
                <w:rFonts w:cs="宋体" w:hint="eastAsia"/>
              </w:rPr>
              <w:t>具有</w:t>
            </w:r>
            <w:r>
              <w:rPr>
                <w:rFonts w:cs="宋体"/>
              </w:rPr>
              <w:t>中华人民共和国人力资源和社会保障部、工业和信息化部批准颁发的计算机技术与软件专业技术高级资格证书，其专业为</w:t>
            </w:r>
            <w:r>
              <w:rPr>
                <w:rFonts w:cs="宋体" w:hint="eastAsia"/>
              </w:rPr>
              <w:t>系统架构设计师证书；</w:t>
            </w:r>
          </w:p>
          <w:p>
            <w:pPr>
              <w:pStyle w:val="145"/>
              <w:ind w:firstLine="480" w:firstLineChars="200"/>
              <w:rPr>
                <w:rFonts w:cs="宋体"/>
              </w:rPr>
            </w:pPr>
            <w:r>
              <w:rPr>
                <w:rFonts w:cs="宋体"/>
              </w:rPr>
              <w:t>具有10年（含）以上信息化系统建设项目开发及系统架构经验；</w:t>
            </w:r>
          </w:p>
          <w:p>
            <w:pPr>
              <w:pStyle w:val="145"/>
              <w:ind w:firstLine="480" w:firstLineChars="200"/>
              <w:rPr>
                <w:rFonts w:cs="宋体"/>
              </w:rPr>
            </w:pPr>
            <w:r>
              <w:rPr>
                <w:rFonts w:cs="宋体"/>
              </w:rPr>
              <w:t>4、安全负责人；</w:t>
            </w:r>
          </w:p>
          <w:p>
            <w:pPr>
              <w:pStyle w:val="145"/>
              <w:ind w:firstLine="480" w:firstLineChars="200"/>
              <w:rPr>
                <w:rFonts w:cs="宋体"/>
              </w:rPr>
            </w:pPr>
            <w:r>
              <w:rPr>
                <w:rFonts w:cs="宋体"/>
              </w:rPr>
              <w:t>1人：具有同类信息化系统建设项目经验；</w:t>
            </w:r>
          </w:p>
          <w:p>
            <w:pPr>
              <w:pStyle w:val="145"/>
              <w:ind w:firstLine="480" w:firstLineChars="200"/>
              <w:rPr>
                <w:rFonts w:cs="宋体"/>
              </w:rPr>
            </w:pPr>
            <w:r>
              <w:rPr>
                <w:rFonts w:cs="宋体"/>
              </w:rPr>
              <w:t>确保信息系统安全运行，负责信息系统的安全管理和运行,包括网络安全、系统访问控制、漏洞管理。</w:t>
            </w:r>
          </w:p>
          <w:p>
            <w:pPr>
              <w:pStyle w:val="145"/>
              <w:ind w:firstLine="480" w:firstLineChars="200"/>
              <w:rPr>
                <w:rFonts w:cs="宋体"/>
              </w:rPr>
            </w:pPr>
            <w:r>
              <w:rPr>
                <w:rFonts w:cs="宋体"/>
              </w:rPr>
              <w:t>5、算法工程师；</w:t>
            </w:r>
          </w:p>
          <w:p>
            <w:pPr>
              <w:pStyle w:val="145"/>
              <w:ind w:firstLine="480" w:firstLineChars="200"/>
              <w:rPr>
                <w:rFonts w:cs="宋体"/>
              </w:rPr>
            </w:pPr>
            <w:r>
              <w:rPr>
                <w:rFonts w:cs="宋体"/>
              </w:rPr>
              <w:t>1人：</w:t>
            </w:r>
            <w:r>
              <w:rPr>
                <w:rFonts w:cs="宋体" w:hint="eastAsia"/>
                <w:color w:val="FF0000"/>
              </w:rPr>
              <w:t xml:space="preserve"> </w:t>
            </w:r>
            <w:r>
              <w:rPr>
                <w:rFonts w:cs="宋体"/>
              </w:rPr>
              <w:t>具有5年（含）以上信息化系统建设项目开发经验；</w:t>
            </w:r>
          </w:p>
          <w:p>
            <w:pPr>
              <w:pStyle w:val="145"/>
              <w:ind w:firstLine="480" w:firstLineChars="200"/>
              <w:rPr>
                <w:rFonts w:cs="宋体"/>
              </w:rPr>
            </w:pPr>
            <w:r>
              <w:rPr>
                <w:rFonts w:cs="宋体"/>
              </w:rPr>
              <w:t>6、设计工程师：</w:t>
            </w:r>
          </w:p>
          <w:p>
            <w:pPr>
              <w:pStyle w:val="145"/>
              <w:ind w:firstLine="480" w:firstLineChars="200"/>
              <w:rPr>
                <w:rFonts w:cs="宋体"/>
              </w:rPr>
            </w:pPr>
            <w:r>
              <w:rPr>
                <w:rFonts w:cs="宋体"/>
              </w:rPr>
              <w:t>1人；</w:t>
            </w:r>
            <w:r>
              <w:rPr>
                <w:rFonts w:cs="宋体" w:hint="eastAsia"/>
                <w:color w:val="FF0000"/>
              </w:rPr>
              <w:t xml:space="preserve"> </w:t>
            </w:r>
            <w:r>
              <w:rPr>
                <w:rFonts w:cs="宋体"/>
              </w:rPr>
              <w:t>精通Java语言，从事Java应用系统软件开发5年（含）以上，有同类系统建设或维护经验，担任同等角色；</w:t>
            </w:r>
          </w:p>
          <w:p>
            <w:pPr>
              <w:pStyle w:val="145"/>
              <w:ind w:firstLine="480" w:firstLineChars="200"/>
              <w:rPr>
                <w:rFonts w:cs="宋体"/>
              </w:rPr>
            </w:pPr>
            <w:r>
              <w:rPr>
                <w:rFonts w:cs="宋体"/>
              </w:rPr>
              <w:t>精通常用开源框架，精通IBATIS(Mybitis）等ORM框架；熟练使用SQL语句，精通数据库及SQL调优；熟悉前端技术和常用前端框架，对前端工程化与模块化开发有一定了解；</w:t>
            </w:r>
          </w:p>
          <w:p>
            <w:pPr>
              <w:pStyle w:val="145"/>
              <w:ind w:firstLine="480" w:firstLineChars="200"/>
              <w:rPr>
                <w:rFonts w:cs="宋体"/>
              </w:rPr>
            </w:pPr>
            <w:r>
              <w:rPr>
                <w:rFonts w:cs="宋体"/>
              </w:rPr>
              <w:t>具备系统架构设计能力、项目实施能力，能够与用户进行良好的沟通；</w:t>
            </w:r>
          </w:p>
          <w:p>
            <w:pPr>
              <w:pStyle w:val="145"/>
              <w:ind w:firstLine="480" w:firstLineChars="200"/>
              <w:rPr>
                <w:rFonts w:cs="宋体"/>
              </w:rPr>
            </w:pPr>
            <w:r>
              <w:rPr>
                <w:rFonts w:cs="宋体"/>
              </w:rPr>
              <w:t>具备良好的编程习惯、文档写作及管理能力。</w:t>
            </w:r>
          </w:p>
          <w:p>
            <w:pPr>
              <w:pStyle w:val="145"/>
              <w:ind w:firstLine="480" w:firstLineChars="200"/>
              <w:rPr>
                <w:rFonts w:cs="宋体"/>
              </w:rPr>
            </w:pPr>
            <w:r>
              <w:rPr>
                <w:rFonts w:cs="宋体"/>
              </w:rPr>
              <w:t>7、需求工程师：</w:t>
            </w:r>
          </w:p>
          <w:p>
            <w:pPr>
              <w:pStyle w:val="145"/>
              <w:ind w:firstLine="480" w:firstLineChars="200"/>
              <w:rPr>
                <w:rFonts w:cs="宋体"/>
              </w:rPr>
            </w:pPr>
            <w:r>
              <w:rPr>
                <w:rFonts w:cs="宋体"/>
              </w:rPr>
              <w:t>2人；具备软件需求分析能力、流程设计能力，需具有8年（含）以上信息化系统建设项目需求开发经验；</w:t>
            </w:r>
          </w:p>
          <w:p>
            <w:pPr>
              <w:pStyle w:val="145"/>
              <w:ind w:firstLine="480" w:firstLineChars="200"/>
              <w:rPr>
                <w:rFonts w:cs="宋体"/>
              </w:rPr>
            </w:pPr>
            <w:r>
              <w:rPr>
                <w:rFonts w:cs="宋体"/>
              </w:rPr>
              <w:t>具备良好的编程习惯、文档写作及管理能力；具备良好的团队协作精神。</w:t>
            </w:r>
          </w:p>
          <w:p>
            <w:pPr>
              <w:pStyle w:val="145"/>
              <w:ind w:firstLine="480" w:firstLineChars="200"/>
              <w:rPr>
                <w:rFonts w:cs="宋体"/>
              </w:rPr>
            </w:pPr>
            <w:r>
              <w:rPr>
                <w:rFonts w:cs="宋体"/>
              </w:rPr>
              <w:t>8、研发工程师：</w:t>
            </w:r>
          </w:p>
          <w:p>
            <w:pPr>
              <w:pStyle w:val="145"/>
              <w:ind w:firstLine="480" w:firstLineChars="200"/>
              <w:rPr>
                <w:rFonts w:cs="宋体"/>
              </w:rPr>
            </w:pPr>
            <w:r>
              <w:rPr>
                <w:rFonts w:cs="宋体"/>
              </w:rPr>
              <w:t>10人；</w:t>
            </w:r>
            <w:r>
              <w:rPr>
                <w:rFonts w:cs="宋体" w:hint="eastAsia"/>
                <w:color w:val="FF0000"/>
              </w:rPr>
              <w:t xml:space="preserve"> </w:t>
            </w:r>
          </w:p>
          <w:p>
            <w:pPr>
              <w:pStyle w:val="145"/>
              <w:ind w:firstLine="480" w:firstLineChars="200"/>
              <w:rPr>
                <w:rFonts w:cs="宋体"/>
              </w:rPr>
            </w:pPr>
            <w:r>
              <w:rPr>
                <w:rFonts w:cs="宋体"/>
              </w:rPr>
              <w:t>熟悉Java语言，从事Java应用系统软件开发3年（含）以上，具有3年（含）以上信息化系统建设项目开发经验。</w:t>
            </w:r>
          </w:p>
          <w:p>
            <w:pPr>
              <w:pStyle w:val="145"/>
              <w:ind w:firstLine="480" w:firstLineChars="200"/>
              <w:rPr>
                <w:rFonts w:cs="宋体"/>
              </w:rPr>
            </w:pPr>
            <w:r>
              <w:rPr>
                <w:rFonts w:cs="宋体"/>
              </w:rPr>
              <w:t>熟悉常用开源框架，熟悉IBATIS（Mybitis）等ORM框架；熟练使用SQL语句，熟悉数据库及SQL调优；</w:t>
            </w:r>
          </w:p>
          <w:p>
            <w:pPr>
              <w:pStyle w:val="145"/>
              <w:ind w:firstLine="480" w:firstLineChars="200"/>
              <w:rPr>
                <w:rFonts w:cs="宋体"/>
              </w:rPr>
            </w:pPr>
            <w:r>
              <w:rPr>
                <w:rFonts w:cs="宋体"/>
              </w:rPr>
              <w:t>具备良好的编程习惯、文档写作及管理能力；具备良好的团队协作精神。</w:t>
            </w:r>
          </w:p>
          <w:p>
            <w:pPr>
              <w:pStyle w:val="145"/>
              <w:ind w:firstLine="480" w:firstLineChars="200"/>
              <w:rPr>
                <w:rFonts w:cs="宋体"/>
              </w:rPr>
            </w:pPr>
            <w:r>
              <w:rPr>
                <w:rFonts w:cs="宋体"/>
              </w:rPr>
              <w:t>9、测试工程师：</w:t>
            </w:r>
          </w:p>
          <w:p>
            <w:pPr>
              <w:pStyle w:val="145"/>
              <w:ind w:firstLine="480" w:firstLineChars="200"/>
              <w:rPr>
                <w:rFonts w:cs="宋体"/>
              </w:rPr>
            </w:pPr>
            <w:r>
              <w:rPr>
                <w:rFonts w:cs="宋体"/>
              </w:rPr>
              <w:t>5人；</w:t>
            </w:r>
            <w:r>
              <w:rPr>
                <w:rFonts w:cs="宋体" w:hint="eastAsia"/>
                <w:color w:val="FF0000"/>
              </w:rPr>
              <w:t xml:space="preserve"> </w:t>
            </w:r>
          </w:p>
          <w:p>
            <w:pPr>
              <w:pStyle w:val="145"/>
              <w:ind w:firstLine="480" w:firstLineChars="200"/>
              <w:rPr>
                <w:rFonts w:cs="宋体"/>
              </w:rPr>
            </w:pPr>
            <w:r>
              <w:rPr>
                <w:rFonts w:cs="宋体"/>
              </w:rPr>
              <w:t>具备测试用例设计、测试执行、功能测试、性能测试的能力，需具有3年（含）以上信息化系统建设项目测试经验；熟练掌握缺陷管理工具的使用；熟练掌握数据库操作，能完成增删改查等操作；熟练掌握 linux 基本命令；了解自动化测试框架，能编写相关自动化脚本；掌握数据接口测试和性能测试工具；</w:t>
            </w:r>
          </w:p>
          <w:p>
            <w:pPr>
              <w:pStyle w:val="145"/>
              <w:ind w:firstLine="480" w:firstLineChars="200"/>
              <w:rPr>
                <w:rFonts w:cs="宋体"/>
              </w:rPr>
            </w:pPr>
            <w:r>
              <w:rPr>
                <w:rFonts w:cs="宋体"/>
              </w:rPr>
              <w:t>10、运维工程师：</w:t>
            </w:r>
          </w:p>
          <w:p>
            <w:pPr>
              <w:pStyle w:val="145"/>
              <w:ind w:firstLine="480" w:firstLineChars="200"/>
            </w:pPr>
            <w:r>
              <w:rPr>
                <w:rFonts w:cs="宋体"/>
              </w:rPr>
              <w:t>3人。</w:t>
            </w:r>
          </w:p>
          <w:p>
            <w:pPr>
              <w:pStyle w:val="145"/>
              <w:ind w:firstLine="480" w:firstLineChars="200"/>
              <w:rPr>
                <w:rFonts w:cs="宋体"/>
              </w:rPr>
            </w:pPr>
            <w:r>
              <w:rPr>
                <w:rFonts w:cs="宋体"/>
              </w:rPr>
              <w:t>要求参与过本项目实施的人员。</w:t>
            </w:r>
          </w:p>
        </w:tc>
        <w:tc>
          <w:tcPr>
            <w:tcW w:w="1685" w:type="dxa"/>
            <w:vAlign w:val="center"/>
          </w:tcPr>
          <w:p>
            <w:pPr>
              <w:ind w:firstLine="420" w:firstLineChars="200"/>
              <w:rPr>
                <w:rFonts w:cs="宋体"/>
              </w:rPr>
            </w:pPr>
            <w:r>
              <w:rPr>
                <w:rFonts w:cs="宋体" w:hint="eastAsia"/>
              </w:rPr>
              <w:t>是，</w:t>
            </w:r>
            <w:r>
              <w:rPr>
                <w:rFonts w:cs="宋体"/>
              </w:rPr>
              <w:t xml:space="preserve">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半年内任意一个月的社保证明或劳动合同等材料，并承诺项目周期内实施人员的稳定性。 </w:t>
            </w:r>
          </w:p>
          <w:p>
            <w:pPr>
              <w:ind w:firstLine="0"/>
              <w:jc w:val="center"/>
              <w:rPr>
                <w:rFonts w:cs="宋体"/>
              </w:rPr>
            </w:pPr>
          </w:p>
          <w:p>
            <w:pPr>
              <w:ind w:firstLine="0"/>
              <w:jc w:val="center"/>
              <w:rPr>
                <w:rFonts w:cs="宋体"/>
              </w:rPr>
            </w:pP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t>5</w:t>
            </w:r>
          </w:p>
        </w:tc>
        <w:tc>
          <w:tcPr>
            <w:tcW w:w="1140" w:type="dxa"/>
            <w:tcBorders>
              <w:top w:val="single" w:sz="4" w:space="0" w:color="auto"/>
              <w:left w:val="single" w:sz="4" w:space="0" w:color="auto"/>
              <w:right w:val="single" w:sz="4" w:space="0" w:color="auto"/>
            </w:tcBorders>
            <w:vAlign w:val="center"/>
          </w:tcPr>
          <w:p>
            <w:pPr>
              <w:jc w:val="center"/>
            </w:pPr>
            <w:r>
              <w:rPr>
                <w:rFonts w:hint="eastAsia"/>
              </w:rPr>
              <w:t>服务网络标准</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tabs>
                <w:tab w:val="left" w:pos="709"/>
              </w:tabs>
              <w:spacing w:line="440" w:lineRule="exact"/>
              <w:ind w:firstLine="464"/>
              <w:rPr>
                <w:rFonts w:cs="宋体"/>
              </w:rPr>
            </w:pPr>
            <w:r>
              <w:rPr>
                <w:rFonts w:cs="宋体" w:hint="eastAsia"/>
              </w:rPr>
              <w:t>投标人需能满足系统</w:t>
            </w:r>
            <w:r>
              <w:rPr>
                <w:rFonts w:cs="宋体" w:hint="eastAsia"/>
                <w:spacing w:val="-4"/>
              </w:rPr>
              <w:t>维保</w:t>
            </w:r>
            <w:r>
              <w:rPr>
                <w:rFonts w:cs="宋体" w:hint="eastAsia"/>
              </w:rPr>
              <w:t>期内运维及技术支持的要求。</w:t>
            </w:r>
          </w:p>
          <w:p>
            <w:pPr>
              <w:tabs>
                <w:tab w:val="left" w:pos="709"/>
              </w:tabs>
              <w:spacing w:line="440" w:lineRule="exact"/>
              <w:ind w:firstLine="464"/>
            </w:pPr>
            <w:r>
              <w:rPr>
                <w:rFonts w:cs="宋体" w:hint="eastAsia"/>
              </w:rPr>
              <w:t>能在</w:t>
            </w:r>
            <w:r>
              <w:rPr>
                <w:rFonts w:cs="宋体" w:hint="eastAsia"/>
                <w:i/>
                <w:iCs/>
              </w:rPr>
              <w:t>8</w:t>
            </w:r>
            <w:r>
              <w:rPr>
                <w:rFonts w:cs="宋体" w:hint="eastAsia"/>
              </w:rPr>
              <w:t>小时内，在采购人要求的指定地点提供服务。</w:t>
            </w:r>
          </w:p>
        </w:tc>
        <w:tc>
          <w:tcPr>
            <w:tcW w:w="1685" w:type="dxa"/>
            <w:vAlign w:val="center"/>
          </w:tcPr>
          <w:p>
            <w:pPr>
              <w:ind w:firstLine="420" w:firstLineChars="200"/>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t>6</w:t>
            </w:r>
          </w:p>
        </w:tc>
        <w:tc>
          <w:tcPr>
            <w:tcW w:w="1140" w:type="dxa"/>
            <w:tcBorders>
              <w:top w:val="single" w:sz="4" w:space="0" w:color="auto"/>
              <w:left w:val="single" w:sz="4" w:space="0" w:color="auto"/>
              <w:right w:val="single" w:sz="4" w:space="0" w:color="auto"/>
            </w:tcBorders>
            <w:vAlign w:val="center"/>
          </w:tcPr>
          <w:p>
            <w:pPr>
              <w:jc w:val="center"/>
            </w:pPr>
            <w:r>
              <w:rPr>
                <w:rFonts w:hint="eastAsia"/>
              </w:rPr>
              <w:t>培训标准</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hint="eastAsia"/>
              </w:rPr>
              <w:t>投标人必须根据应用软件的功能和特点，充分考虑到海关应用人员实际水平，提出详细的培训方案，以达到应用管理人员能够独立管理投标人所提供的应用软件和日常的维护处理能力。</w:t>
            </w:r>
          </w:p>
          <w:p>
            <w:pPr>
              <w:ind w:firstLine="420" w:firstLineChars="200"/>
              <w:rPr>
                <w:rFonts w:cs="宋体"/>
              </w:rPr>
            </w:pPr>
            <w:r>
              <w:rPr>
                <w:rFonts w:cs="宋体" w:hint="eastAsia"/>
              </w:rPr>
              <w:t>投标人根据采购人要求，分别列出全部产品及应用正常运行、管理和使用所需要的培训，包括培训的类别、培训人员与人数、培训课件、方式、时间等安排。</w:t>
            </w:r>
          </w:p>
        </w:tc>
        <w:tc>
          <w:tcPr>
            <w:tcW w:w="1685" w:type="dxa"/>
            <w:vAlign w:val="center"/>
          </w:tcPr>
          <w:p>
            <w:pPr>
              <w:ind w:firstLine="420" w:firstLineChars="200"/>
              <w:rPr>
                <w:rFonts w:cs="宋体"/>
              </w:rPr>
            </w:pPr>
            <w:r>
              <w:rPr>
                <w:rFonts w:cs="宋体"/>
              </w:rPr>
              <w:t>是，提供承诺函</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t>7</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集成标准</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hint="eastAsia"/>
              </w:rPr>
              <w:t>本项目建设系统需与“H4A系统”、“新旅通系统”、“新一代风控系统”、“一人一码”、“一企一账”、“海南征信平台”对接。</w:t>
            </w:r>
          </w:p>
          <w:p>
            <w:pPr>
              <w:ind w:firstLine="420" w:firstLineChars="200"/>
              <w:rPr>
                <w:rFonts w:cs="宋体"/>
              </w:rPr>
            </w:pPr>
            <w:r>
              <w:rPr>
                <w:rFonts w:cs="宋体" w:hint="eastAsia"/>
                <w:spacing w:val="-4"/>
              </w:rPr>
              <w:t>投标人</w:t>
            </w:r>
            <w:r>
              <w:rPr>
                <w:rFonts w:cs="宋体" w:hint="eastAsia"/>
              </w:rPr>
              <w:t>对本项目建设需求理解深刻，详细描述相关联系统集成方案和集成效果设计，方案完整合理。</w:t>
            </w:r>
          </w:p>
          <w:p>
            <w:pPr>
              <w:ind w:firstLine="420" w:firstLineChars="200"/>
              <w:rPr>
                <w:rFonts w:cs="宋体"/>
              </w:rPr>
            </w:pPr>
            <w:r>
              <w:rPr>
                <w:rFonts w:cs="宋体" w:hint="eastAsia"/>
              </w:rPr>
              <w:t>本项目应按照项目管理要求、技术要求、集成要求和方案编制要求开展实施集成工作，并接受和配合集成联调测试工作。</w:t>
            </w:r>
          </w:p>
          <w:p>
            <w:pPr>
              <w:ind w:firstLine="420" w:firstLineChars="200"/>
              <w:rPr>
                <w:rFonts w:cs="宋体"/>
              </w:rPr>
            </w:pPr>
            <w:r>
              <w:rPr>
                <w:rFonts w:cs="宋体" w:hint="eastAsia"/>
              </w:rPr>
              <w:t>本项目的建设与管理要符合工程的有关管理规定、技术架构、标准规范等方面要求，符合工程集成的设计要求及相关标准规范。</w:t>
            </w:r>
          </w:p>
          <w:p>
            <w:pPr>
              <w:ind w:firstLine="420" w:firstLineChars="200"/>
              <w:rPr>
                <w:rFonts w:cs="宋体"/>
                <w:spacing w:val="-4"/>
              </w:rPr>
            </w:pPr>
            <w:r>
              <w:rPr>
                <w:rFonts w:cs="宋体" w:hint="eastAsia"/>
              </w:rPr>
              <w:t>集成方式：主要集成方式为接口方式，包括数据接口和系统接口。</w:t>
            </w:r>
          </w:p>
        </w:tc>
        <w:tc>
          <w:tcPr>
            <w:tcW w:w="1685" w:type="dxa"/>
            <w:vAlign w:val="center"/>
          </w:tcPr>
          <w:p>
            <w:pPr>
              <w:ind w:firstLine="0"/>
              <w:rPr>
                <w:rFonts w:cs="宋体"/>
              </w:rPr>
            </w:pPr>
            <w:r>
              <w:rPr>
                <w:rFonts w:cs="宋体"/>
              </w:rPr>
              <w:t>是，提供承诺函</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8</w:t>
            </w:r>
          </w:p>
        </w:tc>
        <w:tc>
          <w:tcPr>
            <w:tcW w:w="1140"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安全生产要求</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vAlign w:val="center"/>
          </w:tcPr>
          <w:p>
            <w:pPr>
              <w:ind w:firstLine="420" w:firstLineChars="200"/>
              <w:rPr>
                <w:rFonts w:cs="宋体"/>
              </w:rPr>
            </w:pPr>
            <w:r>
              <w:rPr>
                <w:rFonts w:cs="宋体" w:hint="eastAsia"/>
              </w:rPr>
              <w:t>1、投标人应保证在本项目中所有预装和为本项目安装的软件为在中国境内具有合法版权或使用权的正版软件。</w:t>
            </w:r>
          </w:p>
          <w:p>
            <w:pPr>
              <w:ind w:firstLine="420" w:firstLineChars="200"/>
              <w:rPr>
                <w:rFonts w:cs="宋体"/>
              </w:rPr>
            </w:pPr>
            <w:r>
              <w:rPr>
                <w:rFonts w:cs="宋体" w:hint="eastAsia"/>
              </w:rPr>
              <w:t>2、系统在安全运行方面采用多种手段满足《网络安全法》和网络安全等级保护相关要求：服务器和开发客户端均严格遵守海关信息安全规定：用户认证及授权管理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使得系统异常可在第一时间得到及时处理；建立系统数据备份和清理机制。</w:t>
            </w:r>
          </w:p>
          <w:p>
            <w:pPr>
              <w:ind w:firstLine="420" w:firstLineChars="200"/>
              <w:rPr>
                <w:rFonts w:cs="宋体"/>
              </w:rPr>
            </w:pPr>
            <w:r>
              <w:rPr>
                <w:rFonts w:cs="宋体" w:hint="eastAsia"/>
              </w:rPr>
              <w:t>3、根据国家标准，本项目安全等保级别为三级。</w:t>
            </w:r>
          </w:p>
          <w:p>
            <w:pPr>
              <w:ind w:firstLine="420" w:firstLineChars="200"/>
              <w:rPr>
                <w:rFonts w:cs="宋体"/>
              </w:rPr>
            </w:pPr>
            <w:r>
              <w:rPr>
                <w:rFonts w:cs="宋体" w:hint="eastAsia"/>
              </w:rPr>
              <w:t>4、本项目中应用系统数据传输及存储需按海关相关管理规定执行。</w:t>
            </w:r>
          </w:p>
          <w:p>
            <w:pPr>
              <w:ind w:firstLine="420" w:firstLineChars="200"/>
              <w:rPr>
                <w:rFonts w:cs="宋体"/>
              </w:rPr>
            </w:pPr>
            <w:r>
              <w:rPr>
                <w:rFonts w:cs="宋体" w:hint="eastAsia"/>
              </w:rPr>
              <w:t>5、满足建设单位关于项目团队及工作场地等方面的安全与保密管理的策略或具体措施。</w:t>
            </w:r>
          </w:p>
          <w:p>
            <w:pPr>
              <w:ind w:firstLine="420" w:firstLineChars="200"/>
              <w:rPr>
                <w:rFonts w:cs="宋体"/>
              </w:rPr>
            </w:pPr>
            <w:r>
              <w:rPr>
                <w:rFonts w:cs="宋体" w:hint="eastAsia"/>
              </w:rPr>
              <w:t>6、签订保密协议，约定双方权利与义务：投标人与服务人员签订保密协议，落实相应网络安全相关要求：投标人应接受海关定期对其提供服务的监督、评审和审核：投标人及服务人员在双方约定的保密期限内如违反协议中的保密义务，投标人和服务人员承担相应违约责任。</w:t>
            </w:r>
          </w:p>
          <w:p>
            <w:pPr>
              <w:ind w:firstLine="420" w:firstLineChars="200"/>
              <w:rPr>
                <w:rFonts w:cs="宋体"/>
              </w:rPr>
            </w:pPr>
            <w:r>
              <w:rPr>
                <w:rFonts w:cs="宋体" w:hint="eastAsia"/>
              </w:rPr>
              <w:t>7、开发团队和测试团队必须在海关内部研发网进行工作，所有成果物都不能从海关内部研发网传出。</w:t>
            </w:r>
          </w:p>
          <w:p>
            <w:pPr>
              <w:ind w:firstLine="420" w:firstLineChars="200"/>
              <w:rPr>
                <w:rFonts w:cs="宋体"/>
              </w:rPr>
            </w:pPr>
            <w:r>
              <w:rPr>
                <w:rFonts w:cs="宋体" w:hint="eastAsia"/>
              </w:rPr>
              <w:t>8、对于海关提供的资料，不得以任何形式向第三方传播。保密期限不受本项目期限的限制，在本项目履行完毕后，需承担保密义务。</w:t>
            </w:r>
          </w:p>
          <w:p>
            <w:pPr>
              <w:ind w:firstLine="420" w:firstLineChars="200"/>
              <w:rPr>
                <w:rFonts w:cs="宋体"/>
              </w:rPr>
            </w:pPr>
            <w:r>
              <w:rPr>
                <w:rFonts w:cs="宋体" w:hint="eastAsia"/>
              </w:rPr>
              <w:t xml:space="preserve">9、必须保障系统的开发安全、应用程序安全和数据安全。用户身份认证必须符合海关安全管理规定。系统在有效地为管理部门和生产部门提供服务的同时，还必须确保不影响数据网络的安全、可靠、稳定运行。服务过程中需对信息安全给予充分投入，与项目开发同步进行信息安全规划设计，须单独制定安全设计方案或在总体技术方案中包含安全设计部分，并遵守以下安全要求：遵循安全编码规范及通用安全编程准则；开发过程及上线前进行安全性测试，并出具安全测试报告，测试内容包括但不限于恶意代码检测、安全功能测试、密码应用安全性测试、渗透测试等；交付物如涉及第三方工具软件须为正版软件; 开发测试环境与生产环境分离，开发场地和开发环境要求; 开发用机采取安全保护措施，定期进行漏洞检测和修复; 开发场地及开发人员按照国家等级保护要求实施安全控制和管理; 核心开发人员应为专职人员。 </w:t>
            </w:r>
          </w:p>
          <w:p>
            <w:pPr>
              <w:ind w:firstLine="420" w:firstLineChars="200"/>
              <w:rPr>
                <w:rFonts w:cs="宋体"/>
              </w:rPr>
            </w:pPr>
            <w:r>
              <w:rPr>
                <w:rFonts w:cs="宋体" w:hint="eastAsia"/>
              </w:rPr>
              <w:t>10、投标人需阐述项目团队及工作场地等方面的安全与保密管理的策略或具体措施。</w:t>
            </w:r>
          </w:p>
          <w:p>
            <w:pPr>
              <w:ind w:firstLine="420" w:firstLineChars="200"/>
              <w:rPr>
                <w:rFonts w:cs="宋体"/>
              </w:rPr>
            </w:pPr>
            <w:r>
              <w:rPr>
                <w:rFonts w:cs="宋体" w:hint="eastAsia"/>
              </w:rPr>
              <w:t>11、投标人需与采购人签订保密协议，约定双方权利与义务；投标人与服务人员签订保密协议，落实相应要求：投标人及服务人员在双方约定的保密期限内如违反协议中的保密内容，投标人和服务人员承担相应违约责任。</w:t>
            </w:r>
          </w:p>
          <w:p>
            <w:pPr>
              <w:ind w:firstLine="420" w:firstLineChars="200"/>
              <w:rPr>
                <w:rFonts w:cs="宋体"/>
              </w:rPr>
            </w:pPr>
            <w:r>
              <w:rPr>
                <w:rFonts w:cs="宋体" w:hint="eastAsia"/>
              </w:rPr>
              <w:t>12、使用系统人员需通过用户授权，使用H4A用户身份鉴别登录。投标人须遵守以下要求：</w:t>
            </w:r>
          </w:p>
          <w:p>
            <w:pPr>
              <w:ind w:firstLine="420" w:firstLineChars="200"/>
              <w:rPr>
                <w:rFonts w:cs="宋体"/>
              </w:rPr>
            </w:pPr>
            <w:r>
              <w:rPr>
                <w:rFonts w:cs="宋体" w:hint="eastAsia"/>
              </w:rPr>
              <w:t>配合内、外部机构的评审、评估、检查、审计等活动。在服务过程中需对信息安全给予充分投入。</w:t>
            </w:r>
          </w:p>
          <w:p>
            <w:pPr>
              <w:ind w:firstLine="420" w:firstLineChars="200"/>
              <w:rPr>
                <w:rFonts w:cs="宋体"/>
              </w:rPr>
            </w:pPr>
            <w:r>
              <w:rPr>
                <w:rFonts w:cs="宋体" w:hint="eastAsia"/>
              </w:rPr>
              <w:t>13、投标人须提供安全承诺书。（承诺内容包括系统不存在后门，如发现漏洞及时修复，项目人员不得向外泄露海关相关信息等）。</w:t>
            </w:r>
          </w:p>
          <w:p>
            <w:pPr>
              <w:ind w:firstLine="420" w:firstLineChars="200"/>
              <w:rPr>
                <w:rFonts w:cs="宋体"/>
              </w:rPr>
            </w:pPr>
            <w:r>
              <w:rPr>
                <w:rFonts w:cs="宋体" w:hint="eastAsia"/>
              </w:rPr>
              <w:t>14、投标人为采购人提供服务过程中不得设置可以禁用或者绕过安全机制的组件及其它未经明示的功能模块；不得将与本项目相关的设计文档、源代码、配置文件、操作手册等相关信息在互联网上公布或托管。</w:t>
            </w:r>
          </w:p>
          <w:p>
            <w:pPr>
              <w:ind w:firstLine="420" w:firstLineChars="200"/>
              <w:rPr>
                <w:rFonts w:cs="宋体"/>
              </w:rPr>
            </w:pPr>
            <w:r>
              <w:rPr>
                <w:rFonts w:cs="宋体" w:hint="eastAsia"/>
              </w:rPr>
              <w:t>15、投标人提交的源代码需通过采购人代码审查、安全代码扫描通过，不得存在A类安全代码风险。投标人在项目执行过程中严格遵守法律法规、相关政策，不得发生违反采购人安全生产、数据安全、疫情管控、知识产权、工作制度等各项规章制度的情况。</w:t>
            </w:r>
          </w:p>
          <w:p>
            <w:pPr>
              <w:ind w:firstLine="420" w:firstLineChars="200"/>
              <w:rPr>
                <w:rFonts w:cs="宋体"/>
              </w:rPr>
            </w:pPr>
            <w:r>
              <w:rPr>
                <w:rFonts w:cs="宋体" w:hint="eastAsia"/>
              </w:rPr>
              <w:t>16、投标人应对在采购人工作过程中所获知的全部技术资料和技术秘密采取保密措施。除非法律法规要求或取得采购人事先书面同意，投标人不得对外透漏。</w:t>
            </w:r>
          </w:p>
          <w:p>
            <w:pPr>
              <w:ind w:firstLine="420" w:firstLineChars="200"/>
              <w:rPr>
                <w:rFonts w:cs="宋体"/>
              </w:rPr>
            </w:pPr>
            <w:r>
              <w:rPr>
                <w:rFonts w:cs="宋体" w:hint="eastAsia"/>
              </w:rPr>
              <w:t>17、在本项目服务期结束后，投标人保证归还采购人员提供的所有技术资料和文件，并承诺不保留任何副本。投标人应保证己方人员保守其获悉的采购人秘密，并采取必要措施确保己方人员遵守上述有关知识产权、保密等方面的约定。</w:t>
            </w:r>
          </w:p>
          <w:p>
            <w:pPr>
              <w:ind w:firstLine="420" w:firstLineChars="200"/>
              <w:rPr>
                <w:rFonts w:cs="宋体"/>
              </w:rPr>
            </w:pPr>
            <w:r>
              <w:rPr>
                <w:rFonts w:cs="宋体" w:hint="eastAsia"/>
              </w:rPr>
              <w:t>18、为满足项目安全要求，需要投标人配合商用密码应用测评，竣工验收前按照测评要求完成整改工作。</w:t>
            </w:r>
          </w:p>
          <w:p>
            <w:pPr>
              <w:ind w:firstLine="420" w:firstLineChars="200"/>
              <w:rPr>
                <w:rFonts w:cs="宋体"/>
              </w:rPr>
            </w:pPr>
            <w:r>
              <w:rPr>
                <w:rFonts w:cs="宋体" w:hint="eastAsia"/>
              </w:rPr>
              <w:t>19、为满足项目安全要求，需要投标人配合网络安全等保三级测评，竣工验收前按照等保测评要求完成整改工作，在现有《信息安全技术网络安全等级保护基本要求》（GB/T 22239-2019）标准下，如运维期间出现本项目范围内的等保测评的相关问题，由中标人负责解决。</w:t>
            </w:r>
          </w:p>
          <w:p>
            <w:pPr>
              <w:ind w:firstLine="420" w:firstLineChars="200"/>
              <w:rPr>
                <w:rFonts w:cs="宋体"/>
              </w:rPr>
            </w:pPr>
            <w:r>
              <w:rPr>
                <w:rFonts w:cs="宋体" w:hint="eastAsia"/>
              </w:rPr>
              <w:t>20、中标人负责协助采购人完成应用环境部署准备、应用基础平台的对接协调工作，并满足系统在安全运行方面的相关要求。</w:t>
            </w:r>
          </w:p>
          <w:p>
            <w:pPr>
              <w:ind w:firstLine="420" w:firstLineChars="200"/>
              <w:rPr>
                <w:rFonts w:cs="宋体"/>
              </w:rPr>
            </w:pPr>
          </w:p>
        </w:tc>
        <w:tc>
          <w:tcPr>
            <w:tcW w:w="1685" w:type="dxa"/>
            <w:vAlign w:val="center"/>
          </w:tcPr>
          <w:p>
            <w:pPr>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9</w:t>
            </w:r>
          </w:p>
        </w:tc>
        <w:tc>
          <w:tcPr>
            <w:tcW w:w="1140"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评测要求</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hint="eastAsia"/>
              </w:rPr>
              <w:t>投标人须按照采购人的统一安排，负责配合第三方评测机构完成系统测试及整改工作,直至系统通过验收</w:t>
            </w:r>
            <w:r>
              <w:rPr>
                <w:rFonts w:cs="宋体"/>
              </w:rPr>
              <w:t>。</w:t>
            </w:r>
            <w:bookmarkStart w:id="48" w:name="_GoBack"/>
            <w:bookmarkEnd w:id="48"/>
          </w:p>
        </w:tc>
        <w:tc>
          <w:tcPr>
            <w:tcW w:w="1685" w:type="dxa"/>
            <w:vAlign w:val="center"/>
          </w:tcPr>
          <w:p>
            <w:pPr>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10</w:t>
            </w:r>
          </w:p>
        </w:tc>
        <w:tc>
          <w:tcPr>
            <w:tcW w:w="1140" w:type="dxa"/>
            <w:tcBorders>
              <w:top w:val="single" w:sz="4" w:space="0" w:color="auto"/>
              <w:left w:val="single" w:sz="4" w:space="0" w:color="auto"/>
              <w:right w:val="single" w:sz="4" w:space="0" w:color="auto"/>
            </w:tcBorders>
            <w:vAlign w:val="center"/>
          </w:tcPr>
          <w:p>
            <w:pPr>
              <w:ind w:firstLine="0"/>
              <w:rPr>
                <w:rFonts w:cs="宋体"/>
              </w:rPr>
            </w:pPr>
            <w:r>
              <w:rPr>
                <w:rFonts w:cs="宋体" w:hint="eastAsia"/>
              </w:rPr>
              <w:t>环境要求</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cs="宋体"/>
                <w:spacing w:val="-4"/>
                <w:lang w:bidi="en-US"/>
              </w:rPr>
            </w:pPr>
            <w:r>
              <w:rPr>
                <w:rFonts w:cs="宋体" w:hint="eastAsia"/>
              </w:rPr>
              <w:t>▲</w:t>
            </w:r>
          </w:p>
        </w:tc>
        <w:tc>
          <w:tcPr>
            <w:tcW w:w="3690" w:type="dxa"/>
            <w:tcBorders>
              <w:top w:val="single" w:sz="4" w:space="0" w:color="auto"/>
              <w:left w:val="single" w:sz="4" w:space="0" w:color="auto"/>
              <w:right w:val="single" w:sz="4" w:space="0" w:color="auto"/>
            </w:tcBorders>
            <w:vAlign w:val="center"/>
          </w:tcPr>
          <w:p>
            <w:pPr>
              <w:ind w:firstLine="420" w:firstLineChars="200"/>
              <w:rPr>
                <w:rFonts w:cs="宋体"/>
                <w:spacing w:val="-4"/>
              </w:rPr>
            </w:pPr>
            <w:r>
              <w:rPr>
                <w:rFonts w:cs="宋体" w:hint="eastAsia"/>
              </w:rPr>
              <w:t>本项目所有操作系统和客户端浏览器需遵循</w:t>
            </w:r>
            <w:r>
              <w:rPr>
                <w:rFonts w:cs="宋体" w:hint="eastAsia"/>
                <w:color w:val="000000"/>
              </w:rPr>
              <w:t>中国海关</w:t>
            </w:r>
            <w:r>
              <w:rPr>
                <w:rFonts w:cs="宋体" w:hint="eastAsia"/>
              </w:rPr>
              <w:t>的相关约束。</w:t>
            </w:r>
          </w:p>
        </w:tc>
        <w:tc>
          <w:tcPr>
            <w:tcW w:w="1685" w:type="dxa"/>
            <w:vAlign w:val="center"/>
          </w:tcPr>
          <w:p>
            <w:pPr>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11</w:t>
            </w:r>
          </w:p>
        </w:tc>
        <w:tc>
          <w:tcPr>
            <w:tcW w:w="1140" w:type="dxa"/>
            <w:tcBorders>
              <w:top w:val="single" w:sz="4" w:space="0" w:color="auto"/>
              <w:left w:val="single" w:sz="4" w:space="0" w:color="auto"/>
              <w:right w:val="single" w:sz="4" w:space="0" w:color="auto"/>
            </w:tcBorders>
            <w:vAlign w:val="center"/>
          </w:tcPr>
          <w:p>
            <w:pPr>
              <w:ind w:firstLine="0"/>
              <w:rPr>
                <w:rFonts w:cs="宋体"/>
              </w:rPr>
            </w:pPr>
            <w:r>
              <w:rPr>
                <w:rFonts w:cs="宋体" w:hint="eastAsia"/>
                <w:spacing w:val="-4"/>
                <w:lang w:bidi="en-US"/>
              </w:rPr>
              <w:t>扩展需求指标</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210" w:firstLineChars="100"/>
              <w:rPr>
                <w:rFonts w:cs="宋体"/>
                <w:spacing w:val="-4"/>
                <w:lang w:bidi="en-US"/>
              </w:rPr>
            </w:pPr>
            <w:r>
              <w:rPr>
                <w:rFonts w:cs="宋体" w:hint="eastAsia"/>
              </w:rPr>
              <w:t>▲</w:t>
            </w:r>
          </w:p>
        </w:tc>
        <w:tc>
          <w:tcPr>
            <w:tcW w:w="369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cs="宋体"/>
                <w:spacing w:val="-4"/>
              </w:rPr>
            </w:pPr>
            <w:r>
              <w:rPr>
                <w:rFonts w:cs="宋体" w:hint="eastAsia"/>
                <w:spacing w:val="-4"/>
              </w:rPr>
              <w:t>系统应同时满足技术和业务上的扩展性，在技术设计上能够考虑到用户数及业务量增长的情况下，系统性能可以满足稳定运行的要求；同时根据业务需要，为今后新增的功能模块做好预留准备。</w:t>
            </w:r>
          </w:p>
        </w:tc>
        <w:tc>
          <w:tcPr>
            <w:tcW w:w="1685" w:type="dxa"/>
            <w:vAlign w:val="center"/>
          </w:tcPr>
          <w:p>
            <w:pPr>
              <w:spacing w:line="240" w:lineRule="auto"/>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12</w:t>
            </w:r>
          </w:p>
        </w:tc>
        <w:tc>
          <w:tcPr>
            <w:tcW w:w="1140" w:type="dxa"/>
            <w:tcBorders>
              <w:top w:val="single" w:sz="4" w:space="0" w:color="auto"/>
              <w:left w:val="single" w:sz="4" w:space="0" w:color="auto"/>
              <w:right w:val="single" w:sz="4" w:space="0" w:color="auto"/>
            </w:tcBorders>
            <w:vAlign w:val="center"/>
          </w:tcPr>
          <w:p>
            <w:pPr>
              <w:ind w:firstLine="0"/>
              <w:rPr>
                <w:rFonts w:cs="宋体"/>
                <w:spacing w:val="-4"/>
                <w:lang w:bidi="en-US"/>
              </w:rPr>
            </w:pPr>
            <w:r>
              <w:rPr>
                <w:rFonts w:cs="宋体" w:hint="eastAsia"/>
                <w:spacing w:val="-4"/>
                <w:lang w:bidi="en-US"/>
              </w:rPr>
              <w:t>业务应急需求</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cs="宋体"/>
                <w:spacing w:val="-4"/>
                <w:lang w:bidi="en-US"/>
              </w:rPr>
            </w:pPr>
          </w:p>
        </w:tc>
        <w:tc>
          <w:tcPr>
            <w:tcW w:w="369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cs="宋体"/>
                <w:spacing w:val="-4"/>
              </w:rPr>
            </w:pPr>
            <w:r>
              <w:rPr>
                <w:rFonts w:cs="宋体" w:hint="eastAsia"/>
                <w:spacing w:val="-4"/>
              </w:rPr>
              <w:t>出现非法言论事件应急措施：清理非法信息，妥善保存有关记录及日志，强化安全防范措施，使网站重新投入使用。并追查非法来源。</w:t>
            </w:r>
          </w:p>
          <w:p>
            <w:pPr>
              <w:tabs>
                <w:tab w:val="left" w:pos="709"/>
              </w:tabs>
              <w:spacing w:line="440" w:lineRule="exact"/>
              <w:ind w:firstLine="464"/>
              <w:rPr>
                <w:rFonts w:cs="宋体"/>
                <w:spacing w:val="-4"/>
              </w:rPr>
            </w:pPr>
            <w:r>
              <w:rPr>
                <w:rFonts w:cs="宋体" w:hint="eastAsia"/>
                <w:spacing w:val="-4"/>
              </w:rPr>
              <w:t>系统出现故障，技术人员可立即排查恢复。对系统数据进行备份，防止数据丢失。</w:t>
            </w:r>
          </w:p>
        </w:tc>
        <w:tc>
          <w:tcPr>
            <w:tcW w:w="1685" w:type="dxa"/>
            <w:vAlign w:val="center"/>
          </w:tcPr>
          <w:p>
            <w:pPr>
              <w:spacing w:line="240" w:lineRule="auto"/>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13</w:t>
            </w:r>
          </w:p>
        </w:tc>
        <w:tc>
          <w:tcPr>
            <w:tcW w:w="1140" w:type="dxa"/>
            <w:tcBorders>
              <w:top w:val="single" w:sz="4" w:space="0" w:color="auto"/>
              <w:left w:val="single" w:sz="4" w:space="0" w:color="auto"/>
              <w:right w:val="single" w:sz="4" w:space="0" w:color="auto"/>
            </w:tcBorders>
            <w:vAlign w:val="center"/>
          </w:tcPr>
          <w:p>
            <w:pPr>
              <w:spacing w:line="240" w:lineRule="auto"/>
              <w:ind w:firstLine="0"/>
              <w:rPr>
                <w:rFonts w:cs="宋体"/>
              </w:rPr>
            </w:pPr>
            <w:r>
              <w:rPr>
                <w:rFonts w:cs="宋体"/>
                <w:spacing w:val="-4"/>
                <w:lang w:bidi="en-US"/>
              </w:rPr>
              <w:t>数据及业务管控要求</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cs="宋体"/>
                <w:spacing w:val="-4"/>
                <w:lang w:bidi="en-US"/>
              </w:rPr>
            </w:pPr>
            <w:r>
              <w:rPr>
                <w:rFonts w:cs="宋体"/>
              </w:rPr>
              <w:t xml:space="preserve">  </w:t>
            </w:r>
            <w:r>
              <w:rPr>
                <w:rFonts w:cs="宋体" w:hint="eastAsia"/>
              </w:rPr>
              <w:t>▲</w:t>
            </w:r>
          </w:p>
        </w:tc>
        <w:tc>
          <w:tcPr>
            <w:tcW w:w="369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cs="宋体"/>
                <w:spacing w:val="-4"/>
              </w:rPr>
            </w:pPr>
            <w:r>
              <w:rPr>
                <w:rFonts w:cs="宋体"/>
                <w:spacing w:val="-4"/>
              </w:rPr>
              <w:t>1、数据保密性</w:t>
            </w:r>
          </w:p>
          <w:p>
            <w:pPr>
              <w:tabs>
                <w:tab w:val="left" w:pos="709"/>
              </w:tabs>
              <w:spacing w:line="440" w:lineRule="exact"/>
              <w:ind w:firstLine="464"/>
              <w:rPr>
                <w:rFonts w:cs="宋体"/>
                <w:spacing w:val="-4"/>
              </w:rPr>
            </w:pPr>
            <w:r>
              <w:rPr>
                <w:rFonts w:cs="宋体"/>
                <w:spacing w:val="-4"/>
              </w:rPr>
              <w:t>该系统主要为内部数据，不涉及敏感数据。系统配置文件中涉及数据库连接的数据库账号及密码存储，应采取海关认可的、统一的、标准的密码技术对其进行加密，确保其存储的保密性。</w:t>
            </w:r>
          </w:p>
          <w:p>
            <w:pPr>
              <w:tabs>
                <w:tab w:val="left" w:pos="709"/>
              </w:tabs>
              <w:spacing w:line="440" w:lineRule="exact"/>
              <w:ind w:firstLine="464"/>
              <w:rPr>
                <w:rFonts w:cs="宋体"/>
                <w:spacing w:val="-4"/>
              </w:rPr>
            </w:pPr>
            <w:r>
              <w:rPr>
                <w:rFonts w:cs="宋体"/>
                <w:spacing w:val="-4"/>
              </w:rPr>
              <w:t>2、业务应用、数据完整性</w:t>
            </w:r>
          </w:p>
          <w:p>
            <w:pPr>
              <w:tabs>
                <w:tab w:val="left" w:pos="709"/>
              </w:tabs>
              <w:spacing w:line="440" w:lineRule="exact"/>
              <w:ind w:firstLine="464"/>
              <w:rPr>
                <w:rFonts w:cs="宋体"/>
                <w:spacing w:val="-4"/>
              </w:rPr>
            </w:pPr>
            <w:r>
              <w:rPr>
                <w:rFonts w:cs="宋体"/>
                <w:spacing w:val="-4"/>
              </w:rPr>
              <w:t>本系统主要为内部数据，不涉及敏感数据。将采用原海关数据备份方案，通过主运行数据库、备份数据库实现数据互备，以达成容灾管理；应用备份采用海关云平台高可用方案，通过在海关云平台上部署多工作服务节点，以实现负载均衡和服务高可用。</w:t>
            </w:r>
          </w:p>
          <w:p>
            <w:pPr>
              <w:tabs>
                <w:tab w:val="left" w:pos="709"/>
              </w:tabs>
              <w:spacing w:line="440" w:lineRule="exact"/>
              <w:ind w:firstLine="464"/>
              <w:rPr>
                <w:rFonts w:cs="宋体"/>
                <w:spacing w:val="-4"/>
              </w:rPr>
            </w:pPr>
            <w:r>
              <w:rPr>
                <w:rFonts w:cs="宋体"/>
                <w:spacing w:val="-4"/>
              </w:rPr>
              <w:t>3、业务安全审计</w:t>
            </w:r>
          </w:p>
          <w:p>
            <w:pPr>
              <w:tabs>
                <w:tab w:val="left" w:pos="709"/>
              </w:tabs>
              <w:spacing w:line="440" w:lineRule="exact"/>
              <w:ind w:firstLine="464"/>
              <w:rPr>
                <w:rFonts w:cs="宋体"/>
                <w:spacing w:val="-4"/>
              </w:rPr>
            </w:pPr>
            <w:r>
              <w:rPr>
                <w:rFonts w:cs="宋体"/>
                <w:spacing w:val="-4"/>
              </w:rPr>
              <w:t>系统记录用户操作行为及时间等日志信息，覆盖用户关键环节操作行为。日志记录主要字段包括：主键、用户ID、操作描述、服务名、接收到请求时的时间、响应时间、耗时、请求参数、响应结果、日志创建时间，保存周期应不少于6个月，无法删除、修改或覆盖日志记录。</w:t>
            </w:r>
          </w:p>
        </w:tc>
        <w:tc>
          <w:tcPr>
            <w:tcW w:w="1685" w:type="dxa"/>
            <w:vAlign w:val="center"/>
          </w:tcPr>
          <w:p>
            <w:pPr>
              <w:ind w:firstLine="0"/>
              <w:jc w:val="left"/>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14</w:t>
            </w:r>
          </w:p>
        </w:tc>
        <w:tc>
          <w:tcPr>
            <w:tcW w:w="1140" w:type="dxa"/>
            <w:tcBorders>
              <w:top w:val="single" w:sz="4" w:space="0" w:color="auto"/>
              <w:left w:val="single" w:sz="4" w:space="0" w:color="auto"/>
              <w:right w:val="single" w:sz="4" w:space="0" w:color="auto"/>
            </w:tcBorders>
            <w:vAlign w:val="center"/>
          </w:tcPr>
          <w:p>
            <w:pPr>
              <w:spacing w:line="240" w:lineRule="auto"/>
              <w:ind w:firstLine="0"/>
              <w:rPr>
                <w:rFonts w:cs="宋体"/>
                <w:spacing w:val="-4"/>
                <w:lang w:bidi="en-US"/>
              </w:rPr>
            </w:pPr>
            <w:r>
              <w:rPr>
                <w:rFonts w:cs="宋体" w:hint="eastAsia"/>
                <w:spacing w:val="-4"/>
                <w:lang w:bidi="en-US"/>
              </w:rPr>
              <w:t>标准规范要求</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cs="宋体"/>
              </w:rPr>
            </w:pPr>
          </w:p>
        </w:tc>
        <w:tc>
          <w:tcPr>
            <w:tcW w:w="369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cs="宋体"/>
              </w:rPr>
            </w:pPr>
            <w:r>
              <w:rPr>
                <w:rFonts w:cs="宋体" w:hint="eastAsia"/>
              </w:rPr>
              <w:t>系统建设应遵从海关信息化标准体系，海关信息化标准体系包括总体标准、基础设施标准、信息资源标准、应用标准、信息安全标准和信息化管理标准六个分体系。</w:t>
            </w:r>
          </w:p>
          <w:p>
            <w:pPr>
              <w:tabs>
                <w:tab w:val="left" w:pos="709"/>
              </w:tabs>
              <w:spacing w:line="440" w:lineRule="exact"/>
              <w:ind w:firstLine="464"/>
              <w:rPr>
                <w:rFonts w:cs="宋体"/>
              </w:rPr>
            </w:pPr>
            <w:r>
              <w:rPr>
                <w:rFonts w:cs="宋体" w:hint="eastAsia"/>
              </w:rPr>
              <w:t>系统需要采用统一数据规范标准，遵从应用建设的各项技术标准及规范，遵从相关的海关标准要求。</w:t>
            </w:r>
          </w:p>
          <w:p>
            <w:pPr>
              <w:tabs>
                <w:tab w:val="left" w:pos="709"/>
              </w:tabs>
              <w:spacing w:line="440" w:lineRule="exact"/>
              <w:ind w:firstLine="464"/>
              <w:rPr>
                <w:rFonts w:cs="宋体"/>
              </w:rPr>
            </w:pPr>
            <w:r>
              <w:rPr>
                <w:rFonts w:cs="宋体" w:hint="eastAsia"/>
              </w:rPr>
              <w:t>投标人需向采购人提供服务相关体系文件进行报备，包括但不限于制度、标准、指南、模板、说明等内容。</w:t>
            </w:r>
          </w:p>
          <w:p>
            <w:pPr>
              <w:tabs>
                <w:tab w:val="left" w:pos="709"/>
              </w:tabs>
              <w:spacing w:line="440" w:lineRule="exact"/>
              <w:ind w:firstLine="464"/>
              <w:rPr>
                <w:rFonts w:cs="宋体"/>
              </w:rPr>
            </w:pPr>
            <w:r>
              <w:rPr>
                <w:rFonts w:cs="宋体" w:hint="eastAsia"/>
              </w:rPr>
              <w:t>遵循《海关信息化应用项目管理办法》等海关信息系统开发建设的有关标准和规范，在《海关信息化应用项目管理办法》、《海关网络安全管理规定》和《海关信息系统安全管理规定》指导下进行设计、开发、实施。</w:t>
            </w:r>
          </w:p>
        </w:tc>
        <w:tc>
          <w:tcPr>
            <w:tcW w:w="1685" w:type="dxa"/>
            <w:vAlign w:val="center"/>
          </w:tcPr>
          <w:p>
            <w:pPr>
              <w:spacing w:line="240" w:lineRule="auto"/>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15</w:t>
            </w:r>
          </w:p>
        </w:tc>
        <w:tc>
          <w:tcPr>
            <w:tcW w:w="1140"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知识产权归属</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w:t>
            </w:r>
          </w:p>
        </w:tc>
        <w:tc>
          <w:tcPr>
            <w:tcW w:w="3690" w:type="dxa"/>
            <w:tcBorders>
              <w:top w:val="single" w:sz="4" w:space="0" w:color="auto"/>
              <w:left w:val="single" w:sz="4" w:space="0" w:color="auto"/>
              <w:right w:val="single" w:sz="4" w:space="0" w:color="auto"/>
            </w:tcBorders>
            <w:vAlign w:val="center"/>
          </w:tcPr>
          <w:p>
            <w:pPr>
              <w:ind w:firstLine="420" w:firstLineChars="200"/>
              <w:rPr>
                <w:rFonts w:cs="宋体"/>
              </w:rPr>
            </w:pPr>
            <w:r>
              <w:rPr>
                <w:rFonts w:cs="宋体" w:hint="eastAsia"/>
              </w:rPr>
              <w:t>投标人应承诺本项目知识产权归采购人所有。</w:t>
            </w:r>
          </w:p>
          <w:p>
            <w:pPr>
              <w:ind w:firstLine="420" w:firstLineChars="200"/>
              <w:rPr>
                <w:rFonts w:cs="宋体"/>
              </w:rPr>
            </w:pPr>
            <w:r>
              <w:rPr>
                <w:rFonts w:cs="宋体" w:hint="eastAsia"/>
              </w:rPr>
              <w:t>1、采购人对服务成果拥有所有权及全部、完整的知识产权（包括但不限于著作权、专利权、商标权以及知识产权申请权等）；</w:t>
            </w:r>
          </w:p>
          <w:p>
            <w:pPr>
              <w:ind w:firstLine="420" w:firstLineChars="200"/>
              <w:rPr>
                <w:rFonts w:cs="宋体"/>
              </w:rPr>
            </w:pPr>
            <w:r>
              <w:rPr>
                <w:rFonts w:cs="宋体" w:hint="eastAsia"/>
              </w:rPr>
              <w:t>2、采购人有权对工程涉及的所有成果在采购人关区范围内进行推广应用，且不收取费用；</w:t>
            </w:r>
          </w:p>
          <w:p>
            <w:pPr>
              <w:ind w:firstLine="420" w:firstLineChars="200"/>
              <w:rPr>
                <w:rFonts w:cs="宋体"/>
              </w:rPr>
            </w:pPr>
            <w:r>
              <w:rPr>
                <w:rFonts w:cs="宋体" w:hint="eastAsia"/>
              </w:rPr>
              <w:t>3、采购人可安排海关骨干人员参与核心工作，工作结束后带回源代码并纳入采购人原版库管理，以便后续修改维护；</w:t>
            </w:r>
          </w:p>
          <w:p>
            <w:pPr>
              <w:ind w:firstLine="420" w:firstLineChars="200"/>
              <w:rPr>
                <w:rFonts w:cs="宋体"/>
              </w:rPr>
            </w:pPr>
            <w:r>
              <w:rPr>
                <w:rFonts w:cs="宋体" w:hint="eastAsia"/>
              </w:rPr>
              <w:t>4、未经采购人允许，不能将本项目有关内容向第三方泄露。</w:t>
            </w:r>
          </w:p>
          <w:p>
            <w:pPr>
              <w:ind w:firstLine="420" w:firstLineChars="200"/>
              <w:rPr>
                <w:rFonts w:cs="宋体"/>
              </w:rPr>
            </w:pPr>
            <w:r>
              <w:rPr>
                <w:rFonts w:cs="宋体" w:hint="eastAsia"/>
              </w:rPr>
              <w:t>5、投标人就本项目开发的软件，应向采购人提供全部源代码和不限次数的使用权以及二次开发权，本项目所开发软件的知识产权归采购人所有。</w:t>
            </w:r>
          </w:p>
          <w:p>
            <w:pPr>
              <w:ind w:firstLine="420" w:firstLineChars="200"/>
              <w:rPr>
                <w:rFonts w:cs="宋体"/>
              </w:rPr>
            </w:pPr>
            <w:r>
              <w:rPr>
                <w:rFonts w:cs="宋体" w:hint="eastAsia"/>
              </w:rPr>
              <w:t>6、投标人的具有自主知识产权的第三方软件，如需要在本项目中使用，须在投标文件中明确指出和说明。如出现因引入第三方软件而引出的知识产权纠纷，由投标人负责，与采购人无关。</w:t>
            </w:r>
          </w:p>
        </w:tc>
        <w:tc>
          <w:tcPr>
            <w:tcW w:w="1685" w:type="dxa"/>
            <w:vAlign w:val="center"/>
          </w:tcPr>
          <w:p>
            <w:pPr>
              <w:ind w:firstLine="0"/>
              <w:jc w:val="center"/>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16</w:t>
            </w:r>
          </w:p>
        </w:tc>
        <w:tc>
          <w:tcPr>
            <w:tcW w:w="1140"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spacing w:val="-4"/>
                <w:lang w:bidi="en-US"/>
              </w:rPr>
              <w:t>风险及质量管理要求</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cs="宋体"/>
                <w:spacing w:val="-4"/>
                <w:lang w:bidi="en-US"/>
              </w:rPr>
            </w:pPr>
          </w:p>
        </w:tc>
        <w:tc>
          <w:tcPr>
            <w:tcW w:w="3690" w:type="dxa"/>
            <w:tcBorders>
              <w:top w:val="single" w:sz="4" w:space="0" w:color="auto"/>
              <w:left w:val="single" w:sz="4" w:space="0" w:color="auto"/>
              <w:right w:val="single" w:sz="4" w:space="0" w:color="auto"/>
            </w:tcBorders>
            <w:vAlign w:val="center"/>
          </w:tcPr>
          <w:p>
            <w:pPr>
              <w:ind w:firstLine="420" w:firstLineChars="200"/>
              <w:rPr>
                <w:rFonts w:cs="宋体"/>
              </w:rPr>
            </w:pPr>
            <w:r>
              <w:rPr>
                <w:rFonts w:cs="宋体" w:hint="eastAsia"/>
              </w:rPr>
              <w:t>投标人应提供完整的风险管理方案，分析本应用建设过程中的风险，并提出规避及应对措施。</w:t>
            </w:r>
          </w:p>
          <w:p>
            <w:pPr>
              <w:ind w:firstLine="420" w:firstLineChars="200"/>
              <w:rPr>
                <w:rFonts w:cs="宋体"/>
              </w:rPr>
            </w:pPr>
            <w:r>
              <w:rPr>
                <w:rFonts w:cs="宋体" w:hint="eastAsia"/>
              </w:rPr>
              <w:t>投标人应提供质量管理方案，旨在确保项目及其交付结果符合相关质量标准要求，方案需包括制定质量管理总体框架，定制项目质量保证原则等。</w:t>
            </w:r>
          </w:p>
          <w:p>
            <w:pPr>
              <w:ind w:firstLine="420" w:firstLineChars="200"/>
              <w:rPr>
                <w:rFonts w:cs="宋体"/>
              </w:rPr>
            </w:pPr>
            <w:r>
              <w:rPr>
                <w:rFonts w:cs="宋体" w:hint="eastAsia"/>
              </w:rPr>
              <w:t>投标人需按采购人要求，解决各类风险、问题。</w:t>
            </w:r>
          </w:p>
          <w:p>
            <w:pPr>
              <w:ind w:firstLine="420" w:firstLineChars="200"/>
              <w:rPr>
                <w:rFonts w:cs="宋体"/>
              </w:rPr>
            </w:pPr>
            <w:r>
              <w:rPr>
                <w:rFonts w:cs="宋体" w:hint="eastAsia"/>
              </w:rPr>
              <w:t>项目开展中架构管控要求变更，投标人应配合开展相关工作。</w:t>
            </w:r>
          </w:p>
          <w:p>
            <w:pPr>
              <w:ind w:firstLine="420" w:firstLineChars="200"/>
              <w:rPr>
                <w:rFonts w:cs="宋体"/>
              </w:rPr>
            </w:pPr>
            <w:r>
              <w:rPr>
                <w:rFonts w:cs="宋体" w:hint="eastAsia"/>
              </w:rPr>
              <w:t>投标人需接受采购人驻场监管，为相应工作开展提供便利条件，协助完成相应审核、检查等。</w:t>
            </w:r>
          </w:p>
        </w:tc>
        <w:tc>
          <w:tcPr>
            <w:tcW w:w="1685" w:type="dxa"/>
            <w:vAlign w:val="center"/>
          </w:tcPr>
          <w:p>
            <w:pPr>
              <w:spacing w:line="240" w:lineRule="auto"/>
              <w:ind w:firstLine="0"/>
              <w:rPr>
                <w:rFonts w:cs="宋体"/>
              </w:rPr>
            </w:pPr>
            <w:r>
              <w:rPr>
                <w:rFonts w:cs="宋体" w:hint="eastAsia"/>
                <w:color w:val="000000"/>
              </w:rPr>
              <w:t>否</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17</w:t>
            </w:r>
          </w:p>
        </w:tc>
        <w:tc>
          <w:tcPr>
            <w:tcW w:w="1140"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rPr>
              <w:t>试点推广要求</w:t>
            </w:r>
          </w:p>
        </w:tc>
        <w:tc>
          <w:tcPr>
            <w:tcW w:w="1196"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210" w:firstLineChars="100"/>
              <w:rPr>
                <w:rFonts w:cs="宋体"/>
              </w:rPr>
            </w:pPr>
          </w:p>
        </w:tc>
        <w:tc>
          <w:tcPr>
            <w:tcW w:w="3690" w:type="dxa"/>
            <w:tcBorders>
              <w:top w:val="single" w:sz="4" w:space="0" w:color="auto"/>
              <w:left w:val="single" w:sz="4" w:space="0" w:color="auto"/>
              <w:right w:val="single" w:sz="4" w:space="0" w:color="auto"/>
            </w:tcBorders>
            <w:vAlign w:val="center"/>
          </w:tcPr>
          <w:p>
            <w:pPr>
              <w:ind w:firstLine="420" w:firstLineChars="200"/>
              <w:rPr>
                <w:rFonts w:cs="宋体"/>
              </w:rPr>
            </w:pPr>
            <w:r>
              <w:rPr>
                <w:rFonts w:cs="宋体" w:hint="eastAsia"/>
              </w:rPr>
              <w:t>按照采购人要求，投标人负责各应用系统部署上线的组织协调，对上线运行过程中出现的异常情况进行分析、定位、解决，确保应用顺利平稳地上线运行。</w:t>
            </w:r>
          </w:p>
          <w:p>
            <w:pPr>
              <w:ind w:firstLine="420" w:firstLineChars="200"/>
              <w:rPr>
                <w:rFonts w:cs="宋体"/>
              </w:rPr>
            </w:pPr>
            <w:r>
              <w:rPr>
                <w:rFonts w:cs="宋体" w:hint="eastAsia"/>
              </w:rPr>
              <w:t>投标人应组织分项工作承建单位制定生产环境的部署及验证方案，为不影响业务的正常开展，方案中至少要明确指出试运行和推广上线单位如何做好相关新旧系统的过渡工作。</w:t>
            </w:r>
          </w:p>
          <w:p>
            <w:pPr>
              <w:ind w:firstLine="420" w:firstLineChars="200"/>
              <w:rPr>
                <w:rFonts w:cs="宋体"/>
              </w:rPr>
            </w:pPr>
            <w:r>
              <w:rPr>
                <w:rFonts w:cs="宋体" w:hint="eastAsia"/>
              </w:rPr>
              <w:t>投标人应组织和协调各应用系统完成在生产环境中的部署及相关的数据接口参数配置工作，牵头解决过程中的各类问题。</w:t>
            </w:r>
          </w:p>
          <w:p>
            <w:pPr>
              <w:ind w:firstLine="420" w:firstLineChars="200"/>
              <w:rPr>
                <w:rFonts w:cs="宋体"/>
              </w:rPr>
            </w:pPr>
            <w:r>
              <w:rPr>
                <w:rFonts w:cs="宋体" w:hint="eastAsia"/>
              </w:rPr>
              <w:t>投标人应组织各应用系统按照部署及验证方案，对部署完成的所有生产环境进行验证。</w:t>
            </w:r>
          </w:p>
          <w:p>
            <w:pPr>
              <w:ind w:firstLine="420" w:firstLineChars="200"/>
              <w:rPr>
                <w:rFonts w:cs="宋体"/>
              </w:rPr>
            </w:pPr>
            <w:r>
              <w:rPr>
                <w:rFonts w:cs="宋体" w:hint="eastAsia"/>
              </w:rPr>
              <w:t>投标人协助采购人完成项目的试点推广。提交《海关智慧监管平台应用集成-试运行及推广总结报告》，按采购人要求组织各方专家评审通过后正式发布。</w:t>
            </w:r>
          </w:p>
        </w:tc>
        <w:tc>
          <w:tcPr>
            <w:tcW w:w="1685" w:type="dxa"/>
            <w:vAlign w:val="center"/>
          </w:tcPr>
          <w:p>
            <w:pPr>
              <w:spacing w:line="240" w:lineRule="auto"/>
              <w:ind w:firstLine="0"/>
              <w:rPr>
                <w:rFonts w:cs="宋体"/>
                <w:color w:val="000000"/>
              </w:rPr>
            </w:pPr>
            <w:r>
              <w:rPr>
                <w:rFonts w:cs="宋体" w:hint="eastAsia"/>
                <w:color w:val="000000"/>
              </w:rPr>
              <w:t>否</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cs="宋体"/>
              </w:rPr>
            </w:pPr>
            <w:r>
              <w:rPr>
                <w:rFonts w:cs="宋体"/>
              </w:rPr>
              <w:t>18</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color w:val="000000"/>
              </w:rPr>
              <w:t>其他要求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cs="宋体"/>
              </w:rPr>
            </w:pP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rPr>
              <w:t>1</w:t>
            </w:r>
            <w:r>
              <w:rPr>
                <w:rFonts w:cs="宋体" w:hint="eastAsia"/>
              </w:rPr>
              <w:t>、投标人接受建设单位聘请的总集成单位、监理单位的集成管理和监理工作。</w:t>
            </w:r>
          </w:p>
          <w:p>
            <w:pPr>
              <w:ind w:firstLine="420" w:firstLineChars="200"/>
              <w:rPr>
                <w:rFonts w:cs="宋体"/>
              </w:rPr>
            </w:pPr>
            <w:r>
              <w:rPr>
                <w:rFonts w:cs="宋体"/>
              </w:rPr>
              <w:t>2</w:t>
            </w:r>
            <w:r>
              <w:rPr>
                <w:rFonts w:cs="宋体" w:hint="eastAsia"/>
              </w:rPr>
              <w:t>、投标人提供兼职或专职的档案管理人员，配合完成档案的收集、整理、组卷、归档等工作，直至项目通过竣工验收。</w:t>
            </w:r>
          </w:p>
          <w:p>
            <w:pPr>
              <w:ind w:firstLine="420" w:firstLineChars="200"/>
              <w:rPr>
                <w:rFonts w:cs="宋体"/>
              </w:rPr>
            </w:pPr>
            <w:r>
              <w:rPr>
                <w:rFonts w:cs="宋体"/>
              </w:rPr>
              <w:t>3</w:t>
            </w:r>
            <w:r>
              <w:rPr>
                <w:rFonts w:cs="宋体" w:hint="eastAsia"/>
              </w:rPr>
              <w:t>、需求未</w:t>
            </w:r>
            <w:r>
              <w:rPr>
                <w:rFonts w:cs="宋体"/>
              </w:rPr>
              <w:t>详细描述</w:t>
            </w:r>
            <w:r>
              <w:rPr>
                <w:rFonts w:cs="宋体" w:hint="eastAsia"/>
              </w:rPr>
              <w:t>的内容，以实际采购人最终需求为准。</w:t>
            </w:r>
          </w:p>
          <w:p>
            <w:pPr>
              <w:ind w:firstLine="420" w:firstLineChars="200"/>
              <w:rPr>
                <w:rFonts w:cs="宋体"/>
              </w:rPr>
            </w:pPr>
          </w:p>
        </w:tc>
        <w:tc>
          <w:tcPr>
            <w:tcW w:w="1685" w:type="dxa"/>
            <w:vAlign w:val="center"/>
          </w:tcPr>
          <w:p>
            <w:pPr>
              <w:ind w:firstLine="0"/>
              <w:jc w:val="center"/>
              <w:rPr>
                <w:rFonts w:cs="宋体"/>
              </w:rPr>
            </w:pPr>
            <w:r>
              <w:rPr>
                <w:rFonts w:cs="宋体" w:hint="eastAsia"/>
              </w:rPr>
              <w:t>否</w:t>
            </w:r>
          </w:p>
        </w:tc>
      </w:tr>
    </w:tbl>
    <w:p>
      <w:pPr>
        <w:pStyle w:val="Heading2"/>
        <w:numPr>
          <w:ilvl w:val="0"/>
          <w:numId w:val="2"/>
        </w:numPr>
      </w:pPr>
      <w:r>
        <w:rPr>
          <w:rFonts w:hint="eastAsia"/>
        </w:rPr>
        <w:t>实</w:t>
      </w:r>
      <w:bookmarkStart w:id="49" w:name="实施方案"/>
      <w:r>
        <w:rPr>
          <w:rFonts w:hint="eastAsia"/>
        </w:rPr>
        <w:t>施</w:t>
      </w:r>
      <w:r>
        <w:t>要</w:t>
      </w:r>
      <w:bookmarkEnd w:id="49"/>
      <w:r>
        <w:t>求</w:t>
      </w:r>
    </w:p>
    <w:p>
      <w:r>
        <w:rPr>
          <w:rFonts w:hint="eastAsia"/>
        </w:rPr>
        <w:t>①★代表实质性指标，不满足该指标项将导致投标被拒绝；加 “▲”标记表示为重要指标项，无标识则表示一般指标项，如不满足将影响评分。</w:t>
      </w:r>
    </w:p>
    <w:p>
      <w:r>
        <w:rPr>
          <w:rFonts w:hint="eastAsia"/>
        </w:rPr>
        <w:t>②“证明材料要求”项可填“是”和“否”。填“是”的，投标人须按“</w:t>
      </w:r>
      <w:r>
        <w:t>实施</w:t>
      </w:r>
      <w:r>
        <w:rPr>
          <w:rFonts w:hint="eastAsia"/>
        </w:rPr>
        <w:t>标准”提供相关证明材料。未提供有效证明材料或证明材料中内容与</w:t>
      </w:r>
      <w:r>
        <w:t>实施标准</w:t>
      </w:r>
      <w:r>
        <w:rPr>
          <w:rFonts w:hint="eastAsia"/>
        </w:rPr>
        <w:t>不一致的，该</w:t>
      </w:r>
      <w:r>
        <w:t>项</w:t>
      </w:r>
      <w:r>
        <w:rPr>
          <w:rFonts w:hint="eastAsia"/>
        </w:rPr>
        <w:t>按不满足处理。</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jc w:val="center"/>
            </w:pPr>
            <w:r>
              <w:rPr>
                <w:rFonts w:hint="eastAsia"/>
              </w:rPr>
              <w:t>序号</w:t>
            </w:r>
          </w:p>
        </w:tc>
        <w:tc>
          <w:tcPr>
            <w:tcW w:w="1140" w:type="dxa"/>
          </w:tcPr>
          <w:p>
            <w:pPr>
              <w:jc w:val="center"/>
            </w:pPr>
            <w:r>
              <w:rPr>
                <w:rFonts w:hint="eastAsia"/>
              </w:rPr>
              <w:t>内容</w:t>
            </w:r>
          </w:p>
        </w:tc>
        <w:tc>
          <w:tcPr>
            <w:tcW w:w="1196" w:type="dxa"/>
          </w:tcPr>
          <w:p>
            <w:pPr>
              <w:jc w:val="center"/>
            </w:pPr>
            <w:r>
              <w:rPr>
                <w:rFonts w:hint="eastAsia"/>
              </w:rPr>
              <w:t>重要性</w:t>
            </w:r>
          </w:p>
        </w:tc>
        <w:tc>
          <w:tcPr>
            <w:tcW w:w="3690" w:type="dxa"/>
          </w:tcPr>
          <w:p>
            <w:pPr>
              <w:jc w:val="center"/>
            </w:pPr>
            <w:r>
              <w:rPr>
                <w:rFonts w:hint="eastAsia"/>
              </w:rPr>
              <w:t>实</w:t>
            </w:r>
            <w:bookmarkStart w:id="50" w:name="实施方案_Title_实施标准_Required_Table"/>
            <w:r>
              <w:rPr>
                <w:rFonts w:hint="eastAsia"/>
              </w:rPr>
              <w:t>施标准</w:t>
            </w:r>
          </w:p>
        </w:tc>
        <w:tc>
          <w:tcPr>
            <w:tcW w:w="1685" w:type="dxa"/>
          </w:tcPr>
          <w:p>
            <w:pPr>
              <w:jc w:val="center"/>
            </w:pPr>
            <w:bookmarkEnd w:id="50"/>
            <w:r>
              <w:rPr>
                <w:rFonts w:hint="eastAsia"/>
              </w:rPr>
              <w:t>证明材料要求</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1</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项目实施过程控制</w:t>
            </w:r>
          </w:p>
        </w:tc>
        <w:tc>
          <w:tcPr>
            <w:tcW w:w="1196" w:type="dxa"/>
            <w:tcBorders>
              <w:top w:val="single" w:sz="4" w:space="0" w:color="auto"/>
              <w:left w:val="single" w:sz="4" w:space="0" w:color="auto"/>
              <w:right w:val="single" w:sz="4" w:space="0" w:color="auto"/>
            </w:tcBorders>
            <w:vAlign w:val="center"/>
          </w:tcPr>
          <w:p>
            <w:pPr>
              <w:spacing w:line="240" w:lineRule="auto"/>
              <w:ind w:firstLine="0"/>
              <w:jc w:val="center"/>
              <w:rPr>
                <w:rFonts w:cs="宋体"/>
              </w:rPr>
            </w:pP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hint="eastAsia"/>
              </w:rPr>
              <w:t>项目建设过程包括需求调研分析、系统设计、开发测试、上线运行、质保维护等阶段。</w:t>
            </w:r>
          </w:p>
          <w:p>
            <w:pPr>
              <w:ind w:firstLine="420" w:firstLineChars="200"/>
              <w:rPr>
                <w:rFonts w:cs="宋体"/>
              </w:rPr>
            </w:pPr>
            <w:r>
              <w:rPr>
                <w:rFonts w:cs="宋体" w:hint="eastAsia"/>
              </w:rPr>
              <w:t>1、实施方案编制：</w:t>
            </w:r>
          </w:p>
          <w:p>
            <w:pPr>
              <w:ind w:firstLine="420" w:firstLineChars="200"/>
              <w:rPr>
                <w:rFonts w:cs="宋体"/>
              </w:rPr>
            </w:pPr>
            <w:r>
              <w:rPr>
                <w:rFonts w:cs="宋体" w:hint="eastAsia"/>
              </w:rPr>
              <w:t>要求中标后根据项目总体架构设计及相关规范、标准、要求编制项目实施方案，并通过采购人组织的评审和批准，审批之后方可启动开发建设。</w:t>
            </w:r>
          </w:p>
          <w:p>
            <w:pPr>
              <w:ind w:firstLine="420" w:firstLineChars="200"/>
              <w:rPr>
                <w:rFonts w:cs="宋体"/>
              </w:rPr>
            </w:pPr>
            <w:r>
              <w:rPr>
                <w:rFonts w:cs="宋体" w:hint="eastAsia"/>
              </w:rPr>
              <w:t>2、应用需求细化和设计开发：</w:t>
            </w:r>
          </w:p>
          <w:p>
            <w:pPr>
              <w:ind w:firstLine="420" w:firstLineChars="200"/>
              <w:rPr>
                <w:rFonts w:cs="宋体"/>
              </w:rPr>
            </w:pPr>
            <w:r>
              <w:rPr>
                <w:rFonts w:cs="宋体" w:hint="eastAsia"/>
              </w:rPr>
              <w:t>中标方完成《需求规格说明书》编制，并通过采购人的评审后组织详细技术设计。中标方依据采购人确认过的《需求规格说明书》《详细技术方案》组织应用开发、应用测试、应用集成等工作，并出具相应的技术资料，内容格式应符合总署相关管理规范要求。</w:t>
            </w:r>
          </w:p>
          <w:p>
            <w:pPr>
              <w:ind w:firstLine="420" w:firstLineChars="200"/>
              <w:rPr>
                <w:rFonts w:cs="宋体"/>
              </w:rPr>
            </w:pPr>
            <w:r>
              <w:rPr>
                <w:rFonts w:cs="宋体" w:hint="eastAsia"/>
              </w:rPr>
              <w:t>中标方需按采购人要求，分阶段提供相应的源代码，支持采购人完成持续集成、自动编译和部署等相关工作。</w:t>
            </w:r>
          </w:p>
          <w:p>
            <w:pPr>
              <w:ind w:firstLine="420" w:firstLineChars="200"/>
              <w:rPr>
                <w:rFonts w:cs="宋体"/>
              </w:rPr>
            </w:pPr>
            <w:r>
              <w:rPr>
                <w:rFonts w:cs="宋体" w:hint="eastAsia"/>
              </w:rPr>
              <w:t>3、测试工作：</w:t>
            </w:r>
          </w:p>
          <w:p>
            <w:pPr>
              <w:ind w:firstLine="420" w:firstLineChars="200"/>
              <w:rPr>
                <w:rFonts w:cs="宋体"/>
              </w:rPr>
            </w:pPr>
            <w:r>
              <w:rPr>
                <w:rFonts w:cs="宋体" w:hint="eastAsia"/>
              </w:rPr>
              <w:t>项目开发完成后，应通过应用测试（包括单元测试、应用测试、性能测试等)</w:t>
            </w:r>
          </w:p>
          <w:p>
            <w:pPr>
              <w:ind w:firstLine="420" w:firstLineChars="200"/>
              <w:rPr>
                <w:rFonts w:cs="宋体"/>
              </w:rPr>
            </w:pPr>
            <w:r>
              <w:rPr>
                <w:rFonts w:cs="宋体" w:hint="eastAsia"/>
              </w:rPr>
              <w:t>中标方需按采购人要求，配合完成集成测试、业务测试、应用上线、试点运行等工作，按要求完成缺陷修复，重新提交工作成果。</w:t>
            </w:r>
          </w:p>
          <w:p>
            <w:pPr>
              <w:ind w:firstLine="420" w:firstLineChars="200"/>
              <w:rPr>
                <w:rFonts w:cs="宋体"/>
              </w:rPr>
            </w:pPr>
            <w:r>
              <w:rPr>
                <w:rFonts w:cs="宋体" w:hint="eastAsia"/>
              </w:rPr>
              <w:t>4、上线运行：</w:t>
            </w:r>
          </w:p>
          <w:p>
            <w:pPr>
              <w:ind w:firstLine="420" w:firstLineChars="200"/>
              <w:rPr>
                <w:rFonts w:cs="宋体"/>
              </w:rPr>
            </w:pPr>
            <w:r>
              <w:rPr>
                <w:rFonts w:cs="宋体" w:hint="eastAsia"/>
              </w:rPr>
              <w:t>配合采购人完成验收，并完成应用上线部署，做好运行期间的运行支持（包括必要的异地支持）。</w:t>
            </w:r>
          </w:p>
          <w:p>
            <w:pPr>
              <w:ind w:firstLine="420" w:firstLineChars="200"/>
              <w:rPr>
                <w:rFonts w:cs="宋体"/>
              </w:rPr>
            </w:pPr>
            <w:r>
              <w:rPr>
                <w:rFonts w:cs="宋体" w:hint="eastAsia"/>
              </w:rPr>
              <w:t>投标人应在项目实施过程中，承诺做到：服从采购人的组织、协调；按海关相应的技术、</w:t>
            </w:r>
          </w:p>
          <w:p>
            <w:pPr>
              <w:ind w:firstLine="420" w:firstLineChars="200"/>
              <w:rPr>
                <w:rFonts w:cs="宋体"/>
              </w:rPr>
            </w:pPr>
            <w:r>
              <w:rPr>
                <w:rFonts w:cs="宋体" w:hint="eastAsia"/>
              </w:rPr>
              <w:t>管理等规范要求开展工作。根据工程进展及时向建设单位报审工程文档；按双方约定及时提交项目周报、月报或专项报告。</w:t>
            </w:r>
          </w:p>
          <w:p>
            <w:pPr>
              <w:ind w:firstLine="420" w:firstLineChars="200"/>
              <w:rPr>
                <w:rFonts w:cs="宋体"/>
              </w:rPr>
            </w:pPr>
            <w:r>
              <w:rPr>
                <w:rFonts w:cs="宋体" w:hint="eastAsia"/>
              </w:rPr>
              <w:t>定期将工程实际进度和资源投入（人力、设备材料、工具)情况报送建设单位。</w:t>
            </w:r>
          </w:p>
          <w:p>
            <w:pPr>
              <w:ind w:firstLine="420" w:firstLineChars="200"/>
              <w:rPr>
                <w:rFonts w:cs="宋体"/>
              </w:rPr>
            </w:pPr>
            <w:r>
              <w:rPr>
                <w:rFonts w:cs="宋体" w:hint="eastAsia"/>
              </w:rPr>
              <w:t>投标人服务人员在实施服务过程中，如有违反国家法律法规、违反采购人纪律规定的情况发生，采购人有权提出更换要求，投标人立即予以更换并承担因此产生的相关费用。</w:t>
            </w:r>
          </w:p>
        </w:tc>
        <w:tc>
          <w:tcPr>
            <w:tcW w:w="1685" w:type="dxa"/>
            <w:vAlign w:val="center"/>
          </w:tcPr>
          <w:p>
            <w:pPr>
              <w:spacing w:line="240" w:lineRule="auto"/>
              <w:ind w:firstLine="0"/>
              <w:jc w:val="center"/>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2</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项目实施过程文档管理</w:t>
            </w:r>
          </w:p>
        </w:tc>
        <w:tc>
          <w:tcPr>
            <w:tcW w:w="1196" w:type="dxa"/>
            <w:tcBorders>
              <w:top w:val="single" w:sz="4" w:space="0" w:color="auto"/>
              <w:left w:val="single" w:sz="4" w:space="0" w:color="auto"/>
              <w:right w:val="single" w:sz="4" w:space="0" w:color="auto"/>
            </w:tcBorders>
            <w:vAlign w:val="center"/>
          </w:tcPr>
          <w:p>
            <w:pPr>
              <w:spacing w:line="240" w:lineRule="auto"/>
              <w:ind w:firstLine="0"/>
              <w:jc w:val="center"/>
              <w:rPr>
                <w:rFonts w:cs="宋体"/>
              </w:rPr>
            </w:pPr>
          </w:p>
        </w:tc>
        <w:tc>
          <w:tcPr>
            <w:tcW w:w="3690" w:type="dxa"/>
            <w:tcBorders>
              <w:top w:val="single" w:sz="4" w:space="0" w:color="auto"/>
              <w:left w:val="single" w:sz="4" w:space="0" w:color="auto"/>
              <w:right w:val="single" w:sz="4" w:space="0" w:color="auto"/>
            </w:tcBorders>
          </w:tcPr>
          <w:p>
            <w:pPr>
              <w:tabs>
                <w:tab w:val="left" w:pos="709"/>
              </w:tabs>
              <w:spacing w:line="440" w:lineRule="exact"/>
              <w:ind w:firstLine="464"/>
              <w:rPr>
                <w:rFonts w:cs="宋体"/>
              </w:rPr>
            </w:pPr>
            <w:r>
              <w:rPr>
                <w:rFonts w:cs="宋体"/>
                <w:color w:val="000000"/>
              </w:rPr>
              <w:t>投</w:t>
            </w:r>
            <w:r>
              <w:rPr>
                <w:rFonts w:cs="宋体" w:hint="eastAsia"/>
              </w:rPr>
              <w:t>标人应对其所提供的全部文档的准确性和完整性负责。</w:t>
            </w:r>
          </w:p>
          <w:p>
            <w:pPr>
              <w:tabs>
                <w:tab w:val="left" w:pos="709"/>
              </w:tabs>
              <w:spacing w:line="440" w:lineRule="exact"/>
              <w:ind w:firstLine="464"/>
              <w:rPr>
                <w:rFonts w:cs="宋体"/>
              </w:rPr>
            </w:pPr>
            <w:r>
              <w:rPr>
                <w:rFonts w:cs="宋体" w:hint="eastAsia"/>
              </w:rPr>
              <w:t>本项目需交付涉及的源代码、需求规格说明书、技术方案、测试报告、部署手册、用户操作手册等合同要求的技术资料和程序。</w:t>
            </w:r>
          </w:p>
        </w:tc>
        <w:tc>
          <w:tcPr>
            <w:tcW w:w="1685" w:type="dxa"/>
            <w:vAlign w:val="center"/>
          </w:tcPr>
          <w:p>
            <w:pPr>
              <w:spacing w:line="240" w:lineRule="auto"/>
              <w:ind w:firstLine="0"/>
              <w:jc w:val="center"/>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3</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项目实施组织架构</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hint="eastAsia"/>
              </w:rPr>
              <w:t>实施架构管控工作的第一责任人，承担如下工作内容：</w:t>
            </w:r>
          </w:p>
          <w:p>
            <w:pPr>
              <w:ind w:firstLine="420" w:firstLineChars="200"/>
              <w:rPr>
                <w:rFonts w:cs="宋体"/>
              </w:rPr>
            </w:pPr>
            <w:r>
              <w:rPr>
                <w:rFonts w:cs="宋体" w:hint="eastAsia"/>
              </w:rPr>
              <w:t>(1)项目建设方内部落实架构管控工作要求，接受相关检查审核，推动项目建设方根据检查结果进行改正；</w:t>
            </w:r>
          </w:p>
          <w:p>
            <w:pPr>
              <w:ind w:firstLine="420" w:firstLineChars="200"/>
              <w:rPr>
                <w:rFonts w:cs="宋体"/>
              </w:rPr>
            </w:pPr>
            <w:r>
              <w:rPr>
                <w:rFonts w:cs="宋体" w:hint="eastAsia"/>
              </w:rPr>
              <w:t>(2)组织项目建设方及时按照要求提交架构原型和架构资产，接受架构资产审核和完善；</w:t>
            </w:r>
          </w:p>
          <w:p>
            <w:pPr>
              <w:ind w:firstLine="420" w:firstLineChars="200"/>
              <w:rPr>
                <w:rFonts w:cs="宋体"/>
              </w:rPr>
            </w:pPr>
            <w:r>
              <w:rPr>
                <w:rFonts w:cs="宋体" w:hint="eastAsia"/>
              </w:rPr>
              <w:t>(3)按要求编写和提交项目建设方架构管控落实措施和总结报告；</w:t>
            </w:r>
          </w:p>
          <w:p>
            <w:pPr>
              <w:ind w:firstLine="420" w:firstLineChars="200"/>
              <w:rPr>
                <w:rFonts w:cs="宋体"/>
              </w:rPr>
            </w:pPr>
            <w:r>
              <w:rPr>
                <w:rFonts w:cs="宋体" w:hint="eastAsia"/>
              </w:rPr>
              <w:t>(4)承担采购人要求的其他架构相关工作。</w:t>
            </w:r>
          </w:p>
          <w:p>
            <w:pPr>
              <w:ind w:firstLine="420" w:firstLineChars="200"/>
              <w:rPr>
                <w:rFonts w:cs="宋体"/>
              </w:rPr>
            </w:pPr>
            <w:r>
              <w:rPr>
                <w:rFonts w:cs="宋体" w:hint="eastAsia"/>
              </w:rPr>
              <w:t>超出架构管控相关要求，需变更其内容，由架构专责人向采购人提交书面变更申请，经采购人审核通过后进行变更。</w:t>
            </w:r>
          </w:p>
        </w:tc>
        <w:tc>
          <w:tcPr>
            <w:tcW w:w="1685" w:type="dxa"/>
            <w:vAlign w:val="center"/>
          </w:tcPr>
          <w:p>
            <w:pPr>
              <w:ind w:firstLine="420" w:firstLineChars="200"/>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4</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项目实施进度安排</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r>
              <w:rPr>
                <w:rFonts w:cs="宋体" w:hint="eastAsia"/>
                <w:color w:val="000000"/>
              </w:rPr>
              <w:t>★</w:t>
            </w:r>
          </w:p>
        </w:tc>
        <w:tc>
          <w:tcPr>
            <w:tcW w:w="3690" w:type="dxa"/>
            <w:tcBorders>
              <w:top w:val="single" w:sz="4" w:space="0" w:color="auto"/>
              <w:left w:val="single" w:sz="4" w:space="0" w:color="auto"/>
              <w:right w:val="single" w:sz="4" w:space="0" w:color="auto"/>
            </w:tcBorders>
          </w:tcPr>
          <w:p>
            <w:pPr>
              <w:rPr>
                <w:rFonts w:cs="宋体"/>
              </w:rPr>
            </w:pPr>
            <w:r>
              <w:rPr>
                <w:rFonts w:cs="宋体" w:hint="eastAsia"/>
              </w:rPr>
              <w:t>本项目的建设工期为</w:t>
            </w:r>
            <w:r>
              <w:rPr>
                <w:rFonts w:cs="宋体"/>
                <w:iCs/>
              </w:rPr>
              <w:t>3</w:t>
            </w:r>
            <w:r>
              <w:rPr>
                <w:rFonts w:cs="宋体" w:hint="eastAsia"/>
              </w:rPr>
              <w:t>个月，各阶段工作安排如下:</w:t>
            </w:r>
          </w:p>
          <w:p>
            <w:pPr>
              <w:rPr>
                <w:rFonts w:cs="宋体"/>
              </w:rPr>
            </w:pPr>
            <w:r>
              <w:rPr>
                <w:rFonts w:cs="宋体" w:hint="eastAsia"/>
              </w:rPr>
              <w:t>需求分析:工期</w:t>
            </w:r>
            <w:r>
              <w:rPr>
                <w:rFonts w:cs="宋体"/>
                <w:iCs/>
              </w:rPr>
              <w:t>0.5</w:t>
            </w:r>
            <w:r>
              <w:rPr>
                <w:rFonts w:cs="宋体" w:hint="eastAsia"/>
              </w:rPr>
              <w:t>个月，合同签订后</w:t>
            </w:r>
            <w:r>
              <w:rPr>
                <w:rFonts w:cs="宋体"/>
                <w:iCs/>
              </w:rPr>
              <w:t>0.5</w:t>
            </w:r>
            <w:r>
              <w:rPr>
                <w:rFonts w:cs="宋体" w:hint="eastAsia"/>
              </w:rPr>
              <w:t>个月完成。</w:t>
            </w:r>
          </w:p>
          <w:p>
            <w:pPr>
              <w:rPr>
                <w:rFonts w:cs="宋体"/>
              </w:rPr>
            </w:pPr>
            <w:r>
              <w:rPr>
                <w:rFonts w:cs="宋体" w:hint="eastAsia"/>
              </w:rPr>
              <w:t>方案设计:工期</w:t>
            </w:r>
            <w:r>
              <w:rPr>
                <w:rFonts w:cs="宋体"/>
                <w:iCs/>
              </w:rPr>
              <w:t>0.5</w:t>
            </w:r>
            <w:r>
              <w:rPr>
                <w:rFonts w:cs="宋体" w:hint="eastAsia"/>
              </w:rPr>
              <w:t>个月，合同签订后</w:t>
            </w:r>
            <w:r>
              <w:rPr>
                <w:rFonts w:cs="宋体"/>
                <w:iCs/>
              </w:rPr>
              <w:t>1</w:t>
            </w:r>
            <w:r>
              <w:rPr>
                <w:rFonts w:cs="宋体" w:hint="eastAsia"/>
              </w:rPr>
              <w:t>个月完成。</w:t>
            </w:r>
          </w:p>
          <w:p>
            <w:pPr>
              <w:rPr>
                <w:rFonts w:cs="宋体"/>
              </w:rPr>
            </w:pPr>
            <w:r>
              <w:rPr>
                <w:rFonts w:cs="宋体" w:hint="eastAsia"/>
              </w:rPr>
              <w:t>开发测试:工期</w:t>
            </w:r>
            <w:r>
              <w:rPr>
                <w:rFonts w:cs="宋体"/>
                <w:iCs/>
              </w:rPr>
              <w:t>1</w:t>
            </w:r>
            <w:r>
              <w:rPr>
                <w:rFonts w:cs="宋体" w:hint="eastAsia"/>
              </w:rPr>
              <w:t>个月，合同签订后</w:t>
            </w:r>
            <w:r>
              <w:rPr>
                <w:rFonts w:cs="宋体"/>
                <w:iCs/>
              </w:rPr>
              <w:t>2</w:t>
            </w:r>
            <w:r>
              <w:rPr>
                <w:rFonts w:cs="宋体" w:hint="eastAsia"/>
              </w:rPr>
              <w:t>个月完成；</w:t>
            </w:r>
          </w:p>
          <w:p>
            <w:pPr>
              <w:rPr>
                <w:rFonts w:cs="宋体"/>
              </w:rPr>
            </w:pPr>
            <w:r>
              <w:rPr>
                <w:rFonts w:cs="宋体" w:hint="eastAsia"/>
              </w:rPr>
              <w:t>联调测试(含业务测试):工期</w:t>
            </w:r>
            <w:r>
              <w:rPr>
                <w:rFonts w:cs="宋体"/>
                <w:iCs/>
              </w:rPr>
              <w:t>0.5</w:t>
            </w:r>
            <w:r>
              <w:rPr>
                <w:rFonts w:cs="宋体" w:hint="eastAsia"/>
              </w:rPr>
              <w:t>个月，合同签订后</w:t>
            </w:r>
            <w:r>
              <w:rPr>
                <w:rFonts w:cs="宋体"/>
                <w:iCs/>
              </w:rPr>
              <w:t>2.5</w:t>
            </w:r>
            <w:r>
              <w:rPr>
                <w:rFonts w:cs="宋体" w:hint="eastAsia"/>
              </w:rPr>
              <w:t>个月完成；</w:t>
            </w:r>
          </w:p>
          <w:p>
            <w:pPr>
              <w:rPr>
                <w:rFonts w:cs="宋体"/>
              </w:rPr>
            </w:pPr>
            <w:r>
              <w:rPr>
                <w:rFonts w:cs="宋体" w:hint="eastAsia"/>
              </w:rPr>
              <w:t>部署上线:工期</w:t>
            </w:r>
            <w:r>
              <w:rPr>
                <w:rFonts w:cs="宋体"/>
                <w:iCs/>
              </w:rPr>
              <w:t>0.5</w:t>
            </w:r>
            <w:r>
              <w:rPr>
                <w:rFonts w:cs="宋体" w:hint="eastAsia"/>
              </w:rPr>
              <w:t>个月，合同签订后</w:t>
            </w:r>
            <w:r>
              <w:rPr>
                <w:rFonts w:cs="宋体"/>
                <w:iCs/>
              </w:rPr>
              <w:t>3</w:t>
            </w:r>
            <w:r>
              <w:rPr>
                <w:rFonts w:cs="宋体" w:hint="eastAsia"/>
              </w:rPr>
              <w:t>个月完成</w:t>
            </w:r>
            <w:r>
              <w:rPr>
                <w:rFonts w:cs="宋体"/>
              </w:rPr>
              <w:t>。</w:t>
            </w:r>
          </w:p>
        </w:tc>
        <w:tc>
          <w:tcPr>
            <w:tcW w:w="1685" w:type="dxa"/>
            <w:vAlign w:val="center"/>
          </w:tcPr>
          <w:p>
            <w:pPr>
              <w:ind w:firstLine="0"/>
              <w:rPr>
                <w:rFonts w:cs="宋体"/>
              </w:rPr>
            </w:pPr>
            <w:r>
              <w:rPr>
                <w:rFonts w:cs="宋体" w:hint="eastAsia"/>
              </w:rPr>
              <w:t>是，提供《承诺函》并加盖单位公章</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5</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项目安装过程安排</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tabs>
                <w:tab w:val="left" w:pos="709"/>
              </w:tabs>
              <w:spacing w:line="440" w:lineRule="exact"/>
              <w:ind w:firstLine="464"/>
              <w:rPr>
                <w:rFonts w:cs="宋体"/>
                <w:spacing w:val="-4"/>
              </w:rPr>
            </w:pPr>
            <w:r>
              <w:rPr>
                <w:rFonts w:cs="宋体" w:hint="eastAsia"/>
              </w:rPr>
              <w:t>开发测试完成后，根据采购人安排，规定时间内完成联调测试和系统部署。</w:t>
            </w:r>
          </w:p>
        </w:tc>
        <w:tc>
          <w:tcPr>
            <w:tcW w:w="1685" w:type="dxa"/>
            <w:vAlign w:val="center"/>
          </w:tcPr>
          <w:p>
            <w:pPr>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rPr>
                <w:rFonts w:hint="eastAsia"/>
              </w:rPr>
              <w:t>6</w:t>
            </w:r>
          </w:p>
        </w:tc>
        <w:tc>
          <w:tcPr>
            <w:tcW w:w="1140" w:type="dxa"/>
            <w:tcBorders>
              <w:top w:val="single" w:sz="4" w:space="0" w:color="auto"/>
              <w:left w:val="single" w:sz="4" w:space="0" w:color="auto"/>
              <w:right w:val="single" w:sz="4" w:space="0" w:color="auto"/>
            </w:tcBorders>
            <w:vAlign w:val="center"/>
          </w:tcPr>
          <w:p>
            <w:pPr>
              <w:jc w:val="center"/>
            </w:pPr>
            <w:r>
              <w:rPr>
                <w:rFonts w:hint="eastAsia"/>
              </w:rPr>
              <w:t>项目验收安排</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hint="eastAsia"/>
              </w:rPr>
              <w:t>具体验收由海关组织相关业务、技术专家进行评审。</w:t>
            </w:r>
          </w:p>
          <w:p>
            <w:pPr>
              <w:ind w:firstLine="420" w:firstLineChars="200"/>
              <w:rPr>
                <w:rFonts w:cs="宋体"/>
              </w:rPr>
            </w:pPr>
            <w:r>
              <w:rPr>
                <w:rFonts w:cs="宋体" w:hint="eastAsia"/>
              </w:rPr>
              <w:t>中标方需承诺协助为验收提供相关服务。</w:t>
            </w:r>
          </w:p>
          <w:p>
            <w:pPr>
              <w:ind w:firstLine="420" w:firstLineChars="200"/>
              <w:rPr>
                <w:rFonts w:cs="宋体"/>
              </w:rPr>
            </w:pPr>
            <w:r>
              <w:rPr>
                <w:rFonts w:cs="宋体" w:hint="eastAsia"/>
              </w:rPr>
              <w:t>试运行通过后，由中标方申请合同验收。（试运行：工期1个月，合同签订后4个月完成。）</w:t>
            </w:r>
          </w:p>
          <w:p>
            <w:pPr>
              <w:ind w:firstLine="420" w:firstLineChars="200"/>
              <w:rPr>
                <w:rFonts w:cs="宋体"/>
              </w:rPr>
            </w:pPr>
            <w:r>
              <w:rPr>
                <w:rFonts w:cs="宋体" w:hint="eastAsia"/>
              </w:rPr>
              <w:t>系统验收合格的条件必须至少满足以下要求：</w:t>
            </w:r>
          </w:p>
          <w:p>
            <w:pPr>
              <w:ind w:firstLine="420" w:firstLineChars="200"/>
              <w:rPr>
                <w:rFonts w:cs="宋体"/>
              </w:rPr>
            </w:pPr>
            <w:r>
              <w:rPr>
                <w:rFonts w:cs="宋体" w:hint="eastAsia"/>
              </w:rPr>
              <w:t>(1)系统上线运行时功能、性能满足国家相关标准、合同和实施方案的要求；</w:t>
            </w:r>
          </w:p>
          <w:p>
            <w:pPr>
              <w:ind w:firstLine="420" w:firstLineChars="200"/>
              <w:rPr>
                <w:rFonts w:cs="宋体"/>
              </w:rPr>
            </w:pPr>
            <w:r>
              <w:rPr>
                <w:rFonts w:cs="宋体" w:hint="eastAsia"/>
              </w:rPr>
              <w:t>(2)系统总体功能、性能测试和试运行验收时出现的问题已被解决；</w:t>
            </w:r>
          </w:p>
          <w:p>
            <w:pPr>
              <w:ind w:firstLine="420" w:firstLineChars="200"/>
              <w:rPr>
                <w:rFonts w:cs="宋体"/>
              </w:rPr>
            </w:pPr>
            <w:r>
              <w:rPr>
                <w:rFonts w:cs="宋体" w:hint="eastAsia"/>
              </w:rPr>
              <w:t>(3)已提供了合同的全部资料和软件；</w:t>
            </w:r>
          </w:p>
          <w:p>
            <w:pPr>
              <w:ind w:firstLine="420" w:firstLineChars="200"/>
              <w:rPr>
                <w:rFonts w:cs="宋体"/>
              </w:rPr>
            </w:pPr>
            <w:r>
              <w:rPr>
                <w:rFonts w:cs="宋体" w:hint="eastAsia"/>
              </w:rPr>
              <w:t>(4)移交与本项目有关的相关技术资料。项目成果以及由此形成的知识产权属海关所有，包括文档资料和程序等；</w:t>
            </w:r>
          </w:p>
          <w:p>
            <w:pPr>
              <w:ind w:firstLine="420" w:firstLineChars="200"/>
              <w:rPr>
                <w:rFonts w:cs="宋体"/>
              </w:rPr>
            </w:pPr>
            <w:r>
              <w:rPr>
                <w:rFonts w:cs="宋体" w:hint="eastAsia"/>
              </w:rPr>
              <w:t>（5）配合整体项目竣工验收。</w:t>
            </w:r>
          </w:p>
          <w:p>
            <w:pPr>
              <w:ind w:firstLine="420" w:firstLineChars="200"/>
              <w:rPr>
                <w:rFonts w:cs="宋体"/>
              </w:rPr>
            </w:pPr>
            <w:r>
              <w:rPr>
                <w:rFonts w:cs="宋体" w:hint="eastAsia"/>
              </w:rPr>
              <w:t>具体验收由海关组织相关业务、技术专家进行评审。</w:t>
            </w:r>
          </w:p>
          <w:p>
            <w:pPr>
              <w:ind w:firstLine="420" w:firstLineChars="200"/>
              <w:rPr>
                <w:rFonts w:cs="宋体"/>
              </w:rPr>
            </w:pPr>
            <w:r>
              <w:rPr>
                <w:rFonts w:cs="宋体" w:hint="eastAsia"/>
              </w:rPr>
              <w:t>投标人需承诺协助为验收提供相关服务。</w:t>
            </w:r>
          </w:p>
          <w:p>
            <w:pPr>
              <w:ind w:firstLine="420" w:firstLineChars="200"/>
              <w:rPr>
                <w:rFonts w:cs="宋体"/>
              </w:rPr>
            </w:pPr>
            <w:r>
              <w:rPr>
                <w:rFonts w:cs="宋体" w:hint="eastAsia"/>
              </w:rPr>
              <w:t>1、验收标准：采购人按照要求进行验收，如有不符，投标人有责任继续完善、修改，直至符合要求为止。</w:t>
            </w:r>
          </w:p>
          <w:p>
            <w:pPr>
              <w:ind w:firstLine="420" w:firstLineChars="200"/>
              <w:rPr>
                <w:rFonts w:cs="宋体"/>
              </w:rPr>
            </w:pPr>
            <w:r>
              <w:rPr>
                <w:rFonts w:cs="宋体" w:hint="eastAsia"/>
              </w:rPr>
              <w:t>2、验收方式：采购人技术部门对本合同进行最终验收，并由采购人技术部门出具最终服务验收报告。</w:t>
            </w:r>
          </w:p>
        </w:tc>
        <w:tc>
          <w:tcPr>
            <w:tcW w:w="1685" w:type="dxa"/>
            <w:vAlign w:val="center"/>
          </w:tcPr>
          <w:p>
            <w:pPr>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jc w:val="center"/>
            </w:pPr>
            <w:r>
              <w:t>7</w:t>
            </w:r>
          </w:p>
        </w:tc>
        <w:tc>
          <w:tcPr>
            <w:tcW w:w="1140" w:type="dxa"/>
            <w:tcBorders>
              <w:top w:val="single" w:sz="4" w:space="0" w:color="auto"/>
              <w:left w:val="single" w:sz="4" w:space="0" w:color="auto"/>
              <w:right w:val="single" w:sz="4" w:space="0" w:color="auto"/>
            </w:tcBorders>
            <w:vAlign w:val="center"/>
          </w:tcPr>
          <w:p>
            <w:pPr>
              <w:jc w:val="center"/>
            </w:pPr>
            <w:r>
              <w:rPr>
                <w:rFonts w:ascii="宋体" w:cs="宋体" w:hint="eastAsia"/>
                <w:szCs w:val="24"/>
              </w:rPr>
              <w:t>项目培训安排</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tabs>
                <w:tab w:val="left" w:pos="709"/>
              </w:tabs>
              <w:ind w:firstLine="420" w:firstLineChars="200"/>
              <w:rPr>
                <w:rFonts w:cs="宋体"/>
                <w:color w:val="000000"/>
              </w:rPr>
            </w:pPr>
            <w:r>
              <w:rPr>
                <w:rFonts w:cs="宋体" w:hint="eastAsia"/>
                <w:color w:val="000000"/>
              </w:rPr>
              <w:t>投标人必须根据应用软件的功能和特点，充分考虑到海关应用人员实际水平，提出详细的培训方案，以达到应用管理人员能够独立管理投标人所提供的应用软件和日常的维护处理能力。</w:t>
            </w:r>
          </w:p>
          <w:p>
            <w:pPr>
              <w:tabs>
                <w:tab w:val="left" w:pos="709"/>
              </w:tabs>
              <w:ind w:firstLine="420" w:firstLineChars="200"/>
              <w:rPr>
                <w:rFonts w:cs="宋体"/>
              </w:rPr>
            </w:pPr>
            <w:r>
              <w:rPr>
                <w:rFonts w:cs="宋体" w:hint="eastAsia"/>
                <w:color w:val="000000"/>
              </w:rPr>
              <w:t>投标人根据采购人要求，分别列出全部产品及应用正常运行、管理和使用所需要的培训，包括培训的类别、培训人员与人数、培训课件、方式、时间等安排。根据采购人的培训要求，投标人需要承担培训方案、培训教材（纸质版和电子版）、师资力量及教师的交通、住宿、三餐的费用。</w:t>
            </w:r>
          </w:p>
        </w:tc>
        <w:tc>
          <w:tcPr>
            <w:tcW w:w="1685" w:type="dxa"/>
            <w:vAlign w:val="center"/>
          </w:tcPr>
          <w:p>
            <w:pPr>
              <w:ind w:firstLine="0"/>
              <w:jc w:val="center"/>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jc w:val="center"/>
            </w:pPr>
            <w:r>
              <w:t>8</w:t>
            </w:r>
          </w:p>
        </w:tc>
        <w:tc>
          <w:tcPr>
            <w:tcW w:w="1140" w:type="dxa"/>
            <w:tcBorders>
              <w:top w:val="single" w:sz="4" w:space="0" w:color="auto"/>
              <w:left w:val="single" w:sz="4" w:space="0" w:color="auto"/>
              <w:right w:val="single" w:sz="4" w:space="0" w:color="auto"/>
            </w:tcBorders>
            <w:vAlign w:val="center"/>
          </w:tcPr>
          <w:p>
            <w:pPr>
              <w:jc w:val="center"/>
            </w:pPr>
            <w:r>
              <w:rPr>
                <w:rFonts w:ascii="宋体" w:hint="eastAsia"/>
                <w:szCs w:val="24"/>
              </w:rPr>
              <w:t>集成标准</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tabs>
                <w:tab w:val="left" w:pos="709"/>
              </w:tabs>
              <w:ind w:firstLine="420" w:firstLineChars="200"/>
              <w:rPr>
                <w:color w:val="000000"/>
              </w:rPr>
            </w:pPr>
            <w:r>
              <w:rPr>
                <w:color w:val="000000"/>
              </w:rPr>
              <w:t>供应商对本项目建设需求理解深刻，详细描述相关联系统集成方案和集成效果设计，方案完整合理。</w:t>
            </w:r>
          </w:p>
          <w:p>
            <w:pPr>
              <w:tabs>
                <w:tab w:val="left" w:pos="709"/>
              </w:tabs>
              <w:ind w:firstLine="420" w:firstLineChars="200"/>
              <w:rPr>
                <w:color w:val="000000"/>
              </w:rPr>
            </w:pPr>
            <w:r>
              <w:rPr>
                <w:color w:val="000000"/>
              </w:rPr>
              <w:t>本项目应按照项目管理要求、技术要求、集成要求和方案编制要求开展实施集成工作，并接受和配合集成联调测试工作。</w:t>
            </w:r>
          </w:p>
          <w:p>
            <w:pPr>
              <w:tabs>
                <w:tab w:val="left" w:pos="709"/>
              </w:tabs>
              <w:ind w:firstLine="420" w:firstLineChars="200"/>
              <w:rPr>
                <w:color w:val="000000"/>
              </w:rPr>
            </w:pPr>
            <w:r>
              <w:rPr>
                <w:color w:val="000000"/>
              </w:rPr>
              <w:t>本项目的建设与管理要符合工程的有关管理规定、技术架构、标准规范等方面要求，符合工程集成的设计要求及相关标准规范。</w:t>
            </w:r>
          </w:p>
          <w:p>
            <w:pPr>
              <w:ind w:firstLine="420" w:firstLineChars="200"/>
              <w:rPr>
                <w:rFonts w:cs="宋体"/>
              </w:rPr>
            </w:pPr>
            <w:r>
              <w:rPr>
                <w:rFonts w:ascii="Times New Roman" w:hAnsi="Times New Roman" w:cs="Times New Roman" w:hint="eastAsia"/>
                <w:color w:val="000000"/>
                <w:kern w:val="2"/>
                <w:sz w:val="21"/>
              </w:rPr>
              <w:t>集成方式：主要集成方式为接口方式，包括数据接口和系统接口。</w:t>
            </w:r>
          </w:p>
        </w:tc>
        <w:tc>
          <w:tcPr>
            <w:tcW w:w="1685" w:type="dxa"/>
            <w:vAlign w:val="center"/>
          </w:tcPr>
          <w:p>
            <w:pPr>
              <w:ind w:firstLine="0"/>
              <w:jc w:val="center"/>
              <w:rPr>
                <w:rFonts w:cs="宋体"/>
              </w:rPr>
            </w:pPr>
            <w:r>
              <w:rPr>
                <w:rFonts w:cs="宋体" w:hint="eastAsia"/>
              </w:rPr>
              <w:t>否</w:t>
            </w:r>
          </w:p>
        </w:tc>
      </w:tr>
      <w:tr>
        <w:tblPrEx>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jc w:val="center"/>
            </w:pPr>
            <w:r>
              <w:t>9</w:t>
            </w:r>
          </w:p>
        </w:tc>
        <w:tc>
          <w:tcPr>
            <w:tcW w:w="1140" w:type="dxa"/>
            <w:tcBorders>
              <w:top w:val="single" w:sz="4" w:space="0" w:color="auto"/>
              <w:left w:val="single" w:sz="4" w:space="0" w:color="auto"/>
              <w:right w:val="single" w:sz="4" w:space="0" w:color="auto"/>
            </w:tcBorders>
            <w:vAlign w:val="center"/>
          </w:tcPr>
          <w:p>
            <w:pPr>
              <w:jc w:val="center"/>
            </w:pPr>
            <w:r>
              <w:t>交付或实施地点</w:t>
            </w:r>
          </w:p>
        </w:tc>
        <w:tc>
          <w:tcPr>
            <w:tcW w:w="1196" w:type="dxa"/>
            <w:tcBorders>
              <w:top w:val="single" w:sz="4" w:space="0" w:color="auto"/>
              <w:left w:val="single" w:sz="4" w:space="0" w:color="auto"/>
              <w:right w:val="single" w:sz="4" w:space="0" w:color="auto"/>
            </w:tcBorders>
            <w:vAlign w:val="center"/>
          </w:tcPr>
          <w:p>
            <w:pPr>
              <w:ind w:firstLine="0"/>
              <w:jc w:val="center"/>
              <w:rPr>
                <w:rFonts w:cs="宋体"/>
              </w:rPr>
            </w:pPr>
          </w:p>
        </w:tc>
        <w:tc>
          <w:tcPr>
            <w:tcW w:w="3690" w:type="dxa"/>
            <w:tcBorders>
              <w:top w:val="single" w:sz="4" w:space="0" w:color="auto"/>
              <w:left w:val="single" w:sz="4" w:space="0" w:color="auto"/>
              <w:right w:val="single" w:sz="4" w:space="0" w:color="auto"/>
            </w:tcBorders>
          </w:tcPr>
          <w:p>
            <w:pPr>
              <w:ind w:firstLine="420" w:firstLineChars="200"/>
              <w:rPr>
                <w:rFonts w:cs="宋体"/>
              </w:rPr>
            </w:pPr>
            <w:r>
              <w:rPr>
                <w:rFonts w:cs="宋体"/>
              </w:rPr>
              <w:t>采购人指定场所（海口市）</w:t>
            </w:r>
          </w:p>
        </w:tc>
        <w:tc>
          <w:tcPr>
            <w:tcW w:w="1685" w:type="dxa"/>
            <w:vAlign w:val="center"/>
          </w:tcPr>
          <w:p>
            <w:pPr>
              <w:ind w:firstLine="0"/>
              <w:jc w:val="center"/>
              <w:rPr>
                <w:rFonts w:cs="宋体"/>
              </w:rPr>
            </w:pPr>
            <w:r>
              <w:rPr>
                <w:rFonts w:cs="宋体" w:hint="eastAsia"/>
              </w:rPr>
              <w:t>否</w:t>
            </w:r>
          </w:p>
        </w:tc>
      </w:tr>
    </w:tbl>
    <w:p>
      <w:pPr>
        <w:pStyle w:val="Heading2"/>
        <w:numPr>
          <w:ilvl w:val="0"/>
          <w:numId w:val="2"/>
        </w:numPr>
      </w:pPr>
      <w:r>
        <w:rPr>
          <w:rFonts w:hint="eastAsia"/>
        </w:rPr>
        <w:t>其它内容</w:t>
      </w:r>
    </w:p>
    <w:p>
      <w:pPr>
        <w:ind w:firstLine="480"/>
        <w:rPr>
          <w:color w:val="000000"/>
        </w:rPr>
      </w:pPr>
      <w:r>
        <w:rPr>
          <w:color w:val="000000"/>
        </w:rPr>
        <w:t>1</w:t>
      </w:r>
      <w:r>
        <w:rPr>
          <w:rFonts w:hint="eastAsia"/>
          <w:color w:val="000000"/>
        </w:rPr>
        <w:t>.</w:t>
      </w:r>
      <w:r>
        <w:rPr>
          <w:color w:val="000000"/>
        </w:rPr>
        <w:t>业绩要求。</w:t>
      </w:r>
    </w:p>
    <w:p>
      <w:pPr>
        <w:ind w:firstLine="420" w:firstLineChars="200"/>
        <w:rPr>
          <w:rFonts w:cs="宋体"/>
          <w:color w:val="000000"/>
        </w:rPr>
      </w:pPr>
      <w:r>
        <w:rPr>
          <w:rFonts w:cs="宋体" w:hint="eastAsia"/>
          <w:color w:val="000000"/>
        </w:rPr>
        <w:t>投标人提供202</w:t>
      </w:r>
      <w:r>
        <w:rPr>
          <w:rFonts w:cs="宋体"/>
          <w:color w:val="000000"/>
        </w:rPr>
        <w:t>2</w:t>
      </w:r>
      <w:r>
        <w:rPr>
          <w:rFonts w:cs="宋体" w:hint="eastAsia"/>
          <w:color w:val="000000"/>
        </w:rPr>
        <w:t>年</w:t>
      </w:r>
      <w:r>
        <w:rPr>
          <w:rFonts w:cs="宋体"/>
          <w:color w:val="000000"/>
        </w:rPr>
        <w:t>9</w:t>
      </w:r>
      <w:r>
        <w:rPr>
          <w:rFonts w:cs="宋体" w:hint="eastAsia"/>
          <w:color w:val="000000"/>
        </w:rPr>
        <w:t>月1日起至本项目招标公告发布之日止(以合同签订日期为准)，完成本项目同类开发服务项目的相关资料。</w:t>
      </w:r>
    </w:p>
    <w:p>
      <w:pPr>
        <w:ind w:firstLine="480"/>
        <w:rPr>
          <w:color w:val="000000"/>
        </w:rPr>
      </w:pPr>
      <w:r>
        <w:rPr>
          <w:color w:val="000000"/>
        </w:rPr>
        <w:t>2.相关主观评审因素要求。</w:t>
      </w:r>
    </w:p>
    <w:p>
      <w:pPr>
        <w:ind w:firstLine="420" w:firstLineChars="200"/>
        <w:rPr>
          <w:rFonts w:cs="宋体"/>
          <w:color w:val="000000"/>
        </w:rPr>
      </w:pPr>
      <w:r>
        <w:rPr>
          <w:rFonts w:cs="宋体" w:hint="eastAsia"/>
          <w:color w:val="000000"/>
        </w:rPr>
        <w:t>(一)需求理解分析</w:t>
      </w:r>
    </w:p>
    <w:p>
      <w:pPr>
        <w:ind w:firstLine="420" w:firstLineChars="200"/>
        <w:rPr>
          <w:rFonts w:cs="宋体"/>
          <w:color w:val="000000"/>
        </w:rPr>
      </w:pPr>
      <w:r>
        <w:rPr>
          <w:rFonts w:cs="宋体" w:hint="eastAsia"/>
          <w:color w:val="000000"/>
        </w:rPr>
        <w:t>投标人按照招标文件要求，对本项目的业务内容及系统需求进行详细分析。分析内容应包含本项目所涉及的旅检移动应用、二线非贸监管及企业画像技术服务内容。</w:t>
      </w:r>
    </w:p>
    <w:p>
      <w:pPr>
        <w:ind w:firstLine="420" w:firstLineChars="200"/>
        <w:rPr>
          <w:rFonts w:cs="宋体"/>
          <w:color w:val="000000"/>
        </w:rPr>
      </w:pPr>
      <w:r>
        <w:rPr>
          <w:rFonts w:cs="宋体" w:hint="eastAsia"/>
          <w:color w:val="000000"/>
        </w:rPr>
        <w:t>(二)总体技术方案</w:t>
      </w:r>
    </w:p>
    <w:p>
      <w:pPr>
        <w:ind w:firstLine="420" w:firstLineChars="200"/>
        <w:rPr>
          <w:rFonts w:cs="宋体" w:hint="eastAsia"/>
          <w:color w:val="000000"/>
        </w:rPr>
      </w:pPr>
      <w:r>
        <w:rPr>
          <w:rFonts w:cs="宋体" w:hint="eastAsia"/>
          <w:color w:val="000000"/>
        </w:rPr>
        <w:t xml:space="preserve">投标人应提供符合本项目的总体技术方案，方案内容完整（总体技术方案部分应包含总体架构、应用设计、数据架构、部署设计、安全设计、业务功能设计等内容），方案的合理性、业务符合性、安全性、兼容性强，契合项目需求。并提供应用双活设计方案，描述具体如何实现异地双活运行。  </w:t>
      </w:r>
    </w:p>
    <w:p>
      <w:pPr>
        <w:ind w:firstLine="420" w:firstLineChars="200"/>
        <w:rPr>
          <w:rFonts w:cs="宋体"/>
          <w:color w:val="000000"/>
        </w:rPr>
      </w:pPr>
      <w:r>
        <w:rPr>
          <w:rFonts w:cs="宋体" w:hint="eastAsia"/>
          <w:color w:val="000000"/>
        </w:rPr>
        <w:t>(三)集成方案</w:t>
      </w:r>
    </w:p>
    <w:p>
      <w:pPr>
        <w:ind w:firstLine="420" w:firstLineChars="200"/>
        <w:rPr>
          <w:rFonts w:cs="宋体"/>
          <w:color w:val="000000"/>
        </w:rPr>
      </w:pPr>
      <w:r>
        <w:rPr>
          <w:rFonts w:cs="宋体"/>
          <w:color w:val="000000"/>
        </w:rPr>
        <w:t>投标人提供集成方案，内容应包含业务需求、技术需求、系统需求，相关应用间的详细接口方案、调用关系等。方案详细周密、架构设计科学、细节处理妥当。</w:t>
      </w:r>
    </w:p>
    <w:p>
      <w:pPr>
        <w:ind w:firstLine="420" w:firstLineChars="200"/>
        <w:rPr>
          <w:rFonts w:cs="宋体"/>
          <w:color w:val="000000"/>
        </w:rPr>
      </w:pPr>
      <w:r>
        <w:rPr>
          <w:rFonts w:cs="宋体"/>
          <w:color w:val="000000"/>
        </w:rPr>
        <w:t>（四）培训方案</w:t>
      </w:r>
    </w:p>
    <w:p>
      <w:pPr>
        <w:ind w:firstLine="420" w:firstLineChars="200"/>
        <w:rPr>
          <w:rFonts w:cs="宋体"/>
        </w:rPr>
      </w:pPr>
      <w:r>
        <w:rPr>
          <w:rFonts w:cs="宋体" w:hint="eastAsia"/>
        </w:rPr>
        <w:t>根据招标文件要求制定科学、合理的培训方案，包括培训的类别、培训人员与人数、培训课件、方式、时间、培训教材（纸质版和电子版）、师资力量及教师安排等内容。</w:t>
      </w:r>
    </w:p>
    <w:p>
      <w:pPr>
        <w:ind w:firstLine="420" w:firstLineChars="200"/>
        <w:rPr>
          <w:rFonts w:cs="宋体"/>
          <w:color w:val="000000"/>
        </w:rPr>
      </w:pPr>
      <w:r>
        <w:rPr>
          <w:rFonts w:cs="宋体" w:hint="eastAsia"/>
          <w:color w:val="000000"/>
        </w:rPr>
        <w:t>(五)实施方案</w:t>
      </w:r>
    </w:p>
    <w:p>
      <w:pPr>
        <w:ind w:firstLine="420" w:firstLineChars="200"/>
        <w:rPr>
          <w:rFonts w:cs="宋体"/>
          <w:color w:val="000000"/>
        </w:rPr>
      </w:pPr>
      <w:r>
        <w:rPr>
          <w:rFonts w:cs="宋体" w:hint="eastAsia"/>
          <w:color w:val="000000"/>
        </w:rPr>
        <w:t>投标人结合项目特点提供实施方案，内容包括项目实施过程控制、项目实施过程文档管理、项目实施组织架构、项目实施进度安排、项目验收安排等内容。</w:t>
      </w:r>
    </w:p>
    <w:p>
      <w:pPr>
        <w:ind w:firstLine="420" w:firstLineChars="200"/>
        <w:rPr>
          <w:rFonts w:cs="宋体"/>
          <w:color w:val="000000"/>
        </w:rPr>
      </w:pPr>
      <w:r>
        <w:rPr>
          <w:rFonts w:cs="宋体" w:hint="eastAsia"/>
          <w:color w:val="000000"/>
        </w:rPr>
        <w:t>(</w:t>
      </w:r>
      <w:r>
        <w:rPr>
          <w:rFonts w:cs="宋体"/>
          <w:color w:val="000000"/>
        </w:rPr>
        <w:t xml:space="preserve"> </w:t>
      </w:r>
      <w:r>
        <w:rPr>
          <w:rFonts w:cs="宋体" w:hint="eastAsia"/>
          <w:color w:val="000000"/>
        </w:rPr>
        <w:t>六)售后服务方案</w:t>
      </w:r>
    </w:p>
    <w:p>
      <w:pPr>
        <w:ind w:firstLine="420" w:firstLineChars="200"/>
        <w:rPr>
          <w:rFonts w:cs="宋体"/>
          <w:color w:val="000000"/>
        </w:rPr>
      </w:pPr>
      <w:r>
        <w:rPr>
          <w:rFonts w:cs="宋体"/>
          <w:color w:val="000000"/>
        </w:rPr>
        <w:t>投标人应提供符合本项目实际的售后服务方案，方案应至少包含技术支持，服务流程，运维保障及相关服务承诺等内容。</w:t>
      </w:r>
    </w:p>
    <w:p>
      <w:pPr>
        <w:rPr>
          <w:color w:val="000000"/>
        </w:rPr>
      </w:pPr>
    </w:p>
    <w:p>
      <w:pPr>
        <w:ind w:firstLine="420" w:firstLineChars="200"/>
      </w:pPr>
      <w:r>
        <w:rPr>
          <w:color w:val="000000"/>
        </w:rPr>
        <w:t>3.</w:t>
      </w:r>
      <w:r>
        <w:rPr>
          <w:rFonts w:hint="eastAsia"/>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firstLine="0"/>
              <w:jc w:val="center"/>
              <w:rPr>
                <w:rFonts w:ascii="宋体" w:eastAsia="宋体" w:cs="宋体"/>
                <w:color w:val="000000"/>
              </w:rPr>
            </w:pPr>
            <w:r>
              <w:rPr>
                <w:rFonts w:ascii="宋体" w:eastAsia="宋体" w:cs="宋体" w:hint="eastAsia"/>
                <w:color w:val="000000"/>
              </w:rPr>
              <w:t>序号</w:t>
            </w:r>
          </w:p>
        </w:tc>
        <w:tc>
          <w:tcPr>
            <w:tcW w:w="1140" w:type="dxa"/>
          </w:tcPr>
          <w:p>
            <w:pPr>
              <w:pStyle w:val="250"/>
              <w:ind w:firstLine="0"/>
              <w:jc w:val="center"/>
              <w:rPr>
                <w:rFonts w:ascii="宋体" w:eastAsia="宋体" w:cs="宋体"/>
                <w:color w:val="000000"/>
              </w:rPr>
            </w:pPr>
            <w:r>
              <w:rPr>
                <w:rFonts w:ascii="宋体" w:eastAsia="宋体" w:cs="宋体" w:hint="eastAsia"/>
                <w:color w:val="000000"/>
              </w:rPr>
              <w:t>内容</w:t>
            </w:r>
          </w:p>
        </w:tc>
        <w:tc>
          <w:tcPr>
            <w:tcW w:w="1880" w:type="dxa"/>
          </w:tcPr>
          <w:p>
            <w:pPr>
              <w:pStyle w:val="268"/>
              <w:ind w:firstLine="0"/>
              <w:jc w:val="center"/>
              <w:rPr>
                <w:rFonts w:ascii="宋体" w:eastAsia="宋体" w:cs="宋体"/>
                <w:color w:val="000000"/>
              </w:rPr>
            </w:pPr>
            <w:r>
              <w:rPr>
                <w:rFonts w:ascii="宋体" w:eastAsia="宋体" w:cs="宋体" w:hint="eastAsia"/>
                <w:color w:val="000000"/>
              </w:rPr>
              <w:t>数量</w:t>
            </w:r>
          </w:p>
        </w:tc>
        <w:tc>
          <w:tcPr>
            <w:tcW w:w="4680" w:type="dxa"/>
          </w:tcPr>
          <w:p>
            <w:pPr>
              <w:pStyle w:val="270"/>
              <w:ind w:firstLine="0"/>
              <w:jc w:val="center"/>
              <w:rPr>
                <w:rFonts w:ascii="宋体" w:eastAsia="宋体" w:cs="宋体"/>
                <w:color w:val="000000"/>
              </w:rPr>
            </w:pPr>
            <w:r>
              <w:rPr>
                <w:rFonts w:ascii="宋体" w:eastAsia="宋体" w:cs="宋体" w:hint="eastAsia"/>
                <w:color w:val="000000"/>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eastAsia="宋体" w:cs="宋体"/>
                <w:color w:val="000000"/>
              </w:rPr>
            </w:pPr>
            <w:r>
              <w:rPr>
                <w:rFonts w:ascii="宋体" w:eastAsia="宋体" w:cs="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819"/>
              <w:ind w:firstLine="0"/>
              <w:jc w:val="center"/>
              <w:rPr>
                <w:rFonts w:ascii="宋体" w:eastAsia="宋体" w:cs="宋体"/>
                <w:color w:val="000000"/>
              </w:rPr>
            </w:pPr>
            <w:r>
              <w:rPr>
                <w:rFonts w:ascii="宋体" w:eastAsia="宋体" w:cs="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pStyle w:val="226"/>
              <w:ind w:firstLine="0"/>
              <w:jc w:val="center"/>
              <w:rPr>
                <w:rFonts w:ascii="宋体" w:eastAsia="宋体" w:cs="宋体"/>
                <w:color w:val="000000"/>
              </w:rPr>
            </w:pPr>
            <w:r>
              <w:rPr>
                <w:rFonts w:ascii="宋体" w:eastAsia="宋体" w:cs="宋体" w:hint="eastAsia"/>
                <w:color w:val="000000"/>
              </w:rPr>
              <w:t>20</w:t>
            </w:r>
          </w:p>
        </w:tc>
        <w:tc>
          <w:tcPr>
            <w:tcW w:w="4680" w:type="dxa"/>
          </w:tcPr>
          <w:p>
            <w:pPr>
              <w:pStyle w:val="42"/>
              <w:ind w:firstLine="0"/>
              <w:jc w:val="left"/>
              <w:rPr>
                <w:rFonts w:ascii="宋体" w:eastAsia="宋体" w:cs="宋体"/>
                <w:strike/>
                <w:dstrike w:val="0"/>
                <w:color w:val="000000"/>
              </w:rPr>
            </w:pPr>
            <w:r>
              <w:rPr>
                <w:rFonts w:ascii="宋体" w:eastAsia="宋体" w:cs="宋体" w:hint="eastAsia"/>
                <w:color w:val="000000"/>
              </w:rPr>
              <w:t>七、服务要求20个（第2项、第3项、第</w:t>
            </w:r>
            <w:r>
              <w:rPr>
                <w:rFonts w:ascii="宋体" w:eastAsia="宋体" w:cs="宋体"/>
                <w:color w:val="000000"/>
              </w:rPr>
              <w:t>4</w:t>
            </w:r>
            <w:r>
              <w:rPr>
                <w:rFonts w:ascii="宋体" w:eastAsia="宋体" w:cs="宋体" w:hint="eastAsia"/>
                <w:color w:val="000000"/>
              </w:rPr>
              <w:t>项10个、第</w:t>
            </w:r>
            <w:r>
              <w:rPr>
                <w:rFonts w:ascii="宋体" w:eastAsia="宋体" w:cs="宋体"/>
                <w:color w:val="000000"/>
              </w:rPr>
              <w:t>6</w:t>
            </w:r>
            <w:r>
              <w:rPr>
                <w:rFonts w:ascii="宋体" w:eastAsia="宋体" w:cs="宋体" w:hint="eastAsia"/>
                <w:color w:val="000000"/>
              </w:rPr>
              <w:t>项、第</w:t>
            </w:r>
            <w:r>
              <w:rPr>
                <w:rFonts w:ascii="宋体" w:eastAsia="宋体" w:cs="宋体"/>
                <w:color w:val="000000"/>
              </w:rPr>
              <w:t>7</w:t>
            </w:r>
            <w:r>
              <w:rPr>
                <w:rFonts w:ascii="宋体" w:eastAsia="宋体" w:cs="宋体" w:hint="eastAsia"/>
                <w:color w:val="000000"/>
              </w:rPr>
              <w:t>项、第</w:t>
            </w:r>
            <w:r>
              <w:rPr>
                <w:rFonts w:ascii="宋体" w:eastAsia="宋体" w:cs="宋体"/>
                <w:color w:val="000000"/>
              </w:rPr>
              <w:t>9</w:t>
            </w:r>
            <w:r>
              <w:rPr>
                <w:rFonts w:ascii="宋体" w:eastAsia="宋体" w:cs="宋体" w:hint="eastAsia"/>
                <w:color w:val="000000"/>
              </w:rPr>
              <w:t>项、第</w:t>
            </w:r>
            <w:r>
              <w:rPr>
                <w:rFonts w:ascii="宋体" w:eastAsia="宋体" w:cs="宋体"/>
                <w:color w:val="000000"/>
              </w:rPr>
              <w:t>10</w:t>
            </w:r>
            <w:r>
              <w:rPr>
                <w:rFonts w:ascii="宋体" w:eastAsia="宋体" w:cs="宋体" w:hint="eastAsia"/>
                <w:color w:val="000000"/>
              </w:rPr>
              <w:t>项、第</w:t>
            </w:r>
            <w:r>
              <w:rPr>
                <w:rFonts w:ascii="宋体" w:eastAsia="宋体" w:cs="宋体"/>
                <w:color w:val="000000"/>
              </w:rPr>
              <w:t>11</w:t>
            </w:r>
            <w:r>
              <w:rPr>
                <w:rFonts w:ascii="宋体" w:eastAsia="宋体" w:cs="宋体" w:hint="eastAsia"/>
                <w:color w:val="000000"/>
              </w:rPr>
              <w:t>项、第</w:t>
            </w:r>
            <w:r>
              <w:rPr>
                <w:rFonts w:ascii="宋体" w:eastAsia="宋体" w:cs="宋体"/>
                <w:color w:val="000000"/>
              </w:rPr>
              <w:t>13</w:t>
            </w:r>
            <w:r>
              <w:rPr>
                <w:rFonts w:ascii="宋体" w:eastAsia="宋体" w:cs="宋体" w:hint="eastAsia"/>
                <w:color w:val="000000"/>
              </w:rPr>
              <w:t>项3个）</w:t>
            </w:r>
          </w:p>
        </w:tc>
      </w:tr>
      <w:tr>
        <w:tblPrEx>
          <w:tblW w:w="8508" w:type="dxa"/>
          <w:jc w:val="left"/>
          <w:tblInd w:w="0" w:type="dxa"/>
          <w:tblLayout w:type="fixed"/>
          <w:tblCellMar>
            <w:top w:w="0" w:type="dxa"/>
            <w:left w:w="108" w:type="dxa"/>
            <w:bottom w:w="0" w:type="dxa"/>
            <w:right w:w="108" w:type="dxa"/>
          </w:tblCellMar>
        </w:tblPrEx>
        <w:trPr>
          <w:trHeight w:val="457"/>
          <w:jc w:val="left"/>
        </w:trPr>
        <w:tc>
          <w:tcPr>
            <w:tcW w:w="808" w:type="dxa"/>
            <w:vAlign w:val="center"/>
          </w:tcPr>
          <w:p>
            <w:pPr>
              <w:pStyle w:val="9"/>
              <w:ind w:firstLine="0"/>
              <w:jc w:val="center"/>
              <w:rPr>
                <w:rFonts w:ascii="宋体" w:eastAsia="宋体" w:cs="宋体"/>
                <w:color w:val="000000"/>
              </w:rPr>
            </w:pPr>
            <w:r>
              <w:rPr>
                <w:rFonts w:ascii="宋体" w:eastAsia="宋体" w:cs="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819"/>
              <w:ind w:firstLine="0"/>
              <w:jc w:val="center"/>
              <w:rPr>
                <w:rFonts w:ascii="宋体" w:eastAsia="宋体" w:cs="宋体"/>
                <w:color w:val="000000"/>
              </w:rPr>
            </w:pPr>
            <w:r>
              <w:rPr>
                <w:rFonts w:ascii="宋体" w:eastAsia="宋体" w:cs="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pStyle w:val="526"/>
              <w:ind w:firstLine="0"/>
              <w:jc w:val="center"/>
              <w:rPr>
                <w:rFonts w:ascii="宋体" w:eastAsia="宋体" w:cs="宋体"/>
                <w:strike/>
                <w:dstrike w:val="0"/>
                <w:color w:val="000000"/>
              </w:rPr>
            </w:pPr>
            <w:r>
              <w:rPr>
                <w:rFonts w:ascii="宋体" w:eastAsia="宋体" w:cs="宋体" w:hint="eastAsia"/>
                <w:color w:val="000000"/>
              </w:rPr>
              <w:t>2</w:t>
            </w:r>
            <w:r>
              <w:rPr>
                <w:rFonts w:ascii="宋体" w:eastAsia="宋体" w:cs="宋体"/>
                <w:color w:val="000000"/>
              </w:rPr>
              <w:t>19</w:t>
            </w:r>
          </w:p>
        </w:tc>
        <w:tc>
          <w:tcPr>
            <w:tcW w:w="4680" w:type="dxa"/>
          </w:tcPr>
          <w:p>
            <w:pPr>
              <w:pStyle w:val="1116"/>
              <w:ind w:firstLine="0"/>
              <w:jc w:val="left"/>
              <w:rPr>
                <w:rFonts w:ascii="宋体" w:eastAsia="宋体" w:cs="宋体"/>
                <w:color w:val="000000"/>
              </w:rPr>
            </w:pPr>
            <w:r>
              <w:rPr>
                <w:rFonts w:ascii="宋体" w:eastAsia="宋体" w:cs="宋体" w:hint="eastAsia"/>
                <w:color w:val="000000"/>
              </w:rPr>
              <w:t>五、集成需求</w:t>
            </w:r>
            <w:r>
              <w:rPr>
                <w:rFonts w:ascii="宋体" w:eastAsia="宋体" w:cs="宋体"/>
                <w:color w:val="000000"/>
              </w:rPr>
              <w:t>3</w:t>
            </w:r>
            <w:r>
              <w:rPr>
                <w:rFonts w:ascii="宋体" w:eastAsia="宋体" w:cs="宋体" w:hint="eastAsia"/>
                <w:color w:val="000000"/>
              </w:rPr>
              <w:t>个（第1项、第2项、第3项）</w:t>
            </w:r>
          </w:p>
          <w:p>
            <w:pPr>
              <w:pStyle w:val="1116"/>
              <w:ind w:firstLine="0"/>
              <w:jc w:val="left"/>
              <w:rPr>
                <w:rFonts w:ascii="宋体" w:eastAsia="宋体" w:cs="宋体"/>
                <w:color w:val="000000"/>
              </w:rPr>
            </w:pPr>
            <w:r>
              <w:rPr>
                <w:rFonts w:ascii="宋体" w:eastAsia="宋体" w:cs="宋体" w:hint="eastAsia"/>
                <w:color w:val="000000"/>
              </w:rPr>
              <w:t>六、货物或服务指标要求</w:t>
            </w:r>
            <w:r>
              <w:rPr>
                <w:rFonts w:ascii="宋体" w:eastAsia="宋体" w:cs="宋体"/>
                <w:color w:val="000000"/>
              </w:rPr>
              <w:t>1</w:t>
            </w:r>
            <w:r>
              <w:rPr>
                <w:rFonts w:ascii="宋体" w:eastAsia="宋体" w:cs="宋体" w:hint="eastAsia"/>
                <w:color w:val="000000"/>
              </w:rPr>
              <w:t>8</w:t>
            </w:r>
            <w:r>
              <w:rPr>
                <w:rFonts w:ascii="宋体" w:eastAsia="宋体" w:cs="宋体"/>
                <w:color w:val="000000"/>
              </w:rPr>
              <w:t>8</w:t>
            </w:r>
            <w:r>
              <w:rPr>
                <w:rFonts w:ascii="宋体" w:eastAsia="宋体" w:cs="宋体" w:hint="eastAsia"/>
                <w:color w:val="000000"/>
              </w:rPr>
              <w:t>个（第3-4项各一个、第5项17个、第6-10项各一个、第11项3个、第12-65项各一个、第66项3个、第67-</w:t>
            </w:r>
            <w:r>
              <w:rPr>
                <w:rFonts w:ascii="宋体" w:eastAsia="宋体" w:cs="宋体"/>
                <w:color w:val="000000"/>
              </w:rPr>
              <w:t>170</w:t>
            </w:r>
            <w:r>
              <w:rPr>
                <w:rFonts w:ascii="宋体" w:eastAsia="宋体" w:cs="宋体" w:hint="eastAsia"/>
                <w:color w:val="000000"/>
              </w:rPr>
              <w:t>项各一个）</w:t>
            </w:r>
          </w:p>
          <w:p>
            <w:pPr>
              <w:pStyle w:val="1116"/>
              <w:ind w:firstLine="0"/>
              <w:jc w:val="left"/>
              <w:rPr>
                <w:rFonts w:ascii="宋体" w:eastAsia="宋体" w:cs="宋体"/>
                <w:color w:val="000000"/>
              </w:rPr>
            </w:pPr>
            <w:r>
              <w:rPr>
                <w:rFonts w:ascii="宋体" w:eastAsia="宋体" w:cs="宋体" w:hint="eastAsia"/>
                <w:color w:val="000000"/>
              </w:rPr>
              <w:t>七、服务要求</w:t>
            </w:r>
            <w:r>
              <w:rPr>
                <w:rFonts w:ascii="宋体" w:eastAsia="宋体" w:cs="宋体"/>
                <w:color w:val="000000"/>
              </w:rPr>
              <w:t>8</w:t>
            </w:r>
            <w:r>
              <w:rPr>
                <w:rFonts w:ascii="宋体" w:eastAsia="宋体" w:cs="宋体" w:hint="eastAsia"/>
                <w:color w:val="000000"/>
              </w:rPr>
              <w:t>个（第</w:t>
            </w:r>
            <w:r>
              <w:rPr>
                <w:rFonts w:ascii="宋体" w:eastAsia="宋体" w:cs="宋体"/>
                <w:color w:val="000000"/>
              </w:rPr>
              <w:t>5</w:t>
            </w:r>
            <w:r>
              <w:rPr>
                <w:rFonts w:ascii="宋体" w:eastAsia="宋体" w:cs="宋体" w:hint="eastAsia"/>
                <w:color w:val="000000"/>
              </w:rPr>
              <w:t>项、第</w:t>
            </w:r>
            <w:r>
              <w:rPr>
                <w:rFonts w:ascii="宋体" w:eastAsia="宋体" w:cs="宋体"/>
                <w:color w:val="000000"/>
              </w:rPr>
              <w:t>12</w:t>
            </w:r>
            <w:r>
              <w:rPr>
                <w:rFonts w:ascii="宋体" w:eastAsia="宋体" w:cs="宋体" w:hint="eastAsia"/>
                <w:color w:val="000000"/>
              </w:rPr>
              <w:t>项、第</w:t>
            </w:r>
            <w:r>
              <w:rPr>
                <w:rFonts w:ascii="宋体" w:eastAsia="宋体" w:cs="宋体"/>
                <w:color w:val="000000"/>
              </w:rPr>
              <w:t>14</w:t>
            </w:r>
            <w:r>
              <w:rPr>
                <w:rFonts w:ascii="宋体" w:eastAsia="宋体" w:cs="宋体" w:hint="eastAsia"/>
                <w:color w:val="000000"/>
              </w:rPr>
              <w:t>项、第</w:t>
            </w:r>
            <w:r>
              <w:rPr>
                <w:rFonts w:ascii="宋体" w:eastAsia="宋体" w:cs="宋体"/>
                <w:color w:val="000000"/>
              </w:rPr>
              <w:t>16</w:t>
            </w:r>
            <w:r>
              <w:rPr>
                <w:rFonts w:ascii="宋体" w:eastAsia="宋体" w:cs="宋体" w:hint="eastAsia"/>
                <w:color w:val="000000"/>
              </w:rPr>
              <w:t>项、第</w:t>
            </w:r>
            <w:r>
              <w:rPr>
                <w:rFonts w:ascii="宋体" w:eastAsia="宋体" w:cs="宋体"/>
                <w:color w:val="000000"/>
              </w:rPr>
              <w:t>17</w:t>
            </w:r>
            <w:r>
              <w:rPr>
                <w:rFonts w:ascii="宋体" w:eastAsia="宋体" w:cs="宋体" w:hint="eastAsia"/>
                <w:color w:val="000000"/>
              </w:rPr>
              <w:t>项、第</w:t>
            </w:r>
            <w:r>
              <w:rPr>
                <w:rFonts w:ascii="宋体" w:eastAsia="宋体" w:cs="宋体"/>
                <w:color w:val="000000"/>
              </w:rPr>
              <w:t>18</w:t>
            </w:r>
            <w:r>
              <w:rPr>
                <w:rFonts w:ascii="宋体" w:eastAsia="宋体" w:cs="宋体" w:hint="eastAsia"/>
                <w:color w:val="000000"/>
              </w:rPr>
              <w:t>项</w:t>
            </w:r>
            <w:r>
              <w:rPr>
                <w:rFonts w:ascii="宋体" w:eastAsia="宋体" w:cs="宋体"/>
                <w:color w:val="000000"/>
              </w:rPr>
              <w:t>3</w:t>
            </w:r>
            <w:r>
              <w:rPr>
                <w:rFonts w:ascii="宋体" w:eastAsia="宋体" w:cs="宋体" w:hint="eastAsia"/>
                <w:color w:val="000000"/>
              </w:rPr>
              <w:t>个）</w:t>
            </w:r>
          </w:p>
          <w:p>
            <w:r>
              <w:rPr>
                <w:rFonts w:cs="宋体" w:hint="eastAsia"/>
                <w:color w:val="000000"/>
              </w:rPr>
              <w:t>八、实施要求20个（第</w:t>
            </w:r>
            <w:r>
              <w:rPr>
                <w:rFonts w:cs="宋体"/>
                <w:color w:val="000000"/>
              </w:rPr>
              <w:t>1</w:t>
            </w:r>
            <w:r>
              <w:rPr>
                <w:rFonts w:cs="宋体" w:hint="eastAsia"/>
                <w:color w:val="000000"/>
              </w:rPr>
              <w:t>项4个、第</w:t>
            </w:r>
            <w:r>
              <w:rPr>
                <w:rFonts w:cs="宋体"/>
                <w:color w:val="000000"/>
              </w:rPr>
              <w:t>2</w:t>
            </w:r>
            <w:r>
              <w:rPr>
                <w:rFonts w:cs="宋体" w:hint="eastAsia"/>
                <w:color w:val="000000"/>
              </w:rPr>
              <w:t>项、第</w:t>
            </w:r>
            <w:r>
              <w:rPr>
                <w:rFonts w:cs="宋体"/>
                <w:color w:val="000000"/>
              </w:rPr>
              <w:t>3</w:t>
            </w:r>
            <w:r>
              <w:rPr>
                <w:rFonts w:cs="宋体" w:hint="eastAsia"/>
                <w:color w:val="000000"/>
              </w:rPr>
              <w:t>项4个、第</w:t>
            </w:r>
            <w:r>
              <w:rPr>
                <w:rFonts w:cs="宋体"/>
                <w:color w:val="000000"/>
              </w:rPr>
              <w:t>5</w:t>
            </w:r>
            <w:r>
              <w:rPr>
                <w:rFonts w:cs="宋体" w:hint="eastAsia"/>
                <w:color w:val="000000"/>
              </w:rPr>
              <w:t>项、第</w:t>
            </w:r>
            <w:r>
              <w:rPr>
                <w:rFonts w:cs="宋体"/>
                <w:color w:val="000000"/>
              </w:rPr>
              <w:t>6</w:t>
            </w:r>
            <w:r>
              <w:rPr>
                <w:rFonts w:cs="宋体" w:hint="eastAsia"/>
                <w:color w:val="000000"/>
              </w:rPr>
              <w:t>项7个、第</w:t>
            </w:r>
            <w:r>
              <w:rPr>
                <w:rFonts w:cs="宋体"/>
                <w:color w:val="000000"/>
              </w:rPr>
              <w:t>7</w:t>
            </w:r>
            <w:r>
              <w:rPr>
                <w:rFonts w:cs="宋体" w:hint="eastAsia"/>
                <w:color w:val="000000"/>
              </w:rPr>
              <w:t>项、第</w:t>
            </w:r>
            <w:r>
              <w:rPr>
                <w:rFonts w:cs="宋体"/>
                <w:color w:val="000000"/>
              </w:rPr>
              <w:t>8</w:t>
            </w:r>
            <w:r>
              <w:rPr>
                <w:rFonts w:cs="宋体" w:hint="eastAsia"/>
                <w:color w:val="000000"/>
              </w:rPr>
              <w:t>项、第</w:t>
            </w:r>
            <w:r>
              <w:rPr>
                <w:rFonts w:cs="宋体"/>
                <w:color w:val="000000"/>
              </w:rPr>
              <w:t>9</w:t>
            </w:r>
            <w:r>
              <w:rPr>
                <w:rFonts w:cs="宋体" w:hint="eastAsia"/>
                <w:color w:val="000000"/>
              </w:rPr>
              <w:t>项）</w:t>
            </w:r>
          </w:p>
        </w:tc>
      </w:tr>
    </w:tbl>
    <w:p>
      <w:pPr>
        <w:rPr>
          <w:rFonts w:ascii="宋体" w:eastAsia="宋体" w:cs="宋体"/>
          <w:b/>
          <w:bCs/>
          <w:color w:val="000000"/>
        </w:rPr>
      </w:pPr>
      <w:r>
        <w:rPr>
          <w:rFonts w:ascii="宋体" w:eastAsia="宋体" w:cs="宋体" w:hint="eastAsia"/>
          <w:b/>
          <w:bCs/>
          <w:color w:val="000000"/>
        </w:rPr>
        <w:t>备注：</w:t>
      </w:r>
    </w:p>
    <w:p>
      <w:pPr>
        <w:rPr>
          <w:rFonts w:ascii="宋体" w:eastAsia="宋体" w:cs="宋体"/>
          <w:color w:val="000000"/>
        </w:rPr>
      </w:pPr>
      <w:r>
        <w:rPr>
          <w:rFonts w:ascii="宋体" w:eastAsia="宋体" w:cs="宋体" w:hint="eastAsia"/>
          <w:color w:val="000000"/>
        </w:rPr>
        <w:t>①表格内容填写完整、规范，确保无缺漏项。</w:t>
      </w:r>
    </w:p>
    <w:p>
      <w:pPr>
        <w:pStyle w:val="37"/>
        <w:rPr>
          <w:rFonts w:ascii="宋体" w:eastAsia="宋体" w:cs="宋体"/>
          <w:color w:val="000000"/>
        </w:rPr>
      </w:pPr>
      <w:r>
        <w:rPr>
          <w:rFonts w:ascii="宋体" w:eastAsia="宋体" w:cs="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
      </w:pPr>
      <w:r>
        <w:rPr>
          <w:rFonts w:ascii="宋体" w:eastAsia="宋体" w:cs="宋体" w:hint="eastAsia"/>
          <w:color w:val="000000"/>
        </w:rPr>
        <w:t>③需统计重要指标项和一般指标项数量，并分别填入《技术服务需求响应程度表》。</w:t>
      </w:r>
    </w:p>
    <w:p>
      <w:pPr>
        <w:rPr>
          <w:color w:val="0000FF"/>
          <w:lang w:val="en-US" w:eastAsia="zh-CN"/>
        </w:rPr>
      </w:pPr>
      <w:bookmarkEnd w:id="37"/>
    </w:p>
    <w:p>
      <w:pPr>
        <w:rPr>
          <w:rFonts w:hint="eastAsia"/>
          <w:highlight w:val="white"/>
        </w:rPr>
      </w:pPr>
    </w:p>
    <w:p>
      <w:pPr>
        <w:pStyle w:val="Heading1"/>
      </w:pPr>
      <w:r>
        <w:rPr>
          <w:highlight w:val="white"/>
        </w:rPr>
        <w:br w:type="page"/>
      </w:r>
      <w:bookmarkStart w:id="51"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1"/>
    </w:p>
    <w:p>
      <w:bookmarkStart w:id="52"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909" w:type="pct"/>
        <w:jc w:val="left"/>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95"/>
        <w:gridCol w:w="715"/>
        <w:gridCol w:w="7093"/>
        <w:gridCol w:w="1376"/>
      </w:tblGrid>
      <w:tr>
        <w:tblPrEx>
          <w:tblW w:w="5909" w:type="pct"/>
          <w:jc w:val="left"/>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895" w:type="dxa"/>
          </w:tcPr>
          <w:p>
            <w:r>
              <w:t>主客观项</w:t>
            </w:r>
          </w:p>
        </w:tc>
        <w:tc>
          <w:tcPr>
            <w:tcW w:w="715" w:type="dxa"/>
          </w:tcPr>
          <w:p>
            <w:r>
              <w:t>评审因素</w:t>
            </w:r>
          </w:p>
        </w:tc>
        <w:tc>
          <w:tcPr>
            <w:tcW w:w="7093" w:type="dxa"/>
          </w:tcPr>
          <w:p>
            <w:r>
              <w:t>评分标准说明</w:t>
            </w:r>
          </w:p>
        </w:tc>
        <w:tc>
          <w:tcPr>
            <w:tcW w:w="1376" w:type="dxa"/>
          </w:tcPr>
          <w:p>
            <w:r>
              <w:t>分值范围</w:t>
            </w:r>
          </w:p>
        </w:tc>
      </w:tr>
      <w:tr>
        <w:tblPrEx>
          <w:tblW w:w="5909" w:type="pct"/>
          <w:jc w:val="left"/>
          <w:tblInd w:w="-623" w:type="dxa"/>
          <w:tblCellMar>
            <w:top w:w="0" w:type="dxa"/>
            <w:left w:w="108" w:type="dxa"/>
            <w:bottom w:w="0" w:type="dxa"/>
            <w:right w:w="108" w:type="dxa"/>
          </w:tblCellMar>
        </w:tblPrEx>
        <w:trPr>
          <w:jc w:val="left"/>
        </w:trPr>
        <w:tc>
          <w:tcPr>
            <w:tcW w:w="895" w:type="dxa"/>
          </w:tcPr>
          <w:p>
            <w:r>
              <w:t>价格分</w:t>
            </w:r>
          </w:p>
        </w:tc>
        <w:tc>
          <w:tcPr>
            <w:tcW w:w="715" w:type="dxa"/>
          </w:tcPr>
          <w:p>
            <w:r>
              <w:t>价格评审</w:t>
            </w:r>
          </w:p>
        </w:tc>
        <w:tc>
          <w:tcPr>
            <w:tcW w:w="7093" w:type="dxa"/>
          </w:tcPr>
          <w:p>
            <w:r>
              <w:t>采用低价优先法计算，即满足招标文件要求且投标价格最低的投标报价为评标基准价，其价格分为满分。其他投标人的价格分按照下列公式计算：价格得分=(评标基准价／投标报价)×10%×100。</w:t>
            </w:r>
          </w:p>
        </w:tc>
        <w:tc>
          <w:tcPr>
            <w:tcW w:w="1376" w:type="dxa"/>
          </w:tcPr>
          <w:p>
            <w:r>
              <w:t>区间打分(0-10)</w:t>
            </w:r>
          </w:p>
        </w:tc>
      </w:tr>
      <w:tr>
        <w:tblPrEx>
          <w:tblW w:w="5909" w:type="pct"/>
          <w:jc w:val="left"/>
          <w:tblInd w:w="-623" w:type="dxa"/>
          <w:tblCellMar>
            <w:top w:w="0" w:type="dxa"/>
            <w:left w:w="108" w:type="dxa"/>
            <w:bottom w:w="0" w:type="dxa"/>
            <w:right w:w="108" w:type="dxa"/>
          </w:tblCellMar>
        </w:tblPrEx>
        <w:trPr>
          <w:jc w:val="left"/>
        </w:trPr>
        <w:tc>
          <w:tcPr>
            <w:tcW w:w="895" w:type="dxa"/>
          </w:tcPr>
          <w:p>
            <w:r>
              <w:t>商务部分</w:t>
            </w:r>
          </w:p>
        </w:tc>
        <w:tc>
          <w:tcPr>
            <w:tcW w:w="715" w:type="dxa"/>
          </w:tcPr>
          <w:p>
            <w:r>
              <w:t>投标人业绩</w:t>
            </w:r>
          </w:p>
        </w:tc>
        <w:tc>
          <w:tcPr>
            <w:tcW w:w="7093" w:type="dxa"/>
          </w:tcPr>
          <w:p>
            <w:r>
              <w:t xml:space="preserve">投标人须提供与本项目同类服务项目业绩材料 ，提供一份有效合同得1分，最多得5分。        </w:t>
            </w:r>
          </w:p>
          <w:p>
            <w:r>
              <w:t xml:space="preserve">注：1.上述销售业绩指与本项目同类开发服务项目的相关销售业绩。     </w:t>
            </w:r>
          </w:p>
          <w:p>
            <w:r>
              <w:t xml:space="preserve">2.合同签订时间须为2022年9月1日起至本项目招标公告发布之日止。      3.合同销售方（乙方）必须为投标人自身且销售业绩合同中必须至少包含合同双方印章、服务内容、签订时间、合同履行第一笔付款乙方开具的发票复印件等信息内容（以上内容缺少一项，案例不予承认）。      </w:t>
            </w:r>
          </w:p>
          <w:p>
            <w:r>
              <w:t xml:space="preserve">4.提供销售业绩合同复印件须字迹清晰，辨识无误。  </w:t>
            </w:r>
          </w:p>
          <w:p>
            <w:r>
              <w:t>不符合上述要求或未按要求提供有效证明文件的业绩在评审时将不予以承认。</w:t>
            </w:r>
          </w:p>
        </w:tc>
        <w:tc>
          <w:tcPr>
            <w:tcW w:w="1376" w:type="dxa"/>
          </w:tcPr>
          <w:p>
            <w:r>
              <w:t>勾选打分(0;1;2;3;4;5)</w:t>
            </w:r>
          </w:p>
        </w:tc>
      </w:tr>
      <w:tr>
        <w:tblPrEx>
          <w:tblW w:w="5909" w:type="pct"/>
          <w:jc w:val="left"/>
          <w:tblInd w:w="-623" w:type="dxa"/>
          <w:tblCellMar>
            <w:top w:w="0" w:type="dxa"/>
            <w:left w:w="108" w:type="dxa"/>
            <w:bottom w:w="0" w:type="dxa"/>
            <w:right w:w="108" w:type="dxa"/>
          </w:tblCellMar>
        </w:tblPrEx>
        <w:trPr>
          <w:jc w:val="left"/>
        </w:trPr>
        <w:tc>
          <w:tcPr>
            <w:tcW w:w="895" w:type="dxa"/>
            <w:vMerge w:val="restart"/>
          </w:tcPr>
          <w:p>
            <w:r>
              <w:t>技术部分</w:t>
            </w:r>
          </w:p>
        </w:tc>
        <w:tc>
          <w:tcPr>
            <w:tcW w:w="715" w:type="dxa"/>
          </w:tcPr>
          <w:p>
            <w:r>
              <w:t>重要技术服务指标响应程度</w:t>
            </w:r>
          </w:p>
        </w:tc>
        <w:tc>
          <w:tcPr>
            <w:tcW w:w="7093" w:type="dxa"/>
          </w:tcPr>
          <w:p>
            <w:r>
              <w:t xml:space="preserve">完全满足文件指标要求得21.2分，▲标记重要指标项每有一项不满足扣1.06分。              </w:t>
            </w:r>
          </w:p>
          <w:p>
            <w:r>
              <w:t xml:space="preserve">注：一共有20个重要指标，分别在：  </w:t>
            </w:r>
          </w:p>
          <w:p>
            <w:r>
              <w:t>七、服务要求20个（第2项、第3项、第4项10个、第6项、第7项、第9项、第10项、第11项、第13项3个）</w:t>
            </w:r>
          </w:p>
        </w:tc>
        <w:tc>
          <w:tcPr>
            <w:tcW w:w="1376" w:type="dxa"/>
          </w:tcPr>
          <w:p>
            <w:r>
              <w:t>区间打分(0-21.2)</w:t>
            </w:r>
          </w:p>
        </w:tc>
      </w:tr>
      <w:tr>
        <w:tblPrEx>
          <w:tblW w:w="5909" w:type="pct"/>
          <w:jc w:val="left"/>
          <w:tblInd w:w="-623" w:type="dxa"/>
          <w:tblCellMar>
            <w:top w:w="0" w:type="dxa"/>
            <w:left w:w="108" w:type="dxa"/>
            <w:bottom w:w="0" w:type="dxa"/>
            <w:right w:w="108" w:type="dxa"/>
          </w:tblCellMar>
        </w:tblPrEx>
        <w:trPr>
          <w:jc w:val="left"/>
        </w:trPr>
        <w:tc>
          <w:tcPr>
            <w:tcW w:w="283" w:type="dxa"/>
            <w:vMerge/>
          </w:tcPr>
          <w:p/>
        </w:tc>
        <w:tc>
          <w:tcPr>
            <w:tcW w:w="715" w:type="dxa"/>
          </w:tcPr>
          <w:p>
            <w:r>
              <w:t>一般技术服务指标响应程度</w:t>
            </w:r>
          </w:p>
        </w:tc>
        <w:tc>
          <w:tcPr>
            <w:tcW w:w="7093" w:type="dxa"/>
          </w:tcPr>
          <w:p>
            <w:r>
              <w:t xml:space="preserve">完全满足文件指标要求得43.8分，普通指标项每有一项不满足扣0.2分。              注：一共有219个重要指标，分别在：   </w:t>
            </w:r>
          </w:p>
          <w:p>
            <w:r>
              <w:t xml:space="preserve">五、集成需求3个（第1项、第2项、第3项） </w:t>
            </w:r>
          </w:p>
          <w:p>
            <w:r>
              <w:t xml:space="preserve">六、货物或服务指标要求188个（第3-4项各一个、第5项17个、第6-10项各一个、第11项3个、第12-65项各一个、第66项3个、第67-170项各一个） </w:t>
            </w:r>
          </w:p>
          <w:p>
            <w:r>
              <w:t xml:space="preserve">七、服务要求8个（第5项、第12项、第14项、第16项、第17项、第18项3个） </w:t>
            </w:r>
          </w:p>
          <w:p>
            <w:r>
              <w:t>八、实施要求20个（第1项4个、第2项、第3项4个、第5项、第6项7个、第7项、第8项、第9项）</w:t>
            </w:r>
          </w:p>
        </w:tc>
        <w:tc>
          <w:tcPr>
            <w:tcW w:w="1376" w:type="dxa"/>
          </w:tcPr>
          <w:p>
            <w:r>
              <w:t>区间打分(0-43.8)</w:t>
            </w:r>
          </w:p>
        </w:tc>
      </w:tr>
      <w:tr>
        <w:tblPrEx>
          <w:tblW w:w="5909" w:type="pct"/>
          <w:jc w:val="left"/>
          <w:tblInd w:w="-623" w:type="dxa"/>
          <w:tblCellMar>
            <w:top w:w="0" w:type="dxa"/>
            <w:left w:w="108" w:type="dxa"/>
            <w:bottom w:w="0" w:type="dxa"/>
            <w:right w:w="108" w:type="dxa"/>
          </w:tblCellMar>
        </w:tblPrEx>
        <w:trPr>
          <w:jc w:val="left"/>
        </w:trPr>
        <w:tc>
          <w:tcPr>
            <w:tcW w:w="283" w:type="dxa"/>
            <w:vMerge/>
          </w:tcPr>
          <w:p/>
        </w:tc>
        <w:tc>
          <w:tcPr>
            <w:tcW w:w="715" w:type="dxa"/>
          </w:tcPr>
          <w:p>
            <w:r>
              <w:t>需求理解分析</w:t>
            </w:r>
          </w:p>
        </w:tc>
        <w:tc>
          <w:tcPr>
            <w:tcW w:w="7093" w:type="dxa"/>
          </w:tcPr>
          <w:p>
            <w:r>
              <w:t xml:space="preserve">投标人按照招标文件要求，对本项目的业务内容及系统需求进行详细分析。分析内容应包含本项目所涉及的旅检移动应用、二线非贸监管及企业画像技术服务内容。  </w:t>
            </w:r>
          </w:p>
          <w:p/>
          <w:p>
            <w:r>
              <w:t xml:space="preserve">需求理解分析内容科学周密，完全契合项目需求实际，计划措施针对性可行性强，工作进度安排科学合理，完全契合项目实施要求、实施进度要求及交付要求等，得3.5分；           </w:t>
            </w:r>
          </w:p>
          <w:p>
            <w:r>
              <w:t xml:space="preserve"> 需求理解分析内容完整，可以满足项目需求，针对性可行性较强，但其中一项方案小项有缺陷（缺陷包括：与事实不符、前后内容不一致、逻辑错误、不符合采购需求、内容有缺失等），得2分；     </w:t>
            </w:r>
          </w:p>
          <w:p>
            <w:r>
              <w:t xml:space="preserve">需求理解分析内容有漏项，未完全包括上述几小项内容，或两个及以上方案小项中存在缺陷，得1分； </w:t>
            </w:r>
          </w:p>
          <w:p>
            <w:r>
              <w:t>未提供需求理解分析内容或方案严重脱离项目实际，得0分。</w:t>
            </w:r>
          </w:p>
        </w:tc>
        <w:tc>
          <w:tcPr>
            <w:tcW w:w="1376" w:type="dxa"/>
          </w:tcPr>
          <w:p>
            <w:r>
              <w:t>勾选打分(0;1;2;3.5)</w:t>
            </w:r>
          </w:p>
        </w:tc>
      </w:tr>
      <w:tr>
        <w:tblPrEx>
          <w:tblW w:w="5909" w:type="pct"/>
          <w:jc w:val="left"/>
          <w:tblInd w:w="-623" w:type="dxa"/>
          <w:tblCellMar>
            <w:top w:w="0" w:type="dxa"/>
            <w:left w:w="108" w:type="dxa"/>
            <w:bottom w:w="0" w:type="dxa"/>
            <w:right w:w="108" w:type="dxa"/>
          </w:tblCellMar>
        </w:tblPrEx>
        <w:trPr>
          <w:jc w:val="left"/>
        </w:trPr>
        <w:tc>
          <w:tcPr>
            <w:tcW w:w="283" w:type="dxa"/>
            <w:vMerge/>
          </w:tcPr>
          <w:p/>
        </w:tc>
        <w:tc>
          <w:tcPr>
            <w:tcW w:w="715" w:type="dxa"/>
          </w:tcPr>
          <w:p>
            <w:r>
              <w:t>总体技术方案</w:t>
            </w:r>
          </w:p>
        </w:tc>
        <w:tc>
          <w:tcPr>
            <w:tcW w:w="7093" w:type="dxa"/>
          </w:tcPr>
          <w:p>
            <w:r>
              <w:t xml:space="preserve">投标人应提供符合本项目的总体技术方案，方案内容完整（总体技术方案部分应包含总体架构、应用设计、数据架构、部署设计、安全设计、业务功能设计等内容），方案的合理性、业务符合性、安全性、兼容性强，契合项目需求。并提供应用双活设计方案，描述具体如何实现异地双活运行。   </w:t>
            </w:r>
          </w:p>
          <w:p/>
          <w:p>
            <w:r>
              <w:t xml:space="preserve">总体技术方案内容科学周密，完全契合项目需求实际，计划措施针对性可行性强，工作进度安排科学合理，完全契合项目实施要求、实施进度要求及交付要求等，得3.5分；            </w:t>
            </w:r>
          </w:p>
          <w:p>
            <w:r>
              <w:t xml:space="preserve">总体技术方案内容完整，可以满足项目需求，针对性可行性较强，但其中一项方案小项有缺陷（缺陷包括：与事实不符、前后内容不一致、逻辑错误、不符合采购需求、内容有缺失等），得2分；     </w:t>
            </w:r>
          </w:p>
          <w:p>
            <w:r>
              <w:t xml:space="preserve">总体技术方案内容有漏项，未完全包括上述几小项内容，或两个及以上方案小项中存在缺陷，得1分； </w:t>
            </w:r>
          </w:p>
          <w:p>
            <w:r>
              <w:t>未提供总体技术方案内容或方案严重脱离项目实际，得0分。</w:t>
            </w:r>
          </w:p>
        </w:tc>
        <w:tc>
          <w:tcPr>
            <w:tcW w:w="1376" w:type="dxa"/>
          </w:tcPr>
          <w:p>
            <w:r>
              <w:t>勾选打分(0;1;2;3.5)</w:t>
            </w:r>
          </w:p>
        </w:tc>
      </w:tr>
      <w:tr>
        <w:tblPrEx>
          <w:tblW w:w="5909" w:type="pct"/>
          <w:jc w:val="left"/>
          <w:tblInd w:w="-623" w:type="dxa"/>
          <w:tblCellMar>
            <w:top w:w="0" w:type="dxa"/>
            <w:left w:w="108" w:type="dxa"/>
            <w:bottom w:w="0" w:type="dxa"/>
            <w:right w:w="108" w:type="dxa"/>
          </w:tblCellMar>
        </w:tblPrEx>
        <w:trPr>
          <w:jc w:val="left"/>
        </w:trPr>
        <w:tc>
          <w:tcPr>
            <w:tcW w:w="283" w:type="dxa"/>
            <w:vMerge/>
          </w:tcPr>
          <w:p/>
        </w:tc>
        <w:tc>
          <w:tcPr>
            <w:tcW w:w="715" w:type="dxa"/>
          </w:tcPr>
          <w:p>
            <w:r>
              <w:t>集成方案</w:t>
            </w:r>
          </w:p>
        </w:tc>
        <w:tc>
          <w:tcPr>
            <w:tcW w:w="7093" w:type="dxa"/>
          </w:tcPr>
          <w:p>
            <w:r>
              <w:t xml:space="preserve">投标人提供集成方案，内容应包含业务需求、技术需求、系统需求，相关应用间的详细接口方案、调用关系等。方案详细周密、架构设计科学、细节处理妥当。  </w:t>
            </w:r>
          </w:p>
          <w:p/>
          <w:p>
            <w:r>
              <w:t xml:space="preserve">集成方案内容科学周密，完全契合项目需求实际，计划措施针对性可行性强，工作进度安排科学合理，完全契合项目实施要求、实施进度要求及交付要求等，得3.5分；            </w:t>
            </w:r>
          </w:p>
          <w:p>
            <w:r>
              <w:t xml:space="preserve">集成方案内容完整，可以满足项目需求，针对性可行性较强，但其中一项方案小项有缺陷（缺陷包括：与事实不符、前后内容不一致、逻辑错误、不符合采购需求、内容有缺失等），得2分；     </w:t>
            </w:r>
          </w:p>
          <w:p>
            <w:r>
              <w:t xml:space="preserve">集成方案内容有漏项，未完全包括上述几小项内容，或两个及以上方案小项中存在缺陷，得1分； </w:t>
            </w:r>
          </w:p>
          <w:p>
            <w:r>
              <w:t>未提供集成方案内容或方案严重脱离项目实际，得0分。审标准说明</w:t>
            </w:r>
          </w:p>
        </w:tc>
        <w:tc>
          <w:tcPr>
            <w:tcW w:w="1376" w:type="dxa"/>
          </w:tcPr>
          <w:p>
            <w:r>
              <w:t>勾选打分(0;1;2;3.5)</w:t>
            </w:r>
          </w:p>
        </w:tc>
      </w:tr>
      <w:tr>
        <w:tblPrEx>
          <w:tblW w:w="5909" w:type="pct"/>
          <w:jc w:val="left"/>
          <w:tblInd w:w="-623" w:type="dxa"/>
          <w:tblCellMar>
            <w:top w:w="0" w:type="dxa"/>
            <w:left w:w="108" w:type="dxa"/>
            <w:bottom w:w="0" w:type="dxa"/>
            <w:right w:w="108" w:type="dxa"/>
          </w:tblCellMar>
        </w:tblPrEx>
        <w:trPr>
          <w:jc w:val="left"/>
        </w:trPr>
        <w:tc>
          <w:tcPr>
            <w:tcW w:w="283" w:type="dxa"/>
            <w:vMerge/>
          </w:tcPr>
          <w:p/>
        </w:tc>
        <w:tc>
          <w:tcPr>
            <w:tcW w:w="715" w:type="dxa"/>
          </w:tcPr>
          <w:p>
            <w:r>
              <w:t>培训方案</w:t>
            </w:r>
          </w:p>
        </w:tc>
        <w:tc>
          <w:tcPr>
            <w:tcW w:w="7093" w:type="dxa"/>
          </w:tcPr>
          <w:p>
            <w:r>
              <w:t xml:space="preserve">根据招标文件要求制定科学、合理的培训方案，包括培训的类别、培训人员与人数、培训课件、方式、时间、培训教材（纸质版和电子版）、师资力量及教师安排等内容。  </w:t>
            </w:r>
          </w:p>
          <w:p/>
          <w:p>
            <w:r>
              <w:t xml:space="preserve">培训方案内容科学周密，完全契合项目需求实际，计划措施针对性可行性强，工作进度安排科学合理，完全契合项目实施要求、实施进度要求及交付要求等，得3.5分；            </w:t>
            </w:r>
          </w:p>
          <w:p>
            <w:r>
              <w:t xml:space="preserve">培训方案内容完整，可以满足项目需求，针对性可行性较强，但其中一项方案小项有缺陷（缺陷包括：与事实不符、前后内容不一致、逻辑错误、不符合采购需求、内容有缺失等），得2分；     </w:t>
            </w:r>
          </w:p>
          <w:p>
            <w:r>
              <w:t xml:space="preserve">培训方案内容有漏项，未完全包括上述几小项内容，或两个及以上方案小项中存在缺陷，得1分； </w:t>
            </w:r>
          </w:p>
          <w:p>
            <w:r>
              <w:t>未提供培训方案内容或方案严重脱离项目实际，得0分。</w:t>
            </w:r>
          </w:p>
        </w:tc>
        <w:tc>
          <w:tcPr>
            <w:tcW w:w="1376" w:type="dxa"/>
          </w:tcPr>
          <w:p>
            <w:r>
              <w:t>勾选打分(0;1;2;3.5)</w:t>
            </w:r>
          </w:p>
        </w:tc>
      </w:tr>
      <w:tr>
        <w:tblPrEx>
          <w:tblW w:w="5909" w:type="pct"/>
          <w:jc w:val="left"/>
          <w:tblInd w:w="-623" w:type="dxa"/>
          <w:tblCellMar>
            <w:top w:w="0" w:type="dxa"/>
            <w:left w:w="108" w:type="dxa"/>
            <w:bottom w:w="0" w:type="dxa"/>
            <w:right w:w="108" w:type="dxa"/>
          </w:tblCellMar>
        </w:tblPrEx>
        <w:trPr>
          <w:jc w:val="left"/>
        </w:trPr>
        <w:tc>
          <w:tcPr>
            <w:tcW w:w="283" w:type="dxa"/>
            <w:vMerge/>
          </w:tcPr>
          <w:p/>
        </w:tc>
        <w:tc>
          <w:tcPr>
            <w:tcW w:w="715" w:type="dxa"/>
          </w:tcPr>
          <w:p>
            <w:r>
              <w:t>实施方案</w:t>
            </w:r>
          </w:p>
        </w:tc>
        <w:tc>
          <w:tcPr>
            <w:tcW w:w="7093" w:type="dxa"/>
          </w:tcPr>
          <w:p>
            <w:r>
              <w:t xml:space="preserve">投标人结合项目特点提供实施方案，内容包括项目实施过程控制、项目实施过程文档管理、项目实施组织架构、项目实施进度安排、项目验收安排等内容。  </w:t>
            </w:r>
          </w:p>
          <w:p/>
          <w:p>
            <w:r>
              <w:t xml:space="preserve">实施方案内容科学周密，完全契合项目需求实际，计划措施针对性可行性强，工作进度安排科学合理，完全契合项目实施要求、实施进度要求及交付要求等，得3分；            </w:t>
            </w:r>
          </w:p>
          <w:p>
            <w:r>
              <w:t xml:space="preserve">实施方案内容完整，可以满足项目需求，针对性可行性较强，但其中一项方案小项有缺陷（缺陷包括：与事实不符、前后内容不一致、逻辑错误、不符合采购需求、内容有缺失等），得2分；    </w:t>
            </w:r>
          </w:p>
          <w:p>
            <w:r>
              <w:t xml:space="preserve">实施方案内容有漏项，未完全包括上述几小项内容，或两个及以上方案小项中存在缺陷，得1分； </w:t>
            </w:r>
          </w:p>
          <w:p>
            <w:r>
              <w:t>未提供实施方案内容或方案严重脱离项目实际，得0分。</w:t>
            </w:r>
          </w:p>
        </w:tc>
        <w:tc>
          <w:tcPr>
            <w:tcW w:w="1376" w:type="dxa"/>
          </w:tcPr>
          <w:p>
            <w:r>
              <w:t>勾选打分(0;1;2;3)</w:t>
            </w:r>
          </w:p>
        </w:tc>
      </w:tr>
      <w:tr>
        <w:tblPrEx>
          <w:tblW w:w="5909" w:type="pct"/>
          <w:jc w:val="left"/>
          <w:tblInd w:w="-623" w:type="dxa"/>
          <w:tblCellMar>
            <w:top w:w="0" w:type="dxa"/>
            <w:left w:w="108" w:type="dxa"/>
            <w:bottom w:w="0" w:type="dxa"/>
            <w:right w:w="108" w:type="dxa"/>
          </w:tblCellMar>
        </w:tblPrEx>
        <w:trPr>
          <w:jc w:val="left"/>
        </w:trPr>
        <w:tc>
          <w:tcPr>
            <w:tcW w:w="895" w:type="dxa"/>
          </w:tcPr>
          <w:p>
            <w:r>
              <w:t>服务部分</w:t>
            </w:r>
          </w:p>
        </w:tc>
        <w:tc>
          <w:tcPr>
            <w:tcW w:w="715" w:type="dxa"/>
          </w:tcPr>
          <w:p>
            <w:r>
              <w:t>售后服务方案</w:t>
            </w:r>
          </w:p>
        </w:tc>
        <w:tc>
          <w:tcPr>
            <w:tcW w:w="7093" w:type="dxa"/>
          </w:tcPr>
          <w:p>
            <w:r>
              <w:t xml:space="preserve">投标人应提供符合本项目实际的售后服务方案，方案应至少包含技术支持，服务流程，运维保障及相关服务承诺等内容。  </w:t>
            </w:r>
          </w:p>
          <w:p/>
          <w:p>
            <w:r>
              <w:t xml:space="preserve">售后服务方案内容科学周密，完全契合项目需求实际，计划措施针对性可行性强，工作进度安排科学合理，完全契合项目实施要求、实施进度要求及交付要求等，得3分；            </w:t>
            </w:r>
          </w:p>
          <w:p>
            <w:r>
              <w:t xml:space="preserve">售后服务方案内容完整，可以满足项目需求，针对性可行性较强，但其中一项方案小项有缺陷（缺陷包括：与事实不符、前后内容不一致、逻辑错误、不符合采购需求、内容有缺失等），得2分；     </w:t>
            </w:r>
          </w:p>
          <w:p>
            <w:r>
              <w:t xml:space="preserve">售后服务方案内容有漏项，未完全包括上述几小项内容，或两个及以上方案小项中存在缺陷，得1分； </w:t>
            </w:r>
          </w:p>
          <w:p>
            <w:r>
              <w:t>未提供售后服务方案内容或方案严重脱离项目实际，得0分。</w:t>
            </w:r>
          </w:p>
        </w:tc>
        <w:tc>
          <w:tcPr>
            <w:tcW w:w="1376" w:type="dxa"/>
          </w:tcPr>
          <w:p>
            <w:r>
              <w:t>勾选打分(0;1;2;3)</w:t>
            </w:r>
          </w:p>
        </w:tc>
      </w:tr>
    </w:tbl>
    <w:p>
      <w:pPr>
        <w:pStyle w:val="1414"/>
      </w:pPr>
      <w:bookmarkEnd w:id="52"/>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53"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53"/>
    </w:p>
    <w:p>
      <w:pPr>
        <w:spacing w:line="560" w:lineRule="exact"/>
        <w:ind w:left="153" w:leftChars="73"/>
        <w:jc w:val="center"/>
        <w:rPr>
          <w:rFonts w:ascii="宋体"/>
          <w:color w:val="000000"/>
          <w:szCs w:val="21"/>
        </w:rPr>
      </w:pPr>
      <w:bookmarkStart w:id="54" w:name="插入_TBWJGS_CONTRACT"/>
      <w:r>
        <w:rPr>
          <w:rFonts w:ascii="宋体" w:hint="eastAsia"/>
          <w:color w:val="000000"/>
          <w:szCs w:val="21"/>
        </w:rPr>
        <w:t>海关智慧监管平台海南自贸港应用软件建设项目（二期）合同文本</w:t>
      </w:r>
    </w:p>
    <w:p>
      <w:pPr>
        <w:spacing w:line="560" w:lineRule="exact"/>
        <w:rPr>
          <w:rFonts w:ascii="宋体"/>
          <w:color w:val="000000"/>
          <w:szCs w:val="21"/>
        </w:rPr>
      </w:pPr>
    </w:p>
    <w:p>
      <w:pPr>
        <w:spacing w:line="560" w:lineRule="exact"/>
        <w:rPr>
          <w:rFonts w:ascii="宋体"/>
          <w:color w:val="000000"/>
          <w:szCs w:val="21"/>
        </w:rPr>
      </w:pPr>
      <w:r>
        <w:rPr>
          <w:rFonts w:ascii="宋体" w:hint="eastAsia"/>
          <w:color w:val="000000"/>
          <w:szCs w:val="21"/>
        </w:rPr>
        <w:t>甲方（采购人）:</w:t>
      </w:r>
    </w:p>
    <w:p>
      <w:pPr>
        <w:spacing w:line="560" w:lineRule="exact"/>
        <w:rPr>
          <w:rFonts w:ascii="宋体"/>
          <w:color w:val="000000"/>
          <w:szCs w:val="21"/>
        </w:rPr>
      </w:pPr>
      <w:r>
        <w:rPr>
          <w:rFonts w:ascii="宋体" w:hint="eastAsia"/>
          <w:color w:val="000000"/>
          <w:szCs w:val="21"/>
        </w:rPr>
        <w:t xml:space="preserve">乙方（供应商）:                                  </w:t>
      </w:r>
    </w:p>
    <w:p>
      <w:pPr>
        <w:spacing w:line="560" w:lineRule="exact"/>
        <w:ind w:firstLine="420" w:firstLineChars="200"/>
        <w:rPr>
          <w:rFonts w:ascii="宋体"/>
          <w:color w:val="000000"/>
          <w:szCs w:val="21"/>
        </w:rPr>
      </w:pPr>
      <w:r>
        <w:rPr>
          <w:rFonts w:ascii="宋体" w:hint="eastAsia"/>
          <w:color w:val="000000"/>
          <w:szCs w:val="21"/>
        </w:rPr>
        <w:t>根据</w:t>
      </w:r>
      <w:r>
        <w:rPr>
          <w:rFonts w:ascii="宋体" w:hint="eastAsia"/>
          <w:snapToGrid w:val="0"/>
          <w:color w:val="000000"/>
          <w:kern w:val="0"/>
          <w:szCs w:val="21"/>
        </w:rPr>
        <w:t>《中华人民共和国民法典》、</w:t>
      </w:r>
      <w:r>
        <w:rPr>
          <w:rFonts w:ascii="宋体" w:hint="eastAsia"/>
          <w:color w:val="000000"/>
          <w:szCs w:val="21"/>
        </w:rPr>
        <w:t>《中华人民共和国政府采购法》等相关法律规定，甲方对_海关智慧监管平台海南自贸港应用软件建设_采购项目进行招标采购（招标编号：________ ），确定乙方为中标人，现依照招标文件、投标文件等相关文件的内容，双方达成如下协议：</w:t>
      </w:r>
    </w:p>
    <w:p>
      <w:pPr>
        <w:spacing w:line="560" w:lineRule="exact"/>
        <w:ind w:firstLine="420" w:firstLineChars="200"/>
        <w:rPr>
          <w:rFonts w:ascii="宋体"/>
          <w:b/>
          <w:bCs/>
          <w:color w:val="000000"/>
          <w:szCs w:val="21"/>
        </w:rPr>
      </w:pPr>
      <w:r>
        <w:rPr>
          <w:rFonts w:ascii="宋体" w:hint="eastAsia"/>
          <w:b/>
          <w:bCs/>
          <w:color w:val="000000"/>
          <w:szCs w:val="21"/>
        </w:rPr>
        <w:t>第一条 采购清单及报价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项目名称</w:t>
            </w:r>
          </w:p>
        </w:tc>
        <w:tc>
          <w:tcPr>
            <w:tcW w:w="4929" w:type="dxa"/>
            <w:gridSpan w:val="4"/>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数量（人天数）</w:t>
            </w:r>
          </w:p>
        </w:tc>
        <w:tc>
          <w:tcPr>
            <w:tcW w:w="1770"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单价（元）</w:t>
            </w:r>
          </w:p>
        </w:tc>
        <w:tc>
          <w:tcPr>
            <w:tcW w:w="1219"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合计（元）</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需求分析及系统设计</w:t>
            </w: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程序开发</w:t>
            </w: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软件测试</w:t>
            </w: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w:t>
            </w:r>
          </w:p>
        </w:tc>
        <w:tc>
          <w:tcPr>
            <w:tcW w:w="177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19" w:type="dxa"/>
            <w:vMerge/>
            <w:tcBorders>
              <w:top w:val="single" w:sz="4" w:space="0" w:color="auto"/>
              <w:left w:val="single" w:sz="4" w:space="0" w:color="auto"/>
              <w:bottom w:val="single" w:sz="4" w:space="0" w:color="auto"/>
              <w:right w:val="single" w:sz="4" w:space="0" w:color="auto"/>
              <w:tl2br w:val="nil"/>
              <w:tr2bl w:val="nil"/>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w:t>
            </w: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w:t>
            </w: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r>
      <w:tr>
        <w:tblPrEx>
          <w:tblW w:w="9061"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r>
              <w:rPr>
                <w:rFonts w:ascii="宋体" w:hint="eastAsia"/>
                <w:b/>
                <w:bCs/>
                <w:color w:val="000000"/>
                <w:szCs w:val="21"/>
              </w:rPr>
              <w:t xml:space="preserve">                                                  实施服务</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u w:val="single"/>
              </w:rPr>
            </w:pPr>
            <w:r>
              <w:rPr>
                <w:rFonts w:ascii="宋体" w:hint="eastAsia"/>
                <w:b/>
                <w:bCs/>
                <w:color w:val="000000"/>
                <w:szCs w:val="21"/>
              </w:rPr>
              <w:t xml:space="preserve">                                     </w:t>
            </w:r>
          </w:p>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 xml:space="preserve">                                                                  </w:t>
            </w:r>
          </w:p>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 xml:space="preserve">                                                                                                        </w:t>
            </w: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售后服务</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其他</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rPr>
            </w:pPr>
            <w:r>
              <w:rPr>
                <w:rFonts w:ascii="宋体" w:hint="eastAsia"/>
                <w:b/>
                <w:bCs/>
                <w:color w:val="000000"/>
                <w:szCs w:val="21"/>
              </w:rPr>
              <w:t xml:space="preserve">                                            合同总价</w:t>
            </w: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560" w:lineRule="exact"/>
              <w:jc w:val="center"/>
              <w:rPr>
                <w:rFonts w:ascii="宋体"/>
                <w:b/>
                <w:bCs/>
                <w:color w:val="000000"/>
                <w:szCs w:val="21"/>
                <w:highlight w:val="yellow"/>
              </w:rPr>
            </w:pPr>
          </w:p>
        </w:tc>
      </w:tr>
    </w:tbl>
    <w:p>
      <w:pPr>
        <w:spacing w:line="560" w:lineRule="exact"/>
        <w:ind w:firstLine="420" w:firstLineChars="200"/>
        <w:rPr>
          <w:rFonts w:ascii="宋体"/>
          <w:b/>
          <w:bCs/>
          <w:color w:val="000000"/>
          <w:szCs w:val="21"/>
        </w:rPr>
      </w:pPr>
      <w:r>
        <w:rPr>
          <w:rFonts w:ascii="宋体" w:hint="eastAsia"/>
          <w:b/>
          <w:bCs/>
          <w:color w:val="000000"/>
          <w:szCs w:val="21"/>
        </w:rPr>
        <w:t>第二条 合同总价款</w:t>
      </w:r>
    </w:p>
    <w:p>
      <w:pPr>
        <w:spacing w:line="560" w:lineRule="exact"/>
        <w:ind w:firstLine="420" w:firstLineChars="200"/>
        <w:rPr>
          <w:rFonts w:ascii="宋体"/>
          <w:color w:val="000000"/>
          <w:szCs w:val="21"/>
        </w:rPr>
      </w:pPr>
      <w:r>
        <w:rPr>
          <w:rFonts w:ascii="宋体" w:hint="eastAsia"/>
          <w:color w:val="000000"/>
          <w:szCs w:val="21"/>
        </w:rPr>
        <w:t>本合同总价款（人民币大写） __________元（含税）。除上述款项外，乙方不得向甲方（用户）主张其他任何费用，详见附件分项报价表。</w:t>
      </w:r>
    </w:p>
    <w:p>
      <w:pPr>
        <w:spacing w:line="560" w:lineRule="exact"/>
        <w:ind w:firstLine="420" w:firstLineChars="200"/>
        <w:rPr>
          <w:rFonts w:ascii="宋体"/>
          <w:b/>
          <w:bCs/>
          <w:color w:val="000000"/>
          <w:szCs w:val="21"/>
        </w:rPr>
      </w:pPr>
      <w:r>
        <w:rPr>
          <w:rFonts w:ascii="宋体" w:hint="eastAsia"/>
          <w:b/>
          <w:bCs/>
          <w:color w:val="000000"/>
          <w:szCs w:val="21"/>
        </w:rPr>
        <w:t>第三条 付款条件</w:t>
      </w:r>
    </w:p>
    <w:p>
      <w:pPr>
        <w:spacing w:line="560" w:lineRule="exact"/>
        <w:ind w:firstLine="420" w:firstLineChars="200"/>
        <w:rPr>
          <w:rFonts w:ascii="宋体"/>
          <w:color w:val="000000"/>
          <w:szCs w:val="21"/>
        </w:rPr>
      </w:pPr>
      <w:r>
        <w:rPr>
          <w:rFonts w:ascii="宋体" w:hint="eastAsia"/>
          <w:color w:val="000000"/>
          <w:szCs w:val="21"/>
        </w:rPr>
        <w:t>（一）本合同以人民币付款。</w:t>
      </w:r>
    </w:p>
    <w:p>
      <w:pPr>
        <w:spacing w:line="560" w:lineRule="exact"/>
        <w:ind w:firstLine="420" w:firstLineChars="200"/>
        <w:rPr>
          <w:rFonts w:ascii="宋体"/>
          <w:color w:val="000000"/>
          <w:szCs w:val="21"/>
        </w:rPr>
      </w:pPr>
      <w:r>
        <w:rPr>
          <w:rFonts w:ascii="宋体" w:hint="eastAsia"/>
          <w:color w:val="000000"/>
          <w:szCs w:val="21"/>
        </w:rPr>
        <w:t>（二）付款办法：</w:t>
      </w:r>
    </w:p>
    <w:p>
      <w:pPr>
        <w:spacing w:line="560" w:lineRule="exact"/>
        <w:ind w:firstLine="420" w:firstLineChars="200"/>
        <w:rPr>
          <w:rFonts w:ascii="宋体"/>
          <w:color w:val="000000"/>
          <w:szCs w:val="21"/>
        </w:rPr>
      </w:pPr>
      <w:r>
        <w:rPr>
          <w:rFonts w:ascii="宋体" w:hint="eastAsia"/>
          <w:color w:val="000000"/>
          <w:szCs w:val="21"/>
        </w:rPr>
        <w:t>1.</w:t>
      </w:r>
      <w:r>
        <w:rPr>
          <w:rFonts w:ascii="宋体" w:cs="宋体" w:hint="eastAsia"/>
          <w:szCs w:val="21"/>
          <w:lang w:bidi="en-US"/>
        </w:rPr>
        <w:t>合同签订后，</w:t>
      </w:r>
      <w:r>
        <w:rPr>
          <w:rFonts w:ascii="宋体" w:hint="eastAsia"/>
          <w:color w:val="000000"/>
          <w:szCs w:val="21"/>
        </w:rPr>
        <w:t>乙方向甲方交付履约保证金且</w:t>
      </w:r>
      <w:r>
        <w:rPr>
          <w:rFonts w:ascii="宋体" w:cs="宋体" w:hint="eastAsia"/>
          <w:color w:val="000000"/>
          <w:szCs w:val="21"/>
          <w:lang w:bidi="en-US"/>
        </w:rPr>
        <w:t>完成需求分析阶段工作通过甲方认可，</w:t>
      </w:r>
      <w:r>
        <w:rPr>
          <w:rFonts w:ascii="宋体" w:hint="eastAsia"/>
          <w:color w:val="000000"/>
          <w:szCs w:val="21"/>
        </w:rPr>
        <w:t>并提交下列单据之日起10个工作日内，甲方向乙方支付合同总价</w:t>
      </w:r>
      <w:r>
        <w:rPr>
          <w:rFonts w:ascii="宋体" w:hint="eastAsia"/>
          <w:color w:val="000000"/>
          <w:szCs w:val="21"/>
          <w:highlight w:val="yellow"/>
        </w:rPr>
        <w:t>__35__%</w:t>
      </w:r>
      <w:r>
        <w:rPr>
          <w:rFonts w:ascii="宋体" w:hint="eastAsia"/>
          <w:color w:val="000000"/>
          <w:szCs w:val="21"/>
        </w:rPr>
        <w:t>合同款（金额）。</w:t>
      </w:r>
    </w:p>
    <w:p>
      <w:pPr>
        <w:spacing w:line="560" w:lineRule="exact"/>
        <w:ind w:firstLine="420" w:firstLineChars="200"/>
        <w:rPr>
          <w:rFonts w:ascii="宋体"/>
          <w:color w:val="000000"/>
          <w:szCs w:val="21"/>
        </w:rPr>
      </w:pPr>
      <w:r>
        <w:rPr>
          <w:rFonts w:ascii="宋体" w:hint="eastAsia"/>
          <w:color w:val="000000"/>
          <w:szCs w:val="21"/>
        </w:rPr>
        <w:t>乙方提交单据：合同（正文部分复印件）、中标通知书或成交通知书</w:t>
      </w:r>
      <w:r>
        <w:rPr>
          <w:rFonts w:ascii="宋体"/>
          <w:color w:val="000000"/>
          <w:szCs w:val="21"/>
        </w:rPr>
        <w:t>(复印件</w:t>
      </w:r>
      <w:r>
        <w:rPr>
          <w:rFonts w:ascii="宋体" w:hint="eastAsia"/>
          <w:color w:val="000000"/>
          <w:szCs w:val="21"/>
        </w:rPr>
        <w:t>）、发票（原件）、履约保证金单据。</w:t>
      </w:r>
    </w:p>
    <w:p>
      <w:pPr>
        <w:spacing w:line="560" w:lineRule="exact"/>
        <w:ind w:firstLine="420" w:firstLineChars="200"/>
        <w:rPr>
          <w:rFonts w:ascii="宋体"/>
          <w:color w:val="000000"/>
          <w:szCs w:val="21"/>
        </w:rPr>
      </w:pPr>
      <w:r>
        <w:rPr>
          <w:rFonts w:ascii="宋体" w:hint="eastAsia"/>
          <w:color w:val="000000"/>
          <w:szCs w:val="21"/>
        </w:rPr>
        <w:t>2.乙方完成全部服务内容，经甲方组织的合同验收通过，并向甲方提交下列单据之日起10个工作日内，甲方向乙方支付合同总价</w:t>
      </w:r>
      <w:r>
        <w:rPr>
          <w:rFonts w:ascii="宋体" w:hint="eastAsia"/>
          <w:color w:val="000000"/>
          <w:szCs w:val="21"/>
          <w:highlight w:val="yellow"/>
        </w:rPr>
        <w:t>__65__%</w:t>
      </w:r>
      <w:r>
        <w:rPr>
          <w:rFonts w:ascii="宋体" w:hint="eastAsia"/>
          <w:color w:val="000000"/>
          <w:szCs w:val="21"/>
        </w:rPr>
        <w:t>合同款（金额）。</w:t>
      </w:r>
    </w:p>
    <w:p>
      <w:pPr>
        <w:spacing w:line="560" w:lineRule="exact"/>
        <w:ind w:firstLine="420" w:firstLineChars="200"/>
        <w:rPr>
          <w:rFonts w:ascii="宋体"/>
          <w:color w:val="000000"/>
          <w:szCs w:val="21"/>
        </w:rPr>
      </w:pPr>
      <w:r>
        <w:rPr>
          <w:rFonts w:ascii="宋体" w:hint="eastAsia"/>
          <w:color w:val="000000"/>
          <w:szCs w:val="21"/>
        </w:rPr>
        <w:t>乙方提交单据：合同（正文部分复印件）、中标通知书（或成交通知书）、发票（原件）、合同验收合格报告（原件）。</w:t>
      </w:r>
    </w:p>
    <w:p>
      <w:pPr>
        <w:spacing w:line="560" w:lineRule="exact"/>
        <w:ind w:firstLine="420" w:firstLineChars="200"/>
        <w:rPr>
          <w:rFonts w:ascii="宋体"/>
          <w:color w:val="000000"/>
          <w:szCs w:val="21"/>
        </w:rPr>
      </w:pPr>
      <w:r>
        <w:rPr>
          <w:rFonts w:ascii="宋体" w:hint="eastAsia"/>
          <w:color w:val="000000"/>
          <w:szCs w:val="21"/>
        </w:rPr>
        <w:t>3.因财政集中支付延误时间不计算在内，乙方提交付款单据延迟、缺失及账户信息错误的，甲方有权相应顺延付款期限，且甲方不承担延误付款责任。</w:t>
      </w:r>
    </w:p>
    <w:p>
      <w:pPr>
        <w:spacing w:line="560" w:lineRule="exact"/>
        <w:ind w:firstLine="420" w:firstLineChars="200"/>
        <w:rPr>
          <w:rFonts w:ascii="宋体"/>
          <w:color w:val="000000"/>
          <w:szCs w:val="21"/>
        </w:rPr>
      </w:pPr>
      <w:r>
        <w:rPr>
          <w:rFonts w:ascii="宋体" w:hint="eastAsia"/>
          <w:color w:val="000000"/>
          <w:szCs w:val="21"/>
        </w:rPr>
        <w:t>4.甲方因财政预算或集中支付延误等原因而造成付款过程超过约定时间的，不视为逾期付款，甲方不承担相关责任；乙方提交付款单据延迟、缺失的，甲方有权相应顺延付款期限，且甲方不承担延误付款责任；如乙方开具的发票不合法或无法核销，乙方应赔偿因此给甲方造成的一切损失。</w:t>
      </w:r>
    </w:p>
    <w:p>
      <w:pPr>
        <w:spacing w:line="560" w:lineRule="exact"/>
        <w:ind w:firstLine="420" w:firstLineChars="200"/>
        <w:rPr>
          <w:rFonts w:ascii="宋体"/>
          <w:color w:val="000000"/>
          <w:szCs w:val="21"/>
        </w:rPr>
      </w:pPr>
      <w:r>
        <w:rPr>
          <w:rFonts w:ascii="宋体" w:hint="eastAsia"/>
          <w:color w:val="000000"/>
          <w:szCs w:val="21"/>
        </w:rPr>
        <w:t>5.合同价款通过银行转账的方式向乙方支付，乙方须确保于本合同中指定的收款账户信息正确无误，否则，因提供有误导致甲方错误转账、无法办理转账手续的全部责任均由乙方自行承担；乙方收款账户发生变更的，应不迟于甲方付款前三个工作日书面通知甲方，否则造成甲方迟延付款等全部责任由乙方自行承担。</w:t>
      </w:r>
    </w:p>
    <w:p>
      <w:pPr>
        <w:spacing w:line="560" w:lineRule="exact"/>
        <w:ind w:firstLine="420" w:firstLineChars="200"/>
        <w:rPr>
          <w:rFonts w:ascii="宋体"/>
          <w:color w:val="000000"/>
          <w:szCs w:val="21"/>
        </w:rPr>
      </w:pPr>
      <w:r>
        <w:rPr>
          <w:rFonts w:ascii="宋体" w:hint="eastAsia"/>
          <w:color w:val="000000"/>
          <w:szCs w:val="21"/>
        </w:rPr>
        <w:t>6.如乙方根据本合同规定有责任向甲方支付违约金或其它赔偿时，</w:t>
      </w:r>
      <w:r>
        <w:rPr>
          <w:rFonts w:ascii="宋体"/>
          <w:color w:val="000000"/>
          <w:szCs w:val="21"/>
        </w:rPr>
        <w:t>经双方书面确认，</w:t>
      </w:r>
      <w:r>
        <w:rPr>
          <w:rFonts w:ascii="宋体" w:hint="eastAsia"/>
          <w:color w:val="000000"/>
          <w:szCs w:val="21"/>
        </w:rPr>
        <w:t>甲方有权直接从上述应付款中扣除违约金及赔偿的等额款项。</w:t>
      </w:r>
    </w:p>
    <w:p>
      <w:pPr>
        <w:spacing w:line="560" w:lineRule="exact"/>
        <w:ind w:firstLine="420" w:firstLineChars="200"/>
        <w:rPr>
          <w:rFonts w:ascii="宋体"/>
          <w:color w:val="000000"/>
          <w:szCs w:val="21"/>
        </w:rPr>
      </w:pPr>
      <w:r>
        <w:rPr>
          <w:rFonts w:ascii="宋体" w:hint="eastAsia"/>
          <w:color w:val="000000"/>
          <w:szCs w:val="21"/>
        </w:rPr>
        <w:t>7.因采购计划变更等政策原因取消采购计划而致合同被迫中止的，甲方不承担任何赔偿责任。</w:t>
      </w:r>
    </w:p>
    <w:p>
      <w:pPr>
        <w:spacing w:line="560" w:lineRule="exact"/>
        <w:ind w:firstLine="420" w:firstLineChars="200"/>
        <w:rPr>
          <w:rFonts w:ascii="宋体"/>
          <w:b/>
          <w:bCs/>
          <w:color w:val="000000"/>
          <w:szCs w:val="21"/>
        </w:rPr>
      </w:pPr>
      <w:r>
        <w:rPr>
          <w:rFonts w:ascii="宋体" w:hint="eastAsia"/>
          <w:b/>
          <w:bCs/>
          <w:color w:val="000000"/>
          <w:szCs w:val="21"/>
        </w:rPr>
        <w:t>第四条 履约保证金</w:t>
      </w:r>
    </w:p>
    <w:p>
      <w:pPr>
        <w:pStyle w:val="242"/>
        <w:spacing w:line="560" w:lineRule="exact"/>
        <w:ind w:firstLine="420" w:firstLineChars="200"/>
        <w:rPr>
          <w:rFonts w:ascii="宋体" w:eastAsia="宋体"/>
          <w:color w:val="000000"/>
          <w:sz w:val="21"/>
          <w:szCs w:val="21"/>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个工作日内，乙方须按合同金额的____%向甲方交纳履约保证金。如果乙方未按照约定时间交付履约保证金的，甲方有权单方面解除合同。</w:t>
      </w:r>
    </w:p>
    <w:p>
      <w:pPr>
        <w:pStyle w:val="5051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ascii="宋体" w:cs="微软雅黑"/>
                <w:snapToGrid w:val="0"/>
                <w:kern w:val="0"/>
                <w:szCs w:val="21"/>
              </w:rPr>
            </w:pPr>
            <w:r>
              <w:rPr>
                <w:rFonts w:ascii="宋体" w:cs="微软雅黑" w:hint="eastAsia"/>
                <w:snapToGrid w:val="0"/>
                <w:kern w:val="0"/>
                <w:szCs w:val="21"/>
              </w:rPr>
              <w:t>收款单位全称</w:t>
            </w:r>
          </w:p>
        </w:tc>
        <w:tc>
          <w:tcPr>
            <w:tcW w:w="5469" w:type="dxa"/>
            <w:vAlign w:val="center"/>
          </w:tcPr>
          <w:p>
            <w:pPr>
              <w:pStyle w:val="50510"/>
              <w:autoSpaceDN w:val="0"/>
              <w:spacing w:line="560" w:lineRule="exact"/>
              <w:ind w:firstLine="420" w:firstLineChars="200"/>
              <w:jc w:val="left"/>
              <w:rPr>
                <w:rFonts w:ascii="宋体" w:cs="微软雅黑"/>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ascii="宋体" w:cs="微软雅黑"/>
                <w:snapToGrid w:val="0"/>
                <w:kern w:val="0"/>
                <w:szCs w:val="21"/>
              </w:rPr>
            </w:pPr>
            <w:r>
              <w:rPr>
                <w:rFonts w:ascii="宋体" w:cs="微软雅黑" w:hint="eastAsia"/>
                <w:snapToGrid w:val="0"/>
                <w:kern w:val="0"/>
                <w:szCs w:val="21"/>
              </w:rPr>
              <w:t>开户银行</w:t>
            </w:r>
          </w:p>
        </w:tc>
        <w:tc>
          <w:tcPr>
            <w:tcW w:w="5469" w:type="dxa"/>
            <w:vAlign w:val="center"/>
          </w:tcPr>
          <w:p>
            <w:pPr>
              <w:pStyle w:val="50510"/>
              <w:autoSpaceDN w:val="0"/>
              <w:spacing w:line="560" w:lineRule="exact"/>
              <w:ind w:firstLine="420" w:firstLineChars="200"/>
              <w:jc w:val="left"/>
              <w:rPr>
                <w:rFonts w:ascii="宋体" w:cs="微软雅黑"/>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ascii="宋体" w:cs="微软雅黑"/>
                <w:snapToGrid w:val="0"/>
                <w:kern w:val="0"/>
                <w:szCs w:val="21"/>
              </w:rPr>
            </w:pPr>
            <w:r>
              <w:rPr>
                <w:rFonts w:ascii="宋体" w:cs="微软雅黑" w:hint="eastAsia"/>
                <w:snapToGrid w:val="0"/>
                <w:kern w:val="0"/>
                <w:szCs w:val="21"/>
              </w:rPr>
              <w:t>账号</w:t>
            </w:r>
          </w:p>
        </w:tc>
        <w:tc>
          <w:tcPr>
            <w:tcW w:w="5469" w:type="dxa"/>
            <w:vAlign w:val="center"/>
          </w:tcPr>
          <w:p>
            <w:pPr>
              <w:pStyle w:val="50510"/>
              <w:autoSpaceDN w:val="0"/>
              <w:spacing w:line="560" w:lineRule="exact"/>
              <w:ind w:firstLine="420" w:firstLineChars="200"/>
              <w:jc w:val="left"/>
              <w:rPr>
                <w:rFonts w:ascii="宋体" w:cs="微软雅黑"/>
                <w:snapToGrid w:val="0"/>
                <w:kern w:val="0"/>
                <w:szCs w:val="21"/>
              </w:rPr>
            </w:pPr>
          </w:p>
        </w:tc>
      </w:tr>
    </w:tbl>
    <w:p>
      <w:pPr>
        <w:pStyle w:val="242"/>
        <w:spacing w:line="560" w:lineRule="exact"/>
        <w:ind w:firstLine="420" w:firstLineChars="200"/>
        <w:rPr>
          <w:rFonts w:ascii="宋体" w:eastAsia="宋体"/>
          <w:color w:val="000000"/>
          <w:sz w:val="21"/>
          <w:szCs w:val="21"/>
        </w:rPr>
      </w:pPr>
      <w:r>
        <w:rPr>
          <w:rFonts w:ascii="宋体" w:eastAsia="宋体" w:hint="eastAsia"/>
          <w:color w:val="000000"/>
          <w:sz w:val="21"/>
          <w:szCs w:val="21"/>
        </w:rPr>
        <w:t>（二）履约保证金以银行保函、银行电汇向甲方提供。</w:t>
      </w:r>
    </w:p>
    <w:p>
      <w:pPr>
        <w:pStyle w:val="242"/>
        <w:spacing w:line="560" w:lineRule="exact"/>
        <w:ind w:firstLine="420" w:firstLineChars="200"/>
        <w:rPr>
          <w:rFonts w:ascii="宋体" w:eastAsia="宋体"/>
          <w:color w:val="000000"/>
          <w:sz w:val="21"/>
          <w:szCs w:val="21"/>
        </w:rPr>
      </w:pPr>
      <w:r>
        <w:rPr>
          <w:rFonts w:ascii="宋体" w:eastAsia="宋体" w:hint="eastAsia"/>
          <w:color w:val="000000"/>
          <w:sz w:val="21"/>
          <w:szCs w:val="21"/>
        </w:rPr>
        <w:t>（三）履约保证金有效期：自提交保证金之日起至项目</w:t>
      </w:r>
      <w:r>
        <w:rPr>
          <w:rFonts w:ascii="宋体" w:eastAsia="宋体"/>
          <w:color w:val="000000"/>
          <w:sz w:val="21"/>
          <w:szCs w:val="21"/>
        </w:rPr>
        <w:t>服务</w:t>
      </w:r>
      <w:r>
        <w:rPr>
          <w:rFonts w:ascii="宋体" w:eastAsia="宋体" w:hint="eastAsia"/>
          <w:color w:val="000000"/>
          <w:sz w:val="21"/>
          <w:szCs w:val="21"/>
        </w:rPr>
        <w:t>期满</w:t>
      </w:r>
      <w:r>
        <w:rPr>
          <w:rFonts w:ascii="宋体" w:eastAsia="宋体"/>
          <w:color w:val="000000"/>
          <w:sz w:val="21"/>
          <w:szCs w:val="21"/>
        </w:rPr>
        <w:t>验收通过</w:t>
      </w:r>
      <w:r>
        <w:rPr>
          <w:rFonts w:ascii="宋体" w:eastAsia="宋体" w:hint="eastAsia"/>
          <w:color w:val="000000"/>
          <w:sz w:val="21"/>
          <w:szCs w:val="21"/>
        </w:rPr>
        <w:t>后30个日历日止（因乙方原因造成延期履约的，履约保证金相应顺延）。</w:t>
      </w:r>
    </w:p>
    <w:p>
      <w:pPr>
        <w:pStyle w:val="242"/>
        <w:spacing w:line="560" w:lineRule="exact"/>
        <w:ind w:firstLine="420" w:firstLineChars="200"/>
        <w:rPr>
          <w:rFonts w:ascii="宋体" w:eastAsia="宋体"/>
          <w:color w:val="000000"/>
          <w:sz w:val="21"/>
          <w:szCs w:val="21"/>
        </w:rPr>
      </w:pPr>
      <w:r>
        <w:rPr>
          <w:rFonts w:ascii="宋体" w:eastAsia="宋体" w:hint="eastAsia"/>
          <w:color w:val="000000"/>
          <w:sz w:val="21"/>
          <w:szCs w:val="21"/>
        </w:rPr>
        <w:t>（四）如乙方未能履行合同规定的义务，甲方有权按照本合同的约定从履约保证金中进行相应扣除。乙方应在甲方扣除履约保证金之日起10个工作日内，及时补充扣除部分金额。</w:t>
      </w:r>
      <w:r>
        <w:rPr>
          <w:rFonts w:ascii="宋体" w:eastAsia="宋体"/>
          <w:color w:val="000000"/>
          <w:sz w:val="21"/>
          <w:szCs w:val="21"/>
        </w:rPr>
        <w:t>乙方未及时补足履约保证金达30日的，甲方有权解除本合同并要求乙方支付合同金额30%的违约金，违约金不足以弥补甲方损失的，乙方应承担赔偿责任。</w:t>
      </w:r>
    </w:p>
    <w:p>
      <w:pPr>
        <w:pStyle w:val="242"/>
        <w:spacing w:line="560" w:lineRule="exact"/>
        <w:ind w:firstLine="420" w:firstLineChars="200"/>
        <w:rPr>
          <w:rFonts w:ascii="宋体" w:eastAsia="宋体"/>
          <w:color w:val="000000"/>
          <w:sz w:val="21"/>
          <w:szCs w:val="21"/>
        </w:rPr>
      </w:pPr>
      <w:r>
        <w:rPr>
          <w:rFonts w:ascii="宋体" w:eastAsia="宋体" w:hint="eastAsia"/>
          <w:color w:val="000000"/>
          <w:sz w:val="21"/>
          <w:szCs w:val="21"/>
        </w:rPr>
        <w:t>（五）如乙方不履行合同，或履行合同义务不符合约定使得合同目的不能实现，履约保证金不予退还。</w:t>
      </w:r>
    </w:p>
    <w:p>
      <w:pPr>
        <w:pStyle w:val="242"/>
        <w:spacing w:line="560" w:lineRule="exact"/>
        <w:ind w:firstLine="420" w:firstLineChars="200"/>
        <w:rPr>
          <w:rFonts w:ascii="宋体" w:eastAsia="宋体"/>
          <w:color w:val="000000"/>
          <w:sz w:val="21"/>
          <w:szCs w:val="21"/>
        </w:rPr>
      </w:pPr>
      <w:r>
        <w:rPr>
          <w:rFonts w:ascii="宋体" w:eastAsia="宋体"/>
          <w:color w:val="000000"/>
          <w:sz w:val="21"/>
          <w:szCs w:val="21"/>
        </w:rPr>
        <w:t>（六）自项目验收合格进入质保期之日起，质保期5年内每满一年，乙方按合同约定完成服务且乙方不存在任何违约行为的，甲方在乙方提交书面退款申请后甲方无息退还乙方履约保证金的20%，5年质保期结束甲方退还乙方全部履约保证金。</w:t>
      </w:r>
    </w:p>
    <w:p>
      <w:pPr>
        <w:spacing w:line="560" w:lineRule="exact"/>
        <w:ind w:firstLine="420" w:firstLineChars="200"/>
        <w:rPr>
          <w:rFonts w:ascii="宋体"/>
          <w:b/>
          <w:bCs/>
          <w:color w:val="000000"/>
          <w:szCs w:val="21"/>
        </w:rPr>
      </w:pPr>
      <w:r>
        <w:rPr>
          <w:rFonts w:ascii="宋体" w:hint="eastAsia"/>
          <w:b/>
          <w:bCs/>
          <w:color w:val="000000"/>
          <w:szCs w:val="21"/>
        </w:rPr>
        <w:t>第五条  工作进度要求及履行地点</w:t>
      </w:r>
    </w:p>
    <w:p>
      <w:pPr>
        <w:pStyle w:val="242"/>
        <w:spacing w:line="560" w:lineRule="exact"/>
        <w:ind w:firstLine="420" w:firstLineChars="200"/>
        <w:rPr>
          <w:rFonts w:ascii="宋体" w:eastAsia="宋体" w:hint="eastAsia"/>
          <w:color w:val="000000"/>
          <w:sz w:val="21"/>
          <w:szCs w:val="21"/>
        </w:rPr>
      </w:pPr>
      <w:r>
        <w:rPr>
          <w:rFonts w:ascii="宋体" w:eastAsia="宋体" w:hint="eastAsia"/>
          <w:color w:val="000000"/>
          <w:sz w:val="21"/>
          <w:szCs w:val="21"/>
        </w:rPr>
        <w:t>（一）本技术服务工期</w:t>
      </w:r>
      <w:r>
        <w:rPr>
          <w:rFonts w:ascii="宋体" w:eastAsia="宋体" w:hint="eastAsia"/>
          <w:color w:val="000000"/>
          <w:sz w:val="21"/>
          <w:szCs w:val="21"/>
          <w:u w:val="single"/>
        </w:rPr>
        <w:t xml:space="preserve">   </w:t>
      </w:r>
      <w:r>
        <w:rPr>
          <w:rFonts w:ascii="宋体" w:eastAsia="宋体" w:hint="eastAsia"/>
          <w:color w:val="000000"/>
          <w:sz w:val="21"/>
          <w:szCs w:val="21"/>
        </w:rPr>
        <w:t>个月，要求合同签订之日起</w:t>
      </w:r>
      <w:r>
        <w:rPr>
          <w:rFonts w:ascii="宋体" w:eastAsia="宋体" w:hint="eastAsia"/>
          <w:color w:val="000000"/>
          <w:sz w:val="21"/>
          <w:szCs w:val="21"/>
          <w:u w:val="single"/>
        </w:rPr>
        <w:t xml:space="preserve">    </w:t>
      </w:r>
      <w:r>
        <w:rPr>
          <w:rFonts w:ascii="宋体" w:eastAsia="宋体" w:hint="eastAsia"/>
          <w:color w:val="000000"/>
          <w:sz w:val="21"/>
          <w:szCs w:val="21"/>
        </w:rPr>
        <w:t>个月内完成合同约定的所有服务内容（以乙方满足招标文件/谈判文件/询价通知书/磋商文件/单一来源采购文件要求及投标文件/响应文件应答的基础上的承诺为准）。</w:t>
      </w:r>
    </w:p>
    <w:p>
      <w:pPr>
        <w:pStyle w:val="242"/>
        <w:spacing w:line="560" w:lineRule="exact"/>
        <w:ind w:firstLine="420" w:firstLineChars="200"/>
        <w:rPr>
          <w:rFonts w:ascii="宋体" w:eastAsia="宋体" w:hint="eastAsia"/>
          <w:color w:val="000000"/>
          <w:sz w:val="21"/>
          <w:szCs w:val="21"/>
        </w:rPr>
      </w:pPr>
      <w:r>
        <w:rPr>
          <w:rFonts w:ascii="宋体" w:eastAsia="宋体" w:hint="eastAsia"/>
          <w:color w:val="000000"/>
          <w:sz w:val="21"/>
          <w:szCs w:val="21"/>
        </w:rPr>
        <w:t>（二）因甲方（用户）原因造成乙方不能按期完成工作的，经甲方（用户）书面确认后，乙方工期可以顺延，顺延的日期与甲方（用户）造成乙方不能正常工作的日期相等。</w:t>
      </w:r>
    </w:p>
    <w:p>
      <w:pPr>
        <w:pStyle w:val="242"/>
        <w:spacing w:line="560" w:lineRule="exact"/>
        <w:ind w:firstLine="420" w:firstLineChars="200"/>
        <w:rPr>
          <w:rFonts w:ascii="宋体" w:eastAsia="宋体"/>
          <w:color w:val="000000"/>
          <w:sz w:val="21"/>
          <w:szCs w:val="21"/>
        </w:rPr>
      </w:pPr>
      <w:r>
        <w:rPr>
          <w:rFonts w:ascii="宋体" w:eastAsia="宋体" w:hint="eastAsia"/>
          <w:color w:val="000000"/>
          <w:sz w:val="21"/>
          <w:szCs w:val="21"/>
        </w:rPr>
        <w:t>（三）履行地点：甲方指定地点。</w:t>
      </w:r>
    </w:p>
    <w:p>
      <w:pPr>
        <w:spacing w:line="560" w:lineRule="exact"/>
        <w:ind w:firstLine="420" w:firstLineChars="200"/>
        <w:rPr>
          <w:rFonts w:ascii="宋体" w:cs="宋体"/>
          <w:b/>
          <w:bCs/>
          <w:color w:val="000000"/>
          <w:szCs w:val="21"/>
        </w:rPr>
      </w:pPr>
      <w:r>
        <w:rPr>
          <w:rFonts w:ascii="宋体" w:cs="宋体" w:hint="eastAsia"/>
          <w:b/>
          <w:bCs/>
          <w:color w:val="000000"/>
          <w:szCs w:val="21"/>
        </w:rPr>
        <w:t>第六条 验收</w:t>
      </w:r>
    </w:p>
    <w:p>
      <w:pPr>
        <w:pStyle w:val="5210"/>
        <w:spacing w:line="560" w:lineRule="exact"/>
        <w:ind w:firstLine="422" w:firstLineChars="201"/>
        <w:rPr>
          <w:rFonts w:ascii="宋体" w:eastAsia="宋体" w:cs="宋体"/>
          <w:color w:val="000000"/>
        </w:rPr>
      </w:pPr>
      <w:r>
        <w:rPr>
          <w:rFonts w:ascii="宋体" w:eastAsia="宋体" w:cs="宋体" w:hint="eastAsia"/>
          <w:color w:val="000000"/>
        </w:rPr>
        <w:t>（一）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5210"/>
        <w:spacing w:line="560" w:lineRule="exact"/>
        <w:ind w:firstLine="422" w:firstLineChars="201"/>
        <w:rPr>
          <w:rFonts w:ascii="宋体" w:eastAsia="宋体" w:cs="宋体"/>
          <w:color w:val="000000"/>
        </w:rPr>
      </w:pPr>
      <w:r>
        <w:rPr>
          <w:rFonts w:ascii="宋体" w:eastAsia="宋体" w:cs="宋体" w:hint="eastAsia"/>
          <w:color w:val="000000"/>
        </w:rPr>
        <w:t>（二）双方确定，按以下标准及方法对乙方完成的工作成果进行验收： 遵从国家或行业有关的标准，项目以甲乙双方签字认可的《海关信息化应用项目软件需求规格说明书》、设计变更和国家制定的实施及验收规范标准。验收不合格的，甲方有权限期乙方整改，乙方逾期整改或整改不合格的，甲方有权单方解除本合同，乙方按研究开发经费的10%向甲方支付违约金，如造成甲方损失且违约金不足以弥补甲方损失的，乙方还应继续赔偿甲方损失。</w:t>
      </w:r>
    </w:p>
    <w:p>
      <w:pPr>
        <w:spacing w:line="560" w:lineRule="exact"/>
        <w:ind w:firstLine="420" w:firstLineChars="200"/>
        <w:rPr>
          <w:rFonts w:ascii="宋体"/>
          <w:color w:val="000000"/>
          <w:szCs w:val="21"/>
        </w:rPr>
      </w:pPr>
      <w:r>
        <w:rPr>
          <w:rFonts w:ascii="宋体" w:hint="eastAsia"/>
          <w:b/>
          <w:bCs/>
          <w:color w:val="000000"/>
          <w:szCs w:val="21"/>
        </w:rPr>
        <w:t>第七条 质量保证</w:t>
      </w:r>
    </w:p>
    <w:p>
      <w:pPr>
        <w:spacing w:line="560" w:lineRule="exact"/>
        <w:ind w:firstLine="420" w:firstLineChars="200"/>
        <w:rPr>
          <w:rFonts w:ascii="宋体"/>
          <w:color w:val="000000"/>
          <w:szCs w:val="21"/>
        </w:rPr>
      </w:pPr>
      <w:r>
        <w:rPr>
          <w:rFonts w:ascii="宋体" w:hint="eastAsia"/>
          <w:color w:val="000000"/>
          <w:szCs w:val="21"/>
        </w:rPr>
        <w:t>（一）乙方应保证所开发的产品与投标文件/响应文件承诺一致，并完全符合或高于合同要求的质量、规格和技术性能。</w:t>
      </w:r>
    </w:p>
    <w:p>
      <w:pPr>
        <w:spacing w:line="560" w:lineRule="exact"/>
        <w:ind w:firstLine="420" w:firstLineChars="200"/>
        <w:rPr>
          <w:rFonts w:ascii="宋体"/>
          <w:color w:val="000000"/>
          <w:szCs w:val="21"/>
        </w:rPr>
      </w:pPr>
      <w:r>
        <w:rPr>
          <w:rFonts w:ascii="宋体" w:hint="eastAsia"/>
          <w:color w:val="000000"/>
          <w:szCs w:val="21"/>
        </w:rPr>
        <w:t>（二）本合同项目质量保证期为：自双方签署合同验收合格报告之日起计算</w:t>
      </w:r>
      <w:r>
        <w:rPr>
          <w:rFonts w:ascii="宋体" w:hint="eastAsia"/>
          <w:color w:val="000000"/>
          <w:szCs w:val="21"/>
          <w:u w:val="single"/>
        </w:rPr>
        <w:t xml:space="preserve">  5  </w:t>
      </w:r>
      <w:r>
        <w:rPr>
          <w:rFonts w:ascii="宋体" w:hint="eastAsia"/>
          <w:color w:val="000000"/>
          <w:szCs w:val="21"/>
        </w:rPr>
        <w:t>年，其中第一年为驻场售后服务。</w:t>
      </w:r>
    </w:p>
    <w:p>
      <w:pPr>
        <w:spacing w:line="560" w:lineRule="exact"/>
        <w:ind w:firstLine="420" w:firstLineChars="200"/>
        <w:rPr>
          <w:rFonts w:ascii="宋体"/>
          <w:b/>
          <w:bCs/>
          <w:color w:val="000000"/>
          <w:szCs w:val="21"/>
        </w:rPr>
      </w:pPr>
      <w:r>
        <w:rPr>
          <w:rFonts w:ascii="宋体" w:hint="eastAsia"/>
          <w:b/>
          <w:bCs/>
          <w:color w:val="000000"/>
          <w:szCs w:val="21"/>
        </w:rPr>
        <w:t>第八条 培训</w:t>
      </w:r>
    </w:p>
    <w:p>
      <w:pPr>
        <w:spacing w:line="560" w:lineRule="exact"/>
        <w:ind w:firstLine="420" w:firstLineChars="200"/>
        <w:rPr>
          <w:rFonts w:ascii="宋体"/>
          <w:b/>
          <w:bCs/>
          <w:color w:val="000000"/>
          <w:szCs w:val="21"/>
        </w:rPr>
      </w:pPr>
      <w:r>
        <w:rPr>
          <w:rFonts w:ascii="宋体" w:hint="eastAsia"/>
          <w:bCs/>
          <w:color w:val="000000"/>
          <w:szCs w:val="21"/>
        </w:rPr>
        <w:t>本合同包括培训，具体培训方案详见附件。</w:t>
      </w:r>
    </w:p>
    <w:p>
      <w:pPr>
        <w:spacing w:line="560" w:lineRule="exact"/>
        <w:ind w:firstLine="420" w:firstLineChars="200"/>
        <w:rPr>
          <w:rFonts w:ascii="宋体"/>
          <w:b/>
          <w:bCs/>
          <w:color w:val="000000"/>
          <w:szCs w:val="21"/>
        </w:rPr>
      </w:pPr>
      <w:r>
        <w:rPr>
          <w:rFonts w:ascii="宋体" w:hint="eastAsia"/>
          <w:b/>
          <w:bCs/>
          <w:color w:val="000000"/>
          <w:szCs w:val="21"/>
        </w:rPr>
        <w:t>第九条 售后服务</w:t>
      </w:r>
    </w:p>
    <w:p>
      <w:pPr>
        <w:spacing w:line="560" w:lineRule="exact"/>
        <w:ind w:firstLine="420" w:firstLineChars="200"/>
        <w:rPr>
          <w:rFonts w:ascii="宋体"/>
          <w:color w:val="000000"/>
          <w:szCs w:val="21"/>
        </w:rPr>
      </w:pPr>
      <w:r>
        <w:rPr>
          <w:rFonts w:ascii="宋体" w:hint="eastAsia"/>
          <w:color w:val="000000"/>
          <w:szCs w:val="21"/>
        </w:rPr>
        <w:t>（一）乙方在免费运维期内提供7天*24小时的技术支持与售后服务。免费运维期外，提供远程支持服务及故障响应服务，具体为：远程支持服务，接到甲方（用户）提出的问题后，乙方应在12个小时内给出处理意见。故障响应服务，在确认需要现场处理后，应在12个小时内到达故障现场，到达现场后应在2小时内修复故障。</w:t>
      </w:r>
    </w:p>
    <w:p>
      <w:pPr>
        <w:spacing w:line="560" w:lineRule="exact"/>
        <w:ind w:firstLine="420" w:firstLineChars="200"/>
        <w:rPr>
          <w:rFonts w:ascii="宋体"/>
          <w:color w:val="000000"/>
          <w:szCs w:val="21"/>
        </w:rPr>
      </w:pPr>
      <w:r>
        <w:rPr>
          <w:rFonts w:ascii="宋体" w:hint="eastAsia"/>
          <w:color w:val="000000"/>
          <w:szCs w:val="21"/>
        </w:rPr>
        <w:t>（二）本合同包含售后服务，具体技术支持及售后服务方案详见附件。</w:t>
      </w:r>
    </w:p>
    <w:p>
      <w:pPr>
        <w:pStyle w:val="218"/>
        <w:spacing w:line="560" w:lineRule="exact"/>
        <w:ind w:firstLine="420" w:firstLineChars="200"/>
        <w:rPr>
          <w:rFonts w:ascii="宋体" w:eastAsia="宋体"/>
          <w:b/>
          <w:bCs/>
          <w:color w:val="000000"/>
          <w:sz w:val="21"/>
          <w:szCs w:val="21"/>
        </w:rPr>
      </w:pPr>
      <w:r>
        <w:rPr>
          <w:rFonts w:ascii="宋体" w:eastAsia="宋体" w:hint="eastAsia"/>
          <w:b/>
          <w:bCs/>
          <w:color w:val="000000"/>
          <w:sz w:val="21"/>
          <w:szCs w:val="21"/>
        </w:rPr>
        <w:t>第十条 双方的权利和义务</w:t>
      </w:r>
    </w:p>
    <w:p>
      <w:pPr>
        <w:spacing w:line="560" w:lineRule="exact"/>
        <w:ind w:firstLine="480"/>
        <w:rPr>
          <w:rFonts w:ascii="宋体"/>
          <w:bCs/>
          <w:color w:val="000000"/>
          <w:szCs w:val="21"/>
        </w:rPr>
      </w:pPr>
      <w:r>
        <w:rPr>
          <w:rFonts w:ascii="宋体" w:cs="宋体" w:hint="eastAsia"/>
          <w:color w:val="000000"/>
          <w:szCs w:val="21"/>
        </w:rPr>
        <w:t>一、甲方（用户）的权利与义务</w:t>
      </w:r>
    </w:p>
    <w:p>
      <w:pPr>
        <w:spacing w:line="560" w:lineRule="exact"/>
        <w:ind w:firstLine="480"/>
        <w:rPr>
          <w:rFonts w:ascii="宋体"/>
          <w:color w:val="000000"/>
          <w:szCs w:val="21"/>
        </w:rPr>
      </w:pPr>
      <w:r>
        <w:rPr>
          <w:rFonts w:ascii="宋体" w:cs="宋体" w:hint="eastAsia"/>
          <w:color w:val="000000"/>
          <w:szCs w:val="21"/>
        </w:rPr>
        <w:t>（一）甲方（用户）有权了解整个委托技术服务的执行进程，监督服务执行，并对技术服务的进度及质量进行要求和检查。</w:t>
      </w:r>
    </w:p>
    <w:p>
      <w:pPr>
        <w:spacing w:line="560" w:lineRule="exact"/>
        <w:ind w:firstLine="480"/>
        <w:rPr>
          <w:rFonts w:ascii="宋体"/>
          <w:color w:val="000000"/>
          <w:szCs w:val="21"/>
        </w:rPr>
      </w:pPr>
      <w:r>
        <w:rPr>
          <w:rFonts w:ascii="宋体" w:cs="宋体" w:hint="eastAsia"/>
          <w:color w:val="000000"/>
          <w:szCs w:val="21"/>
        </w:rPr>
        <w:t>（二）甲方（用户）有权要求乙方按照本合同约定及时提供服务，并对乙方的服务成果进行评估和确定，提出修改意见。</w:t>
      </w:r>
    </w:p>
    <w:p>
      <w:pPr>
        <w:spacing w:line="560" w:lineRule="exact"/>
        <w:ind w:firstLine="480"/>
        <w:rPr>
          <w:rFonts w:ascii="宋体"/>
          <w:color w:val="000000"/>
          <w:szCs w:val="21"/>
        </w:rPr>
      </w:pPr>
      <w:r>
        <w:rPr>
          <w:rFonts w:ascii="宋体" w:cs="宋体" w:hint="eastAsia"/>
          <w:color w:val="000000"/>
          <w:szCs w:val="21"/>
        </w:rPr>
        <w:t>（三）甲方（用户）对服务成果拥有所有权以及全部、完整的知识产权（包括但不限于著作权、专利权、商标权以及知识产权申请权等）。甲方（用户）可安排技术人员参与核心工作，以便后续维护。</w:t>
      </w:r>
    </w:p>
    <w:p>
      <w:pPr>
        <w:spacing w:line="560" w:lineRule="exact"/>
        <w:ind w:firstLine="480"/>
        <w:rPr>
          <w:rFonts w:ascii="宋体"/>
          <w:color w:val="000000"/>
          <w:szCs w:val="21"/>
        </w:rPr>
      </w:pPr>
      <w:r>
        <w:rPr>
          <w:rFonts w:ascii="宋体" w:cs="宋体" w:hint="eastAsia"/>
          <w:color w:val="000000"/>
          <w:szCs w:val="21"/>
        </w:rPr>
        <w:t>（四）甲方（用户）有权在海关范围内对技术服务涉及的所有成果进行推广应用。</w:t>
      </w:r>
    </w:p>
    <w:p>
      <w:pPr>
        <w:spacing w:line="560" w:lineRule="exact"/>
        <w:ind w:firstLine="480"/>
        <w:rPr>
          <w:rFonts w:ascii="宋体" w:cs="宋体"/>
          <w:color w:val="000000"/>
          <w:szCs w:val="21"/>
        </w:rPr>
      </w:pPr>
      <w:r>
        <w:rPr>
          <w:rFonts w:ascii="宋体" w:cs="宋体" w:hint="eastAsia"/>
          <w:color w:val="000000"/>
          <w:szCs w:val="21"/>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同时乙方每逾期一日，应按合同总价的万分之五向甲方支付违约金。若乙方的补正和改进在甲方（用户）规定的期限内仍无法达到合同要求，视为乙方违约，乙方每逾期一日，应按合同总价的万分之五向甲方支付违约金；如乙方逾期30日仍无法达到合同要求，则甲方有权单方解除本合同，</w:t>
      </w:r>
      <w:r>
        <w:rPr>
          <w:rFonts w:ascii="宋体"/>
          <w:color w:val="000000"/>
          <w:szCs w:val="21"/>
        </w:rPr>
        <w:t>并有权要求乙方支付履约保证金等额的违约金，违约金不足以弥补甲方损失的，乙方应承担赔偿责任。</w:t>
      </w:r>
    </w:p>
    <w:p>
      <w:pPr>
        <w:spacing w:line="560" w:lineRule="exact"/>
        <w:ind w:firstLine="480"/>
        <w:rPr>
          <w:rFonts w:ascii="宋体"/>
          <w:color w:val="000000"/>
          <w:szCs w:val="21"/>
        </w:rPr>
      </w:pPr>
      <w:r>
        <w:rPr>
          <w:rFonts w:ascii="宋体" w:cs="宋体" w:hint="eastAsia"/>
          <w:color w:val="000000"/>
          <w:szCs w:val="21"/>
        </w:rPr>
        <w:t>（六）甲方（用户）应在实施过程中向乙方提供下列工作条件和协作事项：</w:t>
      </w:r>
    </w:p>
    <w:p>
      <w:pPr>
        <w:spacing w:line="560" w:lineRule="exact"/>
        <w:ind w:left="638"/>
        <w:rPr>
          <w:rFonts w:ascii="宋体"/>
          <w:color w:val="000000"/>
          <w:szCs w:val="21"/>
        </w:rPr>
      </w:pPr>
      <w:r>
        <w:rPr>
          <w:rFonts w:ascii="宋体" w:cs="宋体" w:hint="eastAsia"/>
          <w:color w:val="000000"/>
          <w:szCs w:val="21"/>
        </w:rPr>
        <w:t>1.提供完成技术服务所需的全部文档及相关资料；</w:t>
      </w:r>
    </w:p>
    <w:p>
      <w:pPr>
        <w:spacing w:line="560" w:lineRule="exact"/>
        <w:ind w:left="638"/>
        <w:rPr>
          <w:rFonts w:ascii="宋体"/>
          <w:color w:val="000000"/>
          <w:szCs w:val="21"/>
        </w:rPr>
      </w:pPr>
      <w:r>
        <w:rPr>
          <w:rFonts w:ascii="宋体" w:cs="宋体" w:hint="eastAsia"/>
          <w:color w:val="000000"/>
          <w:szCs w:val="21"/>
        </w:rPr>
        <w:t>2.解答或协调解答技术服务实施过程中的需求问题。</w:t>
      </w:r>
    </w:p>
    <w:p>
      <w:pPr>
        <w:spacing w:line="560" w:lineRule="exact"/>
        <w:ind w:firstLine="480"/>
        <w:rPr>
          <w:rFonts w:ascii="宋体"/>
          <w:color w:val="000000"/>
          <w:szCs w:val="21"/>
        </w:rPr>
      </w:pPr>
      <w:r>
        <w:rPr>
          <w:rFonts w:ascii="宋体" w:cs="宋体" w:hint="eastAsia"/>
          <w:color w:val="000000"/>
          <w:szCs w:val="21"/>
        </w:rPr>
        <w:t>（七）在乙方完成相应阶段工作并满足付款条件时，甲方应按照本合同的约定及时支付合同价款。</w:t>
      </w:r>
    </w:p>
    <w:p>
      <w:pPr>
        <w:spacing w:line="560" w:lineRule="exact"/>
        <w:ind w:firstLine="480"/>
        <w:rPr>
          <w:rFonts w:ascii="宋体"/>
          <w:bCs/>
          <w:color w:val="000000"/>
          <w:szCs w:val="21"/>
        </w:rPr>
      </w:pPr>
      <w:r>
        <w:rPr>
          <w:rFonts w:ascii="宋体" w:cs="宋体" w:hint="eastAsia"/>
          <w:color w:val="000000"/>
          <w:szCs w:val="21"/>
        </w:rPr>
        <w:t>二、乙方的权利与义务</w:t>
      </w:r>
    </w:p>
    <w:p>
      <w:pPr>
        <w:spacing w:line="560" w:lineRule="exact"/>
        <w:ind w:firstLine="480"/>
        <w:rPr>
          <w:rFonts w:ascii="宋体" w:cs="宋体"/>
          <w:color w:val="000000"/>
          <w:szCs w:val="21"/>
        </w:rPr>
      </w:pPr>
      <w:r>
        <w:rPr>
          <w:rFonts w:ascii="宋体" w:cs="宋体" w:hint="eastAsia"/>
          <w:color w:val="000000"/>
          <w:szCs w:val="21"/>
        </w:rPr>
        <w:t>（一）乙方保证在甲方规定的工期进度内按照合同以及合同附件的要求完成应交付的完整、合格服务，并符合服务质量要求。</w:t>
      </w:r>
    </w:p>
    <w:p>
      <w:pPr>
        <w:spacing w:line="560" w:lineRule="exact"/>
        <w:ind w:firstLine="480"/>
        <w:rPr>
          <w:rFonts w:ascii="宋体"/>
          <w:color w:val="000000"/>
          <w:szCs w:val="21"/>
        </w:rPr>
      </w:pPr>
      <w:r>
        <w:rPr>
          <w:rFonts w:ascii="宋体" w:cs="宋体" w:hint="eastAsia"/>
          <w:color w:val="000000"/>
          <w:szCs w:val="21"/>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spacing w:line="560" w:lineRule="exact"/>
        <w:ind w:firstLine="480"/>
        <w:rPr>
          <w:rFonts w:ascii="宋体"/>
          <w:color w:val="000000"/>
          <w:szCs w:val="21"/>
        </w:rPr>
      </w:pPr>
      <w:r>
        <w:rPr>
          <w:rFonts w:ascii="宋体" w:cs="宋体" w:hint="eastAsia"/>
          <w:color w:val="000000"/>
          <w:szCs w:val="21"/>
        </w:rPr>
        <w:t>（三）乙方应派专人负责技术服务执行，以保证技术服务顺利进行，加强风险分析与控制，对风险要有详细的分析，有可靠的控制手段和措施，并及时向甲方（用户）汇报。</w:t>
      </w:r>
    </w:p>
    <w:p>
      <w:pPr>
        <w:spacing w:line="560" w:lineRule="exact"/>
        <w:ind w:firstLine="480"/>
        <w:rPr>
          <w:rFonts w:ascii="宋体" w:cs="宋体"/>
          <w:color w:val="000000"/>
          <w:szCs w:val="21"/>
        </w:rPr>
      </w:pPr>
      <w:r>
        <w:rPr>
          <w:rFonts w:ascii="宋体" w:cs="宋体" w:hint="eastAsia"/>
          <w:color w:val="000000"/>
          <w:szCs w:val="21"/>
        </w:rPr>
        <w:t>（四）乙方应在服务期内及时修复安全漏洞。</w:t>
      </w:r>
    </w:p>
    <w:p>
      <w:pPr>
        <w:spacing w:line="560" w:lineRule="exact"/>
        <w:ind w:firstLine="480"/>
        <w:rPr>
          <w:rFonts w:ascii="宋体"/>
          <w:color w:val="000000"/>
          <w:szCs w:val="21"/>
        </w:rPr>
      </w:pPr>
      <w:r>
        <w:rPr>
          <w:rFonts w:ascii="宋体" w:cs="宋体" w:hint="eastAsia"/>
          <w:color w:val="000000"/>
          <w:szCs w:val="21"/>
        </w:rPr>
        <w:t>（五）乙方所派人员应熟练掌握所需技术，所派人员对技术服务内容进行严格保密，不得泄露相关信息。</w:t>
      </w:r>
    </w:p>
    <w:p>
      <w:pPr>
        <w:spacing w:line="560" w:lineRule="exact"/>
        <w:ind w:firstLine="480"/>
        <w:rPr>
          <w:rFonts w:ascii="宋体"/>
          <w:color w:val="000000"/>
          <w:szCs w:val="21"/>
        </w:rPr>
      </w:pPr>
      <w:r>
        <w:rPr>
          <w:rFonts w:ascii="宋体" w:cs="宋体" w:hint="eastAsia"/>
          <w:color w:val="000000"/>
          <w:szCs w:val="21"/>
        </w:rPr>
        <w:t>（六）乙方在履行合同义务的情形下有权要求甲方按本合同的约定及时支付合同价款。</w:t>
      </w:r>
    </w:p>
    <w:p>
      <w:pPr>
        <w:spacing w:line="560" w:lineRule="exact"/>
        <w:ind w:firstLine="480"/>
        <w:rPr>
          <w:rFonts w:ascii="宋体"/>
          <w:color w:val="000000"/>
          <w:szCs w:val="21"/>
        </w:rPr>
      </w:pPr>
      <w:r>
        <w:rPr>
          <w:rFonts w:ascii="宋体" w:cs="宋体" w:hint="eastAsia"/>
          <w:color w:val="000000"/>
          <w:szCs w:val="21"/>
        </w:rPr>
        <w:t>（七）乙方应按甲方（用户）要求保质保量地完成相关代码实现以及配套文档的编制工作，并及时、完整向甲方（用户）交付相关材料。</w:t>
      </w:r>
    </w:p>
    <w:p>
      <w:pPr>
        <w:spacing w:line="560" w:lineRule="exact"/>
        <w:ind w:firstLine="480"/>
        <w:rPr>
          <w:rFonts w:ascii="宋体" w:cs="宋体"/>
          <w:color w:val="000000"/>
          <w:szCs w:val="21"/>
        </w:rPr>
      </w:pPr>
      <w:r>
        <w:rPr>
          <w:rFonts w:ascii="宋体" w:cs="宋体" w:hint="eastAsia"/>
          <w:color w:val="000000"/>
          <w:szCs w:val="21"/>
        </w:rPr>
        <w:t>（八）乙方应无条件配合完成技术服务的业务测试工作。</w:t>
      </w:r>
    </w:p>
    <w:p>
      <w:pPr>
        <w:spacing w:line="560" w:lineRule="exact"/>
        <w:ind w:firstLine="480"/>
        <w:rPr>
          <w:rFonts w:ascii="宋体" w:cs="宋体"/>
          <w:color w:val="000000"/>
          <w:szCs w:val="21"/>
        </w:rPr>
      </w:pPr>
      <w:r>
        <w:rPr>
          <w:rFonts w:ascii="宋体" w:cs="宋体" w:hint="eastAsia"/>
          <w:color w:val="000000"/>
          <w:szCs w:val="21"/>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spacing w:line="560" w:lineRule="exact"/>
        <w:ind w:firstLine="480"/>
        <w:rPr>
          <w:rFonts w:ascii="宋体" w:cs="宋体"/>
          <w:color w:val="000000"/>
          <w:szCs w:val="21"/>
        </w:rPr>
      </w:pPr>
      <w:r>
        <w:rPr>
          <w:rFonts w:ascii="宋体" w:cs="宋体" w:hint="eastAsia"/>
          <w:color w:val="000000"/>
          <w:szCs w:val="21"/>
        </w:rPr>
        <w:t>（十）乙方须遵守甲方（用户）提出的各项安全管理要求。</w:t>
      </w:r>
    </w:p>
    <w:p>
      <w:pPr>
        <w:spacing w:line="560" w:lineRule="exact"/>
        <w:ind w:firstLine="480"/>
        <w:rPr>
          <w:rFonts w:ascii="宋体" w:cs="宋体"/>
          <w:color w:val="000000"/>
          <w:szCs w:val="21"/>
        </w:rPr>
      </w:pPr>
      <w:r>
        <w:rPr>
          <w:rFonts w:ascii="宋体" w:cs="宋体" w:hint="eastAsia"/>
          <w:color w:val="000000"/>
          <w:szCs w:val="21"/>
        </w:rPr>
        <w:t>（十一）乙方须按照国家关于通过政府采购渠道参与政务信息化建设的有关要求，签订《政务数据安全管理承诺书》，具体详见附件。</w:t>
      </w:r>
    </w:p>
    <w:p>
      <w:pPr>
        <w:spacing w:line="560" w:lineRule="exact"/>
        <w:ind w:firstLine="420" w:firstLineChars="200"/>
        <w:rPr>
          <w:rFonts w:ascii="宋体"/>
          <w:b/>
          <w:bCs/>
          <w:color w:val="000000"/>
          <w:szCs w:val="21"/>
        </w:rPr>
      </w:pPr>
      <w:r>
        <w:rPr>
          <w:rFonts w:ascii="宋体" w:hint="eastAsia"/>
          <w:b/>
          <w:bCs/>
          <w:color w:val="000000"/>
          <w:szCs w:val="21"/>
        </w:rPr>
        <w:t>第十一条 违约责任</w:t>
      </w:r>
    </w:p>
    <w:p>
      <w:pPr>
        <w:spacing w:line="560" w:lineRule="exact"/>
        <w:ind w:firstLine="420" w:firstLineChars="200"/>
        <w:rPr>
          <w:rFonts w:ascii="宋体"/>
          <w:color w:val="000000"/>
          <w:szCs w:val="21"/>
        </w:rPr>
      </w:pPr>
      <w:r>
        <w:rPr>
          <w:rFonts w:ascii="宋体" w:hint="eastAsia"/>
          <w:color w:val="000000"/>
          <w:szCs w:val="21"/>
        </w:rPr>
        <w:t>（一）乙方未按照本合同规定的时间提供服务的违约责任。</w:t>
      </w:r>
    </w:p>
    <w:p>
      <w:pPr>
        <w:spacing w:line="560" w:lineRule="exact"/>
        <w:ind w:firstLine="420" w:firstLineChars="200"/>
        <w:rPr>
          <w:rFonts w:ascii="宋体"/>
          <w:color w:val="000000"/>
          <w:szCs w:val="21"/>
        </w:rPr>
      </w:pPr>
      <w:r>
        <w:rPr>
          <w:rFonts w:ascii="宋体" w:hint="eastAsia"/>
          <w:color w:val="000000"/>
          <w:szCs w:val="21"/>
        </w:rPr>
        <w:t>1.在履行合同过程中，如果乙方遇到可能妨碍按时提供服务的情形时，应于发生之日起2日内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spacing w:line="560" w:lineRule="exact"/>
        <w:ind w:firstLine="420" w:firstLineChars="200"/>
        <w:rPr>
          <w:rFonts w:ascii="宋体"/>
          <w:color w:val="000000"/>
          <w:szCs w:val="21"/>
        </w:rPr>
      </w:pPr>
      <w:r>
        <w:rPr>
          <w:rFonts w:ascii="宋体" w:hint="eastAsia"/>
          <w:color w:val="000000"/>
          <w:szCs w:val="21"/>
        </w:rPr>
        <w:t>2.除甲乙双方另有约定外，如果乙方没有按照合同规定的时间提供服务（包括但不限于合同工期内服务、售后服务），甲方有权在不影响合同项下其他补救措施的情况下，要求乙方支付误期赔偿费，或从合同款、履约保证金中扣除误期赔偿费。赔偿费按每周未提供服务费用的百分之零点</w:t>
      </w:r>
      <w:r>
        <w:rPr>
          <w:rFonts w:ascii="宋体"/>
          <w:color w:val="000000"/>
          <w:szCs w:val="21"/>
        </w:rPr>
        <w:t>零</w:t>
      </w:r>
      <w:r>
        <w:rPr>
          <w:rFonts w:ascii="宋体" w:hint="eastAsia"/>
          <w:color w:val="000000"/>
          <w:szCs w:val="21"/>
        </w:rPr>
        <w:t>五（0.</w:t>
      </w:r>
      <w:r>
        <w:rPr>
          <w:rFonts w:ascii="宋体"/>
          <w:color w:val="000000"/>
          <w:szCs w:val="21"/>
        </w:rPr>
        <w:t>0</w:t>
      </w:r>
      <w:r>
        <w:rPr>
          <w:rFonts w:ascii="宋体" w:hint="eastAsia"/>
          <w:color w:val="000000"/>
          <w:szCs w:val="21"/>
        </w:rPr>
        <w:t>5%）计收，直到提供服务为止。但误期赔偿费的最高限额不超过误期服务合同价格的百分之十（10%）。一周按七（7）天计算，不足七（7）天按一周计算。</w:t>
      </w:r>
    </w:p>
    <w:p>
      <w:pPr>
        <w:spacing w:line="560" w:lineRule="exact"/>
        <w:ind w:firstLine="420" w:firstLineChars="200"/>
        <w:rPr>
          <w:rFonts w:ascii="宋体"/>
          <w:color w:val="000000"/>
          <w:szCs w:val="21"/>
        </w:rPr>
      </w:pPr>
      <w:r>
        <w:rPr>
          <w:rFonts w:ascii="宋体" w:hint="eastAsia"/>
          <w:color w:val="000000"/>
          <w:szCs w:val="21"/>
        </w:rPr>
        <w:t>3.出现上述没有按照合同规定的时间提供服务的情形时，甲方也可以选择解除合同，</w:t>
      </w:r>
      <w:r>
        <w:rPr>
          <w:rFonts w:ascii="宋体"/>
          <w:color w:val="000000"/>
          <w:szCs w:val="21"/>
        </w:rPr>
        <w:t>要求乙方支付与履约保证金等额的违约金并追究乙方相应违约责任</w:t>
      </w:r>
      <w:r>
        <w:rPr>
          <w:rFonts w:ascii="宋体" w:hint="eastAsia"/>
          <w:color w:val="000000"/>
          <w:szCs w:val="21"/>
        </w:rPr>
        <w:t>、赔偿甲方（用户）的全部损失。</w:t>
      </w:r>
    </w:p>
    <w:p>
      <w:pPr>
        <w:spacing w:line="560" w:lineRule="exact"/>
        <w:ind w:firstLine="420" w:firstLineChars="200"/>
        <w:rPr>
          <w:rFonts w:ascii="宋体"/>
          <w:color w:val="000000"/>
          <w:szCs w:val="21"/>
        </w:rPr>
      </w:pPr>
      <w:r>
        <w:rPr>
          <w:rFonts w:ascii="宋体" w:hint="eastAsia"/>
          <w:color w:val="000000"/>
          <w:szCs w:val="21"/>
        </w:rPr>
        <w:t>（二）因乙方或乙方工作人员或乙方相关方的作为或不作为行为致使甲方</w:t>
      </w:r>
      <w:r>
        <w:rPr>
          <w:rFonts w:ascii="宋体" w:cs="宋体" w:hint="eastAsia"/>
          <w:color w:val="000000"/>
          <w:szCs w:val="21"/>
        </w:rPr>
        <w:t>（用户）</w:t>
      </w:r>
      <w:r>
        <w:rPr>
          <w:rFonts w:ascii="宋体" w:hint="eastAsia"/>
          <w:color w:val="000000"/>
          <w:szCs w:val="21"/>
        </w:rPr>
        <w:t>或第三方遭受人员人身伤害或财产损失的，乙方应承担全部赔偿责任，赔偿全部损失，且甲方有权要求乙方支付全部履约保证金等额的违约金，并有权选择解除本合同。</w:t>
      </w:r>
    </w:p>
    <w:p>
      <w:pPr>
        <w:spacing w:line="560" w:lineRule="exact"/>
        <w:ind w:firstLine="420" w:firstLineChars="200"/>
        <w:rPr>
          <w:rFonts w:ascii="宋体"/>
          <w:color w:val="000000"/>
          <w:szCs w:val="21"/>
        </w:rPr>
      </w:pPr>
      <w:r>
        <w:rPr>
          <w:rFonts w:ascii="宋体" w:hint="eastAsia"/>
          <w:color w:val="000000"/>
          <w:szCs w:val="21"/>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Cs w:val="21"/>
        </w:rPr>
        <w:t>（用户）</w:t>
      </w:r>
      <w:r>
        <w:rPr>
          <w:rFonts w:ascii="宋体" w:hint="eastAsia"/>
          <w:color w:val="000000"/>
          <w:szCs w:val="21"/>
        </w:rPr>
        <w:t>造成其他损失的，乙方应继续承担赔偿责任。</w:t>
      </w:r>
    </w:p>
    <w:p>
      <w:pPr>
        <w:spacing w:line="560" w:lineRule="exact"/>
        <w:ind w:firstLine="480"/>
        <w:rPr>
          <w:rFonts w:ascii="宋体"/>
          <w:color w:val="000000"/>
          <w:szCs w:val="21"/>
        </w:rPr>
      </w:pPr>
      <w:r>
        <w:rPr>
          <w:rFonts w:ascii="宋体" w:hint="eastAsia"/>
          <w:color w:val="000000"/>
          <w:szCs w:val="21"/>
        </w:rPr>
        <w:t>（四）乙方违反本合同约定的，除应按合同约定承担违约金等外，还应赔偿甲方的全部损失，包括但不限于因违约行为造成的直接损失及甲方因维护合法权益产生的律师服务费、诉讼费、保全费、保全保险费、差旅费等。</w:t>
      </w:r>
    </w:p>
    <w:p>
      <w:pPr>
        <w:spacing w:line="560" w:lineRule="exact"/>
        <w:ind w:firstLine="480"/>
        <w:rPr>
          <w:rFonts w:ascii="宋体"/>
          <w:color w:val="000000"/>
          <w:szCs w:val="21"/>
        </w:rPr>
      </w:pPr>
      <w:r>
        <w:rPr>
          <w:rFonts w:ascii="宋体"/>
          <w:color w:val="000000"/>
          <w:szCs w:val="21"/>
        </w:rPr>
        <w:t>（五）甲方延期付款的，每延期一周，按应付款项的百分之零点五（0.5%）计付违约金，直到款项支付为止。一周按七（7）天计算，不足七（7）天按一周计算。</w:t>
      </w:r>
    </w:p>
    <w:p>
      <w:pPr>
        <w:spacing w:line="560" w:lineRule="exact"/>
        <w:ind w:firstLine="632"/>
        <w:rPr>
          <w:rFonts w:ascii="宋体"/>
          <w:b/>
          <w:bCs/>
          <w:color w:val="000000"/>
          <w:szCs w:val="21"/>
        </w:rPr>
      </w:pPr>
      <w:r>
        <w:rPr>
          <w:rFonts w:ascii="宋体" w:hint="eastAsia"/>
          <w:b/>
          <w:bCs/>
          <w:color w:val="000000"/>
          <w:szCs w:val="21"/>
        </w:rPr>
        <w:t>第十二条 保密条款</w:t>
      </w:r>
    </w:p>
    <w:p>
      <w:pPr>
        <w:spacing w:line="560" w:lineRule="exact"/>
        <w:ind w:firstLine="420" w:firstLineChars="200"/>
        <w:rPr>
          <w:rFonts w:ascii="宋体"/>
          <w:color w:val="000000"/>
          <w:szCs w:val="21"/>
        </w:rPr>
      </w:pPr>
      <w:r>
        <w:rPr>
          <w:rFonts w:ascii="宋体" w:hint="eastAsia"/>
          <w:color w:val="000000"/>
          <w:szCs w:val="21"/>
        </w:rPr>
        <w:t>（一）没有甲方（用户）事先书面同意，乙方不得将由甲方或代表甲方（用户）提供的有关合同或任何合同条文、规格或资料等提供给乙方雇佣于履行本合同以外的任何其他人。即使向本合同的雇员提供，也应注意保密并限于履行本合同必须的范围。</w:t>
      </w:r>
    </w:p>
    <w:p>
      <w:pPr>
        <w:spacing w:line="560" w:lineRule="exact"/>
        <w:ind w:firstLine="420" w:firstLineChars="200"/>
        <w:rPr>
          <w:rFonts w:ascii="宋体"/>
          <w:color w:val="000000"/>
          <w:szCs w:val="21"/>
        </w:rPr>
      </w:pPr>
      <w:r>
        <w:rPr>
          <w:rFonts w:ascii="宋体" w:hint="eastAsia"/>
          <w:color w:val="000000"/>
          <w:szCs w:val="21"/>
        </w:rPr>
        <w:t>（二）没有甲方（用户）事先书面同意，除了履行本合同之外，乙方不应使用、传播与本合同相关的任何文件、资料。</w:t>
      </w:r>
    </w:p>
    <w:p>
      <w:pPr>
        <w:spacing w:line="560" w:lineRule="exact"/>
        <w:ind w:firstLine="420" w:firstLineChars="200"/>
        <w:rPr>
          <w:rFonts w:ascii="宋体"/>
          <w:color w:val="000000"/>
          <w:szCs w:val="21"/>
        </w:rPr>
      </w:pPr>
      <w:r>
        <w:rPr>
          <w:rFonts w:ascii="宋体" w:hint="eastAsia"/>
          <w:color w:val="000000"/>
          <w:szCs w:val="21"/>
        </w:rPr>
        <w:t>（三）本条保密条款持续有效，直至合同内涉及的保密信息进入公共领域为止。</w:t>
      </w:r>
    </w:p>
    <w:p>
      <w:pPr>
        <w:spacing w:line="560" w:lineRule="exact"/>
        <w:ind w:firstLine="420" w:firstLineChars="200"/>
        <w:rPr>
          <w:rFonts w:ascii="宋体"/>
          <w:color w:val="000000"/>
          <w:szCs w:val="21"/>
        </w:rPr>
      </w:pPr>
      <w:r>
        <w:rPr>
          <w:rFonts w:ascii="宋体" w:hint="eastAsia"/>
          <w:color w:val="000000"/>
          <w:szCs w:val="21"/>
        </w:rPr>
        <w:t>（四）甲方（用户）如要求签订安全保密协议，乙方应配合签订。</w:t>
      </w:r>
    </w:p>
    <w:p>
      <w:pPr>
        <w:spacing w:line="560" w:lineRule="exact"/>
        <w:ind w:firstLine="420" w:firstLineChars="200"/>
        <w:rPr>
          <w:rFonts w:ascii="宋体"/>
          <w:b/>
          <w:bCs/>
          <w:color w:val="000000"/>
          <w:szCs w:val="21"/>
        </w:rPr>
      </w:pPr>
      <w:r>
        <w:rPr>
          <w:rFonts w:ascii="宋体" w:hint="eastAsia"/>
          <w:b/>
          <w:bCs/>
          <w:color w:val="000000"/>
          <w:szCs w:val="21"/>
        </w:rPr>
        <w:t>第十三条 知识产权</w:t>
      </w:r>
    </w:p>
    <w:p>
      <w:pPr>
        <w:spacing w:line="560" w:lineRule="exact"/>
        <w:ind w:firstLine="420" w:firstLineChars="200"/>
        <w:rPr>
          <w:rFonts w:ascii="宋体"/>
          <w:color w:val="000000"/>
          <w:szCs w:val="21"/>
        </w:rPr>
      </w:pPr>
      <w:r>
        <w:rPr>
          <w:rFonts w:ascii="宋体" w:hint="eastAsia"/>
          <w:color w:val="000000"/>
          <w:szCs w:val="21"/>
        </w:rPr>
        <w:t>（一）乙方应保证所提供的服务成果不侵犯任何第三方的知识产权（专利权、商标权、版权等）及其他任何合法权益。如果甲方（用户）在使用乙方服务成果的任何一部分过程中，遭第三方索赔或主张权利的，乙方应当修正以避免侵权。</w:t>
      </w:r>
    </w:p>
    <w:p>
      <w:pPr>
        <w:spacing w:line="560" w:lineRule="exact"/>
        <w:ind w:firstLine="420" w:firstLineChars="200"/>
        <w:rPr>
          <w:rFonts w:ascii="宋体"/>
          <w:color w:val="000000"/>
          <w:szCs w:val="21"/>
        </w:rPr>
      </w:pPr>
      <w:r>
        <w:rPr>
          <w:rFonts w:ascii="宋体" w:hint="eastAsia"/>
          <w:color w:val="000000"/>
          <w:szCs w:val="21"/>
        </w:rPr>
        <w:t>（二）如果甲方（用户）在使用乙方服务成果过程中，因侵犯第三方合法权益（包括但不限于知识产权）而遭第三方索赔或主张权利的，乙方将自费为甲方（用户）应诉，并支付法院最终判决的甲方（用户）应支付第三方的一切费用、并赔偿甲方（用户）由此遭受的全部损失及支出的合理费用。</w:t>
      </w:r>
    </w:p>
    <w:p>
      <w:pPr>
        <w:spacing w:line="560" w:lineRule="exact"/>
        <w:ind w:firstLine="420" w:firstLineChars="200"/>
        <w:rPr>
          <w:rFonts w:ascii="宋体"/>
          <w:color w:val="000000"/>
          <w:szCs w:val="21"/>
        </w:rPr>
      </w:pPr>
      <w:r>
        <w:rPr>
          <w:rFonts w:ascii="宋体" w:hint="eastAsia"/>
          <w:color w:val="000000"/>
          <w:szCs w:val="21"/>
        </w:rPr>
        <w:t>（三）如乙方提供的服务成果确实侵犯了第三方合法权益（包括但不限于知识产权）的，甲方有权解除合同，并要求乙方支付履约保证金等额的违约金，</w:t>
      </w:r>
      <w:r>
        <w:rPr>
          <w:rFonts w:ascii="宋体"/>
          <w:color w:val="000000"/>
          <w:szCs w:val="21"/>
        </w:rPr>
        <w:t>赔偿甲方的全部损失及支出的合理费用。</w:t>
      </w:r>
    </w:p>
    <w:p>
      <w:pPr>
        <w:spacing w:line="560" w:lineRule="exact"/>
        <w:ind w:firstLine="420" w:firstLineChars="200"/>
        <w:rPr>
          <w:rFonts w:ascii="宋体"/>
          <w:color w:val="000000"/>
          <w:szCs w:val="21"/>
        </w:rPr>
      </w:pPr>
      <w:r>
        <w:rPr>
          <w:rFonts w:ascii="宋体" w:hint="eastAsia"/>
          <w:color w:val="000000"/>
          <w:szCs w:val="21"/>
        </w:rPr>
        <w:t>（四）未经甲方（用户）同意，乙方不得将本项目成果或部分成果应用第三方。</w:t>
      </w:r>
    </w:p>
    <w:p>
      <w:pPr>
        <w:spacing w:line="560" w:lineRule="exact"/>
        <w:ind w:firstLine="420" w:firstLineChars="200"/>
        <w:rPr>
          <w:rFonts w:ascii="宋体"/>
          <w:b/>
          <w:bCs/>
          <w:color w:val="000000"/>
          <w:szCs w:val="21"/>
        </w:rPr>
      </w:pPr>
      <w:r>
        <w:rPr>
          <w:rFonts w:ascii="宋体" w:hint="eastAsia"/>
          <w:b/>
          <w:bCs/>
          <w:color w:val="000000"/>
          <w:szCs w:val="21"/>
        </w:rPr>
        <w:t>第十四条 不可抗力及其免责</w:t>
      </w:r>
    </w:p>
    <w:p>
      <w:pPr>
        <w:spacing w:line="560" w:lineRule="exact"/>
        <w:ind w:firstLine="420" w:firstLineChars="200"/>
        <w:rPr>
          <w:rFonts w:ascii="宋体"/>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spacing w:line="560" w:lineRule="exact"/>
        <w:ind w:firstLine="420" w:firstLineChars="200"/>
        <w:rPr>
          <w:rFonts w:ascii="宋体"/>
          <w:color w:val="000000"/>
          <w:szCs w:val="21"/>
        </w:rPr>
      </w:pPr>
      <w:r>
        <w:rPr>
          <w:rFonts w:ascii="宋体" w:hint="eastAsia"/>
          <w:color w:val="000000"/>
          <w:szCs w:val="21"/>
        </w:rPr>
        <w:t>（二）在不可抗力事件发生后三十日内，乙方应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spacing w:line="560" w:lineRule="exact"/>
        <w:ind w:firstLine="420" w:firstLineChars="200"/>
        <w:rPr>
          <w:rFonts w:ascii="宋体"/>
          <w:color w:val="000000"/>
          <w:szCs w:val="21"/>
        </w:rPr>
      </w:pPr>
      <w:r>
        <w:rPr>
          <w:rFonts w:ascii="宋体" w:hint="eastAsia"/>
          <w:color w:val="000000"/>
          <w:szCs w:val="21"/>
        </w:rPr>
        <w:t>（三）乙方在延迟履行合同期间由于不可抗力而不能履行合同的，不能被免除责任。</w:t>
      </w:r>
    </w:p>
    <w:p>
      <w:pPr>
        <w:spacing w:line="560" w:lineRule="exact"/>
        <w:ind w:firstLine="420" w:firstLineChars="200"/>
        <w:rPr>
          <w:rFonts w:ascii="宋体"/>
          <w:color w:val="000000"/>
          <w:szCs w:val="21"/>
        </w:rPr>
      </w:pPr>
      <w:r>
        <w:rPr>
          <w:rFonts w:ascii="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spacing w:line="560" w:lineRule="exact"/>
        <w:ind w:firstLine="420" w:firstLineChars="200"/>
        <w:rPr>
          <w:rFonts w:ascii="宋体"/>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spacing w:line="560" w:lineRule="exact"/>
        <w:ind w:firstLine="420" w:firstLineChars="200"/>
        <w:rPr>
          <w:rFonts w:ascii="宋体"/>
          <w:b/>
          <w:bCs/>
          <w:color w:val="000000"/>
          <w:szCs w:val="21"/>
        </w:rPr>
      </w:pPr>
      <w:r>
        <w:rPr>
          <w:rFonts w:ascii="宋体" w:hint="eastAsia"/>
          <w:b/>
          <w:bCs/>
          <w:color w:val="000000"/>
          <w:szCs w:val="21"/>
        </w:rPr>
        <w:t>第十五条 争议的解决</w:t>
      </w:r>
    </w:p>
    <w:p>
      <w:pPr>
        <w:spacing w:line="560" w:lineRule="exact"/>
        <w:ind w:firstLine="420" w:firstLineChars="200"/>
        <w:rPr>
          <w:rFonts w:ascii="宋体"/>
          <w:color w:val="000000"/>
          <w:szCs w:val="21"/>
        </w:rPr>
      </w:pPr>
      <w:r>
        <w:rPr>
          <w:rFonts w:ascii="宋体" w:hint="eastAsia"/>
          <w:color w:val="000000"/>
          <w:szCs w:val="21"/>
        </w:rPr>
        <w:t>（一）合同实施或与合同有关的一切争议应通过双方友好协商解决，如协商不能解决，争议应提交甲方所在地人民法院诉讼解决。</w:t>
      </w:r>
    </w:p>
    <w:p>
      <w:pPr>
        <w:spacing w:line="560" w:lineRule="exact"/>
        <w:ind w:firstLine="420" w:firstLineChars="200"/>
        <w:rPr>
          <w:rFonts w:ascii="宋体"/>
          <w:color w:val="000000"/>
          <w:szCs w:val="21"/>
        </w:rPr>
      </w:pPr>
      <w:r>
        <w:rPr>
          <w:rFonts w:ascii="宋体" w:hint="eastAsia"/>
          <w:color w:val="000000"/>
          <w:szCs w:val="21"/>
        </w:rPr>
        <w:t>（二）除有争议的部分外，本合同其他部分应继续履行。</w:t>
      </w:r>
    </w:p>
    <w:p>
      <w:pPr>
        <w:spacing w:line="560" w:lineRule="exact"/>
        <w:ind w:firstLine="420" w:firstLineChars="200"/>
        <w:rPr>
          <w:rFonts w:ascii="宋体"/>
          <w:b/>
          <w:bCs/>
          <w:color w:val="000000"/>
          <w:szCs w:val="21"/>
        </w:rPr>
      </w:pPr>
      <w:r>
        <w:rPr>
          <w:rFonts w:ascii="宋体" w:hint="eastAsia"/>
          <w:b/>
          <w:bCs/>
          <w:color w:val="000000"/>
          <w:szCs w:val="21"/>
        </w:rPr>
        <w:t>第十六条 合同修改或变更</w:t>
      </w:r>
    </w:p>
    <w:p>
      <w:pPr>
        <w:spacing w:line="560" w:lineRule="exact"/>
        <w:ind w:firstLine="420" w:firstLineChars="200"/>
        <w:rPr>
          <w:rFonts w:ascii="宋体"/>
          <w:color w:val="000000"/>
          <w:szCs w:val="21"/>
        </w:rPr>
      </w:pPr>
      <w:r>
        <w:rPr>
          <w:rFonts w:ascii="宋体" w:hint="eastAsia"/>
          <w:color w:val="000000"/>
          <w:szCs w:val="21"/>
        </w:rPr>
        <w:t>（一）如无重大变故，甲乙双方不得擅自变更合同。</w:t>
      </w:r>
    </w:p>
    <w:p>
      <w:pPr>
        <w:spacing w:line="560" w:lineRule="exact"/>
        <w:ind w:firstLine="420" w:firstLineChars="200"/>
        <w:rPr>
          <w:rFonts w:ascii="宋体"/>
          <w:color w:val="000000"/>
          <w:szCs w:val="21"/>
        </w:rPr>
      </w:pPr>
      <w:r>
        <w:rPr>
          <w:rFonts w:ascii="宋体" w:hint="eastAsia"/>
          <w:color w:val="000000"/>
          <w:szCs w:val="21"/>
        </w:rPr>
        <w:t>（二）如确需变更合同，甲乙双方应签署书面变更协议。变更协议为本合同不可分割的一部分。</w:t>
      </w:r>
    </w:p>
    <w:p>
      <w:pPr>
        <w:spacing w:line="560" w:lineRule="exact"/>
        <w:ind w:firstLine="420" w:firstLineChars="200"/>
        <w:rPr>
          <w:rFonts w:ascii="宋体"/>
          <w:color w:val="000000"/>
          <w:szCs w:val="21"/>
        </w:rPr>
      </w:pPr>
      <w:r>
        <w:rPr>
          <w:rFonts w:ascii="宋体" w:hint="eastAsia"/>
          <w:color w:val="000000"/>
          <w:szCs w:val="21"/>
        </w:rPr>
        <w:t>（三）在不改变合同其他条款的前提下，甲方（用户）有权在合同价款10%的范围内追加与合同标的相同的服务，并就此与乙方签订补充合同。</w:t>
      </w:r>
    </w:p>
    <w:p>
      <w:pPr>
        <w:spacing w:line="560" w:lineRule="exact"/>
        <w:ind w:firstLine="420" w:firstLineChars="200"/>
        <w:rPr>
          <w:rFonts w:ascii="宋体"/>
          <w:b/>
          <w:bCs/>
          <w:color w:val="000000"/>
          <w:szCs w:val="21"/>
        </w:rPr>
      </w:pPr>
      <w:r>
        <w:rPr>
          <w:rFonts w:ascii="宋体" w:hint="eastAsia"/>
          <w:b/>
          <w:bCs/>
          <w:color w:val="000000"/>
          <w:szCs w:val="21"/>
        </w:rPr>
        <w:t>第十七条 合同中止</w:t>
      </w:r>
    </w:p>
    <w:p>
      <w:pPr>
        <w:spacing w:line="560" w:lineRule="exact"/>
        <w:ind w:firstLine="420" w:firstLineChars="200"/>
        <w:rPr>
          <w:rFonts w:ascii="宋体"/>
          <w:color w:val="000000"/>
          <w:szCs w:val="21"/>
        </w:rPr>
      </w:pPr>
      <w:r>
        <w:rPr>
          <w:rFonts w:ascii="宋体" w:hint="eastAsia"/>
          <w:color w:val="000000"/>
          <w:szCs w:val="21"/>
        </w:rPr>
        <w:t>（一）合同在履行过程中，因采购计划调整，甲方（用户）可以要求中止履行，待计划确定后继续履行。</w:t>
      </w:r>
    </w:p>
    <w:p>
      <w:pPr>
        <w:spacing w:line="560" w:lineRule="exact"/>
        <w:ind w:firstLine="420" w:firstLineChars="200"/>
        <w:rPr>
          <w:rFonts w:ascii="宋体"/>
          <w:color w:val="000000"/>
          <w:szCs w:val="21"/>
        </w:rPr>
      </w:pPr>
      <w:r>
        <w:rPr>
          <w:rFonts w:ascii="宋体" w:hint="eastAsia"/>
          <w:color w:val="000000"/>
          <w:szCs w:val="21"/>
        </w:rPr>
        <w:t>（二）合同签订或履行过程中因其他供应商就采购过程或结果提起质疑、投诉、行政复议、行政诉讼的，甲方（用户）认为有必要或财政部责令中止的，应当中止合同的履行。</w:t>
      </w:r>
    </w:p>
    <w:p>
      <w:pPr>
        <w:spacing w:line="560" w:lineRule="exact"/>
        <w:ind w:firstLine="420" w:firstLineChars="200"/>
        <w:rPr>
          <w:rFonts w:ascii="宋体"/>
          <w:b/>
          <w:bCs/>
          <w:color w:val="000000"/>
          <w:szCs w:val="21"/>
        </w:rPr>
      </w:pPr>
      <w:r>
        <w:rPr>
          <w:rFonts w:ascii="宋体" w:hint="eastAsia"/>
          <w:b/>
          <w:bCs/>
          <w:color w:val="000000"/>
          <w:szCs w:val="21"/>
        </w:rPr>
        <w:t>第十八条 合同解除</w:t>
      </w:r>
    </w:p>
    <w:p>
      <w:pPr>
        <w:spacing w:line="560" w:lineRule="exact"/>
        <w:ind w:firstLine="420" w:firstLineChars="200"/>
        <w:rPr>
          <w:rFonts w:ascii="宋体"/>
          <w:color w:val="000000"/>
          <w:szCs w:val="21"/>
        </w:rPr>
      </w:pPr>
      <w:r>
        <w:rPr>
          <w:rFonts w:ascii="宋体" w:hint="eastAsia"/>
          <w:color w:val="000000"/>
          <w:szCs w:val="21"/>
        </w:rPr>
        <w:t>由于乙方不履行合同或严重违反合同，造成合同部分或全部无法履行时，或乙方违反本合同约定，甲方有权要求乙方限期整改，乙方拒不整改或整改无效果时，甲方除有权向乙方索赔外，并有权部分或全部解除合同。对于部分解除的合同，乙方除应承担规定的责任外，还应继续履行合同的剩余部分；</w:t>
      </w:r>
      <w:r>
        <w:rPr>
          <w:rFonts w:ascii="宋体"/>
          <w:color w:val="000000"/>
          <w:szCs w:val="21"/>
        </w:rPr>
        <w:t>对于全部解除的合同，甲方除要求乙方支付履约保证金等额的违约金外，同时有权要求乙方赔偿损失。</w:t>
      </w:r>
    </w:p>
    <w:p>
      <w:pPr>
        <w:spacing w:line="560" w:lineRule="exact"/>
        <w:ind w:firstLine="420" w:firstLineChars="200"/>
        <w:rPr>
          <w:rFonts w:ascii="宋体"/>
          <w:color w:val="000000"/>
          <w:szCs w:val="21"/>
        </w:rPr>
      </w:pPr>
      <w:r>
        <w:rPr>
          <w:rFonts w:ascii="宋体" w:hint="eastAsia"/>
          <w:color w:val="000000"/>
          <w:szCs w:val="21"/>
        </w:rPr>
        <w:t>（一）因违约解除合同</w:t>
      </w:r>
    </w:p>
    <w:p>
      <w:pPr>
        <w:spacing w:line="560" w:lineRule="exact"/>
        <w:ind w:firstLine="420" w:firstLineChars="200"/>
        <w:rPr>
          <w:rFonts w:ascii="宋体"/>
          <w:color w:val="000000"/>
          <w:szCs w:val="21"/>
        </w:rPr>
      </w:pPr>
      <w:r>
        <w:rPr>
          <w:rFonts w:ascii="宋体" w:hint="eastAsia"/>
          <w:color w:val="000000"/>
          <w:szCs w:val="21"/>
        </w:rPr>
        <w:t>1.在甲方（用户）因乙方违约而采取的任何补救措施不受影响的情况下，甲方（用户）可向乙方发出书面违约通知书，提出解除部分或全部合同：</w:t>
      </w:r>
    </w:p>
    <w:p>
      <w:pPr>
        <w:spacing w:line="560" w:lineRule="exact"/>
        <w:ind w:firstLine="420" w:firstLineChars="200"/>
        <w:rPr>
          <w:rFonts w:ascii="宋体"/>
          <w:color w:val="000000"/>
          <w:szCs w:val="21"/>
        </w:rPr>
      </w:pPr>
      <w:r>
        <w:rPr>
          <w:rFonts w:ascii="宋体" w:hint="eastAsia"/>
          <w:color w:val="000000"/>
          <w:szCs w:val="21"/>
        </w:rPr>
        <w:t>（1）如果乙方未能在合同规定的期限或甲方（用户）根据合同条款的规定同意延长的限期内提供部分或全部的服务，达到合同所规定的要求；</w:t>
      </w:r>
    </w:p>
    <w:p>
      <w:pPr>
        <w:spacing w:line="560" w:lineRule="exact"/>
        <w:ind w:firstLine="420" w:firstLineChars="200"/>
        <w:rPr>
          <w:rFonts w:ascii="宋体"/>
          <w:color w:val="000000"/>
          <w:szCs w:val="21"/>
        </w:rPr>
      </w:pPr>
      <w:r>
        <w:rPr>
          <w:rFonts w:ascii="宋体" w:hint="eastAsia"/>
          <w:color w:val="000000"/>
          <w:szCs w:val="21"/>
        </w:rPr>
        <w:t>（2）如果甲方（用户）发现乙方在本合同的竞争或实施中有欺诈行为。</w:t>
      </w:r>
    </w:p>
    <w:p>
      <w:pPr>
        <w:spacing w:line="560" w:lineRule="exact"/>
        <w:ind w:firstLine="420" w:firstLineChars="200"/>
        <w:rPr>
          <w:rFonts w:ascii="宋体"/>
          <w:color w:val="000000"/>
          <w:szCs w:val="21"/>
        </w:rPr>
      </w:pPr>
      <w:r>
        <w:rPr>
          <w:rFonts w:ascii="宋体" w:hint="eastAsia"/>
          <w:color w:val="000000"/>
          <w:szCs w:val="21"/>
        </w:rPr>
        <w:t>（3）如果乙方未能履行合同规定的其他任何义务。</w:t>
      </w:r>
    </w:p>
    <w:p>
      <w:pPr>
        <w:spacing w:line="560" w:lineRule="exact"/>
        <w:ind w:firstLine="420" w:firstLineChars="200"/>
        <w:rPr>
          <w:rFonts w:ascii="宋体"/>
          <w:color w:val="000000"/>
          <w:szCs w:val="21"/>
        </w:rPr>
      </w:pPr>
      <w:r>
        <w:rPr>
          <w:rFonts w:ascii="宋体" w:hint="eastAsia"/>
          <w:color w:val="000000"/>
          <w:szCs w:val="21"/>
        </w:rPr>
        <w:t>2.如果甲方（用户）根据上述规定与乙方全部或部分解除合同，</w:t>
      </w:r>
      <w:r>
        <w:rPr>
          <w:rFonts w:ascii="宋体" w:hint="eastAsia"/>
          <w:bCs/>
          <w:color w:val="000000"/>
          <w:szCs w:val="21"/>
        </w:rPr>
        <w:t>甲方（用户）可以依其认为适当的条件和方法购买乙方未能提供的服务，乙方应对甲方购买服务所超出的费用负责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spacing w:line="560" w:lineRule="exact"/>
        <w:ind w:firstLine="420" w:firstLineChars="200"/>
        <w:rPr>
          <w:rFonts w:ascii="宋体"/>
          <w:color w:val="000000"/>
          <w:szCs w:val="21"/>
        </w:rPr>
      </w:pPr>
      <w:r>
        <w:rPr>
          <w:rFonts w:ascii="宋体" w:hint="eastAsia"/>
          <w:color w:val="000000"/>
          <w:szCs w:val="21"/>
        </w:rPr>
        <w:t>（二）因破产而解除合同</w:t>
      </w:r>
    </w:p>
    <w:p>
      <w:pPr>
        <w:spacing w:line="560" w:lineRule="exact"/>
        <w:ind w:firstLine="420" w:firstLineChars="200"/>
        <w:rPr>
          <w:rFonts w:ascii="宋体"/>
          <w:color w:val="000000"/>
          <w:szCs w:val="21"/>
        </w:rPr>
      </w:pPr>
      <w:r>
        <w:rPr>
          <w:rFonts w:ascii="宋体" w:hint="eastAsia"/>
          <w:color w:val="000000"/>
          <w:szCs w:val="21"/>
        </w:rPr>
        <w:t>1.如果乙方破产或无清偿能力，甲方（用户）可在任何时候以书面形式通知乙方，提出解除合同而不给乙方补偿，并有权要求乙方退回甲方（用户）已支付的合同款项。</w:t>
      </w:r>
    </w:p>
    <w:p>
      <w:pPr>
        <w:spacing w:line="560" w:lineRule="exact"/>
        <w:ind w:firstLine="420" w:firstLineChars="200"/>
        <w:rPr>
          <w:rFonts w:ascii="宋体"/>
          <w:color w:val="000000"/>
          <w:szCs w:val="21"/>
        </w:rPr>
      </w:pPr>
      <w:r>
        <w:rPr>
          <w:rFonts w:ascii="宋体" w:hint="eastAsia"/>
          <w:color w:val="000000"/>
          <w:szCs w:val="21"/>
        </w:rPr>
        <w:t>2.该解除合同将不损害或影响甲方</w:t>
      </w:r>
      <w:r>
        <w:rPr>
          <w:rFonts w:ascii="宋体" w:cs="宋体" w:hint="eastAsia"/>
          <w:color w:val="000000"/>
          <w:szCs w:val="21"/>
        </w:rPr>
        <w:t>（用户）</w:t>
      </w:r>
      <w:r>
        <w:rPr>
          <w:rFonts w:ascii="宋体" w:hint="eastAsia"/>
          <w:color w:val="000000"/>
          <w:szCs w:val="21"/>
        </w:rPr>
        <w:t>已经采取或将要采取的任何行动或补救措施的权利。</w:t>
      </w:r>
    </w:p>
    <w:p>
      <w:pPr>
        <w:spacing w:line="560" w:lineRule="exact"/>
        <w:ind w:firstLine="420" w:firstLineChars="200"/>
        <w:rPr>
          <w:rFonts w:ascii="宋体"/>
          <w:color w:val="000000"/>
          <w:szCs w:val="21"/>
        </w:rPr>
      </w:pPr>
      <w:r>
        <w:rPr>
          <w:rFonts w:ascii="宋体" w:hint="eastAsia"/>
          <w:color w:val="000000"/>
          <w:szCs w:val="21"/>
        </w:rPr>
        <w:t>（三）其他解除合同情况</w:t>
      </w:r>
    </w:p>
    <w:p>
      <w:pPr>
        <w:spacing w:line="560" w:lineRule="exact"/>
        <w:ind w:firstLine="420" w:firstLineChars="200"/>
        <w:rPr>
          <w:rFonts w:ascii="宋体"/>
          <w:color w:val="000000"/>
          <w:szCs w:val="21"/>
        </w:rPr>
      </w:pPr>
      <w:r>
        <w:rPr>
          <w:rFonts w:ascii="宋体" w:hint="eastAsia"/>
          <w:color w:val="000000"/>
          <w:szCs w:val="21"/>
        </w:rPr>
        <w:t>1.若合同继续履行将给甲方造成重大损失的，甲方（用户）可以解除合同而不给予乙方任何补偿。</w:t>
      </w:r>
    </w:p>
    <w:p>
      <w:pPr>
        <w:spacing w:line="560" w:lineRule="exact"/>
        <w:ind w:firstLine="420" w:firstLineChars="200"/>
        <w:rPr>
          <w:rFonts w:ascii="宋体"/>
          <w:color w:val="000000"/>
          <w:szCs w:val="21"/>
        </w:rPr>
      </w:pPr>
      <w:r>
        <w:rPr>
          <w:rFonts w:ascii="宋体" w:hint="eastAsia"/>
          <w:color w:val="000000"/>
          <w:szCs w:val="21"/>
        </w:rPr>
        <w:t>2.乙方在执行合同的过程中发生重大变故，对履行合同有影响的，甲方（用户）可以解除合同而不给予乙方任何补偿。</w:t>
      </w:r>
    </w:p>
    <w:p>
      <w:pPr>
        <w:spacing w:line="560" w:lineRule="exact"/>
        <w:ind w:firstLine="420" w:firstLineChars="200"/>
        <w:rPr>
          <w:rFonts w:ascii="宋体"/>
          <w:color w:val="000000"/>
          <w:szCs w:val="21"/>
        </w:rPr>
      </w:pPr>
      <w:r>
        <w:rPr>
          <w:rFonts w:ascii="宋体" w:hint="eastAsia"/>
          <w:color w:val="000000"/>
          <w:szCs w:val="21"/>
        </w:rPr>
        <w:t>3.甲方（用户）因重大变故取消或部分取消原来的采购任务，导致合同全部或部分内容无需继续履行的，可以解除合同而不给予乙方任何补偿。</w:t>
      </w:r>
    </w:p>
    <w:p>
      <w:pPr>
        <w:spacing w:line="560" w:lineRule="exact"/>
        <w:ind w:firstLine="420" w:firstLineChars="200"/>
        <w:rPr>
          <w:rFonts w:ascii="宋体"/>
          <w:b/>
          <w:bCs/>
          <w:color w:val="000000"/>
          <w:szCs w:val="21"/>
        </w:rPr>
      </w:pPr>
      <w:r>
        <w:rPr>
          <w:rFonts w:ascii="宋体" w:hint="eastAsia"/>
          <w:b/>
          <w:bCs/>
          <w:color w:val="000000"/>
          <w:szCs w:val="21"/>
        </w:rPr>
        <w:t>第十九条 合同终止</w:t>
      </w:r>
    </w:p>
    <w:p>
      <w:pPr>
        <w:pStyle w:val="3010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（一）本合同因下列原因而终止：</w:t>
      </w:r>
    </w:p>
    <w:p>
      <w:pPr>
        <w:pStyle w:val="3010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1.本合同正常履行完毕；</w:t>
      </w:r>
    </w:p>
    <w:p>
      <w:pPr>
        <w:pStyle w:val="3010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2.合同双方协议终止本合同的履行；</w:t>
      </w:r>
    </w:p>
    <w:p>
      <w:pPr>
        <w:pStyle w:val="3010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3.不可抗力事件导致本合同无法履行或履行不必要；</w:t>
      </w:r>
    </w:p>
    <w:p>
      <w:pPr>
        <w:pStyle w:val="3010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4.任何一方行使解除权，解除本合同。</w:t>
      </w:r>
    </w:p>
    <w:p>
      <w:pPr>
        <w:pStyle w:val="30100"/>
        <w:autoSpaceDN w:val="0"/>
        <w:spacing w:line="560" w:lineRule="exact"/>
        <w:ind w:firstLine="420" w:firstLineChars="200"/>
        <w:jc w:val="left"/>
        <w:rPr>
          <w:rFonts w:ascii="宋体" w:cs="微软雅黑"/>
          <w:snapToGrid w:val="0"/>
          <w:kern w:val="0"/>
          <w:szCs w:val="21"/>
        </w:rPr>
      </w:pPr>
      <w:r>
        <w:rPr>
          <w:rFonts w:ascii="宋体" w:cs="微软雅黑" w:hint="eastAsia"/>
          <w:snapToGrid w:val="0"/>
          <w:kern w:val="0"/>
          <w:szCs w:val="21"/>
        </w:rPr>
        <w:t>（二）对本合同终止有过错的一方应赔偿另一方因合同终止而受到的损失。</w:t>
      </w:r>
    </w:p>
    <w:p>
      <w:pPr>
        <w:spacing w:line="560" w:lineRule="exact"/>
        <w:ind w:firstLine="420" w:firstLineChars="200"/>
        <w:rPr>
          <w:rFonts w:ascii="宋体"/>
          <w:b/>
          <w:bCs/>
          <w:color w:val="000000"/>
          <w:szCs w:val="21"/>
        </w:rPr>
      </w:pPr>
      <w:r>
        <w:rPr>
          <w:rFonts w:ascii="宋体" w:hint="eastAsia"/>
          <w:b/>
          <w:bCs/>
          <w:color w:val="000000"/>
          <w:szCs w:val="21"/>
        </w:rPr>
        <w:t>第二十条 合同转让和分包</w:t>
      </w:r>
    </w:p>
    <w:p>
      <w:pPr>
        <w:spacing w:line="560" w:lineRule="exact"/>
        <w:ind w:firstLine="420" w:firstLineChars="200"/>
        <w:rPr>
          <w:rFonts w:ascii="宋体"/>
          <w:color w:val="000000"/>
          <w:szCs w:val="21"/>
        </w:rPr>
      </w:pPr>
      <w:r>
        <w:rPr>
          <w:rFonts w:ascii="宋体" w:hint="eastAsia"/>
          <w:color w:val="000000"/>
          <w:szCs w:val="21"/>
        </w:rPr>
        <w:t>（一）乙方不得以任何形式将合同转包，或部分或全部转让其应履行的合同义务。</w:t>
      </w:r>
    </w:p>
    <w:p>
      <w:pPr>
        <w:spacing w:line="560" w:lineRule="exact"/>
        <w:ind w:firstLine="420" w:firstLineChars="200"/>
        <w:rPr>
          <w:rFonts w:ascii="宋体"/>
          <w:color w:val="000000"/>
          <w:szCs w:val="21"/>
        </w:rPr>
      </w:pPr>
      <w:r>
        <w:rPr>
          <w:rFonts w:ascii="宋体" w:hint="eastAsia"/>
          <w:color w:val="000000"/>
          <w:szCs w:val="21"/>
        </w:rPr>
        <w:t>（二）除经甲方（用户）事先书面同意外，乙方不得以任何形式将合同分包。</w:t>
      </w:r>
    </w:p>
    <w:p>
      <w:pPr>
        <w:spacing w:line="560" w:lineRule="exact"/>
        <w:ind w:firstLine="420" w:firstLineChars="200"/>
        <w:rPr>
          <w:rFonts w:ascii="宋体"/>
          <w:b/>
          <w:bCs/>
          <w:color w:val="000000"/>
          <w:szCs w:val="21"/>
        </w:rPr>
      </w:pPr>
      <w:r>
        <w:rPr>
          <w:rFonts w:ascii="宋体" w:hint="eastAsia"/>
          <w:color w:val="000000"/>
          <w:szCs w:val="21"/>
        </w:rPr>
        <w:t>乙方擅自转包或分包的，甲方有权解除本合同，要求乙方支付履约保证金等额的违约金，</w:t>
      </w:r>
      <w:r>
        <w:rPr>
          <w:rFonts w:ascii="宋体"/>
          <w:b/>
          <w:bCs/>
          <w:color w:val="000000"/>
          <w:szCs w:val="21"/>
        </w:rPr>
        <w:t>并要求赔偿甲方（用户）全部损失及支出的合理费用。</w:t>
      </w:r>
    </w:p>
    <w:p>
      <w:pPr>
        <w:spacing w:line="560" w:lineRule="exact"/>
        <w:ind w:firstLine="420" w:firstLineChars="200"/>
        <w:rPr>
          <w:rFonts w:ascii="宋体"/>
          <w:b/>
          <w:bCs/>
          <w:color w:val="000000"/>
          <w:szCs w:val="21"/>
        </w:rPr>
      </w:pPr>
      <w:r>
        <w:rPr>
          <w:rFonts w:ascii="宋体" w:hint="eastAsia"/>
          <w:b/>
          <w:bCs/>
          <w:color w:val="000000"/>
          <w:szCs w:val="21"/>
        </w:rPr>
        <w:t>第二十一条 其他</w:t>
      </w:r>
    </w:p>
    <w:p>
      <w:pPr>
        <w:spacing w:line="560" w:lineRule="exact"/>
        <w:ind w:firstLine="420" w:firstLineChars="200"/>
        <w:rPr>
          <w:rFonts w:ascii="宋体"/>
          <w:color w:val="000000"/>
          <w:szCs w:val="21"/>
        </w:rPr>
      </w:pPr>
      <w:r>
        <w:rPr>
          <w:rFonts w:ascii="宋体" w:hint="eastAsia"/>
          <w:color w:val="000000"/>
          <w:szCs w:val="21"/>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spacing w:line="560" w:lineRule="exact"/>
        <w:ind w:firstLine="420" w:firstLineChars="200"/>
        <w:rPr>
          <w:rFonts w:ascii="宋体"/>
          <w:b/>
          <w:bCs/>
          <w:color w:val="000000"/>
          <w:szCs w:val="21"/>
        </w:rPr>
      </w:pPr>
      <w:r>
        <w:rPr>
          <w:rFonts w:ascii="宋体" w:hint="eastAsia"/>
          <w:b/>
          <w:bCs/>
          <w:color w:val="000000"/>
          <w:szCs w:val="21"/>
        </w:rPr>
        <w:t>第二十二条 合同生效</w:t>
      </w:r>
    </w:p>
    <w:p>
      <w:pPr>
        <w:spacing w:line="560" w:lineRule="exact"/>
        <w:ind w:firstLine="420" w:firstLineChars="200"/>
        <w:rPr>
          <w:rFonts w:ascii="宋体"/>
          <w:color w:val="000000"/>
          <w:szCs w:val="21"/>
        </w:rPr>
      </w:pPr>
      <w:r>
        <w:rPr>
          <w:rFonts w:ascii="宋体" w:hint="eastAsia"/>
          <w:color w:val="000000"/>
          <w:szCs w:val="21"/>
        </w:rPr>
        <w:t>（一）本合同一式_</w:t>
      </w:r>
      <w:r>
        <w:rPr>
          <w:rFonts w:ascii="宋体"/>
          <w:color w:val="000000"/>
          <w:szCs w:val="21"/>
        </w:rPr>
        <w:t>陆</w:t>
      </w:r>
      <w:r>
        <w:rPr>
          <w:rFonts w:ascii="宋体" w:hint="eastAsia"/>
          <w:color w:val="000000"/>
          <w:szCs w:val="21"/>
        </w:rPr>
        <w:t>_份，甲方执_</w:t>
      </w:r>
      <w:r>
        <w:rPr>
          <w:rFonts w:ascii="宋体"/>
          <w:color w:val="000000"/>
          <w:szCs w:val="21"/>
        </w:rPr>
        <w:t>肆</w:t>
      </w:r>
      <w:r>
        <w:rPr>
          <w:rFonts w:ascii="宋体" w:hint="eastAsia"/>
          <w:color w:val="000000"/>
          <w:szCs w:val="21"/>
        </w:rPr>
        <w:t>_份，乙方执_</w:t>
      </w:r>
      <w:r>
        <w:rPr>
          <w:rFonts w:ascii="宋体"/>
          <w:color w:val="000000"/>
          <w:szCs w:val="21"/>
        </w:rPr>
        <w:t>贰</w:t>
      </w:r>
      <w:r>
        <w:rPr>
          <w:rFonts w:ascii="宋体" w:hint="eastAsia"/>
          <w:color w:val="000000"/>
          <w:szCs w:val="21"/>
        </w:rPr>
        <w:t>__份；自甲乙双方签字并盖章之日起生效。对本合同的任何更改及补充，均需双方共同协商，并以书面形式盖章确认。</w:t>
      </w:r>
    </w:p>
    <w:p>
      <w:pPr>
        <w:spacing w:line="560" w:lineRule="exact"/>
        <w:ind w:firstLine="420" w:firstLineChars="200"/>
        <w:rPr>
          <w:rFonts w:ascii="宋体"/>
          <w:color w:val="000000"/>
          <w:szCs w:val="21"/>
        </w:rPr>
      </w:pPr>
    </w:p>
    <w:p>
      <w:pPr>
        <w:pStyle w:val="5610"/>
        <w:spacing w:line="560" w:lineRule="exact"/>
        <w:ind w:firstLine="422" w:firstLineChars="201"/>
        <w:rPr>
          <w:rFonts w:ascii="宋体" w:eastAsia="宋体" w:cs="宋体"/>
          <w:color w:val="000000"/>
        </w:rPr>
      </w:pPr>
      <w:r>
        <w:rPr>
          <w:rFonts w:ascii="宋体" w:eastAsia="宋体" w:hint="eastAsia"/>
          <w:color w:val="000000"/>
        </w:rPr>
        <w:t>附件一：</w:t>
      </w:r>
      <w:r>
        <w:rPr>
          <w:rFonts w:ascii="宋体" w:eastAsia="宋体" w:cs="宋体" w:hint="eastAsia"/>
          <w:color w:val="000000"/>
        </w:rPr>
        <w:t>项目需求书</w:t>
      </w:r>
    </w:p>
    <w:p>
      <w:pPr>
        <w:spacing w:line="560" w:lineRule="exact"/>
        <w:ind w:firstLine="420" w:firstLineChars="200"/>
        <w:rPr>
          <w:rFonts w:ascii="宋体"/>
          <w:color w:val="000000"/>
          <w:szCs w:val="21"/>
        </w:rPr>
      </w:pPr>
      <w:r>
        <w:rPr>
          <w:rFonts w:ascii="宋体" w:hint="eastAsia"/>
          <w:color w:val="000000"/>
          <w:szCs w:val="21"/>
        </w:rPr>
        <w:t>附件二：分项报价表</w:t>
      </w:r>
    </w:p>
    <w:p>
      <w:pPr>
        <w:spacing w:line="560" w:lineRule="exact"/>
        <w:ind w:firstLine="420" w:firstLineChars="200"/>
        <w:rPr>
          <w:rFonts w:ascii="宋体"/>
          <w:color w:val="000000"/>
          <w:szCs w:val="21"/>
        </w:rPr>
      </w:pPr>
      <w:r>
        <w:rPr>
          <w:rFonts w:ascii="宋体" w:hint="eastAsia"/>
          <w:color w:val="000000"/>
          <w:szCs w:val="21"/>
        </w:rPr>
        <w:t>附件三：</w:t>
      </w:r>
      <w:r>
        <w:rPr>
          <w:rFonts w:ascii="宋体" w:cs="宋体" w:hint="eastAsia"/>
          <w:color w:val="000000"/>
          <w:szCs w:val="21"/>
        </w:rPr>
        <w:t>政务数据安全管理承诺书</w:t>
      </w:r>
    </w:p>
    <w:p>
      <w:pPr>
        <w:spacing w:line="560" w:lineRule="exact"/>
        <w:ind w:firstLine="420" w:firstLineChars="200"/>
        <w:rPr>
          <w:rFonts w:ascii="宋体"/>
          <w:color w:val="000000"/>
          <w:szCs w:val="21"/>
        </w:rPr>
      </w:pPr>
      <w:r>
        <w:rPr>
          <w:rFonts w:ascii="宋体" w:hint="eastAsia"/>
          <w:color w:val="000000"/>
          <w:szCs w:val="21"/>
        </w:rPr>
        <w:t>附件四：项目实施方案</w:t>
      </w:r>
    </w:p>
    <w:p>
      <w:pPr>
        <w:spacing w:line="560" w:lineRule="exact"/>
        <w:ind w:firstLine="420" w:firstLineChars="200"/>
        <w:rPr>
          <w:rFonts w:ascii="宋体"/>
          <w:color w:val="000000"/>
          <w:szCs w:val="21"/>
        </w:rPr>
      </w:pPr>
      <w:r>
        <w:rPr>
          <w:rFonts w:ascii="宋体" w:hint="eastAsia"/>
          <w:color w:val="000000"/>
          <w:szCs w:val="21"/>
        </w:rPr>
        <w:t>附件五：技术培训方案</w:t>
      </w:r>
    </w:p>
    <w:p>
      <w:pPr>
        <w:spacing w:line="560" w:lineRule="exact"/>
        <w:ind w:firstLine="420" w:firstLineChars="200"/>
        <w:rPr>
          <w:rFonts w:ascii="宋体"/>
          <w:color w:val="000000"/>
          <w:szCs w:val="21"/>
          <w:highlight w:val="yellow"/>
        </w:rPr>
      </w:pPr>
      <w:r>
        <w:rPr>
          <w:rFonts w:ascii="宋体" w:hint="eastAsia"/>
          <w:color w:val="000000"/>
          <w:szCs w:val="21"/>
        </w:rPr>
        <w:t>附件六：技术支持及售后服务方案</w:t>
      </w:r>
    </w:p>
    <w:p>
      <w:pPr>
        <w:spacing w:line="560" w:lineRule="exact"/>
        <w:rPr>
          <w:rFonts w:ascii="宋体"/>
          <w:color w:val="000000"/>
          <w:szCs w:val="21"/>
        </w:rPr>
      </w:pPr>
      <w:r>
        <w:rPr>
          <w:rFonts w:ascii="宋体" w:hint="eastAsia"/>
          <w:color w:val="000000"/>
          <w:szCs w:val="21"/>
        </w:rPr>
        <w:t>（附件二、四、五、六内容与投标/响应文件一致。）</w:t>
      </w:r>
    </w:p>
    <w:p>
      <w:pPr>
        <w:spacing w:line="560" w:lineRule="exact"/>
        <w:rPr>
          <w:rFonts w:ascii="宋体"/>
          <w:color w:val="000000"/>
          <w:szCs w:val="21"/>
        </w:rPr>
      </w:pPr>
    </w:p>
    <w:p>
      <w:pPr>
        <w:spacing w:line="560" w:lineRule="exact"/>
        <w:rPr>
          <w:rFonts w:ascii="宋体"/>
          <w:color w:val="000000"/>
          <w:szCs w:val="21"/>
        </w:rPr>
      </w:pPr>
      <w:r>
        <w:rPr>
          <w:rFonts w:ascii="宋体" w:hint="eastAsia"/>
          <w:color w:val="000000"/>
          <w:szCs w:val="21"/>
        </w:rPr>
        <w:t>甲方（公章</w:t>
      </w:r>
      <w:r>
        <w:rPr>
          <w:rFonts w:ascii="宋体" w:hint="eastAsia"/>
          <w:snapToGrid w:val="0"/>
          <w:kern w:val="0"/>
          <w:szCs w:val="21"/>
        </w:rPr>
        <w:t>或合同章</w:t>
      </w:r>
      <w:r>
        <w:rPr>
          <w:rFonts w:ascii="宋体" w:hint="eastAsia"/>
          <w:color w:val="000000"/>
          <w:szCs w:val="21"/>
        </w:rPr>
        <w:t>）：             乙方（公章</w:t>
      </w:r>
      <w:r>
        <w:rPr>
          <w:rFonts w:ascii="宋体" w:hint="eastAsia"/>
          <w:snapToGrid w:val="0"/>
          <w:kern w:val="0"/>
          <w:szCs w:val="21"/>
        </w:rPr>
        <w:t>或合同章</w:t>
      </w:r>
      <w:r>
        <w:rPr>
          <w:rFonts w:ascii="宋体" w:hint="eastAsia"/>
          <w:color w:val="000000"/>
          <w:szCs w:val="21"/>
        </w:rPr>
        <w:t>）：</w:t>
      </w:r>
    </w:p>
    <w:p>
      <w:pPr>
        <w:spacing w:line="560" w:lineRule="exact"/>
        <w:rPr>
          <w:rFonts w:ascii="宋体"/>
          <w:color w:val="000000"/>
          <w:szCs w:val="21"/>
        </w:rPr>
      </w:pPr>
      <w:r>
        <w:rPr>
          <w:rFonts w:ascii="宋体" w:hint="eastAsia"/>
          <w:color w:val="000000"/>
          <w:szCs w:val="21"/>
        </w:rPr>
        <w:t>法定代表人                        法定代表人</w:t>
      </w:r>
    </w:p>
    <w:p>
      <w:pPr>
        <w:spacing w:line="560" w:lineRule="exact"/>
        <w:rPr>
          <w:rFonts w:ascii="宋体"/>
          <w:color w:val="000000"/>
          <w:szCs w:val="21"/>
        </w:rPr>
      </w:pPr>
      <w:r>
        <w:rPr>
          <w:rFonts w:ascii="宋体" w:hint="eastAsia"/>
          <w:color w:val="000000"/>
          <w:szCs w:val="21"/>
        </w:rPr>
        <w:t>或授权签字人（签字）：             或授权签字人（签字）：</w:t>
      </w:r>
    </w:p>
    <w:p>
      <w:pPr>
        <w:spacing w:line="560" w:lineRule="exact"/>
        <w:rPr>
          <w:rFonts w:ascii="宋体"/>
          <w:color w:val="000000"/>
          <w:szCs w:val="21"/>
        </w:rPr>
      </w:pPr>
    </w:p>
    <w:p>
      <w:pPr>
        <w:spacing w:line="560" w:lineRule="exact"/>
        <w:rPr>
          <w:rFonts w:ascii="宋体"/>
          <w:color w:val="000000"/>
          <w:szCs w:val="21"/>
        </w:rPr>
      </w:pPr>
      <w:r>
        <w:rPr>
          <w:rFonts w:ascii="宋体" w:hint="eastAsia"/>
          <w:color w:val="000000"/>
          <w:szCs w:val="21"/>
        </w:rPr>
        <w:t xml:space="preserve">日期： 年  月  日                 日期：   年   月   日    </w:t>
      </w:r>
    </w:p>
    <w:p>
      <w:pPr>
        <w:spacing w:line="560" w:lineRule="exact"/>
        <w:rPr>
          <w:rFonts w:ascii="宋体"/>
          <w:color w:val="000000"/>
          <w:szCs w:val="21"/>
        </w:rPr>
      </w:pPr>
      <w:r>
        <w:rPr>
          <w:rFonts w:ascii="宋体" w:hint="eastAsia"/>
          <w:color w:val="000000"/>
          <w:szCs w:val="21"/>
        </w:rPr>
        <w:t>联系人:                            联系人：</w:t>
      </w:r>
    </w:p>
    <w:p>
      <w:pPr>
        <w:spacing w:line="560" w:lineRule="exact"/>
        <w:rPr>
          <w:rFonts w:ascii="宋体"/>
          <w:color w:val="000000"/>
          <w:szCs w:val="21"/>
        </w:rPr>
      </w:pPr>
      <w:r>
        <w:rPr>
          <w:rFonts w:ascii="宋体" w:hint="eastAsia"/>
          <w:color w:val="000000"/>
          <w:szCs w:val="21"/>
        </w:rPr>
        <w:t>电话:                              电话：</w:t>
      </w:r>
    </w:p>
    <w:p>
      <w:pPr>
        <w:spacing w:line="560" w:lineRule="exact"/>
        <w:rPr>
          <w:rFonts w:ascii="宋体"/>
          <w:color w:val="000000"/>
          <w:szCs w:val="21"/>
        </w:rPr>
      </w:pPr>
      <w:r>
        <w:rPr>
          <w:rFonts w:ascii="宋体" w:hint="eastAsia"/>
          <w:color w:val="000000"/>
          <w:szCs w:val="21"/>
        </w:rPr>
        <w:t>地址：                             地址：</w:t>
      </w:r>
    </w:p>
    <w:p>
      <w:pPr>
        <w:jc w:val="center"/>
        <w:rPr>
          <w:color w:val="0000FF"/>
          <w:highlight w:val="white"/>
        </w:rPr>
      </w:pPr>
      <w:bookmarkEnd w:id="54"/>
    </w:p>
    <w:p>
      <w:pPr>
        <w:pStyle w:val="Heading1"/>
        <w:rPr>
          <w:rFonts w:hint="eastAsia"/>
          <w:highlight w:val="white"/>
        </w:rPr>
      </w:pPr>
      <w:r>
        <w:rPr>
          <w:rFonts w:hint="eastAsia"/>
          <w:highlight w:val="white"/>
        </w:rPr>
        <w:br w:type="page"/>
      </w:r>
      <w:bookmarkStart w:id="55" w:name="_Toc65406668"/>
      <w:r>
        <w:rPr>
          <w:rFonts w:hint="eastAsia"/>
          <w:highlight w:val="white"/>
        </w:rPr>
        <w:t>第六部分  投标文件格式</w:t>
      </w:r>
      <w:bookmarkEnd w:id="55"/>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6"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69"/>
      <w:bookmarkStart w:id="58" w:name="_Toc485990833"/>
      <w:bookmarkStart w:id="59" w:name="_Toc46196323"/>
      <w:r>
        <w:rPr>
          <w:rFonts w:ascii="宋体" w:eastAsia="宋体" w:hint="eastAsia"/>
          <w:szCs w:val="32"/>
          <w:lang w:eastAsia="zh-CN"/>
        </w:rPr>
        <w:t>投标函</w:t>
      </w:r>
      <w:bookmarkEnd w:id="57"/>
      <w:bookmarkEnd w:id="58"/>
      <w:bookmarkEnd w:id="59"/>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0" w:name="_Toc499068185"/>
      <w:bookmarkStart w:id="61" w:name="_Toc485990851"/>
      <w:r>
        <w:rPr>
          <w:rFonts w:ascii="宋体" w:eastAsia="宋体" w:hint="eastAsia"/>
          <w:szCs w:val="32"/>
          <w:lang w:eastAsia="zh-CN"/>
        </w:rPr>
        <w:t>技术偏离表</w:t>
      </w:r>
      <w:bookmarkEnd w:id="60"/>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1"/>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2" w:name="_Toc499068185_0"/>
      <w:r>
        <w:rPr>
          <w:rFonts w:ascii="宋体" w:eastAsia="宋体" w:hint="eastAsia"/>
          <w:szCs w:val="32"/>
          <w:lang w:eastAsia="zh-CN"/>
        </w:rPr>
        <w:t>技术偏离表</w:t>
      </w:r>
      <w:bookmarkEnd w:id="62"/>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w:t>
      </w:r>
      <w:r>
        <w:rPr>
          <w:rFonts w:ascii="宋体"/>
          <w:color w:val="000000"/>
          <w:sz w:val="22"/>
        </w:rPr>
        <w:t>或劳动合同等证明材料</w:t>
      </w:r>
      <w:r>
        <w:rPr>
          <w:rFonts w:ascii="宋体" w:hint="eastAsia"/>
          <w:color w:val="000000"/>
          <w:sz w:val="22"/>
        </w:rPr>
        <w:t xml:space="preserve">（未提供的不予认定）；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6"/>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altName w:val="Arial Unicode MS"/>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269874</wp:posOffset>
              </wp:positionV>
              <wp:extent cx="498475"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98475"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9.25pt;height:31.6pt;margin-top:21.25pt;margin-left:2.5pt;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56B5AD"/>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
    <w:nsid w:val="A8D3E798"/>
    <w:multiLevelType w:val="singleLevel"/>
    <w:tmpl w:val="A8D3E798"/>
    <w:lvl w:ilvl="0">
      <w:start w:val="1"/>
      <w:numFmt w:val="decimal"/>
      <w:suff w:val="nothing"/>
      <w:lvlText w:val="（%1）"/>
      <w:lvlJc w:val="left"/>
      <w:pPr>
        <w:ind w:left="0" w:firstLine="0"/>
      </w:pPr>
    </w:lvl>
  </w:abstractNum>
  <w:abstractNum w:abstractNumId="2">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3">
    <w:nsid w:val="D7A40BEA"/>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4">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9">
    <w:nsid w:val="00000008"/>
    <w:multiLevelType w:val="singleLevel"/>
    <w:tmpl w:val="00000000"/>
    <w:lvl w:ilvl="0">
      <w:start w:val="1"/>
      <w:numFmt w:val="decimal"/>
      <w:lvlText w:val="%1."/>
      <w:lvlJc w:val="left"/>
      <w:pPr>
        <w:tabs>
          <w:tab w:val="num" w:pos="1200"/>
        </w:tabs>
        <w:ind w:left="1200" w:hanging="360"/>
      </w:pPr>
    </w:lvl>
  </w:abstractNum>
  <w:abstractNum w:abstractNumId="10">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2">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3"/>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1">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2">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4">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25">
    <w:nsid w:val="7CF0971D"/>
    <w:multiLevelType w:val="singleLevel"/>
    <w:tmpl w:val="7CF0971D"/>
    <w:lvl w:ilvl="0">
      <w:start w:val="1"/>
      <w:numFmt w:val="decimal"/>
      <w:suff w:val="nothing"/>
      <w:lvlText w:val="（%1）"/>
      <w:lvlJc w:val="left"/>
      <w:pPr>
        <w:ind w:left="0" w:firstLine="0"/>
      </w:pPr>
    </w:lvl>
  </w:abstractNum>
  <w:num w:numId="1">
    <w:abstractNumId w:val="20"/>
  </w:num>
  <w:num w:numId="2">
    <w:abstractNumId w:val="24"/>
  </w:num>
  <w:num w:numId="3">
    <w:abstractNumId w:val="25"/>
  </w:num>
  <w:num w:numId="4">
    <w:abstractNumId w:val="1"/>
  </w:num>
  <w:num w:numId="5">
    <w:abstractNumId w:val="3"/>
  </w:num>
  <w:num w:numId="6">
    <w:abstractNumId w:val="6"/>
  </w:num>
  <w:num w:numId="7">
    <w:abstractNumId w:val="7"/>
  </w:num>
  <w:num w:numId="8">
    <w:abstractNumId w:val="8"/>
  </w:num>
  <w:num w:numId="9">
    <w:abstractNumId w:val="9"/>
  </w:num>
  <w:num w:numId="10">
    <w:abstractNumId w:val="10"/>
  </w:num>
  <w:num w:numId="11">
    <w:abstractNumId w:val="11"/>
  </w:num>
  <w:num w:numId="12">
    <w:abstractNumId w:val="0"/>
  </w:num>
  <w:num w:numId="13">
    <w:abstractNumId w:val="5"/>
  </w:num>
  <w:num w:numId="14">
    <w:abstractNumId w:val="2"/>
  </w:num>
  <w:num w:numId="15">
    <w:abstractNumId w:val="22"/>
  </w:num>
  <w:num w:numId="16">
    <w:abstractNumId w:val="12"/>
  </w:num>
  <w:num w:numId="17">
    <w:abstractNumId w:val="13"/>
  </w:num>
  <w:num w:numId="18">
    <w:abstractNumId w:val="14"/>
  </w:num>
  <w:num w:numId="19">
    <w:abstractNumId w:val="4"/>
  </w:num>
  <w:num w:numId="20">
    <w:abstractNumId w:val="15"/>
  </w:num>
  <w:num w:numId="21">
    <w:abstractNumId w:val="16"/>
  </w:num>
  <w:num w:numId="22">
    <w:abstractNumId w:val="23"/>
  </w:num>
  <w:num w:numId="23">
    <w:abstractNumId w:val="17"/>
  </w:num>
  <w:num w:numId="24">
    <w:abstractNumId w:val="18"/>
  </w:num>
  <w:num w:numId="25">
    <w:abstractNumId w:val="19"/>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5"/>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5"/>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5"/>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5"/>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5"/>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5"/>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6"/>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7"/>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8"/>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9"/>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0"/>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1"/>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4"/>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6"/>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8"/>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0"/>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1"/>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1"/>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3"/>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3"/>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4"/>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5"/>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6"/>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2920">
    <w:name w:val="样式 292 小四"/>
    <w:pPr>
      <w:widowControl w:val="0"/>
    </w:pPr>
    <w:rPr>
      <w:rFonts w:ascii="宋体" w:eastAsia="宋体" w:cs="Times New Roman"/>
      <w:kern w:val="2"/>
      <w:sz w:val="24"/>
      <w:szCs w:val="21"/>
      <w:lang w:val="en-US" w:eastAsia="zh-CN" w:bidi="ar-SA"/>
    </w:rPr>
  </w:style>
  <w:style w:type="paragraph" w:customStyle="1" w:styleId="2951">
    <w:name w:val="样式 295 小四"/>
    <w:pPr>
      <w:widowControl w:val="0"/>
      <w:spacing w:line="360" w:lineRule="auto"/>
      <w:ind w:firstLine="480"/>
      <w:jc w:val="both"/>
    </w:pPr>
    <w:rPr>
      <w:rFonts w:ascii="宋体" w:eastAsia="宋体" w:cs="Calibri"/>
      <w:sz w:val="24"/>
      <w:szCs w:val="24"/>
      <w:lang w:val="en-US" w:eastAsia="zh-CN" w:bidi="ar-SA"/>
    </w:rPr>
  </w:style>
  <w:style w:type="paragraph" w:customStyle="1" w:styleId="2911">
    <w:name w:val="样式 291 小四"/>
    <w:pPr>
      <w:widowControl w:val="0"/>
    </w:pPr>
    <w:rPr>
      <w:rFonts w:ascii="宋体" w:eastAsia="宋体" w:cs="Times New Roman"/>
      <w:kern w:val="2"/>
      <w:sz w:val="24"/>
      <w:szCs w:val="21"/>
      <w:lang w:val="en-US" w:eastAsia="zh-CN" w:bidi="ar-SA"/>
    </w:rPr>
  </w:style>
  <w:style w:type="paragraph" w:customStyle="1" w:styleId="2930">
    <w:name w:val="样式 293 小四"/>
    <w:pPr>
      <w:widowControl w:val="0"/>
      <w:spacing w:line="360" w:lineRule="auto"/>
      <w:ind w:firstLine="480"/>
      <w:jc w:val="both"/>
    </w:pPr>
    <w:rPr>
      <w:rFonts w:ascii="宋体" w:eastAsia="宋体"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TotalTime>14093489</TotalTime>
  <Pages>98</Pages>
  <Words>57733</Words>
  <Characters>59316</Characters>
  <Application>Microsoft Office Word</Application>
  <DocSecurity>0</DocSecurity>
  <Lines>5137</Lines>
  <Paragraphs>1872</Paragraphs>
  <ScaleCrop>false</ScaleCrop>
  <Company>ms</Company>
  <LinksUpToDate>false</LinksUpToDate>
  <CharactersWithSpaces>61391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郝帅</cp:lastModifiedBy>
  <cp:revision>6</cp:revision>
  <cp:lastPrinted>2020-06-24T09:06:00Z</cp:lastPrinted>
  <dcterms:created xsi:type="dcterms:W3CDTF">2021-11-24T16:33:00Z</dcterms:created>
  <dcterms:modified xsi:type="dcterms:W3CDTF">2025-08-20T01:29:46Z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